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8258" w14:textId="29391331" w:rsidR="00DB0E35" w:rsidRDefault="00DB0E35">
      <w:pPr>
        <w:rPr>
          <w:lang w:val="en-CA"/>
        </w:rPr>
      </w:pPr>
      <w:r w:rsidRPr="00DB0E35">
        <w:rPr>
          <w:lang w:val="en-CA"/>
        </w:rPr>
        <w:t>Translated from the original F</w:t>
      </w:r>
      <w:r>
        <w:rPr>
          <w:lang w:val="en-CA"/>
        </w:rPr>
        <w:t>rench</w:t>
      </w:r>
    </w:p>
    <w:p w14:paraId="0DA219EB" w14:textId="77777777" w:rsidR="003F744A" w:rsidRDefault="003F744A">
      <w:pPr>
        <w:rPr>
          <w:lang w:val="en-CA"/>
        </w:rPr>
      </w:pPr>
    </w:p>
    <w:tbl>
      <w:tblPr>
        <w:tblW w:w="9505" w:type="dxa"/>
        <w:tblLayout w:type="fixed"/>
        <w:tblCellMar>
          <w:left w:w="70" w:type="dxa"/>
          <w:right w:w="70" w:type="dxa"/>
        </w:tblCellMar>
        <w:tblLook w:val="0000" w:firstRow="0" w:lastRow="0" w:firstColumn="0" w:lastColumn="0" w:noHBand="0" w:noVBand="0"/>
      </w:tblPr>
      <w:tblGrid>
        <w:gridCol w:w="1036"/>
        <w:gridCol w:w="69"/>
        <w:gridCol w:w="455"/>
        <w:gridCol w:w="55"/>
        <w:gridCol w:w="2354"/>
        <w:gridCol w:w="3121"/>
        <w:gridCol w:w="2415"/>
      </w:tblGrid>
      <w:tr w:rsidR="00B760F7" w:rsidRPr="00BA1219" w14:paraId="32B6BEB5" w14:textId="77777777">
        <w:trPr>
          <w:trHeight w:val="360"/>
        </w:trPr>
        <w:tc>
          <w:tcPr>
            <w:tcW w:w="7090" w:type="dxa"/>
            <w:gridSpan w:val="6"/>
          </w:tcPr>
          <w:p w14:paraId="3F18C9B5" w14:textId="3C7E7846" w:rsidR="00121A72" w:rsidRPr="00BA1219" w:rsidRDefault="00DB0E35" w:rsidP="00BB4291">
            <w:pPr>
              <w:pStyle w:val="zSoquijdatRepertorie"/>
              <w:rPr>
                <w:rFonts w:cs="Arial"/>
                <w:noProof w:val="0"/>
                <w:lang w:val="en-CA"/>
              </w:rPr>
            </w:pPr>
            <w:r>
              <w:rPr>
                <w:rFonts w:cs="Arial"/>
              </w:rPr>
              <w:t>Quebec English School Boards Association c. Procureur général du Québec</w:t>
            </w:r>
          </w:p>
        </w:tc>
        <w:tc>
          <w:tcPr>
            <w:tcW w:w="2415" w:type="dxa"/>
          </w:tcPr>
          <w:p w14:paraId="34FEEC29" w14:textId="0933C09D" w:rsidR="00121A72" w:rsidRPr="00BA1219" w:rsidRDefault="00DB0E35" w:rsidP="00AB0B57">
            <w:pPr>
              <w:pStyle w:val="zSoquijdatRefNeutre"/>
              <w:jc w:val="right"/>
              <w:rPr>
                <w:rFonts w:cs="Arial"/>
                <w:noProof w:val="0"/>
                <w:lang w:val="en-CA"/>
              </w:rPr>
            </w:pPr>
            <w:r w:rsidRPr="00AB0B57">
              <w:rPr>
                <w:rFonts w:cs="Arial"/>
              </w:rPr>
              <w:t>2023 QCCS 2965</w:t>
            </w:r>
          </w:p>
        </w:tc>
      </w:tr>
      <w:tr w:rsidR="00B760F7" w:rsidRPr="00BA1219" w14:paraId="6201E2B0" w14:textId="77777777">
        <w:trPr>
          <w:trHeight w:val="900"/>
        </w:trPr>
        <w:tc>
          <w:tcPr>
            <w:tcW w:w="9505" w:type="dxa"/>
            <w:gridSpan w:val="7"/>
            <w:vAlign w:val="bottom"/>
          </w:tcPr>
          <w:p w14:paraId="27BEE91E" w14:textId="62876E36" w:rsidR="00121A72" w:rsidRPr="00BA1219" w:rsidRDefault="00F344F4" w:rsidP="00334BC4">
            <w:pPr>
              <w:pStyle w:val="zSoquijlblCour"/>
              <w:rPr>
                <w:lang w:val="en-CA"/>
              </w:rPr>
            </w:pPr>
            <w:r w:rsidRPr="00BA1219">
              <w:rPr>
                <w:lang w:val="en-CA"/>
              </w:rPr>
              <w:t>SUPERIOR COURT</w:t>
            </w:r>
          </w:p>
        </w:tc>
      </w:tr>
      <w:tr w:rsidR="00B760F7" w:rsidRPr="00BA1219" w14:paraId="4170FCBD" w14:textId="77777777">
        <w:trPr>
          <w:trHeight w:val="540"/>
        </w:trPr>
        <w:tc>
          <w:tcPr>
            <w:tcW w:w="9505" w:type="dxa"/>
            <w:gridSpan w:val="7"/>
          </w:tcPr>
          <w:p w14:paraId="7D625C04" w14:textId="77777777" w:rsidR="00121A72" w:rsidRPr="00BA1219" w:rsidRDefault="00121A72" w:rsidP="00334BC4">
            <w:pPr>
              <w:pStyle w:val="zSoquijdatDivision"/>
              <w:rPr>
                <w:lang w:val="en-CA"/>
              </w:rPr>
            </w:pPr>
          </w:p>
        </w:tc>
      </w:tr>
      <w:tr w:rsidR="00B760F7" w:rsidRPr="00BA1219" w14:paraId="665BCCCA" w14:textId="77777777">
        <w:tc>
          <w:tcPr>
            <w:tcW w:w="9505" w:type="dxa"/>
            <w:gridSpan w:val="7"/>
          </w:tcPr>
          <w:p w14:paraId="269CBF18" w14:textId="77777777" w:rsidR="00121A72" w:rsidRPr="006B7726" w:rsidRDefault="0096102C" w:rsidP="00334BC4">
            <w:pPr>
              <w:pStyle w:val="zSoquijlblPays"/>
              <w:rPr>
                <w:lang w:val="en-CA"/>
              </w:rPr>
            </w:pPr>
            <w:r w:rsidRPr="006B7726">
              <w:rPr>
                <w:lang w:val="en-CA"/>
              </w:rPr>
              <w:t>CANADA</w:t>
            </w:r>
          </w:p>
        </w:tc>
      </w:tr>
      <w:tr w:rsidR="00B760F7" w:rsidRPr="00BA1219" w14:paraId="3B1C67F2" w14:textId="77777777">
        <w:tc>
          <w:tcPr>
            <w:tcW w:w="9505" w:type="dxa"/>
            <w:gridSpan w:val="7"/>
          </w:tcPr>
          <w:p w14:paraId="6ACC4FC0" w14:textId="609B4334" w:rsidR="00121A72" w:rsidRPr="006B7726" w:rsidRDefault="0096102C" w:rsidP="00334BC4">
            <w:pPr>
              <w:pStyle w:val="zSoquijlblProvince"/>
              <w:rPr>
                <w:lang w:val="en-CA"/>
              </w:rPr>
            </w:pPr>
            <w:r w:rsidRPr="006B7726">
              <w:rPr>
                <w:lang w:val="en-CA"/>
              </w:rPr>
              <w:t xml:space="preserve">PROVINCE </w:t>
            </w:r>
            <w:r w:rsidR="00F344F4" w:rsidRPr="006B7726">
              <w:rPr>
                <w:lang w:val="en-CA"/>
              </w:rPr>
              <w:t>of</w:t>
            </w:r>
            <w:r w:rsidRPr="006B7726">
              <w:rPr>
                <w:lang w:val="en-CA"/>
              </w:rPr>
              <w:t xml:space="preserve"> QU</w:t>
            </w:r>
            <w:r w:rsidR="00F344F4" w:rsidRPr="006B7726">
              <w:rPr>
                <w:lang w:val="en-CA"/>
              </w:rPr>
              <w:t>e</w:t>
            </w:r>
            <w:r w:rsidRPr="006B7726">
              <w:rPr>
                <w:lang w:val="en-CA"/>
              </w:rPr>
              <w:t>BEC</w:t>
            </w:r>
          </w:p>
        </w:tc>
      </w:tr>
      <w:tr w:rsidR="00B760F7" w:rsidRPr="00BA1219" w14:paraId="70AB1A56" w14:textId="77777777">
        <w:tblPrEx>
          <w:tblCellMar>
            <w:left w:w="0" w:type="dxa"/>
            <w:right w:w="0" w:type="dxa"/>
          </w:tblCellMar>
        </w:tblPrEx>
        <w:trPr>
          <w:cantSplit/>
        </w:trPr>
        <w:tc>
          <w:tcPr>
            <w:tcW w:w="1615" w:type="dxa"/>
            <w:gridSpan w:val="4"/>
          </w:tcPr>
          <w:p w14:paraId="4BCC77AB" w14:textId="02BA0408" w:rsidR="00121A72" w:rsidRPr="00BA1219" w:rsidRDefault="0096102C" w:rsidP="00334BC4">
            <w:pPr>
              <w:pStyle w:val="zSoquijlblGreffe"/>
              <w:rPr>
                <w:lang w:val="en-CA"/>
              </w:rPr>
            </w:pPr>
            <w:r w:rsidRPr="006B7726">
              <w:rPr>
                <w:lang w:val="en-CA"/>
              </w:rPr>
              <w:t xml:space="preserve">DISTRICT </w:t>
            </w:r>
            <w:r w:rsidR="00F344F4" w:rsidRPr="00BA1219">
              <w:rPr>
                <w:lang w:val="en-CA"/>
              </w:rPr>
              <w:t>of</w:t>
            </w:r>
          </w:p>
        </w:tc>
        <w:tc>
          <w:tcPr>
            <w:tcW w:w="7890" w:type="dxa"/>
            <w:gridSpan w:val="3"/>
          </w:tcPr>
          <w:p w14:paraId="7E17C345" w14:textId="726A4900" w:rsidR="00121A72" w:rsidRPr="006B7726" w:rsidRDefault="0096102C" w:rsidP="00334BC4">
            <w:pPr>
              <w:pStyle w:val="zSoquijdatGreffe"/>
              <w:rPr>
                <w:lang w:val="en-CA"/>
              </w:rPr>
            </w:pPr>
            <w:r w:rsidRPr="00BA1219">
              <w:rPr>
                <w:lang w:val="en-CA"/>
              </w:rPr>
              <w:t xml:space="preserve"> </w:t>
            </w:r>
            <w:r w:rsidRPr="006B7726">
              <w:rPr>
                <w:lang w:val="en-CA"/>
              </w:rPr>
              <w:t>MONTR</w:t>
            </w:r>
            <w:r w:rsidR="00F344F4" w:rsidRPr="006B7726">
              <w:rPr>
                <w:lang w:val="en-CA"/>
              </w:rPr>
              <w:t>e</w:t>
            </w:r>
            <w:r w:rsidRPr="006B7726">
              <w:rPr>
                <w:lang w:val="en-CA"/>
              </w:rPr>
              <w:t>AL</w:t>
            </w:r>
          </w:p>
        </w:tc>
      </w:tr>
      <w:tr w:rsidR="00B760F7" w:rsidRPr="00BA1219" w14:paraId="76B8AB13" w14:textId="77777777">
        <w:trPr>
          <w:trHeight w:val="540"/>
        </w:trPr>
        <w:tc>
          <w:tcPr>
            <w:tcW w:w="9505" w:type="dxa"/>
            <w:gridSpan w:val="7"/>
          </w:tcPr>
          <w:p w14:paraId="6F1E4136" w14:textId="77777777" w:rsidR="00121A72" w:rsidRPr="00BA1219" w:rsidRDefault="00121A72" w:rsidP="00334BC4">
            <w:pPr>
              <w:pStyle w:val="zSoquijlblNomChambre"/>
              <w:rPr>
                <w:lang w:val="en-CA"/>
              </w:rPr>
            </w:pPr>
          </w:p>
        </w:tc>
      </w:tr>
      <w:tr w:rsidR="00B760F7" w:rsidRPr="00BA1219" w14:paraId="17AB631B" w14:textId="77777777">
        <w:tc>
          <w:tcPr>
            <w:tcW w:w="1105" w:type="dxa"/>
            <w:gridSpan w:val="2"/>
          </w:tcPr>
          <w:p w14:paraId="2587FEDA" w14:textId="4EDB27CB" w:rsidR="00121A72" w:rsidRPr="006B7726" w:rsidRDefault="00F344F4" w:rsidP="00334BC4">
            <w:pPr>
              <w:pStyle w:val="zSoquijlblNoDossier"/>
              <w:rPr>
                <w:lang w:val="en-CA"/>
              </w:rPr>
            </w:pPr>
            <w:r w:rsidRPr="006B7726">
              <w:rPr>
                <w:lang w:val="en-CA"/>
              </w:rPr>
              <w:t>No.</w:t>
            </w:r>
            <w:r w:rsidR="0096102C" w:rsidRPr="006B7726">
              <w:rPr>
                <w:lang w:val="en-CA"/>
              </w:rPr>
              <w:t>:</w:t>
            </w:r>
          </w:p>
        </w:tc>
        <w:tc>
          <w:tcPr>
            <w:tcW w:w="8400" w:type="dxa"/>
            <w:gridSpan w:val="5"/>
          </w:tcPr>
          <w:p w14:paraId="6D48A9EA" w14:textId="77777777" w:rsidR="00121A72" w:rsidRPr="00BA1219" w:rsidRDefault="0096102C" w:rsidP="00334BC4">
            <w:pPr>
              <w:pStyle w:val="zSoquijdatNoDossier"/>
              <w:rPr>
                <w:lang w:val="en-CA"/>
              </w:rPr>
            </w:pPr>
            <w:r w:rsidRPr="00BA1219">
              <w:rPr>
                <w:lang w:val="en-CA"/>
              </w:rPr>
              <w:t>500-17-112190-205</w:t>
            </w:r>
          </w:p>
        </w:tc>
      </w:tr>
      <w:tr w:rsidR="00B760F7" w:rsidRPr="00BA1219" w14:paraId="6E5ED6F2" w14:textId="77777777">
        <w:tblPrEx>
          <w:tblCellMar>
            <w:left w:w="0" w:type="dxa"/>
            <w:right w:w="0" w:type="dxa"/>
          </w:tblCellMar>
        </w:tblPrEx>
        <w:trPr>
          <w:cantSplit/>
        </w:trPr>
        <w:tc>
          <w:tcPr>
            <w:tcW w:w="1105" w:type="dxa"/>
            <w:gridSpan w:val="2"/>
          </w:tcPr>
          <w:p w14:paraId="2505C845" w14:textId="77777777" w:rsidR="00121A72" w:rsidRPr="00BA1219" w:rsidRDefault="00121A72" w:rsidP="00334BC4">
            <w:pPr>
              <w:pStyle w:val="zSoquijlblGreffe"/>
              <w:rPr>
                <w:lang w:val="en-CA"/>
              </w:rPr>
            </w:pPr>
          </w:p>
        </w:tc>
        <w:tc>
          <w:tcPr>
            <w:tcW w:w="8400" w:type="dxa"/>
            <w:gridSpan w:val="5"/>
          </w:tcPr>
          <w:p w14:paraId="69E0C127" w14:textId="77777777" w:rsidR="00121A72" w:rsidRPr="00BA1219" w:rsidRDefault="00121A72" w:rsidP="00334BC4">
            <w:pPr>
              <w:pStyle w:val="zSoquijdatNoDossierAnt"/>
              <w:rPr>
                <w:lang w:val="en-CA"/>
              </w:rPr>
            </w:pPr>
          </w:p>
        </w:tc>
      </w:tr>
      <w:tr w:rsidR="00B760F7" w:rsidRPr="00BA1219" w14:paraId="22BF67DB" w14:textId="77777777">
        <w:trPr>
          <w:cantSplit/>
          <w:trHeight w:val="235"/>
        </w:trPr>
        <w:tc>
          <w:tcPr>
            <w:tcW w:w="9505" w:type="dxa"/>
            <w:gridSpan w:val="7"/>
          </w:tcPr>
          <w:p w14:paraId="476903B1" w14:textId="77777777" w:rsidR="00121A72" w:rsidRPr="00BA1219" w:rsidRDefault="00121A72" w:rsidP="00334BC4">
            <w:pPr>
              <w:rPr>
                <w:lang w:val="en-CA"/>
              </w:rPr>
            </w:pPr>
          </w:p>
        </w:tc>
      </w:tr>
      <w:tr w:rsidR="00B760F7" w:rsidRPr="00BA1219" w14:paraId="5ADAC5F0" w14:textId="77777777">
        <w:tc>
          <w:tcPr>
            <w:tcW w:w="1036" w:type="dxa"/>
          </w:tcPr>
          <w:p w14:paraId="24000C22" w14:textId="4892730F" w:rsidR="00121A72" w:rsidRPr="006B7726" w:rsidRDefault="0096102C" w:rsidP="00334BC4">
            <w:pPr>
              <w:pStyle w:val="zSoquijlblDateJugement"/>
              <w:rPr>
                <w:lang w:val="en-CA"/>
              </w:rPr>
            </w:pPr>
            <w:r w:rsidRPr="006B7726">
              <w:rPr>
                <w:lang w:val="en-CA"/>
              </w:rPr>
              <w:t>DATE:</w:t>
            </w:r>
          </w:p>
        </w:tc>
        <w:tc>
          <w:tcPr>
            <w:tcW w:w="8469" w:type="dxa"/>
            <w:gridSpan w:val="6"/>
          </w:tcPr>
          <w:p w14:paraId="30DE4A72" w14:textId="42405390" w:rsidR="002F4672" w:rsidRPr="006B7726" w:rsidRDefault="00F344F4" w:rsidP="00334BC4">
            <w:pPr>
              <w:pStyle w:val="zSoquijdatDateJugement"/>
              <w:rPr>
                <w:lang w:val="en-CA"/>
              </w:rPr>
            </w:pPr>
            <w:r w:rsidRPr="006B7726">
              <w:rPr>
                <w:lang w:val="en-CA"/>
              </w:rPr>
              <w:t>August 2,</w:t>
            </w:r>
            <w:r w:rsidR="00A72507" w:rsidRPr="006B7726">
              <w:rPr>
                <w:lang w:val="en-CA"/>
              </w:rPr>
              <w:t xml:space="preserve"> 2023</w:t>
            </w:r>
          </w:p>
        </w:tc>
      </w:tr>
      <w:tr w:rsidR="00B760F7" w:rsidRPr="00BA1219" w14:paraId="1116606C" w14:textId="77777777">
        <w:tc>
          <w:tcPr>
            <w:tcW w:w="9505" w:type="dxa"/>
            <w:gridSpan w:val="7"/>
          </w:tcPr>
          <w:p w14:paraId="15E86FD1" w14:textId="77777777" w:rsidR="00121A72" w:rsidRPr="00BA1219" w:rsidRDefault="0096102C" w:rsidP="00334BC4">
            <w:pPr>
              <w:ind w:left="14" w:right="-67"/>
              <w:rPr>
                <w:lang w:val="en-CA"/>
              </w:rPr>
            </w:pPr>
            <w:r w:rsidRPr="00BA1219">
              <w:rPr>
                <w:lang w:val="en-CA"/>
              </w:rPr>
              <w:t>______________________________________________________________________</w:t>
            </w:r>
          </w:p>
        </w:tc>
      </w:tr>
      <w:tr w:rsidR="00B760F7" w:rsidRPr="00BA1219" w14:paraId="4EEB430C" w14:textId="77777777">
        <w:tc>
          <w:tcPr>
            <w:tcW w:w="9505" w:type="dxa"/>
            <w:gridSpan w:val="7"/>
          </w:tcPr>
          <w:p w14:paraId="227DCB41" w14:textId="77777777" w:rsidR="00121A72" w:rsidRPr="00BA1219" w:rsidRDefault="00121A72" w:rsidP="00334BC4">
            <w:pPr>
              <w:rPr>
                <w:lang w:val="en-CA"/>
              </w:rPr>
            </w:pPr>
          </w:p>
        </w:tc>
      </w:tr>
      <w:tr w:rsidR="00B760F7" w:rsidRPr="00BA1219" w14:paraId="7204AAD4" w14:textId="77777777" w:rsidTr="00DB0E35">
        <w:tblPrEx>
          <w:tblCellMar>
            <w:left w:w="0" w:type="dxa"/>
            <w:right w:w="0" w:type="dxa"/>
          </w:tblCellMar>
        </w:tblPrEx>
        <w:tc>
          <w:tcPr>
            <w:tcW w:w="1560" w:type="dxa"/>
            <w:gridSpan w:val="3"/>
          </w:tcPr>
          <w:p w14:paraId="3277F34F" w14:textId="5F7215CA" w:rsidR="00121A72" w:rsidRPr="00BA1219" w:rsidRDefault="00F344F4" w:rsidP="00334BC4">
            <w:pPr>
              <w:pStyle w:val="zSoquijlblJuge"/>
              <w:rPr>
                <w:lang w:val="en-CA"/>
              </w:rPr>
            </w:pPr>
            <w:r w:rsidRPr="00BA1219">
              <w:rPr>
                <w:lang w:val="en-CA"/>
              </w:rPr>
              <w:t>PRESIDING:</w:t>
            </w:r>
          </w:p>
        </w:tc>
        <w:tc>
          <w:tcPr>
            <w:tcW w:w="2409" w:type="dxa"/>
            <w:gridSpan w:val="2"/>
          </w:tcPr>
          <w:p w14:paraId="3EBDF045" w14:textId="0019EFBE" w:rsidR="00121A72" w:rsidRPr="00BA1219" w:rsidRDefault="00F344F4" w:rsidP="00334BC4">
            <w:pPr>
              <w:pStyle w:val="zSoquijdatQteJuge"/>
              <w:rPr>
                <w:lang w:val="en-CA"/>
              </w:rPr>
            </w:pPr>
            <w:r w:rsidRPr="00BA1219">
              <w:rPr>
                <w:lang w:val="en-CA"/>
              </w:rPr>
              <w:t>the honourable</w:t>
            </w:r>
          </w:p>
        </w:tc>
        <w:tc>
          <w:tcPr>
            <w:tcW w:w="5536" w:type="dxa"/>
            <w:gridSpan w:val="2"/>
          </w:tcPr>
          <w:p w14:paraId="17B7675A" w14:textId="59F5910F" w:rsidR="00121A72" w:rsidRPr="00EE41DD" w:rsidRDefault="0096102C" w:rsidP="00334BC4">
            <w:pPr>
              <w:pStyle w:val="zSoquijdatJuge"/>
            </w:pPr>
            <w:r w:rsidRPr="00EE41DD">
              <w:t>SYLVAIN LUSSIER, j.</w:t>
            </w:r>
            <w:r w:rsidR="00F344F4" w:rsidRPr="00EE41DD">
              <w:t>S.C.</w:t>
            </w:r>
          </w:p>
        </w:tc>
      </w:tr>
      <w:tr w:rsidR="00B760F7" w:rsidRPr="00BA1219" w14:paraId="6B5251A4" w14:textId="77777777">
        <w:tc>
          <w:tcPr>
            <w:tcW w:w="9505" w:type="dxa"/>
            <w:gridSpan w:val="7"/>
          </w:tcPr>
          <w:p w14:paraId="381A7DA1" w14:textId="77777777" w:rsidR="00121A72" w:rsidRPr="00BA1219" w:rsidRDefault="0096102C" w:rsidP="00334BC4">
            <w:pPr>
              <w:ind w:left="14" w:right="-67"/>
              <w:rPr>
                <w:lang w:val="en-CA"/>
              </w:rPr>
            </w:pPr>
            <w:r w:rsidRPr="00BA1219">
              <w:rPr>
                <w:lang w:val="en-CA"/>
              </w:rPr>
              <w:t>______________________________________________________________________</w:t>
            </w:r>
          </w:p>
        </w:tc>
      </w:tr>
      <w:tr w:rsidR="00B760F7" w:rsidRPr="00BA1219" w14:paraId="039BEFC9" w14:textId="77777777">
        <w:tc>
          <w:tcPr>
            <w:tcW w:w="9505" w:type="dxa"/>
            <w:gridSpan w:val="7"/>
          </w:tcPr>
          <w:p w14:paraId="5012FDB5" w14:textId="77777777" w:rsidR="00121A72" w:rsidRPr="00BA1219" w:rsidRDefault="00121A72" w:rsidP="00334BC4">
            <w:pPr>
              <w:pStyle w:val="zSoquijlblTitrePartie"/>
              <w:rPr>
                <w:lang w:val="en-CA"/>
              </w:rPr>
            </w:pPr>
          </w:p>
        </w:tc>
      </w:tr>
      <w:tr w:rsidR="00B760F7" w:rsidRPr="00294968" w14:paraId="19547AFA" w14:textId="77777777">
        <w:tc>
          <w:tcPr>
            <w:tcW w:w="9505" w:type="dxa"/>
            <w:gridSpan w:val="7"/>
          </w:tcPr>
          <w:p w14:paraId="104A9C22" w14:textId="77777777" w:rsidR="00387863" w:rsidRPr="006B7726" w:rsidRDefault="0096102C" w:rsidP="00334BC4">
            <w:pPr>
              <w:pStyle w:val="zSoquijdatNomPartieDem"/>
              <w:rPr>
                <w:lang w:val="en-CA"/>
              </w:rPr>
            </w:pPr>
            <w:r w:rsidRPr="006B7726">
              <w:rPr>
                <w:lang w:val="en-CA"/>
              </w:rPr>
              <w:t>QUEBEC ENGLISH SCHOOL BOARDS ASSOCIATION</w:t>
            </w:r>
          </w:p>
        </w:tc>
      </w:tr>
      <w:tr w:rsidR="00B760F7" w:rsidRPr="00BA1219" w14:paraId="385785BC" w14:textId="77777777">
        <w:tc>
          <w:tcPr>
            <w:tcW w:w="9505" w:type="dxa"/>
            <w:gridSpan w:val="7"/>
          </w:tcPr>
          <w:p w14:paraId="58FE8C41" w14:textId="1556524D" w:rsidR="002A6BC1" w:rsidRPr="006B7726" w:rsidRDefault="00EE41DD" w:rsidP="00334BC4">
            <w:pPr>
              <w:pStyle w:val="zSoquijdatNomPartieDem"/>
              <w:rPr>
                <w:b w:val="0"/>
                <w:lang w:val="en-CA"/>
              </w:rPr>
            </w:pPr>
            <w:r>
              <w:rPr>
                <w:b w:val="0"/>
                <w:lang w:val="en-CA"/>
              </w:rPr>
              <w:t>a</w:t>
            </w:r>
            <w:r w:rsidR="00F8060B" w:rsidRPr="006B7726">
              <w:rPr>
                <w:b w:val="0"/>
                <w:lang w:val="en-CA"/>
              </w:rPr>
              <w:t>nd</w:t>
            </w:r>
          </w:p>
        </w:tc>
      </w:tr>
      <w:tr w:rsidR="00B760F7" w:rsidRPr="00294968" w14:paraId="2563C447" w14:textId="77777777">
        <w:tc>
          <w:tcPr>
            <w:tcW w:w="9505" w:type="dxa"/>
            <w:gridSpan w:val="7"/>
          </w:tcPr>
          <w:p w14:paraId="10B25B43" w14:textId="77777777" w:rsidR="002A6BC1" w:rsidRPr="006B7726" w:rsidRDefault="0096102C" w:rsidP="00334BC4">
            <w:pPr>
              <w:pStyle w:val="zSoquijdatNomPartieDem"/>
              <w:rPr>
                <w:lang w:val="en-CA"/>
              </w:rPr>
            </w:pPr>
            <w:r w:rsidRPr="006B7726">
              <w:rPr>
                <w:lang w:val="en-CA"/>
              </w:rPr>
              <w:t>LESTER B. PEARSON SCHOOL BOARD</w:t>
            </w:r>
          </w:p>
        </w:tc>
      </w:tr>
      <w:tr w:rsidR="00B760F7" w:rsidRPr="00BA1219" w14:paraId="28FA8270" w14:textId="77777777">
        <w:tc>
          <w:tcPr>
            <w:tcW w:w="9505" w:type="dxa"/>
            <w:gridSpan w:val="7"/>
          </w:tcPr>
          <w:p w14:paraId="7F6D8E56" w14:textId="2BA00D72" w:rsidR="002A6BC1" w:rsidRPr="006B7726" w:rsidRDefault="00EE41DD" w:rsidP="00334BC4">
            <w:pPr>
              <w:pStyle w:val="zSoquijdatNomPartieDem"/>
              <w:rPr>
                <w:b w:val="0"/>
                <w:lang w:val="en-CA"/>
              </w:rPr>
            </w:pPr>
            <w:r>
              <w:rPr>
                <w:b w:val="0"/>
                <w:lang w:val="en-CA"/>
              </w:rPr>
              <w:t>a</w:t>
            </w:r>
            <w:r w:rsidR="00F8060B" w:rsidRPr="006B7726">
              <w:rPr>
                <w:b w:val="0"/>
                <w:lang w:val="en-CA"/>
              </w:rPr>
              <w:t>nd</w:t>
            </w:r>
          </w:p>
        </w:tc>
      </w:tr>
      <w:tr w:rsidR="00B760F7" w:rsidRPr="00BA1219" w14:paraId="75399421" w14:textId="77777777">
        <w:tc>
          <w:tcPr>
            <w:tcW w:w="9505" w:type="dxa"/>
            <w:gridSpan w:val="7"/>
          </w:tcPr>
          <w:p w14:paraId="2D6ACCA5" w14:textId="77777777" w:rsidR="002A6BC1" w:rsidRPr="006B7726" w:rsidRDefault="0096102C" w:rsidP="00334BC4">
            <w:pPr>
              <w:pStyle w:val="zSoquijdatNomPartieDem"/>
              <w:rPr>
                <w:lang w:val="en-CA"/>
              </w:rPr>
            </w:pPr>
            <w:r w:rsidRPr="006B7726">
              <w:rPr>
                <w:lang w:val="en-CA"/>
              </w:rPr>
              <w:t>ADAM GORDON</w:t>
            </w:r>
          </w:p>
        </w:tc>
      </w:tr>
      <w:tr w:rsidR="00B760F7" w:rsidRPr="00BA1219" w14:paraId="119F9754" w14:textId="77777777">
        <w:tc>
          <w:tcPr>
            <w:tcW w:w="9505" w:type="dxa"/>
            <w:gridSpan w:val="7"/>
          </w:tcPr>
          <w:p w14:paraId="3CF4AD0D" w14:textId="21861897" w:rsidR="00121A72" w:rsidRPr="00BA1219" w:rsidRDefault="0096102C" w:rsidP="00334BC4">
            <w:pPr>
              <w:pStyle w:val="zSoquijdatQtePartieDem"/>
              <w:ind w:left="0"/>
              <w:rPr>
                <w:lang w:val="en-CA"/>
              </w:rPr>
            </w:pPr>
            <w:r w:rsidRPr="00BA1219">
              <w:rPr>
                <w:lang w:val="en-CA"/>
              </w:rPr>
              <w:tab/>
            </w:r>
            <w:r w:rsidR="00026B4F" w:rsidRPr="00BA1219">
              <w:rPr>
                <w:lang w:val="en-CA"/>
              </w:rPr>
              <w:t>Applicants</w:t>
            </w:r>
          </w:p>
        </w:tc>
      </w:tr>
      <w:tr w:rsidR="00B760F7" w:rsidRPr="00BA1219" w14:paraId="079643B7" w14:textId="77777777">
        <w:tc>
          <w:tcPr>
            <w:tcW w:w="9505" w:type="dxa"/>
            <w:gridSpan w:val="7"/>
          </w:tcPr>
          <w:p w14:paraId="327D2F8F" w14:textId="79AAFB8B" w:rsidR="00121A72" w:rsidRPr="00BA1219" w:rsidRDefault="00F344F4" w:rsidP="00334BC4">
            <w:pPr>
              <w:pStyle w:val="zSoquijlblLienParties"/>
              <w:rPr>
                <w:lang w:val="en-CA"/>
              </w:rPr>
            </w:pPr>
            <w:r w:rsidRPr="00BA1219">
              <w:rPr>
                <w:lang w:val="en-CA"/>
              </w:rPr>
              <w:t>v.</w:t>
            </w:r>
          </w:p>
        </w:tc>
      </w:tr>
      <w:tr w:rsidR="00B760F7" w:rsidRPr="00BA1219" w14:paraId="4DE79127" w14:textId="77777777">
        <w:tc>
          <w:tcPr>
            <w:tcW w:w="9505" w:type="dxa"/>
            <w:gridSpan w:val="7"/>
          </w:tcPr>
          <w:p w14:paraId="2AB070E3" w14:textId="77777777" w:rsidR="00121A72" w:rsidRPr="006B7726" w:rsidRDefault="002A6BC1" w:rsidP="00334BC4">
            <w:pPr>
              <w:pStyle w:val="zSoquijdatNomPartieDef"/>
              <w:rPr>
                <w:lang w:val="en-CA"/>
              </w:rPr>
            </w:pPr>
            <w:r w:rsidRPr="006B7726">
              <w:rPr>
                <w:lang w:val="en-CA"/>
              </w:rPr>
              <w:t>PROCUREUR GÉNÉRAL DU QUÉBEC</w:t>
            </w:r>
          </w:p>
        </w:tc>
      </w:tr>
      <w:tr w:rsidR="00B760F7" w:rsidRPr="00BA1219" w14:paraId="055895F7" w14:textId="77777777">
        <w:tc>
          <w:tcPr>
            <w:tcW w:w="9505" w:type="dxa"/>
            <w:gridSpan w:val="7"/>
          </w:tcPr>
          <w:p w14:paraId="47B85318" w14:textId="516B2A20" w:rsidR="00387863" w:rsidRPr="00BA1219" w:rsidRDefault="0096102C" w:rsidP="00334BC4">
            <w:pPr>
              <w:pStyle w:val="zSoquijdatNomPartieDef"/>
              <w:rPr>
                <w:b w:val="0"/>
                <w:lang w:val="en-CA"/>
              </w:rPr>
            </w:pPr>
            <w:r w:rsidRPr="00BA1219">
              <w:rPr>
                <w:b w:val="0"/>
                <w:lang w:val="en-CA"/>
              </w:rPr>
              <w:tab/>
            </w:r>
            <w:r w:rsidRPr="006B7726">
              <w:rPr>
                <w:b w:val="0"/>
                <w:lang w:val="en-CA"/>
              </w:rPr>
              <w:t>D</w:t>
            </w:r>
            <w:r w:rsidR="00F344F4" w:rsidRPr="00BA1219">
              <w:rPr>
                <w:b w:val="0"/>
                <w:lang w:val="en-CA"/>
              </w:rPr>
              <w:t>efendant</w:t>
            </w:r>
          </w:p>
        </w:tc>
      </w:tr>
      <w:tr w:rsidR="00B760F7" w:rsidRPr="00BA1219" w14:paraId="2140D667" w14:textId="77777777">
        <w:tc>
          <w:tcPr>
            <w:tcW w:w="9505" w:type="dxa"/>
            <w:gridSpan w:val="7"/>
          </w:tcPr>
          <w:p w14:paraId="327DDAD4" w14:textId="36308E1B" w:rsidR="002A6BC1" w:rsidRPr="006B7726" w:rsidRDefault="00EE41DD" w:rsidP="00334BC4">
            <w:pPr>
              <w:pStyle w:val="zSoquijdatNomPartieDef"/>
              <w:rPr>
                <w:b w:val="0"/>
                <w:lang w:val="en-CA"/>
              </w:rPr>
            </w:pPr>
            <w:r>
              <w:rPr>
                <w:b w:val="0"/>
                <w:lang w:val="en-CA"/>
              </w:rPr>
              <w:t>a</w:t>
            </w:r>
            <w:r w:rsidR="00F8060B" w:rsidRPr="006B7726">
              <w:rPr>
                <w:b w:val="0"/>
                <w:lang w:val="en-CA"/>
              </w:rPr>
              <w:t>nd</w:t>
            </w:r>
          </w:p>
        </w:tc>
      </w:tr>
      <w:tr w:rsidR="00B760F7" w:rsidRPr="00294968" w14:paraId="7C2C96E1" w14:textId="77777777">
        <w:tc>
          <w:tcPr>
            <w:tcW w:w="9505" w:type="dxa"/>
            <w:gridSpan w:val="7"/>
          </w:tcPr>
          <w:p w14:paraId="4F6DE9A9" w14:textId="77777777" w:rsidR="00121A72" w:rsidRPr="006B7726" w:rsidRDefault="0096102C" w:rsidP="00334BC4">
            <w:pPr>
              <w:pStyle w:val="zSoquijdatQtePartieDef"/>
              <w:ind w:left="0"/>
              <w:rPr>
                <w:b/>
                <w:lang w:val="en-CA"/>
              </w:rPr>
            </w:pPr>
            <w:r w:rsidRPr="006B7726">
              <w:rPr>
                <w:b/>
                <w:lang w:val="en-CA"/>
              </w:rPr>
              <w:t>NEW FRONTIERS SCHOOL BOARD</w:t>
            </w:r>
          </w:p>
          <w:p w14:paraId="46A9D3BB" w14:textId="7FC8646B"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BA1219" w14:paraId="2EA2C8EF" w14:textId="77777777">
        <w:tc>
          <w:tcPr>
            <w:tcW w:w="9505" w:type="dxa"/>
            <w:gridSpan w:val="7"/>
          </w:tcPr>
          <w:p w14:paraId="55A52FCC" w14:textId="77777777" w:rsidR="002A6BC1" w:rsidRPr="006B7726" w:rsidRDefault="0096102C" w:rsidP="00334BC4">
            <w:pPr>
              <w:pStyle w:val="zSoquijdatQtePartieDef"/>
              <w:ind w:left="0"/>
              <w:rPr>
                <w:b/>
                <w:lang w:val="en-CA"/>
              </w:rPr>
            </w:pPr>
            <w:r w:rsidRPr="006B7726">
              <w:rPr>
                <w:b/>
                <w:lang w:val="en-CA"/>
              </w:rPr>
              <w:t>SHANNON KEYES</w:t>
            </w:r>
          </w:p>
          <w:p w14:paraId="3D277AE7" w14:textId="45C14911"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2B994A29" w14:textId="77777777">
        <w:tc>
          <w:tcPr>
            <w:tcW w:w="9505" w:type="dxa"/>
            <w:gridSpan w:val="7"/>
          </w:tcPr>
          <w:p w14:paraId="36034A92" w14:textId="77777777" w:rsidR="002A6BC1" w:rsidRPr="006B7726" w:rsidRDefault="0096102C" w:rsidP="00334BC4">
            <w:pPr>
              <w:pStyle w:val="zSoquijdatQtePartieDef"/>
              <w:ind w:left="0"/>
              <w:rPr>
                <w:b/>
                <w:lang w:val="en-CA"/>
              </w:rPr>
            </w:pPr>
            <w:r w:rsidRPr="006B7726">
              <w:rPr>
                <w:b/>
                <w:lang w:val="en-CA"/>
              </w:rPr>
              <w:t>ENGLISH MONTREAL SCHOOL BOARD</w:t>
            </w:r>
          </w:p>
          <w:p w14:paraId="3750A366" w14:textId="231CF61B"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1D8C1A7F" w14:textId="77777777">
        <w:tc>
          <w:tcPr>
            <w:tcW w:w="9505" w:type="dxa"/>
            <w:gridSpan w:val="7"/>
          </w:tcPr>
          <w:p w14:paraId="32BED306" w14:textId="77777777" w:rsidR="00610528" w:rsidRPr="006B7726" w:rsidRDefault="0096102C" w:rsidP="00334BC4">
            <w:pPr>
              <w:pStyle w:val="zSoquijdatQtePartieDef"/>
              <w:ind w:left="0"/>
              <w:rPr>
                <w:b/>
                <w:lang w:val="en-CA"/>
              </w:rPr>
            </w:pPr>
            <w:r w:rsidRPr="006B7726">
              <w:rPr>
                <w:b/>
                <w:lang w:val="en-CA"/>
              </w:rPr>
              <w:t>WESTERN QUEBEC SCHOOL BOARD</w:t>
            </w:r>
          </w:p>
          <w:p w14:paraId="5DB255A2" w14:textId="291A36FD"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BA1219" w14:paraId="3FCA3F2C" w14:textId="77777777">
        <w:tc>
          <w:tcPr>
            <w:tcW w:w="9505" w:type="dxa"/>
            <w:gridSpan w:val="7"/>
          </w:tcPr>
          <w:p w14:paraId="22E12A2B" w14:textId="77777777" w:rsidR="00610528" w:rsidRPr="006B7726" w:rsidRDefault="0096102C" w:rsidP="00334BC4">
            <w:pPr>
              <w:pStyle w:val="zSoquijdatQtePartieDef"/>
              <w:ind w:left="0"/>
              <w:rPr>
                <w:b/>
                <w:lang w:val="en-CA"/>
              </w:rPr>
            </w:pPr>
            <w:r w:rsidRPr="006B7726">
              <w:rPr>
                <w:b/>
                <w:lang w:val="en-CA"/>
              </w:rPr>
              <w:t>RIVERSIDE SCHOOL BOARD</w:t>
            </w:r>
          </w:p>
          <w:p w14:paraId="331B77A8" w14:textId="6DBC3ED5"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60A875A8" w14:textId="77777777">
        <w:tc>
          <w:tcPr>
            <w:tcW w:w="9505" w:type="dxa"/>
            <w:gridSpan w:val="7"/>
          </w:tcPr>
          <w:p w14:paraId="4CE65E57" w14:textId="77777777" w:rsidR="00610528" w:rsidRPr="006B7726" w:rsidRDefault="0096102C" w:rsidP="00334BC4">
            <w:pPr>
              <w:pStyle w:val="zSoquijdatQtePartieDef"/>
              <w:ind w:left="0"/>
              <w:rPr>
                <w:b/>
                <w:lang w:val="en-CA"/>
              </w:rPr>
            </w:pPr>
            <w:r w:rsidRPr="006B7726">
              <w:rPr>
                <w:b/>
                <w:lang w:val="en-CA"/>
              </w:rPr>
              <w:t>EASTERN TOWNSHIPS SCHOOL BOARD</w:t>
            </w:r>
          </w:p>
          <w:p w14:paraId="3CBE03E6" w14:textId="69C350AF"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5A08A176" w14:textId="77777777">
        <w:tc>
          <w:tcPr>
            <w:tcW w:w="9505" w:type="dxa"/>
            <w:gridSpan w:val="7"/>
          </w:tcPr>
          <w:p w14:paraId="39B68579" w14:textId="77777777" w:rsidR="00610528" w:rsidRPr="006B7726" w:rsidRDefault="0096102C" w:rsidP="00334BC4">
            <w:pPr>
              <w:pStyle w:val="zSoquijdatQtePartieDef"/>
              <w:ind w:left="0"/>
              <w:rPr>
                <w:b/>
                <w:lang w:val="en-CA"/>
              </w:rPr>
            </w:pPr>
            <w:r w:rsidRPr="006B7726">
              <w:rPr>
                <w:b/>
                <w:lang w:val="en-CA"/>
              </w:rPr>
              <w:t>SIR WILFRID LAURIER SCHOOL BOARD</w:t>
            </w:r>
          </w:p>
          <w:p w14:paraId="2A2B4BD3" w14:textId="04FB4B94"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42E92573" w14:textId="77777777">
        <w:tc>
          <w:tcPr>
            <w:tcW w:w="9505" w:type="dxa"/>
            <w:gridSpan w:val="7"/>
          </w:tcPr>
          <w:p w14:paraId="18271478" w14:textId="14B15370" w:rsidR="00610528" w:rsidRPr="006B7726" w:rsidRDefault="0096102C" w:rsidP="00334BC4">
            <w:pPr>
              <w:pStyle w:val="zSoquijdatQtePartieDef"/>
              <w:ind w:left="0"/>
              <w:rPr>
                <w:b/>
                <w:lang w:val="en-CA"/>
              </w:rPr>
            </w:pPr>
            <w:r w:rsidRPr="006B7726">
              <w:rPr>
                <w:b/>
                <w:lang w:val="en-CA"/>
              </w:rPr>
              <w:lastRenderedPageBreak/>
              <w:t>EASTER</w:t>
            </w:r>
            <w:r w:rsidR="003F744A">
              <w:rPr>
                <w:b/>
                <w:lang w:val="en-CA"/>
              </w:rPr>
              <w:t>N</w:t>
            </w:r>
            <w:r w:rsidRPr="006B7726">
              <w:rPr>
                <w:b/>
                <w:lang w:val="en-CA"/>
              </w:rPr>
              <w:t xml:space="preserve"> SHORES SCHOOL BOARD</w:t>
            </w:r>
          </w:p>
          <w:p w14:paraId="2E4908F3" w14:textId="378F25DD"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294968" w14:paraId="6E64A623" w14:textId="77777777">
        <w:tc>
          <w:tcPr>
            <w:tcW w:w="9505" w:type="dxa"/>
            <w:gridSpan w:val="7"/>
          </w:tcPr>
          <w:p w14:paraId="054E7816" w14:textId="77777777" w:rsidR="002A6BC1" w:rsidRPr="006B7726" w:rsidRDefault="0096102C" w:rsidP="00334BC4">
            <w:pPr>
              <w:pStyle w:val="zSoquijdatQtePartieDef"/>
              <w:ind w:left="0"/>
              <w:rPr>
                <w:b/>
                <w:lang w:val="en-CA"/>
              </w:rPr>
            </w:pPr>
            <w:r w:rsidRPr="006B7726">
              <w:rPr>
                <w:b/>
                <w:lang w:val="en-CA"/>
              </w:rPr>
              <w:t>CENTRAL QUEBEC SCHOOL BOARD</w:t>
            </w:r>
          </w:p>
          <w:p w14:paraId="2E618629" w14:textId="09AC5280" w:rsidR="00F86C42" w:rsidRPr="006B7726" w:rsidRDefault="00EE41DD" w:rsidP="00334BC4">
            <w:pPr>
              <w:pStyle w:val="zSoquijdatQtePartieDef"/>
              <w:ind w:left="0"/>
              <w:rPr>
                <w:b/>
                <w:lang w:val="en-CA"/>
              </w:rPr>
            </w:pPr>
            <w:r>
              <w:rPr>
                <w:lang w:val="en-CA"/>
              </w:rPr>
              <w:t>a</w:t>
            </w:r>
            <w:r w:rsidR="00F8060B" w:rsidRPr="006B7726">
              <w:rPr>
                <w:lang w:val="en-CA"/>
              </w:rPr>
              <w:t>nd</w:t>
            </w:r>
          </w:p>
        </w:tc>
      </w:tr>
      <w:tr w:rsidR="00B760F7" w:rsidRPr="00BA1219" w14:paraId="7A769240" w14:textId="77777777">
        <w:tc>
          <w:tcPr>
            <w:tcW w:w="9505" w:type="dxa"/>
            <w:gridSpan w:val="7"/>
          </w:tcPr>
          <w:p w14:paraId="2646855A" w14:textId="77777777" w:rsidR="00610528" w:rsidRPr="006B7726" w:rsidRDefault="0096102C" w:rsidP="00334BC4">
            <w:pPr>
              <w:pStyle w:val="zSoquijdatQtePartieDef"/>
              <w:ind w:left="0"/>
              <w:rPr>
                <w:b/>
                <w:lang w:val="en-CA"/>
              </w:rPr>
            </w:pPr>
            <w:r w:rsidRPr="006B7726">
              <w:rPr>
                <w:b/>
                <w:lang w:val="en-CA"/>
              </w:rPr>
              <w:t>CHRIS EUSTACE</w:t>
            </w:r>
          </w:p>
        </w:tc>
      </w:tr>
      <w:tr w:rsidR="00B760F7" w:rsidRPr="00BA1219" w14:paraId="6CC7C3A4" w14:textId="77777777">
        <w:tc>
          <w:tcPr>
            <w:tcW w:w="9505" w:type="dxa"/>
            <w:gridSpan w:val="7"/>
          </w:tcPr>
          <w:p w14:paraId="31D5A92C" w14:textId="6D707987" w:rsidR="00610528" w:rsidRPr="00BA1219" w:rsidRDefault="0096102C" w:rsidP="00334BC4">
            <w:pPr>
              <w:pStyle w:val="zSoquijdatQtePartieDef"/>
              <w:ind w:left="0"/>
              <w:rPr>
                <w:lang w:val="en-CA"/>
              </w:rPr>
            </w:pPr>
            <w:r w:rsidRPr="00BA1219">
              <w:rPr>
                <w:lang w:val="en-CA"/>
              </w:rPr>
              <w:tab/>
            </w:r>
            <w:r w:rsidRPr="006B7726">
              <w:rPr>
                <w:lang w:val="en-CA"/>
              </w:rPr>
              <w:t>Interve</w:t>
            </w:r>
            <w:r w:rsidR="00F344F4" w:rsidRPr="00BA1219">
              <w:rPr>
                <w:lang w:val="en-CA"/>
              </w:rPr>
              <w:t>n</w:t>
            </w:r>
            <w:r w:rsidR="006831A0">
              <w:rPr>
                <w:lang w:val="en-CA"/>
              </w:rPr>
              <w:t>o</w:t>
            </w:r>
            <w:r w:rsidR="00F344F4" w:rsidRPr="00BA1219">
              <w:rPr>
                <w:lang w:val="en-CA"/>
              </w:rPr>
              <w:t>rs</w:t>
            </w:r>
          </w:p>
        </w:tc>
      </w:tr>
      <w:tr w:rsidR="00B760F7" w:rsidRPr="00BA1219" w14:paraId="68591BAE" w14:textId="77777777">
        <w:tc>
          <w:tcPr>
            <w:tcW w:w="9505" w:type="dxa"/>
            <w:gridSpan w:val="7"/>
          </w:tcPr>
          <w:p w14:paraId="46A94F6E" w14:textId="77777777" w:rsidR="00121A72" w:rsidRPr="00BA1219" w:rsidRDefault="0096102C" w:rsidP="00334BC4">
            <w:pPr>
              <w:ind w:left="14" w:right="-95"/>
              <w:rPr>
                <w:lang w:val="en-CA"/>
              </w:rPr>
            </w:pPr>
            <w:r w:rsidRPr="00BA1219">
              <w:rPr>
                <w:lang w:val="en-CA"/>
              </w:rPr>
              <w:t>______________________________________________________________________</w:t>
            </w:r>
          </w:p>
        </w:tc>
      </w:tr>
      <w:tr w:rsidR="00B760F7" w:rsidRPr="00BA1219" w14:paraId="1E7F0B48" w14:textId="77777777">
        <w:tc>
          <w:tcPr>
            <w:tcW w:w="9505" w:type="dxa"/>
            <w:gridSpan w:val="7"/>
          </w:tcPr>
          <w:p w14:paraId="3D87D18E" w14:textId="77777777" w:rsidR="00121A72" w:rsidRPr="00BA1219" w:rsidRDefault="00121A72" w:rsidP="00334BC4">
            <w:pPr>
              <w:jc w:val="center"/>
              <w:rPr>
                <w:lang w:val="en-CA"/>
              </w:rPr>
            </w:pPr>
          </w:p>
        </w:tc>
      </w:tr>
      <w:tr w:rsidR="00B760F7" w:rsidRPr="00BA1219" w14:paraId="6202FA0C" w14:textId="77777777">
        <w:tc>
          <w:tcPr>
            <w:tcW w:w="9505" w:type="dxa"/>
            <w:gridSpan w:val="7"/>
          </w:tcPr>
          <w:p w14:paraId="0AE082B4" w14:textId="52C158EA" w:rsidR="0033001F" w:rsidRPr="00BA1219" w:rsidRDefault="0096102C" w:rsidP="00334BC4">
            <w:pPr>
              <w:pStyle w:val="zSoquijlblTypeDocument"/>
              <w:rPr>
                <w:b/>
                <w:lang w:val="en-CA"/>
              </w:rPr>
            </w:pPr>
            <w:r w:rsidRPr="006B7726">
              <w:rPr>
                <w:b/>
                <w:lang w:val="en-CA"/>
              </w:rPr>
              <w:t>JU</w:t>
            </w:r>
            <w:r w:rsidR="00BB2D7E" w:rsidRPr="006B7726">
              <w:rPr>
                <w:b/>
                <w:lang w:val="en-CA"/>
              </w:rPr>
              <w:t>DG</w:t>
            </w:r>
            <w:r w:rsidRPr="006B7726">
              <w:rPr>
                <w:b/>
                <w:lang w:val="en-CA"/>
              </w:rPr>
              <w:t>MENT</w:t>
            </w:r>
          </w:p>
        </w:tc>
      </w:tr>
      <w:tr w:rsidR="00B760F7" w:rsidRPr="00BA1219" w14:paraId="4A999B30" w14:textId="77777777">
        <w:tc>
          <w:tcPr>
            <w:tcW w:w="9505" w:type="dxa"/>
            <w:gridSpan w:val="7"/>
          </w:tcPr>
          <w:p w14:paraId="273F8337" w14:textId="77777777" w:rsidR="00121A72" w:rsidRPr="00BA1219" w:rsidRDefault="0096102C" w:rsidP="00334BC4">
            <w:pPr>
              <w:ind w:left="14" w:right="-70"/>
              <w:rPr>
                <w:lang w:val="en-CA"/>
              </w:rPr>
            </w:pPr>
            <w:r w:rsidRPr="00BA1219">
              <w:rPr>
                <w:lang w:val="en-CA"/>
              </w:rPr>
              <w:t>______________________________________________________________________</w:t>
            </w:r>
          </w:p>
        </w:tc>
      </w:tr>
      <w:tr w:rsidR="00252356" w:rsidRPr="00252356" w14:paraId="0B2D7A68" w14:textId="77777777">
        <w:tc>
          <w:tcPr>
            <w:tcW w:w="9505" w:type="dxa"/>
            <w:gridSpan w:val="7"/>
          </w:tcPr>
          <w:p w14:paraId="0CD928E8" w14:textId="77777777" w:rsidR="00E872C4" w:rsidRPr="00252356" w:rsidRDefault="00E872C4" w:rsidP="00E872C4">
            <w:pPr>
              <w:jc w:val="center"/>
              <w:rPr>
                <w:b/>
                <w:bCs/>
                <w:smallCaps/>
                <w:sz w:val="22"/>
                <w:szCs w:val="22"/>
                <w:lang w:val="en-CA"/>
              </w:rPr>
            </w:pPr>
          </w:p>
          <w:p w14:paraId="61EE8367" w14:textId="77777777" w:rsidR="00121A72" w:rsidRPr="00252356" w:rsidRDefault="00E872C4" w:rsidP="00E872C4">
            <w:pPr>
              <w:jc w:val="center"/>
              <w:rPr>
                <w:b/>
                <w:bCs/>
                <w:smallCaps/>
                <w:sz w:val="22"/>
                <w:szCs w:val="22"/>
                <w:lang w:val="en-CA"/>
              </w:rPr>
            </w:pPr>
            <w:r w:rsidRPr="00252356">
              <w:rPr>
                <w:b/>
                <w:bCs/>
                <w:smallCaps/>
                <w:sz w:val="22"/>
                <w:szCs w:val="22"/>
                <w:lang w:val="en-CA"/>
              </w:rPr>
              <w:t>Table of Contents</w:t>
            </w:r>
          </w:p>
          <w:p w14:paraId="01E361D9" w14:textId="21B2C2F9" w:rsidR="00E872C4" w:rsidRPr="00252356" w:rsidRDefault="00E872C4" w:rsidP="00E872C4">
            <w:pPr>
              <w:jc w:val="center"/>
              <w:rPr>
                <w:b/>
                <w:bCs/>
                <w:smallCaps/>
                <w:sz w:val="22"/>
                <w:szCs w:val="22"/>
                <w:lang w:val="en-CA"/>
              </w:rPr>
            </w:pPr>
          </w:p>
        </w:tc>
      </w:tr>
    </w:tbl>
    <w:tbl>
      <w:tblPr>
        <w:tblStyle w:val="Grilledutableau"/>
        <w:tblW w:w="0" w:type="auto"/>
        <w:tblLook w:val="04A0" w:firstRow="1" w:lastRow="0" w:firstColumn="1" w:lastColumn="0" w:noHBand="0" w:noVBand="1"/>
      </w:tblPr>
      <w:tblGrid>
        <w:gridCol w:w="9362"/>
      </w:tblGrid>
      <w:tr w:rsidR="00252356" w:rsidRPr="00252356" w14:paraId="73D5E874" w14:textId="77777777" w:rsidTr="00B55EE6">
        <w:tc>
          <w:tcPr>
            <w:tcW w:w="0" w:type="auto"/>
            <w:tcBorders>
              <w:top w:val="nil"/>
              <w:left w:val="nil"/>
              <w:bottom w:val="nil"/>
              <w:right w:val="nil"/>
            </w:tcBorders>
          </w:tcPr>
          <w:p w14:paraId="6F94327D" w14:textId="5D23A258" w:rsidR="00E872C4" w:rsidRPr="00DB0E35" w:rsidRDefault="00E872C4" w:rsidP="00252356">
            <w:pPr>
              <w:pStyle w:val="TM4"/>
              <w:rPr>
                <w:lang w:val="en-CA"/>
              </w:rPr>
            </w:pPr>
          </w:p>
          <w:p w14:paraId="07C63277" w14:textId="1C7B4131" w:rsidR="00DC0E4B" w:rsidRPr="00DB0E35" w:rsidRDefault="00BB4F24" w:rsidP="00252356">
            <w:pPr>
              <w:pStyle w:val="TM4"/>
              <w:rPr>
                <w:lang w:val="en-CA"/>
              </w:rPr>
            </w:pPr>
            <w:r w:rsidRPr="00DB0E35">
              <w:rPr>
                <w:lang w:val="en-CA"/>
              </w:rPr>
              <w:t>BACKGROUND</w:t>
            </w:r>
            <w:r w:rsidR="0096102C" w:rsidRPr="00DB0E35">
              <w:rPr>
                <w:lang w:val="en-CA"/>
              </w:rPr>
              <w:tab/>
              <w:t>3</w:t>
            </w:r>
          </w:p>
          <w:p w14:paraId="598AA837" w14:textId="0529F039" w:rsidR="00DC0E4B" w:rsidRPr="00DB0E35" w:rsidRDefault="0096102C" w:rsidP="0032401E">
            <w:pPr>
              <w:pStyle w:val="TM1"/>
              <w:rPr>
                <w:lang w:val="en-CA"/>
              </w:rPr>
            </w:pPr>
            <w:r w:rsidRPr="00DB0E35">
              <w:rPr>
                <w:rStyle w:val="Hyperlien"/>
                <w:color w:val="auto"/>
                <w:u w:val="none"/>
                <w:lang w:val="en-CA"/>
              </w:rPr>
              <w:t>A.</w:t>
            </w:r>
            <w:r w:rsidRPr="00DB0E35">
              <w:rPr>
                <w:lang w:val="en-CA"/>
              </w:rPr>
              <w:tab/>
            </w:r>
            <w:r w:rsidR="00BB4F24" w:rsidRPr="00DB0E35">
              <w:rPr>
                <w:lang w:val="en-CA"/>
              </w:rPr>
              <w:t>The proceeding</w:t>
            </w:r>
            <w:r w:rsidR="00BE676D">
              <w:rPr>
                <w:lang w:val="en-CA"/>
              </w:rPr>
              <w:t>s</w:t>
            </w:r>
            <w:r w:rsidRPr="00DB0E35">
              <w:rPr>
                <w:lang w:val="en-CA"/>
              </w:rPr>
              <w:tab/>
              <w:t>3</w:t>
            </w:r>
          </w:p>
          <w:p w14:paraId="37642D88" w14:textId="4D0CF1A5" w:rsidR="00DC0E4B" w:rsidRPr="00252356" w:rsidRDefault="0096102C" w:rsidP="0032401E">
            <w:pPr>
              <w:pStyle w:val="TM1"/>
              <w:rPr>
                <w:lang w:val="en-CA"/>
              </w:rPr>
            </w:pPr>
            <w:r w:rsidRPr="00252356">
              <w:rPr>
                <w:rStyle w:val="Hyperlien"/>
                <w:color w:val="auto"/>
                <w:u w:val="none"/>
                <w:lang w:val="en-CA" w:eastAsia="fr-CA"/>
              </w:rPr>
              <w:t>B.</w:t>
            </w:r>
            <w:r w:rsidRPr="00252356">
              <w:rPr>
                <w:lang w:val="en-CA" w:eastAsia="fr-CA"/>
              </w:rPr>
              <w:tab/>
            </w:r>
            <w:r w:rsidR="00F8060B" w:rsidRPr="00252356">
              <w:rPr>
                <w:rStyle w:val="Hyperlien"/>
                <w:color w:val="auto"/>
                <w:u w:val="none"/>
                <w:lang w:val="en-CA" w:eastAsia="fr-CA"/>
              </w:rPr>
              <w:t>The applicants</w:t>
            </w:r>
            <w:r w:rsidRPr="00252356">
              <w:rPr>
                <w:lang w:val="en-CA"/>
              </w:rPr>
              <w:tab/>
              <w:t>5</w:t>
            </w:r>
          </w:p>
          <w:p w14:paraId="1933954C" w14:textId="70A51EF3" w:rsidR="00DC0E4B" w:rsidRPr="00252356" w:rsidRDefault="0096102C" w:rsidP="0032401E">
            <w:pPr>
              <w:pStyle w:val="TM1"/>
              <w:rPr>
                <w:lang w:val="en-CA"/>
              </w:rPr>
            </w:pPr>
            <w:r w:rsidRPr="00252356">
              <w:rPr>
                <w:rStyle w:val="Hyperlien"/>
                <w:color w:val="auto"/>
                <w:u w:val="none"/>
                <w:lang w:val="en-CA" w:eastAsia="fr-CA"/>
              </w:rPr>
              <w:t>C.</w:t>
            </w:r>
            <w:r w:rsidRPr="00252356">
              <w:rPr>
                <w:lang w:val="en-CA" w:eastAsia="fr-CA"/>
              </w:rPr>
              <w:tab/>
            </w:r>
            <w:r w:rsidR="00F8060B" w:rsidRPr="00252356">
              <w:rPr>
                <w:rStyle w:val="Hyperlien"/>
                <w:color w:val="auto"/>
                <w:u w:val="none"/>
                <w:lang w:val="en-CA" w:eastAsia="fr-CA"/>
              </w:rPr>
              <w:t>Bill 40</w:t>
            </w:r>
            <w:r w:rsidRPr="00252356">
              <w:rPr>
                <w:lang w:val="en-CA"/>
              </w:rPr>
              <w:tab/>
            </w:r>
            <w:r w:rsidR="00BB4F24" w:rsidRPr="00252356">
              <w:rPr>
                <w:lang w:val="en-CA"/>
              </w:rPr>
              <w:t>6</w:t>
            </w:r>
          </w:p>
          <w:p w14:paraId="6AF344BF" w14:textId="78C344C1" w:rsidR="00DC0E4B" w:rsidRPr="00252356" w:rsidRDefault="0096102C" w:rsidP="0032401E">
            <w:pPr>
              <w:pStyle w:val="TM1"/>
              <w:rPr>
                <w:lang w:val="en-CA"/>
              </w:rPr>
            </w:pPr>
            <w:r w:rsidRPr="00252356">
              <w:rPr>
                <w:rStyle w:val="Hyperlien"/>
                <w:color w:val="auto"/>
                <w:u w:val="none"/>
                <w:lang w:val="en-CA" w:eastAsia="fr-CA"/>
              </w:rPr>
              <w:t>D.</w:t>
            </w:r>
            <w:r w:rsidRPr="00252356">
              <w:rPr>
                <w:lang w:val="en-CA" w:eastAsia="fr-CA"/>
              </w:rPr>
              <w:tab/>
            </w:r>
            <w:r w:rsidR="00F8060B" w:rsidRPr="00252356">
              <w:rPr>
                <w:rStyle w:val="Hyperlien"/>
                <w:color w:val="auto"/>
                <w:u w:val="none"/>
                <w:lang w:val="en-CA" w:eastAsia="fr-CA"/>
              </w:rPr>
              <w:t>Section 23 and the right of exclusive management and control over educational institutions.</w:t>
            </w:r>
            <w:r w:rsidRPr="00252356">
              <w:rPr>
                <w:lang w:val="en-CA"/>
              </w:rPr>
              <w:tab/>
              <w:t>10</w:t>
            </w:r>
          </w:p>
          <w:p w14:paraId="11A13FD0" w14:textId="06B9E05A" w:rsidR="00DC0E4B" w:rsidRPr="00252356" w:rsidRDefault="00AA5C05" w:rsidP="00252356">
            <w:pPr>
              <w:pStyle w:val="TM4"/>
              <w:rPr>
                <w:sz w:val="22"/>
                <w:lang w:val="en-CA"/>
              </w:rPr>
            </w:pPr>
            <w:r w:rsidRPr="00252356">
              <w:rPr>
                <w:rStyle w:val="Hyperlien"/>
                <w:color w:val="auto"/>
                <w:u w:val="none"/>
                <w:lang w:val="en-CA"/>
              </w:rPr>
              <w:t>ISSUES</w:t>
            </w:r>
            <w:r w:rsidR="0096102C" w:rsidRPr="00252356">
              <w:rPr>
                <w:lang w:val="en-CA"/>
              </w:rPr>
              <w:tab/>
              <w:t>13</w:t>
            </w:r>
          </w:p>
          <w:p w14:paraId="7219BBBE" w14:textId="288F5CD5" w:rsidR="00DC0E4B" w:rsidRPr="00252356" w:rsidRDefault="00AA5C05" w:rsidP="00252356">
            <w:pPr>
              <w:pStyle w:val="TM4"/>
              <w:rPr>
                <w:sz w:val="22"/>
                <w:lang w:val="en-CA"/>
              </w:rPr>
            </w:pPr>
            <w:r w:rsidRPr="00252356">
              <w:rPr>
                <w:rStyle w:val="Hyperlien"/>
                <w:color w:val="auto"/>
                <w:u w:val="none"/>
                <w:lang w:val="en-CA"/>
              </w:rPr>
              <w:t>ANALYSIS</w:t>
            </w:r>
            <w:r w:rsidR="0096102C" w:rsidRPr="00252356">
              <w:rPr>
                <w:lang w:val="en-CA"/>
              </w:rPr>
              <w:tab/>
              <w:t>1</w:t>
            </w:r>
            <w:r w:rsidR="00BB4F24" w:rsidRPr="00252356">
              <w:rPr>
                <w:lang w:val="en-CA"/>
              </w:rPr>
              <w:t>3</w:t>
            </w:r>
          </w:p>
          <w:p w14:paraId="6044562B" w14:textId="07F345FA" w:rsidR="00DC0E4B" w:rsidRPr="00252356" w:rsidRDefault="0096102C" w:rsidP="0032401E">
            <w:pPr>
              <w:pStyle w:val="TM1"/>
              <w:rPr>
                <w:lang w:val="en-CA"/>
              </w:rPr>
            </w:pPr>
            <w:r w:rsidRPr="00252356">
              <w:rPr>
                <w:rStyle w:val="Hyperlien"/>
                <w:color w:val="auto"/>
                <w:u w:val="none"/>
                <w:lang w:val="en-CA"/>
              </w:rPr>
              <w:t>A.</w:t>
            </w:r>
            <w:r w:rsidRPr="00252356">
              <w:rPr>
                <w:lang w:val="en-CA"/>
              </w:rPr>
              <w:tab/>
            </w:r>
            <w:r w:rsidR="00AA5C05" w:rsidRPr="00252356">
              <w:rPr>
                <w:rStyle w:val="Hyperlien"/>
                <w:color w:val="auto"/>
                <w:u w:val="none"/>
                <w:lang w:val="en-CA"/>
              </w:rPr>
              <w:t>Infringement of rights</w:t>
            </w:r>
            <w:r w:rsidRPr="00252356">
              <w:rPr>
                <w:lang w:val="en-CA"/>
              </w:rPr>
              <w:tab/>
              <w:t>1</w:t>
            </w:r>
            <w:r w:rsidR="00BB4F24" w:rsidRPr="00252356">
              <w:rPr>
                <w:lang w:val="en-CA"/>
              </w:rPr>
              <w:t>3</w:t>
            </w:r>
          </w:p>
          <w:p w14:paraId="38AA8A0F" w14:textId="5BBB794D" w:rsidR="00DC0E4B" w:rsidRPr="00B000BF" w:rsidRDefault="00C32D80" w:rsidP="00B000BF">
            <w:pPr>
              <w:pStyle w:val="TM2"/>
            </w:pPr>
            <w:r w:rsidRPr="00B000BF">
              <w:rPr>
                <w:rStyle w:val="Hyperlien"/>
                <w:color w:val="auto"/>
                <w:u w:val="none"/>
                <w:lang w:val="en-CA"/>
              </w:rPr>
              <w:t>(a)</w:t>
            </w:r>
            <w:r w:rsidR="0096102C" w:rsidRPr="00B000BF">
              <w:tab/>
            </w:r>
            <w:r w:rsidR="00AA5C05" w:rsidRPr="00B000BF">
              <w:rPr>
                <w:rStyle w:val="Hyperlien"/>
                <w:color w:val="auto"/>
                <w:u w:val="none"/>
                <w:lang w:val="en-CA"/>
              </w:rPr>
              <w:t xml:space="preserve">The purpose </w:t>
            </w:r>
            <w:r w:rsidR="00B000BF" w:rsidRPr="00B000BF">
              <w:rPr>
                <w:rStyle w:val="Hyperlien"/>
                <w:color w:val="auto"/>
                <w:u w:val="none"/>
                <w:lang w:val="en-CA"/>
              </w:rPr>
              <w:t xml:space="preserve">and interpretation </w:t>
            </w:r>
            <w:r w:rsidR="00AA5C05" w:rsidRPr="00B000BF">
              <w:rPr>
                <w:rStyle w:val="Hyperlien"/>
                <w:color w:val="auto"/>
                <w:u w:val="none"/>
                <w:lang w:val="en-CA"/>
              </w:rPr>
              <w:t xml:space="preserve">of section 23 of the </w:t>
            </w:r>
            <w:r w:rsidR="00AA5C05" w:rsidRPr="00B000BF">
              <w:rPr>
                <w:rStyle w:val="Hyperlien"/>
                <w:i/>
                <w:color w:val="auto"/>
                <w:u w:val="none"/>
                <w:lang w:val="en-CA"/>
              </w:rPr>
              <w:t>Charter</w:t>
            </w:r>
            <w:r w:rsidR="0096102C" w:rsidRPr="00B000BF">
              <w:tab/>
              <w:t>1</w:t>
            </w:r>
            <w:r w:rsidR="00BB4F24" w:rsidRPr="00B000BF">
              <w:t>3</w:t>
            </w:r>
          </w:p>
          <w:p w14:paraId="017F4482" w14:textId="784D4CA2" w:rsidR="00DC0E4B" w:rsidRPr="00C75E40" w:rsidRDefault="00C32D80" w:rsidP="00B000BF">
            <w:pPr>
              <w:pStyle w:val="TM2"/>
            </w:pPr>
            <w:r w:rsidRPr="00C75E40">
              <w:rPr>
                <w:rStyle w:val="Hyperlien"/>
                <w:color w:val="auto"/>
                <w:u w:val="none"/>
                <w:lang w:val="en-CA"/>
              </w:rPr>
              <w:t>(b)</w:t>
            </w:r>
            <w:r w:rsidR="0096102C" w:rsidRPr="00C75E40">
              <w:tab/>
            </w:r>
            <w:r w:rsidR="00DB71EC" w:rsidRPr="009602FF">
              <w:rPr>
                <w:rStyle w:val="Hyperlien"/>
                <w:color w:val="auto"/>
                <w:u w:val="none"/>
                <w:lang w:val="en-CA"/>
              </w:rPr>
              <w:t xml:space="preserve">Who are </w:t>
            </w:r>
            <w:r w:rsidR="009A483D" w:rsidRPr="009602FF">
              <w:rPr>
                <w:rStyle w:val="Hyperlien"/>
                <w:color w:val="auto"/>
                <w:u w:val="none"/>
                <w:lang w:val="en-CA"/>
              </w:rPr>
              <w:t xml:space="preserve">rights holders under </w:t>
            </w:r>
            <w:r w:rsidR="00C75E40" w:rsidRPr="009602FF">
              <w:rPr>
                <w:rStyle w:val="Hyperlien"/>
                <w:color w:val="auto"/>
                <w:u w:val="none"/>
                <w:lang w:val="en-CA"/>
              </w:rPr>
              <w:t>section 23</w:t>
            </w:r>
            <w:r w:rsidR="00DB71EC" w:rsidRPr="00C75E40">
              <w:rPr>
                <w:rStyle w:val="Hyperlien"/>
                <w:color w:val="auto"/>
                <w:u w:val="none"/>
                <w:lang w:val="en-CA"/>
              </w:rPr>
              <w:t>?</w:t>
            </w:r>
            <w:r w:rsidR="0096102C" w:rsidRPr="00C75E40">
              <w:tab/>
            </w:r>
            <w:r w:rsidR="00C75E40">
              <w:t>19</w:t>
            </w:r>
          </w:p>
          <w:p w14:paraId="0A73E7A7" w14:textId="398F2363" w:rsidR="00DC0E4B" w:rsidRPr="00252356" w:rsidRDefault="00C32D80" w:rsidP="00B000BF">
            <w:pPr>
              <w:pStyle w:val="TM2"/>
            </w:pPr>
            <w:r w:rsidRPr="00252356">
              <w:rPr>
                <w:rStyle w:val="Hyperlien"/>
                <w:color w:val="auto"/>
                <w:u w:val="none"/>
                <w:lang w:val="en-CA"/>
              </w:rPr>
              <w:t>(c)</w:t>
            </w:r>
            <w:r w:rsidR="0096102C" w:rsidRPr="00252356">
              <w:tab/>
            </w:r>
            <w:r w:rsidR="00DB71EC" w:rsidRPr="00252356">
              <w:rPr>
                <w:rStyle w:val="Hyperlien"/>
                <w:color w:val="auto"/>
                <w:u w:val="none"/>
                <w:lang w:val="en-CA"/>
              </w:rPr>
              <w:t>The collective nature of the rights conferred by section 23</w:t>
            </w:r>
            <w:r w:rsidR="0096102C" w:rsidRPr="00252356">
              <w:tab/>
              <w:t>2</w:t>
            </w:r>
            <w:r w:rsidR="00FC791B" w:rsidRPr="00252356">
              <w:t>0</w:t>
            </w:r>
          </w:p>
          <w:p w14:paraId="1B8A9C88" w14:textId="203CA6BC" w:rsidR="00DC0E4B" w:rsidRPr="00252356" w:rsidRDefault="00C32D80" w:rsidP="00B000BF">
            <w:pPr>
              <w:pStyle w:val="TM2"/>
            </w:pPr>
            <w:r w:rsidRPr="00252356">
              <w:rPr>
                <w:rStyle w:val="Hyperlien"/>
                <w:color w:val="auto"/>
                <w:u w:val="none"/>
                <w:lang w:val="en-CA"/>
              </w:rPr>
              <w:t>(d)</w:t>
            </w:r>
            <w:r w:rsidR="00464ED6" w:rsidRPr="00252356">
              <w:t xml:space="preserve"> </w:t>
            </w:r>
            <w:r w:rsidR="00464ED6" w:rsidRPr="00252356">
              <w:tab/>
            </w:r>
            <w:r w:rsidR="00FC791B" w:rsidRPr="00C75E40">
              <w:rPr>
                <w:rStyle w:val="Hyperlien"/>
                <w:color w:val="auto"/>
                <w:u w:val="none"/>
                <w:lang w:val="en-CA"/>
              </w:rPr>
              <w:t>The h</w:t>
            </w:r>
            <w:r w:rsidR="000074E4" w:rsidRPr="00C75E40">
              <w:rPr>
                <w:rStyle w:val="Hyperlien"/>
                <w:color w:val="auto"/>
                <w:u w:val="none"/>
                <w:lang w:val="en-CA"/>
              </w:rPr>
              <w:t>istorical</w:t>
            </w:r>
            <w:r w:rsidR="000074E4" w:rsidRPr="00252356">
              <w:rPr>
                <w:rStyle w:val="Hyperlien"/>
                <w:color w:val="auto"/>
                <w:u w:val="none"/>
                <w:lang w:val="en-CA"/>
              </w:rPr>
              <w:t xml:space="preserve"> context</w:t>
            </w:r>
            <w:r w:rsidR="0096102C" w:rsidRPr="00252356">
              <w:tab/>
              <w:t>2</w:t>
            </w:r>
            <w:r w:rsidR="009602FF">
              <w:t>6</w:t>
            </w:r>
          </w:p>
          <w:p w14:paraId="2FA3C87D" w14:textId="6CD45B75" w:rsidR="00DC0E4B" w:rsidRPr="00252356" w:rsidRDefault="00DA2BDA" w:rsidP="00B000BF">
            <w:pPr>
              <w:pStyle w:val="TM2"/>
            </w:pPr>
            <w:r>
              <w:rPr>
                <w:rStyle w:val="Hyperlien"/>
                <w:color w:val="auto"/>
                <w:u w:val="none"/>
                <w:lang w:val="en-CA"/>
              </w:rPr>
              <w:t>(</w:t>
            </w:r>
            <w:r w:rsidR="0096102C" w:rsidRPr="00252356">
              <w:rPr>
                <w:rStyle w:val="Hyperlien"/>
                <w:color w:val="auto"/>
                <w:u w:val="none"/>
                <w:lang w:val="en-CA"/>
              </w:rPr>
              <w:t>e)</w:t>
            </w:r>
            <w:r w:rsidR="00085604" w:rsidRPr="00252356">
              <w:t xml:space="preserve"> </w:t>
            </w:r>
            <w:r w:rsidR="00085604" w:rsidRPr="00252356">
              <w:tab/>
            </w:r>
            <w:r w:rsidR="00C32D80" w:rsidRPr="00252356">
              <w:rPr>
                <w:rStyle w:val="Hyperlien"/>
                <w:color w:val="auto"/>
                <w:u w:val="none"/>
                <w:lang w:val="en-CA"/>
              </w:rPr>
              <w:t>The geographical context</w:t>
            </w:r>
            <w:r w:rsidR="0096102C" w:rsidRPr="00252356">
              <w:tab/>
              <w:t>4</w:t>
            </w:r>
            <w:r w:rsidR="009602FF">
              <w:t>6</w:t>
            </w:r>
          </w:p>
          <w:p w14:paraId="394F32A6" w14:textId="3F59E7FF" w:rsidR="00DC0E4B" w:rsidRPr="00252356" w:rsidRDefault="00DA2BDA" w:rsidP="00B000BF">
            <w:pPr>
              <w:pStyle w:val="TM2"/>
            </w:pPr>
            <w:r>
              <w:rPr>
                <w:rStyle w:val="Hyperlien"/>
                <w:color w:val="auto"/>
                <w:u w:val="none"/>
                <w:lang w:val="en-CA"/>
              </w:rPr>
              <w:t>(</w:t>
            </w:r>
            <w:r w:rsidR="0096102C" w:rsidRPr="00252356">
              <w:rPr>
                <w:rStyle w:val="Hyperlien"/>
                <w:color w:val="auto"/>
                <w:u w:val="none"/>
                <w:lang w:val="en-CA"/>
              </w:rPr>
              <w:t>f)</w:t>
            </w:r>
            <w:r w:rsidR="00085604" w:rsidRPr="00252356">
              <w:t xml:space="preserve"> </w:t>
            </w:r>
            <w:r w:rsidR="00085604" w:rsidRPr="00252356">
              <w:tab/>
            </w:r>
            <w:r w:rsidR="00C32D80" w:rsidRPr="00252356">
              <w:rPr>
                <w:rStyle w:val="Hyperlien"/>
                <w:color w:val="auto"/>
                <w:u w:val="none"/>
                <w:lang w:val="en-CA"/>
              </w:rPr>
              <w:t>The management and control of educational institutions by the minority</w:t>
            </w:r>
            <w:r w:rsidR="0096102C" w:rsidRPr="00252356">
              <w:tab/>
            </w:r>
            <w:r w:rsidR="009602FF">
              <w:t>49</w:t>
            </w:r>
          </w:p>
          <w:p w14:paraId="2E56D439" w14:textId="277737A5" w:rsidR="00DC0E4B" w:rsidRPr="00DB0E35" w:rsidRDefault="0096102C">
            <w:pPr>
              <w:pStyle w:val="TM3"/>
              <w:rPr>
                <w:sz w:val="22"/>
                <w:lang w:val="en-CA"/>
              </w:rPr>
            </w:pPr>
            <w:r w:rsidRPr="00DB0E35">
              <w:rPr>
                <w:rStyle w:val="Hyperlien"/>
                <w:iCs/>
                <w:color w:val="auto"/>
                <w:u w:val="none"/>
                <w:lang w:val="en-CA"/>
              </w:rPr>
              <w:t>i.</w:t>
            </w:r>
            <w:r w:rsidRPr="00DB0E35">
              <w:rPr>
                <w:iCs/>
                <w:sz w:val="22"/>
                <w:lang w:val="en-CA"/>
              </w:rPr>
              <w:tab/>
            </w:r>
            <w:r w:rsidR="009602FF">
              <w:rPr>
                <w:iCs/>
                <w:sz w:val="22"/>
                <w:lang w:val="en-CA"/>
              </w:rPr>
              <w:t>E</w:t>
            </w:r>
            <w:r w:rsidR="00C32D80" w:rsidRPr="00DB0E35">
              <w:rPr>
                <w:rStyle w:val="Hyperlien"/>
                <w:color w:val="auto"/>
                <w:u w:val="none"/>
                <w:lang w:val="en-CA"/>
              </w:rPr>
              <w:t>ligibility requirements</w:t>
            </w:r>
            <w:r w:rsidRPr="00DB0E35">
              <w:rPr>
                <w:lang w:val="en-CA"/>
              </w:rPr>
              <w:tab/>
              <w:t>5</w:t>
            </w:r>
            <w:r w:rsidR="009602FF">
              <w:rPr>
                <w:lang w:val="en-CA"/>
              </w:rPr>
              <w:t>1</w:t>
            </w:r>
          </w:p>
          <w:p w14:paraId="54185CA2" w14:textId="68EDAA07" w:rsidR="00DC0E4B" w:rsidRPr="00252356" w:rsidRDefault="0096102C">
            <w:pPr>
              <w:pStyle w:val="TM3"/>
              <w:rPr>
                <w:sz w:val="22"/>
                <w:lang w:val="en-CA"/>
              </w:rPr>
            </w:pPr>
            <w:r w:rsidRPr="00252356">
              <w:rPr>
                <w:rStyle w:val="Hyperlien"/>
                <w:iCs/>
                <w:color w:val="auto"/>
                <w:u w:val="none"/>
                <w:lang w:val="en-CA"/>
              </w:rPr>
              <w:t>ii.</w:t>
            </w:r>
            <w:r w:rsidRPr="00252356">
              <w:rPr>
                <w:iCs/>
                <w:sz w:val="22"/>
                <w:lang w:val="en-CA"/>
              </w:rPr>
              <w:tab/>
            </w:r>
            <w:r w:rsidR="0032401E">
              <w:rPr>
                <w:iCs/>
                <w:sz w:val="22"/>
                <w:lang w:val="en-CA"/>
              </w:rPr>
              <w:t>Lack of remuneration for m</w:t>
            </w:r>
            <w:r w:rsidR="00FC791B" w:rsidRPr="00252356">
              <w:rPr>
                <w:rStyle w:val="Hyperlien"/>
                <w:color w:val="auto"/>
                <w:u w:val="none"/>
                <w:lang w:val="en-CA"/>
              </w:rPr>
              <w:t>embers of board of directors</w:t>
            </w:r>
            <w:r w:rsidRPr="00252356">
              <w:rPr>
                <w:lang w:val="en-CA"/>
              </w:rPr>
              <w:tab/>
            </w:r>
            <w:r w:rsidR="00FC791B" w:rsidRPr="00252356">
              <w:rPr>
                <w:lang w:val="en-CA"/>
              </w:rPr>
              <w:t>6</w:t>
            </w:r>
            <w:r w:rsidR="009602FF">
              <w:rPr>
                <w:lang w:val="en-CA"/>
              </w:rPr>
              <w:t>2</w:t>
            </w:r>
          </w:p>
          <w:p w14:paraId="45A68918" w14:textId="133A72F4" w:rsidR="00DC0E4B" w:rsidRPr="00252356" w:rsidRDefault="0096102C">
            <w:pPr>
              <w:pStyle w:val="TM3"/>
              <w:rPr>
                <w:sz w:val="22"/>
                <w:lang w:val="en-CA"/>
              </w:rPr>
            </w:pPr>
            <w:r w:rsidRPr="00252356">
              <w:rPr>
                <w:rStyle w:val="Hyperlien"/>
                <w:iCs/>
                <w:color w:val="auto"/>
                <w:u w:val="none"/>
                <w:lang w:val="en-CA"/>
              </w:rPr>
              <w:t>iii.</w:t>
            </w:r>
            <w:r w:rsidRPr="00252356">
              <w:rPr>
                <w:iCs/>
                <w:sz w:val="22"/>
                <w:lang w:val="en-CA"/>
              </w:rPr>
              <w:tab/>
            </w:r>
            <w:r w:rsidR="00FC791B" w:rsidRPr="00252356">
              <w:rPr>
                <w:iCs/>
                <w:lang w:val="en-CA"/>
              </w:rPr>
              <w:t>I</w:t>
            </w:r>
            <w:r w:rsidR="00FC791B" w:rsidRPr="00252356">
              <w:rPr>
                <w:rStyle w:val="Hyperlien"/>
                <w:color w:val="auto"/>
                <w:u w:val="none"/>
                <w:lang w:val="en-CA"/>
              </w:rPr>
              <w:t>neligibility to sit as chair or vice-chair o</w:t>
            </w:r>
            <w:r w:rsidR="0032401E">
              <w:rPr>
                <w:rStyle w:val="Hyperlien"/>
                <w:color w:val="auto"/>
                <w:u w:val="none"/>
                <w:lang w:val="en-CA"/>
              </w:rPr>
              <w:t>f</w:t>
            </w:r>
            <w:r w:rsidR="00FC791B" w:rsidRPr="00252356">
              <w:rPr>
                <w:rStyle w:val="Hyperlien"/>
                <w:color w:val="auto"/>
                <w:u w:val="none"/>
                <w:lang w:val="en-CA"/>
              </w:rPr>
              <w:t xml:space="preserve"> board of directors   </w:t>
            </w:r>
            <w:r w:rsidRPr="00252356">
              <w:rPr>
                <w:lang w:val="en-CA"/>
              </w:rPr>
              <w:tab/>
              <w:t>6</w:t>
            </w:r>
            <w:r w:rsidR="009602FF">
              <w:rPr>
                <w:lang w:val="en-CA"/>
              </w:rPr>
              <w:t>3</w:t>
            </w:r>
          </w:p>
          <w:p w14:paraId="20E63A2F" w14:textId="1BBD2850" w:rsidR="00DC0E4B" w:rsidRPr="00252356" w:rsidRDefault="0096102C">
            <w:pPr>
              <w:pStyle w:val="TM3"/>
              <w:rPr>
                <w:sz w:val="22"/>
                <w:lang w:val="en-CA"/>
              </w:rPr>
            </w:pPr>
            <w:r w:rsidRPr="00252356">
              <w:rPr>
                <w:rStyle w:val="Hyperlien"/>
                <w:iCs/>
                <w:color w:val="auto"/>
                <w:u w:val="none"/>
                <w:lang w:val="en-CA"/>
              </w:rPr>
              <w:t>iv.</w:t>
            </w:r>
            <w:r w:rsidRPr="00252356">
              <w:rPr>
                <w:iCs/>
                <w:sz w:val="22"/>
                <w:lang w:val="en-CA"/>
              </w:rPr>
              <w:tab/>
            </w:r>
            <w:r w:rsidR="00FC791B" w:rsidRPr="00252356">
              <w:rPr>
                <w:rStyle w:val="Hyperlien"/>
                <w:color w:val="auto"/>
                <w:u w:val="none"/>
                <w:lang w:val="en-CA"/>
              </w:rPr>
              <w:t xml:space="preserve">Presence of school staff as unelected representatives  </w:t>
            </w:r>
            <w:r w:rsidRPr="00252356">
              <w:rPr>
                <w:lang w:val="en-CA"/>
              </w:rPr>
              <w:tab/>
              <w:t>6</w:t>
            </w:r>
            <w:r w:rsidR="009602FF">
              <w:rPr>
                <w:lang w:val="en-CA"/>
              </w:rPr>
              <w:t>4</w:t>
            </w:r>
          </w:p>
          <w:p w14:paraId="3B52D618" w14:textId="626B61A2" w:rsidR="00DC0E4B" w:rsidRPr="00252356" w:rsidRDefault="0096102C">
            <w:pPr>
              <w:pStyle w:val="TM3"/>
              <w:rPr>
                <w:sz w:val="22"/>
                <w:lang w:val="en-CA"/>
              </w:rPr>
            </w:pPr>
            <w:r w:rsidRPr="00252356">
              <w:rPr>
                <w:rStyle w:val="Hyperlien"/>
                <w:iCs/>
                <w:color w:val="auto"/>
                <w:u w:val="none"/>
                <w:lang w:val="en-CA"/>
              </w:rPr>
              <w:t>v.</w:t>
            </w:r>
            <w:r w:rsidRPr="00252356">
              <w:rPr>
                <w:iCs/>
                <w:sz w:val="22"/>
                <w:lang w:val="en-CA"/>
              </w:rPr>
              <w:tab/>
            </w:r>
            <w:r w:rsidR="00FC791B" w:rsidRPr="00252356">
              <w:rPr>
                <w:rStyle w:val="Hyperlien"/>
                <w:color w:val="auto"/>
                <w:u w:val="none"/>
                <w:lang w:val="en-CA"/>
              </w:rPr>
              <w:t>R</w:t>
            </w:r>
            <w:r w:rsidR="00BE6DAE" w:rsidRPr="00252356">
              <w:rPr>
                <w:rStyle w:val="Hyperlien"/>
                <w:color w:val="auto"/>
                <w:u w:val="none"/>
                <w:lang w:val="en-CA"/>
              </w:rPr>
              <w:t>o</w:t>
            </w:r>
            <w:r w:rsidR="00FC791B" w:rsidRPr="00252356">
              <w:rPr>
                <w:rStyle w:val="Hyperlien"/>
                <w:color w:val="auto"/>
                <w:u w:val="none"/>
                <w:lang w:val="en-CA"/>
              </w:rPr>
              <w:t>le of spokesperson</w:t>
            </w:r>
            <w:r w:rsidRPr="00252356">
              <w:rPr>
                <w:lang w:val="en-CA"/>
              </w:rPr>
              <w:tab/>
              <w:t>6</w:t>
            </w:r>
            <w:r w:rsidR="009602FF">
              <w:rPr>
                <w:lang w:val="en-CA"/>
              </w:rPr>
              <w:t>5</w:t>
            </w:r>
          </w:p>
          <w:p w14:paraId="73EC3952" w14:textId="4C45C7DF" w:rsidR="00DC0E4B" w:rsidRPr="00252356" w:rsidRDefault="0096102C">
            <w:pPr>
              <w:pStyle w:val="TM3"/>
              <w:rPr>
                <w:sz w:val="22"/>
                <w:lang w:val="en-CA"/>
              </w:rPr>
            </w:pPr>
            <w:r w:rsidRPr="00252356">
              <w:rPr>
                <w:rStyle w:val="Hyperlien"/>
                <w:iCs/>
                <w:color w:val="auto"/>
                <w:u w:val="none"/>
                <w:lang w:val="en-CA"/>
              </w:rPr>
              <w:t>vi.</w:t>
            </w:r>
            <w:r w:rsidRPr="00252356">
              <w:rPr>
                <w:iCs/>
                <w:sz w:val="22"/>
                <w:lang w:val="en-CA"/>
              </w:rPr>
              <w:tab/>
            </w:r>
            <w:r w:rsidR="00FC791B" w:rsidRPr="00252356">
              <w:rPr>
                <w:rStyle w:val="Hyperlien"/>
                <w:color w:val="auto"/>
                <w:u w:val="none"/>
                <w:lang w:val="en-CA"/>
              </w:rPr>
              <w:t>Loss of control over the commitment-to-student-success committee</w:t>
            </w:r>
            <w:r w:rsidRPr="00252356">
              <w:rPr>
                <w:lang w:val="en-CA"/>
              </w:rPr>
              <w:tab/>
            </w:r>
            <w:r w:rsidR="009602FF">
              <w:rPr>
                <w:lang w:val="en-CA"/>
              </w:rPr>
              <w:t>68</w:t>
            </w:r>
          </w:p>
          <w:p w14:paraId="4860007D" w14:textId="51B92BED" w:rsidR="00DC0E4B" w:rsidRPr="00252356" w:rsidRDefault="0096102C">
            <w:pPr>
              <w:pStyle w:val="TM3"/>
              <w:rPr>
                <w:sz w:val="22"/>
                <w:lang w:val="en-CA"/>
              </w:rPr>
            </w:pPr>
            <w:r w:rsidRPr="00252356">
              <w:rPr>
                <w:rStyle w:val="Hyperlien"/>
                <w:iCs/>
                <w:color w:val="auto"/>
                <w:u w:val="none"/>
                <w:lang w:val="en-CA"/>
              </w:rPr>
              <w:t>vii.</w:t>
            </w:r>
            <w:r w:rsidRPr="00252356">
              <w:rPr>
                <w:iCs/>
                <w:sz w:val="22"/>
                <w:lang w:val="en-CA"/>
              </w:rPr>
              <w:tab/>
            </w:r>
            <w:r w:rsidR="00A75C1C" w:rsidRPr="00252356">
              <w:rPr>
                <w:rStyle w:val="Hyperlien"/>
                <w:color w:val="auto"/>
                <w:u w:val="none"/>
                <w:lang w:val="en-CA"/>
              </w:rPr>
              <w:t>L</w:t>
            </w:r>
            <w:r w:rsidR="00FC791B" w:rsidRPr="00252356">
              <w:rPr>
                <w:rStyle w:val="Hyperlien"/>
                <w:color w:val="auto"/>
                <w:u w:val="none"/>
                <w:lang w:val="en-CA"/>
              </w:rPr>
              <w:t>oss of control over the use of facilities</w:t>
            </w:r>
            <w:r w:rsidRPr="00252356">
              <w:rPr>
                <w:lang w:val="en-CA"/>
              </w:rPr>
              <w:tab/>
              <w:t>7</w:t>
            </w:r>
            <w:r w:rsidR="009602FF">
              <w:rPr>
                <w:lang w:val="en-CA"/>
              </w:rPr>
              <w:t>3</w:t>
            </w:r>
          </w:p>
          <w:p w14:paraId="25FFA570" w14:textId="3B801092" w:rsidR="00DC0E4B" w:rsidRPr="00252356" w:rsidRDefault="0096102C">
            <w:pPr>
              <w:pStyle w:val="TM3"/>
              <w:rPr>
                <w:sz w:val="22"/>
                <w:lang w:val="en-CA"/>
              </w:rPr>
            </w:pPr>
            <w:r w:rsidRPr="00252356">
              <w:rPr>
                <w:rStyle w:val="Hyperlien"/>
                <w:iCs/>
                <w:color w:val="auto"/>
                <w:u w:val="none"/>
                <w:lang w:val="en-CA"/>
              </w:rPr>
              <w:t>viii.</w:t>
            </w:r>
            <w:r w:rsidRPr="00252356">
              <w:rPr>
                <w:iCs/>
                <w:sz w:val="22"/>
                <w:lang w:val="en-CA"/>
              </w:rPr>
              <w:tab/>
            </w:r>
            <w:r w:rsidR="00BE6DAE" w:rsidRPr="00252356">
              <w:rPr>
                <w:rStyle w:val="Hyperlien"/>
                <w:color w:val="auto"/>
                <w:u w:val="none"/>
                <w:lang w:val="en-CA"/>
              </w:rPr>
              <w:t xml:space="preserve">Transfer of powers from the school service centres to the governing boards by establishing budgetary rules   </w:t>
            </w:r>
            <w:r w:rsidRPr="00252356">
              <w:rPr>
                <w:lang w:val="en-CA"/>
              </w:rPr>
              <w:tab/>
            </w:r>
            <w:r w:rsidR="00BE6DAE" w:rsidRPr="00252356">
              <w:rPr>
                <w:lang w:val="en-CA"/>
              </w:rPr>
              <w:t>7</w:t>
            </w:r>
            <w:r w:rsidR="009602FF">
              <w:rPr>
                <w:lang w:val="en-CA"/>
              </w:rPr>
              <w:t>7</w:t>
            </w:r>
          </w:p>
          <w:p w14:paraId="5B7A6DFC" w14:textId="20197930" w:rsidR="00DC0E4B" w:rsidRPr="00252356" w:rsidRDefault="0096102C">
            <w:pPr>
              <w:pStyle w:val="TM3"/>
              <w:rPr>
                <w:sz w:val="22"/>
                <w:lang w:val="en-CA"/>
              </w:rPr>
            </w:pPr>
            <w:r w:rsidRPr="00252356">
              <w:rPr>
                <w:rStyle w:val="Hyperlien"/>
                <w:iCs/>
                <w:color w:val="auto"/>
                <w:u w:val="none"/>
                <w:lang w:val="en-CA"/>
              </w:rPr>
              <w:t>ix.</w:t>
            </w:r>
            <w:r w:rsidRPr="00252356">
              <w:rPr>
                <w:iCs/>
                <w:sz w:val="22"/>
                <w:lang w:val="en-CA"/>
              </w:rPr>
              <w:tab/>
            </w:r>
            <w:r w:rsidR="00BE6DAE" w:rsidRPr="00252356">
              <w:rPr>
                <w:rStyle w:val="Hyperlien"/>
                <w:color w:val="auto"/>
                <w:u w:val="none"/>
                <w:lang w:val="en-CA"/>
              </w:rPr>
              <w:t xml:space="preserve">Minister’s power to determine objectives or targets  </w:t>
            </w:r>
            <w:r w:rsidRPr="00252356">
              <w:rPr>
                <w:lang w:val="en-CA"/>
              </w:rPr>
              <w:tab/>
            </w:r>
            <w:r w:rsidR="00BE6DAE" w:rsidRPr="00252356">
              <w:rPr>
                <w:lang w:val="en-CA"/>
              </w:rPr>
              <w:t>8</w:t>
            </w:r>
            <w:r w:rsidR="009602FF">
              <w:rPr>
                <w:lang w:val="en-CA"/>
              </w:rPr>
              <w:t>1</w:t>
            </w:r>
          </w:p>
          <w:p w14:paraId="02DA5483" w14:textId="2E96B7AE" w:rsidR="00DC0E4B" w:rsidRPr="00DB0E35" w:rsidRDefault="0096102C">
            <w:pPr>
              <w:pStyle w:val="TM3"/>
              <w:rPr>
                <w:b/>
                <w:bCs/>
                <w:sz w:val="22"/>
                <w:lang w:val="en-CA"/>
              </w:rPr>
            </w:pPr>
            <w:r w:rsidRPr="00DB0E35">
              <w:rPr>
                <w:rStyle w:val="Hyperlien"/>
                <w:iCs/>
                <w:color w:val="auto"/>
                <w:u w:val="none"/>
                <w:lang w:val="en-CA"/>
              </w:rPr>
              <w:t>x.</w:t>
            </w:r>
            <w:r w:rsidRPr="00DB0E35">
              <w:rPr>
                <w:iCs/>
                <w:sz w:val="22"/>
                <w:lang w:val="en-CA"/>
              </w:rPr>
              <w:tab/>
            </w:r>
            <w:r w:rsidR="008D2EAC" w:rsidRPr="00DB0E35">
              <w:rPr>
                <w:rStyle w:val="Hyperlien"/>
                <w:color w:val="auto"/>
                <w:u w:val="none"/>
                <w:lang w:val="en-CA"/>
              </w:rPr>
              <w:t xml:space="preserve">Conclusion </w:t>
            </w:r>
            <w:r w:rsidR="00BE6DAE" w:rsidRPr="00DB0E35">
              <w:rPr>
                <w:rStyle w:val="Hyperlien"/>
                <w:color w:val="auto"/>
                <w:u w:val="none"/>
                <w:lang w:val="en-CA"/>
              </w:rPr>
              <w:t>on management and control</w:t>
            </w:r>
            <w:r w:rsidRPr="00DB0E35">
              <w:rPr>
                <w:b/>
                <w:bCs/>
                <w:lang w:val="en-CA"/>
              </w:rPr>
              <w:tab/>
              <w:t>8</w:t>
            </w:r>
            <w:r w:rsidR="009602FF">
              <w:rPr>
                <w:b/>
                <w:bCs/>
                <w:lang w:val="en-CA"/>
              </w:rPr>
              <w:t>3</w:t>
            </w:r>
          </w:p>
          <w:p w14:paraId="0CE8D1A7" w14:textId="7FA7BED4" w:rsidR="00DC0E4B" w:rsidRPr="00252356" w:rsidRDefault="00252356" w:rsidP="00B000BF">
            <w:pPr>
              <w:pStyle w:val="TM2"/>
            </w:pPr>
            <w:r w:rsidRPr="00252356">
              <w:rPr>
                <w:rStyle w:val="Hyperlien"/>
                <w:color w:val="auto"/>
                <w:u w:val="none"/>
                <w:lang w:val="en-CA"/>
              </w:rPr>
              <w:t>(</w:t>
            </w:r>
            <w:r w:rsidR="0096102C" w:rsidRPr="00252356">
              <w:rPr>
                <w:rStyle w:val="Hyperlien"/>
                <w:color w:val="auto"/>
                <w:u w:val="none"/>
                <w:lang w:val="en-CA"/>
              </w:rPr>
              <w:t>g)</w:t>
            </w:r>
            <w:r w:rsidR="00085604" w:rsidRPr="00252356">
              <w:t xml:space="preserve"> </w:t>
            </w:r>
            <w:r w:rsidR="00085604" w:rsidRPr="00252356">
              <w:tab/>
            </w:r>
            <w:r w:rsidRPr="00252356">
              <w:rPr>
                <w:rStyle w:val="Hyperlien"/>
                <w:color w:val="auto"/>
                <w:u w:val="none"/>
                <w:lang w:val="en-CA"/>
              </w:rPr>
              <w:t xml:space="preserve">Power of Minister to annul school board decisions  </w:t>
            </w:r>
            <w:r w:rsidR="0096102C" w:rsidRPr="00252356">
              <w:tab/>
              <w:t>8</w:t>
            </w:r>
            <w:r w:rsidR="009602FF">
              <w:t>4</w:t>
            </w:r>
          </w:p>
          <w:p w14:paraId="5ABF9FA7" w14:textId="6F6FE593" w:rsidR="00DC0E4B" w:rsidRPr="00252356" w:rsidRDefault="00252356" w:rsidP="00B000BF">
            <w:pPr>
              <w:pStyle w:val="TM2"/>
            </w:pPr>
            <w:r w:rsidRPr="00252356">
              <w:rPr>
                <w:rStyle w:val="Hyperlien"/>
                <w:color w:val="auto"/>
                <w:u w:val="none"/>
                <w:lang w:val="en-CA"/>
              </w:rPr>
              <w:t>(h)</w:t>
            </w:r>
            <w:r w:rsidR="00085604" w:rsidRPr="00252356">
              <w:t xml:space="preserve"> </w:t>
            </w:r>
            <w:r w:rsidR="00085604" w:rsidRPr="00252356">
              <w:tab/>
            </w:r>
            <w:r w:rsidRPr="00252356">
              <w:rPr>
                <w:rStyle w:val="Hyperlien"/>
                <w:color w:val="auto"/>
                <w:u w:val="none"/>
                <w:lang w:val="en-CA"/>
              </w:rPr>
              <w:t xml:space="preserve">Lack of status of rights holders in school elections  </w:t>
            </w:r>
            <w:r w:rsidR="0096102C" w:rsidRPr="00252356">
              <w:tab/>
              <w:t>8</w:t>
            </w:r>
            <w:r w:rsidR="0054069B">
              <w:t>5</w:t>
            </w:r>
          </w:p>
          <w:p w14:paraId="045CAC0B" w14:textId="078D1FE2" w:rsidR="00DC0E4B" w:rsidRPr="00252356" w:rsidRDefault="00252356" w:rsidP="00B000BF">
            <w:pPr>
              <w:pStyle w:val="TM2"/>
            </w:pPr>
            <w:r w:rsidRPr="00252356">
              <w:rPr>
                <w:rStyle w:val="Hyperlien"/>
                <w:color w:val="auto"/>
                <w:u w:val="none"/>
                <w:lang w:val="en-CA"/>
              </w:rPr>
              <w:lastRenderedPageBreak/>
              <w:t>(</w:t>
            </w:r>
            <w:r w:rsidR="0096102C" w:rsidRPr="00252356">
              <w:rPr>
                <w:rStyle w:val="Hyperlien"/>
                <w:color w:val="auto"/>
                <w:u w:val="none"/>
                <w:lang w:val="en-CA"/>
              </w:rPr>
              <w:t>i)</w:t>
            </w:r>
            <w:r w:rsidR="00085604" w:rsidRPr="00252356">
              <w:t xml:space="preserve"> </w:t>
            </w:r>
            <w:r w:rsidR="00085604" w:rsidRPr="00252356">
              <w:tab/>
            </w:r>
            <w:r w:rsidRPr="00252356">
              <w:rPr>
                <w:rStyle w:val="Hyperlien"/>
                <w:color w:val="auto"/>
                <w:u w:val="none"/>
                <w:lang w:val="en-CA"/>
              </w:rPr>
              <w:t xml:space="preserve">Obligation to take the minority’s concerns into account  </w:t>
            </w:r>
            <w:r w:rsidR="0096102C" w:rsidRPr="00252356">
              <w:tab/>
            </w:r>
            <w:r w:rsidRPr="00252356">
              <w:t>9</w:t>
            </w:r>
            <w:r w:rsidR="0054069B">
              <w:t>0</w:t>
            </w:r>
          </w:p>
          <w:p w14:paraId="7240D924" w14:textId="615B199A" w:rsidR="00DC0E4B" w:rsidRPr="00252356" w:rsidRDefault="00252356" w:rsidP="00B000BF">
            <w:pPr>
              <w:pStyle w:val="TM2"/>
            </w:pPr>
            <w:r w:rsidRPr="00252356">
              <w:rPr>
                <w:rStyle w:val="Hyperlien"/>
                <w:color w:val="auto"/>
                <w:u w:val="none"/>
                <w:lang w:val="en-CA"/>
              </w:rPr>
              <w:t>(</w:t>
            </w:r>
            <w:r w:rsidR="0096102C" w:rsidRPr="00252356">
              <w:rPr>
                <w:rStyle w:val="Hyperlien"/>
                <w:color w:val="auto"/>
                <w:u w:val="none"/>
                <w:lang w:val="en-CA"/>
              </w:rPr>
              <w:t>j)</w:t>
            </w:r>
            <w:r w:rsidR="00085604" w:rsidRPr="00252356">
              <w:t xml:space="preserve"> </w:t>
            </w:r>
            <w:r w:rsidR="00085604" w:rsidRPr="00252356">
              <w:tab/>
            </w:r>
            <w:r w:rsidR="0096102C" w:rsidRPr="00252356">
              <w:rPr>
                <w:rStyle w:val="Hyperlien"/>
                <w:color w:val="auto"/>
                <w:u w:val="none"/>
                <w:lang w:val="en-CA"/>
              </w:rPr>
              <w:t xml:space="preserve">Conclusion </w:t>
            </w:r>
            <w:r w:rsidRPr="00252356">
              <w:rPr>
                <w:rStyle w:val="Hyperlien"/>
                <w:color w:val="auto"/>
                <w:u w:val="none"/>
                <w:lang w:val="en-CA"/>
              </w:rPr>
              <w:t>on infringement</w:t>
            </w:r>
            <w:r w:rsidR="0096102C" w:rsidRPr="00252356">
              <w:tab/>
              <w:t>1</w:t>
            </w:r>
            <w:r w:rsidR="0054069B">
              <w:t>07</w:t>
            </w:r>
          </w:p>
          <w:p w14:paraId="3CD72E4B" w14:textId="3D76B995" w:rsidR="00DC0E4B" w:rsidRPr="00252356" w:rsidRDefault="0096102C" w:rsidP="0032401E">
            <w:pPr>
              <w:pStyle w:val="TM1"/>
              <w:rPr>
                <w:lang w:val="en-CA"/>
              </w:rPr>
            </w:pPr>
            <w:r w:rsidRPr="00252356">
              <w:rPr>
                <w:rStyle w:val="Hyperlien"/>
                <w:color w:val="auto"/>
                <w:u w:val="none"/>
                <w:lang w:val="en-CA"/>
              </w:rPr>
              <w:t>B.</w:t>
            </w:r>
            <w:r w:rsidRPr="00252356">
              <w:rPr>
                <w:lang w:val="en-CA"/>
              </w:rPr>
              <w:tab/>
            </w:r>
            <w:r w:rsidR="006A3D7B" w:rsidRPr="00252356">
              <w:rPr>
                <w:rStyle w:val="Hyperlien"/>
                <w:color w:val="auto"/>
                <w:u w:val="none"/>
                <w:lang w:val="en-CA"/>
              </w:rPr>
              <w:t xml:space="preserve">Justification </w:t>
            </w:r>
            <w:r w:rsidR="00252356" w:rsidRPr="00252356">
              <w:rPr>
                <w:rStyle w:val="Hyperlien"/>
                <w:color w:val="auto"/>
                <w:u w:val="none"/>
                <w:lang w:val="en-CA"/>
              </w:rPr>
              <w:t>of the infringement of rights</w:t>
            </w:r>
            <w:r w:rsidRPr="00252356">
              <w:rPr>
                <w:lang w:val="en-CA"/>
              </w:rPr>
              <w:tab/>
              <w:t>1</w:t>
            </w:r>
            <w:r w:rsidR="0054069B">
              <w:rPr>
                <w:lang w:val="en-CA"/>
              </w:rPr>
              <w:t>07</w:t>
            </w:r>
          </w:p>
          <w:p w14:paraId="789128C4" w14:textId="1DE285F3" w:rsidR="00DC0E4B" w:rsidRPr="00252356" w:rsidRDefault="0096102C" w:rsidP="0032401E">
            <w:pPr>
              <w:pStyle w:val="TM1"/>
              <w:rPr>
                <w:lang w:val="en-CA"/>
              </w:rPr>
            </w:pPr>
            <w:r w:rsidRPr="00252356">
              <w:rPr>
                <w:rStyle w:val="Hyperlien"/>
                <w:color w:val="auto"/>
                <w:u w:val="none"/>
                <w:lang w:val="en-CA"/>
              </w:rPr>
              <w:t>C.</w:t>
            </w:r>
            <w:r w:rsidRPr="00252356">
              <w:rPr>
                <w:lang w:val="en-CA"/>
              </w:rPr>
              <w:tab/>
            </w:r>
            <w:r w:rsidR="00252356" w:rsidRPr="0054069B">
              <w:rPr>
                <w:rStyle w:val="Hyperlien"/>
                <w:color w:val="auto"/>
                <w:u w:val="none"/>
                <w:lang w:val="en-CA"/>
              </w:rPr>
              <w:t>Remedies</w:t>
            </w:r>
            <w:r w:rsidRPr="00252356">
              <w:rPr>
                <w:lang w:val="en-CA"/>
              </w:rPr>
              <w:tab/>
              <w:t>1</w:t>
            </w:r>
            <w:r w:rsidR="0054069B">
              <w:rPr>
                <w:lang w:val="en-CA"/>
              </w:rPr>
              <w:t>13</w:t>
            </w:r>
          </w:p>
        </w:tc>
      </w:tr>
      <w:tr w:rsidR="00252356" w:rsidRPr="00BA1219" w14:paraId="6421BAFF" w14:textId="77777777" w:rsidTr="00B55EE6">
        <w:tc>
          <w:tcPr>
            <w:tcW w:w="0" w:type="auto"/>
            <w:tcBorders>
              <w:top w:val="nil"/>
              <w:left w:val="nil"/>
              <w:bottom w:val="nil"/>
              <w:right w:val="nil"/>
            </w:tcBorders>
          </w:tcPr>
          <w:p w14:paraId="562258C5" w14:textId="77777777" w:rsidR="00252356" w:rsidRDefault="00252356" w:rsidP="00252356">
            <w:pPr>
              <w:pStyle w:val="TM4"/>
              <w:rPr>
                <w:lang w:val="en-CA"/>
              </w:rPr>
            </w:pPr>
          </w:p>
          <w:p w14:paraId="3DCFB363" w14:textId="113FC2D6" w:rsidR="00527F5A" w:rsidRPr="00527F5A" w:rsidRDefault="00527F5A" w:rsidP="00527F5A">
            <w:pPr>
              <w:rPr>
                <w:lang w:val="en-CA"/>
              </w:rPr>
            </w:pPr>
          </w:p>
        </w:tc>
      </w:tr>
    </w:tbl>
    <w:p w14:paraId="6D51AD4E" w14:textId="5DCA7548" w:rsidR="006A3D7B" w:rsidRPr="00BA1219" w:rsidRDefault="00BB2D7E" w:rsidP="004F46BC">
      <w:pPr>
        <w:pStyle w:val="Titre4"/>
        <w:rPr>
          <w:lang w:val="en-CA"/>
        </w:rPr>
      </w:pPr>
      <w:r w:rsidRPr="00BA1219">
        <w:rPr>
          <w:lang w:val="en-CA"/>
        </w:rPr>
        <w:t>BACKGROUND</w:t>
      </w:r>
    </w:p>
    <w:p w14:paraId="717273CE" w14:textId="0E257A84" w:rsidR="006A3D7B" w:rsidRPr="00BA1219" w:rsidRDefault="00026B4F" w:rsidP="00AC655B">
      <w:pPr>
        <w:pStyle w:val="Titre1"/>
        <w:rPr>
          <w:lang w:val="en-CA"/>
        </w:rPr>
      </w:pPr>
      <w:r w:rsidRPr="00BA1219">
        <w:rPr>
          <w:lang w:val="en-CA"/>
        </w:rPr>
        <w:t>The proceeding</w:t>
      </w:r>
      <w:r w:rsidR="00BE676D">
        <w:rPr>
          <w:lang w:val="en-CA"/>
        </w:rPr>
        <w:t>s</w:t>
      </w:r>
    </w:p>
    <w:p w14:paraId="4ED1AA62" w14:textId="6F5CD7C0" w:rsidR="001F13D7" w:rsidRPr="00BA1219" w:rsidRDefault="00F8060B" w:rsidP="00A90607">
      <w:pPr>
        <w:pStyle w:val="Paragrsimple"/>
        <w:rPr>
          <w:lang w:val="en-CA"/>
        </w:rPr>
      </w:pPr>
      <w:r w:rsidRPr="00BA1219">
        <w:rPr>
          <w:lang w:val="en-CA" w:eastAsia="fr-CA"/>
        </w:rPr>
        <w:t>The applicants apply</w:t>
      </w:r>
      <w:r w:rsidR="00EE41DD">
        <w:rPr>
          <w:lang w:val="en-CA" w:eastAsia="fr-CA"/>
        </w:rPr>
        <w:t xml:space="preserve"> </w:t>
      </w:r>
      <w:r w:rsidRPr="00BA1219">
        <w:rPr>
          <w:lang w:val="en-CA" w:eastAsia="fr-CA"/>
        </w:rPr>
        <w:t xml:space="preserve">to the Superior Court </w:t>
      </w:r>
      <w:r w:rsidR="00DA157A">
        <w:rPr>
          <w:lang w:val="en-CA" w:eastAsia="fr-CA"/>
        </w:rPr>
        <w:t xml:space="preserve">for a declaration </w:t>
      </w:r>
      <w:r w:rsidR="006613C5">
        <w:rPr>
          <w:lang w:val="en-CA" w:eastAsia="fr-CA"/>
        </w:rPr>
        <w:t xml:space="preserve">that </w:t>
      </w:r>
      <w:r w:rsidR="0096102C" w:rsidRPr="00BA1219">
        <w:rPr>
          <w:lang w:val="en-CA"/>
        </w:rPr>
        <w:t xml:space="preserve">sections 50, 52, 66, 91, 93, 105, 142, 196, 208, 212, 216, 329 </w:t>
      </w:r>
      <w:r w:rsidRPr="00BA1219">
        <w:rPr>
          <w:lang w:val="en-CA"/>
        </w:rPr>
        <w:t xml:space="preserve">and </w:t>
      </w:r>
      <w:r w:rsidR="0096102C" w:rsidRPr="00BA1219">
        <w:rPr>
          <w:lang w:val="en-CA"/>
        </w:rPr>
        <w:t xml:space="preserve">330 </w:t>
      </w:r>
      <w:r w:rsidRPr="00BA1219">
        <w:rPr>
          <w:lang w:val="en-CA"/>
        </w:rPr>
        <w:t>of the</w:t>
      </w:r>
      <w:r w:rsidR="00A90607" w:rsidRPr="00BA1219">
        <w:rPr>
          <w:i/>
          <w:iCs/>
          <w:lang w:val="en-CA"/>
        </w:rPr>
        <w:t xml:space="preserve"> Act to amend mainly the Education Act with regard to school organization and governance</w:t>
      </w:r>
      <w:r w:rsidR="0096102C" w:rsidRPr="00BA1219">
        <w:rPr>
          <w:rStyle w:val="Appelnotedebasdep"/>
          <w:szCs w:val="24"/>
          <w:lang w:val="en-CA"/>
        </w:rPr>
        <w:footnoteReference w:id="1"/>
      </w:r>
      <w:r w:rsidRPr="00BA1219">
        <w:rPr>
          <w:lang w:val="en-CA"/>
        </w:rPr>
        <w:t xml:space="preserve"> and </w:t>
      </w:r>
      <w:r w:rsidR="0096102C" w:rsidRPr="00BA1219">
        <w:rPr>
          <w:lang w:val="en-CA"/>
        </w:rPr>
        <w:t xml:space="preserve">section 473.1 </w:t>
      </w:r>
      <w:r w:rsidRPr="00BA1219">
        <w:rPr>
          <w:lang w:val="en-CA"/>
        </w:rPr>
        <w:t>of the</w:t>
      </w:r>
      <w:r w:rsidR="0096102C" w:rsidRPr="00BA1219">
        <w:rPr>
          <w:lang w:val="en-CA"/>
        </w:rPr>
        <w:t xml:space="preserve"> </w:t>
      </w:r>
      <w:r w:rsidR="00A90607" w:rsidRPr="00BA1219">
        <w:rPr>
          <w:i/>
          <w:iCs/>
          <w:lang w:val="en-CA"/>
        </w:rPr>
        <w:t>Education Act</w:t>
      </w:r>
      <w:r w:rsidR="0096102C" w:rsidRPr="00BA1219">
        <w:rPr>
          <w:rStyle w:val="Appelnotedebasdep"/>
          <w:szCs w:val="24"/>
          <w:lang w:val="en-CA"/>
        </w:rPr>
        <w:footnoteReference w:id="2"/>
      </w:r>
      <w:r w:rsidR="006613C5">
        <w:rPr>
          <w:lang w:val="en-CA"/>
        </w:rPr>
        <w:t xml:space="preserve"> are inoperable with respect to them.</w:t>
      </w:r>
      <w:r w:rsidR="0096102C" w:rsidRPr="00BA1219">
        <w:rPr>
          <w:lang w:val="en-CA"/>
        </w:rPr>
        <w:t xml:space="preserve"> </w:t>
      </w:r>
      <w:r w:rsidRPr="00BA1219">
        <w:rPr>
          <w:lang w:val="en-CA"/>
        </w:rPr>
        <w:t>In their opinion, these provisions infringe the</w:t>
      </w:r>
      <w:r w:rsidR="00EE41DD">
        <w:rPr>
          <w:lang w:val="en-CA"/>
        </w:rPr>
        <w:t>ir</w:t>
      </w:r>
      <w:r w:rsidRPr="00BA1219">
        <w:rPr>
          <w:lang w:val="en-CA"/>
        </w:rPr>
        <w:t xml:space="preserve"> </w:t>
      </w:r>
      <w:r w:rsidR="000C0210">
        <w:rPr>
          <w:lang w:val="en-CA"/>
        </w:rPr>
        <w:t xml:space="preserve">rights </w:t>
      </w:r>
      <w:r w:rsidR="00EE41DD">
        <w:rPr>
          <w:lang w:val="en-CA"/>
        </w:rPr>
        <w:t xml:space="preserve">under </w:t>
      </w:r>
      <w:r w:rsidR="0096102C" w:rsidRPr="00BA1219">
        <w:rPr>
          <w:lang w:val="en-CA"/>
        </w:rPr>
        <w:t xml:space="preserve">section 23 </w:t>
      </w:r>
      <w:r w:rsidRPr="00BA1219">
        <w:rPr>
          <w:lang w:val="en-CA"/>
        </w:rPr>
        <w:t>of the</w:t>
      </w:r>
      <w:r w:rsidR="0096102C" w:rsidRPr="00BA1219">
        <w:rPr>
          <w:lang w:val="en-CA"/>
        </w:rPr>
        <w:t xml:space="preserve"> </w:t>
      </w:r>
      <w:r w:rsidR="00AB463A" w:rsidRPr="00BA1219">
        <w:rPr>
          <w:rStyle w:val="CitationHTML"/>
          <w:rFonts w:cs="Arial"/>
          <w:szCs w:val="24"/>
          <w:lang w:val="en-CA"/>
        </w:rPr>
        <w:t>Canadian Charter of Rights and Freedoms</w:t>
      </w:r>
      <w:r w:rsidR="00ED6DC6">
        <w:rPr>
          <w:rStyle w:val="CitationHTML"/>
          <w:rFonts w:cs="Arial"/>
          <w:i w:val="0"/>
          <w:iCs w:val="0"/>
          <w:szCs w:val="24"/>
          <w:lang w:val="en-CA"/>
        </w:rPr>
        <w:t>.</w:t>
      </w:r>
      <w:r w:rsidR="00AB463A" w:rsidRPr="00BA1219">
        <w:rPr>
          <w:rStyle w:val="CitationHTML"/>
          <w:rFonts w:cs="Arial"/>
          <w:szCs w:val="24"/>
          <w:lang w:val="en-CA"/>
        </w:rPr>
        <w:t xml:space="preserve"> </w:t>
      </w:r>
    </w:p>
    <w:p w14:paraId="5C8257E1" w14:textId="3A9D53CA" w:rsidR="00EF75C0" w:rsidRPr="00BA1219" w:rsidRDefault="00F8060B" w:rsidP="00497D21">
      <w:pPr>
        <w:pStyle w:val="Paragrsimple"/>
        <w:tabs>
          <w:tab w:val="clear" w:pos="360"/>
        </w:tabs>
        <w:rPr>
          <w:lang w:val="en-CA"/>
        </w:rPr>
      </w:pPr>
      <w:r w:rsidRPr="00BA1219">
        <w:rPr>
          <w:lang w:val="en-CA"/>
        </w:rPr>
        <w:t xml:space="preserve">The </w:t>
      </w:r>
      <w:r w:rsidRPr="00BA1219">
        <w:rPr>
          <w:i/>
          <w:lang w:val="en-CA"/>
        </w:rPr>
        <w:t xml:space="preserve">Act </w:t>
      </w:r>
      <w:r w:rsidR="00ED6DC6">
        <w:rPr>
          <w:iCs/>
          <w:lang w:val="en-CA"/>
        </w:rPr>
        <w:t xml:space="preserve">is the statute that </w:t>
      </w:r>
      <w:r w:rsidRPr="00BA1219">
        <w:rPr>
          <w:lang w:val="en-CA"/>
        </w:rPr>
        <w:t>replaced the school boards by “school service centres”</w:t>
      </w:r>
      <w:r w:rsidRPr="00BA1219">
        <w:rPr>
          <w:rStyle w:val="Appelnotedebasdep"/>
          <w:lang w:val="en-CA"/>
        </w:rPr>
        <w:footnoteReference w:id="3"/>
      </w:r>
      <w:r w:rsidRPr="00BA1219">
        <w:rPr>
          <w:lang w:val="en-CA"/>
        </w:rPr>
        <w:t xml:space="preserve"> </w:t>
      </w:r>
      <w:r w:rsidR="00EE41DD">
        <w:rPr>
          <w:lang w:val="en-CA"/>
        </w:rPr>
        <w:t xml:space="preserve">in </w:t>
      </w:r>
      <w:r w:rsidRPr="00BA1219">
        <w:rPr>
          <w:lang w:val="en-CA"/>
        </w:rPr>
        <w:t>both</w:t>
      </w:r>
      <w:r w:rsidR="00EE41DD">
        <w:rPr>
          <w:lang w:val="en-CA"/>
        </w:rPr>
        <w:t xml:space="preserve"> </w:t>
      </w:r>
      <w:r w:rsidRPr="00BA1219">
        <w:rPr>
          <w:lang w:val="en-CA"/>
        </w:rPr>
        <w:t>the French-language sector and the English-language sector.</w:t>
      </w:r>
    </w:p>
    <w:p w14:paraId="0F722A42" w14:textId="1BD6A8FE" w:rsidR="001F13D7" w:rsidRPr="00BA1219" w:rsidRDefault="00F8060B" w:rsidP="00497D21">
      <w:pPr>
        <w:pStyle w:val="Paragrsimple"/>
        <w:tabs>
          <w:tab w:val="clear" w:pos="360"/>
        </w:tabs>
        <w:rPr>
          <w:lang w:val="en-CA"/>
        </w:rPr>
      </w:pPr>
      <w:r w:rsidRPr="00BA1219">
        <w:rPr>
          <w:lang w:val="en-CA"/>
        </w:rPr>
        <w:t>The applicants argue,</w:t>
      </w:r>
      <w:r w:rsidR="002C11CB">
        <w:rPr>
          <w:lang w:val="en-CA"/>
        </w:rPr>
        <w:t xml:space="preserve"> </w:t>
      </w:r>
      <w:r w:rsidR="002C11CB" w:rsidRPr="00720FAF">
        <w:rPr>
          <w:i/>
          <w:iCs/>
          <w:lang w:val="en-CA"/>
        </w:rPr>
        <w:t>inter alia</w:t>
      </w:r>
      <w:r w:rsidRPr="00BA1219">
        <w:rPr>
          <w:lang w:val="en-CA"/>
        </w:rPr>
        <w:t xml:space="preserve">, that the </w:t>
      </w:r>
      <w:r w:rsidRPr="00BA1219">
        <w:rPr>
          <w:i/>
          <w:lang w:val="en-CA"/>
        </w:rPr>
        <w:t>Act</w:t>
      </w:r>
      <w:r w:rsidR="009A57F6">
        <w:rPr>
          <w:iCs/>
          <w:lang w:val="en-CA"/>
        </w:rPr>
        <w:t>’s</w:t>
      </w:r>
      <w:r w:rsidRPr="00BA1219">
        <w:rPr>
          <w:i/>
          <w:lang w:val="en-CA"/>
        </w:rPr>
        <w:t xml:space="preserve"> </w:t>
      </w:r>
      <w:r w:rsidR="00ED6DC6">
        <w:rPr>
          <w:iCs/>
          <w:lang w:val="en-CA"/>
        </w:rPr>
        <w:t xml:space="preserve">amendments </w:t>
      </w:r>
      <w:r w:rsidRPr="00BA1219">
        <w:rPr>
          <w:lang w:val="en-CA"/>
        </w:rPr>
        <w:t>to the composition of the school service centres</w:t>
      </w:r>
      <w:r w:rsidR="00ED6DC6">
        <w:rPr>
          <w:lang w:val="en-CA"/>
        </w:rPr>
        <w:t>’ boards of directors</w:t>
      </w:r>
      <w:r w:rsidRPr="00BA1219">
        <w:rPr>
          <w:lang w:val="en-CA"/>
        </w:rPr>
        <w:t xml:space="preserve"> and to the process </w:t>
      </w:r>
      <w:r w:rsidR="00ED6DC6">
        <w:rPr>
          <w:lang w:val="en-CA"/>
        </w:rPr>
        <w:t>for appointing i</w:t>
      </w:r>
      <w:r w:rsidRPr="00BA1219">
        <w:rPr>
          <w:lang w:val="en-CA"/>
        </w:rPr>
        <w:t>ts representatives mean that section 23</w:t>
      </w:r>
      <w:r w:rsidR="009A57F6">
        <w:rPr>
          <w:lang w:val="en-CA"/>
        </w:rPr>
        <w:t xml:space="preserve"> rights</w:t>
      </w:r>
      <w:r w:rsidR="00366077">
        <w:rPr>
          <w:lang w:val="en-CA"/>
        </w:rPr>
        <w:t xml:space="preserve"> </w:t>
      </w:r>
      <w:r w:rsidR="009A57F6">
        <w:rPr>
          <w:lang w:val="en-CA"/>
        </w:rPr>
        <w:t>holders</w:t>
      </w:r>
      <w:r w:rsidRPr="00BA1219">
        <w:rPr>
          <w:lang w:val="en-CA"/>
        </w:rPr>
        <w:t xml:space="preserve"> no longer have control and management of English-language educational institutions in Quebec.</w:t>
      </w:r>
      <w:r w:rsidR="0096102C" w:rsidRPr="00BA1219">
        <w:rPr>
          <w:lang w:val="en-CA"/>
        </w:rPr>
        <w:t xml:space="preserve"> </w:t>
      </w:r>
    </w:p>
    <w:p w14:paraId="29CBDF73" w14:textId="4D5F41D1" w:rsidR="00327C71" w:rsidRPr="00BA1219" w:rsidRDefault="00F8060B" w:rsidP="00E87792">
      <w:pPr>
        <w:pStyle w:val="Paragrsimple"/>
        <w:tabs>
          <w:tab w:val="clear" w:pos="360"/>
        </w:tabs>
        <w:rPr>
          <w:lang w:val="en-CA" w:eastAsia="fr-CA"/>
        </w:rPr>
      </w:pPr>
      <w:bookmarkStart w:id="0" w:name="_ftnref11"/>
      <w:r w:rsidRPr="006B7726">
        <w:rPr>
          <w:rStyle w:val="Hyperlien"/>
          <w:color w:val="auto"/>
          <w:u w:val="none"/>
          <w:lang w:val="en-CA"/>
        </w:rPr>
        <w:t xml:space="preserve">The provisions of the </w:t>
      </w:r>
      <w:r w:rsidRPr="006B7726">
        <w:rPr>
          <w:rStyle w:val="Hyperlien"/>
          <w:i/>
          <w:color w:val="auto"/>
          <w:u w:val="none"/>
          <w:lang w:val="en-CA"/>
        </w:rPr>
        <w:t>Act</w:t>
      </w:r>
      <w:r w:rsidRPr="006B7726">
        <w:rPr>
          <w:rStyle w:val="Hyperlien"/>
          <w:color w:val="auto"/>
          <w:u w:val="none"/>
          <w:lang w:val="en-CA"/>
        </w:rPr>
        <w:t xml:space="preserve"> the applicants seek to have declared invalid are listed below</w:t>
      </w:r>
      <w:r w:rsidR="004E59F6">
        <w:rPr>
          <w:rStyle w:val="Hyperlien"/>
          <w:color w:val="auto"/>
          <w:u w:val="none"/>
          <w:lang w:val="en-CA"/>
        </w:rPr>
        <w:t>,</w:t>
      </w:r>
      <w:r w:rsidRPr="006B7726">
        <w:rPr>
          <w:rStyle w:val="Hyperlien"/>
          <w:color w:val="auto"/>
          <w:u w:val="none"/>
          <w:lang w:val="en-CA"/>
        </w:rPr>
        <w:t xml:space="preserve"> along with the corresponding sections of the </w:t>
      </w:r>
      <w:r w:rsidRPr="006B7726">
        <w:rPr>
          <w:rStyle w:val="Hyperlien"/>
          <w:i/>
          <w:color w:val="auto"/>
          <w:u w:val="none"/>
          <w:lang w:val="en-CA"/>
        </w:rPr>
        <w:t>Education Act</w:t>
      </w:r>
      <w:r w:rsidRPr="006B7726">
        <w:rPr>
          <w:rStyle w:val="Hyperlien"/>
          <w:color w:val="auto"/>
          <w:u w:val="none"/>
          <w:lang w:val="en-CA"/>
        </w:rPr>
        <w:t xml:space="preserve"> and the </w:t>
      </w:r>
      <w:r w:rsidRPr="006B7726">
        <w:rPr>
          <w:rStyle w:val="Hyperlien"/>
          <w:i/>
          <w:color w:val="auto"/>
          <w:u w:val="none"/>
          <w:lang w:val="en-CA"/>
        </w:rPr>
        <w:t>Act respecting school elections to elect certain members of the boards of directors of English-language school service centres</w:t>
      </w:r>
      <w:r w:rsidRPr="006B7726">
        <w:rPr>
          <w:rStyle w:val="Appelnotedebasdep"/>
          <w:rFonts w:cs="Arial"/>
          <w:lang w:val="en-CA"/>
        </w:rPr>
        <w:footnoteReference w:id="4"/>
      </w:r>
      <w:r w:rsidRPr="006B7726">
        <w:rPr>
          <w:rStyle w:val="Hyperlien"/>
          <w:color w:val="auto"/>
          <w:u w:val="none"/>
          <w:lang w:val="en-CA"/>
        </w:rPr>
        <w:t xml:space="preserve"> </w:t>
      </w:r>
      <w:bookmarkEnd w:id="0"/>
      <w:r w:rsidR="004E59F6">
        <w:rPr>
          <w:rStyle w:val="Hyperlien"/>
          <w:color w:val="auto"/>
          <w:u w:val="none"/>
          <w:lang w:val="en-CA"/>
        </w:rPr>
        <w:t xml:space="preserve">that </w:t>
      </w:r>
      <w:r w:rsidRPr="006B7726">
        <w:rPr>
          <w:rStyle w:val="Hyperlien"/>
          <w:color w:val="auto"/>
          <w:u w:val="none"/>
          <w:lang w:val="en-CA"/>
        </w:rPr>
        <w:t xml:space="preserve">have been amended or </w:t>
      </w:r>
      <w:r w:rsidR="00E87792">
        <w:rPr>
          <w:rStyle w:val="Hyperlien"/>
          <w:color w:val="auto"/>
          <w:u w:val="none"/>
          <w:lang w:val="en-CA"/>
        </w:rPr>
        <w:t>enacted</w:t>
      </w:r>
      <w:r w:rsidRPr="006B7726">
        <w:rPr>
          <w:rStyle w:val="Hyperlien"/>
          <w:color w:val="auto"/>
          <w:u w:val="none"/>
          <w:lang w:val="en-CA"/>
        </w:rPr>
        <w:t xml:space="preserve">: </w:t>
      </w:r>
    </w:p>
    <w:p w14:paraId="0D47FE78" w14:textId="64750EA4" w:rsidR="00327C71" w:rsidRPr="006B7726" w:rsidRDefault="00F8060B" w:rsidP="009B7445">
      <w:pPr>
        <w:pStyle w:val="Paragrdouble"/>
        <w:numPr>
          <w:ilvl w:val="0"/>
          <w:numId w:val="20"/>
        </w:numPr>
        <w:spacing w:line="240" w:lineRule="auto"/>
        <w:rPr>
          <w:rFonts w:cs="Arial"/>
          <w:szCs w:val="24"/>
          <w:lang w:val="en-CA"/>
        </w:rPr>
      </w:pPr>
      <w:r w:rsidRPr="006B7726">
        <w:rPr>
          <w:rFonts w:cs="Arial"/>
          <w:szCs w:val="24"/>
          <w:lang w:val="en-CA"/>
        </w:rPr>
        <w:t>Section 50 [</w:t>
      </w:r>
      <w:r w:rsidRPr="006B7726">
        <w:rPr>
          <w:rFonts w:cs="Arial"/>
          <w:i/>
          <w:szCs w:val="24"/>
          <w:lang w:val="en-CA"/>
        </w:rPr>
        <w:t>Education Act</w:t>
      </w:r>
      <w:r w:rsidRPr="006B7726">
        <w:rPr>
          <w:rFonts w:cs="Arial"/>
          <w:szCs w:val="24"/>
          <w:lang w:val="en-CA"/>
        </w:rPr>
        <w:t>, section 143.1], which sets out the composition of the board of directors of the English-language school service centres.</w:t>
      </w:r>
    </w:p>
    <w:p w14:paraId="1DFA0435" w14:textId="3FE19D60" w:rsidR="00327C71" w:rsidRPr="00BA1219" w:rsidRDefault="00F8060B" w:rsidP="009B7445">
      <w:pPr>
        <w:pStyle w:val="Paragrdouble"/>
        <w:numPr>
          <w:ilvl w:val="0"/>
          <w:numId w:val="20"/>
        </w:numPr>
        <w:spacing w:line="240" w:lineRule="auto"/>
        <w:rPr>
          <w:rFonts w:cs="Arial"/>
          <w:szCs w:val="24"/>
          <w:lang w:val="en-CA"/>
        </w:rPr>
      </w:pPr>
      <w:r w:rsidRPr="006B7726">
        <w:rPr>
          <w:rFonts w:cs="Arial"/>
          <w:szCs w:val="24"/>
          <w:lang w:val="en-CA"/>
        </w:rPr>
        <w:t>Section 52 [</w:t>
      </w:r>
      <w:r w:rsidRPr="006B7726">
        <w:rPr>
          <w:rFonts w:cs="Arial"/>
          <w:i/>
          <w:szCs w:val="24"/>
          <w:lang w:val="en-CA"/>
        </w:rPr>
        <w:t>Education Act</w:t>
      </w:r>
      <w:r w:rsidRPr="006B7726">
        <w:rPr>
          <w:rFonts w:cs="Arial"/>
          <w:szCs w:val="24"/>
          <w:lang w:val="en-CA"/>
        </w:rPr>
        <w:t>, section 155], which provides that the chair and the vice</w:t>
      </w:r>
      <w:r w:rsidR="004E59F6">
        <w:rPr>
          <w:rFonts w:cs="Arial"/>
          <w:szCs w:val="24"/>
          <w:lang w:val="en-CA"/>
        </w:rPr>
        <w:t>-</w:t>
      </w:r>
      <w:r w:rsidRPr="006B7726">
        <w:rPr>
          <w:rFonts w:cs="Arial"/>
          <w:szCs w:val="24"/>
          <w:lang w:val="en-CA"/>
        </w:rPr>
        <w:t>chair of the board of directors must be appointed from among the members sitting as parent representatives.</w:t>
      </w:r>
    </w:p>
    <w:p w14:paraId="1B802B17" w14:textId="690BFA18" w:rsidR="00327C71" w:rsidRPr="006B7726" w:rsidRDefault="00F8060B" w:rsidP="009B7445">
      <w:pPr>
        <w:pStyle w:val="Paragrdouble"/>
        <w:numPr>
          <w:ilvl w:val="0"/>
          <w:numId w:val="20"/>
        </w:numPr>
        <w:spacing w:line="240" w:lineRule="auto"/>
        <w:rPr>
          <w:rFonts w:cs="Arial"/>
          <w:szCs w:val="24"/>
          <w:lang w:val="en-CA"/>
        </w:rPr>
      </w:pPr>
      <w:r w:rsidRPr="006B7726">
        <w:rPr>
          <w:rFonts w:cs="Arial"/>
          <w:szCs w:val="24"/>
          <w:lang w:val="en-CA"/>
        </w:rPr>
        <w:t>Section 66 [</w:t>
      </w:r>
      <w:r w:rsidRPr="006B7726">
        <w:rPr>
          <w:rFonts w:cs="Arial"/>
          <w:i/>
          <w:szCs w:val="24"/>
          <w:lang w:val="en-CA"/>
        </w:rPr>
        <w:t>Education</w:t>
      </w:r>
      <w:r w:rsidRPr="006B7726">
        <w:rPr>
          <w:rFonts w:cs="Arial"/>
          <w:szCs w:val="24"/>
          <w:lang w:val="en-CA"/>
        </w:rPr>
        <w:t xml:space="preserve"> Act, section 175], which abolishes the remuneration of the members of the board of directors.  </w:t>
      </w:r>
      <w:r w:rsidR="00FD5C7B" w:rsidRPr="006B7726">
        <w:rPr>
          <w:rFonts w:cs="Arial"/>
          <w:szCs w:val="24"/>
          <w:lang w:val="en-CA"/>
        </w:rPr>
        <w:t xml:space="preserve">  </w:t>
      </w:r>
    </w:p>
    <w:p w14:paraId="1F01CFEC" w14:textId="0E34272E" w:rsidR="00327C71" w:rsidRPr="006B7726" w:rsidRDefault="00F8060B" w:rsidP="009B7445">
      <w:pPr>
        <w:pStyle w:val="Paragrdouble"/>
        <w:numPr>
          <w:ilvl w:val="0"/>
          <w:numId w:val="20"/>
        </w:numPr>
        <w:spacing w:line="240" w:lineRule="auto"/>
        <w:rPr>
          <w:rFonts w:cs="Arial"/>
          <w:szCs w:val="24"/>
          <w:lang w:val="en-CA"/>
        </w:rPr>
      </w:pPr>
      <w:r w:rsidRPr="006B7726">
        <w:rPr>
          <w:rFonts w:cs="Arial"/>
          <w:szCs w:val="24"/>
          <w:lang w:val="en-CA"/>
        </w:rPr>
        <w:lastRenderedPageBreak/>
        <w:t>Section 91 [</w:t>
      </w:r>
      <w:r w:rsidRPr="006B7726">
        <w:rPr>
          <w:rFonts w:cs="Arial"/>
          <w:i/>
          <w:szCs w:val="24"/>
          <w:lang w:val="en-CA"/>
        </w:rPr>
        <w:t>Education Act</w:t>
      </w:r>
      <w:r w:rsidRPr="006B7726">
        <w:rPr>
          <w:rFonts w:cs="Arial"/>
          <w:szCs w:val="24"/>
          <w:lang w:val="en-CA"/>
        </w:rPr>
        <w:t>, section 193.6], which establishes a commitment-to-student-success committee and its composition.</w:t>
      </w:r>
    </w:p>
    <w:p w14:paraId="0E19803D" w14:textId="416A7948" w:rsidR="00F8060B" w:rsidRPr="00BA1219" w:rsidRDefault="00F8060B" w:rsidP="00D401DD">
      <w:pPr>
        <w:pStyle w:val="Paragraphedeliste"/>
        <w:numPr>
          <w:ilvl w:val="0"/>
          <w:numId w:val="20"/>
        </w:numPr>
        <w:jc w:val="both"/>
        <w:rPr>
          <w:rFonts w:cs="Arial"/>
          <w:kern w:val="28"/>
          <w:szCs w:val="24"/>
          <w:lang w:val="en-CA"/>
        </w:rPr>
      </w:pPr>
      <w:r w:rsidRPr="00BA1219">
        <w:rPr>
          <w:rFonts w:cs="Arial"/>
          <w:kern w:val="28"/>
          <w:szCs w:val="24"/>
          <w:lang w:val="en-CA"/>
        </w:rPr>
        <w:t>Section 93 [</w:t>
      </w:r>
      <w:r w:rsidRPr="00BA1219">
        <w:rPr>
          <w:rFonts w:cs="Arial"/>
          <w:i/>
          <w:iCs/>
          <w:kern w:val="28"/>
          <w:szCs w:val="24"/>
          <w:lang w:val="en-CA"/>
        </w:rPr>
        <w:t>Education Act</w:t>
      </w:r>
      <w:r w:rsidRPr="00BA1219">
        <w:rPr>
          <w:rFonts w:cs="Arial"/>
          <w:kern w:val="28"/>
          <w:szCs w:val="24"/>
          <w:lang w:val="en-CA"/>
        </w:rPr>
        <w:t xml:space="preserve">, section 201], in particular the last paragraph, which provides that the director general </w:t>
      </w:r>
      <w:r w:rsidR="0013059B">
        <w:rPr>
          <w:rFonts w:cs="Arial"/>
          <w:kern w:val="28"/>
          <w:szCs w:val="24"/>
          <w:lang w:val="en-CA"/>
        </w:rPr>
        <w:t xml:space="preserve">is the official spokesperson </w:t>
      </w:r>
      <w:r w:rsidRPr="00BA1219">
        <w:rPr>
          <w:rFonts w:cs="Arial"/>
          <w:kern w:val="28"/>
          <w:szCs w:val="24"/>
          <w:lang w:val="en-CA"/>
        </w:rPr>
        <w:t>of the school service centr</w:t>
      </w:r>
      <w:r w:rsidR="004F59F7">
        <w:rPr>
          <w:rFonts w:cs="Arial"/>
          <w:kern w:val="28"/>
          <w:szCs w:val="24"/>
          <w:lang w:val="en-CA"/>
        </w:rPr>
        <w:t>e</w:t>
      </w:r>
      <w:r w:rsidRPr="00BA1219">
        <w:rPr>
          <w:rFonts w:cs="Arial"/>
          <w:kern w:val="28"/>
          <w:szCs w:val="24"/>
          <w:lang w:val="en-CA"/>
        </w:rPr>
        <w:t xml:space="preserve">. </w:t>
      </w:r>
    </w:p>
    <w:p w14:paraId="412990EE" w14:textId="3B3B947C" w:rsidR="00327C71" w:rsidRPr="00BA1219" w:rsidRDefault="00FD5C7B" w:rsidP="009B7445">
      <w:pPr>
        <w:pStyle w:val="Paragrdouble"/>
        <w:numPr>
          <w:ilvl w:val="0"/>
          <w:numId w:val="20"/>
        </w:numPr>
        <w:spacing w:line="240" w:lineRule="auto"/>
        <w:rPr>
          <w:rFonts w:cs="Arial"/>
          <w:szCs w:val="24"/>
          <w:lang w:val="en-CA"/>
        </w:rPr>
      </w:pPr>
      <w:r w:rsidRPr="006B7726">
        <w:rPr>
          <w:rFonts w:cs="Arial"/>
          <w:szCs w:val="24"/>
          <w:lang w:val="en-CA"/>
        </w:rPr>
        <w:t>Section 105 [</w:t>
      </w:r>
      <w:r w:rsidR="0096102C" w:rsidRPr="006B7726">
        <w:rPr>
          <w:rStyle w:val="Hyperlien"/>
          <w:rFonts w:cs="Arial"/>
          <w:i/>
          <w:iCs/>
          <w:color w:val="auto"/>
          <w:szCs w:val="24"/>
          <w:u w:val="none"/>
          <w:lang w:val="en-CA"/>
        </w:rPr>
        <w:t>Education Act</w:t>
      </w:r>
      <w:r w:rsidR="00D20385" w:rsidRPr="006B7726">
        <w:rPr>
          <w:rFonts w:cs="Arial"/>
          <w:szCs w:val="24"/>
          <w:lang w:val="en-CA"/>
        </w:rPr>
        <w:t xml:space="preserve">, </w:t>
      </w:r>
      <w:r w:rsidRPr="006B7726">
        <w:rPr>
          <w:rStyle w:val="Hyperlien"/>
          <w:rFonts w:cs="Arial"/>
          <w:color w:val="auto"/>
          <w:szCs w:val="24"/>
          <w:u w:val="none"/>
          <w:lang w:val="en-CA"/>
        </w:rPr>
        <w:t>section 215.2</w:t>
      </w:r>
      <w:r w:rsidRPr="006B7726">
        <w:rPr>
          <w:rFonts w:cs="Arial"/>
          <w:szCs w:val="24"/>
          <w:lang w:val="en-CA"/>
        </w:rPr>
        <w:t xml:space="preserve">], </w:t>
      </w:r>
      <w:r w:rsidR="00F8060B" w:rsidRPr="00BA1219">
        <w:rPr>
          <w:lang w:val="en-CA"/>
        </w:rPr>
        <w:t>which imposes a duty on school service centres to facilitate the sharing of resources with other public bodies.</w:t>
      </w:r>
    </w:p>
    <w:p w14:paraId="72A9D9C4" w14:textId="0F78EF4B" w:rsidR="00327C71" w:rsidRPr="00BA1219" w:rsidRDefault="00FD5C7B" w:rsidP="00D401DD">
      <w:pPr>
        <w:pStyle w:val="Paragraphedeliste"/>
        <w:numPr>
          <w:ilvl w:val="0"/>
          <w:numId w:val="20"/>
        </w:numPr>
        <w:jc w:val="both"/>
        <w:rPr>
          <w:rFonts w:cs="Arial"/>
          <w:kern w:val="28"/>
          <w:szCs w:val="24"/>
          <w:lang w:val="en-CA"/>
        </w:rPr>
      </w:pPr>
      <w:r w:rsidRPr="006B7726">
        <w:rPr>
          <w:rFonts w:cs="Arial"/>
          <w:szCs w:val="24"/>
          <w:lang w:val="en-CA"/>
        </w:rPr>
        <w:t>Section 142 [</w:t>
      </w:r>
      <w:r w:rsidR="0096102C" w:rsidRPr="006B7726">
        <w:rPr>
          <w:rStyle w:val="Hyperlien"/>
          <w:rFonts w:cs="Arial"/>
          <w:i/>
          <w:iCs/>
          <w:color w:val="auto"/>
          <w:szCs w:val="24"/>
          <w:u w:val="none"/>
          <w:lang w:val="en-CA"/>
        </w:rPr>
        <w:t>Education Act</w:t>
      </w:r>
      <w:r w:rsidR="00D20385" w:rsidRPr="006B7726">
        <w:rPr>
          <w:rFonts w:cs="Arial"/>
          <w:szCs w:val="24"/>
          <w:lang w:val="en-CA"/>
        </w:rPr>
        <w:t xml:space="preserve">, </w:t>
      </w:r>
      <w:r w:rsidRPr="006B7726">
        <w:rPr>
          <w:rStyle w:val="Hyperlien"/>
          <w:rFonts w:cs="Arial"/>
          <w:color w:val="auto"/>
          <w:szCs w:val="24"/>
          <w:u w:val="none"/>
          <w:lang w:val="en-CA"/>
        </w:rPr>
        <w:t>section 459.5.4</w:t>
      </w:r>
      <w:r w:rsidRPr="006B7726">
        <w:rPr>
          <w:rFonts w:cs="Arial"/>
          <w:szCs w:val="24"/>
          <w:lang w:val="en-CA"/>
        </w:rPr>
        <w:t xml:space="preserve">], </w:t>
      </w:r>
      <w:r w:rsidR="00F8060B" w:rsidRPr="00BA1219">
        <w:rPr>
          <w:rFonts w:cs="Arial"/>
          <w:kern w:val="28"/>
          <w:szCs w:val="24"/>
          <w:lang w:val="en-CA"/>
        </w:rPr>
        <w:t>which provides that the Minister may determine, for all the school service centres or in light of the situation of one or certain centres, objectives or targets relating to their administration, organization or operation.</w:t>
      </w:r>
    </w:p>
    <w:p w14:paraId="79143633" w14:textId="33FC6740" w:rsidR="00327C71" w:rsidRPr="00BA1219" w:rsidRDefault="00F8060B" w:rsidP="009B7445">
      <w:pPr>
        <w:pStyle w:val="Paragrdouble"/>
        <w:numPr>
          <w:ilvl w:val="0"/>
          <w:numId w:val="20"/>
        </w:numPr>
        <w:spacing w:line="240" w:lineRule="auto"/>
        <w:rPr>
          <w:rFonts w:cs="Arial"/>
          <w:szCs w:val="24"/>
          <w:lang w:val="en-CA"/>
        </w:rPr>
      </w:pPr>
      <w:r w:rsidRPr="006B7726">
        <w:rPr>
          <w:rFonts w:cs="Arial"/>
          <w:szCs w:val="24"/>
          <w:lang w:val="en-CA"/>
        </w:rPr>
        <w:t>Section 196 [</w:t>
      </w:r>
      <w:r w:rsidRPr="006B7726">
        <w:rPr>
          <w:rFonts w:cs="Arial"/>
          <w:i/>
          <w:szCs w:val="24"/>
          <w:lang w:val="en-CA"/>
        </w:rPr>
        <w:t>Act respecting school elections to elect certain members of the boards of directors of English-language school service centres</w:t>
      </w:r>
      <w:r w:rsidRPr="006B7726">
        <w:rPr>
          <w:rFonts w:cs="Arial"/>
          <w:szCs w:val="24"/>
          <w:lang w:val="en-CA"/>
        </w:rPr>
        <w:t xml:space="preserve">, section 4.1], which provides that parent representatives are elected to the board of directors of a school service centre for </w:t>
      </w:r>
      <w:r w:rsidR="009D48A3" w:rsidRPr="006B7726">
        <w:rPr>
          <w:rFonts w:cs="Arial"/>
          <w:szCs w:val="24"/>
          <w:lang w:val="en-CA"/>
        </w:rPr>
        <w:t>a</w:t>
      </w:r>
      <w:r w:rsidR="00956FF9">
        <w:rPr>
          <w:rFonts w:cs="Arial"/>
          <w:szCs w:val="24"/>
          <w:lang w:val="en-CA"/>
        </w:rPr>
        <w:t>n electoral division</w:t>
      </w:r>
      <w:r w:rsidRPr="006B7726">
        <w:rPr>
          <w:rFonts w:cs="Arial"/>
          <w:szCs w:val="24"/>
          <w:lang w:val="en-CA"/>
        </w:rPr>
        <w:t xml:space="preserve">, while community members are elected </w:t>
      </w:r>
      <w:r w:rsidR="0013059B" w:rsidRPr="006B7726">
        <w:rPr>
          <w:rFonts w:cs="Arial"/>
          <w:szCs w:val="24"/>
          <w:lang w:val="en-CA"/>
        </w:rPr>
        <w:t>in</w:t>
      </w:r>
      <w:r w:rsidRPr="006B7726">
        <w:rPr>
          <w:rFonts w:cs="Arial"/>
          <w:szCs w:val="24"/>
          <w:lang w:val="en-CA"/>
        </w:rPr>
        <w:t xml:space="preserve"> the </w:t>
      </w:r>
      <w:r w:rsidR="0013059B" w:rsidRPr="006B7726">
        <w:rPr>
          <w:rFonts w:cs="Arial"/>
          <w:szCs w:val="24"/>
          <w:lang w:val="en-CA"/>
        </w:rPr>
        <w:t>whole</w:t>
      </w:r>
      <w:r w:rsidRPr="006B7726">
        <w:rPr>
          <w:rFonts w:cs="Arial"/>
          <w:szCs w:val="24"/>
          <w:lang w:val="en-CA"/>
        </w:rPr>
        <w:t xml:space="preserve"> territory of the school service centre. </w:t>
      </w:r>
    </w:p>
    <w:p w14:paraId="1770486D" w14:textId="78BC9B9F" w:rsidR="00327C71" w:rsidRPr="00372042" w:rsidRDefault="00F8060B" w:rsidP="009B7445">
      <w:pPr>
        <w:pStyle w:val="Paragrdouble"/>
        <w:numPr>
          <w:ilvl w:val="0"/>
          <w:numId w:val="20"/>
        </w:numPr>
        <w:spacing w:line="240" w:lineRule="auto"/>
        <w:rPr>
          <w:rFonts w:cs="Arial"/>
          <w:szCs w:val="24"/>
          <w:lang w:val="en-CA"/>
        </w:rPr>
      </w:pPr>
      <w:r w:rsidRPr="00372042">
        <w:rPr>
          <w:rFonts w:cs="Arial"/>
          <w:szCs w:val="24"/>
          <w:lang w:val="en-CA"/>
        </w:rPr>
        <w:t>Section 208 [</w:t>
      </w:r>
      <w:r w:rsidRPr="00372042">
        <w:rPr>
          <w:rFonts w:cs="Arial"/>
          <w:i/>
          <w:szCs w:val="24"/>
          <w:lang w:val="en-CA"/>
        </w:rPr>
        <w:t>Act respecting school elections to elect certain members of the boards of directors of English-language school service centres</w:t>
      </w:r>
      <w:r w:rsidRPr="00372042">
        <w:rPr>
          <w:rFonts w:cs="Arial"/>
          <w:szCs w:val="24"/>
          <w:lang w:val="en-CA"/>
        </w:rPr>
        <w:t>, sections 11.0.1-11.0.2]. These sections concern the number of community representatives and the order in which they are elected.</w:t>
      </w:r>
      <w:r w:rsidR="00FD5C7B" w:rsidRPr="00372042">
        <w:rPr>
          <w:rFonts w:cs="Arial"/>
          <w:szCs w:val="24"/>
          <w:lang w:val="en-CA"/>
        </w:rPr>
        <w:t xml:space="preserve"> </w:t>
      </w:r>
    </w:p>
    <w:p w14:paraId="235D9BB8" w14:textId="550C487B" w:rsidR="00372042" w:rsidRDefault="00372042" w:rsidP="009B7445">
      <w:pPr>
        <w:pStyle w:val="Paragrdouble"/>
        <w:numPr>
          <w:ilvl w:val="0"/>
          <w:numId w:val="20"/>
        </w:numPr>
        <w:spacing w:line="240" w:lineRule="auto"/>
        <w:rPr>
          <w:rFonts w:cs="Arial"/>
          <w:szCs w:val="24"/>
          <w:lang w:val="en-CA"/>
        </w:rPr>
      </w:pPr>
      <w:r>
        <w:rPr>
          <w:rFonts w:cs="Arial"/>
          <w:szCs w:val="24"/>
          <w:lang w:val="en-CA"/>
        </w:rPr>
        <w:t>Section 212 [</w:t>
      </w:r>
      <w:r w:rsidRPr="00BA1219">
        <w:rPr>
          <w:rFonts w:cs="Arial"/>
          <w:i/>
          <w:szCs w:val="24"/>
          <w:lang w:val="en-CA"/>
        </w:rPr>
        <w:t>Act respecting school elections to elect certain members of the boards of directors of English-language school service centres</w:t>
      </w:r>
      <w:r w:rsidRPr="00BA1219">
        <w:rPr>
          <w:rFonts w:cs="Arial"/>
          <w:szCs w:val="24"/>
          <w:lang w:val="en-CA"/>
        </w:rPr>
        <w:t>, section</w:t>
      </w:r>
      <w:r>
        <w:rPr>
          <w:rFonts w:cs="Arial"/>
          <w:szCs w:val="24"/>
          <w:lang w:val="en-CA"/>
        </w:rPr>
        <w:t xml:space="preserve"> 15], which sets the terms by which the status of elector in school elections in an English-language school service centre may be acquired.</w:t>
      </w:r>
    </w:p>
    <w:p w14:paraId="4BAC5042" w14:textId="29152E73" w:rsidR="00EE0F97" w:rsidRPr="00BA1219" w:rsidRDefault="00F8060B" w:rsidP="009B7445">
      <w:pPr>
        <w:pStyle w:val="Paragrdouble"/>
        <w:numPr>
          <w:ilvl w:val="0"/>
          <w:numId w:val="20"/>
        </w:numPr>
        <w:spacing w:line="240" w:lineRule="auto"/>
        <w:rPr>
          <w:rFonts w:cs="Arial"/>
          <w:szCs w:val="24"/>
          <w:lang w:val="en-CA"/>
        </w:rPr>
      </w:pPr>
      <w:r w:rsidRPr="00BA1219">
        <w:rPr>
          <w:rFonts w:cs="Arial"/>
          <w:szCs w:val="24"/>
          <w:lang w:val="en-CA"/>
        </w:rPr>
        <w:t>Section 21</w:t>
      </w:r>
      <w:r w:rsidR="00372042">
        <w:rPr>
          <w:rFonts w:cs="Arial"/>
          <w:szCs w:val="24"/>
          <w:lang w:val="en-CA"/>
        </w:rPr>
        <w:t>6</w:t>
      </w:r>
      <w:r w:rsidRPr="00BA1219">
        <w:rPr>
          <w:rFonts w:cs="Arial"/>
          <w:szCs w:val="24"/>
          <w:lang w:val="en-CA"/>
        </w:rPr>
        <w:t xml:space="preserve"> [</w:t>
      </w:r>
      <w:r w:rsidRPr="00BA1219">
        <w:rPr>
          <w:rFonts w:cs="Arial"/>
          <w:i/>
          <w:szCs w:val="24"/>
          <w:lang w:val="en-CA"/>
        </w:rPr>
        <w:t>Act respecting school elections to elect certain members of the boards of directors of English-language school service centres</w:t>
      </w:r>
      <w:r w:rsidRPr="00BA1219">
        <w:rPr>
          <w:rFonts w:cs="Arial"/>
          <w:szCs w:val="24"/>
          <w:lang w:val="en-CA"/>
        </w:rPr>
        <w:t xml:space="preserve">, sections 20-20.1], which establishes that the only two categories of electors are the parent representatives who sit </w:t>
      </w:r>
      <w:r w:rsidR="00E14C89">
        <w:rPr>
          <w:rFonts w:cs="Arial"/>
          <w:szCs w:val="24"/>
          <w:lang w:val="en-CA"/>
        </w:rPr>
        <w:t xml:space="preserve">as such </w:t>
      </w:r>
      <w:r w:rsidRPr="00BA1219">
        <w:rPr>
          <w:rFonts w:cs="Arial"/>
          <w:szCs w:val="24"/>
          <w:lang w:val="en-CA"/>
        </w:rPr>
        <w:t>on the governing board</w:t>
      </w:r>
      <w:r w:rsidR="00E14C89">
        <w:rPr>
          <w:rFonts w:cs="Arial"/>
          <w:szCs w:val="24"/>
          <w:lang w:val="en-CA"/>
        </w:rPr>
        <w:t xml:space="preserve"> and</w:t>
      </w:r>
      <w:r w:rsidRPr="00BA1219">
        <w:rPr>
          <w:rFonts w:cs="Arial"/>
          <w:szCs w:val="24"/>
          <w:lang w:val="en-CA"/>
        </w:rPr>
        <w:t xml:space="preserve"> the “community representatives” who meet the</w:t>
      </w:r>
      <w:r w:rsidR="00E25069">
        <w:rPr>
          <w:rFonts w:cs="Arial"/>
          <w:szCs w:val="24"/>
          <w:lang w:val="en-CA"/>
        </w:rPr>
        <w:t xml:space="preserve"> profile </w:t>
      </w:r>
      <w:r w:rsidR="00E14C89">
        <w:rPr>
          <w:rFonts w:cs="Arial"/>
          <w:szCs w:val="24"/>
          <w:lang w:val="en-CA"/>
        </w:rPr>
        <w:t xml:space="preserve">set out in </w:t>
      </w:r>
      <w:r w:rsidRPr="00BA1219">
        <w:rPr>
          <w:rFonts w:cs="Arial"/>
          <w:szCs w:val="24"/>
          <w:lang w:val="en-CA"/>
        </w:rPr>
        <w:t xml:space="preserve">section 143(3) of the </w:t>
      </w:r>
      <w:r w:rsidRPr="00BA1219">
        <w:rPr>
          <w:rFonts w:cs="Arial"/>
          <w:i/>
          <w:szCs w:val="24"/>
          <w:lang w:val="en-CA"/>
        </w:rPr>
        <w:t>Education Act</w:t>
      </w:r>
      <w:r w:rsidRPr="00BA1219">
        <w:rPr>
          <w:rFonts w:cs="Arial"/>
          <w:szCs w:val="24"/>
          <w:lang w:val="en-CA"/>
        </w:rPr>
        <w:t>.</w:t>
      </w:r>
      <w:r w:rsidR="00FD5C7B" w:rsidRPr="00BA1219">
        <w:rPr>
          <w:sz w:val="22"/>
          <w:lang w:val="en-CA"/>
        </w:rPr>
        <w:t xml:space="preserve"> </w:t>
      </w:r>
    </w:p>
    <w:p w14:paraId="2C8FDA8E" w14:textId="51C806C2" w:rsidR="00327C71" w:rsidRPr="006B7726" w:rsidRDefault="00F8060B" w:rsidP="009B7445">
      <w:pPr>
        <w:pStyle w:val="Paragrdouble"/>
        <w:numPr>
          <w:ilvl w:val="0"/>
          <w:numId w:val="20"/>
        </w:numPr>
        <w:spacing w:line="240" w:lineRule="auto"/>
        <w:rPr>
          <w:rFonts w:cs="Arial"/>
          <w:szCs w:val="24"/>
          <w:lang w:val="en-CA"/>
        </w:rPr>
      </w:pPr>
      <w:r w:rsidRPr="006B7726">
        <w:rPr>
          <w:rFonts w:cs="Arial"/>
          <w:szCs w:val="24"/>
          <w:lang w:val="en-CA"/>
        </w:rPr>
        <w:t>Section 329, which provides that the Minister may annul any decision made by a school board between October 1, 2019, and June 15, 2020, and section 330.</w:t>
      </w:r>
      <w:r w:rsidRPr="006B7726">
        <w:rPr>
          <w:rStyle w:val="Appelnotedebasdep"/>
          <w:rFonts w:cs="Arial"/>
          <w:szCs w:val="24"/>
          <w:lang w:val="en-CA"/>
        </w:rPr>
        <w:t xml:space="preserve"> </w:t>
      </w:r>
      <w:r w:rsidRPr="006B7726">
        <w:rPr>
          <w:rStyle w:val="Appelnotedebasdep"/>
          <w:rFonts w:cs="Arial"/>
          <w:szCs w:val="24"/>
          <w:lang w:val="en-CA"/>
        </w:rPr>
        <w:footnoteReference w:id="5"/>
      </w:r>
    </w:p>
    <w:p w14:paraId="25C0469D" w14:textId="0718B347" w:rsidR="00876891" w:rsidRPr="00BA1219" w:rsidRDefault="00F8060B" w:rsidP="009B7445">
      <w:pPr>
        <w:pStyle w:val="Paragrdouble"/>
        <w:numPr>
          <w:ilvl w:val="0"/>
          <w:numId w:val="20"/>
        </w:numPr>
        <w:spacing w:line="240" w:lineRule="auto"/>
        <w:rPr>
          <w:rFonts w:cs="Arial"/>
          <w:szCs w:val="24"/>
          <w:lang w:val="en-CA"/>
        </w:rPr>
      </w:pPr>
      <w:r w:rsidRPr="00BA1219">
        <w:rPr>
          <w:rFonts w:cs="Arial"/>
          <w:szCs w:val="24"/>
          <w:lang w:val="en-CA"/>
        </w:rPr>
        <w:lastRenderedPageBreak/>
        <w:t xml:space="preserve">Section 473.1 of the </w:t>
      </w:r>
      <w:r w:rsidRPr="00BA1219">
        <w:rPr>
          <w:rFonts w:cs="Arial"/>
          <w:i/>
          <w:szCs w:val="24"/>
          <w:lang w:val="en-CA"/>
        </w:rPr>
        <w:t>Education Act</w:t>
      </w:r>
      <w:r w:rsidRPr="00BA1219">
        <w:rPr>
          <w:rFonts w:cs="Arial"/>
          <w:szCs w:val="24"/>
          <w:lang w:val="en-CA"/>
        </w:rPr>
        <w:t xml:space="preserve"> which provides that budgetary rules may stipulate that certain budgetary measures are intended for a transfer to the budget of educational institutions.</w:t>
      </w:r>
    </w:p>
    <w:p w14:paraId="5C61C462" w14:textId="4680E3FC" w:rsidR="001F13D7" w:rsidRPr="00BA1219" w:rsidRDefault="00F8060B" w:rsidP="00497D21">
      <w:pPr>
        <w:pStyle w:val="Paragrsimple"/>
        <w:tabs>
          <w:tab w:val="clear" w:pos="360"/>
        </w:tabs>
        <w:rPr>
          <w:lang w:val="en-CA" w:eastAsia="fr-CA"/>
        </w:rPr>
      </w:pPr>
      <w:r w:rsidRPr="006B7726">
        <w:rPr>
          <w:lang w:val="en-CA" w:eastAsia="fr-CA"/>
        </w:rPr>
        <w:t xml:space="preserve">On August 10, 2020, the undersigned ordered </w:t>
      </w:r>
      <w:r w:rsidR="0035069F">
        <w:rPr>
          <w:lang w:val="en-CA" w:eastAsia="fr-CA"/>
        </w:rPr>
        <w:t>a</w:t>
      </w:r>
      <w:r w:rsidRPr="006B7726">
        <w:rPr>
          <w:lang w:val="en-CA" w:eastAsia="fr-CA"/>
        </w:rPr>
        <w:t xml:space="preserve"> stay of the </w:t>
      </w:r>
      <w:r w:rsidR="000C4651" w:rsidRPr="006B7726">
        <w:rPr>
          <w:iCs/>
          <w:lang w:val="en-CA" w:eastAsia="fr-CA"/>
        </w:rPr>
        <w:t xml:space="preserve">application </w:t>
      </w:r>
      <w:r w:rsidR="0035069F">
        <w:rPr>
          <w:iCs/>
          <w:lang w:val="en-CA" w:eastAsia="fr-CA"/>
        </w:rPr>
        <w:t xml:space="preserve">of the </w:t>
      </w:r>
      <w:r w:rsidR="0035069F" w:rsidRPr="0035069F">
        <w:rPr>
          <w:i/>
          <w:lang w:val="en-CA" w:eastAsia="fr-CA"/>
        </w:rPr>
        <w:t>Act</w:t>
      </w:r>
      <w:r w:rsidR="0035069F">
        <w:rPr>
          <w:iCs/>
          <w:lang w:val="en-CA" w:eastAsia="fr-CA"/>
        </w:rPr>
        <w:t xml:space="preserve"> </w:t>
      </w:r>
      <w:r w:rsidR="000C4651" w:rsidRPr="006B7726">
        <w:rPr>
          <w:iCs/>
          <w:lang w:val="en-CA" w:eastAsia="fr-CA"/>
        </w:rPr>
        <w:t>to En</w:t>
      </w:r>
      <w:r w:rsidRPr="006B7726">
        <w:rPr>
          <w:lang w:val="en-CA" w:eastAsia="fr-CA"/>
        </w:rPr>
        <w:t>glish</w:t>
      </w:r>
      <w:r w:rsidR="002C11CB">
        <w:rPr>
          <w:lang w:val="en-CA" w:eastAsia="fr-CA"/>
        </w:rPr>
        <w:t>-language</w:t>
      </w:r>
      <w:r w:rsidRPr="006B7726">
        <w:rPr>
          <w:lang w:val="en-CA" w:eastAsia="fr-CA"/>
        </w:rPr>
        <w:t xml:space="preserve"> school boards.</w:t>
      </w:r>
      <w:r w:rsidR="000C4651" w:rsidRPr="00BA1219">
        <w:rPr>
          <w:rStyle w:val="Appelnotedebasdep"/>
          <w:lang w:val="en-CA" w:eastAsia="fr-CA"/>
        </w:rPr>
        <w:footnoteReference w:id="6"/>
      </w:r>
    </w:p>
    <w:p w14:paraId="2DB7CB27" w14:textId="2E420D48" w:rsidR="00673025" w:rsidRPr="00BA1219" w:rsidRDefault="006B7726" w:rsidP="00497D21">
      <w:pPr>
        <w:pStyle w:val="Paragrsimple"/>
        <w:tabs>
          <w:tab w:val="clear" w:pos="360"/>
        </w:tabs>
        <w:rPr>
          <w:lang w:val="en-CA" w:eastAsia="fr-CA"/>
        </w:rPr>
      </w:pPr>
      <w:r w:rsidRPr="006B7726">
        <w:rPr>
          <w:lang w:val="en-CA" w:eastAsia="fr-CA"/>
        </w:rPr>
        <w:t>On September 17, 2020, t</w:t>
      </w:r>
      <w:r w:rsidR="00F8060B" w:rsidRPr="006B7726">
        <w:rPr>
          <w:lang w:val="en-CA" w:eastAsia="fr-CA"/>
        </w:rPr>
        <w:t>hat judgment was upheld on appeal.</w:t>
      </w:r>
      <w:r w:rsidR="00F8060B" w:rsidRPr="006B7726">
        <w:rPr>
          <w:rStyle w:val="Appelnotedebasdep"/>
          <w:lang w:val="en-CA" w:eastAsia="fr-CA"/>
        </w:rPr>
        <w:footnoteReference w:id="7"/>
      </w:r>
      <w:r w:rsidR="0096102C" w:rsidRPr="00BA1219">
        <w:rPr>
          <w:lang w:val="en-CA" w:eastAsia="fr-CA"/>
        </w:rPr>
        <w:t xml:space="preserve"> </w:t>
      </w:r>
      <w:r w:rsidR="00F8060B" w:rsidRPr="00BA1219">
        <w:rPr>
          <w:lang w:val="en-CA" w:eastAsia="fr-CA"/>
        </w:rPr>
        <w:t>The applicants</w:t>
      </w:r>
      <w:r>
        <w:rPr>
          <w:lang w:val="en-CA" w:eastAsia="fr-CA"/>
        </w:rPr>
        <w:t>’</w:t>
      </w:r>
      <w:r w:rsidR="00F8060B" w:rsidRPr="00BA1219">
        <w:rPr>
          <w:lang w:val="en-CA" w:eastAsia="fr-CA"/>
        </w:rPr>
        <w:t xml:space="preserve"> </w:t>
      </w:r>
      <w:r w:rsidR="00B53C20">
        <w:rPr>
          <w:lang w:val="en-CA" w:eastAsia="fr-CA"/>
        </w:rPr>
        <w:t>claims</w:t>
      </w:r>
      <w:r w:rsidR="00F8060B" w:rsidRPr="00BA1219">
        <w:rPr>
          <w:lang w:val="en-CA" w:eastAsia="fr-CA"/>
        </w:rPr>
        <w:t xml:space="preserve"> must now be decided on the merits.</w:t>
      </w:r>
      <w:r w:rsidR="0096102C" w:rsidRPr="00BA1219">
        <w:rPr>
          <w:lang w:val="en-CA" w:eastAsia="fr-CA"/>
        </w:rPr>
        <w:t xml:space="preserve"> </w:t>
      </w:r>
    </w:p>
    <w:p w14:paraId="7EF9720D" w14:textId="2B1CCEB9" w:rsidR="006A3D7B" w:rsidRPr="006B7726" w:rsidRDefault="00F8060B" w:rsidP="00AC655B">
      <w:pPr>
        <w:pStyle w:val="Titre1"/>
        <w:rPr>
          <w:lang w:val="en-CA" w:eastAsia="fr-CA"/>
        </w:rPr>
      </w:pPr>
      <w:r w:rsidRPr="006B7726">
        <w:rPr>
          <w:lang w:val="en-CA" w:eastAsia="fr-CA"/>
        </w:rPr>
        <w:t>The applicants</w:t>
      </w:r>
    </w:p>
    <w:p w14:paraId="42996997" w14:textId="6AC36826" w:rsidR="00EF719B" w:rsidRPr="00BA1219" w:rsidRDefault="00F8060B" w:rsidP="00497D21">
      <w:pPr>
        <w:pStyle w:val="Paragrsimple"/>
        <w:tabs>
          <w:tab w:val="clear" w:pos="360"/>
        </w:tabs>
        <w:rPr>
          <w:lang w:val="en-CA" w:eastAsia="fr-CA"/>
        </w:rPr>
      </w:pPr>
      <w:r w:rsidRPr="006B7726">
        <w:rPr>
          <w:lang w:val="en-CA" w:eastAsia="fr-CA"/>
        </w:rPr>
        <w:t>The Quebec English School Boards Association</w:t>
      </w:r>
      <w:r w:rsidRPr="006B7726">
        <w:rPr>
          <w:rStyle w:val="Appelnotedebasdep"/>
          <w:lang w:val="en-CA" w:eastAsia="fr-CA"/>
        </w:rPr>
        <w:footnoteReference w:id="8"/>
      </w:r>
      <w:r w:rsidR="002C11CB">
        <w:rPr>
          <w:lang w:val="en-CA" w:eastAsia="fr-CA"/>
        </w:rPr>
        <w:t xml:space="preserve"> </w:t>
      </w:r>
      <w:r w:rsidRPr="006B7726">
        <w:rPr>
          <w:lang w:val="en-CA" w:eastAsia="fr-CA"/>
        </w:rPr>
        <w:t xml:space="preserve">is a non-profit legal person founded in 1936 by </w:t>
      </w:r>
      <w:r w:rsidR="008852AD">
        <w:rPr>
          <w:lang w:val="en-CA" w:eastAsia="fr-CA"/>
        </w:rPr>
        <w:t>a</w:t>
      </w:r>
      <w:r w:rsidR="008852AD" w:rsidRPr="006B7726">
        <w:rPr>
          <w:lang w:val="en-CA" w:eastAsia="fr-CA"/>
        </w:rPr>
        <w:t xml:space="preserve"> </w:t>
      </w:r>
      <w:r w:rsidRPr="006B7726">
        <w:rPr>
          <w:lang w:val="en-CA" w:eastAsia="fr-CA"/>
        </w:rPr>
        <w:t>grant of letters patent. At th</w:t>
      </w:r>
      <w:r w:rsidR="008852AD">
        <w:rPr>
          <w:lang w:val="en-CA" w:eastAsia="fr-CA"/>
        </w:rPr>
        <w:t>e</w:t>
      </w:r>
      <w:r w:rsidRPr="006B7726">
        <w:rPr>
          <w:lang w:val="en-CA" w:eastAsia="fr-CA"/>
        </w:rPr>
        <w:t xml:space="preserve"> time, it was known as the “Provincial Association of Protestant School Boards of the Province of Quebec”.</w:t>
      </w:r>
      <w:r w:rsidR="0096102C" w:rsidRPr="00BA1219">
        <w:rPr>
          <w:lang w:val="en-CA" w:eastAsia="fr-CA"/>
        </w:rPr>
        <w:t xml:space="preserve"> </w:t>
      </w:r>
      <w:r w:rsidRPr="006B7726">
        <w:rPr>
          <w:lang w:val="en-CA" w:eastAsia="fr-CA"/>
        </w:rPr>
        <w:t>It changed its name in 1999.</w:t>
      </w:r>
    </w:p>
    <w:p w14:paraId="12748BEB" w14:textId="43B9BD81" w:rsidR="00EF719B" w:rsidRPr="006B7726" w:rsidRDefault="00F8060B" w:rsidP="00497D21">
      <w:pPr>
        <w:pStyle w:val="Paragrsimple"/>
        <w:tabs>
          <w:tab w:val="clear" w:pos="360"/>
        </w:tabs>
        <w:rPr>
          <w:lang w:val="en-CA" w:eastAsia="fr-CA"/>
        </w:rPr>
      </w:pPr>
      <w:r w:rsidRPr="006B7726">
        <w:rPr>
          <w:lang w:val="en-CA" w:eastAsia="fr-CA"/>
        </w:rPr>
        <w:t>The board of directors of the QESBA is composed of two or three commissioners from each of the nine English</w:t>
      </w:r>
      <w:r w:rsidR="006B7726" w:rsidRPr="006B7726">
        <w:rPr>
          <w:lang w:val="en-CA" w:eastAsia="fr-CA"/>
        </w:rPr>
        <w:t>-language</w:t>
      </w:r>
      <w:r w:rsidRPr="006B7726">
        <w:rPr>
          <w:lang w:val="en-CA" w:eastAsia="fr-CA"/>
        </w:rPr>
        <w:t xml:space="preserve"> school boards.</w:t>
      </w:r>
      <w:r w:rsidR="0096102C" w:rsidRPr="006B7726">
        <w:rPr>
          <w:lang w:val="en-CA" w:eastAsia="fr-CA"/>
        </w:rPr>
        <w:t> </w:t>
      </w:r>
    </w:p>
    <w:p w14:paraId="1C28637B" w14:textId="2EDD274C" w:rsidR="00EF719B" w:rsidRPr="006B7726" w:rsidRDefault="00F8060B" w:rsidP="00497D21">
      <w:pPr>
        <w:pStyle w:val="Paragrsimple"/>
        <w:tabs>
          <w:tab w:val="clear" w:pos="360"/>
        </w:tabs>
        <w:rPr>
          <w:lang w:val="en-CA" w:eastAsia="fr-CA"/>
        </w:rPr>
      </w:pPr>
      <w:r w:rsidRPr="006B7726">
        <w:rPr>
          <w:lang w:val="en-CA" w:eastAsia="fr-CA"/>
        </w:rPr>
        <w:t>The Lester B. Pearson School Board is one of the nine English school boards established by order</w:t>
      </w:r>
      <w:r w:rsidR="00A41380">
        <w:rPr>
          <w:lang w:val="en-CA" w:eastAsia="fr-CA"/>
        </w:rPr>
        <w:t xml:space="preserve"> </w:t>
      </w:r>
      <w:r w:rsidRPr="006B7726">
        <w:rPr>
          <w:lang w:val="en-CA" w:eastAsia="fr-CA"/>
        </w:rPr>
        <w:t>in council in 1997.</w:t>
      </w:r>
      <w:r w:rsidRPr="006B7726">
        <w:rPr>
          <w:rStyle w:val="Appelnotedebasdep"/>
          <w:lang w:val="en-CA" w:eastAsia="fr-CA"/>
        </w:rPr>
        <w:footnoteReference w:id="9"/>
      </w:r>
    </w:p>
    <w:p w14:paraId="547D267F" w14:textId="77C3D8EA" w:rsidR="00EF719B" w:rsidRPr="006B7726" w:rsidRDefault="00F8060B" w:rsidP="00497D21">
      <w:pPr>
        <w:pStyle w:val="Paragrsimple"/>
        <w:rPr>
          <w:lang w:val="en-CA" w:eastAsia="fr-CA"/>
        </w:rPr>
      </w:pPr>
      <w:r w:rsidRPr="006B7726">
        <w:rPr>
          <w:lang w:val="en-CA" w:eastAsia="fr-CA"/>
        </w:rPr>
        <w:t>The eight (8) other English school boards in Quebec are also parties to these proceedings, as interveners.</w:t>
      </w:r>
    </w:p>
    <w:p w14:paraId="603AB48B" w14:textId="181BAB04" w:rsidR="00EF719B" w:rsidRPr="00BA1219" w:rsidRDefault="00F8060B" w:rsidP="00497D21">
      <w:pPr>
        <w:pStyle w:val="Paragrsimple"/>
        <w:rPr>
          <w:lang w:val="en-CA" w:eastAsia="fr-CA"/>
        </w:rPr>
      </w:pPr>
      <w:r w:rsidRPr="006B7726">
        <w:rPr>
          <w:lang w:val="en-CA"/>
        </w:rPr>
        <w:t>Mr. Gordon is a rights</w:t>
      </w:r>
      <w:r w:rsidR="00A41380">
        <w:rPr>
          <w:lang w:val="en-CA"/>
        </w:rPr>
        <w:t xml:space="preserve"> </w:t>
      </w:r>
      <w:r w:rsidRPr="006B7726">
        <w:rPr>
          <w:lang w:val="en-CA"/>
        </w:rPr>
        <w:t xml:space="preserve">holder </w:t>
      </w:r>
      <w:r w:rsidR="008852AD">
        <w:rPr>
          <w:lang w:val="en-CA"/>
        </w:rPr>
        <w:t>under</w:t>
      </w:r>
      <w:r w:rsidRPr="006B7726">
        <w:rPr>
          <w:lang w:val="en-CA"/>
        </w:rPr>
        <w:t xml:space="preserve"> section 23 of the </w:t>
      </w:r>
      <w:r w:rsidRPr="006B7726">
        <w:rPr>
          <w:i/>
          <w:lang w:val="en-CA"/>
        </w:rPr>
        <w:t>Charter</w:t>
      </w:r>
      <w:r w:rsidRPr="006B7726">
        <w:rPr>
          <w:lang w:val="en-CA"/>
        </w:rPr>
        <w:t>.</w:t>
      </w:r>
      <w:r w:rsidR="0096102C" w:rsidRPr="00BA1219">
        <w:rPr>
          <w:lang w:val="en-CA"/>
        </w:rPr>
        <w:t xml:space="preserve"> </w:t>
      </w:r>
      <w:r w:rsidRPr="006B7726">
        <w:rPr>
          <w:rStyle w:val="Hyperlien"/>
          <w:rFonts w:cs="Arial"/>
          <w:iCs/>
          <w:color w:val="auto"/>
          <w:u w:val="none"/>
          <w:lang w:val="en-CA"/>
        </w:rPr>
        <w:t xml:space="preserve">He holds a certificate of eligibility for instruction in English in accordance with section 76.1 of the </w:t>
      </w:r>
      <w:r w:rsidRPr="00720FAF">
        <w:rPr>
          <w:rStyle w:val="Hyperlien"/>
          <w:rFonts w:cs="Arial"/>
          <w:i/>
          <w:color w:val="auto"/>
          <w:u w:val="none"/>
          <w:lang w:val="en-CA"/>
        </w:rPr>
        <w:t>Charter of the French language</w:t>
      </w:r>
      <w:r w:rsidRPr="006B7726">
        <w:rPr>
          <w:rStyle w:val="Hyperlien"/>
          <w:rFonts w:cs="Arial"/>
          <w:iCs/>
          <w:color w:val="auto"/>
          <w:u w:val="none"/>
          <w:lang w:val="en-CA"/>
        </w:rPr>
        <w:t>.</w:t>
      </w:r>
      <w:r w:rsidRPr="00915647">
        <w:rPr>
          <w:rStyle w:val="Appelnotedebasdep"/>
          <w:lang w:val="en-CA"/>
        </w:rPr>
        <w:footnoteReference w:id="10"/>
      </w:r>
      <w:r w:rsidR="00F3372C" w:rsidRPr="00915647">
        <w:rPr>
          <w:rStyle w:val="Hyperlien"/>
          <w:rFonts w:cs="Arial"/>
          <w:color w:val="auto"/>
          <w:u w:val="none"/>
          <w:lang w:val="en-CA"/>
        </w:rPr>
        <w:t xml:space="preserve"> </w:t>
      </w:r>
      <w:r w:rsidRPr="006B7726">
        <w:rPr>
          <w:lang w:val="en-CA"/>
        </w:rPr>
        <w:t xml:space="preserve">One of his children attends Lake of Two Mountains High School </w:t>
      </w:r>
      <w:r w:rsidR="00915647">
        <w:rPr>
          <w:lang w:val="en-CA"/>
        </w:rPr>
        <w:t>in</w:t>
      </w:r>
      <w:r w:rsidRPr="006B7726">
        <w:rPr>
          <w:lang w:val="en-CA"/>
        </w:rPr>
        <w:t xml:space="preserve"> the Sir Wilfrid Laurier School Board</w:t>
      </w:r>
      <w:r w:rsidR="00A41380">
        <w:rPr>
          <w:lang w:val="en-CA"/>
        </w:rPr>
        <w:t>,</w:t>
      </w:r>
      <w:r w:rsidRPr="006B7726">
        <w:rPr>
          <w:lang w:val="en-CA"/>
        </w:rPr>
        <w:t xml:space="preserve"> and </w:t>
      </w:r>
      <w:r w:rsidR="00A41380">
        <w:rPr>
          <w:lang w:val="en-CA"/>
        </w:rPr>
        <w:t xml:space="preserve">his </w:t>
      </w:r>
      <w:r w:rsidRPr="006B7726">
        <w:rPr>
          <w:lang w:val="en-CA"/>
        </w:rPr>
        <w:t xml:space="preserve">other child attends a school </w:t>
      </w:r>
      <w:r w:rsidR="00915647">
        <w:rPr>
          <w:lang w:val="en-CA"/>
        </w:rPr>
        <w:t>in</w:t>
      </w:r>
      <w:r w:rsidRPr="006B7726">
        <w:rPr>
          <w:lang w:val="en-CA"/>
        </w:rPr>
        <w:t xml:space="preserve"> the English Montreal School Board.</w:t>
      </w:r>
    </w:p>
    <w:p w14:paraId="472D339A" w14:textId="4916310F" w:rsidR="00EF719B" w:rsidRPr="006B7726" w:rsidRDefault="00F8060B" w:rsidP="00497D21">
      <w:pPr>
        <w:pStyle w:val="Paragrsimple"/>
        <w:rPr>
          <w:lang w:val="en-CA"/>
        </w:rPr>
      </w:pPr>
      <w:r w:rsidRPr="006B7726">
        <w:rPr>
          <w:lang w:val="en-CA"/>
        </w:rPr>
        <w:t>Mr. Gordon has been sitting on the governing board of Lake of Two Mountains High School since his election in September 2018 and has been the chair of the Sir Wilfrid Laurier School Board parents’ committee since October 2019.</w:t>
      </w:r>
    </w:p>
    <w:p w14:paraId="2C21857F" w14:textId="301E312B" w:rsidR="00EF719B" w:rsidRPr="00BA1219" w:rsidRDefault="00F8060B" w:rsidP="00497D21">
      <w:pPr>
        <w:pStyle w:val="Paragrsimple"/>
        <w:rPr>
          <w:lang w:val="en-CA"/>
        </w:rPr>
      </w:pPr>
      <w:r w:rsidRPr="006B7726">
        <w:rPr>
          <w:lang w:val="en-CA"/>
        </w:rPr>
        <w:t>Ms. Keyes teaches preschool.</w:t>
      </w:r>
      <w:r w:rsidR="0096102C" w:rsidRPr="00BA1219">
        <w:rPr>
          <w:lang w:val="en-CA"/>
        </w:rPr>
        <w:t xml:space="preserve"> </w:t>
      </w:r>
      <w:r w:rsidRPr="006B7726">
        <w:rPr>
          <w:lang w:val="en-CA"/>
        </w:rPr>
        <w:t>Her three children attend or attended English</w:t>
      </w:r>
      <w:r w:rsidR="008852AD">
        <w:rPr>
          <w:lang w:val="en-CA"/>
        </w:rPr>
        <w:t>-language</w:t>
      </w:r>
      <w:r w:rsidRPr="006B7726">
        <w:rPr>
          <w:lang w:val="en-CA"/>
        </w:rPr>
        <w:t xml:space="preserve"> public schools.</w:t>
      </w:r>
      <w:r w:rsidR="0096102C" w:rsidRPr="00BA1219">
        <w:rPr>
          <w:lang w:val="en-CA"/>
        </w:rPr>
        <w:t xml:space="preserve"> </w:t>
      </w:r>
      <w:r w:rsidRPr="006B7726">
        <w:rPr>
          <w:lang w:val="en-CA"/>
        </w:rPr>
        <w:t>She has been a commissioner of the New Frontiers School Board since 2014.</w:t>
      </w:r>
      <w:r w:rsidR="0096102C" w:rsidRPr="00BA1219">
        <w:rPr>
          <w:lang w:val="en-CA"/>
        </w:rPr>
        <w:t xml:space="preserve"> </w:t>
      </w:r>
      <w:r w:rsidRPr="006B7726">
        <w:rPr>
          <w:lang w:val="en-CA"/>
        </w:rPr>
        <w:t>She has been granted interven</w:t>
      </w:r>
      <w:r w:rsidR="006831A0">
        <w:rPr>
          <w:lang w:val="en-CA"/>
        </w:rPr>
        <w:t>o</w:t>
      </w:r>
      <w:r w:rsidRPr="006B7726">
        <w:rPr>
          <w:lang w:val="en-CA"/>
        </w:rPr>
        <w:t>r status.</w:t>
      </w:r>
    </w:p>
    <w:p w14:paraId="1D0B17DB" w14:textId="1D4BD976" w:rsidR="00EF719B" w:rsidRPr="00BA1219" w:rsidRDefault="00F8060B" w:rsidP="00497D21">
      <w:pPr>
        <w:pStyle w:val="Paragrsimple"/>
        <w:rPr>
          <w:lang w:val="en-CA"/>
        </w:rPr>
      </w:pPr>
      <w:r w:rsidRPr="006B7726">
        <w:rPr>
          <w:lang w:val="en-CA"/>
        </w:rPr>
        <w:lastRenderedPageBreak/>
        <w:t>Mr. Chris Eustace is devoted to the cause of education.</w:t>
      </w:r>
      <w:r w:rsidR="0096102C" w:rsidRPr="00BA1219">
        <w:rPr>
          <w:lang w:val="en-CA"/>
        </w:rPr>
        <w:t xml:space="preserve"> </w:t>
      </w:r>
      <w:r w:rsidRPr="006B7726">
        <w:rPr>
          <w:lang w:val="en-CA"/>
        </w:rPr>
        <w:t>He taught high school for 33 years.</w:t>
      </w:r>
      <w:r w:rsidR="0096102C" w:rsidRPr="00BA1219">
        <w:rPr>
          <w:lang w:val="en-CA"/>
        </w:rPr>
        <w:t xml:space="preserve"> </w:t>
      </w:r>
      <w:r w:rsidRPr="006B7726">
        <w:rPr>
          <w:lang w:val="en-CA"/>
        </w:rPr>
        <w:t>He is now retired.</w:t>
      </w:r>
      <w:r w:rsidR="0096102C" w:rsidRPr="00BA1219">
        <w:rPr>
          <w:lang w:val="en-CA"/>
        </w:rPr>
        <w:t xml:space="preserve"> </w:t>
      </w:r>
      <w:r w:rsidRPr="006B7726">
        <w:rPr>
          <w:lang w:val="en-CA"/>
        </w:rPr>
        <w:t xml:space="preserve">He </w:t>
      </w:r>
      <w:r w:rsidR="008852AD">
        <w:rPr>
          <w:lang w:val="en-CA"/>
        </w:rPr>
        <w:t>has run</w:t>
      </w:r>
      <w:r w:rsidR="008852AD" w:rsidRPr="006B7726">
        <w:rPr>
          <w:lang w:val="en-CA"/>
        </w:rPr>
        <w:t xml:space="preserve"> </w:t>
      </w:r>
      <w:r w:rsidRPr="006B7726">
        <w:rPr>
          <w:lang w:val="en-CA"/>
        </w:rPr>
        <w:t>in several school elections.</w:t>
      </w:r>
      <w:r w:rsidR="0096102C" w:rsidRPr="00BA1219">
        <w:rPr>
          <w:lang w:val="en-CA"/>
        </w:rPr>
        <w:t xml:space="preserve"> </w:t>
      </w:r>
      <w:r w:rsidRPr="006B7726">
        <w:rPr>
          <w:lang w:val="en-CA"/>
        </w:rPr>
        <w:t>His grandchildren attend English</w:t>
      </w:r>
      <w:r w:rsidR="008852AD">
        <w:rPr>
          <w:lang w:val="en-CA"/>
        </w:rPr>
        <w:t>-language</w:t>
      </w:r>
      <w:r w:rsidRPr="006B7726">
        <w:rPr>
          <w:lang w:val="en-CA"/>
        </w:rPr>
        <w:t xml:space="preserve"> public school.</w:t>
      </w:r>
    </w:p>
    <w:p w14:paraId="4D9EE14F" w14:textId="774D3677" w:rsidR="00EF719B" w:rsidRPr="006B7726" w:rsidRDefault="00F8060B" w:rsidP="00497D21">
      <w:pPr>
        <w:pStyle w:val="Paragrsimple"/>
        <w:rPr>
          <w:lang w:val="en-CA"/>
        </w:rPr>
      </w:pPr>
      <w:r w:rsidRPr="006B7726">
        <w:rPr>
          <w:lang w:val="en-CA"/>
        </w:rPr>
        <w:t>He is involved in the public debate concerning school governance in several ways, including writing letters to editors, giving radio interviews, and participating in public meetings.</w:t>
      </w:r>
    </w:p>
    <w:p w14:paraId="633668BE" w14:textId="06120F16" w:rsidR="00EF719B" w:rsidRPr="006B7726" w:rsidRDefault="00F8060B" w:rsidP="00497D21">
      <w:pPr>
        <w:pStyle w:val="Paragrsimple"/>
        <w:rPr>
          <w:lang w:val="en-CA"/>
        </w:rPr>
      </w:pPr>
      <w:r w:rsidRPr="006B7726">
        <w:rPr>
          <w:lang w:val="en-CA"/>
        </w:rPr>
        <w:t xml:space="preserve">He provides an original point of view in this debate, </w:t>
      </w:r>
      <w:r w:rsidR="006831A0">
        <w:rPr>
          <w:lang w:val="en-CA"/>
        </w:rPr>
        <w:t>opposing</w:t>
      </w:r>
      <w:r w:rsidRPr="006B7726">
        <w:rPr>
          <w:lang w:val="en-CA"/>
        </w:rPr>
        <w:t xml:space="preserve"> the position adopted by the English school boards.</w:t>
      </w:r>
    </w:p>
    <w:p w14:paraId="395D2115" w14:textId="6B41A549" w:rsidR="00EF719B" w:rsidRPr="006B7726" w:rsidRDefault="00F8060B" w:rsidP="00497D21">
      <w:pPr>
        <w:pStyle w:val="Paragrsimple"/>
        <w:rPr>
          <w:lang w:val="en-CA"/>
        </w:rPr>
      </w:pPr>
      <w:r w:rsidRPr="006B7726">
        <w:rPr>
          <w:lang w:val="en-CA"/>
        </w:rPr>
        <w:t>He was granted the status of friend of the Court (</w:t>
      </w:r>
      <w:r w:rsidRPr="006831A0">
        <w:rPr>
          <w:i/>
          <w:iCs/>
          <w:lang w:val="en-CA"/>
        </w:rPr>
        <w:t>amicus curiae</w:t>
      </w:r>
      <w:r w:rsidRPr="006B7726">
        <w:rPr>
          <w:lang w:val="en-CA"/>
        </w:rPr>
        <w:t xml:space="preserve"> interven</w:t>
      </w:r>
      <w:r w:rsidR="006831A0">
        <w:rPr>
          <w:lang w:val="en-CA"/>
        </w:rPr>
        <w:t>o</w:t>
      </w:r>
      <w:r w:rsidRPr="006B7726">
        <w:rPr>
          <w:lang w:val="en-CA"/>
        </w:rPr>
        <w:t>r) in accordance with article 187 CCP.</w:t>
      </w:r>
    </w:p>
    <w:p w14:paraId="44CAF739" w14:textId="08D35C50" w:rsidR="006A3D7B" w:rsidRPr="0010723F" w:rsidRDefault="00F8060B" w:rsidP="00AC655B">
      <w:pPr>
        <w:pStyle w:val="Titre1"/>
        <w:rPr>
          <w:lang w:val="en-CA" w:eastAsia="fr-CA"/>
        </w:rPr>
      </w:pPr>
      <w:r w:rsidRPr="0010723F">
        <w:rPr>
          <w:lang w:val="en-CA" w:eastAsia="fr-CA"/>
        </w:rPr>
        <w:t>Bill 40</w:t>
      </w:r>
      <w:r w:rsidR="0096102C" w:rsidRPr="0010723F">
        <w:rPr>
          <w:lang w:val="en-CA" w:eastAsia="fr-CA"/>
        </w:rPr>
        <w:t xml:space="preserve"> </w:t>
      </w:r>
    </w:p>
    <w:p w14:paraId="397B2252" w14:textId="272CE688" w:rsidR="00EF719B" w:rsidRPr="006B7726" w:rsidRDefault="00F8060B" w:rsidP="00FD4AC4">
      <w:pPr>
        <w:pStyle w:val="Paragrdouble"/>
        <w:spacing w:line="240" w:lineRule="auto"/>
        <w:rPr>
          <w:lang w:val="en-CA" w:eastAsia="fr-CA"/>
        </w:rPr>
      </w:pPr>
      <w:r w:rsidRPr="006B7726">
        <w:rPr>
          <w:lang w:val="en-CA"/>
        </w:rPr>
        <w:t xml:space="preserve">On October 1, 2019, the </w:t>
      </w:r>
      <w:r w:rsidRPr="00C305D2">
        <w:rPr>
          <w:lang w:val="en-CA"/>
        </w:rPr>
        <w:t>Minister of Education and Higher Education</w:t>
      </w:r>
      <w:r w:rsidRPr="006B7726">
        <w:rPr>
          <w:lang w:val="en-CA"/>
        </w:rPr>
        <w:t xml:space="preserve"> tabled </w:t>
      </w:r>
      <w:r w:rsidRPr="00901F33">
        <w:rPr>
          <w:lang w:val="en-CA"/>
        </w:rPr>
        <w:t>Bill 40,</w:t>
      </w:r>
      <w:r w:rsidRPr="006B7726">
        <w:rPr>
          <w:lang w:val="en-CA"/>
        </w:rPr>
        <w:t xml:space="preserve"> announc</w:t>
      </w:r>
      <w:r w:rsidR="001E02EC">
        <w:rPr>
          <w:lang w:val="en-CA"/>
        </w:rPr>
        <w:t>ing</w:t>
      </w:r>
      <w:r w:rsidRPr="006B7726">
        <w:rPr>
          <w:lang w:val="en-CA"/>
        </w:rPr>
        <w:t xml:space="preserve"> it </w:t>
      </w:r>
      <w:r w:rsidR="006831A0">
        <w:rPr>
          <w:lang w:val="en-CA"/>
        </w:rPr>
        <w:t>in a</w:t>
      </w:r>
      <w:r w:rsidRPr="006B7726">
        <w:rPr>
          <w:lang w:val="en-CA"/>
        </w:rPr>
        <w:t xml:space="preserve"> press release:</w:t>
      </w:r>
      <w:r w:rsidRPr="006B7726">
        <w:rPr>
          <w:rStyle w:val="Appelnotedebasdep"/>
          <w:lang w:val="en-CA"/>
        </w:rPr>
        <w:footnoteReference w:id="11"/>
      </w:r>
    </w:p>
    <w:p w14:paraId="7794F945" w14:textId="2AAA23AA" w:rsidR="00240EE7" w:rsidRDefault="00240EE7" w:rsidP="00CE3E87">
      <w:pPr>
        <w:pStyle w:val="Citation"/>
        <w:rPr>
          <w:lang w:val="en-CA"/>
        </w:rPr>
      </w:pPr>
      <w:r>
        <w:rPr>
          <w:lang w:val="en-CA"/>
        </w:rPr>
        <w:t>[</w:t>
      </w:r>
      <w:r w:rsidRPr="00C305D2">
        <w:rPr>
          <w:smallCaps/>
          <w:lang w:val="en-CA"/>
        </w:rPr>
        <w:t>translation</w:t>
      </w:r>
      <w:r>
        <w:rPr>
          <w:lang w:val="en-CA"/>
        </w:rPr>
        <w:t>]</w:t>
      </w:r>
    </w:p>
    <w:p w14:paraId="43E06ABF" w14:textId="3EB82E60" w:rsidR="00EF719B" w:rsidRPr="00BA1219" w:rsidRDefault="00F8060B" w:rsidP="00CE3E87">
      <w:pPr>
        <w:pStyle w:val="Citation"/>
        <w:rPr>
          <w:lang w:val="en-CA"/>
        </w:rPr>
      </w:pPr>
      <w:r w:rsidRPr="006B7726">
        <w:rPr>
          <w:lang w:val="en-CA"/>
        </w:rPr>
        <w:t xml:space="preserve">QUÉBEC, Oct. 1, 2019 /CNW </w:t>
      </w:r>
      <w:proofErr w:type="spellStart"/>
      <w:r w:rsidRPr="006B7726">
        <w:rPr>
          <w:lang w:val="en-CA"/>
        </w:rPr>
        <w:t>Telbec</w:t>
      </w:r>
      <w:proofErr w:type="spellEnd"/>
      <w:r w:rsidRPr="006B7726">
        <w:rPr>
          <w:lang w:val="en-CA"/>
        </w:rPr>
        <w:t>/ - One year to the day after the new government took office, the Minister of Education and Higher Education,</w:t>
      </w:r>
      <w:r w:rsidR="00240EE7">
        <w:rPr>
          <w:lang w:val="en-CA"/>
        </w:rPr>
        <w:t xml:space="preserve"> </w:t>
      </w:r>
      <w:r w:rsidRPr="006B7726">
        <w:rPr>
          <w:lang w:val="en-CA"/>
        </w:rPr>
        <w:t xml:space="preserve">Jean-François Roberge, tabled in the National Assembly of Quebec </w:t>
      </w:r>
      <w:r w:rsidRPr="00C305D2">
        <w:rPr>
          <w:lang w:val="en-CA"/>
        </w:rPr>
        <w:t xml:space="preserve">Bill 40 to amend mainly the </w:t>
      </w:r>
      <w:r w:rsidRPr="00C305D2">
        <w:rPr>
          <w:i/>
          <w:lang w:val="en-CA"/>
        </w:rPr>
        <w:t>Education Act</w:t>
      </w:r>
      <w:r w:rsidRPr="00C305D2">
        <w:rPr>
          <w:lang w:val="en-CA"/>
        </w:rPr>
        <w:t xml:space="preserve"> with regard to school organization and governance. The Bill seeks to equip the Quebec school network with modern, efficient governance that </w:t>
      </w:r>
      <w:r w:rsidR="00E91627" w:rsidRPr="00C305D2">
        <w:rPr>
          <w:lang w:val="en-CA"/>
        </w:rPr>
        <w:t xml:space="preserve">better meets </w:t>
      </w:r>
      <w:r w:rsidRPr="00C305D2">
        <w:rPr>
          <w:lang w:val="en-CA"/>
        </w:rPr>
        <w:t>students’ needs.</w:t>
      </w:r>
      <w:r w:rsidR="0096102C" w:rsidRPr="00C305D2">
        <w:rPr>
          <w:lang w:val="en-CA"/>
        </w:rPr>
        <w:t xml:space="preserve"> </w:t>
      </w:r>
      <w:r w:rsidR="00E91627" w:rsidRPr="00C305D2">
        <w:rPr>
          <w:lang w:val="en-CA"/>
        </w:rPr>
        <w:t xml:space="preserve">To present the Bill, </w:t>
      </w:r>
      <w:r w:rsidRPr="00C305D2">
        <w:rPr>
          <w:lang w:val="en-CA"/>
        </w:rPr>
        <w:t xml:space="preserve">Mr. Roberge was accompanied by the Parliamentary Assistant to the Premier for Relations with English-Speaking Quebecers, Mr. Christopher </w:t>
      </w:r>
      <w:proofErr w:type="spellStart"/>
      <w:r w:rsidRPr="00C305D2">
        <w:rPr>
          <w:lang w:val="en-CA"/>
        </w:rPr>
        <w:t>Skeete</w:t>
      </w:r>
      <w:proofErr w:type="spellEnd"/>
      <w:r w:rsidRPr="00C305D2">
        <w:rPr>
          <w:lang w:val="en-CA"/>
        </w:rPr>
        <w:t>.</w:t>
      </w:r>
    </w:p>
    <w:p w14:paraId="136BFBC1" w14:textId="09C7AC8F" w:rsidR="00EF719B" w:rsidRPr="006B7726" w:rsidRDefault="00F8060B" w:rsidP="00CE3E87">
      <w:pPr>
        <w:pStyle w:val="Citation"/>
        <w:rPr>
          <w:lang w:val="en-CA"/>
        </w:rPr>
      </w:pPr>
      <w:r w:rsidRPr="006B7726">
        <w:rPr>
          <w:lang w:val="en-CA"/>
        </w:rPr>
        <w:t>Among other things, th</w:t>
      </w:r>
      <w:r w:rsidR="00E91627">
        <w:rPr>
          <w:lang w:val="en-CA"/>
        </w:rPr>
        <w:t>e</w:t>
      </w:r>
      <w:r w:rsidRPr="006B7726">
        <w:rPr>
          <w:lang w:val="en-CA"/>
        </w:rPr>
        <w:t xml:space="preserve"> Bill will:</w:t>
      </w:r>
    </w:p>
    <w:p w14:paraId="30A5D0D7" w14:textId="1541A536" w:rsidR="00EF719B" w:rsidRPr="006B7726" w:rsidRDefault="00F8060B" w:rsidP="00CE3E87">
      <w:pPr>
        <w:pStyle w:val="Citation"/>
        <w:rPr>
          <w:lang w:val="en-CA"/>
        </w:rPr>
      </w:pPr>
      <w:r w:rsidRPr="006B7726">
        <w:rPr>
          <w:lang w:val="en-CA"/>
        </w:rPr>
        <w:t xml:space="preserve">Reduce bureaucracy and save approximately </w:t>
      </w:r>
      <w:r w:rsidR="00E91627">
        <w:rPr>
          <w:lang w:val="en-CA"/>
        </w:rPr>
        <w:t>$</w:t>
      </w:r>
      <w:r w:rsidRPr="006B7726">
        <w:rPr>
          <w:lang w:val="en-CA"/>
        </w:rPr>
        <w:t xml:space="preserve">45 million over </w:t>
      </w:r>
      <w:r w:rsidR="00E91627">
        <w:rPr>
          <w:lang w:val="en-CA"/>
        </w:rPr>
        <w:t>4</w:t>
      </w:r>
      <w:r w:rsidR="00E91627" w:rsidRPr="006B7726">
        <w:rPr>
          <w:lang w:val="en-CA"/>
        </w:rPr>
        <w:t xml:space="preserve"> </w:t>
      </w:r>
      <w:r w:rsidRPr="006B7726">
        <w:rPr>
          <w:lang w:val="en-CA"/>
        </w:rPr>
        <w:t>years;</w:t>
      </w:r>
    </w:p>
    <w:p w14:paraId="644984A5" w14:textId="42F48798" w:rsidR="00EF719B" w:rsidRPr="006B7726" w:rsidRDefault="00F8060B" w:rsidP="00CE3E87">
      <w:pPr>
        <w:pStyle w:val="Citation"/>
        <w:rPr>
          <w:lang w:val="en-CA"/>
        </w:rPr>
      </w:pPr>
      <w:r w:rsidRPr="006B7726">
        <w:rPr>
          <w:lang w:val="en-CA"/>
        </w:rPr>
        <w:t>Depoliticize school governance;</w:t>
      </w:r>
    </w:p>
    <w:p w14:paraId="7372A526" w14:textId="132531E9" w:rsidR="00EF719B" w:rsidRPr="006B7726" w:rsidRDefault="00F8060B" w:rsidP="00CE3E87">
      <w:pPr>
        <w:pStyle w:val="Citation"/>
        <w:rPr>
          <w:lang w:val="en-CA"/>
        </w:rPr>
      </w:pPr>
      <w:r w:rsidRPr="006B7726">
        <w:rPr>
          <w:lang w:val="en-CA"/>
        </w:rPr>
        <w:t>Provide schools with greater autonomy and bring decision-making closer to those who know the students by name;</w:t>
      </w:r>
    </w:p>
    <w:p w14:paraId="1036A2A3" w14:textId="18FBB865" w:rsidR="00EF719B" w:rsidRPr="006B7726" w:rsidRDefault="00F8060B" w:rsidP="00CE3E87">
      <w:pPr>
        <w:pStyle w:val="Citation"/>
        <w:rPr>
          <w:lang w:val="en-CA"/>
        </w:rPr>
      </w:pPr>
      <w:r w:rsidRPr="006B7726">
        <w:rPr>
          <w:lang w:val="en-CA"/>
        </w:rPr>
        <w:t>Ensure optimal management of the resources invested in the public school network.</w:t>
      </w:r>
    </w:p>
    <w:p w14:paraId="1B09F633" w14:textId="7B6CCD11" w:rsidR="00EF719B" w:rsidRPr="00BA1219" w:rsidRDefault="00F8060B" w:rsidP="00CE3E87">
      <w:pPr>
        <w:pStyle w:val="Citation"/>
        <w:rPr>
          <w:lang w:val="en-CA"/>
        </w:rPr>
      </w:pPr>
      <w:r w:rsidRPr="006B7726">
        <w:rPr>
          <w:lang w:val="en-CA"/>
        </w:rPr>
        <w:lastRenderedPageBreak/>
        <w:t>The Bill significant</w:t>
      </w:r>
      <w:r w:rsidR="00AE0095">
        <w:rPr>
          <w:lang w:val="en-CA"/>
        </w:rPr>
        <w:t>ly</w:t>
      </w:r>
      <w:r w:rsidRPr="006B7726">
        <w:rPr>
          <w:lang w:val="en-CA"/>
        </w:rPr>
        <w:t xml:space="preserve"> decentraliz</w:t>
      </w:r>
      <w:r w:rsidR="00AE0095">
        <w:rPr>
          <w:lang w:val="en-CA"/>
        </w:rPr>
        <w:t>es</w:t>
      </w:r>
      <w:r w:rsidRPr="006B7726">
        <w:rPr>
          <w:lang w:val="en-CA"/>
        </w:rPr>
        <w:t xml:space="preserve"> decision-making in favour of the schools.</w:t>
      </w:r>
      <w:r w:rsidR="0096102C" w:rsidRPr="00BA1219">
        <w:rPr>
          <w:lang w:val="en-CA"/>
        </w:rPr>
        <w:t xml:space="preserve"> </w:t>
      </w:r>
      <w:r w:rsidRPr="006B7726">
        <w:rPr>
          <w:lang w:val="en-CA"/>
        </w:rPr>
        <w:t xml:space="preserve">It also </w:t>
      </w:r>
      <w:r w:rsidR="00AE0095">
        <w:rPr>
          <w:lang w:val="en-CA"/>
        </w:rPr>
        <w:t>abolishes</w:t>
      </w:r>
      <w:r w:rsidRPr="006B7726">
        <w:rPr>
          <w:lang w:val="en-CA"/>
        </w:rPr>
        <w:t xml:space="preserve"> school elections </w:t>
      </w:r>
      <w:r w:rsidR="00AE0095">
        <w:rPr>
          <w:lang w:val="en-CA"/>
        </w:rPr>
        <w:t xml:space="preserve">and </w:t>
      </w:r>
      <w:r w:rsidRPr="006B7726">
        <w:rPr>
          <w:lang w:val="en-CA"/>
        </w:rPr>
        <w:t>school boards as they are currently known, transforming the</w:t>
      </w:r>
      <w:r w:rsidR="00AE0095">
        <w:rPr>
          <w:lang w:val="en-CA"/>
        </w:rPr>
        <w:t xml:space="preserve"> latter</w:t>
      </w:r>
      <w:r w:rsidRPr="006B7726">
        <w:rPr>
          <w:lang w:val="en-CA"/>
        </w:rPr>
        <w:t xml:space="preserve"> into school service centres (SSC), which will provide </w:t>
      </w:r>
      <w:r w:rsidR="00E91627">
        <w:rPr>
          <w:lang w:val="en-CA"/>
        </w:rPr>
        <w:t xml:space="preserve">essentially </w:t>
      </w:r>
      <w:r w:rsidRPr="006B7726">
        <w:rPr>
          <w:lang w:val="en-CA"/>
        </w:rPr>
        <w:t>administrative services to the schools on their territory.</w:t>
      </w:r>
    </w:p>
    <w:p w14:paraId="6836B1BB" w14:textId="461D2FF7" w:rsidR="00EF719B" w:rsidRPr="006B7726" w:rsidRDefault="00F8060B" w:rsidP="00CE3E87">
      <w:pPr>
        <w:pStyle w:val="Citation"/>
        <w:rPr>
          <w:lang w:val="en-CA"/>
        </w:rPr>
      </w:pPr>
      <w:r w:rsidRPr="006B7726">
        <w:rPr>
          <w:lang w:val="en-CA"/>
        </w:rPr>
        <w:t>So that the English-speaking community may identify with and fully</w:t>
      </w:r>
      <w:r w:rsidR="0007207B">
        <w:rPr>
          <w:lang w:val="en-CA"/>
        </w:rPr>
        <w:t xml:space="preserve"> adopt</w:t>
      </w:r>
      <w:r w:rsidRPr="006B7726">
        <w:rPr>
          <w:lang w:val="en-CA"/>
        </w:rPr>
        <w:t xml:space="preserve"> its school service centres, the Bill also provides for the possibility of electing parent representatives and community representatives to the nine school service centres of the English-speaking school network by universal suffrage, as is currently the case.</w:t>
      </w:r>
    </w:p>
    <w:p w14:paraId="154D3D69" w14:textId="1ECE0C70" w:rsidR="00EF719B" w:rsidRPr="006B7726" w:rsidRDefault="00F8060B" w:rsidP="00CE3E87">
      <w:pPr>
        <w:pStyle w:val="Citation"/>
        <w:rPr>
          <w:lang w:val="en-CA"/>
        </w:rPr>
      </w:pPr>
      <w:r w:rsidRPr="006B7726">
        <w:rPr>
          <w:lang w:val="en-CA"/>
        </w:rPr>
        <w:t>Quotations:</w:t>
      </w:r>
    </w:p>
    <w:p w14:paraId="16BFC137" w14:textId="77777777" w:rsidR="00F8060B" w:rsidRPr="006B7726" w:rsidRDefault="00F8060B" w:rsidP="00CE3E87">
      <w:pPr>
        <w:pStyle w:val="Citationintense"/>
        <w:rPr>
          <w:lang w:val="en-CA"/>
        </w:rPr>
      </w:pPr>
      <w:r w:rsidRPr="006B7726">
        <w:rPr>
          <w:lang w:val="en-CA"/>
        </w:rPr>
        <w:t>[</w:t>
      </w:r>
      <w:r w:rsidRPr="006B7726">
        <w:rPr>
          <w:smallCaps/>
          <w:lang w:val="en-CA"/>
        </w:rPr>
        <w:t>translation</w:t>
      </w:r>
      <w:r w:rsidRPr="006B7726">
        <w:rPr>
          <w:lang w:val="en-CA"/>
        </w:rPr>
        <w:t xml:space="preserve">] </w:t>
      </w:r>
    </w:p>
    <w:p w14:paraId="27409DC0" w14:textId="14190952" w:rsidR="005F7F67" w:rsidRDefault="0007207B" w:rsidP="004B3260">
      <w:pPr>
        <w:pStyle w:val="Citationintense"/>
        <w:rPr>
          <w:lang w:val="en-CA"/>
        </w:rPr>
      </w:pPr>
      <w:r>
        <w:rPr>
          <w:lang w:val="en-CA"/>
        </w:rPr>
        <w:t>“</w:t>
      </w:r>
      <w:r w:rsidR="00F8060B" w:rsidRPr="006B7726">
        <w:rPr>
          <w:lang w:val="en-CA"/>
        </w:rPr>
        <w:t>The Bill we</w:t>
      </w:r>
      <w:r w:rsidR="004B3260">
        <w:rPr>
          <w:lang w:val="en-CA"/>
        </w:rPr>
        <w:t>’re</w:t>
      </w:r>
      <w:r w:rsidR="00F8060B" w:rsidRPr="006B7726">
        <w:rPr>
          <w:lang w:val="en-CA"/>
        </w:rPr>
        <w:t xml:space="preserve"> presenting today reflects the promises we made.</w:t>
      </w:r>
      <w:r w:rsidR="0096102C" w:rsidRPr="00BA1219">
        <w:rPr>
          <w:lang w:val="en-CA"/>
        </w:rPr>
        <w:t xml:space="preserve"> </w:t>
      </w:r>
      <w:r w:rsidR="00F8060B" w:rsidRPr="006B7726">
        <w:rPr>
          <w:lang w:val="en-CA"/>
        </w:rPr>
        <w:t>We</w:t>
      </w:r>
      <w:r w:rsidR="004B3260">
        <w:rPr>
          <w:lang w:val="en-CA"/>
        </w:rPr>
        <w:t>’</w:t>
      </w:r>
      <w:r w:rsidR="00F8060B" w:rsidRPr="006B7726">
        <w:rPr>
          <w:lang w:val="en-CA"/>
        </w:rPr>
        <w:t>re drawing inspiration from best practices to modernize school governance.</w:t>
      </w:r>
      <w:r w:rsidR="0096102C" w:rsidRPr="00BA1219">
        <w:rPr>
          <w:lang w:val="en-CA"/>
        </w:rPr>
        <w:t xml:space="preserve"> </w:t>
      </w:r>
      <w:r w:rsidR="00F8060B" w:rsidRPr="006B7726">
        <w:rPr>
          <w:lang w:val="en-CA"/>
        </w:rPr>
        <w:t>In one year, we have done more, much more, for our school network.</w:t>
      </w:r>
      <w:r w:rsidR="0096102C" w:rsidRPr="00BA1219">
        <w:rPr>
          <w:lang w:val="en-CA"/>
        </w:rPr>
        <w:t xml:space="preserve"> </w:t>
      </w:r>
      <w:r w:rsidR="00F8060B" w:rsidRPr="006B7726">
        <w:rPr>
          <w:lang w:val="en-CA"/>
        </w:rPr>
        <w:t>It</w:t>
      </w:r>
      <w:r w:rsidR="004E14BB">
        <w:rPr>
          <w:lang w:val="en-CA"/>
        </w:rPr>
        <w:t>’</w:t>
      </w:r>
      <w:r w:rsidR="00F8060B" w:rsidRPr="006B7726">
        <w:rPr>
          <w:lang w:val="en-CA"/>
        </w:rPr>
        <w:t>s now time to do better and equip our network with governance worthy of the 21st century.</w:t>
      </w:r>
      <w:r w:rsidR="0096102C" w:rsidRPr="00BA1219">
        <w:rPr>
          <w:lang w:val="en-CA"/>
        </w:rPr>
        <w:t xml:space="preserve"> </w:t>
      </w:r>
      <w:r w:rsidR="00F8060B" w:rsidRPr="006B7726">
        <w:rPr>
          <w:lang w:val="en-CA"/>
        </w:rPr>
        <w:t>After years of waiting, we</w:t>
      </w:r>
      <w:r w:rsidR="004E14BB">
        <w:rPr>
          <w:lang w:val="en-CA"/>
        </w:rPr>
        <w:t>’</w:t>
      </w:r>
      <w:r w:rsidR="00F8060B" w:rsidRPr="006B7726">
        <w:rPr>
          <w:lang w:val="en-CA"/>
        </w:rPr>
        <w:t>re finally putting schools back in the hands of our communities.</w:t>
      </w:r>
      <w:r>
        <w:rPr>
          <w:lang w:val="en-CA"/>
        </w:rPr>
        <w:t>”</w:t>
      </w:r>
    </w:p>
    <w:p w14:paraId="7044B60F" w14:textId="0FF43923" w:rsidR="00EF719B" w:rsidRPr="00BA1219" w:rsidRDefault="00F8060B" w:rsidP="00CE3E87">
      <w:pPr>
        <w:pStyle w:val="Citationintense"/>
        <w:rPr>
          <w:lang w:val="en-CA"/>
        </w:rPr>
      </w:pPr>
      <w:r w:rsidRPr="006B7726">
        <w:rPr>
          <w:lang w:val="en-CA"/>
        </w:rPr>
        <w:t>Jean-François Roberge, Minister of Education and Higher Education</w:t>
      </w:r>
    </w:p>
    <w:p w14:paraId="71254806" w14:textId="77777777" w:rsidR="00F8060B" w:rsidRPr="006B7726" w:rsidRDefault="00F8060B" w:rsidP="00CE3E87">
      <w:pPr>
        <w:pStyle w:val="Citationintense"/>
        <w:rPr>
          <w:lang w:val="en-CA"/>
        </w:rPr>
      </w:pPr>
      <w:r w:rsidRPr="006B7726">
        <w:rPr>
          <w:lang w:val="en-CA"/>
        </w:rPr>
        <w:t>[</w:t>
      </w:r>
      <w:r w:rsidRPr="006B7726">
        <w:rPr>
          <w:smallCaps/>
          <w:lang w:val="en-CA"/>
        </w:rPr>
        <w:t>translation</w:t>
      </w:r>
      <w:r w:rsidRPr="006B7726">
        <w:rPr>
          <w:lang w:val="en-CA"/>
        </w:rPr>
        <w:t>]</w:t>
      </w:r>
    </w:p>
    <w:p w14:paraId="1709587C" w14:textId="2389C1AC" w:rsidR="00EF719B" w:rsidRPr="00BA1219" w:rsidRDefault="0007207B" w:rsidP="00CE3E87">
      <w:pPr>
        <w:pStyle w:val="Citationintense"/>
        <w:rPr>
          <w:lang w:val="en-CA"/>
        </w:rPr>
      </w:pPr>
      <w:r>
        <w:rPr>
          <w:lang w:val="en-CA"/>
        </w:rPr>
        <w:t>“</w:t>
      </w:r>
      <w:r w:rsidR="00F8060B" w:rsidRPr="006B7726">
        <w:rPr>
          <w:lang w:val="en-CA"/>
        </w:rPr>
        <w:t>I</w:t>
      </w:r>
      <w:r w:rsidR="004E14BB">
        <w:rPr>
          <w:lang w:val="en-CA"/>
        </w:rPr>
        <w:t>’</w:t>
      </w:r>
      <w:r w:rsidR="00F8060B" w:rsidRPr="006B7726">
        <w:rPr>
          <w:lang w:val="en-CA"/>
        </w:rPr>
        <w:t>m very proud of the Bill being presented today.</w:t>
      </w:r>
      <w:r w:rsidR="0096102C" w:rsidRPr="00BA1219">
        <w:rPr>
          <w:lang w:val="en-CA"/>
        </w:rPr>
        <w:t xml:space="preserve"> </w:t>
      </w:r>
      <w:r w:rsidR="00F8060B" w:rsidRPr="006B7726">
        <w:rPr>
          <w:lang w:val="en-CA"/>
        </w:rPr>
        <w:t>It</w:t>
      </w:r>
      <w:r w:rsidR="004E14BB">
        <w:rPr>
          <w:lang w:val="en-CA"/>
        </w:rPr>
        <w:t>’</w:t>
      </w:r>
      <w:r w:rsidR="00F8060B" w:rsidRPr="006B7726">
        <w:rPr>
          <w:lang w:val="en-CA"/>
        </w:rPr>
        <w:t>s concrete proof of our desire to build bridges between communities.</w:t>
      </w:r>
      <w:r w:rsidR="0096102C" w:rsidRPr="00BA1219">
        <w:rPr>
          <w:lang w:val="en-CA"/>
        </w:rPr>
        <w:t xml:space="preserve"> </w:t>
      </w:r>
      <w:r w:rsidR="00F8060B" w:rsidRPr="006B7726">
        <w:rPr>
          <w:lang w:val="en-CA"/>
        </w:rPr>
        <w:t xml:space="preserve">It will allow students </w:t>
      </w:r>
      <w:r w:rsidR="004E14BB">
        <w:rPr>
          <w:lang w:val="en-CA"/>
        </w:rPr>
        <w:t>in</w:t>
      </w:r>
      <w:r w:rsidR="00F8060B" w:rsidRPr="006B7726">
        <w:rPr>
          <w:lang w:val="en-CA"/>
        </w:rPr>
        <w:t xml:space="preserve"> the English-speaking network to benefit from the many improvements to school governance, while taking into account the specific situation of the English-speaking community.</w:t>
      </w:r>
      <w:r w:rsidR="0096102C" w:rsidRPr="00BA1219">
        <w:rPr>
          <w:lang w:val="en-CA"/>
        </w:rPr>
        <w:t xml:space="preserve"> </w:t>
      </w:r>
      <w:r w:rsidR="00F8060B" w:rsidRPr="006B7726">
        <w:rPr>
          <w:lang w:val="en-CA"/>
        </w:rPr>
        <w:t>I</w:t>
      </w:r>
      <w:r w:rsidR="004E14BB">
        <w:rPr>
          <w:lang w:val="en-CA"/>
        </w:rPr>
        <w:t>’</w:t>
      </w:r>
      <w:r w:rsidR="00F8060B" w:rsidRPr="006B7726">
        <w:rPr>
          <w:lang w:val="en-CA"/>
        </w:rPr>
        <w:t>m convinced that English-speaking Quebeckers will identify with and adopt their future school service centres</w:t>
      </w:r>
      <w:r>
        <w:rPr>
          <w:lang w:val="en-CA"/>
        </w:rPr>
        <w:t>.”</w:t>
      </w:r>
      <w:r w:rsidR="0096102C" w:rsidRPr="00BA1219">
        <w:rPr>
          <w:lang w:val="en-CA"/>
        </w:rPr>
        <w:t> </w:t>
      </w:r>
    </w:p>
    <w:p w14:paraId="5C944A69" w14:textId="278A69AC" w:rsidR="00EF719B" w:rsidRPr="006B7726" w:rsidRDefault="00F8060B" w:rsidP="00CE3E87">
      <w:pPr>
        <w:pStyle w:val="Citationintense"/>
        <w:rPr>
          <w:lang w:val="en-CA"/>
        </w:rPr>
      </w:pPr>
      <w:r w:rsidRPr="006B7726">
        <w:rPr>
          <w:lang w:val="en-CA"/>
        </w:rPr>
        <w:t xml:space="preserve">Christopher </w:t>
      </w:r>
      <w:proofErr w:type="spellStart"/>
      <w:r w:rsidRPr="006B7726">
        <w:rPr>
          <w:lang w:val="en-CA"/>
        </w:rPr>
        <w:t>Skeete</w:t>
      </w:r>
      <w:proofErr w:type="spellEnd"/>
      <w:r w:rsidRPr="006B7726">
        <w:rPr>
          <w:lang w:val="en-CA"/>
        </w:rPr>
        <w:t>, Parliamentary Assistant to the Premier for Relations with English-Speaking Quebecers.</w:t>
      </w:r>
    </w:p>
    <w:p w14:paraId="3FF79548" w14:textId="6056A14D" w:rsidR="00EF719B" w:rsidRPr="006B7726" w:rsidRDefault="00F8060B" w:rsidP="00FD4AC4">
      <w:pPr>
        <w:pStyle w:val="Paragrdouble"/>
        <w:spacing w:line="240" w:lineRule="auto"/>
        <w:rPr>
          <w:lang w:val="en-CA"/>
        </w:rPr>
      </w:pPr>
      <w:r w:rsidRPr="006B7726">
        <w:rPr>
          <w:lang w:val="en-CA"/>
        </w:rPr>
        <w:t xml:space="preserve">The explanatory notes for the </w:t>
      </w:r>
      <w:r w:rsidR="00901F33">
        <w:rPr>
          <w:lang w:val="en-CA"/>
        </w:rPr>
        <w:t xml:space="preserve">amending </w:t>
      </w:r>
      <w:r w:rsidRPr="006B7726">
        <w:rPr>
          <w:i/>
          <w:lang w:val="en-CA"/>
        </w:rPr>
        <w:t>Act</w:t>
      </w:r>
      <w:r w:rsidRPr="006B7726">
        <w:rPr>
          <w:lang w:val="en-CA"/>
        </w:rPr>
        <w:t xml:space="preserve"> </w:t>
      </w:r>
      <w:r w:rsidR="00A92A32">
        <w:rPr>
          <w:lang w:val="en-CA"/>
        </w:rPr>
        <w:t>state the following</w:t>
      </w:r>
      <w:r w:rsidRPr="006B7726">
        <w:rPr>
          <w:lang w:val="en-CA"/>
        </w:rPr>
        <w:t>:</w:t>
      </w:r>
    </w:p>
    <w:p w14:paraId="1826BDA8" w14:textId="495A2E5C" w:rsidR="00EF719B" w:rsidRPr="006B7726" w:rsidRDefault="00F8060B" w:rsidP="00CE3E87">
      <w:pPr>
        <w:pStyle w:val="Citation"/>
        <w:rPr>
          <w:lang w:val="en-CA"/>
        </w:rPr>
      </w:pPr>
      <w:r w:rsidRPr="006B7726">
        <w:rPr>
          <w:lang w:val="en-CA"/>
        </w:rPr>
        <w:t>The purpose of th</w:t>
      </w:r>
      <w:r w:rsidR="00461BCF">
        <w:rPr>
          <w:lang w:val="en-CA"/>
        </w:rPr>
        <w:t>is</w:t>
      </w:r>
      <w:r w:rsidRPr="006B7726">
        <w:rPr>
          <w:lang w:val="en-CA"/>
        </w:rPr>
        <w:t xml:space="preserve"> </w:t>
      </w:r>
      <w:r w:rsidRPr="006B7726">
        <w:rPr>
          <w:i/>
          <w:lang w:val="en-CA"/>
        </w:rPr>
        <w:t>Act</w:t>
      </w:r>
      <w:r w:rsidRPr="006B7726">
        <w:rPr>
          <w:lang w:val="en-CA"/>
        </w:rPr>
        <w:t xml:space="preserve"> is mainly to revise the organization and governance of the school boards, which become school service centres administered by a board of directors composed of parents, community representatives and school service centre staff members.</w:t>
      </w:r>
    </w:p>
    <w:p w14:paraId="214688FC" w14:textId="434ABEF8" w:rsidR="00EF719B" w:rsidRPr="00BA1219" w:rsidRDefault="00F8060B" w:rsidP="00CE3E87">
      <w:pPr>
        <w:pStyle w:val="Citation"/>
        <w:rPr>
          <w:lang w:val="en-CA"/>
        </w:rPr>
      </w:pPr>
      <w:r w:rsidRPr="006B7726">
        <w:rPr>
          <w:lang w:val="en-CA"/>
        </w:rPr>
        <w:lastRenderedPageBreak/>
        <w:t>The processes for designating or electing parent representatives and community representatives to the board of directors are different according to whether the school service centre is a French-language or English-language one.</w:t>
      </w:r>
      <w:r w:rsidR="00050DC8" w:rsidRPr="00BA1219">
        <w:rPr>
          <w:lang w:val="en-CA"/>
        </w:rPr>
        <w:t xml:space="preserve"> </w:t>
      </w:r>
      <w:r w:rsidRPr="006B7726">
        <w:rPr>
          <w:lang w:val="en-CA"/>
        </w:rPr>
        <w:t>In the case of a French-language school service centre, its territory will be divided into five districts, each represented by a parent who is on the parents’ committee and who is designated by the members of that committee.</w:t>
      </w:r>
      <w:r w:rsidR="00050DC8" w:rsidRPr="00BA1219">
        <w:rPr>
          <w:lang w:val="en-CA"/>
        </w:rPr>
        <w:t xml:space="preserve"> </w:t>
      </w:r>
      <w:r w:rsidRPr="006B7726">
        <w:rPr>
          <w:lang w:val="en-CA"/>
        </w:rPr>
        <w:t>The community representatives, for their part, will be co-opted by the parent representatives and staff representatives sitting on the board of directors.</w:t>
      </w:r>
      <w:r w:rsidR="00050DC8" w:rsidRPr="00BA1219">
        <w:rPr>
          <w:lang w:val="en-CA"/>
        </w:rPr>
        <w:t xml:space="preserve"> </w:t>
      </w:r>
      <w:r w:rsidRPr="006B7726">
        <w:rPr>
          <w:lang w:val="en-CA"/>
        </w:rPr>
        <w:t>In the case of an English-language school service centre, the parent representatives and community representatives will be elected by universal suffrage.</w:t>
      </w:r>
      <w:r w:rsidR="00050DC8" w:rsidRPr="00BA1219">
        <w:rPr>
          <w:lang w:val="en-CA"/>
        </w:rPr>
        <w:t xml:space="preserve"> </w:t>
      </w:r>
      <w:r w:rsidRPr="006B7726">
        <w:rPr>
          <w:lang w:val="en-CA"/>
        </w:rPr>
        <w:t>In both French-language and English-language school service centres, the staff representatives on the board of directors will be designated by their peers in accordance with the terms prescribed by regulation.</w:t>
      </w:r>
      <w:r w:rsidR="00050DC8" w:rsidRPr="00BA1219">
        <w:rPr>
          <w:lang w:val="en-CA"/>
        </w:rPr>
        <w:t xml:space="preserve"> </w:t>
      </w:r>
      <w:r w:rsidRPr="006B7726">
        <w:rPr>
          <w:lang w:val="en-CA"/>
        </w:rPr>
        <w:t xml:space="preserve">The process for designating the members of the French-language school service centres’ boards of directors is established in the </w:t>
      </w:r>
      <w:r w:rsidRPr="006B7726">
        <w:rPr>
          <w:i/>
          <w:lang w:val="en-CA"/>
        </w:rPr>
        <w:t>Education Act</w:t>
      </w:r>
      <w:r w:rsidRPr="006B7726">
        <w:rPr>
          <w:lang w:val="en-CA"/>
        </w:rPr>
        <w:t xml:space="preserve">, and the </w:t>
      </w:r>
      <w:r w:rsidRPr="006B7726">
        <w:rPr>
          <w:i/>
          <w:lang w:val="en-CA"/>
        </w:rPr>
        <w:t>Act respecting school elections</w:t>
      </w:r>
      <w:r w:rsidRPr="006B7726">
        <w:rPr>
          <w:lang w:val="en-CA"/>
        </w:rPr>
        <w:t xml:space="preserve"> is amended to provide for the process for electing the members of English-language school service centres’ boards of directors.</w:t>
      </w:r>
    </w:p>
    <w:p w14:paraId="2A01F2CE" w14:textId="2DA9342C" w:rsidR="00EF719B" w:rsidRPr="006B7726" w:rsidRDefault="00F8060B" w:rsidP="00CE3E87">
      <w:pPr>
        <w:pStyle w:val="Citation"/>
        <w:rPr>
          <w:lang w:val="en-CA"/>
        </w:rPr>
      </w:pPr>
      <w:r w:rsidRPr="006B7726">
        <w:rPr>
          <w:lang w:val="en-CA"/>
        </w:rPr>
        <w:t>Certain functions of school governing boards are modified, the commitment-to-student-success committee is created and certain functions of the parents’ committee and the resource allocation committee are revised.</w:t>
      </w:r>
    </w:p>
    <w:p w14:paraId="27CC98B6" w14:textId="62777165" w:rsidR="00EF719B" w:rsidRPr="006B7726" w:rsidRDefault="00F8060B" w:rsidP="00CE3E87">
      <w:pPr>
        <w:pStyle w:val="Citation"/>
        <w:rPr>
          <w:lang w:val="en-CA"/>
        </w:rPr>
      </w:pPr>
      <w:r w:rsidRPr="006B7726">
        <w:rPr>
          <w:lang w:val="en-CA"/>
        </w:rPr>
        <w:t>Members of boards of directors and governing boards are required to undergo training developed by the Minister.</w:t>
      </w:r>
    </w:p>
    <w:p w14:paraId="6F0B49B8" w14:textId="218B0044" w:rsidR="00EF719B" w:rsidRPr="00BA1219" w:rsidRDefault="00F8060B" w:rsidP="00CE3E87">
      <w:pPr>
        <w:pStyle w:val="Citation"/>
        <w:rPr>
          <w:lang w:val="en-CA"/>
        </w:rPr>
      </w:pPr>
      <w:r w:rsidRPr="006B7726">
        <w:rPr>
          <w:lang w:val="en-CA"/>
        </w:rPr>
        <w:t>As regards professional conduct, an English-language school service centre’s board of directors must adopt a code of ethics and professional conduct for certain categories of its members.</w:t>
      </w:r>
      <w:r w:rsidR="0096102C" w:rsidRPr="00BA1219">
        <w:rPr>
          <w:lang w:val="en-CA"/>
        </w:rPr>
        <w:t xml:space="preserve"> </w:t>
      </w:r>
      <w:r w:rsidRPr="006B7726">
        <w:rPr>
          <w:lang w:val="en-CA"/>
        </w:rPr>
        <w:t>The standards of ethics and professional conduct applicable to members of French-language school service centres’ boards of directors and to members representing the staff of English-language school service centres are instead determined in a regulation of the Minister.</w:t>
      </w:r>
      <w:r w:rsidR="0096102C" w:rsidRPr="00BA1219">
        <w:rPr>
          <w:lang w:val="en-CA"/>
        </w:rPr>
        <w:t xml:space="preserve"> </w:t>
      </w:r>
      <w:r w:rsidRPr="006B7726">
        <w:rPr>
          <w:lang w:val="en-CA"/>
        </w:rPr>
        <w:t>The Minister may, among other things, impose the amalgamation of services, determine objectives or targets for the administration, organization or operation of one school service centre or all such centres, more easily obtain students’ results on the examinations that the Minister imposes at the elementary and secondary levels, and communicate with school service centre employees and parents in the school network.</w:t>
      </w:r>
    </w:p>
    <w:p w14:paraId="1F17FC40" w14:textId="15D99475" w:rsidR="00EF719B" w:rsidRPr="006B7726" w:rsidRDefault="00F8060B" w:rsidP="00050DC8">
      <w:pPr>
        <w:pStyle w:val="Paragrsimple"/>
        <w:rPr>
          <w:szCs w:val="24"/>
          <w:lang w:val="en-CA"/>
        </w:rPr>
      </w:pPr>
      <w:r w:rsidRPr="006B7726">
        <w:rPr>
          <w:lang w:val="en-CA"/>
        </w:rPr>
        <w:t>Th</w:t>
      </w:r>
      <w:r w:rsidR="00C22352">
        <w:rPr>
          <w:lang w:val="en-CA"/>
        </w:rPr>
        <w:t>us, the</w:t>
      </w:r>
      <w:r w:rsidRPr="006B7726">
        <w:rPr>
          <w:lang w:val="en-CA"/>
        </w:rPr>
        <w:t xml:space="preserve"> </w:t>
      </w:r>
      <w:r w:rsidR="00901F33" w:rsidRPr="00901F33">
        <w:rPr>
          <w:i/>
          <w:iCs/>
          <w:lang w:val="en-CA"/>
        </w:rPr>
        <w:t>Act</w:t>
      </w:r>
      <w:r w:rsidRPr="006B7726">
        <w:rPr>
          <w:lang w:val="en-CA"/>
        </w:rPr>
        <w:t xml:space="preserve"> abolishe</w:t>
      </w:r>
      <w:r w:rsidR="00901F33">
        <w:rPr>
          <w:lang w:val="en-CA"/>
        </w:rPr>
        <w:t>s</w:t>
      </w:r>
      <w:r w:rsidRPr="006B7726">
        <w:rPr>
          <w:lang w:val="en-CA"/>
        </w:rPr>
        <w:t xml:space="preserve"> school elections in the French-speaking network but maintain</w:t>
      </w:r>
      <w:r w:rsidR="00E15296">
        <w:rPr>
          <w:lang w:val="en-CA"/>
        </w:rPr>
        <w:t>s</w:t>
      </w:r>
      <w:r w:rsidR="00C22352">
        <w:rPr>
          <w:lang w:val="en-CA"/>
        </w:rPr>
        <w:t xml:space="preserve"> </w:t>
      </w:r>
      <w:r w:rsidRPr="006B7726">
        <w:rPr>
          <w:lang w:val="en-CA"/>
        </w:rPr>
        <w:t>them for the English-speaking minority.</w:t>
      </w:r>
    </w:p>
    <w:p w14:paraId="7634E602" w14:textId="4F818659" w:rsidR="00EF719B" w:rsidRPr="006B7726" w:rsidRDefault="00F8060B" w:rsidP="00050DC8">
      <w:pPr>
        <w:pStyle w:val="Paragrsimple"/>
        <w:rPr>
          <w:lang w:val="en-CA"/>
        </w:rPr>
      </w:pPr>
      <w:r w:rsidRPr="006B7726">
        <w:rPr>
          <w:lang w:val="en-CA"/>
        </w:rPr>
        <w:t xml:space="preserve">However, the </w:t>
      </w:r>
      <w:r w:rsidR="00901F33" w:rsidRPr="00901F33">
        <w:rPr>
          <w:i/>
          <w:iCs/>
          <w:lang w:val="en-CA"/>
        </w:rPr>
        <w:t>Act</w:t>
      </w:r>
      <w:r w:rsidR="00901F33">
        <w:rPr>
          <w:lang w:val="en-CA"/>
        </w:rPr>
        <w:t xml:space="preserve"> </w:t>
      </w:r>
      <w:r w:rsidRPr="006B7726">
        <w:rPr>
          <w:lang w:val="en-CA"/>
        </w:rPr>
        <w:t>amend</w:t>
      </w:r>
      <w:r w:rsidR="00901F33">
        <w:rPr>
          <w:lang w:val="en-CA"/>
        </w:rPr>
        <w:t>s</w:t>
      </w:r>
      <w:r w:rsidRPr="006B7726">
        <w:rPr>
          <w:lang w:val="en-CA"/>
        </w:rPr>
        <w:t xml:space="preserve"> the composition of the boards of directors of the school management bodies of English</w:t>
      </w:r>
      <w:r w:rsidR="00461BCF">
        <w:rPr>
          <w:lang w:val="en-CA"/>
        </w:rPr>
        <w:t>-language</w:t>
      </w:r>
      <w:r w:rsidRPr="006B7726">
        <w:rPr>
          <w:lang w:val="en-CA"/>
        </w:rPr>
        <w:t xml:space="preserve"> schools by imposing categories of members.</w:t>
      </w:r>
    </w:p>
    <w:p w14:paraId="6668D4DC" w14:textId="64696A81" w:rsidR="00EF719B" w:rsidRPr="006B7726" w:rsidRDefault="00F8060B" w:rsidP="00050DC8">
      <w:pPr>
        <w:pStyle w:val="Paragrsimple"/>
        <w:rPr>
          <w:lang w:val="en-CA"/>
        </w:rPr>
      </w:pPr>
      <w:r w:rsidRPr="006B7726">
        <w:rPr>
          <w:lang w:val="en-CA"/>
        </w:rPr>
        <w:t xml:space="preserve">In summary, the boards </w:t>
      </w:r>
      <w:r w:rsidR="00E15296">
        <w:rPr>
          <w:lang w:val="en-CA"/>
        </w:rPr>
        <w:t>are</w:t>
      </w:r>
      <w:r w:rsidR="005F7F67" w:rsidRPr="006B7726">
        <w:rPr>
          <w:lang w:val="en-CA"/>
        </w:rPr>
        <w:t xml:space="preserve"> </w:t>
      </w:r>
      <w:r w:rsidRPr="006B7726">
        <w:rPr>
          <w:lang w:val="en-CA"/>
        </w:rPr>
        <w:t xml:space="preserve">composed of a majority of members from school governing boards who </w:t>
      </w:r>
      <w:r w:rsidR="00E15296">
        <w:rPr>
          <w:lang w:val="en-CA"/>
        </w:rPr>
        <w:t>must be</w:t>
      </w:r>
      <w:r w:rsidRPr="006B7726">
        <w:rPr>
          <w:lang w:val="en-CA"/>
        </w:rPr>
        <w:t xml:space="preserve"> parents of students enrolled in these institutions and </w:t>
      </w:r>
      <w:r w:rsidR="00E15296">
        <w:rPr>
          <w:lang w:val="en-CA"/>
        </w:rPr>
        <w:t xml:space="preserve">have </w:t>
      </w:r>
      <w:r w:rsidRPr="006B7726">
        <w:rPr>
          <w:lang w:val="en-CA"/>
        </w:rPr>
        <w:t xml:space="preserve">already </w:t>
      </w:r>
      <w:r w:rsidR="00C97122">
        <w:rPr>
          <w:lang w:val="en-CA"/>
        </w:rPr>
        <w:t xml:space="preserve">been </w:t>
      </w:r>
      <w:r w:rsidRPr="006B7726">
        <w:rPr>
          <w:lang w:val="en-CA"/>
        </w:rPr>
        <w:t>elected.</w:t>
      </w:r>
    </w:p>
    <w:p w14:paraId="5EBAD8C2" w14:textId="378483B3" w:rsidR="00EF719B" w:rsidRPr="00BA1219" w:rsidRDefault="00F8060B" w:rsidP="00050DC8">
      <w:pPr>
        <w:pStyle w:val="Paragrsimple"/>
        <w:rPr>
          <w:lang w:val="en-CA"/>
        </w:rPr>
      </w:pPr>
      <w:r w:rsidRPr="006B7726">
        <w:rPr>
          <w:lang w:val="en-CA"/>
        </w:rPr>
        <w:lastRenderedPageBreak/>
        <w:t xml:space="preserve">The </w:t>
      </w:r>
      <w:r w:rsidR="00901F33" w:rsidRPr="00901F33">
        <w:rPr>
          <w:i/>
          <w:iCs/>
          <w:lang w:val="en-CA"/>
        </w:rPr>
        <w:t>Act</w:t>
      </w:r>
      <w:r w:rsidR="00901F33">
        <w:rPr>
          <w:lang w:val="en-CA"/>
        </w:rPr>
        <w:t xml:space="preserve"> goes on to</w:t>
      </w:r>
      <w:r w:rsidRPr="006B7726">
        <w:rPr>
          <w:lang w:val="en-CA"/>
        </w:rPr>
        <w:t xml:space="preserve"> provide that a certain number of members </w:t>
      </w:r>
      <w:r w:rsidR="005F7F67">
        <w:rPr>
          <w:lang w:val="en-CA"/>
        </w:rPr>
        <w:t xml:space="preserve">must </w:t>
      </w:r>
      <w:r w:rsidR="00C97122">
        <w:rPr>
          <w:lang w:val="en-CA"/>
        </w:rPr>
        <w:t>be</w:t>
      </w:r>
      <w:r w:rsidRPr="006B7726">
        <w:rPr>
          <w:lang w:val="en-CA"/>
        </w:rPr>
        <w:t xml:space="preserve"> from social categories defined as follows: (a) at least one person with expertise in governance, in ethics, in risk management or in human resources management; (b) at least one person with expertise in finance or accounting or in financial or physical resources management; (c) at least one person from the community, municipal, sport, cultural, health, social services or business sector; and (d) at least one person aged 18 to</w:t>
      </w:r>
      <w:r w:rsidRPr="00BA1219">
        <w:rPr>
          <w:lang w:val="en-CA"/>
        </w:rPr>
        <w:t xml:space="preserve"> 35.</w:t>
      </w:r>
    </w:p>
    <w:p w14:paraId="411A6657" w14:textId="5FE11274" w:rsidR="00EF719B" w:rsidRPr="006B7726" w:rsidRDefault="00F8060B" w:rsidP="00050DC8">
      <w:pPr>
        <w:pStyle w:val="Paragrsimple"/>
        <w:rPr>
          <w:lang w:val="en-CA"/>
        </w:rPr>
      </w:pPr>
      <w:r w:rsidRPr="006B7726">
        <w:rPr>
          <w:lang w:val="en-CA"/>
        </w:rPr>
        <w:t>Finally, the board of directors also include</w:t>
      </w:r>
      <w:r w:rsidR="00E15296">
        <w:rPr>
          <w:lang w:val="en-CA"/>
        </w:rPr>
        <w:t>s</w:t>
      </w:r>
      <w:r w:rsidRPr="006B7726">
        <w:rPr>
          <w:lang w:val="en-CA"/>
        </w:rPr>
        <w:t xml:space="preserve"> four members of the school service centre’s staff, including one teacher, one non-teaching professional staff member, one support staff member</w:t>
      </w:r>
      <w:r w:rsidR="005F7F67">
        <w:rPr>
          <w:lang w:val="en-CA"/>
        </w:rPr>
        <w:t>,</w:t>
      </w:r>
      <w:r w:rsidRPr="006B7726">
        <w:rPr>
          <w:lang w:val="en-CA"/>
        </w:rPr>
        <w:t xml:space="preserve"> and one principal of an educational institution.</w:t>
      </w:r>
    </w:p>
    <w:p w14:paraId="2CD4E59B" w14:textId="138E8D43" w:rsidR="00EF719B" w:rsidRPr="006B7726" w:rsidRDefault="00F8060B" w:rsidP="00050DC8">
      <w:pPr>
        <w:pStyle w:val="Paragrsimple"/>
        <w:rPr>
          <w:lang w:val="en-CA"/>
        </w:rPr>
      </w:pPr>
      <w:r w:rsidRPr="006B7726">
        <w:rPr>
          <w:lang w:val="en-CA"/>
        </w:rPr>
        <w:t xml:space="preserve">Other provisions, </w:t>
      </w:r>
      <w:r w:rsidR="00E15296">
        <w:rPr>
          <w:lang w:val="en-CA"/>
        </w:rPr>
        <w:t xml:space="preserve">which are </w:t>
      </w:r>
      <w:r w:rsidRPr="006B7726">
        <w:rPr>
          <w:lang w:val="en-CA"/>
        </w:rPr>
        <w:t>listed above, amend the governance of the English</w:t>
      </w:r>
      <w:r w:rsidR="00C97122">
        <w:rPr>
          <w:lang w:val="en-CA"/>
        </w:rPr>
        <w:t>-language</w:t>
      </w:r>
      <w:r w:rsidRPr="006B7726">
        <w:rPr>
          <w:lang w:val="en-CA"/>
        </w:rPr>
        <w:t xml:space="preserve"> school system.</w:t>
      </w:r>
    </w:p>
    <w:p w14:paraId="7E794884" w14:textId="2C08657B" w:rsidR="00E72776" w:rsidRPr="006B7726" w:rsidRDefault="00F8060B" w:rsidP="00050DC8">
      <w:pPr>
        <w:pStyle w:val="Paragrsimple"/>
        <w:rPr>
          <w:szCs w:val="24"/>
          <w:lang w:val="en-CA"/>
        </w:rPr>
      </w:pPr>
      <w:r w:rsidRPr="006B7726">
        <w:rPr>
          <w:lang w:val="en-CA"/>
        </w:rPr>
        <w:t xml:space="preserve">The </w:t>
      </w:r>
      <w:r w:rsidR="00E67583">
        <w:rPr>
          <w:lang w:val="en-CA"/>
        </w:rPr>
        <w:t xml:space="preserve">Bill </w:t>
      </w:r>
      <w:r w:rsidRPr="006B7726">
        <w:rPr>
          <w:lang w:val="en-CA"/>
        </w:rPr>
        <w:t xml:space="preserve">was </w:t>
      </w:r>
      <w:r w:rsidR="00E67583">
        <w:rPr>
          <w:lang w:val="en-CA"/>
        </w:rPr>
        <w:t>passed</w:t>
      </w:r>
      <w:r w:rsidRPr="006B7726">
        <w:rPr>
          <w:lang w:val="en-CA"/>
        </w:rPr>
        <w:t xml:space="preserve"> under closure on February 8, 2020.</w:t>
      </w:r>
    </w:p>
    <w:p w14:paraId="0DDFEEA9" w14:textId="31060FF3" w:rsidR="006A3D7B" w:rsidRPr="006B7726" w:rsidRDefault="00F8060B" w:rsidP="00AC655B">
      <w:pPr>
        <w:pStyle w:val="Titre1"/>
        <w:rPr>
          <w:lang w:val="en-CA" w:eastAsia="fr-CA"/>
        </w:rPr>
      </w:pPr>
      <w:bookmarkStart w:id="1" w:name="_Hlk149038250"/>
      <w:r w:rsidRPr="006B7726">
        <w:rPr>
          <w:lang w:val="en-CA" w:eastAsia="fr-CA"/>
        </w:rPr>
        <w:t>Section 23 and the right of exclusive management and control over educational institutions</w:t>
      </w:r>
    </w:p>
    <w:bookmarkEnd w:id="1"/>
    <w:p w14:paraId="62D382DD" w14:textId="2A97DB20" w:rsidR="002D48C4" w:rsidRDefault="00F8060B" w:rsidP="00D04F2D">
      <w:pPr>
        <w:pStyle w:val="Paragrsimple"/>
        <w:rPr>
          <w:rFonts w:cs="Arial"/>
          <w:color w:val="000000"/>
          <w:lang w:val="en-CA"/>
        </w:rPr>
      </w:pPr>
      <w:r w:rsidRPr="006B7726">
        <w:rPr>
          <w:rFonts w:cs="Arial"/>
          <w:lang w:val="en-CA"/>
        </w:rPr>
        <w:t xml:space="preserve">Section 23 of the </w:t>
      </w:r>
      <w:r w:rsidRPr="006B7726">
        <w:rPr>
          <w:rFonts w:cs="Arial"/>
          <w:i/>
          <w:color w:val="000000"/>
          <w:lang w:val="en-CA"/>
        </w:rPr>
        <w:t>Charter</w:t>
      </w:r>
      <w:r w:rsidRPr="006B7726">
        <w:rPr>
          <w:rFonts w:cs="Arial"/>
          <w:color w:val="000000"/>
          <w:lang w:val="en-CA"/>
        </w:rPr>
        <w:t xml:space="preserve"> provides as follows:</w:t>
      </w:r>
    </w:p>
    <w:p w14:paraId="1EBE22C9" w14:textId="77777777" w:rsidR="002D48C4" w:rsidRDefault="002D48C4">
      <w:pPr>
        <w:rPr>
          <w:rFonts w:cs="Arial"/>
          <w:color w:val="000000"/>
          <w:kern w:val="28"/>
          <w:lang w:val="en-CA"/>
        </w:rPr>
      </w:pPr>
      <w:r>
        <w:rPr>
          <w:rFonts w:cs="Arial"/>
          <w:color w:val="000000"/>
          <w:lang w:val="en-CA"/>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B760F7" w:rsidRPr="00BA1219" w14:paraId="735E85B8" w14:textId="77777777" w:rsidTr="00E97723">
        <w:tc>
          <w:tcPr>
            <w:tcW w:w="4315" w:type="dxa"/>
          </w:tcPr>
          <w:p w14:paraId="67503E56" w14:textId="77777777" w:rsidR="00D04F2D" w:rsidRPr="006B7726" w:rsidRDefault="0096102C" w:rsidP="00E97723">
            <w:pPr>
              <w:pStyle w:val="Titre"/>
              <w:jc w:val="left"/>
              <w:rPr>
                <w:lang w:val="en-CA" w:eastAsia="en-CA"/>
              </w:rPr>
            </w:pPr>
            <w:bookmarkStart w:id="2" w:name="_Toc140833340"/>
            <w:bookmarkStart w:id="3" w:name="_Toc140833569"/>
            <w:r w:rsidRPr="006B7726">
              <w:rPr>
                <w:lang w:val="en-CA" w:eastAsia="en-CA"/>
              </w:rPr>
              <w:lastRenderedPageBreak/>
              <w:t>MINORITY LANGUAGE EDUCATIONAL RIGHTS</w:t>
            </w:r>
            <w:bookmarkEnd w:id="2"/>
            <w:bookmarkEnd w:id="3"/>
          </w:p>
          <w:p w14:paraId="0C745238" w14:textId="77777777" w:rsidR="00D04F2D" w:rsidRPr="006B7726" w:rsidRDefault="0096102C" w:rsidP="00E97723">
            <w:pPr>
              <w:pStyle w:val="Titre"/>
              <w:rPr>
                <w:lang w:val="en-CA"/>
              </w:rPr>
            </w:pPr>
            <w:r w:rsidRPr="006B7726">
              <w:rPr>
                <w:lang w:val="en-CA"/>
              </w:rPr>
              <w:t>Language of instruction</w:t>
            </w:r>
          </w:p>
          <w:p w14:paraId="6582F42D" w14:textId="77777777" w:rsidR="00D04F2D" w:rsidRPr="00BA1219" w:rsidRDefault="0096102C" w:rsidP="00E97723">
            <w:pPr>
              <w:pStyle w:val="subsection"/>
              <w:shd w:val="clear" w:color="auto" w:fill="FFFFFF"/>
              <w:spacing w:before="168" w:beforeAutospacing="0" w:after="120" w:afterAutospacing="0"/>
              <w:jc w:val="both"/>
              <w:rPr>
                <w:rFonts w:ascii="Arial" w:hAnsi="Arial" w:cs="Arial"/>
                <w:sz w:val="22"/>
                <w:szCs w:val="22"/>
                <w:lang w:val="en-CA"/>
              </w:rPr>
            </w:pPr>
            <w:r w:rsidRPr="00BA1219">
              <w:rPr>
                <w:rStyle w:val="sectionlabel"/>
                <w:rFonts w:ascii="Arial" w:hAnsi="Arial" w:cs="Arial"/>
                <w:b/>
                <w:bCs/>
                <w:sz w:val="22"/>
                <w:szCs w:val="22"/>
                <w:lang w:val="en-CA"/>
              </w:rPr>
              <w:t>23.</w:t>
            </w:r>
            <w:r w:rsidRPr="00BA1219">
              <w:rPr>
                <w:rFonts w:ascii="Arial" w:hAnsi="Arial" w:cs="Arial"/>
                <w:sz w:val="22"/>
                <w:szCs w:val="22"/>
                <w:lang w:val="en-CA"/>
              </w:rPr>
              <w:t> </w:t>
            </w:r>
            <w:r w:rsidRPr="006B7726">
              <w:rPr>
                <w:rFonts w:ascii="Arial" w:hAnsi="Arial" w:cs="Arial"/>
                <w:sz w:val="22"/>
                <w:szCs w:val="22"/>
                <w:lang w:val="en-CA"/>
              </w:rPr>
              <w:t>(1) Citizens of Canada</w:t>
            </w:r>
          </w:p>
          <w:p w14:paraId="6BDE4746" w14:textId="77777777" w:rsidR="00D04F2D" w:rsidRPr="006B7726" w:rsidRDefault="0096102C" w:rsidP="00E97723">
            <w:pPr>
              <w:pStyle w:val="paragraph"/>
              <w:shd w:val="clear" w:color="auto" w:fill="FFFFFF"/>
              <w:spacing w:before="168" w:beforeAutospacing="0" w:after="120" w:afterAutospacing="0"/>
              <w:jc w:val="both"/>
              <w:rPr>
                <w:rFonts w:ascii="Arial" w:hAnsi="Arial" w:cs="Arial"/>
                <w:sz w:val="22"/>
                <w:szCs w:val="22"/>
                <w:lang w:val="en-CA"/>
              </w:rPr>
            </w:pPr>
            <w:r w:rsidRPr="006B7726">
              <w:rPr>
                <w:rFonts w:ascii="Arial" w:hAnsi="Arial" w:cs="Arial"/>
                <w:sz w:val="22"/>
                <w:szCs w:val="22"/>
                <w:lang w:val="en-CA"/>
              </w:rPr>
              <w:t>(</w:t>
            </w:r>
            <w:r w:rsidRPr="006B7726">
              <w:rPr>
                <w:rStyle w:val="Accentuation"/>
                <w:rFonts w:ascii="Arial" w:hAnsi="Arial" w:cs="Arial"/>
                <w:sz w:val="22"/>
                <w:szCs w:val="22"/>
                <w:lang w:val="en-CA"/>
              </w:rPr>
              <w:t>a</w:t>
            </w:r>
            <w:r w:rsidRPr="006B7726">
              <w:rPr>
                <w:rFonts w:ascii="Arial" w:hAnsi="Arial" w:cs="Arial"/>
                <w:sz w:val="22"/>
                <w:szCs w:val="22"/>
                <w:lang w:val="en-CA"/>
              </w:rPr>
              <w:t>) whose first language learned and still understood is that of the English or French linguistic minority population of the province in which they reside, or</w:t>
            </w:r>
          </w:p>
          <w:p w14:paraId="49613BF8" w14:textId="77777777" w:rsidR="00D04F2D" w:rsidRPr="006B7726" w:rsidRDefault="0096102C" w:rsidP="00E97723">
            <w:pPr>
              <w:pStyle w:val="paragraph"/>
              <w:shd w:val="clear" w:color="auto" w:fill="FFFFFF"/>
              <w:spacing w:before="168" w:beforeAutospacing="0" w:after="120" w:afterAutospacing="0"/>
              <w:jc w:val="both"/>
              <w:rPr>
                <w:rFonts w:ascii="Arial" w:hAnsi="Arial" w:cs="Arial"/>
                <w:sz w:val="22"/>
                <w:szCs w:val="22"/>
                <w:lang w:val="en-CA"/>
              </w:rPr>
            </w:pPr>
            <w:r w:rsidRPr="006B7726">
              <w:rPr>
                <w:rFonts w:ascii="Arial" w:hAnsi="Arial" w:cs="Arial"/>
                <w:sz w:val="22"/>
                <w:szCs w:val="22"/>
                <w:lang w:val="en-CA"/>
              </w:rPr>
              <w:t>(</w:t>
            </w:r>
            <w:r w:rsidRPr="006B7726">
              <w:rPr>
                <w:rStyle w:val="Accentuation"/>
                <w:rFonts w:ascii="Arial" w:hAnsi="Arial" w:cs="Arial"/>
                <w:sz w:val="22"/>
                <w:szCs w:val="22"/>
                <w:lang w:val="en-CA"/>
              </w:rPr>
              <w:t>b</w:t>
            </w:r>
            <w:r w:rsidRPr="006B7726">
              <w:rPr>
                <w:rFonts w:ascii="Arial" w:hAnsi="Arial" w:cs="Arial"/>
                <w:sz w:val="22"/>
                <w:szCs w:val="22"/>
                <w:lang w:val="en-CA"/>
              </w:rPr>
              <w:t>) who have received their primary school instruction in Canada in English or French and reside in a province where the language in which they received that instruction is the language of the English or French linguistic minority population of the province,</w:t>
            </w:r>
          </w:p>
          <w:p w14:paraId="32467688" w14:textId="77777777" w:rsidR="00D04F2D" w:rsidRPr="006B7726" w:rsidRDefault="0096102C" w:rsidP="00E97723">
            <w:pPr>
              <w:pStyle w:val="continuedsectionsubsection"/>
              <w:shd w:val="clear" w:color="auto" w:fill="FFFFFF"/>
              <w:spacing w:before="168" w:beforeAutospacing="0" w:after="120" w:afterAutospacing="0"/>
              <w:jc w:val="both"/>
              <w:rPr>
                <w:rFonts w:ascii="Arial" w:hAnsi="Arial" w:cs="Arial"/>
                <w:sz w:val="22"/>
                <w:szCs w:val="22"/>
                <w:lang w:val="en-CA"/>
              </w:rPr>
            </w:pPr>
            <w:r w:rsidRPr="006B7726">
              <w:rPr>
                <w:rFonts w:ascii="Arial" w:hAnsi="Arial" w:cs="Arial"/>
                <w:sz w:val="22"/>
                <w:szCs w:val="22"/>
                <w:lang w:val="en-CA"/>
              </w:rPr>
              <w:t xml:space="preserve">have the right to have their children receive primary and secondary school instruction in that language in that province.  </w:t>
            </w:r>
          </w:p>
          <w:p w14:paraId="543E064A" w14:textId="77777777" w:rsidR="00D04F2D" w:rsidRPr="006B7726" w:rsidRDefault="0096102C" w:rsidP="00E97723">
            <w:pPr>
              <w:pStyle w:val="Titre"/>
              <w:rPr>
                <w:lang w:val="en-CA"/>
              </w:rPr>
            </w:pPr>
            <w:r w:rsidRPr="006B7726">
              <w:rPr>
                <w:lang w:val="en-CA"/>
              </w:rPr>
              <w:t>Continuity of language instruction</w:t>
            </w:r>
          </w:p>
          <w:p w14:paraId="6A841847" w14:textId="77777777" w:rsidR="00D04F2D" w:rsidRPr="00BA1219" w:rsidRDefault="0096102C" w:rsidP="00E97723">
            <w:pPr>
              <w:pStyle w:val="subsection"/>
              <w:shd w:val="clear" w:color="auto" w:fill="FFFFFF"/>
              <w:spacing w:before="168" w:beforeAutospacing="0" w:after="120" w:afterAutospacing="0"/>
              <w:jc w:val="both"/>
              <w:rPr>
                <w:rFonts w:ascii="Arial" w:hAnsi="Arial" w:cs="Arial"/>
                <w:sz w:val="22"/>
                <w:szCs w:val="22"/>
                <w:lang w:val="en-CA"/>
              </w:rPr>
            </w:pPr>
            <w:r w:rsidRPr="00BA1219">
              <w:rPr>
                <w:rFonts w:ascii="Arial" w:hAnsi="Arial" w:cs="Arial"/>
                <w:sz w:val="22"/>
                <w:szCs w:val="22"/>
                <w:lang w:val="en-CA"/>
              </w:rPr>
              <w:br/>
              <w:t>(2) </w:t>
            </w:r>
            <w:r w:rsidRPr="006B7726">
              <w:rPr>
                <w:rFonts w:ascii="Arial" w:hAnsi="Arial" w:cs="Arial"/>
                <w:sz w:val="22"/>
                <w:szCs w:val="22"/>
                <w:lang w:val="en-CA"/>
              </w:rPr>
              <w:t>Citizens of Canada of whom any child has received or is receiving primary or secondary school instruction in English or French in Canada, have the right to have all their children receive primary and secondary school instruction in the same language.</w:t>
            </w:r>
          </w:p>
          <w:p w14:paraId="68A43C00" w14:textId="77777777" w:rsidR="00D04F2D" w:rsidRPr="006B7726" w:rsidRDefault="0096102C" w:rsidP="00E97723">
            <w:pPr>
              <w:pStyle w:val="Titre"/>
              <w:rPr>
                <w:lang w:val="en-CA"/>
              </w:rPr>
            </w:pPr>
            <w:r w:rsidRPr="006B7726">
              <w:rPr>
                <w:lang w:val="en-CA"/>
              </w:rPr>
              <w:t>Application where numbers warrant</w:t>
            </w:r>
          </w:p>
          <w:p w14:paraId="7F9EAE87" w14:textId="77777777" w:rsidR="00D04F2D" w:rsidRPr="00BA1219" w:rsidRDefault="0096102C" w:rsidP="00E97723">
            <w:pPr>
              <w:pStyle w:val="subsection"/>
              <w:shd w:val="clear" w:color="auto" w:fill="FFFFFF"/>
              <w:spacing w:before="168" w:beforeAutospacing="0" w:after="120" w:afterAutospacing="0"/>
              <w:jc w:val="both"/>
              <w:rPr>
                <w:rFonts w:ascii="Arial" w:hAnsi="Arial" w:cs="Arial"/>
                <w:sz w:val="22"/>
                <w:szCs w:val="22"/>
                <w:lang w:val="en-CA"/>
              </w:rPr>
            </w:pPr>
            <w:r w:rsidRPr="00BA1219">
              <w:rPr>
                <w:rFonts w:ascii="Arial" w:hAnsi="Arial" w:cs="Arial"/>
                <w:sz w:val="22"/>
                <w:szCs w:val="22"/>
                <w:lang w:val="en-CA"/>
              </w:rPr>
              <w:t>(3) </w:t>
            </w:r>
            <w:r w:rsidRPr="006B7726">
              <w:rPr>
                <w:rFonts w:ascii="Arial" w:hAnsi="Arial" w:cs="Arial"/>
                <w:sz w:val="22"/>
                <w:szCs w:val="22"/>
                <w:lang w:val="en-CA"/>
              </w:rPr>
              <w:t>The right of citizens of Canada under subsections (1) and (2) to have their children receive primary and secondary school instruction in the language of the English or French linguistic minority population of a province</w:t>
            </w:r>
          </w:p>
          <w:p w14:paraId="059A6BC8" w14:textId="77777777" w:rsidR="00D04F2D" w:rsidRPr="00BA1219" w:rsidRDefault="0096102C" w:rsidP="00E97723">
            <w:pPr>
              <w:pStyle w:val="paragraph"/>
              <w:shd w:val="clear" w:color="auto" w:fill="FFFFFF"/>
              <w:spacing w:before="168" w:beforeAutospacing="0" w:after="120" w:afterAutospacing="0"/>
              <w:jc w:val="both"/>
              <w:rPr>
                <w:rFonts w:ascii="Arial" w:hAnsi="Arial" w:cs="Arial"/>
                <w:sz w:val="22"/>
                <w:szCs w:val="22"/>
                <w:lang w:val="en-CA"/>
              </w:rPr>
            </w:pPr>
            <w:r w:rsidRPr="006B7726">
              <w:rPr>
                <w:rFonts w:ascii="Arial" w:hAnsi="Arial" w:cs="Arial"/>
                <w:sz w:val="22"/>
                <w:szCs w:val="22"/>
                <w:lang w:val="en-CA"/>
              </w:rPr>
              <w:t>(</w:t>
            </w:r>
            <w:r w:rsidRPr="006B7726">
              <w:rPr>
                <w:rStyle w:val="Accentuation"/>
                <w:rFonts w:ascii="Arial" w:hAnsi="Arial" w:cs="Arial"/>
                <w:sz w:val="22"/>
                <w:szCs w:val="22"/>
                <w:lang w:val="en-CA"/>
              </w:rPr>
              <w:t>a</w:t>
            </w:r>
            <w:r w:rsidRPr="006B7726">
              <w:rPr>
                <w:rFonts w:ascii="Arial" w:hAnsi="Arial" w:cs="Arial"/>
                <w:sz w:val="22"/>
                <w:szCs w:val="22"/>
                <w:lang w:val="en-CA"/>
              </w:rPr>
              <w:t xml:space="preserve">) applies wherever in the province the number of children of citizens who have such a right is sufficient to warrant the </w:t>
            </w:r>
            <w:r w:rsidRPr="006B7726">
              <w:rPr>
                <w:rFonts w:ascii="Arial" w:hAnsi="Arial" w:cs="Arial"/>
                <w:sz w:val="22"/>
                <w:szCs w:val="22"/>
                <w:lang w:val="en-CA"/>
              </w:rPr>
              <w:lastRenderedPageBreak/>
              <w:t>provision to them out of public funds of minority language instruction;</w:t>
            </w:r>
            <w:r w:rsidRPr="00BA1219">
              <w:rPr>
                <w:rFonts w:ascii="Arial" w:hAnsi="Arial" w:cs="Arial"/>
                <w:sz w:val="22"/>
                <w:szCs w:val="22"/>
                <w:lang w:val="en-CA"/>
              </w:rPr>
              <w:t xml:space="preserve"> </w:t>
            </w:r>
            <w:r w:rsidRPr="006B7726">
              <w:rPr>
                <w:rFonts w:ascii="Arial" w:hAnsi="Arial" w:cs="Arial"/>
                <w:sz w:val="22"/>
                <w:szCs w:val="22"/>
                <w:lang w:val="en-CA"/>
              </w:rPr>
              <w:t>and</w:t>
            </w:r>
          </w:p>
          <w:p w14:paraId="10257927" w14:textId="77777777" w:rsidR="00D04F2D" w:rsidRPr="006B7726" w:rsidRDefault="0096102C" w:rsidP="00E97723">
            <w:pPr>
              <w:pStyle w:val="paragraph"/>
              <w:shd w:val="clear" w:color="auto" w:fill="FFFFFF"/>
              <w:spacing w:before="168" w:beforeAutospacing="0" w:after="120" w:afterAutospacing="0"/>
              <w:jc w:val="both"/>
              <w:rPr>
                <w:rFonts w:ascii="Arial" w:hAnsi="Arial" w:cs="Arial"/>
                <w:sz w:val="22"/>
                <w:szCs w:val="22"/>
                <w:lang w:val="en-CA"/>
              </w:rPr>
            </w:pPr>
            <w:r w:rsidRPr="00BA1219">
              <w:rPr>
                <w:rFonts w:ascii="Arial" w:hAnsi="Arial" w:cs="Arial"/>
                <w:sz w:val="22"/>
                <w:szCs w:val="22"/>
                <w:lang w:val="en-CA"/>
              </w:rPr>
              <w:br/>
            </w:r>
            <w:r w:rsidRPr="006B7726">
              <w:rPr>
                <w:rFonts w:ascii="Arial" w:hAnsi="Arial" w:cs="Arial"/>
                <w:sz w:val="22"/>
                <w:szCs w:val="22"/>
                <w:lang w:val="en-CA"/>
              </w:rPr>
              <w:t>(</w:t>
            </w:r>
            <w:r w:rsidRPr="006B7726">
              <w:rPr>
                <w:rStyle w:val="Accentuation"/>
                <w:rFonts w:ascii="Arial" w:hAnsi="Arial" w:cs="Arial"/>
                <w:sz w:val="22"/>
                <w:szCs w:val="22"/>
                <w:lang w:val="en-CA"/>
              </w:rPr>
              <w:t>b</w:t>
            </w:r>
            <w:r w:rsidRPr="006B7726">
              <w:rPr>
                <w:rFonts w:ascii="Arial" w:hAnsi="Arial" w:cs="Arial"/>
                <w:sz w:val="22"/>
                <w:szCs w:val="22"/>
                <w:lang w:val="en-CA"/>
              </w:rPr>
              <w:t>) includes, where the number of those children so warrants, the right to have them receive that instruction in minority language educational facilities provided out of public funds.</w:t>
            </w:r>
          </w:p>
          <w:p w14:paraId="08A58811" w14:textId="77777777" w:rsidR="00D04F2D" w:rsidRPr="00BA1219" w:rsidRDefault="00D04F2D" w:rsidP="00E97723">
            <w:pPr>
              <w:jc w:val="both"/>
              <w:rPr>
                <w:rFonts w:cs="Arial"/>
                <w:lang w:val="en-CA"/>
              </w:rPr>
            </w:pPr>
          </w:p>
        </w:tc>
        <w:tc>
          <w:tcPr>
            <w:tcW w:w="4315" w:type="dxa"/>
          </w:tcPr>
          <w:p w14:paraId="51619ECF" w14:textId="77777777" w:rsidR="00D04F2D" w:rsidRPr="00EE41DD" w:rsidRDefault="0096102C" w:rsidP="00110D35">
            <w:pPr>
              <w:pStyle w:val="Titre"/>
              <w:jc w:val="left"/>
              <w:rPr>
                <w:lang w:eastAsia="en-CA"/>
              </w:rPr>
            </w:pPr>
            <w:bookmarkStart w:id="4" w:name="_Toc140833341"/>
            <w:bookmarkStart w:id="5" w:name="_Toc140833570"/>
            <w:r w:rsidRPr="00EE41DD">
              <w:rPr>
                <w:lang w:eastAsia="en-CA"/>
              </w:rPr>
              <w:lastRenderedPageBreak/>
              <w:t>DROITS À L’INSTRUCTION DANS LA LANGUE DE LA MINORITÉ</w:t>
            </w:r>
            <w:bookmarkEnd w:id="4"/>
            <w:bookmarkEnd w:id="5"/>
          </w:p>
          <w:p w14:paraId="2916529A" w14:textId="77777777" w:rsidR="00D04F2D" w:rsidRPr="00EE41DD" w:rsidRDefault="0096102C" w:rsidP="00110D35">
            <w:pPr>
              <w:pStyle w:val="Titre"/>
              <w:jc w:val="left"/>
            </w:pPr>
            <w:r w:rsidRPr="00EE41DD">
              <w:t>Langue d’instruction</w:t>
            </w:r>
          </w:p>
          <w:p w14:paraId="586BAAE5" w14:textId="2D125E1B" w:rsidR="00D04F2D" w:rsidRPr="00EE41DD" w:rsidRDefault="00F42A4E" w:rsidP="00E97723">
            <w:pPr>
              <w:pStyle w:val="subsection"/>
              <w:shd w:val="clear" w:color="auto" w:fill="FFFFFF"/>
              <w:spacing w:before="168" w:beforeAutospacing="0" w:after="120" w:afterAutospacing="0"/>
              <w:jc w:val="both"/>
              <w:rPr>
                <w:rFonts w:ascii="Arial" w:hAnsi="Arial" w:cs="Arial"/>
                <w:sz w:val="22"/>
                <w:szCs w:val="22"/>
              </w:rPr>
            </w:pPr>
            <w:r>
              <w:rPr>
                <w:rStyle w:val="sectionlabel"/>
                <w:rFonts w:ascii="Arial" w:hAnsi="Arial" w:cs="Arial"/>
                <w:b/>
                <w:sz w:val="22"/>
                <w:szCs w:val="22"/>
              </w:rPr>
              <w:t>23</w:t>
            </w:r>
            <w:r w:rsidR="00C32D80" w:rsidRPr="00EE41DD">
              <w:rPr>
                <w:rStyle w:val="sectionlabel"/>
                <w:rFonts w:ascii="Arial" w:hAnsi="Arial" w:cs="Arial"/>
                <w:b/>
                <w:sz w:val="22"/>
                <w:szCs w:val="22"/>
              </w:rPr>
              <w:t>.</w:t>
            </w:r>
            <w:r w:rsidR="0096102C" w:rsidRPr="00EE41DD">
              <w:rPr>
                <w:rFonts w:ascii="Arial" w:hAnsi="Arial" w:cs="Arial"/>
                <w:sz w:val="22"/>
                <w:szCs w:val="22"/>
              </w:rPr>
              <w:t> (1) Les citoyens canadiens :</w:t>
            </w:r>
          </w:p>
          <w:p w14:paraId="358801F0" w14:textId="77777777" w:rsidR="00D04F2D" w:rsidRPr="00EE41DD" w:rsidRDefault="0096102C" w:rsidP="00E97723">
            <w:pPr>
              <w:pStyle w:val="paragraph"/>
              <w:shd w:val="clear" w:color="auto" w:fill="FFFFFF"/>
              <w:spacing w:before="168" w:beforeAutospacing="0" w:after="120" w:afterAutospacing="0"/>
              <w:jc w:val="both"/>
              <w:rPr>
                <w:rFonts w:ascii="Arial" w:hAnsi="Arial" w:cs="Arial"/>
                <w:sz w:val="22"/>
                <w:szCs w:val="22"/>
              </w:rPr>
            </w:pPr>
            <w:r w:rsidRPr="00EE41DD">
              <w:rPr>
                <w:rStyle w:val="Accentuation"/>
                <w:rFonts w:ascii="Arial" w:hAnsi="Arial" w:cs="Arial"/>
                <w:sz w:val="22"/>
                <w:szCs w:val="22"/>
              </w:rPr>
              <w:t>a</w:t>
            </w:r>
            <w:r w:rsidRPr="00EE41DD">
              <w:rPr>
                <w:rFonts w:ascii="Arial" w:hAnsi="Arial" w:cs="Arial"/>
                <w:sz w:val="22"/>
                <w:szCs w:val="22"/>
              </w:rPr>
              <w:t>) dont la première langue apprise et encore comprise est celle de la minorité francophone ou anglophone de la province où ils résident,</w:t>
            </w:r>
          </w:p>
          <w:p w14:paraId="3DBF197F" w14:textId="77777777" w:rsidR="00D04F2D" w:rsidRPr="00EE41DD" w:rsidRDefault="0096102C" w:rsidP="00E97723">
            <w:pPr>
              <w:pStyle w:val="paragraph"/>
              <w:shd w:val="clear" w:color="auto" w:fill="FFFFFF"/>
              <w:spacing w:before="168" w:beforeAutospacing="0" w:after="120" w:afterAutospacing="0"/>
              <w:jc w:val="both"/>
              <w:rPr>
                <w:rFonts w:ascii="Arial" w:hAnsi="Arial" w:cs="Arial"/>
                <w:sz w:val="22"/>
                <w:szCs w:val="22"/>
              </w:rPr>
            </w:pPr>
            <w:r w:rsidRPr="00EE41DD">
              <w:rPr>
                <w:rStyle w:val="Accentuation"/>
                <w:rFonts w:ascii="Arial" w:hAnsi="Arial" w:cs="Arial"/>
                <w:sz w:val="22"/>
                <w:szCs w:val="22"/>
              </w:rPr>
              <w:t>b</w:t>
            </w:r>
            <w:r w:rsidRPr="00EE41DD">
              <w:rPr>
                <w:rFonts w:ascii="Arial" w:hAnsi="Arial" w:cs="Arial"/>
                <w:sz w:val="22"/>
                <w:szCs w:val="22"/>
              </w:rPr>
              <w:t>) qui ont reçu leur instruction, au niveau primaire, en français ou en anglais au Canada et qui résident dans une province où la langue dans laquelle ils ont reçu cette instruction est celle de la minorité francophone ou anglophone de la province,</w:t>
            </w:r>
          </w:p>
          <w:p w14:paraId="6741F7A6" w14:textId="77777777" w:rsidR="00D04F2D" w:rsidRPr="00EE41DD" w:rsidRDefault="0096102C" w:rsidP="00E97723">
            <w:pPr>
              <w:pStyle w:val="continuedsectionsubsection"/>
              <w:shd w:val="clear" w:color="auto" w:fill="FFFFFF"/>
              <w:spacing w:before="168" w:beforeAutospacing="0" w:after="120" w:afterAutospacing="0"/>
              <w:jc w:val="both"/>
              <w:rPr>
                <w:rFonts w:ascii="Arial" w:hAnsi="Arial" w:cs="Arial"/>
                <w:sz w:val="22"/>
                <w:szCs w:val="22"/>
              </w:rPr>
            </w:pPr>
            <w:r w:rsidRPr="00EE41DD">
              <w:rPr>
                <w:rFonts w:ascii="Arial" w:hAnsi="Arial" w:cs="Arial"/>
                <w:sz w:val="22"/>
                <w:szCs w:val="22"/>
              </w:rPr>
              <w:t xml:space="preserve">ont, dans l’un ou l’autre cas, le droit d’y faire instruire leurs enfants, aux niveaux primaire et secondaire, dans cette langue.  </w:t>
            </w:r>
          </w:p>
          <w:p w14:paraId="68C68553" w14:textId="77777777" w:rsidR="00D04F2D" w:rsidRPr="00EE41DD" w:rsidRDefault="0096102C" w:rsidP="00E97723">
            <w:pPr>
              <w:pStyle w:val="Titre"/>
            </w:pPr>
            <w:r w:rsidRPr="00EE41DD">
              <w:br/>
              <w:t>Continuité d’emploi de la langue d’instruction</w:t>
            </w:r>
          </w:p>
          <w:p w14:paraId="22F5C22E" w14:textId="77777777" w:rsidR="00D04F2D" w:rsidRPr="00EE41DD" w:rsidRDefault="0096102C" w:rsidP="00E97723">
            <w:pPr>
              <w:pStyle w:val="subsection"/>
              <w:shd w:val="clear" w:color="auto" w:fill="FFFFFF"/>
              <w:spacing w:before="168" w:beforeAutospacing="0" w:after="120" w:afterAutospacing="0"/>
              <w:jc w:val="both"/>
              <w:rPr>
                <w:rFonts w:ascii="Arial" w:hAnsi="Arial" w:cs="Arial"/>
                <w:sz w:val="22"/>
                <w:szCs w:val="22"/>
              </w:rPr>
            </w:pPr>
            <w:r w:rsidRPr="00EE41DD">
              <w:rPr>
                <w:rFonts w:ascii="Arial" w:hAnsi="Arial" w:cs="Arial"/>
                <w:sz w:val="22"/>
                <w:szCs w:val="22"/>
              </w:rPr>
              <w:t>(2) Les citoyens canadiens dont un enfant a reçu ou reçoit son instruction, au niveau primaire ou secondaire, en français ou en anglais au Canada ont le droit de faire instruire tous leurs enfants, aux niveaux primaire et secondaire, dans la langue de cette instruction.</w:t>
            </w:r>
          </w:p>
          <w:p w14:paraId="4927304F" w14:textId="77777777" w:rsidR="00D04F2D" w:rsidRPr="00EE41DD" w:rsidRDefault="0096102C" w:rsidP="00E97723">
            <w:pPr>
              <w:pStyle w:val="Titre"/>
            </w:pPr>
            <w:r w:rsidRPr="00EE41DD">
              <w:t>Justification par le nombre</w:t>
            </w:r>
          </w:p>
          <w:p w14:paraId="7F75191E" w14:textId="77777777" w:rsidR="00D04F2D" w:rsidRPr="00EE41DD" w:rsidRDefault="0096102C" w:rsidP="00E97723">
            <w:pPr>
              <w:pStyle w:val="subsection"/>
              <w:shd w:val="clear" w:color="auto" w:fill="FFFFFF"/>
              <w:spacing w:before="168" w:beforeAutospacing="0" w:after="120" w:afterAutospacing="0"/>
              <w:jc w:val="both"/>
              <w:rPr>
                <w:rFonts w:ascii="Arial" w:hAnsi="Arial" w:cs="Arial"/>
                <w:sz w:val="22"/>
                <w:szCs w:val="22"/>
              </w:rPr>
            </w:pPr>
            <w:r w:rsidRPr="00EE41DD">
              <w:rPr>
                <w:rFonts w:ascii="Arial" w:hAnsi="Arial" w:cs="Arial"/>
                <w:sz w:val="22"/>
                <w:szCs w:val="22"/>
              </w:rPr>
              <w:t>(3) Le droit reconnu aux citoyens canadiens par les paragraphes (1) et (2) de faire instruire leurs enfants, aux niveaux primaire et secondaire, dans la langue de la minorité francophone ou anglophone d’une province :</w:t>
            </w:r>
          </w:p>
          <w:p w14:paraId="4A518C9C" w14:textId="77777777" w:rsidR="00D04F2D" w:rsidRPr="00EE41DD" w:rsidRDefault="0096102C" w:rsidP="00E97723">
            <w:pPr>
              <w:pStyle w:val="paragraph"/>
              <w:shd w:val="clear" w:color="auto" w:fill="FFFFFF"/>
              <w:spacing w:before="168" w:beforeAutospacing="0" w:after="120" w:afterAutospacing="0"/>
              <w:jc w:val="both"/>
              <w:rPr>
                <w:rFonts w:ascii="Arial" w:hAnsi="Arial" w:cs="Arial"/>
                <w:sz w:val="22"/>
                <w:szCs w:val="22"/>
              </w:rPr>
            </w:pPr>
            <w:r w:rsidRPr="00EE41DD">
              <w:rPr>
                <w:rStyle w:val="Accentuation"/>
                <w:rFonts w:ascii="Arial" w:hAnsi="Arial" w:cs="Arial"/>
                <w:sz w:val="22"/>
                <w:szCs w:val="22"/>
              </w:rPr>
              <w:t>a</w:t>
            </w:r>
            <w:r w:rsidRPr="00EE41DD">
              <w:rPr>
                <w:rFonts w:ascii="Arial" w:hAnsi="Arial" w:cs="Arial"/>
                <w:sz w:val="22"/>
                <w:szCs w:val="22"/>
              </w:rPr>
              <w:t xml:space="preserve">) s’exerce partout dans la province où le nombre des enfants des citoyens qui ont </w:t>
            </w:r>
            <w:r w:rsidRPr="00EE41DD">
              <w:rPr>
                <w:rFonts w:ascii="Arial" w:hAnsi="Arial" w:cs="Arial"/>
                <w:sz w:val="22"/>
                <w:szCs w:val="22"/>
              </w:rPr>
              <w:lastRenderedPageBreak/>
              <w:t>ce droit est suffisant pour justifier à leur endroit la prestation, sur les fonds publics, de l’instruction dans la langue de la minorité;</w:t>
            </w:r>
          </w:p>
          <w:p w14:paraId="358C0820" w14:textId="77777777" w:rsidR="00D04F2D" w:rsidRPr="00EE41DD" w:rsidRDefault="0096102C" w:rsidP="00E97723">
            <w:pPr>
              <w:pStyle w:val="paragraph"/>
              <w:shd w:val="clear" w:color="auto" w:fill="FFFFFF"/>
              <w:spacing w:before="168" w:beforeAutospacing="0" w:after="120" w:afterAutospacing="0"/>
              <w:jc w:val="both"/>
              <w:rPr>
                <w:rFonts w:ascii="Arial" w:hAnsi="Arial" w:cs="Arial"/>
                <w:sz w:val="22"/>
                <w:szCs w:val="22"/>
              </w:rPr>
            </w:pPr>
            <w:r w:rsidRPr="00EE41DD">
              <w:rPr>
                <w:rStyle w:val="Accentuation"/>
                <w:rFonts w:ascii="Arial" w:hAnsi="Arial" w:cs="Arial"/>
                <w:sz w:val="22"/>
                <w:szCs w:val="22"/>
              </w:rPr>
              <w:t>b</w:t>
            </w:r>
            <w:r w:rsidRPr="00EE41DD">
              <w:rPr>
                <w:rFonts w:ascii="Arial" w:hAnsi="Arial" w:cs="Arial"/>
                <w:sz w:val="22"/>
                <w:szCs w:val="22"/>
              </w:rPr>
              <w:t>) comprend, lorsque le nombre de ces enfants le justifie, le droit de les faire instruire dans des établissements d’enseignement de la minorité linguistique financés sur les fonds publics.</w:t>
            </w:r>
          </w:p>
          <w:p w14:paraId="58208A17" w14:textId="77777777" w:rsidR="00D04F2D" w:rsidRPr="00EE41DD" w:rsidRDefault="00D04F2D" w:rsidP="00E97723">
            <w:pPr>
              <w:jc w:val="both"/>
              <w:rPr>
                <w:rFonts w:cs="Arial"/>
              </w:rPr>
            </w:pPr>
          </w:p>
        </w:tc>
      </w:tr>
    </w:tbl>
    <w:p w14:paraId="0C3CDD3B" w14:textId="68193242" w:rsidR="00D04F2D" w:rsidRPr="00BA1219" w:rsidRDefault="00F8060B" w:rsidP="00110D35">
      <w:pPr>
        <w:pStyle w:val="Paragrsimple"/>
        <w:rPr>
          <w:lang w:val="en-CA"/>
        </w:rPr>
      </w:pPr>
      <w:r w:rsidRPr="006B7726">
        <w:rPr>
          <w:lang w:val="en-CA"/>
        </w:rPr>
        <w:lastRenderedPageBreak/>
        <w:t>According to sections 23(1)(b) and 23(2), Canadians who received primary school instruction in English anywhere in Canada or have a child enrolled in an English-language primary or secondary school anywhere in Canada have the right to have their children receive primary and secondary instruction in English in Quebec.</w:t>
      </w:r>
      <w:r w:rsidR="0096102C" w:rsidRPr="00BA1219">
        <w:rPr>
          <w:lang w:val="en-CA"/>
        </w:rPr>
        <w:t xml:space="preserve"> </w:t>
      </w:r>
      <w:r w:rsidRPr="006B7726">
        <w:rPr>
          <w:lang w:val="en-CA"/>
        </w:rPr>
        <w:t xml:space="preserve">Section 23(1)(a) of the </w:t>
      </w:r>
      <w:r w:rsidRPr="00720FAF">
        <w:rPr>
          <w:i/>
          <w:iCs/>
          <w:lang w:val="en-CA"/>
        </w:rPr>
        <w:t>Charter</w:t>
      </w:r>
      <w:r w:rsidRPr="006B7726">
        <w:rPr>
          <w:lang w:val="en-CA"/>
        </w:rPr>
        <w:t xml:space="preserve"> (which grants a right to Canadians whose first language learned and spoken is that of the linguistic minority population) is not in force in Quebec because it </w:t>
      </w:r>
      <w:r w:rsidR="00DC5904">
        <w:rPr>
          <w:lang w:val="en-CA"/>
        </w:rPr>
        <w:t>has not been</w:t>
      </w:r>
      <w:r w:rsidRPr="006B7726">
        <w:rPr>
          <w:lang w:val="en-CA"/>
        </w:rPr>
        <w:t xml:space="preserve"> ratified by the National Assembly.</w:t>
      </w:r>
      <w:r w:rsidR="0096102C" w:rsidRPr="00BA1219">
        <w:rPr>
          <w:rStyle w:val="Appelnotedebasdep"/>
          <w:rFonts w:cs="Arial"/>
          <w:color w:val="000000"/>
          <w:lang w:val="en-CA"/>
        </w:rPr>
        <w:footnoteReference w:id="12"/>
      </w:r>
      <w:r w:rsidR="0096102C" w:rsidRPr="00BA1219">
        <w:rPr>
          <w:lang w:val="en-CA"/>
        </w:rPr>
        <w:t xml:space="preserve"> </w:t>
      </w:r>
    </w:p>
    <w:p w14:paraId="15FFDDCE" w14:textId="6D1F64F7" w:rsidR="00D04F2D" w:rsidRPr="008A5FCC" w:rsidRDefault="00F8060B" w:rsidP="00110D35">
      <w:pPr>
        <w:pStyle w:val="Paragrsimple"/>
        <w:rPr>
          <w:lang w:val="en-CA"/>
        </w:rPr>
      </w:pPr>
      <w:r w:rsidRPr="00BA1219">
        <w:rPr>
          <w:lang w:val="en-CA"/>
        </w:rPr>
        <w:t xml:space="preserve">It is </w:t>
      </w:r>
      <w:r w:rsidR="00023425">
        <w:rPr>
          <w:lang w:val="en-CA"/>
        </w:rPr>
        <w:t>un</w:t>
      </w:r>
      <w:r w:rsidRPr="00BA1219">
        <w:rPr>
          <w:lang w:val="en-CA"/>
        </w:rPr>
        <w:t xml:space="preserve">disputed in this case that the </w:t>
      </w:r>
      <w:r w:rsidR="00BA1219" w:rsidRPr="00BA1219">
        <w:rPr>
          <w:lang w:val="en-CA"/>
        </w:rPr>
        <w:t>“</w:t>
      </w:r>
      <w:r w:rsidRPr="00BA1219">
        <w:rPr>
          <w:lang w:val="en-CA"/>
        </w:rPr>
        <w:t>number</w:t>
      </w:r>
      <w:r w:rsidR="00BA1219">
        <w:rPr>
          <w:lang w:val="en-CA"/>
        </w:rPr>
        <w:t>”</w:t>
      </w:r>
      <w:r w:rsidRPr="00BA1219">
        <w:rPr>
          <w:lang w:val="en-CA"/>
        </w:rPr>
        <w:t xml:space="preserve"> of pupils who </w:t>
      </w:r>
      <w:r w:rsidR="00B461E8">
        <w:rPr>
          <w:lang w:val="en-CA"/>
        </w:rPr>
        <w:t>may</w:t>
      </w:r>
      <w:r w:rsidRPr="00BA1219">
        <w:rPr>
          <w:lang w:val="en-CA"/>
        </w:rPr>
        <w:t xml:space="preserve"> study in English is sufficient to justify their being educated in publicly</w:t>
      </w:r>
      <w:r w:rsidR="00B461E8">
        <w:rPr>
          <w:lang w:val="en-CA"/>
        </w:rPr>
        <w:t xml:space="preserve"> </w:t>
      </w:r>
      <w:r w:rsidRPr="00BA1219">
        <w:rPr>
          <w:lang w:val="en-CA"/>
        </w:rPr>
        <w:t>funded English-language minority schools.</w:t>
      </w:r>
      <w:r w:rsidR="0096102C" w:rsidRPr="00BA1219">
        <w:rPr>
          <w:lang w:val="en-CA"/>
        </w:rPr>
        <w:t xml:space="preserve"> </w:t>
      </w:r>
      <w:r w:rsidRPr="00BA1219">
        <w:rPr>
          <w:lang w:val="en-CA"/>
        </w:rPr>
        <w:t xml:space="preserve">It is also admitted that </w:t>
      </w:r>
      <w:r w:rsidR="009D60F1">
        <w:rPr>
          <w:lang w:val="en-CA"/>
        </w:rPr>
        <w:t>the</w:t>
      </w:r>
      <w:r w:rsidR="009D60F1" w:rsidRPr="00BA1219">
        <w:rPr>
          <w:lang w:val="en-CA"/>
        </w:rPr>
        <w:t xml:space="preserve"> </w:t>
      </w:r>
      <w:r w:rsidRPr="00BA1219">
        <w:rPr>
          <w:lang w:val="en-CA"/>
        </w:rPr>
        <w:t>number justifies the creation of school commissions or boards for the English-language minority.</w:t>
      </w:r>
      <w:r w:rsidR="0096102C" w:rsidRPr="00BA1219">
        <w:rPr>
          <w:lang w:val="en-CA"/>
        </w:rPr>
        <w:t xml:space="preserve"> </w:t>
      </w:r>
      <w:r w:rsidRPr="00BA1219">
        <w:rPr>
          <w:lang w:val="en-CA"/>
        </w:rPr>
        <w:t>Indeed, the Supreme Court</w:t>
      </w:r>
      <w:r w:rsidR="008A5FCC">
        <w:rPr>
          <w:lang w:val="en-CA"/>
        </w:rPr>
        <w:t xml:space="preserve"> </w:t>
      </w:r>
      <w:r w:rsidRPr="00BA1219">
        <w:rPr>
          <w:lang w:val="en-CA"/>
        </w:rPr>
        <w:t xml:space="preserve">determined that </w:t>
      </w:r>
      <w:r w:rsidR="00023425">
        <w:rPr>
          <w:lang w:val="en-CA"/>
        </w:rPr>
        <w:t xml:space="preserve">at </w:t>
      </w:r>
      <w:r w:rsidRPr="00BA1219">
        <w:rPr>
          <w:lang w:val="en-CA"/>
        </w:rPr>
        <w:t>the “high” end of the scale</w:t>
      </w:r>
      <w:r w:rsidR="009D60F1">
        <w:rPr>
          <w:lang w:val="en-CA"/>
        </w:rPr>
        <w:t>,</w:t>
      </w:r>
      <w:r w:rsidR="00023425">
        <w:rPr>
          <w:lang w:val="en-CA"/>
        </w:rPr>
        <w:t xml:space="preserve"> </w:t>
      </w:r>
      <w:r w:rsidR="001662A2">
        <w:rPr>
          <w:rFonts w:cs="Arial"/>
          <w:lang w:val="en-CA"/>
        </w:rPr>
        <w:t>the number of students</w:t>
      </w:r>
      <w:r w:rsidRPr="00BA1219">
        <w:rPr>
          <w:lang w:val="en-CA"/>
        </w:rPr>
        <w:t xml:space="preserve"> </w:t>
      </w:r>
      <w:r w:rsidRPr="00BA1219">
        <w:rPr>
          <w:u w:val="single"/>
          <w:lang w:val="en-CA"/>
        </w:rPr>
        <w:t>required</w:t>
      </w:r>
      <w:r w:rsidRPr="00BA1219">
        <w:rPr>
          <w:lang w:val="en-CA"/>
        </w:rPr>
        <w:t xml:space="preserve"> “the existence of a minority language board.”</w:t>
      </w:r>
      <w:r w:rsidR="0096102C" w:rsidRPr="00BA1219">
        <w:rPr>
          <w:rStyle w:val="Appelnotedebasdep"/>
          <w:rFonts w:cs="Arial"/>
          <w:color w:val="000000"/>
          <w:szCs w:val="24"/>
          <w:lang w:val="en-CA"/>
        </w:rPr>
        <w:footnoteReference w:id="13"/>
      </w:r>
      <w:r w:rsidR="0096102C" w:rsidRPr="00BA1219">
        <w:rPr>
          <w:szCs w:val="24"/>
          <w:lang w:val="en-CA"/>
        </w:rPr>
        <w:t xml:space="preserve"> </w:t>
      </w:r>
      <w:r w:rsidR="009D60F1" w:rsidRPr="008A5FCC">
        <w:rPr>
          <w:lang w:val="en-CA"/>
        </w:rPr>
        <w:t xml:space="preserve">It </w:t>
      </w:r>
      <w:r w:rsidRPr="008A5FCC">
        <w:rPr>
          <w:lang w:val="en-CA"/>
        </w:rPr>
        <w:t xml:space="preserve">reiterated </w:t>
      </w:r>
      <w:r w:rsidR="009D60F1" w:rsidRPr="008A5FCC">
        <w:rPr>
          <w:lang w:val="en-CA"/>
        </w:rPr>
        <w:t>th</w:t>
      </w:r>
      <w:r w:rsidR="008A5FCC">
        <w:rPr>
          <w:lang w:val="en-CA"/>
        </w:rPr>
        <w:t>is</w:t>
      </w:r>
      <w:r w:rsidR="009D60F1" w:rsidRPr="008A5FCC">
        <w:rPr>
          <w:lang w:val="en-CA"/>
        </w:rPr>
        <w:t xml:space="preserve"> principle </w:t>
      </w:r>
      <w:r w:rsidRPr="008A5FCC">
        <w:rPr>
          <w:lang w:val="en-CA"/>
        </w:rPr>
        <w:t>in</w:t>
      </w:r>
      <w:r w:rsidRPr="008A5FCC">
        <w:rPr>
          <w:rFonts w:ascii="Segoe UI" w:hAnsi="Segoe UI" w:cs="Segoe UI"/>
          <w:color w:val="000000"/>
          <w:szCs w:val="24"/>
          <w:lang w:val="en-CA" w:eastAsia="fr-CA"/>
        </w:rPr>
        <w:t xml:space="preserve"> </w:t>
      </w:r>
      <w:r w:rsidR="0096102C" w:rsidRPr="008A5FCC">
        <w:rPr>
          <w:i/>
          <w:iCs/>
          <w:color w:val="212529"/>
          <w:szCs w:val="24"/>
          <w:lang w:val="en-CA"/>
        </w:rPr>
        <w:t xml:space="preserve">Conseil </w:t>
      </w:r>
      <w:proofErr w:type="spellStart"/>
      <w:r w:rsidR="0096102C" w:rsidRPr="008A5FCC">
        <w:rPr>
          <w:i/>
          <w:iCs/>
          <w:color w:val="212529"/>
          <w:szCs w:val="24"/>
          <w:lang w:val="en-CA"/>
        </w:rPr>
        <w:t>scolaire</w:t>
      </w:r>
      <w:proofErr w:type="spellEnd"/>
      <w:r w:rsidR="0096102C" w:rsidRPr="008A5FCC">
        <w:rPr>
          <w:i/>
          <w:iCs/>
          <w:color w:val="212529"/>
          <w:szCs w:val="24"/>
          <w:lang w:val="en-CA"/>
        </w:rPr>
        <w:t xml:space="preserve"> francophone de la </w:t>
      </w:r>
      <w:proofErr w:type="spellStart"/>
      <w:r w:rsidR="0096102C" w:rsidRPr="008A5FCC">
        <w:rPr>
          <w:i/>
          <w:iCs/>
          <w:color w:val="212529"/>
          <w:szCs w:val="24"/>
          <w:lang w:val="en-CA"/>
        </w:rPr>
        <w:t>Colombie</w:t>
      </w:r>
      <w:r w:rsidR="0096102C" w:rsidRPr="008A5FCC">
        <w:rPr>
          <w:rFonts w:ascii="Cambria Math" w:hAnsi="Cambria Math" w:cs="Cambria Math"/>
          <w:i/>
          <w:iCs/>
          <w:color w:val="212529"/>
          <w:szCs w:val="24"/>
          <w:lang w:val="en-CA"/>
        </w:rPr>
        <w:t>‐</w:t>
      </w:r>
      <w:r w:rsidR="0096102C" w:rsidRPr="008A5FCC">
        <w:rPr>
          <w:i/>
          <w:iCs/>
          <w:color w:val="212529"/>
          <w:szCs w:val="24"/>
          <w:lang w:val="en-CA"/>
        </w:rPr>
        <w:t>Britannique</w:t>
      </w:r>
      <w:proofErr w:type="spellEnd"/>
      <w:r w:rsidRPr="008A5FCC">
        <w:rPr>
          <w:color w:val="212529"/>
          <w:szCs w:val="24"/>
          <w:lang w:val="en-CA"/>
        </w:rPr>
        <w:t xml:space="preserve"> </w:t>
      </w:r>
      <w:r w:rsidRPr="008A5FCC">
        <w:rPr>
          <w:i/>
          <w:iCs/>
          <w:color w:val="212529"/>
          <w:szCs w:val="24"/>
          <w:lang w:val="en-CA"/>
        </w:rPr>
        <w:t>v. British Columbia</w:t>
      </w:r>
      <w:r w:rsidRPr="008A5FCC">
        <w:rPr>
          <w:color w:val="212529"/>
          <w:szCs w:val="24"/>
          <w:lang w:val="en-CA"/>
        </w:rPr>
        <w:t>:</w:t>
      </w:r>
      <w:r w:rsidR="0096102C" w:rsidRPr="00BA1219">
        <w:rPr>
          <w:rStyle w:val="Appelnotedebasdep"/>
          <w:rFonts w:cs="Arial"/>
          <w:color w:val="212529"/>
          <w:szCs w:val="24"/>
          <w:lang w:val="en-CA"/>
        </w:rPr>
        <w:footnoteReference w:id="14"/>
      </w:r>
    </w:p>
    <w:p w14:paraId="13ECD240" w14:textId="69A0B7C9" w:rsidR="00D04F2D" w:rsidRPr="00BA1219" w:rsidRDefault="0096102C" w:rsidP="00110D35">
      <w:pPr>
        <w:pStyle w:val="Citation"/>
        <w:rPr>
          <w:lang w:val="en-CA"/>
        </w:rPr>
      </w:pPr>
      <w:r w:rsidRPr="00BA1219">
        <w:rPr>
          <w:lang w:val="en-CA"/>
        </w:rPr>
        <w:t>[</w:t>
      </w:r>
      <w:bookmarkStart w:id="7" w:name="par24"/>
      <w:r w:rsidRPr="00BA1219">
        <w:rPr>
          <w:lang w:val="en-CA"/>
        </w:rPr>
        <w:t>24</w:t>
      </w:r>
      <w:bookmarkEnd w:id="7"/>
      <w:r w:rsidRPr="00BA1219">
        <w:rPr>
          <w:lang w:val="en-CA"/>
        </w:rPr>
        <w:t>]</w:t>
      </w:r>
      <w:r w:rsidRPr="00BA1219">
        <w:rPr>
          <w:lang w:val="en-CA"/>
        </w:rPr>
        <w:tab/>
      </w:r>
      <w:bookmarkStart w:id="8" w:name="_Hlk135478954"/>
      <w:r w:rsidR="00F8060B" w:rsidRPr="00BA1219">
        <w:rPr>
          <w:lang w:val="en-CA"/>
        </w:rPr>
        <w:t xml:space="preserve">By virtue of this “sliding scale” concept, s. 23 provides a basis for a range of educational services. The low end of the scale corresponds to the right only to instruction that is provided for in s. 23(3)(a), while the high end corresponds to the “upper level of management and control” provided for in s. 23(3)(b) (Mahe, at p. 370). </w:t>
      </w:r>
      <w:r w:rsidRPr="00BA1219">
        <w:rPr>
          <w:lang w:val="en-CA"/>
        </w:rPr>
        <w:t xml:space="preserve">… </w:t>
      </w:r>
      <w:r w:rsidR="00F8060B" w:rsidRPr="00BA1219">
        <w:rPr>
          <w:lang w:val="en-CA"/>
        </w:rPr>
        <w:t xml:space="preserve">At the low end of the scale, the minority is entitled only to instruction in its language. In the middle, it might have control over one or more classrooms in a school of the majority or over one part of a school it shares with the majority. It might also have control over the hiring of teaching staff and over certain expenditures. At the high end, the minority has control over separate educational facilities, that is, over a homogeneous school. The number of children of rights holders </w:t>
      </w:r>
      <w:r w:rsidR="00F8060B" w:rsidRPr="00BA1219">
        <w:rPr>
          <w:u w:val="single"/>
          <w:lang w:val="en-CA"/>
        </w:rPr>
        <w:t>might also entitle the minority to the management and control of a separate school board</w:t>
      </w:r>
      <w:r w:rsidR="00F8060B" w:rsidRPr="00BA1219">
        <w:rPr>
          <w:lang w:val="en-CA"/>
        </w:rPr>
        <w:t xml:space="preserve">. In short, once the minimum threshold of s. 23(3)(a) is crossed, the sliding scale applies to determine the level of services </w:t>
      </w:r>
      <w:r w:rsidR="00F8060B" w:rsidRPr="00BA1219">
        <w:rPr>
          <w:lang w:val="en-CA"/>
        </w:rPr>
        <w:lastRenderedPageBreak/>
        <w:t>that corresponds to the extent to which the minority will have control over the provision of educational services.</w:t>
      </w:r>
      <w:bookmarkEnd w:id="8"/>
    </w:p>
    <w:p w14:paraId="7F4A8D61" w14:textId="170955FF" w:rsidR="00D04F2D" w:rsidRPr="006B7726" w:rsidRDefault="00F8060B" w:rsidP="00110D35">
      <w:pPr>
        <w:pStyle w:val="Citationenretrait"/>
        <w:jc w:val="right"/>
        <w:rPr>
          <w:sz w:val="24"/>
          <w:szCs w:val="24"/>
          <w:lang w:val="en-CA"/>
        </w:rPr>
      </w:pPr>
      <w:r w:rsidRPr="006B7726">
        <w:rPr>
          <w:sz w:val="24"/>
          <w:szCs w:val="24"/>
          <w:lang w:val="en-CA"/>
        </w:rPr>
        <w:t xml:space="preserve"> [Emphasis added.]</w:t>
      </w:r>
    </w:p>
    <w:p w14:paraId="6A1EC1EA" w14:textId="7D3999A5" w:rsidR="00D04F2D" w:rsidRPr="006B7726" w:rsidRDefault="00F8060B" w:rsidP="00D04F2D">
      <w:pPr>
        <w:pStyle w:val="Paragrdouble"/>
        <w:spacing w:line="240" w:lineRule="auto"/>
        <w:rPr>
          <w:rFonts w:cs="Arial"/>
          <w:color w:val="000000"/>
          <w:lang w:val="en-CA"/>
        </w:rPr>
      </w:pPr>
      <w:r w:rsidRPr="006B7726">
        <w:rPr>
          <w:rFonts w:cs="Arial"/>
          <w:color w:val="000000"/>
          <w:lang w:val="en-CA"/>
        </w:rPr>
        <w:t xml:space="preserve">Although the wording of section 23 of the </w:t>
      </w:r>
      <w:r w:rsidRPr="001662A2">
        <w:rPr>
          <w:rFonts w:cs="Arial"/>
          <w:i/>
          <w:iCs/>
          <w:color w:val="000000"/>
          <w:lang w:val="en-CA"/>
        </w:rPr>
        <w:t>Charter</w:t>
      </w:r>
      <w:r w:rsidRPr="006B7726">
        <w:rPr>
          <w:rFonts w:cs="Arial"/>
          <w:color w:val="000000"/>
          <w:lang w:val="en-CA"/>
        </w:rPr>
        <w:t xml:space="preserve"> does not refer to powers of management, the courts held very early on</w:t>
      </w:r>
      <w:r w:rsidRPr="006B7726">
        <w:rPr>
          <w:rStyle w:val="Appelnotedebasdep"/>
          <w:rFonts w:cs="Arial"/>
          <w:color w:val="000000"/>
          <w:lang w:val="en-CA"/>
        </w:rPr>
        <w:footnoteReference w:id="15"/>
      </w:r>
      <w:r w:rsidRPr="006B7726">
        <w:rPr>
          <w:rFonts w:cs="Arial"/>
          <w:color w:val="000000"/>
          <w:lang w:val="en-CA"/>
        </w:rPr>
        <w:t xml:space="preserve"> that the protections conferred by that provision include the linguistic minority</w:t>
      </w:r>
      <w:r w:rsidR="001662A2">
        <w:rPr>
          <w:rFonts w:cs="Arial"/>
          <w:color w:val="000000"/>
          <w:lang w:val="en-CA"/>
        </w:rPr>
        <w:t>’s right</w:t>
      </w:r>
      <w:r w:rsidRPr="006B7726">
        <w:rPr>
          <w:rFonts w:cs="Arial"/>
          <w:color w:val="000000"/>
          <w:lang w:val="en-CA"/>
        </w:rPr>
        <w:t xml:space="preserve"> to manage and control their educational </w:t>
      </w:r>
      <w:r w:rsidR="001662A2">
        <w:rPr>
          <w:rFonts w:cs="Arial"/>
          <w:color w:val="000000"/>
          <w:lang w:val="en-CA"/>
        </w:rPr>
        <w:t>institutions</w:t>
      </w:r>
      <w:r w:rsidRPr="006B7726">
        <w:rPr>
          <w:rFonts w:cs="Arial"/>
          <w:color w:val="000000"/>
          <w:lang w:val="en-CA"/>
        </w:rPr>
        <w:t xml:space="preserve"> though school boards or their equivalent.</w:t>
      </w:r>
      <w:r w:rsidR="0096102C" w:rsidRPr="006B7726">
        <w:rPr>
          <w:rFonts w:cs="Arial"/>
          <w:color w:val="000000"/>
          <w:lang w:val="en-CA"/>
        </w:rPr>
        <w:t xml:space="preserve"> </w:t>
      </w:r>
    </w:p>
    <w:p w14:paraId="39021BA1" w14:textId="0FA3FDC2" w:rsidR="00D04F2D" w:rsidRPr="006B7726" w:rsidRDefault="00F8060B" w:rsidP="00D04F2D">
      <w:pPr>
        <w:pStyle w:val="Paragrdouble"/>
        <w:spacing w:line="240" w:lineRule="auto"/>
        <w:rPr>
          <w:rFonts w:cs="Arial"/>
          <w:color w:val="000000"/>
          <w:lang w:val="en-CA"/>
        </w:rPr>
      </w:pPr>
      <w:r w:rsidRPr="006B7726">
        <w:rPr>
          <w:rFonts w:cs="Arial"/>
          <w:color w:val="000000"/>
          <w:lang w:val="en-CA"/>
        </w:rPr>
        <w:t xml:space="preserve">In </w:t>
      </w:r>
      <w:r w:rsidRPr="006B7726">
        <w:rPr>
          <w:rFonts w:cs="Arial"/>
          <w:i/>
          <w:color w:val="000000"/>
          <w:lang w:val="en-CA"/>
        </w:rPr>
        <w:t>Mahe</w:t>
      </w:r>
      <w:r w:rsidRPr="006B7726">
        <w:rPr>
          <w:rFonts w:cs="Arial"/>
          <w:color w:val="000000"/>
          <w:lang w:val="en-CA"/>
        </w:rPr>
        <w:t xml:space="preserve">, the Supreme Court determined that “minority language representatives should have exclusive authority to make decisions relating to the minority language instruction and facilities, including: </w:t>
      </w:r>
      <w:r w:rsidR="00110D35" w:rsidRPr="006B7726">
        <w:rPr>
          <w:rFonts w:cs="Arial"/>
          <w:color w:val="000000"/>
          <w:lang w:val="en-CA"/>
        </w:rPr>
        <w:t xml:space="preserve"> </w:t>
      </w:r>
    </w:p>
    <w:p w14:paraId="20EABF5D" w14:textId="254FDF3D" w:rsidR="00D04F2D" w:rsidRPr="006B7726" w:rsidRDefault="00F8060B" w:rsidP="00D04F2D">
      <w:pPr>
        <w:pStyle w:val="paragrdouble0"/>
        <w:spacing w:before="120" w:beforeAutospacing="0" w:after="120" w:afterAutospacing="0"/>
        <w:ind w:firstLine="731"/>
        <w:jc w:val="both"/>
        <w:rPr>
          <w:rFonts w:ascii="Arial" w:hAnsi="Arial" w:cs="Arial"/>
          <w:color w:val="000000"/>
          <w:lang w:val="en-CA"/>
        </w:rPr>
      </w:pPr>
      <w:r w:rsidRPr="006B7726">
        <w:rPr>
          <w:rFonts w:ascii="Arial" w:hAnsi="Arial" w:cs="Arial"/>
          <w:color w:val="000000"/>
          <w:lang w:val="en-CA"/>
        </w:rPr>
        <w:t>(a) expenditures of funds provided for such instruction and facilities;</w:t>
      </w:r>
    </w:p>
    <w:p w14:paraId="68BC1E63" w14:textId="57C70950" w:rsidR="00D04F2D" w:rsidRPr="006B7726" w:rsidRDefault="00F8060B" w:rsidP="00D04F2D">
      <w:pPr>
        <w:pStyle w:val="paragrdouble0"/>
        <w:spacing w:before="120" w:beforeAutospacing="0" w:after="120" w:afterAutospacing="0"/>
        <w:ind w:left="731"/>
        <w:jc w:val="both"/>
        <w:rPr>
          <w:rFonts w:ascii="Arial" w:hAnsi="Arial" w:cs="Arial"/>
          <w:color w:val="000000"/>
          <w:lang w:val="en-CA"/>
        </w:rPr>
      </w:pPr>
      <w:r w:rsidRPr="006B7726">
        <w:rPr>
          <w:rFonts w:ascii="Arial" w:hAnsi="Arial" w:cs="Arial"/>
          <w:color w:val="000000"/>
          <w:lang w:val="en-CA"/>
        </w:rPr>
        <w:t>(b) appointment and direction of those responsible for the administration of such instruction and facilities;</w:t>
      </w:r>
    </w:p>
    <w:p w14:paraId="13E6A05F" w14:textId="3790B6D5" w:rsidR="00D04F2D" w:rsidRPr="006B7726" w:rsidRDefault="00F8060B" w:rsidP="00D04F2D">
      <w:pPr>
        <w:pStyle w:val="paragrdouble0"/>
        <w:spacing w:before="120" w:beforeAutospacing="0" w:after="120" w:afterAutospacing="0"/>
        <w:ind w:firstLine="731"/>
        <w:jc w:val="both"/>
        <w:rPr>
          <w:rFonts w:ascii="Arial" w:hAnsi="Arial" w:cs="Arial"/>
          <w:color w:val="000000"/>
          <w:lang w:val="en-CA"/>
        </w:rPr>
      </w:pPr>
      <w:r w:rsidRPr="006B7726">
        <w:rPr>
          <w:rFonts w:ascii="Arial" w:hAnsi="Arial" w:cs="Arial"/>
          <w:color w:val="000000"/>
          <w:lang w:val="en-CA"/>
        </w:rPr>
        <w:t>(c) establishment of programs of instruction;</w:t>
      </w:r>
    </w:p>
    <w:p w14:paraId="11A31F47" w14:textId="4CD2939E" w:rsidR="00D04F2D" w:rsidRPr="00BA1219" w:rsidRDefault="00F8060B" w:rsidP="00D04F2D">
      <w:pPr>
        <w:pStyle w:val="paragrdouble0"/>
        <w:spacing w:before="120" w:beforeAutospacing="0" w:after="120" w:afterAutospacing="0"/>
        <w:ind w:firstLine="731"/>
        <w:jc w:val="both"/>
        <w:rPr>
          <w:rFonts w:ascii="Arial" w:hAnsi="Arial" w:cs="Arial"/>
          <w:color w:val="000000"/>
          <w:lang w:val="en-CA"/>
        </w:rPr>
      </w:pPr>
      <w:r w:rsidRPr="006B7726">
        <w:rPr>
          <w:rFonts w:ascii="Arial" w:hAnsi="Arial" w:cs="Arial"/>
          <w:color w:val="000000"/>
          <w:lang w:val="en-CA"/>
        </w:rPr>
        <w:t>(d) recruitment and assignment of teachers and other personnel; and</w:t>
      </w:r>
    </w:p>
    <w:p w14:paraId="39F39433" w14:textId="0ACA8BFB" w:rsidR="00D04F2D" w:rsidRPr="00BA1219" w:rsidRDefault="00F8060B" w:rsidP="00D04F2D">
      <w:pPr>
        <w:pStyle w:val="paragrdouble0"/>
        <w:spacing w:before="120" w:beforeAutospacing="0" w:after="120" w:afterAutospacing="0"/>
        <w:ind w:left="731"/>
        <w:jc w:val="both"/>
        <w:rPr>
          <w:rFonts w:ascii="Arial" w:hAnsi="Arial" w:cs="Arial"/>
          <w:color w:val="000000"/>
          <w:lang w:val="en-CA"/>
        </w:rPr>
      </w:pPr>
      <w:r w:rsidRPr="006B7726">
        <w:rPr>
          <w:rFonts w:ascii="Arial" w:hAnsi="Arial" w:cs="Arial"/>
          <w:color w:val="000000"/>
          <w:lang w:val="en-CA"/>
        </w:rPr>
        <w:t>(e) making of agreements for education and services for minority language pupils.</w:t>
      </w:r>
      <w:r w:rsidR="00AA7A70">
        <w:rPr>
          <w:rFonts w:ascii="Arial" w:hAnsi="Arial" w:cs="Arial"/>
          <w:color w:val="000000"/>
          <w:lang w:val="en-CA"/>
        </w:rPr>
        <w:t>”</w:t>
      </w:r>
      <w:r w:rsidR="0096102C" w:rsidRPr="00BA1219">
        <w:rPr>
          <w:rStyle w:val="Appelnotedebasdep"/>
          <w:rFonts w:ascii="Arial" w:hAnsi="Arial" w:cs="Arial"/>
          <w:color w:val="000000"/>
          <w:lang w:val="en-CA"/>
        </w:rPr>
        <w:footnoteReference w:id="16"/>
      </w:r>
    </w:p>
    <w:p w14:paraId="50894537" w14:textId="7E8D1278" w:rsidR="00341977" w:rsidRPr="006B7726" w:rsidRDefault="00AA5C05" w:rsidP="00D04F2D">
      <w:pPr>
        <w:pStyle w:val="Paragrdouble"/>
        <w:spacing w:line="240" w:lineRule="auto"/>
        <w:rPr>
          <w:rFonts w:cs="Arial"/>
          <w:color w:val="000000"/>
          <w:szCs w:val="24"/>
          <w:lang w:val="en-CA"/>
        </w:rPr>
      </w:pPr>
      <w:r w:rsidRPr="006B7726">
        <w:rPr>
          <w:rFonts w:cs="Arial"/>
          <w:color w:val="000000"/>
          <w:szCs w:val="24"/>
          <w:lang w:val="en-CA"/>
        </w:rPr>
        <w:t>The Attorney General of Quebec</w:t>
      </w:r>
      <w:r w:rsidRPr="006B7726">
        <w:rPr>
          <w:rStyle w:val="Appelnotedebasdep"/>
          <w:rFonts w:cs="Arial"/>
          <w:color w:val="000000"/>
          <w:szCs w:val="24"/>
          <w:lang w:val="en-CA"/>
        </w:rPr>
        <w:footnoteReference w:id="17"/>
      </w:r>
      <w:r w:rsidR="009D60F1">
        <w:rPr>
          <w:rFonts w:cs="Arial"/>
          <w:color w:val="000000"/>
          <w:szCs w:val="24"/>
          <w:lang w:val="en-CA"/>
        </w:rPr>
        <w:t xml:space="preserve"> </w:t>
      </w:r>
      <w:r w:rsidRPr="006B7726">
        <w:rPr>
          <w:rFonts w:cs="Arial"/>
          <w:color w:val="000000"/>
          <w:szCs w:val="24"/>
          <w:lang w:val="en-CA"/>
        </w:rPr>
        <w:t>concedes that this list is not exhaustive.</w:t>
      </w:r>
      <w:r w:rsidR="0096102C" w:rsidRPr="006B7726">
        <w:rPr>
          <w:rFonts w:cs="Arial"/>
          <w:color w:val="000000"/>
          <w:szCs w:val="24"/>
          <w:lang w:val="en-CA"/>
        </w:rPr>
        <w:t xml:space="preserve"> </w:t>
      </w:r>
    </w:p>
    <w:p w14:paraId="3D311CE8" w14:textId="7B84A069" w:rsidR="00D04F2D" w:rsidRPr="00BA1219" w:rsidRDefault="00AA5C05" w:rsidP="00D04F2D">
      <w:pPr>
        <w:pStyle w:val="Paragrdouble"/>
        <w:spacing w:line="240" w:lineRule="auto"/>
        <w:rPr>
          <w:rFonts w:cs="Arial"/>
          <w:color w:val="000000"/>
          <w:szCs w:val="24"/>
          <w:lang w:val="en-CA"/>
        </w:rPr>
      </w:pPr>
      <w:r w:rsidRPr="006B7726">
        <w:rPr>
          <w:rFonts w:cs="Arial"/>
          <w:color w:val="000000"/>
          <w:lang w:val="en-CA"/>
        </w:rPr>
        <w:t xml:space="preserve">These principles emerged in </w:t>
      </w:r>
      <w:r w:rsidR="00D66F21">
        <w:rPr>
          <w:rFonts w:cs="Arial"/>
          <w:color w:val="000000"/>
          <w:lang w:val="en-CA"/>
        </w:rPr>
        <w:t>a situation</w:t>
      </w:r>
      <w:r w:rsidRPr="006B7726">
        <w:rPr>
          <w:rFonts w:cs="Arial"/>
          <w:color w:val="000000"/>
          <w:lang w:val="en-CA"/>
        </w:rPr>
        <w:t xml:space="preserve"> where the number of students of the French-speaking minority was insufficient to justify creating an autonomous school board.</w:t>
      </w:r>
      <w:r w:rsidR="0096102C" w:rsidRPr="00BA1219">
        <w:rPr>
          <w:rFonts w:cs="Arial"/>
          <w:color w:val="000000"/>
          <w:lang w:val="en-CA"/>
        </w:rPr>
        <w:t xml:space="preserve"> </w:t>
      </w:r>
      <w:r w:rsidRPr="00BA1219">
        <w:rPr>
          <w:rFonts w:cs="Arial"/>
          <w:color w:val="000000"/>
          <w:lang w:val="en-CA"/>
        </w:rPr>
        <w:t>It is clear that</w:t>
      </w:r>
      <w:r w:rsidR="00E02636">
        <w:rPr>
          <w:rFonts w:cs="Arial"/>
          <w:color w:val="000000"/>
          <w:lang w:val="en-CA"/>
        </w:rPr>
        <w:t xml:space="preserve">, in regard to </w:t>
      </w:r>
      <w:r w:rsidR="00BE676D">
        <w:rPr>
          <w:rFonts w:cs="Arial"/>
          <w:color w:val="000000"/>
          <w:lang w:val="en-CA"/>
        </w:rPr>
        <w:t xml:space="preserve">a </w:t>
      </w:r>
      <w:r w:rsidR="00E02636">
        <w:rPr>
          <w:rFonts w:cs="Arial"/>
          <w:color w:val="000000"/>
          <w:lang w:val="en-CA"/>
        </w:rPr>
        <w:t>school board,</w:t>
      </w:r>
      <w:r w:rsidR="008154C6">
        <w:rPr>
          <w:rFonts w:cs="Arial"/>
          <w:color w:val="000000"/>
          <w:lang w:val="en-CA"/>
        </w:rPr>
        <w:t xml:space="preserve"> </w:t>
      </w:r>
      <w:r w:rsidRPr="00BA1219">
        <w:rPr>
          <w:rFonts w:cs="Arial"/>
          <w:color w:val="000000"/>
          <w:lang w:val="en-CA"/>
        </w:rPr>
        <w:t>minority representatives must have the same exclusive powers of management and control.</w:t>
      </w:r>
      <w:r w:rsidR="0096102C" w:rsidRPr="00BA1219">
        <w:rPr>
          <w:rFonts w:cs="Arial"/>
          <w:color w:val="000000"/>
          <w:lang w:val="en-CA"/>
        </w:rPr>
        <w:t xml:space="preserve"> </w:t>
      </w:r>
    </w:p>
    <w:p w14:paraId="202EC687" w14:textId="5FBD0D5B" w:rsidR="00D04F2D" w:rsidRPr="00BA1219" w:rsidRDefault="00AA5C05" w:rsidP="00110D35">
      <w:pPr>
        <w:pStyle w:val="Paragrdouble"/>
        <w:spacing w:line="240" w:lineRule="auto"/>
        <w:rPr>
          <w:rFonts w:cs="Arial"/>
          <w:color w:val="000000"/>
          <w:lang w:val="en-CA"/>
        </w:rPr>
      </w:pPr>
      <w:r w:rsidRPr="006B7726">
        <w:rPr>
          <w:rFonts w:cs="Arial"/>
          <w:color w:val="000000"/>
          <w:lang w:val="en-CA"/>
        </w:rPr>
        <w:t xml:space="preserve">The debate </w:t>
      </w:r>
      <w:r w:rsidR="00E02636">
        <w:rPr>
          <w:rFonts w:cs="Arial"/>
          <w:color w:val="000000"/>
          <w:lang w:val="en-CA"/>
        </w:rPr>
        <w:t xml:space="preserve">thus </w:t>
      </w:r>
      <w:r w:rsidRPr="006B7726">
        <w:rPr>
          <w:rFonts w:cs="Arial"/>
          <w:color w:val="000000"/>
          <w:lang w:val="en-CA"/>
        </w:rPr>
        <w:t>concerns the power of management and control of educational institutions.</w:t>
      </w:r>
      <w:r w:rsidR="0096102C" w:rsidRPr="00BA1219">
        <w:rPr>
          <w:rFonts w:cs="Arial"/>
          <w:color w:val="000000"/>
          <w:lang w:val="en-CA"/>
        </w:rPr>
        <w:t xml:space="preserve"> </w:t>
      </w:r>
      <w:r w:rsidRPr="006B7726">
        <w:rPr>
          <w:rFonts w:cs="Arial"/>
          <w:color w:val="000000"/>
          <w:lang w:val="en-CA"/>
        </w:rPr>
        <w:t>It should be noted that there is no issue here regarding the protection of the French language.</w:t>
      </w:r>
    </w:p>
    <w:p w14:paraId="3D82DF24" w14:textId="6D774FA5" w:rsidR="002013CD" w:rsidRPr="006B7726" w:rsidRDefault="00AA5C05" w:rsidP="002013CD">
      <w:pPr>
        <w:pStyle w:val="Titre4"/>
        <w:rPr>
          <w:lang w:val="en-CA"/>
        </w:rPr>
      </w:pPr>
      <w:r w:rsidRPr="006B7726">
        <w:rPr>
          <w:lang w:val="en-CA"/>
        </w:rPr>
        <w:t>ISSUES</w:t>
      </w:r>
    </w:p>
    <w:p w14:paraId="60B74776" w14:textId="1D6D3DF8" w:rsidR="002013CD" w:rsidRPr="00BA1219" w:rsidRDefault="00AA5C05" w:rsidP="00175340">
      <w:pPr>
        <w:pStyle w:val="Paragrsimple"/>
        <w:rPr>
          <w:lang w:val="en-CA"/>
        </w:rPr>
      </w:pPr>
      <w:r w:rsidRPr="00BA1219">
        <w:rPr>
          <w:lang w:val="en-CA"/>
        </w:rPr>
        <w:t xml:space="preserve">Do the impugned sections infringe the rights of Quebec’s English-language </w:t>
      </w:r>
      <w:r w:rsidR="00D66F21">
        <w:rPr>
          <w:lang w:val="en-CA"/>
        </w:rPr>
        <w:t>minority</w:t>
      </w:r>
      <w:r w:rsidR="00D66F21" w:rsidRPr="00BA1219">
        <w:rPr>
          <w:lang w:val="en-CA"/>
        </w:rPr>
        <w:t xml:space="preserve"> </w:t>
      </w:r>
      <w:r w:rsidRPr="00BA1219">
        <w:rPr>
          <w:lang w:val="en-CA"/>
        </w:rPr>
        <w:t xml:space="preserve">guaranteed by section 23 of the </w:t>
      </w:r>
      <w:r w:rsidRPr="00BA1219">
        <w:rPr>
          <w:i/>
          <w:lang w:val="en-CA"/>
        </w:rPr>
        <w:t>Charter</w:t>
      </w:r>
      <w:r w:rsidRPr="00BA1219">
        <w:rPr>
          <w:lang w:val="en-CA"/>
        </w:rPr>
        <w:t>?</w:t>
      </w:r>
    </w:p>
    <w:p w14:paraId="723D5C78" w14:textId="7355F6F2" w:rsidR="002013CD" w:rsidRPr="006B7726" w:rsidRDefault="00AA5C05" w:rsidP="00175340">
      <w:pPr>
        <w:pStyle w:val="Paragrsimple"/>
        <w:rPr>
          <w:lang w:val="en-CA"/>
        </w:rPr>
      </w:pPr>
      <w:r w:rsidRPr="006B7726">
        <w:rPr>
          <w:lang w:val="en-CA"/>
        </w:rPr>
        <w:lastRenderedPageBreak/>
        <w:t>In the event those rights are found to be infringed, is such infringement justified?</w:t>
      </w:r>
    </w:p>
    <w:p w14:paraId="3711694C" w14:textId="3A2F90C0" w:rsidR="002013CD" w:rsidRPr="00BA1219" w:rsidRDefault="00AA5C05" w:rsidP="00175340">
      <w:pPr>
        <w:pStyle w:val="Paragrsimple"/>
        <w:rPr>
          <w:lang w:val="en-CA"/>
        </w:rPr>
      </w:pPr>
      <w:r w:rsidRPr="00BA1219">
        <w:rPr>
          <w:lang w:val="en-CA"/>
        </w:rPr>
        <w:t xml:space="preserve">For the following reasons, the Court finds that several of the sections at issue in this </w:t>
      </w:r>
      <w:r w:rsidR="00F03B3D">
        <w:rPr>
          <w:lang w:val="en-CA"/>
        </w:rPr>
        <w:t>instance</w:t>
      </w:r>
      <w:r w:rsidR="00F03B3D" w:rsidRPr="00BA1219">
        <w:rPr>
          <w:lang w:val="en-CA"/>
        </w:rPr>
        <w:t xml:space="preserve"> </w:t>
      </w:r>
      <w:r w:rsidRPr="00BA1219">
        <w:rPr>
          <w:lang w:val="en-CA"/>
        </w:rPr>
        <w:t>infringe the rights protected by section 23 and that such infringement is not justified.</w:t>
      </w:r>
    </w:p>
    <w:p w14:paraId="32014C45" w14:textId="110092FF" w:rsidR="002013CD" w:rsidRPr="006B7726" w:rsidRDefault="00AA5C05" w:rsidP="002013CD">
      <w:pPr>
        <w:pStyle w:val="Titre4"/>
        <w:rPr>
          <w:lang w:val="en-CA"/>
        </w:rPr>
      </w:pPr>
      <w:r w:rsidRPr="006B7726">
        <w:rPr>
          <w:lang w:val="en-CA"/>
        </w:rPr>
        <w:t>ANALYSIS</w:t>
      </w:r>
    </w:p>
    <w:p w14:paraId="76D7CDBA" w14:textId="6EA660F0" w:rsidR="002013CD" w:rsidRPr="006B7726" w:rsidRDefault="0096102C" w:rsidP="009B7445">
      <w:pPr>
        <w:pStyle w:val="Titre1"/>
        <w:numPr>
          <w:ilvl w:val="0"/>
          <w:numId w:val="14"/>
        </w:numPr>
        <w:rPr>
          <w:lang w:val="en-CA"/>
        </w:rPr>
      </w:pPr>
      <w:r w:rsidRPr="00BA1219">
        <w:rPr>
          <w:lang w:val="en-CA"/>
        </w:rPr>
        <w:tab/>
      </w:r>
      <w:r w:rsidR="00AA5C05" w:rsidRPr="006B7726">
        <w:rPr>
          <w:lang w:val="en-CA"/>
        </w:rPr>
        <w:t>Infringement of rights</w:t>
      </w:r>
    </w:p>
    <w:p w14:paraId="4FFC5088" w14:textId="65F788A5" w:rsidR="002013CD" w:rsidRPr="00C902DC" w:rsidRDefault="00C902DC" w:rsidP="00C902DC">
      <w:pPr>
        <w:pStyle w:val="Titre2"/>
        <w:numPr>
          <w:ilvl w:val="0"/>
          <w:numId w:val="0"/>
        </w:numPr>
        <w:ind w:left="360"/>
        <w:rPr>
          <w:bCs w:val="0"/>
          <w:lang w:val="en-CA"/>
        </w:rPr>
      </w:pPr>
      <w:bookmarkStart w:id="9" w:name="_Hlk149038292"/>
      <w:r w:rsidRPr="00C902DC">
        <w:rPr>
          <w:bCs w:val="0"/>
          <w:lang w:val="en-CA"/>
        </w:rPr>
        <w:t xml:space="preserve">(a) </w:t>
      </w:r>
      <w:bookmarkStart w:id="10" w:name="_Hlk149038322"/>
      <w:r w:rsidR="00AA5C05" w:rsidRPr="00C902DC">
        <w:rPr>
          <w:bCs w:val="0"/>
          <w:lang w:val="en-CA"/>
        </w:rPr>
        <w:t xml:space="preserve">The purpose </w:t>
      </w:r>
      <w:r w:rsidR="00B000BF">
        <w:rPr>
          <w:bCs w:val="0"/>
          <w:lang w:val="en-CA"/>
        </w:rPr>
        <w:t xml:space="preserve">and interpretation </w:t>
      </w:r>
      <w:r w:rsidR="00AA5C05" w:rsidRPr="00C902DC">
        <w:rPr>
          <w:bCs w:val="0"/>
          <w:lang w:val="en-CA"/>
        </w:rPr>
        <w:t xml:space="preserve">of section 23 of the </w:t>
      </w:r>
      <w:r w:rsidR="00AA5C05" w:rsidRPr="00C902DC">
        <w:rPr>
          <w:bCs w:val="0"/>
          <w:i/>
          <w:lang w:val="en-CA"/>
        </w:rPr>
        <w:t>Charter</w:t>
      </w:r>
      <w:r w:rsidR="00AA5C05" w:rsidRPr="00C902DC">
        <w:rPr>
          <w:bCs w:val="0"/>
          <w:lang w:val="en-CA"/>
        </w:rPr>
        <w:t xml:space="preserve"> </w:t>
      </w:r>
      <w:bookmarkEnd w:id="10"/>
    </w:p>
    <w:bookmarkEnd w:id="9"/>
    <w:p w14:paraId="1DAA43E8" w14:textId="1FC5F3C6" w:rsidR="002013CD" w:rsidRPr="00BA1219" w:rsidRDefault="00AA5C05" w:rsidP="00175340">
      <w:pPr>
        <w:pStyle w:val="Paragrsimple"/>
        <w:rPr>
          <w:lang w:val="en-CA"/>
        </w:rPr>
      </w:pPr>
      <w:r w:rsidRPr="006B7726">
        <w:rPr>
          <w:lang w:val="en-CA"/>
        </w:rPr>
        <w:t>Section 23 must be interpreted in light of its purpose</w:t>
      </w:r>
      <w:r w:rsidR="00C902DC">
        <w:rPr>
          <w:lang w:val="en-CA"/>
        </w:rPr>
        <w:t>.</w:t>
      </w:r>
      <w:r w:rsidR="0096102C" w:rsidRPr="00BA1219">
        <w:rPr>
          <w:lang w:val="en-CA"/>
        </w:rPr>
        <w:t xml:space="preserve"> </w:t>
      </w:r>
      <w:r w:rsidRPr="00BA1219">
        <w:rPr>
          <w:lang w:val="en-CA"/>
        </w:rPr>
        <w:t xml:space="preserve">A brief review of the Supreme Court’s comments </w:t>
      </w:r>
      <w:r w:rsidR="00F03B3D">
        <w:rPr>
          <w:lang w:val="en-CA"/>
        </w:rPr>
        <w:t>offers</w:t>
      </w:r>
      <w:r w:rsidRPr="00BA1219">
        <w:rPr>
          <w:lang w:val="en-CA"/>
        </w:rPr>
        <w:t xml:space="preserve"> understand</w:t>
      </w:r>
      <w:r w:rsidR="00F03B3D">
        <w:rPr>
          <w:lang w:val="en-CA"/>
        </w:rPr>
        <w:t>ing of</w:t>
      </w:r>
      <w:r w:rsidRPr="00BA1219">
        <w:rPr>
          <w:lang w:val="en-CA"/>
        </w:rPr>
        <w:t xml:space="preserve"> its purpose and its rules of interpretation.</w:t>
      </w:r>
    </w:p>
    <w:p w14:paraId="27FBCE3C" w14:textId="337CFE89" w:rsidR="002013CD" w:rsidRPr="006B7726" w:rsidRDefault="00AA5C05" w:rsidP="00175340">
      <w:pPr>
        <w:pStyle w:val="Paragrsimple"/>
        <w:rPr>
          <w:lang w:val="en-CA"/>
        </w:rPr>
      </w:pPr>
      <w:r w:rsidRPr="006B7726">
        <w:rPr>
          <w:lang w:val="en-CA"/>
        </w:rPr>
        <w:t xml:space="preserve">In </w:t>
      </w:r>
      <w:r w:rsidRPr="006B7726">
        <w:rPr>
          <w:i/>
          <w:iCs/>
          <w:lang w:val="en-CA"/>
        </w:rPr>
        <w:t>Mahe</w:t>
      </w:r>
      <w:r w:rsidRPr="006B7726">
        <w:rPr>
          <w:lang w:val="en-CA"/>
        </w:rPr>
        <w:t xml:space="preserve">, Dickson C.J., established the </w:t>
      </w:r>
      <w:r w:rsidR="00C902DC" w:rsidRPr="006B7726">
        <w:rPr>
          <w:lang w:val="en-CA"/>
        </w:rPr>
        <w:t>purpose</w:t>
      </w:r>
      <w:r w:rsidRPr="006B7726">
        <w:rPr>
          <w:lang w:val="en-CA"/>
        </w:rPr>
        <w:t xml:space="preserve"> of section 23 of the </w:t>
      </w:r>
      <w:r w:rsidRPr="006B7726">
        <w:rPr>
          <w:i/>
          <w:lang w:val="en-CA"/>
        </w:rPr>
        <w:t>Charter</w:t>
      </w:r>
      <w:r w:rsidRPr="006B7726">
        <w:rPr>
          <w:lang w:val="en-CA"/>
        </w:rPr>
        <w:t>:</w:t>
      </w:r>
      <w:r w:rsidR="0096102C" w:rsidRPr="006B7726">
        <w:rPr>
          <w:lang w:val="en-CA"/>
        </w:rPr>
        <w:t xml:space="preserve"> </w:t>
      </w:r>
    </w:p>
    <w:p w14:paraId="02239B0F" w14:textId="0D4D0D1B" w:rsidR="002013CD" w:rsidRPr="006B7726" w:rsidRDefault="00AA5C05" w:rsidP="00175340">
      <w:pPr>
        <w:pStyle w:val="Citation"/>
        <w:rPr>
          <w:lang w:val="en-CA"/>
        </w:rPr>
      </w:pPr>
      <w:r w:rsidRPr="006B7726">
        <w:rPr>
          <w:lang w:val="en-CA"/>
        </w:rPr>
        <w:t>The general purpose of s. 23 is clear:  it is to preserve and promote the two official languages of Canada, and their respective cultures, by ensuring that each language flourishes, as far as possible, in provinces where it is not spoken by the majority of the population.  The section aims at achieving this goal by granting minority language educational rights to minority language parents throughout Canada.</w:t>
      </w:r>
      <w:r w:rsidR="0096102C" w:rsidRPr="006B7726">
        <w:rPr>
          <w:lang w:val="en-CA"/>
        </w:rPr>
        <w:t xml:space="preserve"> </w:t>
      </w:r>
    </w:p>
    <w:p w14:paraId="2B0037F6" w14:textId="51EBA61E" w:rsidR="002013CD" w:rsidRPr="00BA1219" w:rsidRDefault="00AA5C05" w:rsidP="00175340">
      <w:pPr>
        <w:pStyle w:val="Citation"/>
        <w:rPr>
          <w:lang w:val="en-CA"/>
        </w:rPr>
      </w:pPr>
      <w:r w:rsidRPr="00BA1219">
        <w:rPr>
          <w:lang w:val="en-CA"/>
        </w:rPr>
        <w:t>My reference to cultures is significant: it is based on the fact that any broad guarantee of language rights, especially in the context of education, cannot be separated from a concern for the culture associated with the language.  Language is more than a mere means of communication, it is part and parcel of the identity and culture of the people speaking it.</w:t>
      </w:r>
      <w:r w:rsidRPr="006B7726">
        <w:rPr>
          <w:rStyle w:val="Appelnotedebasdep"/>
          <w:rFonts w:cs="Arial"/>
          <w:color w:val="000000"/>
          <w:lang w:val="en-CA"/>
        </w:rPr>
        <w:footnoteReference w:id="18"/>
      </w:r>
    </w:p>
    <w:p w14:paraId="426FA3F9" w14:textId="5DB85A93" w:rsidR="002013CD" w:rsidRPr="00BA1219" w:rsidRDefault="00E02636" w:rsidP="00175340">
      <w:pPr>
        <w:pStyle w:val="Paragrsimple"/>
        <w:rPr>
          <w:lang w:val="en-CA"/>
        </w:rPr>
      </w:pPr>
      <w:r>
        <w:rPr>
          <w:lang w:val="en-CA"/>
        </w:rPr>
        <w:t>Wagner C.J. r</w:t>
      </w:r>
      <w:r w:rsidR="00AA5C05" w:rsidRPr="006B7726">
        <w:rPr>
          <w:lang w:val="en-CA"/>
        </w:rPr>
        <w:t>ecently</w:t>
      </w:r>
      <w:r>
        <w:rPr>
          <w:lang w:val="en-CA"/>
        </w:rPr>
        <w:t xml:space="preserve"> recalled these principles</w:t>
      </w:r>
      <w:r w:rsidR="00AA5C05" w:rsidRPr="006B7726">
        <w:rPr>
          <w:lang w:val="en-CA"/>
        </w:rPr>
        <w:t xml:space="preserve"> in </w:t>
      </w:r>
      <w:r w:rsidR="00AA5C05" w:rsidRPr="006B7726">
        <w:rPr>
          <w:i/>
          <w:color w:val="212529"/>
          <w:lang w:val="en-CA"/>
        </w:rPr>
        <w:t xml:space="preserve">Conseil </w:t>
      </w:r>
      <w:proofErr w:type="spellStart"/>
      <w:r w:rsidR="00AA5C05" w:rsidRPr="006B7726">
        <w:rPr>
          <w:i/>
          <w:color w:val="212529"/>
          <w:lang w:val="en-CA"/>
        </w:rPr>
        <w:t>scolaire</w:t>
      </w:r>
      <w:proofErr w:type="spellEnd"/>
      <w:r w:rsidR="00AA5C05" w:rsidRPr="006B7726">
        <w:rPr>
          <w:i/>
          <w:color w:val="212529"/>
          <w:lang w:val="en-CA"/>
        </w:rPr>
        <w:t xml:space="preserve"> francophone de la </w:t>
      </w:r>
      <w:proofErr w:type="spellStart"/>
      <w:r w:rsidR="00AA5C05" w:rsidRPr="006B7726">
        <w:rPr>
          <w:i/>
          <w:color w:val="212529"/>
          <w:lang w:val="en-CA"/>
        </w:rPr>
        <w:t>Colombie-Britannique</w:t>
      </w:r>
      <w:proofErr w:type="spellEnd"/>
      <w:r w:rsidR="00AA5C05" w:rsidRPr="006B7726">
        <w:rPr>
          <w:color w:val="212529"/>
          <w:lang w:val="en-CA"/>
        </w:rPr>
        <w:t xml:space="preserve"> </w:t>
      </w:r>
      <w:r w:rsidR="00AA5C05" w:rsidRPr="006B7726">
        <w:rPr>
          <w:i/>
          <w:color w:val="212529"/>
          <w:lang w:val="en-CA"/>
        </w:rPr>
        <w:t>v. British Columbia</w:t>
      </w:r>
      <w:r w:rsidR="00AA5C05" w:rsidRPr="006B7726">
        <w:rPr>
          <w:color w:val="212529"/>
          <w:lang w:val="en-CA"/>
        </w:rPr>
        <w:t>.</w:t>
      </w:r>
      <w:r w:rsidR="0096102C" w:rsidRPr="00BA1219">
        <w:rPr>
          <w:rStyle w:val="Appelnotedebasdep"/>
          <w:rFonts w:cs="Arial"/>
          <w:color w:val="212529"/>
          <w:szCs w:val="24"/>
          <w:lang w:val="en-CA"/>
        </w:rPr>
        <w:footnoteReference w:id="19"/>
      </w:r>
      <w:r w:rsidR="0096102C" w:rsidRPr="00BA1219">
        <w:rPr>
          <w:lang w:val="en-CA"/>
        </w:rPr>
        <w:t xml:space="preserve"> </w:t>
      </w:r>
      <w:r w:rsidR="00AA5C05" w:rsidRPr="00BA1219">
        <w:rPr>
          <w:lang w:val="en-CA"/>
        </w:rPr>
        <w:t>First, he cautioned against an inordinately narrow interpretation of s. 23.</w:t>
      </w:r>
      <w:r w:rsidR="00AA5C05" w:rsidRPr="00BA1219">
        <w:rPr>
          <w:rStyle w:val="Appelnotedebasdep"/>
          <w:rFonts w:cs="Arial"/>
          <w:color w:val="212529"/>
          <w:szCs w:val="24"/>
          <w:lang w:val="en-CA"/>
        </w:rPr>
        <w:t xml:space="preserve"> </w:t>
      </w:r>
      <w:r w:rsidR="00AA5C05" w:rsidRPr="00BA1219">
        <w:rPr>
          <w:rStyle w:val="Appelnotedebasdep"/>
          <w:rFonts w:cs="Arial"/>
          <w:color w:val="212529"/>
          <w:szCs w:val="24"/>
          <w:lang w:val="en-CA"/>
        </w:rPr>
        <w:footnoteReference w:id="20"/>
      </w:r>
      <w:r w:rsidR="0096102C" w:rsidRPr="00BA1219">
        <w:rPr>
          <w:lang w:val="en-CA"/>
        </w:rPr>
        <w:t xml:space="preserve"> </w:t>
      </w:r>
      <w:r w:rsidR="00AA5C05" w:rsidRPr="00BA1219">
        <w:rPr>
          <w:lang w:val="en-CA"/>
        </w:rPr>
        <w:t xml:space="preserve">Next, he recalled the reasons the </w:t>
      </w:r>
      <w:r w:rsidR="0040179B">
        <w:rPr>
          <w:lang w:val="en-CA"/>
        </w:rPr>
        <w:t>provision</w:t>
      </w:r>
      <w:r w:rsidR="0040179B" w:rsidRPr="00BA1219">
        <w:rPr>
          <w:lang w:val="en-CA"/>
        </w:rPr>
        <w:t xml:space="preserve"> </w:t>
      </w:r>
      <w:r w:rsidR="00AA5C05" w:rsidRPr="00BA1219">
        <w:rPr>
          <w:lang w:val="en-CA"/>
        </w:rPr>
        <w:t xml:space="preserve">was </w:t>
      </w:r>
      <w:r>
        <w:rPr>
          <w:lang w:val="en-CA"/>
        </w:rPr>
        <w:t>enacted</w:t>
      </w:r>
      <w:r w:rsidR="00AA5C05" w:rsidRPr="00BA1219">
        <w:rPr>
          <w:lang w:val="en-CA"/>
        </w:rPr>
        <w:t xml:space="preserve"> and </w:t>
      </w:r>
      <w:r>
        <w:rPr>
          <w:lang w:val="en-CA"/>
        </w:rPr>
        <w:t xml:space="preserve">its </w:t>
      </w:r>
      <w:r w:rsidR="00AA5C05" w:rsidRPr="00BA1219">
        <w:rPr>
          <w:lang w:val="en-CA"/>
        </w:rPr>
        <w:t>consequences:</w:t>
      </w:r>
    </w:p>
    <w:p w14:paraId="4FF25C80" w14:textId="1E0A2216" w:rsidR="002013CD" w:rsidRPr="00BA1219" w:rsidRDefault="00AA5C05" w:rsidP="00175340">
      <w:pPr>
        <w:pStyle w:val="Citation"/>
        <w:rPr>
          <w:lang w:val="en-CA"/>
        </w:rPr>
      </w:pPr>
      <w:r w:rsidRPr="00BA1219">
        <w:rPr>
          <w:lang w:val="en-CA"/>
        </w:rPr>
        <w:t>[4]</w:t>
      </w:r>
      <w:r w:rsidR="00DA02E6" w:rsidRPr="00BA1219">
        <w:rPr>
          <w:lang w:val="en-CA"/>
        </w:rPr>
        <w:tab/>
      </w:r>
      <w:r w:rsidRPr="006B7726">
        <w:rPr>
          <w:lang w:val="en-CA"/>
        </w:rPr>
        <w:t>It is well established that Charter rights must be given a large, liberal and purposive interpretation (</w:t>
      </w:r>
      <w:r w:rsidRPr="006B7726">
        <w:rPr>
          <w:i/>
          <w:lang w:val="en-CA"/>
        </w:rPr>
        <w:t>Hunter v. Southam Inc.</w:t>
      </w:r>
      <w:r w:rsidRPr="006B7726">
        <w:rPr>
          <w:lang w:val="en-CA"/>
        </w:rPr>
        <w:t xml:space="preserve">, [1984] 2 S.C.R. 145; </w:t>
      </w:r>
      <w:r w:rsidRPr="006B7726">
        <w:rPr>
          <w:i/>
          <w:lang w:val="en-CA"/>
        </w:rPr>
        <w:t>R. v. Big M Drug Mart Ltd</w:t>
      </w:r>
      <w:r w:rsidRPr="006B7726">
        <w:rPr>
          <w:lang w:val="en-CA"/>
        </w:rPr>
        <w:t>., [1985] 1 S.C.R. 295). In addition, it is essential to place the purpose of the right in question in its linguistic, philosophical and historical contexts (</w:t>
      </w:r>
      <w:r w:rsidRPr="006B7726">
        <w:rPr>
          <w:i/>
          <w:lang w:val="en-CA"/>
        </w:rPr>
        <w:t xml:space="preserve">Law Society of Upper Canada v. </w:t>
      </w:r>
      <w:proofErr w:type="spellStart"/>
      <w:r w:rsidRPr="006B7726">
        <w:rPr>
          <w:i/>
          <w:lang w:val="en-CA"/>
        </w:rPr>
        <w:t>Skapinker</w:t>
      </w:r>
      <w:proofErr w:type="spellEnd"/>
      <w:r w:rsidRPr="006B7726">
        <w:rPr>
          <w:lang w:val="en-CA"/>
        </w:rPr>
        <w:t xml:space="preserve">, [1984] 1 S.C.R. 357; </w:t>
      </w:r>
      <w:r w:rsidRPr="006B7726">
        <w:rPr>
          <w:i/>
          <w:lang w:val="en-CA"/>
        </w:rPr>
        <w:t>Big M Drug Mart Ltd</w:t>
      </w:r>
      <w:r w:rsidRPr="006B7726">
        <w:rPr>
          <w:lang w:val="en-CA"/>
        </w:rPr>
        <w:t>., at p. 344). Before turning to the facts of this appeal, I consider it necessary to review the background to the enactment of s. 23 and the principles that must inform the interpretation of that section.</w:t>
      </w:r>
      <w:r w:rsidR="00DA02E6" w:rsidRPr="00BA1219">
        <w:rPr>
          <w:lang w:val="en-CA"/>
        </w:rPr>
        <w:t xml:space="preserve"> </w:t>
      </w:r>
    </w:p>
    <w:p w14:paraId="1FD37A8F" w14:textId="2C8D71A7" w:rsidR="002013CD" w:rsidRPr="00BA1219" w:rsidRDefault="0096102C" w:rsidP="00175340">
      <w:pPr>
        <w:pStyle w:val="Citation"/>
        <w:rPr>
          <w:lang w:val="en-CA"/>
        </w:rPr>
      </w:pPr>
      <w:r w:rsidRPr="00BA1219">
        <w:rPr>
          <w:lang w:val="en-CA"/>
        </w:rPr>
        <w:lastRenderedPageBreak/>
        <w:t>[</w:t>
      </w:r>
      <w:bookmarkStart w:id="11" w:name="par12"/>
      <w:r w:rsidRPr="00BA1219">
        <w:rPr>
          <w:lang w:val="en-CA"/>
        </w:rPr>
        <w:t>12</w:t>
      </w:r>
      <w:bookmarkEnd w:id="11"/>
      <w:r w:rsidRPr="00BA1219">
        <w:rPr>
          <w:lang w:val="en-CA"/>
        </w:rPr>
        <w:t>]</w:t>
      </w:r>
      <w:r w:rsidRPr="00BA1219">
        <w:rPr>
          <w:lang w:val="en-CA"/>
        </w:rPr>
        <w:tab/>
      </w:r>
      <w:r w:rsidR="0059672D" w:rsidRPr="00BA1219">
        <w:rPr>
          <w:lang w:val="en-CA"/>
        </w:rPr>
        <w:t>The historical and social context at the root of language rights in education makes clear the unique role of s. 23 in Canada’s constitutional landscape. In an oft</w:t>
      </w:r>
      <w:r w:rsidR="0059672D" w:rsidRPr="00BA1219">
        <w:rPr>
          <w:rFonts w:ascii="Cambria Math" w:hAnsi="Cambria Math" w:cs="Cambria Math"/>
          <w:lang w:val="en-CA"/>
        </w:rPr>
        <w:t>‑</w:t>
      </w:r>
      <w:r w:rsidR="0059672D" w:rsidRPr="00BA1219">
        <w:rPr>
          <w:lang w:val="en-CA"/>
        </w:rPr>
        <w:t>quoted passage, Dickson C.J. illustrated the section</w:t>
      </w:r>
      <w:r w:rsidR="0059672D" w:rsidRPr="00BA1219">
        <w:rPr>
          <w:rFonts w:cs="Arial"/>
          <w:lang w:val="en-CA"/>
        </w:rPr>
        <w:t>’</w:t>
      </w:r>
      <w:r w:rsidR="0059672D" w:rsidRPr="00BA1219">
        <w:rPr>
          <w:lang w:val="en-CA"/>
        </w:rPr>
        <w:t>s importance by stating that it represents a “linchpin in this nation's commitment to the values of bilingualism and biculturalism” (</w:t>
      </w:r>
      <w:r w:rsidR="0059672D" w:rsidRPr="00BA1219">
        <w:rPr>
          <w:i/>
          <w:iCs/>
          <w:lang w:val="en-CA"/>
        </w:rPr>
        <w:t>Mahe v. Alberta</w:t>
      </w:r>
      <w:r w:rsidR="0059672D" w:rsidRPr="00BA1219">
        <w:rPr>
          <w:lang w:val="en-CA"/>
        </w:rPr>
        <w:t xml:space="preserve">, [1990] 1 S.C.R. 342, at p. 350). More recently, in </w:t>
      </w:r>
      <w:r w:rsidR="0059672D" w:rsidRPr="00BA1219">
        <w:rPr>
          <w:i/>
          <w:iCs/>
          <w:lang w:val="en-CA"/>
        </w:rPr>
        <w:t xml:space="preserve">Association des parents de </w:t>
      </w:r>
      <w:proofErr w:type="spellStart"/>
      <w:r w:rsidR="0059672D" w:rsidRPr="00BA1219">
        <w:rPr>
          <w:i/>
          <w:iCs/>
          <w:lang w:val="en-CA"/>
        </w:rPr>
        <w:t>l’école</w:t>
      </w:r>
      <w:proofErr w:type="spellEnd"/>
      <w:r w:rsidR="0059672D" w:rsidRPr="00BA1219">
        <w:rPr>
          <w:i/>
          <w:iCs/>
          <w:lang w:val="en-CA"/>
        </w:rPr>
        <w:t xml:space="preserve"> Rose</w:t>
      </w:r>
      <w:r w:rsidR="0059672D" w:rsidRPr="00BA1219">
        <w:rPr>
          <w:rFonts w:ascii="Cambria Math" w:hAnsi="Cambria Math" w:cs="Cambria Math"/>
          <w:i/>
          <w:iCs/>
          <w:lang w:val="en-CA"/>
        </w:rPr>
        <w:t>‑</w:t>
      </w:r>
      <w:r w:rsidR="0059672D" w:rsidRPr="00BA1219">
        <w:rPr>
          <w:i/>
          <w:iCs/>
          <w:lang w:val="en-CA"/>
        </w:rPr>
        <w:t>des</w:t>
      </w:r>
      <w:r w:rsidR="0059672D" w:rsidRPr="00BA1219">
        <w:rPr>
          <w:rFonts w:ascii="Cambria Math" w:hAnsi="Cambria Math" w:cs="Cambria Math"/>
          <w:i/>
          <w:iCs/>
          <w:lang w:val="en-CA"/>
        </w:rPr>
        <w:t>‑</w:t>
      </w:r>
      <w:r w:rsidR="0059672D" w:rsidRPr="00BA1219">
        <w:rPr>
          <w:i/>
          <w:iCs/>
          <w:lang w:val="en-CA"/>
        </w:rPr>
        <w:t>vents v. British Columbia (Education)</w:t>
      </w:r>
      <w:r w:rsidR="0059672D" w:rsidRPr="00BA1219">
        <w:rPr>
          <w:lang w:val="en-CA"/>
        </w:rPr>
        <w:t>, 2015 SCC 21, [2015] 2 S.C.R. 139 (“</w:t>
      </w:r>
      <w:r w:rsidR="0059672D" w:rsidRPr="00BA1219">
        <w:rPr>
          <w:i/>
          <w:iCs/>
          <w:lang w:val="en-CA"/>
        </w:rPr>
        <w:t>Rose</w:t>
      </w:r>
      <w:r w:rsidR="0059672D" w:rsidRPr="00BA1219">
        <w:rPr>
          <w:rFonts w:ascii="Cambria Math" w:hAnsi="Cambria Math" w:cs="Cambria Math"/>
          <w:i/>
          <w:iCs/>
          <w:lang w:val="en-CA"/>
        </w:rPr>
        <w:t>‑</w:t>
      </w:r>
      <w:r w:rsidR="0059672D" w:rsidRPr="00BA1219">
        <w:rPr>
          <w:i/>
          <w:iCs/>
          <w:lang w:val="en-CA"/>
        </w:rPr>
        <w:t>des</w:t>
      </w:r>
      <w:r w:rsidR="0059672D" w:rsidRPr="00BA1219">
        <w:rPr>
          <w:rFonts w:ascii="Cambria Math" w:hAnsi="Cambria Math" w:cs="Cambria Math"/>
          <w:i/>
          <w:iCs/>
          <w:lang w:val="en-CA"/>
        </w:rPr>
        <w:t>‑</w:t>
      </w:r>
      <w:r w:rsidR="0059672D" w:rsidRPr="00BA1219">
        <w:rPr>
          <w:i/>
          <w:iCs/>
          <w:lang w:val="en-CA"/>
        </w:rPr>
        <w:t>vents</w:t>
      </w:r>
      <w:r w:rsidR="0059672D" w:rsidRPr="00BA1219">
        <w:rPr>
          <w:rFonts w:cs="Arial"/>
          <w:lang w:val="en-CA"/>
        </w:rPr>
        <w:t>”</w:t>
      </w:r>
      <w:r w:rsidR="0059672D" w:rsidRPr="00BA1219">
        <w:rPr>
          <w:lang w:val="en-CA"/>
        </w:rPr>
        <w:t xml:space="preserve">), Karakatsanis J. noted that Canada has a bicultural founding character and that its commitment to bilingualism sets it apart among nations (para. 25, citing </w:t>
      </w:r>
      <w:r w:rsidR="0059672D" w:rsidRPr="00BA1219">
        <w:rPr>
          <w:i/>
          <w:iCs/>
          <w:lang w:val="en-CA"/>
        </w:rPr>
        <w:t>Assn. des Parents Francophones (</w:t>
      </w:r>
      <w:proofErr w:type="spellStart"/>
      <w:r w:rsidR="0059672D" w:rsidRPr="00BA1219">
        <w:rPr>
          <w:i/>
          <w:iCs/>
          <w:lang w:val="en-CA"/>
        </w:rPr>
        <w:t>Colombie</w:t>
      </w:r>
      <w:r w:rsidR="0059672D" w:rsidRPr="00BA1219">
        <w:rPr>
          <w:rFonts w:ascii="Cambria Math" w:hAnsi="Cambria Math" w:cs="Cambria Math"/>
          <w:i/>
          <w:iCs/>
          <w:lang w:val="en-CA"/>
        </w:rPr>
        <w:t>‑</w:t>
      </w:r>
      <w:r w:rsidR="0059672D" w:rsidRPr="00BA1219">
        <w:rPr>
          <w:i/>
          <w:iCs/>
          <w:lang w:val="en-CA"/>
        </w:rPr>
        <w:t>Britannique</w:t>
      </w:r>
      <w:proofErr w:type="spellEnd"/>
      <w:r w:rsidR="0059672D" w:rsidRPr="00BA1219">
        <w:rPr>
          <w:i/>
          <w:iCs/>
          <w:lang w:val="en-CA"/>
        </w:rPr>
        <w:t>) v. British Columbia</w:t>
      </w:r>
      <w:r w:rsidR="0059672D" w:rsidRPr="00BA1219">
        <w:rPr>
          <w:lang w:val="en-CA"/>
        </w:rPr>
        <w:t xml:space="preserve"> (1996), 27 B.C.L.R. (3d) 83 (S.C.), at para. 24).</w:t>
      </w:r>
    </w:p>
    <w:p w14:paraId="0F11948C" w14:textId="52B59D60" w:rsidR="002013CD" w:rsidRPr="00BA1219" w:rsidRDefault="0096102C" w:rsidP="00175340">
      <w:pPr>
        <w:pStyle w:val="Citation"/>
        <w:rPr>
          <w:lang w:val="en-CA"/>
        </w:rPr>
      </w:pPr>
      <w:r w:rsidRPr="00BA1219">
        <w:rPr>
          <w:lang w:val="en-CA"/>
        </w:rPr>
        <w:t>[</w:t>
      </w:r>
      <w:bookmarkStart w:id="12" w:name="par13"/>
      <w:r w:rsidRPr="00BA1219">
        <w:rPr>
          <w:lang w:val="en-CA"/>
        </w:rPr>
        <w:t>13</w:t>
      </w:r>
      <w:bookmarkEnd w:id="12"/>
      <w:r w:rsidRPr="00BA1219">
        <w:rPr>
          <w:lang w:val="en-CA"/>
        </w:rPr>
        <w:t>]</w:t>
      </w:r>
      <w:r w:rsidRPr="00BA1219">
        <w:rPr>
          <w:lang w:val="en-CA"/>
        </w:rPr>
        <w:tab/>
      </w:r>
      <w:r w:rsidR="0059672D" w:rsidRPr="006B7726">
        <w:rPr>
          <w:lang w:val="en-CA"/>
        </w:rPr>
        <w:t xml:space="preserve"> However, the importance of s. 23 is not based solely on its role in the formation of Canada’s identity as a country. The section is also important because of the role it plays in the identity of Canadians as individuals and </w:t>
      </w:r>
      <w:r w:rsidR="0059672D" w:rsidRPr="006B7726">
        <w:rPr>
          <w:u w:val="single"/>
          <w:lang w:val="en-CA"/>
        </w:rPr>
        <w:t>as members of linguistic communities</w:t>
      </w:r>
      <w:r w:rsidR="0059672D" w:rsidRPr="006B7726">
        <w:rPr>
          <w:lang w:val="en-CA"/>
        </w:rPr>
        <w:t>. Section 23 is intended to preserve culture and language, two core elements of the notions of identity and well</w:t>
      </w:r>
      <w:r w:rsidR="0059672D" w:rsidRPr="006B7726">
        <w:rPr>
          <w:rFonts w:ascii="Cambria Math" w:hAnsi="Cambria Math" w:cs="Cambria Math"/>
          <w:lang w:val="en-CA"/>
        </w:rPr>
        <w:t>‑</w:t>
      </w:r>
      <w:r w:rsidR="0059672D" w:rsidRPr="006B7726">
        <w:rPr>
          <w:lang w:val="en-CA"/>
        </w:rPr>
        <w:t xml:space="preserve">being of individuals and communities (W. </w:t>
      </w:r>
      <w:proofErr w:type="spellStart"/>
      <w:r w:rsidR="0059672D" w:rsidRPr="006B7726">
        <w:rPr>
          <w:lang w:val="en-CA"/>
        </w:rPr>
        <w:t>Kymlicka</w:t>
      </w:r>
      <w:proofErr w:type="spellEnd"/>
      <w:r w:rsidR="0059672D" w:rsidRPr="006B7726">
        <w:rPr>
          <w:lang w:val="en-CA"/>
        </w:rPr>
        <w:t xml:space="preserve">, </w:t>
      </w:r>
      <w:r w:rsidR="0059672D" w:rsidRPr="006B7726">
        <w:rPr>
          <w:i/>
          <w:lang w:val="en-CA"/>
        </w:rPr>
        <w:t>Multicultural Citizenship: A Liberal Theory of Minority Rights</w:t>
      </w:r>
      <w:r w:rsidR="0059672D" w:rsidRPr="006B7726">
        <w:rPr>
          <w:lang w:val="en-CA"/>
        </w:rPr>
        <w:t xml:space="preserve"> (1995), at p. 8</w:t>
      </w:r>
      <w:r w:rsidR="0059672D" w:rsidRPr="00BA1219">
        <w:rPr>
          <w:lang w:val="en-CA"/>
        </w:rPr>
        <w:t>9).</w:t>
      </w:r>
    </w:p>
    <w:p w14:paraId="307C751C" w14:textId="37ACF85C" w:rsidR="002013CD" w:rsidRPr="00BA1219" w:rsidRDefault="0096102C" w:rsidP="00175340">
      <w:pPr>
        <w:pStyle w:val="Citation"/>
        <w:rPr>
          <w:lang w:val="en-CA"/>
        </w:rPr>
      </w:pPr>
      <w:r w:rsidRPr="00BA1219">
        <w:rPr>
          <w:lang w:val="en-CA"/>
        </w:rPr>
        <w:t>[</w:t>
      </w:r>
      <w:bookmarkStart w:id="13" w:name="par15"/>
      <w:r w:rsidRPr="00BA1219">
        <w:rPr>
          <w:lang w:val="en-CA"/>
        </w:rPr>
        <w:t>15</w:t>
      </w:r>
      <w:bookmarkEnd w:id="13"/>
      <w:r w:rsidRPr="00BA1219">
        <w:rPr>
          <w:lang w:val="en-CA"/>
        </w:rPr>
        <w:t>]</w:t>
      </w:r>
      <w:r w:rsidRPr="00BA1219">
        <w:rPr>
          <w:lang w:val="en-CA"/>
        </w:rPr>
        <w:tab/>
      </w:r>
      <w:r w:rsidR="0059672D" w:rsidRPr="00BA1219">
        <w:rPr>
          <w:color w:val="000000"/>
          <w:lang w:val="en-CA"/>
        </w:rPr>
        <w:t xml:space="preserve">I would add that in conducting the analysis under s. 23, a court must bear in mind that this section has </w:t>
      </w:r>
      <w:r w:rsidR="0059672D" w:rsidRPr="00BA1219">
        <w:rPr>
          <w:color w:val="000000"/>
          <w:u w:val="single"/>
          <w:lang w:val="en-CA"/>
        </w:rPr>
        <w:t>three purposes, as it is at once preventive, remedial and unifying in nature</w:t>
      </w:r>
      <w:r w:rsidR="0059672D" w:rsidRPr="00BA1219">
        <w:rPr>
          <w:color w:val="000000"/>
          <w:lang w:val="en-CA"/>
        </w:rPr>
        <w:t>. It is intended not only to prevent the erosion of official language communities, but also to redress past injustices and promote the development of those communities (</w:t>
      </w:r>
      <w:r w:rsidR="0059672D" w:rsidRPr="00BA1219">
        <w:rPr>
          <w:i/>
          <w:iCs/>
          <w:color w:val="000000"/>
          <w:lang w:val="en-CA"/>
        </w:rPr>
        <w:t>Solski (Tutor of) v. Quebec (Attorney General)</w:t>
      </w:r>
      <w:r w:rsidR="0059672D" w:rsidRPr="00BA1219">
        <w:rPr>
          <w:color w:val="000000"/>
          <w:lang w:val="en-CA"/>
        </w:rPr>
        <w:t>, 2005 SCC 14, [2005] 1 S.C.R. 201, at para. 3; </w:t>
      </w:r>
      <w:r w:rsidR="0059672D" w:rsidRPr="00BA1219">
        <w:rPr>
          <w:i/>
          <w:iCs/>
          <w:color w:val="000000"/>
          <w:lang w:val="en-CA"/>
        </w:rPr>
        <w:t>Arsenault</w:t>
      </w:r>
      <w:r w:rsidR="0059672D" w:rsidRPr="00BA1219">
        <w:rPr>
          <w:i/>
          <w:iCs/>
          <w:color w:val="000000"/>
          <w:lang w:val="en-CA"/>
        </w:rPr>
        <w:noBreakHyphen/>
        <w:t>Cameron v. Prince Edward Island</w:t>
      </w:r>
      <w:r w:rsidR="0059672D" w:rsidRPr="00BA1219">
        <w:rPr>
          <w:color w:val="000000"/>
          <w:lang w:val="en-CA"/>
        </w:rPr>
        <w:t xml:space="preserve">, 2000 SCC 1, [2000] 1 S.C.R. 3, at para. 27). Dickson C.J. explained this remedial purpose by reproducing the comment of </w:t>
      </w:r>
      <w:proofErr w:type="spellStart"/>
      <w:r w:rsidR="0059672D" w:rsidRPr="00BA1219">
        <w:rPr>
          <w:color w:val="000000"/>
          <w:lang w:val="en-CA"/>
        </w:rPr>
        <w:t>Kerans</w:t>
      </w:r>
      <w:proofErr w:type="spellEnd"/>
      <w:r w:rsidR="0059672D" w:rsidRPr="00BA1219">
        <w:rPr>
          <w:color w:val="000000"/>
          <w:lang w:val="en-CA"/>
        </w:rPr>
        <w:t> J.A. that “the very existence of the section implies the inadequacy of the present regime” (</w:t>
      </w:r>
      <w:r w:rsidR="0059672D" w:rsidRPr="00BA1219">
        <w:rPr>
          <w:i/>
          <w:iCs/>
          <w:color w:val="000000"/>
          <w:lang w:val="en-CA"/>
        </w:rPr>
        <w:t>Mahe</w:t>
      </w:r>
      <w:r w:rsidR="0059672D" w:rsidRPr="00BA1219">
        <w:rPr>
          <w:color w:val="000000"/>
          <w:lang w:val="en-CA"/>
        </w:rPr>
        <w:t>, at p. 363). In the face of this “inadequacy of the present regime”, s. 23 was thus designed to alter the status quo. Finally, the section also has a unifying purpose in that it accommodates mobility by enabling citizens to move anywhere in the country without fearing that they will have to abandon their language and culture (</w:t>
      </w:r>
      <w:r w:rsidR="0059672D" w:rsidRPr="00BA1219">
        <w:rPr>
          <w:i/>
          <w:iCs/>
          <w:color w:val="000000"/>
          <w:lang w:val="en-CA"/>
        </w:rPr>
        <w:t>Solski</w:t>
      </w:r>
      <w:r w:rsidR="0059672D" w:rsidRPr="00BA1219">
        <w:rPr>
          <w:color w:val="000000"/>
          <w:lang w:val="en-CA"/>
        </w:rPr>
        <w:t>, at para. 30; </w:t>
      </w:r>
      <w:r w:rsidR="0059672D" w:rsidRPr="00BA1219">
        <w:rPr>
          <w:i/>
          <w:iCs/>
          <w:color w:val="000000"/>
          <w:lang w:val="en-CA"/>
        </w:rPr>
        <w:t>House of Commons Debates</w:t>
      </w:r>
      <w:r w:rsidR="0059672D" w:rsidRPr="00BA1219">
        <w:rPr>
          <w:color w:val="000000"/>
          <w:lang w:val="en-CA"/>
        </w:rPr>
        <w:t>, vol. 3, 1st Sess., 32nd Parl., October 6, 1980, at p. 3286).</w:t>
      </w:r>
    </w:p>
    <w:p w14:paraId="31A57A21" w14:textId="34E76BEA" w:rsidR="002013CD" w:rsidRPr="00BA1219" w:rsidRDefault="0096102C" w:rsidP="00175340">
      <w:pPr>
        <w:pStyle w:val="Citation"/>
        <w:rPr>
          <w:lang w:val="en-CA"/>
        </w:rPr>
      </w:pPr>
      <w:r w:rsidRPr="00BA1219">
        <w:rPr>
          <w:lang w:val="en-CA"/>
        </w:rPr>
        <w:t>[</w:t>
      </w:r>
      <w:bookmarkStart w:id="14" w:name="par16"/>
      <w:r w:rsidRPr="00BA1219">
        <w:rPr>
          <w:lang w:val="en-CA"/>
        </w:rPr>
        <w:t>16</w:t>
      </w:r>
      <w:bookmarkEnd w:id="14"/>
      <w:r w:rsidRPr="00BA1219">
        <w:rPr>
          <w:lang w:val="en-CA"/>
        </w:rPr>
        <w:t>]</w:t>
      </w:r>
      <w:r w:rsidRPr="00BA1219">
        <w:rPr>
          <w:lang w:val="en-CA"/>
        </w:rPr>
        <w:tab/>
      </w:r>
      <w:r w:rsidR="0059672D" w:rsidRPr="00BA1219">
        <w:rPr>
          <w:color w:val="000000"/>
          <w:lang w:val="en-CA"/>
        </w:rPr>
        <w:t>To fully achieve its remedial purpose, s. 23 must, however, be implemented vigilantly. As this Court has noted, the likelihood of assimilation and of cultural erosion will increase with each passing school year if nothing is done to prevent them. The result is that the actual effectiveness of s. 23 is particularly vulnerable to government inaction (</w:t>
      </w:r>
      <w:r w:rsidR="0059672D" w:rsidRPr="00BA1219">
        <w:rPr>
          <w:i/>
          <w:iCs/>
          <w:color w:val="000000"/>
          <w:lang w:val="en-CA"/>
        </w:rPr>
        <w:t>Doucet</w:t>
      </w:r>
      <w:r w:rsidR="0059672D" w:rsidRPr="00BA1219">
        <w:rPr>
          <w:i/>
          <w:iCs/>
          <w:color w:val="000000"/>
          <w:lang w:val="en-CA"/>
        </w:rPr>
        <w:noBreakHyphen/>
        <w:t>Boudreau v. Nova Scotia (Minister of Education)</w:t>
      </w:r>
      <w:r w:rsidR="0059672D" w:rsidRPr="00BA1219">
        <w:rPr>
          <w:color w:val="000000"/>
          <w:lang w:val="en-CA"/>
        </w:rPr>
        <w:t>, 2003 SCC 62, [2003] 3 S.C.R. 3, at para. 29; </w:t>
      </w:r>
      <w:r w:rsidR="0059672D" w:rsidRPr="00BA1219">
        <w:rPr>
          <w:i/>
          <w:iCs/>
          <w:color w:val="000000"/>
          <w:lang w:val="en-CA"/>
        </w:rPr>
        <w:t>Rose</w:t>
      </w:r>
      <w:r w:rsidR="0059672D" w:rsidRPr="00BA1219">
        <w:rPr>
          <w:i/>
          <w:iCs/>
          <w:color w:val="000000"/>
          <w:lang w:val="en-CA"/>
        </w:rPr>
        <w:noBreakHyphen/>
        <w:t>des</w:t>
      </w:r>
      <w:r w:rsidR="0059672D" w:rsidRPr="00BA1219">
        <w:rPr>
          <w:i/>
          <w:iCs/>
          <w:color w:val="000000"/>
          <w:lang w:val="en-CA"/>
        </w:rPr>
        <w:noBreakHyphen/>
        <w:t>vents</w:t>
      </w:r>
      <w:r w:rsidR="0059672D" w:rsidRPr="00BA1219">
        <w:rPr>
          <w:color w:val="000000"/>
          <w:lang w:val="en-CA"/>
        </w:rPr>
        <w:t>, at para. 28). This means that the courts have a crucial role to play, as the framers made them responsible for overseeing the implementation and protection of </w:t>
      </w:r>
      <w:r w:rsidR="0059672D" w:rsidRPr="003142F2">
        <w:rPr>
          <w:i/>
          <w:iCs/>
          <w:lang w:val="en-CA"/>
        </w:rPr>
        <w:t>Charter</w:t>
      </w:r>
      <w:r w:rsidR="0059672D" w:rsidRPr="00BA1219">
        <w:rPr>
          <w:i/>
          <w:iCs/>
          <w:color w:val="000000"/>
          <w:lang w:val="en-CA"/>
        </w:rPr>
        <w:t> </w:t>
      </w:r>
      <w:r w:rsidR="0059672D" w:rsidRPr="00BA1219">
        <w:rPr>
          <w:color w:val="000000"/>
          <w:lang w:val="en-CA"/>
        </w:rPr>
        <w:t>rights.</w:t>
      </w:r>
    </w:p>
    <w:p w14:paraId="344B1E5A" w14:textId="2DD082CA" w:rsidR="002113CE" w:rsidRPr="006B7726" w:rsidRDefault="0096102C" w:rsidP="00B114F1">
      <w:pPr>
        <w:rPr>
          <w:sz w:val="22"/>
          <w:szCs w:val="22"/>
          <w:lang w:val="en-CA"/>
        </w:rPr>
      </w:pP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0059672D" w:rsidRPr="00BA1219">
        <w:rPr>
          <w:lang w:val="en-CA"/>
        </w:rPr>
        <w:t xml:space="preserve">             </w:t>
      </w:r>
      <w:r w:rsidR="00F8060B" w:rsidRPr="006B7726">
        <w:rPr>
          <w:sz w:val="22"/>
          <w:szCs w:val="22"/>
          <w:lang w:val="en-CA"/>
        </w:rPr>
        <w:t>[Emphasis added.]</w:t>
      </w:r>
    </w:p>
    <w:p w14:paraId="40D83EC8" w14:textId="44B718F3" w:rsidR="002013CD" w:rsidRPr="00BA1219" w:rsidRDefault="0059672D" w:rsidP="00175340">
      <w:pPr>
        <w:pStyle w:val="Paragrsimple"/>
        <w:rPr>
          <w:szCs w:val="24"/>
          <w:lang w:val="en-CA"/>
        </w:rPr>
      </w:pPr>
      <w:r w:rsidRPr="00BA1219">
        <w:rPr>
          <w:szCs w:val="24"/>
          <w:lang w:val="en-CA"/>
        </w:rPr>
        <w:lastRenderedPageBreak/>
        <w:t xml:space="preserve">One of the purposes of adopting section 23 was to protect the minority from decisions </w:t>
      </w:r>
      <w:r w:rsidR="0040179B">
        <w:rPr>
          <w:szCs w:val="24"/>
          <w:lang w:val="en-CA"/>
        </w:rPr>
        <w:t xml:space="preserve">of </w:t>
      </w:r>
      <w:r w:rsidRPr="00BA1219">
        <w:rPr>
          <w:szCs w:val="24"/>
          <w:lang w:val="en-CA"/>
        </w:rPr>
        <w:t>the majority</w:t>
      </w:r>
      <w:r w:rsidR="0040179B">
        <w:rPr>
          <w:szCs w:val="24"/>
          <w:lang w:val="en-CA"/>
        </w:rPr>
        <w:t xml:space="preserve"> made </w:t>
      </w:r>
      <w:r w:rsidRPr="00BA1219">
        <w:rPr>
          <w:szCs w:val="24"/>
          <w:lang w:val="en-CA"/>
        </w:rPr>
        <w:t>without regard to minority rights.</w:t>
      </w:r>
      <w:r w:rsidR="0096102C" w:rsidRPr="00BA1219">
        <w:rPr>
          <w:szCs w:val="24"/>
          <w:lang w:val="en-CA"/>
        </w:rPr>
        <w:t xml:space="preserve"> </w:t>
      </w:r>
      <w:r w:rsidRPr="00BA1219">
        <w:rPr>
          <w:szCs w:val="24"/>
          <w:lang w:val="en-CA"/>
        </w:rPr>
        <w:t xml:space="preserve">One need only think </w:t>
      </w:r>
      <w:r w:rsidR="0040179B">
        <w:rPr>
          <w:szCs w:val="24"/>
          <w:lang w:val="en-CA"/>
        </w:rPr>
        <w:t>of</w:t>
      </w:r>
      <w:r w:rsidR="0040179B" w:rsidRPr="00BA1219">
        <w:rPr>
          <w:szCs w:val="24"/>
          <w:lang w:val="en-CA"/>
        </w:rPr>
        <w:t xml:space="preserve"> </w:t>
      </w:r>
      <w:r w:rsidRPr="00BA1219">
        <w:rPr>
          <w:szCs w:val="24"/>
          <w:lang w:val="en-CA"/>
        </w:rPr>
        <w:t xml:space="preserve">the adoption of </w:t>
      </w:r>
      <w:r w:rsidRPr="007E78A1">
        <w:rPr>
          <w:szCs w:val="24"/>
          <w:lang w:val="en-CA"/>
        </w:rPr>
        <w:t>Regulation</w:t>
      </w:r>
      <w:r w:rsidRPr="00C902DC">
        <w:rPr>
          <w:i/>
          <w:iCs/>
          <w:szCs w:val="24"/>
          <w:lang w:val="en-CA"/>
        </w:rPr>
        <w:t xml:space="preserve"> </w:t>
      </w:r>
      <w:r w:rsidRPr="007E78A1">
        <w:rPr>
          <w:szCs w:val="24"/>
          <w:lang w:val="en-CA"/>
        </w:rPr>
        <w:t>17</w:t>
      </w:r>
      <w:r w:rsidRPr="00BA1219">
        <w:rPr>
          <w:szCs w:val="24"/>
          <w:lang w:val="en-CA"/>
        </w:rPr>
        <w:t xml:space="preserve"> prohibiting the teaching of French in Ontario, which was not protected by the </w:t>
      </w:r>
      <w:r w:rsidRPr="00BA1219">
        <w:rPr>
          <w:i/>
          <w:szCs w:val="24"/>
          <w:lang w:val="en-CA"/>
        </w:rPr>
        <w:t>Constitution Act,1867</w:t>
      </w:r>
      <w:r w:rsidRPr="00BA1219">
        <w:rPr>
          <w:szCs w:val="24"/>
          <w:lang w:val="en-CA"/>
        </w:rPr>
        <w:t>.</w:t>
      </w:r>
      <w:r w:rsidRPr="00BA1219">
        <w:rPr>
          <w:rStyle w:val="Appelnotedebasdep"/>
          <w:szCs w:val="24"/>
          <w:lang w:val="en-CA"/>
        </w:rPr>
        <w:footnoteReference w:id="21"/>
      </w:r>
      <w:r w:rsidR="0096102C" w:rsidRPr="00BA1219">
        <w:rPr>
          <w:szCs w:val="24"/>
          <w:lang w:val="en-CA"/>
        </w:rPr>
        <w:t xml:space="preserve"> </w:t>
      </w:r>
      <w:r w:rsidRPr="00BA1219">
        <w:rPr>
          <w:szCs w:val="24"/>
          <w:lang w:val="en-CA"/>
        </w:rPr>
        <w:t xml:space="preserve">The Ontario Court of Appeal </w:t>
      </w:r>
      <w:r w:rsidR="00A551CA">
        <w:rPr>
          <w:szCs w:val="24"/>
          <w:lang w:val="en-CA"/>
        </w:rPr>
        <w:t>noted</w:t>
      </w:r>
      <w:r w:rsidRPr="00BA1219">
        <w:rPr>
          <w:szCs w:val="24"/>
          <w:lang w:val="en-CA"/>
        </w:rPr>
        <w:t>, shortly after the adoption of section 23:</w:t>
      </w:r>
      <w:r w:rsidRPr="00BA1219">
        <w:rPr>
          <w:rStyle w:val="Appelnotedebasdep"/>
          <w:szCs w:val="24"/>
          <w:lang w:val="en-CA"/>
        </w:rPr>
        <w:footnoteReference w:id="22"/>
      </w:r>
    </w:p>
    <w:p w14:paraId="42ED6190" w14:textId="0A42F842" w:rsidR="002013CD" w:rsidRPr="00BA1219" w:rsidRDefault="0096102C" w:rsidP="00175340">
      <w:pPr>
        <w:pStyle w:val="Citation"/>
        <w:rPr>
          <w:lang w:val="en-CA"/>
        </w:rPr>
      </w:pPr>
      <w:r w:rsidRPr="00BA1219">
        <w:rPr>
          <w:lang w:val="en-CA"/>
        </w:rPr>
        <w:t>What that history reveals, as outlined in the introduction to this opinion, is that rights or privileges to determine language use in educational facilities, which the French-speaking minority had at the time of entering into the federation, were later denied. Although in our own province this denial was subsequently withdrawn and, indeed, in recent years measures have been taken to overcome this past deprivation, many problems remain</w:t>
      </w:r>
      <w:r w:rsidR="001163B7" w:rsidRPr="00BA1219">
        <w:rPr>
          <w:lang w:val="en-CA"/>
        </w:rPr>
        <w:t>.</w:t>
      </w:r>
    </w:p>
    <w:p w14:paraId="27C4A229" w14:textId="7A52CE34" w:rsidR="002013CD" w:rsidRPr="008A4F32" w:rsidRDefault="008A4F32" w:rsidP="002013CD">
      <w:pPr>
        <w:pStyle w:val="Paragrdouble"/>
        <w:spacing w:line="240" w:lineRule="auto"/>
        <w:rPr>
          <w:lang w:val="en-CA"/>
        </w:rPr>
      </w:pPr>
      <w:r w:rsidRPr="008A4F32">
        <w:rPr>
          <w:lang w:val="en-CA"/>
        </w:rPr>
        <w:t>The framers of the</w:t>
      </w:r>
      <w:r w:rsidR="0096102C" w:rsidRPr="008A4F32">
        <w:rPr>
          <w:lang w:val="en-CA"/>
        </w:rPr>
        <w:t xml:space="preserve"> 1982 </w:t>
      </w:r>
      <w:r w:rsidRPr="008A4F32">
        <w:rPr>
          <w:lang w:val="en-CA"/>
        </w:rPr>
        <w:t xml:space="preserve">Constitution considered that the linguistic </w:t>
      </w:r>
      <w:r w:rsidR="00A551CA">
        <w:rPr>
          <w:lang w:val="en-CA"/>
        </w:rPr>
        <w:t>majority</w:t>
      </w:r>
      <w:r w:rsidR="00A551CA" w:rsidRPr="008A4F32">
        <w:rPr>
          <w:lang w:val="en-CA"/>
        </w:rPr>
        <w:t xml:space="preserve"> </w:t>
      </w:r>
      <w:r w:rsidRPr="008A4F32">
        <w:rPr>
          <w:lang w:val="en-CA"/>
        </w:rPr>
        <w:t xml:space="preserve">could not be relied upon to protect the rights </w:t>
      </w:r>
      <w:r>
        <w:rPr>
          <w:lang w:val="en-CA"/>
        </w:rPr>
        <w:t>of the minority:</w:t>
      </w:r>
    </w:p>
    <w:p w14:paraId="3D8DD85C" w14:textId="4E63F140" w:rsidR="002013CD" w:rsidRPr="00BA1219" w:rsidRDefault="00D647FA" w:rsidP="009B7445">
      <w:pPr>
        <w:pStyle w:val="Citation"/>
        <w:numPr>
          <w:ilvl w:val="3"/>
          <w:numId w:val="11"/>
        </w:numPr>
        <w:ind w:left="851" w:hanging="283"/>
        <w:rPr>
          <w:lang w:val="en-CA" w:eastAsia="fr-CA"/>
        </w:rPr>
      </w:pPr>
      <w:r>
        <w:rPr>
          <w:lang w:val="en-CA"/>
        </w:rPr>
        <w:t>“</w:t>
      </w:r>
      <w:r w:rsidR="001163B7" w:rsidRPr="00BA1219">
        <w:rPr>
          <w:lang w:val="en-CA"/>
        </w:rPr>
        <w:t>This set of constitutional provisions was not enacted by the framers in a vacuum. When it was adopted, the framers knew, and clearly had in mind the regimes governing the Anglophone and Francophone linguistic minorities in various provinces in Canada so far as the language of instruction was concerned. They also had in mind the history of these regimes, both earlier ones such as Regulation 17, which for a time limited instruction in French in the separate schools of Ontario—</w:t>
      </w:r>
      <w:r w:rsidR="001163B7" w:rsidRPr="00BA1219">
        <w:rPr>
          <w:i/>
          <w:iCs/>
          <w:lang w:val="en-CA"/>
        </w:rPr>
        <w:t>Ottawa Separate Schools Trustees v. Mackell, </w:t>
      </w:r>
      <w:r w:rsidR="001163B7" w:rsidRPr="00BA1219">
        <w:rPr>
          <w:lang w:val="en-CA"/>
        </w:rPr>
        <w:t>[1917] A.C. 62—as well as more recent ones such as </w:t>
      </w:r>
      <w:r w:rsidR="001163B7" w:rsidRPr="00BA1219">
        <w:rPr>
          <w:i/>
          <w:iCs/>
          <w:lang w:val="en-CA"/>
        </w:rPr>
        <w:t>Bill 101 </w:t>
      </w:r>
      <w:r w:rsidR="001163B7" w:rsidRPr="00BA1219">
        <w:rPr>
          <w:lang w:val="en-CA"/>
        </w:rPr>
        <w:t>and the legislation which preceded it in Quebec. Rightly or wrongly,—and it is not for the courts to decide,—the framers of the Constitution manifestly regarded as inadequate some—and perhaps all—of the regimes in force at the time the </w:t>
      </w:r>
      <w:r w:rsidR="001163B7" w:rsidRPr="00BA1219">
        <w:rPr>
          <w:i/>
          <w:iCs/>
          <w:lang w:val="en-CA"/>
        </w:rPr>
        <w:t>Charter </w:t>
      </w:r>
      <w:r w:rsidR="001163B7" w:rsidRPr="00BA1219">
        <w:rPr>
          <w:lang w:val="en-CA"/>
        </w:rPr>
        <w:t>was enacted, and their intention was to remedy the perceived defects of these regimes by uniform corrective measures, namely those contained in s. 23 of the </w:t>
      </w:r>
      <w:r w:rsidR="001163B7" w:rsidRPr="00BA1219">
        <w:rPr>
          <w:i/>
          <w:iCs/>
          <w:lang w:val="en-CA"/>
        </w:rPr>
        <w:t>Charter, </w:t>
      </w:r>
      <w:r w:rsidR="001163B7" w:rsidRPr="00BA1219">
        <w:rPr>
          <w:lang w:val="en-CA"/>
        </w:rPr>
        <w:t>which were at the same time given the status of a constitutional guarantee.</w:t>
      </w:r>
      <w:r>
        <w:rPr>
          <w:lang w:val="en-CA"/>
        </w:rPr>
        <w:t>”</w:t>
      </w:r>
      <w:r w:rsidR="0096102C" w:rsidRPr="00BA1219">
        <w:rPr>
          <w:rStyle w:val="Appelnotedebasdep"/>
          <w:rFonts w:cs="Arial"/>
          <w:color w:val="000000"/>
          <w:lang w:val="en-CA"/>
        </w:rPr>
        <w:footnoteReference w:id="23"/>
      </w:r>
    </w:p>
    <w:p w14:paraId="05B2169F" w14:textId="27AAB607" w:rsidR="002013CD" w:rsidRPr="00BA1219" w:rsidRDefault="00D647FA" w:rsidP="009B7445">
      <w:pPr>
        <w:pStyle w:val="Citation"/>
        <w:numPr>
          <w:ilvl w:val="3"/>
          <w:numId w:val="11"/>
        </w:numPr>
        <w:ind w:left="851" w:hanging="283"/>
        <w:rPr>
          <w:lang w:val="en-CA" w:eastAsia="fr-CA"/>
        </w:rPr>
      </w:pPr>
      <w:r>
        <w:rPr>
          <w:lang w:val="en-CA" w:eastAsia="fr-CA"/>
        </w:rPr>
        <w:t>“</w:t>
      </w:r>
      <w:r w:rsidR="001163B7" w:rsidRPr="006B7726">
        <w:rPr>
          <w:lang w:val="en-CA" w:eastAsia="fr-CA"/>
        </w:rPr>
        <w:t>Furthermore, as the historical context in which s. 23 was enacted suggests, minority language groups cannot always rely upon the majority to take account of all of their linguistic and cultural concerns.  Such neglect is not necessarily intentional:  the majority cannot be expected to understand and appreciate all of the diverse ways in which educational practices may influence the language and culture of the minority</w:t>
      </w:r>
      <w:r w:rsidR="001163B7" w:rsidRPr="00BA1219">
        <w:rPr>
          <w:lang w:val="en-CA" w:eastAsia="fr-CA"/>
        </w:rPr>
        <w:t>.</w:t>
      </w:r>
      <w:r>
        <w:rPr>
          <w:lang w:val="en-CA" w:eastAsia="fr-CA"/>
        </w:rPr>
        <w:t>”</w:t>
      </w:r>
      <w:r w:rsidR="0096102C" w:rsidRPr="00BA1219">
        <w:rPr>
          <w:rStyle w:val="Appelnotedebasdep"/>
          <w:lang w:val="en-CA" w:eastAsia="fr-CA"/>
        </w:rPr>
        <w:footnoteReference w:id="24"/>
      </w:r>
    </w:p>
    <w:p w14:paraId="1C1A7308" w14:textId="13EBD2E5" w:rsidR="002013CD" w:rsidRPr="00BA1219" w:rsidRDefault="00D647FA" w:rsidP="009B7445">
      <w:pPr>
        <w:pStyle w:val="Citation"/>
        <w:numPr>
          <w:ilvl w:val="3"/>
          <w:numId w:val="11"/>
        </w:numPr>
        <w:ind w:left="851" w:hanging="283"/>
        <w:rPr>
          <w:lang w:val="en-CA"/>
        </w:rPr>
      </w:pPr>
      <w:r>
        <w:rPr>
          <w:lang w:val="en-CA"/>
        </w:rPr>
        <w:t>“</w:t>
      </w:r>
      <w:r w:rsidR="0096102C" w:rsidRPr="00BA1219">
        <w:rPr>
          <w:lang w:val="en-CA"/>
        </w:rPr>
        <w:t>57</w:t>
      </w:r>
      <w:r w:rsidR="0096102C" w:rsidRPr="00BA1219">
        <w:rPr>
          <w:lang w:val="en-CA"/>
        </w:rPr>
        <w:tab/>
      </w:r>
      <w:r w:rsidR="001163B7" w:rsidRPr="006B7726">
        <w:rPr>
          <w:lang w:val="en-CA"/>
        </w:rPr>
        <w:t xml:space="preserve">Another important consideration is that s. 23 was intended in </w:t>
      </w:r>
      <w:r w:rsidR="001163B7" w:rsidRPr="006B7726">
        <w:rPr>
          <w:color w:val="000000"/>
          <w:u w:val="single"/>
          <w:lang w:val="en-CA"/>
        </w:rPr>
        <w:t xml:space="preserve">part to protect the minority against the effect of measures adopted to suit the needs of the </w:t>
      </w:r>
      <w:r w:rsidR="001163B7" w:rsidRPr="006B7726">
        <w:rPr>
          <w:color w:val="000000"/>
          <w:u w:val="single"/>
          <w:lang w:val="en-CA"/>
        </w:rPr>
        <w:lastRenderedPageBreak/>
        <w:t>majority</w:t>
      </w:r>
      <w:r w:rsidR="001163B7" w:rsidRPr="006B7726">
        <w:rPr>
          <w:color w:val="000000"/>
          <w:lang w:val="en-CA"/>
        </w:rPr>
        <w:t xml:space="preserve">.  It is therefore clear that minority language parents and their </w:t>
      </w:r>
      <w:r w:rsidR="001163B7" w:rsidRPr="006B7726">
        <w:rPr>
          <w:color w:val="000000"/>
          <w:u w:val="single"/>
          <w:lang w:val="en-CA"/>
        </w:rPr>
        <w:t>representatives are in the best position to identify local needs</w:t>
      </w:r>
      <w:r w:rsidR="001163B7" w:rsidRPr="006B7726">
        <w:rPr>
          <w:color w:val="000000"/>
          <w:lang w:val="en-CA"/>
        </w:rPr>
        <w:t xml:space="preserve"> when it comes to defining the relevant areas.  This decision will bring into play complex historical, social and geographical factors.</w:t>
      </w:r>
      <w:r>
        <w:rPr>
          <w:color w:val="000000"/>
          <w:lang w:val="en-CA"/>
        </w:rPr>
        <w:t>”</w:t>
      </w:r>
      <w:r w:rsidR="0096102C" w:rsidRPr="00BA1219">
        <w:rPr>
          <w:rStyle w:val="Appelnotedebasdep"/>
          <w:lang w:val="en-CA"/>
        </w:rPr>
        <w:footnoteReference w:id="25"/>
      </w:r>
    </w:p>
    <w:p w14:paraId="3DBBC642" w14:textId="062FABD7" w:rsidR="002013CD" w:rsidRPr="00BA1219" w:rsidRDefault="00D647FA" w:rsidP="009B7445">
      <w:pPr>
        <w:pStyle w:val="Citation"/>
        <w:numPr>
          <w:ilvl w:val="3"/>
          <w:numId w:val="11"/>
        </w:numPr>
        <w:ind w:left="851" w:hanging="283"/>
        <w:rPr>
          <w:lang w:val="en-CA"/>
        </w:rPr>
      </w:pPr>
      <w:r>
        <w:rPr>
          <w:lang w:val="en-CA"/>
        </w:rPr>
        <w:t>“</w:t>
      </w:r>
      <w:r w:rsidR="0096102C" w:rsidRPr="00BA1219">
        <w:rPr>
          <w:lang w:val="en-CA"/>
        </w:rPr>
        <w:t>[</w:t>
      </w:r>
      <w:bookmarkStart w:id="15" w:name="par149"/>
      <w:r w:rsidR="0096102C" w:rsidRPr="00BA1219">
        <w:rPr>
          <w:lang w:val="en-CA"/>
        </w:rPr>
        <w:t>149</w:t>
      </w:r>
      <w:bookmarkEnd w:id="15"/>
      <w:r w:rsidR="001C5BA3" w:rsidRPr="00BA1219">
        <w:rPr>
          <w:lang w:val="en-CA"/>
        </w:rPr>
        <w:t>]</w:t>
      </w:r>
      <w:r w:rsidR="001C5BA3" w:rsidRPr="00BA1219">
        <w:rPr>
          <w:lang w:val="en-CA"/>
        </w:rPr>
        <w:tab/>
      </w:r>
      <w:r w:rsidR="001163B7" w:rsidRPr="00BA1219">
        <w:rPr>
          <w:lang w:val="en-CA"/>
        </w:rPr>
        <w:t>What s. 23 does is to protect an official language minority from the effects of decisions of the majority in the area of education by granting the minority a certain autonomy in relation to its education system. The history of the relationship between the majority and the minority in this area shows that the minority’s interests are not well served if it does not have some control over the management and funding of its schools. By excluding s. 23 from the scope of the notwithstanding clause, the framers of the </w:t>
      </w:r>
      <w:r w:rsidR="001163B7" w:rsidRPr="00BA1219">
        <w:rPr>
          <w:i/>
          <w:iCs/>
          <w:lang w:val="en-CA"/>
        </w:rPr>
        <w:t>Charter</w:t>
      </w:r>
      <w:r w:rsidR="001163B7" w:rsidRPr="00BA1219">
        <w:rPr>
          <w:lang w:val="en-CA"/>
        </w:rPr>
        <w:t> sought to prevent the majority from being able to shirk its constitutional obligations and thus avert a return to the time when the minority was unable to develop in its own language and culture.</w:t>
      </w:r>
      <w:r>
        <w:rPr>
          <w:lang w:val="en-CA"/>
        </w:rPr>
        <w:t>”</w:t>
      </w:r>
      <w:r w:rsidR="0096102C" w:rsidRPr="00BA1219">
        <w:rPr>
          <w:rStyle w:val="Appelnotedebasdep"/>
          <w:lang w:val="en-CA"/>
        </w:rPr>
        <w:footnoteReference w:id="26"/>
      </w:r>
    </w:p>
    <w:p w14:paraId="67B1AF56" w14:textId="6BE236C2" w:rsidR="002013CD" w:rsidRPr="006B7726" w:rsidRDefault="00F8060B" w:rsidP="001C5BA3">
      <w:pPr>
        <w:pStyle w:val="Citationenretrait"/>
        <w:ind w:left="1440"/>
        <w:jc w:val="right"/>
        <w:rPr>
          <w:szCs w:val="22"/>
          <w:lang w:val="en-CA"/>
        </w:rPr>
      </w:pPr>
      <w:r w:rsidRPr="006B7726">
        <w:rPr>
          <w:szCs w:val="22"/>
          <w:lang w:val="en-CA"/>
        </w:rPr>
        <w:t>[Emphasis added.]</w:t>
      </w:r>
    </w:p>
    <w:p w14:paraId="26A05C85" w14:textId="6B7583C6" w:rsidR="002013CD" w:rsidRPr="006B7726" w:rsidRDefault="002553BB" w:rsidP="001C5BA3">
      <w:pPr>
        <w:pStyle w:val="Paragrsimple"/>
        <w:rPr>
          <w:lang w:val="en-CA"/>
        </w:rPr>
      </w:pPr>
      <w:r w:rsidRPr="006B7726">
        <w:rPr>
          <w:lang w:val="en-CA"/>
        </w:rPr>
        <w:t>Section 23 should be given a large and liberal interpretation to achieve its purpose.</w:t>
      </w:r>
      <w:r w:rsidR="0096102C" w:rsidRPr="006B7726">
        <w:rPr>
          <w:lang w:val="en-CA"/>
        </w:rPr>
        <w:t xml:space="preserve"> </w:t>
      </w:r>
    </w:p>
    <w:p w14:paraId="710A31D4" w14:textId="7368FD2F" w:rsidR="002013CD" w:rsidRPr="00BA1219" w:rsidRDefault="002553BB" w:rsidP="001C5BA3">
      <w:pPr>
        <w:pStyle w:val="Paragrsimple"/>
        <w:rPr>
          <w:lang w:val="en-CA"/>
        </w:rPr>
      </w:pPr>
      <w:r w:rsidRPr="00BA1219">
        <w:rPr>
          <w:lang w:val="en-CA"/>
        </w:rPr>
        <w:t xml:space="preserve">The fact that </w:t>
      </w:r>
      <w:r w:rsidR="00D647FA">
        <w:rPr>
          <w:lang w:val="en-CA"/>
        </w:rPr>
        <w:t xml:space="preserve">its </w:t>
      </w:r>
      <w:r w:rsidR="00822668">
        <w:rPr>
          <w:lang w:val="en-CA"/>
        </w:rPr>
        <w:t>enactment</w:t>
      </w:r>
      <w:r w:rsidR="00D647FA">
        <w:rPr>
          <w:lang w:val="en-CA"/>
        </w:rPr>
        <w:t xml:space="preserve"> resulted from </w:t>
      </w:r>
      <w:r w:rsidRPr="00BA1219">
        <w:rPr>
          <w:lang w:val="en-CA"/>
        </w:rPr>
        <w:t>a political compromise cannot</w:t>
      </w:r>
      <w:r w:rsidR="00D647FA">
        <w:rPr>
          <w:lang w:val="en-CA"/>
        </w:rPr>
        <w:t xml:space="preserve"> </w:t>
      </w:r>
      <w:r w:rsidR="00822668">
        <w:rPr>
          <w:lang w:val="en-CA"/>
        </w:rPr>
        <w:t>limit</w:t>
      </w:r>
      <w:r w:rsidR="00D647FA">
        <w:rPr>
          <w:lang w:val="en-CA"/>
        </w:rPr>
        <w:t xml:space="preserve"> its interpretation</w:t>
      </w:r>
      <w:r w:rsidRPr="00BA1219">
        <w:rPr>
          <w:lang w:val="en-CA"/>
        </w:rPr>
        <w:t>, despite certain statements made shortly after</w:t>
      </w:r>
      <w:r w:rsidR="00D647FA">
        <w:rPr>
          <w:lang w:val="en-CA"/>
        </w:rPr>
        <w:t>wards</w:t>
      </w:r>
      <w:r w:rsidRPr="00BA1219">
        <w:rPr>
          <w:lang w:val="en-CA"/>
        </w:rPr>
        <w:t>. The Supreme Court has reiterated this on several occasions:</w:t>
      </w:r>
      <w:r w:rsidR="0096102C" w:rsidRPr="00BA1219">
        <w:rPr>
          <w:lang w:val="en-CA"/>
        </w:rPr>
        <w:t xml:space="preserve"> </w:t>
      </w:r>
    </w:p>
    <w:p w14:paraId="2F269837" w14:textId="4FC01C29" w:rsidR="002013CD" w:rsidRPr="00BA1219" w:rsidRDefault="00D647FA" w:rsidP="009B7445">
      <w:pPr>
        <w:pStyle w:val="Citation"/>
        <w:numPr>
          <w:ilvl w:val="0"/>
          <w:numId w:val="18"/>
        </w:numPr>
        <w:ind w:left="851"/>
        <w:rPr>
          <w:lang w:val="en-CA"/>
        </w:rPr>
      </w:pPr>
      <w:r>
        <w:rPr>
          <w:lang w:val="en-CA"/>
        </w:rPr>
        <w:t>“</w:t>
      </w:r>
      <w:r w:rsidR="0096102C" w:rsidRPr="00BA1219">
        <w:rPr>
          <w:lang w:val="en-CA"/>
        </w:rPr>
        <w:t>24</w:t>
      </w:r>
      <w:r w:rsidR="0096102C" w:rsidRPr="00BA1219">
        <w:rPr>
          <w:lang w:val="en-CA"/>
        </w:rPr>
        <w:tab/>
      </w:r>
      <w:r w:rsidR="002553BB" w:rsidRPr="006B7726">
        <w:rPr>
          <w:lang w:val="en-CA"/>
        </w:rPr>
        <w:t xml:space="preserve">Though constitutional language rights result from a political compromise, this is not a characteristic that uniquely applies to such rights. A. Riddell, in “À la recherche du temps perdu:  la </w:t>
      </w:r>
      <w:proofErr w:type="spellStart"/>
      <w:r w:rsidR="002553BB" w:rsidRPr="006B7726">
        <w:rPr>
          <w:lang w:val="en-CA"/>
        </w:rPr>
        <w:t>Cour</w:t>
      </w:r>
      <w:proofErr w:type="spellEnd"/>
      <w:r w:rsidR="002553BB" w:rsidRPr="006B7726">
        <w:rPr>
          <w:lang w:val="en-CA"/>
        </w:rPr>
        <w:t xml:space="preserve"> </w:t>
      </w:r>
      <w:proofErr w:type="spellStart"/>
      <w:r w:rsidR="002553BB" w:rsidRPr="006B7726">
        <w:rPr>
          <w:lang w:val="en-CA"/>
        </w:rPr>
        <w:t>suprême</w:t>
      </w:r>
      <w:proofErr w:type="spellEnd"/>
      <w:r w:rsidR="002553BB" w:rsidRPr="006B7726">
        <w:rPr>
          <w:lang w:val="en-CA"/>
        </w:rPr>
        <w:t xml:space="preserve"> et </w:t>
      </w:r>
      <w:proofErr w:type="spellStart"/>
      <w:r w:rsidR="002553BB" w:rsidRPr="006B7726">
        <w:rPr>
          <w:lang w:val="en-CA"/>
        </w:rPr>
        <w:t>l’interprétation</w:t>
      </w:r>
      <w:proofErr w:type="spellEnd"/>
      <w:r w:rsidR="002553BB" w:rsidRPr="006B7726">
        <w:rPr>
          <w:lang w:val="en-CA"/>
        </w:rPr>
        <w:t xml:space="preserve"> des droits </w:t>
      </w:r>
      <w:proofErr w:type="spellStart"/>
      <w:r w:rsidR="002553BB" w:rsidRPr="006B7726">
        <w:rPr>
          <w:lang w:val="en-CA"/>
        </w:rPr>
        <w:t>linguistiques</w:t>
      </w:r>
      <w:proofErr w:type="spellEnd"/>
      <w:r w:rsidR="002553BB" w:rsidRPr="006B7726">
        <w:rPr>
          <w:lang w:val="en-CA"/>
        </w:rPr>
        <w:t xml:space="preserve"> </w:t>
      </w:r>
      <w:proofErr w:type="spellStart"/>
      <w:r w:rsidR="002553BB" w:rsidRPr="006B7726">
        <w:rPr>
          <w:lang w:val="en-CA"/>
        </w:rPr>
        <w:t>constitutionnels</w:t>
      </w:r>
      <w:proofErr w:type="spellEnd"/>
      <w:r w:rsidR="002553BB" w:rsidRPr="006B7726">
        <w:rPr>
          <w:lang w:val="en-CA"/>
        </w:rPr>
        <w:t xml:space="preserve"> dans les </w:t>
      </w:r>
      <w:proofErr w:type="spellStart"/>
      <w:r w:rsidR="002553BB" w:rsidRPr="006B7726">
        <w:rPr>
          <w:lang w:val="en-CA"/>
        </w:rPr>
        <w:t>années</w:t>
      </w:r>
      <w:proofErr w:type="spellEnd"/>
      <w:r w:rsidR="002553BB" w:rsidRPr="006B7726">
        <w:rPr>
          <w:lang w:val="en-CA"/>
        </w:rPr>
        <w:t xml:space="preserve"> 80”</w:t>
      </w:r>
      <w:r w:rsidR="002553BB" w:rsidRPr="006B7726">
        <w:rPr>
          <w:i/>
          <w:iCs/>
          <w:lang w:val="en-CA"/>
        </w:rPr>
        <w:t> </w:t>
      </w:r>
      <w:r w:rsidR="002553BB" w:rsidRPr="006B7726">
        <w:rPr>
          <w:lang w:val="en-CA"/>
        </w:rPr>
        <w:t>(1988), 29 </w:t>
      </w:r>
      <w:r w:rsidR="002553BB" w:rsidRPr="006B7726">
        <w:rPr>
          <w:i/>
          <w:iCs/>
          <w:lang w:val="en-CA"/>
        </w:rPr>
        <w:t>C. de D.</w:t>
      </w:r>
      <w:r w:rsidR="002553BB" w:rsidRPr="006B7726">
        <w:rPr>
          <w:lang w:val="en-CA"/>
        </w:rPr>
        <w:t> 829, at p. 846, underlines that a political compromise also led to the adoption of ss. 7 and 15 of the </w:t>
      </w:r>
      <w:r w:rsidR="002553BB" w:rsidRPr="006B7726">
        <w:rPr>
          <w:i/>
          <w:iCs/>
          <w:lang w:val="en-CA"/>
        </w:rPr>
        <w:t>Charter </w:t>
      </w:r>
      <w:r w:rsidR="002553BB" w:rsidRPr="006B7726">
        <w:rPr>
          <w:lang w:val="en-CA"/>
        </w:rPr>
        <w:t xml:space="preserve">and argues, at p. 848, that </w:t>
      </w:r>
      <w:r w:rsidR="002553BB" w:rsidRPr="006B7726">
        <w:rPr>
          <w:u w:val="single"/>
          <w:lang w:val="en-CA"/>
        </w:rPr>
        <w:t>there is no basis in the constitutional history of Canada for holding that any such political compromises require a restrictive interpretation of constitutional guarantees</w:t>
      </w:r>
      <w:r w:rsidR="002553BB" w:rsidRPr="006B7726">
        <w:rPr>
          <w:lang w:val="en-CA"/>
        </w:rPr>
        <w:t xml:space="preserve">.  I agree that </w:t>
      </w:r>
      <w:r w:rsidR="002553BB" w:rsidRPr="006B7726">
        <w:rPr>
          <w:u w:val="single"/>
          <w:lang w:val="en-CA"/>
        </w:rPr>
        <w:t>the existence of a political compromise is without consequence with regard to the scope of language rights</w:t>
      </w:r>
      <w:r w:rsidR="002553BB" w:rsidRPr="006B7726">
        <w:rPr>
          <w:lang w:val="en-CA"/>
        </w:rPr>
        <w:t xml:space="preserve"> …the exercise of language rights must not be considered exceptional, or as something in the nature of a request for an accommodation.</w:t>
      </w:r>
    </w:p>
    <w:p w14:paraId="76AA35BE" w14:textId="7646E2FD" w:rsidR="006673B2" w:rsidRPr="00BA1219" w:rsidRDefault="001C5BA3" w:rsidP="00BD1286">
      <w:pPr>
        <w:pStyle w:val="Citation"/>
        <w:rPr>
          <w:rStyle w:val="Citationintgre"/>
          <w:i w:val="0"/>
          <w:lang w:val="en-CA"/>
        </w:rPr>
      </w:pPr>
      <w:r w:rsidRPr="00BA1219">
        <w:rPr>
          <w:lang w:val="en-CA"/>
        </w:rPr>
        <w:t>25</w:t>
      </w:r>
      <w:r w:rsidRPr="00BA1219">
        <w:rPr>
          <w:lang w:val="en-CA"/>
        </w:rPr>
        <w:tab/>
      </w:r>
      <w:r w:rsidR="002553BB" w:rsidRPr="00BA1219">
        <w:rPr>
          <w:lang w:val="en-CA"/>
        </w:rPr>
        <w:t>Language rights must </w:t>
      </w:r>
      <w:r w:rsidR="002553BB" w:rsidRPr="00BA1219">
        <w:rPr>
          <w:u w:val="single"/>
          <w:lang w:val="en-CA"/>
        </w:rPr>
        <w:t>in all cases</w:t>
      </w:r>
      <w:r w:rsidR="002553BB" w:rsidRPr="00BA1219">
        <w:rPr>
          <w:lang w:val="en-CA"/>
        </w:rPr>
        <w:t> be interpreted purposively, in a manner consistent with the preservation and development of official language communities in Canada; see </w:t>
      </w:r>
      <w:r w:rsidR="002553BB" w:rsidRPr="00BA1219">
        <w:rPr>
          <w:i/>
          <w:iCs/>
          <w:lang w:val="en-CA"/>
        </w:rPr>
        <w:t>Reference re Public Schools Act (Man.)</w:t>
      </w:r>
      <w:r w:rsidR="002553BB" w:rsidRPr="00BA1219">
        <w:rPr>
          <w:lang w:val="en-CA"/>
        </w:rPr>
        <w:t>, </w:t>
      </w:r>
      <w:r w:rsidR="002553BB" w:rsidRPr="00BA1219">
        <w:rPr>
          <w:i/>
          <w:iCs/>
          <w:lang w:val="en-CA"/>
        </w:rPr>
        <w:t>supra</w:t>
      </w:r>
      <w:r w:rsidR="002553BB" w:rsidRPr="00BA1219">
        <w:rPr>
          <w:lang w:val="en-CA"/>
        </w:rPr>
        <w:t>, at p. 850.  To the extent that</w:t>
      </w:r>
      <w:r w:rsidR="002553BB" w:rsidRPr="00BA1219">
        <w:rPr>
          <w:i/>
          <w:iCs/>
          <w:lang w:val="en-CA"/>
        </w:rPr>
        <w:t xml:space="preserve"> Société des </w:t>
      </w:r>
      <w:proofErr w:type="spellStart"/>
      <w:r w:rsidR="002553BB" w:rsidRPr="00BA1219">
        <w:rPr>
          <w:i/>
          <w:iCs/>
          <w:lang w:val="en-CA"/>
        </w:rPr>
        <w:t>Acadiens</w:t>
      </w:r>
      <w:proofErr w:type="spellEnd"/>
      <w:r w:rsidR="002553BB" w:rsidRPr="00BA1219">
        <w:rPr>
          <w:i/>
          <w:iCs/>
          <w:lang w:val="en-CA"/>
        </w:rPr>
        <w:t> du Nouveau-Brunswick</w:t>
      </w:r>
      <w:r w:rsidR="002553BB" w:rsidRPr="00BA1219">
        <w:rPr>
          <w:lang w:val="en-CA"/>
        </w:rPr>
        <w:t>, </w:t>
      </w:r>
      <w:r w:rsidR="002553BB" w:rsidRPr="00BA1219">
        <w:rPr>
          <w:i/>
          <w:iCs/>
          <w:lang w:val="en-CA"/>
        </w:rPr>
        <w:t>supra</w:t>
      </w:r>
      <w:r w:rsidR="002553BB" w:rsidRPr="00BA1219">
        <w:rPr>
          <w:lang w:val="en-CA"/>
        </w:rPr>
        <w:t xml:space="preserve">, at pp. 579-80, stands for a restrictive interpretation of language rights, it is to be rejected.  The fear that a liberal interpretation of language rights will make provinces less willing to become involved in the geographical extension of those rights is inconsistent with the </w:t>
      </w:r>
      <w:r w:rsidR="002553BB" w:rsidRPr="00BA1219">
        <w:rPr>
          <w:u w:val="single"/>
          <w:lang w:val="en-CA"/>
        </w:rPr>
        <w:t xml:space="preserve">requirement that </w:t>
      </w:r>
      <w:r w:rsidR="002553BB" w:rsidRPr="00BA1219">
        <w:rPr>
          <w:u w:val="single"/>
          <w:lang w:val="en-CA"/>
        </w:rPr>
        <w:lastRenderedPageBreak/>
        <w:t>language rights be interpreted as a fundamental tool for the preservation and protection of official language communities where they do apply</w:t>
      </w:r>
      <w:r w:rsidR="002553BB" w:rsidRPr="00BA1219">
        <w:rPr>
          <w:lang w:val="en-CA"/>
        </w:rPr>
        <w:t>.  It is also useful to re-affirm here that language rights are a particular kind of right, distinct from the principles of fundamental justice.  They have a different purpose and a different origin.</w:t>
      </w:r>
      <w:r w:rsidR="00D647FA">
        <w:rPr>
          <w:lang w:val="en-CA"/>
        </w:rPr>
        <w:t>”</w:t>
      </w:r>
      <w:r w:rsidR="0096102C" w:rsidRPr="00BA1219">
        <w:rPr>
          <w:rStyle w:val="Appelnotedebasdep"/>
          <w:color w:val="000000"/>
          <w:lang w:val="en-CA"/>
        </w:rPr>
        <w:footnoteReference w:id="27"/>
      </w:r>
    </w:p>
    <w:p w14:paraId="7ADCA9F7" w14:textId="1DC23382" w:rsidR="003419CD" w:rsidRPr="00BA1219" w:rsidRDefault="00D647FA" w:rsidP="009B7445">
      <w:pPr>
        <w:pStyle w:val="Citation"/>
        <w:numPr>
          <w:ilvl w:val="0"/>
          <w:numId w:val="18"/>
        </w:numPr>
        <w:ind w:left="851"/>
        <w:rPr>
          <w:lang w:val="en-CA"/>
        </w:rPr>
      </w:pPr>
      <w:r>
        <w:rPr>
          <w:lang w:val="en-CA"/>
        </w:rPr>
        <w:t>“</w:t>
      </w:r>
      <w:r w:rsidR="0096102C" w:rsidRPr="00BA1219">
        <w:rPr>
          <w:lang w:val="en-CA"/>
        </w:rPr>
        <w:t>27</w:t>
      </w:r>
      <w:r w:rsidR="0096102C" w:rsidRPr="00BA1219">
        <w:rPr>
          <w:lang w:val="en-CA"/>
        </w:rPr>
        <w:tab/>
      </w:r>
      <w:r w:rsidR="002553BB" w:rsidRPr="00BA1219">
        <w:rPr>
          <w:lang w:val="en-CA"/>
        </w:rPr>
        <w:t>...</w:t>
      </w:r>
      <w:r w:rsidR="0096102C" w:rsidRPr="00BA1219">
        <w:rPr>
          <w:lang w:val="en-CA"/>
        </w:rPr>
        <w:t xml:space="preserve"> </w:t>
      </w:r>
      <w:r w:rsidR="002553BB" w:rsidRPr="00BA1219">
        <w:rPr>
          <w:lang w:val="en-CA"/>
        </w:rPr>
        <w:t>This Court has made it clear that the fact that language rights arose from political compromise does not alter their nature and importance; consequently, s. 23 must be given the same large and liberal interpretation as all </w:t>
      </w:r>
      <w:r w:rsidR="002553BB" w:rsidRPr="00BA1219">
        <w:rPr>
          <w:i/>
          <w:iCs/>
          <w:lang w:val="en-CA"/>
        </w:rPr>
        <w:t>Charter </w:t>
      </w:r>
      <w:r w:rsidR="002553BB" w:rsidRPr="00BA1219">
        <w:rPr>
          <w:lang w:val="en-CA"/>
        </w:rPr>
        <w:t>rights (</w:t>
      </w:r>
      <w:r w:rsidR="002553BB" w:rsidRPr="00BA1219">
        <w:rPr>
          <w:i/>
          <w:iCs/>
          <w:lang w:val="en-CA"/>
        </w:rPr>
        <w:t xml:space="preserve">R. v. </w:t>
      </w:r>
      <w:proofErr w:type="spellStart"/>
      <w:r w:rsidR="002553BB" w:rsidRPr="00BA1219">
        <w:rPr>
          <w:i/>
          <w:iCs/>
          <w:lang w:val="en-CA"/>
        </w:rPr>
        <w:t>Beaulac</w:t>
      </w:r>
      <w:proofErr w:type="spellEnd"/>
      <w:r w:rsidR="002553BB" w:rsidRPr="00BA1219">
        <w:rPr>
          <w:lang w:val="en-CA"/>
        </w:rPr>
        <w:t>, 1999 CanLII 684 (SCC), [1999] 1 S.C.R. 768, at para. 25; </w:t>
      </w:r>
      <w:r w:rsidR="002553BB" w:rsidRPr="00BA1219">
        <w:rPr>
          <w:i/>
          <w:iCs/>
          <w:lang w:val="en-CA"/>
        </w:rPr>
        <w:t>Arsenault-Cameron</w:t>
      </w:r>
      <w:r w:rsidR="002553BB" w:rsidRPr="00BA1219">
        <w:rPr>
          <w:lang w:val="en-CA"/>
        </w:rPr>
        <w:t>, </w:t>
      </w:r>
      <w:r w:rsidR="002553BB" w:rsidRPr="00BA1219">
        <w:rPr>
          <w:i/>
          <w:iCs/>
          <w:lang w:val="en-CA"/>
        </w:rPr>
        <w:t>supra</w:t>
      </w:r>
      <w:r w:rsidR="002553BB" w:rsidRPr="00BA1219">
        <w:rPr>
          <w:lang w:val="en-CA"/>
        </w:rPr>
        <w:t>, at para. 27).</w:t>
      </w:r>
      <w:r>
        <w:rPr>
          <w:lang w:val="en-CA"/>
        </w:rPr>
        <w:t>”</w:t>
      </w:r>
      <w:r w:rsidR="0096102C" w:rsidRPr="00BA1219">
        <w:rPr>
          <w:rStyle w:val="Appelnotedebasdep"/>
          <w:lang w:val="en-CA"/>
        </w:rPr>
        <w:footnoteReference w:id="28"/>
      </w:r>
    </w:p>
    <w:p w14:paraId="7E7150F4" w14:textId="2AD9E490" w:rsidR="006673B2" w:rsidRPr="00BA1219" w:rsidRDefault="00D647FA" w:rsidP="009B7445">
      <w:pPr>
        <w:pStyle w:val="Citation"/>
        <w:numPr>
          <w:ilvl w:val="0"/>
          <w:numId w:val="11"/>
        </w:numPr>
        <w:ind w:left="851"/>
        <w:rPr>
          <w:lang w:val="en-CA"/>
        </w:rPr>
      </w:pPr>
      <w:r>
        <w:rPr>
          <w:lang w:val="en-CA"/>
        </w:rPr>
        <w:t>“</w:t>
      </w:r>
      <w:r w:rsidR="0096102C" w:rsidRPr="00BA1219">
        <w:rPr>
          <w:lang w:val="en-CA"/>
        </w:rPr>
        <w:t>20</w:t>
      </w:r>
      <w:r w:rsidR="0096102C" w:rsidRPr="00BA1219">
        <w:rPr>
          <w:lang w:val="en-CA"/>
        </w:rPr>
        <w:tab/>
      </w:r>
      <w:r w:rsidR="002553BB" w:rsidRPr="00BA1219">
        <w:rPr>
          <w:lang w:val="en-CA"/>
        </w:rPr>
        <w:t>While this entrenched inequality may be the product of political compromise and negotiation, this does not mean that s. 23 rights are to be construed narrowly.</w:t>
      </w:r>
      <w:r>
        <w:rPr>
          <w:lang w:val="en-CA"/>
        </w:rPr>
        <w:t>”</w:t>
      </w:r>
      <w:r w:rsidR="002553BB" w:rsidRPr="006B7726">
        <w:rPr>
          <w:rStyle w:val="Appelnotedebasdep"/>
          <w:lang w:val="en-CA"/>
        </w:rPr>
        <w:footnoteReference w:id="29"/>
      </w:r>
    </w:p>
    <w:p w14:paraId="5C3B93F4" w14:textId="0113279C" w:rsidR="002013CD" w:rsidRPr="00BA1219" w:rsidRDefault="00D647FA" w:rsidP="009B7445">
      <w:pPr>
        <w:pStyle w:val="Citation"/>
        <w:numPr>
          <w:ilvl w:val="0"/>
          <w:numId w:val="11"/>
        </w:numPr>
        <w:ind w:left="851"/>
        <w:rPr>
          <w:lang w:val="en-CA"/>
        </w:rPr>
      </w:pPr>
      <w:r>
        <w:rPr>
          <w:lang w:val="en-CA"/>
        </w:rPr>
        <w:t>“</w:t>
      </w:r>
      <w:r w:rsidR="0096102C" w:rsidRPr="00BA1219">
        <w:rPr>
          <w:lang w:val="en-CA"/>
        </w:rPr>
        <w:t>[18]</w:t>
      </w:r>
      <w:r w:rsidR="0096102C" w:rsidRPr="00BA1219">
        <w:rPr>
          <w:lang w:val="en-CA"/>
        </w:rPr>
        <w:tab/>
      </w:r>
      <w:r w:rsidR="002553BB" w:rsidRPr="00BA1219">
        <w:rPr>
          <w:lang w:val="en-CA"/>
        </w:rPr>
        <w:t xml:space="preserve">Finally, I would note that the fact that s. 23 originally resulted from a political compromise </w:t>
      </w:r>
      <w:r w:rsidR="002553BB" w:rsidRPr="00BA1219">
        <w:rPr>
          <w:u w:val="single"/>
          <w:lang w:val="en-CA"/>
        </w:rPr>
        <w:t>cannot on its own justify a restrictive interpretation of the rights for which the section provides</w:t>
      </w:r>
      <w:r w:rsidR="002553BB" w:rsidRPr="00BA1219">
        <w:rPr>
          <w:lang w:val="en-CA"/>
        </w:rPr>
        <w:t>. While it is true that this Court has in the past evoked a distinction between language rights resulting from a political compromise and the other rights guaranteed by the </w:t>
      </w:r>
      <w:r w:rsidR="002553BB" w:rsidRPr="00BA1219">
        <w:rPr>
          <w:i/>
          <w:iCs/>
          <w:lang w:val="en-CA"/>
        </w:rPr>
        <w:t>Charter</w:t>
      </w:r>
      <w:r w:rsidR="002553BB" w:rsidRPr="00BA1219">
        <w:rPr>
          <w:lang w:val="en-CA"/>
        </w:rPr>
        <w:t>,</w:t>
      </w:r>
      <w:r w:rsidR="002553BB" w:rsidRPr="00BA1219">
        <w:rPr>
          <w:i/>
          <w:iCs/>
          <w:lang w:val="en-CA"/>
        </w:rPr>
        <w:t> </w:t>
      </w:r>
      <w:r w:rsidR="002553BB" w:rsidRPr="00BA1219">
        <w:rPr>
          <w:lang w:val="en-CA"/>
        </w:rPr>
        <w:t>those days are over. </w:t>
      </w:r>
    </w:p>
    <w:p w14:paraId="74A7E675" w14:textId="39FF2677" w:rsidR="00D04F2D" w:rsidRPr="00BA1219" w:rsidRDefault="002A6609" w:rsidP="003419CD">
      <w:pPr>
        <w:pStyle w:val="Citation"/>
        <w:rPr>
          <w:lang w:val="en-CA"/>
        </w:rPr>
      </w:pPr>
      <w:r w:rsidRPr="00BA1219">
        <w:rPr>
          <w:lang w:val="en-CA"/>
        </w:rPr>
        <w:t>[19]</w:t>
      </w:r>
      <w:r w:rsidRPr="00BA1219">
        <w:rPr>
          <w:lang w:val="en-CA"/>
        </w:rPr>
        <w:tab/>
      </w:r>
      <w:r w:rsidR="002553BB" w:rsidRPr="00BA1219">
        <w:rPr>
          <w:u w:val="single"/>
          <w:lang w:val="en-CA"/>
        </w:rPr>
        <w:t>To limit the scope of language rights merely because they resulted from a political compromise would represent a dangerous reversion</w:t>
      </w:r>
      <w:r w:rsidR="002553BB" w:rsidRPr="00BA1219">
        <w:rPr>
          <w:lang w:val="en-CA"/>
        </w:rPr>
        <w:t>. Many rights that have been granted to Canada’s minorities were dearly won over many years, and it is up to the courts to give full effect to them, and to do so clearly and transparently.</w:t>
      </w:r>
      <w:r w:rsidR="00D647FA">
        <w:rPr>
          <w:lang w:val="en-CA"/>
        </w:rPr>
        <w:t>”</w:t>
      </w:r>
      <w:r w:rsidR="0096102C" w:rsidRPr="00BA1219">
        <w:rPr>
          <w:rStyle w:val="Appelnotedebasdep"/>
          <w:lang w:val="en-CA"/>
        </w:rPr>
        <w:footnoteReference w:id="30"/>
      </w:r>
    </w:p>
    <w:p w14:paraId="68410924" w14:textId="38005BAF" w:rsidR="002013CD" w:rsidRPr="006B7726" w:rsidRDefault="00F8060B" w:rsidP="00700583">
      <w:pPr>
        <w:pStyle w:val="Paragrdouble"/>
        <w:numPr>
          <w:ilvl w:val="0"/>
          <w:numId w:val="0"/>
        </w:numPr>
        <w:spacing w:line="240" w:lineRule="auto"/>
        <w:ind w:left="1451"/>
        <w:jc w:val="right"/>
        <w:rPr>
          <w:szCs w:val="24"/>
          <w:lang w:val="en-CA"/>
        </w:rPr>
      </w:pPr>
      <w:r w:rsidRPr="006B7726">
        <w:rPr>
          <w:szCs w:val="24"/>
          <w:lang w:val="en-CA"/>
        </w:rPr>
        <w:t>[Emphasis added.]</w:t>
      </w:r>
    </w:p>
    <w:p w14:paraId="2208A6FC" w14:textId="28B9B836" w:rsidR="002013CD" w:rsidRPr="00BA1219" w:rsidRDefault="00BC6A8B" w:rsidP="002013CD">
      <w:pPr>
        <w:pStyle w:val="Paragrdouble"/>
        <w:spacing w:line="240" w:lineRule="auto"/>
        <w:rPr>
          <w:lang w:val="en-CA"/>
        </w:rPr>
      </w:pPr>
      <w:r w:rsidRPr="00BA1219">
        <w:rPr>
          <w:lang w:val="en-CA"/>
        </w:rPr>
        <w:t>Dickson C.J. identified the procedure to interpret section 23.</w:t>
      </w:r>
      <w:r w:rsidR="0096102C" w:rsidRPr="00BA1219">
        <w:rPr>
          <w:lang w:val="en-CA"/>
        </w:rPr>
        <w:t xml:space="preserve"> </w:t>
      </w:r>
      <w:r w:rsidRPr="00BA1219">
        <w:rPr>
          <w:lang w:val="en-CA"/>
        </w:rPr>
        <w:t xml:space="preserve">He </w:t>
      </w:r>
      <w:r w:rsidR="00966D7E">
        <w:rPr>
          <w:lang w:val="en-CA"/>
        </w:rPr>
        <w:t>described</w:t>
      </w:r>
      <w:r w:rsidR="003E32B1" w:rsidRPr="00BA1219">
        <w:rPr>
          <w:lang w:val="en-CA"/>
        </w:rPr>
        <w:t xml:space="preserve"> </w:t>
      </w:r>
      <w:r w:rsidRPr="00BA1219">
        <w:rPr>
          <w:lang w:val="en-CA"/>
        </w:rPr>
        <w:t>it as a “sliding scale” approach.</w:t>
      </w:r>
      <w:r w:rsidR="0096102C" w:rsidRPr="00BA1219">
        <w:rPr>
          <w:lang w:val="en-CA"/>
        </w:rPr>
        <w:t xml:space="preserve"> </w:t>
      </w:r>
      <w:r w:rsidRPr="00BA1219">
        <w:rPr>
          <w:lang w:val="en-CA"/>
        </w:rPr>
        <w:t xml:space="preserve">But the sliding scale is </w:t>
      </w:r>
      <w:r w:rsidR="00966D7E">
        <w:rPr>
          <w:lang w:val="en-CA"/>
        </w:rPr>
        <w:t xml:space="preserve">based on </w:t>
      </w:r>
      <w:r w:rsidRPr="00BA1219">
        <w:rPr>
          <w:lang w:val="en-CA"/>
        </w:rPr>
        <w:t>o</w:t>
      </w:r>
      <w:r w:rsidR="00EC52EA">
        <w:rPr>
          <w:lang w:val="en-CA"/>
        </w:rPr>
        <w:t>f</w:t>
      </w:r>
      <w:r w:rsidRPr="00BA1219">
        <w:rPr>
          <w:lang w:val="en-CA"/>
        </w:rPr>
        <w:t xml:space="preserve"> the “number” of students entitled to minority language</w:t>
      </w:r>
      <w:r w:rsidR="003959B2" w:rsidRPr="00BA1219">
        <w:rPr>
          <w:lang w:val="en-CA"/>
        </w:rPr>
        <w:t xml:space="preserve"> education</w:t>
      </w:r>
      <w:r w:rsidRPr="00BA1219">
        <w:rPr>
          <w:lang w:val="en-CA"/>
        </w:rPr>
        <w:t>:</w:t>
      </w:r>
      <w:r w:rsidRPr="00BA1219">
        <w:rPr>
          <w:rStyle w:val="Appelnotedebasdep"/>
          <w:lang w:val="en-CA"/>
        </w:rPr>
        <w:t xml:space="preserve"> </w:t>
      </w:r>
      <w:r w:rsidRPr="00BA1219">
        <w:rPr>
          <w:rStyle w:val="Appelnotedebasdep"/>
          <w:lang w:val="en-CA"/>
        </w:rPr>
        <w:footnoteReference w:id="31"/>
      </w:r>
    </w:p>
    <w:p w14:paraId="40FAE385" w14:textId="1E5053E2" w:rsidR="002013CD" w:rsidRPr="00BA1219" w:rsidRDefault="00BC6A8B" w:rsidP="00700583">
      <w:pPr>
        <w:pStyle w:val="Citation"/>
        <w:rPr>
          <w:lang w:val="en-CA"/>
        </w:rPr>
      </w:pPr>
      <w:r w:rsidRPr="006B7726">
        <w:rPr>
          <w:lang w:val="en-CA" w:eastAsia="fr-CA"/>
        </w:rPr>
        <w:t>The proper way of interpreting s. 23, in my opinion, is to view the section as providing a general right to minority language instruction.</w:t>
      </w:r>
      <w:r w:rsidRPr="00BA1219">
        <w:rPr>
          <w:lang w:val="en-CA" w:eastAsia="fr-CA"/>
        </w:rPr>
        <w:t xml:space="preserve"> </w:t>
      </w:r>
      <w:r w:rsidR="00700583" w:rsidRPr="00BA1219">
        <w:rPr>
          <w:lang w:val="en-CA"/>
        </w:rPr>
        <w:t>…</w:t>
      </w:r>
    </w:p>
    <w:p w14:paraId="73F73437" w14:textId="465ECDB0" w:rsidR="002013CD" w:rsidRPr="00BA1219" w:rsidRDefault="00BC6A8B" w:rsidP="00700583">
      <w:pPr>
        <w:pStyle w:val="Citation"/>
        <w:rPr>
          <w:lang w:val="en-CA"/>
        </w:rPr>
      </w:pPr>
      <w:r w:rsidRPr="00BA1219">
        <w:rPr>
          <w:lang w:val="en-CA"/>
        </w:rPr>
        <w:t>Another way of expressing the above interpretation of s. 23 is to say that s. 23 should be viewed as encompassing a "sliding scale" of requirement, with subs. (3)(</w:t>
      </w:r>
      <w:r w:rsidRPr="00BA1219">
        <w:rPr>
          <w:i/>
          <w:iCs/>
          <w:lang w:val="en-CA"/>
        </w:rPr>
        <w:t>b</w:t>
      </w:r>
      <w:r w:rsidRPr="00BA1219">
        <w:rPr>
          <w:lang w:val="en-CA"/>
        </w:rPr>
        <w:t>) indicating the upper level of this range and the term "instruction" in subs. (3)(</w:t>
      </w:r>
      <w:r w:rsidRPr="00BA1219">
        <w:rPr>
          <w:i/>
          <w:iCs/>
          <w:lang w:val="en-CA"/>
        </w:rPr>
        <w:t>a</w:t>
      </w:r>
      <w:r w:rsidRPr="00BA1219">
        <w:rPr>
          <w:lang w:val="en-CA"/>
        </w:rPr>
        <w:t xml:space="preserve">) indicating the lower level.  The idea of a sliding scale is simply that </w:t>
      </w:r>
      <w:r w:rsidRPr="00BA1219">
        <w:rPr>
          <w:lang w:val="en-CA"/>
        </w:rPr>
        <w:lastRenderedPageBreak/>
        <w:t>s. 23 guarantees whatever type and level of rights and services is appropriate in order to provide minority language instruction for the particular number of students involved.</w:t>
      </w:r>
    </w:p>
    <w:p w14:paraId="6D9B0615" w14:textId="09DCF1AF" w:rsidR="002013CD" w:rsidRPr="00BA1219" w:rsidRDefault="00BC6A8B" w:rsidP="00700583">
      <w:pPr>
        <w:pStyle w:val="Citation"/>
        <w:rPr>
          <w:lang w:val="en-CA"/>
        </w:rPr>
      </w:pPr>
      <w:r w:rsidRPr="00BA1219">
        <w:rPr>
          <w:lang w:val="en-CA"/>
        </w:rPr>
        <w:t xml:space="preserve">The sliding scale approach can be contrasted with that which views s. 23 as only encompassing two rights </w:t>
      </w:r>
      <w:r w:rsidRPr="00BA1219">
        <w:rPr>
          <w:lang w:val="en-CA"/>
        </w:rPr>
        <w:noBreakHyphen/>
      </w:r>
      <w:r w:rsidRPr="00BA1219">
        <w:rPr>
          <w:lang w:val="en-CA"/>
        </w:rPr>
        <w:noBreakHyphen/>
        <w:t xml:space="preserve"> one with respect to instruction and one with respect to facilities </w:t>
      </w:r>
      <w:r w:rsidRPr="00BA1219">
        <w:rPr>
          <w:lang w:val="en-CA"/>
        </w:rPr>
        <w:noBreakHyphen/>
      </w:r>
      <w:r w:rsidRPr="00BA1219">
        <w:rPr>
          <w:lang w:val="en-CA"/>
        </w:rPr>
        <w:noBreakHyphen/>
        <w:t xml:space="preserve"> each providing a certain level of services appropriate for one of two numerical thresholds.  On this interpretation of s. 23, which could be called the "separate rights" approach, a specified number of s. 23 students would trigger a particular level of instruction, while a greater, specified number of students would require, in addition, a particular level of minority language educational facilities.  Where the number of students fell between the two threshold numbers, only the lower level of instruction would be required.</w:t>
      </w:r>
    </w:p>
    <w:p w14:paraId="6F45473E" w14:textId="599EE275" w:rsidR="002013CD" w:rsidRPr="00BA1219" w:rsidRDefault="003959B2" w:rsidP="00700583">
      <w:pPr>
        <w:pStyle w:val="Citation"/>
        <w:rPr>
          <w:lang w:val="en-CA"/>
        </w:rPr>
      </w:pPr>
      <w:r w:rsidRPr="00BA1219">
        <w:rPr>
          <w:lang w:val="en-CA"/>
        </w:rPr>
        <w:t>The sliding scale approach is preferable to the separate rights approach, not only because it accords with the text of s. 23, but also because it is consistent with the purpose of s. 23. </w:t>
      </w:r>
      <w:r w:rsidR="0096102C" w:rsidRPr="00BA1219">
        <w:rPr>
          <w:lang w:val="en-CA"/>
        </w:rPr>
        <w:t>…</w:t>
      </w:r>
      <w:r w:rsidRPr="00BA1219">
        <w:rPr>
          <w:lang w:val="en-CA"/>
        </w:rPr>
        <w:t xml:space="preserve"> If, for instance, the appellants succeeded in persuading this Court that s. 23 mandates a completely separate school board </w:t>
      </w:r>
      <w:r w:rsidRPr="00BA1219">
        <w:rPr>
          <w:lang w:val="en-CA"/>
        </w:rPr>
        <w:noBreakHyphen/>
      </w:r>
      <w:r w:rsidRPr="00BA1219">
        <w:rPr>
          <w:lang w:val="en-CA"/>
        </w:rPr>
        <w:noBreakHyphen/>
        <w:t xml:space="preserve"> as opposed to some sort of representation on an existing board </w:t>
      </w:r>
      <w:r w:rsidRPr="00BA1219">
        <w:rPr>
          <w:lang w:val="en-CA"/>
        </w:rPr>
        <w:noBreakHyphen/>
      </w:r>
      <w:r w:rsidRPr="00BA1219">
        <w:rPr>
          <w:lang w:val="en-CA"/>
        </w:rPr>
        <w:noBreakHyphen/>
        <w:t xml:space="preserve"> then other groups of s. 23 parents with slightly fewer numbers might find themselves without a right to </w:t>
      </w:r>
      <w:r w:rsidRPr="00BA1219">
        <w:rPr>
          <w:u w:val="single"/>
          <w:lang w:val="en-CA"/>
        </w:rPr>
        <w:t>any</w:t>
      </w:r>
      <w:r w:rsidRPr="00BA1219">
        <w:rPr>
          <w:lang w:val="en-CA"/>
        </w:rPr>
        <w:t xml:space="preserve"> degree of management and control </w:t>
      </w:r>
      <w:r w:rsidRPr="00BA1219">
        <w:rPr>
          <w:lang w:val="en-CA"/>
        </w:rPr>
        <w:noBreakHyphen/>
      </w:r>
      <w:r w:rsidRPr="00BA1219">
        <w:rPr>
          <w:lang w:val="en-CA"/>
        </w:rPr>
        <w:noBreakHyphen/>
        <w:t xml:space="preserve"> even though their numbers might justify granting them some degree of management and control.</w:t>
      </w:r>
    </w:p>
    <w:p w14:paraId="4FCAF9DA" w14:textId="6381E3E8" w:rsidR="002013CD" w:rsidRPr="00BA1219" w:rsidRDefault="0096102C" w:rsidP="00700583">
      <w:pPr>
        <w:pStyle w:val="Citation"/>
        <w:rPr>
          <w:lang w:val="en-CA"/>
        </w:rPr>
      </w:pPr>
      <w:r w:rsidRPr="00BA1219">
        <w:rPr>
          <w:lang w:val="en-CA"/>
        </w:rPr>
        <w:t xml:space="preserve">… </w:t>
      </w:r>
      <w:r w:rsidR="003959B2" w:rsidRPr="00BA1219">
        <w:rPr>
          <w:lang w:val="en-CA"/>
        </w:rPr>
        <w:t>In my view, it is more sensible, and consistent with the purpose of s. 23, to interpret s. 23 as requiring whatever minority language educational protection the number of students in any particular case warrants.  Section 23 simply mandates that governments do whatever is practical in the situation to preserve and promote minority language education.</w:t>
      </w:r>
    </w:p>
    <w:p w14:paraId="38E0026D" w14:textId="2BAA70DF" w:rsidR="00D57078" w:rsidRPr="00BA1219" w:rsidRDefault="003959B2" w:rsidP="00D57078">
      <w:pPr>
        <w:pStyle w:val="Paragrsimple"/>
        <w:rPr>
          <w:lang w:val="en-CA"/>
        </w:rPr>
      </w:pPr>
      <w:r w:rsidRPr="00BA1219">
        <w:rPr>
          <w:lang w:val="en-CA"/>
        </w:rPr>
        <w:t xml:space="preserve">In </w:t>
      </w:r>
      <w:r w:rsidR="000468AD">
        <w:rPr>
          <w:lang w:val="en-CA"/>
        </w:rPr>
        <w:t>this</w:t>
      </w:r>
      <w:r w:rsidR="000468AD" w:rsidRPr="00BA1219">
        <w:rPr>
          <w:lang w:val="en-CA"/>
        </w:rPr>
        <w:t xml:space="preserve"> </w:t>
      </w:r>
      <w:r w:rsidRPr="00BA1219">
        <w:rPr>
          <w:lang w:val="en-CA"/>
        </w:rPr>
        <w:t xml:space="preserve">case, the sliding scale </w:t>
      </w:r>
      <w:r w:rsidR="000468AD">
        <w:rPr>
          <w:lang w:val="en-CA"/>
        </w:rPr>
        <w:t>is</w:t>
      </w:r>
      <w:r w:rsidR="000468AD" w:rsidRPr="00BA1219">
        <w:rPr>
          <w:lang w:val="en-CA"/>
        </w:rPr>
        <w:t xml:space="preserve"> </w:t>
      </w:r>
      <w:r w:rsidRPr="00BA1219">
        <w:rPr>
          <w:lang w:val="en-CA"/>
        </w:rPr>
        <w:t xml:space="preserve">at the </w:t>
      </w:r>
      <w:r w:rsidR="00B313D5">
        <w:rPr>
          <w:lang w:val="en-CA"/>
        </w:rPr>
        <w:t>highest</w:t>
      </w:r>
      <w:r w:rsidRPr="00BA1219">
        <w:rPr>
          <w:lang w:val="en-CA"/>
        </w:rPr>
        <w:t xml:space="preserve"> level of the range.</w:t>
      </w:r>
      <w:r w:rsidR="0096102C" w:rsidRPr="00BA1219">
        <w:rPr>
          <w:lang w:val="en-CA"/>
        </w:rPr>
        <w:t xml:space="preserve"> </w:t>
      </w:r>
      <w:r w:rsidRPr="00BA1219">
        <w:rPr>
          <w:lang w:val="en-CA"/>
        </w:rPr>
        <w:t>The number of English-speaking students entitled to English-language education justifie</w:t>
      </w:r>
      <w:r w:rsidR="000468AD">
        <w:rPr>
          <w:lang w:val="en-CA"/>
        </w:rPr>
        <w:t>s</w:t>
      </w:r>
      <w:r w:rsidRPr="00BA1219">
        <w:rPr>
          <w:lang w:val="en-CA"/>
        </w:rPr>
        <w:t xml:space="preserve"> the existence </w:t>
      </w:r>
      <w:r w:rsidR="000468AD">
        <w:rPr>
          <w:lang w:val="en-CA"/>
        </w:rPr>
        <w:t xml:space="preserve">of </w:t>
      </w:r>
      <w:r w:rsidRPr="00BA1219">
        <w:rPr>
          <w:lang w:val="en-CA"/>
        </w:rPr>
        <w:t xml:space="preserve">not only </w:t>
      </w:r>
      <w:r w:rsidR="00EC52EA">
        <w:rPr>
          <w:lang w:val="en-CA"/>
        </w:rPr>
        <w:t xml:space="preserve">the </w:t>
      </w:r>
      <w:r w:rsidRPr="00BA1219">
        <w:rPr>
          <w:lang w:val="en-CA"/>
        </w:rPr>
        <w:t>institutions</w:t>
      </w:r>
      <w:r w:rsidR="000468AD">
        <w:rPr>
          <w:lang w:val="en-CA"/>
        </w:rPr>
        <w:t>,</w:t>
      </w:r>
      <w:r w:rsidRPr="00BA1219">
        <w:rPr>
          <w:lang w:val="en-CA"/>
        </w:rPr>
        <w:t xml:space="preserve"> but also </w:t>
      </w:r>
      <w:r w:rsidR="00F03B3D">
        <w:rPr>
          <w:lang w:val="en-CA"/>
        </w:rPr>
        <w:t xml:space="preserve">of </w:t>
      </w:r>
      <w:r w:rsidRPr="00BA1219">
        <w:rPr>
          <w:lang w:val="en-CA"/>
        </w:rPr>
        <w:t>the nine school boards.</w:t>
      </w:r>
      <w:r w:rsidR="0096102C" w:rsidRPr="00BA1219">
        <w:rPr>
          <w:lang w:val="en-CA"/>
        </w:rPr>
        <w:t xml:space="preserve"> </w:t>
      </w:r>
    </w:p>
    <w:p w14:paraId="04C9EE76" w14:textId="0C1592D0" w:rsidR="002013CD" w:rsidRPr="00BA1219" w:rsidRDefault="003959B2" w:rsidP="00D57078">
      <w:pPr>
        <w:pStyle w:val="Paragrsimple"/>
        <w:rPr>
          <w:lang w:val="en-CA"/>
        </w:rPr>
      </w:pPr>
      <w:r w:rsidRPr="00BA1219">
        <w:rPr>
          <w:lang w:val="en-CA"/>
        </w:rPr>
        <w:t xml:space="preserve">The impugned sections of the </w:t>
      </w:r>
      <w:r w:rsidRPr="00BA1219">
        <w:rPr>
          <w:i/>
          <w:lang w:val="en-CA"/>
        </w:rPr>
        <w:t>Act</w:t>
      </w:r>
      <w:r w:rsidRPr="00BA1219">
        <w:rPr>
          <w:lang w:val="en-CA"/>
        </w:rPr>
        <w:t xml:space="preserve"> must therefore be </w:t>
      </w:r>
      <w:r w:rsidR="000468AD">
        <w:rPr>
          <w:lang w:val="en-CA"/>
        </w:rPr>
        <w:t>considered</w:t>
      </w:r>
      <w:r w:rsidR="000468AD" w:rsidRPr="00BA1219">
        <w:rPr>
          <w:lang w:val="en-CA"/>
        </w:rPr>
        <w:t xml:space="preserve"> </w:t>
      </w:r>
      <w:r w:rsidRPr="00BA1219">
        <w:rPr>
          <w:lang w:val="en-CA"/>
        </w:rPr>
        <w:t xml:space="preserve">from a global perspective and in context to determine </w:t>
      </w:r>
      <w:r w:rsidR="000468AD">
        <w:rPr>
          <w:lang w:val="en-CA"/>
        </w:rPr>
        <w:t>whether</w:t>
      </w:r>
      <w:r w:rsidRPr="00BA1219">
        <w:rPr>
          <w:lang w:val="en-CA"/>
        </w:rPr>
        <w:t>, taken as a whole, they infringe the rights guaranteed by section 23.</w:t>
      </w:r>
      <w:r w:rsidR="0096102C" w:rsidRPr="00BA1219">
        <w:rPr>
          <w:lang w:val="en-CA"/>
        </w:rPr>
        <w:t xml:space="preserve"> </w:t>
      </w:r>
      <w:r w:rsidR="00B313D5">
        <w:rPr>
          <w:lang w:val="en-CA"/>
        </w:rPr>
        <w:t>The</w:t>
      </w:r>
      <w:r w:rsidR="000468AD">
        <w:rPr>
          <w:lang w:val="en-CA"/>
        </w:rPr>
        <w:t xml:space="preserve"> provision </w:t>
      </w:r>
      <w:r w:rsidRPr="00BA1219">
        <w:rPr>
          <w:lang w:val="en-CA"/>
        </w:rPr>
        <w:t xml:space="preserve">must receive a broad and liberal interpretation allowing it to achieve its purpose, that is, the protection and </w:t>
      </w:r>
      <w:r w:rsidR="002B33E0">
        <w:rPr>
          <w:lang w:val="en-CA"/>
        </w:rPr>
        <w:t>enhancement of the vitality</w:t>
      </w:r>
      <w:r w:rsidR="000468AD" w:rsidRPr="00BA1219">
        <w:rPr>
          <w:lang w:val="en-CA"/>
        </w:rPr>
        <w:t xml:space="preserve"> </w:t>
      </w:r>
      <w:r w:rsidRPr="00BA1219">
        <w:rPr>
          <w:lang w:val="en-CA"/>
        </w:rPr>
        <w:t>of Quebec’s English-speaking minority.</w:t>
      </w:r>
      <w:r w:rsidR="0096102C" w:rsidRPr="00BA1219">
        <w:rPr>
          <w:lang w:val="en-CA"/>
        </w:rPr>
        <w:t xml:space="preserve"> </w:t>
      </w:r>
    </w:p>
    <w:p w14:paraId="51CDD6B2" w14:textId="662AE6A7" w:rsidR="002013CD" w:rsidRPr="00BA1219" w:rsidRDefault="00DB71EC" w:rsidP="00700583">
      <w:pPr>
        <w:pStyle w:val="Paragrsimple"/>
        <w:rPr>
          <w:lang w:val="en-CA"/>
        </w:rPr>
      </w:pPr>
      <w:r w:rsidRPr="00BA1219">
        <w:rPr>
          <w:lang w:val="en-CA"/>
        </w:rPr>
        <w:t xml:space="preserve">As </w:t>
      </w:r>
      <w:r w:rsidR="00B848CC">
        <w:rPr>
          <w:lang w:val="en-CA"/>
        </w:rPr>
        <w:t xml:space="preserve">this judgment will explain, this </w:t>
      </w:r>
      <w:r w:rsidRPr="00BA1219">
        <w:rPr>
          <w:lang w:val="en-CA"/>
        </w:rPr>
        <w:t xml:space="preserve">interpretation is based on the collective aspect </w:t>
      </w:r>
      <w:r w:rsidR="00F03B3D">
        <w:rPr>
          <w:lang w:val="en-CA"/>
        </w:rPr>
        <w:t xml:space="preserve">of the rights granted </w:t>
      </w:r>
      <w:r w:rsidRPr="00BA1219">
        <w:rPr>
          <w:lang w:val="en-CA"/>
        </w:rPr>
        <w:t>and on the historical and geographical context.</w:t>
      </w:r>
      <w:r w:rsidR="0096102C" w:rsidRPr="00BA1219">
        <w:rPr>
          <w:lang w:val="en-CA"/>
        </w:rPr>
        <w:t xml:space="preserve"> </w:t>
      </w:r>
    </w:p>
    <w:p w14:paraId="60B23C7C" w14:textId="31F99F99" w:rsidR="00050DC8" w:rsidRPr="00BA1219" w:rsidRDefault="00DB71EC" w:rsidP="00700583">
      <w:pPr>
        <w:pStyle w:val="Paragrsimple"/>
        <w:rPr>
          <w:lang w:val="en-CA"/>
        </w:rPr>
      </w:pPr>
      <w:r w:rsidRPr="00BA1219">
        <w:rPr>
          <w:lang w:val="en-CA"/>
        </w:rPr>
        <w:t>At the risk of repetition, the issue here is not the protection of French, which is ensured by other means, including the obligation for those not benefitting from the protection afforded by section 23 to send their children to school in French.</w:t>
      </w:r>
    </w:p>
    <w:p w14:paraId="30C74860" w14:textId="27EA7E27" w:rsidR="00AF4B8F" w:rsidRPr="006B7726" w:rsidRDefault="001F1C40" w:rsidP="001F1C40">
      <w:pPr>
        <w:pStyle w:val="Titre2"/>
        <w:numPr>
          <w:ilvl w:val="0"/>
          <w:numId w:val="0"/>
        </w:numPr>
        <w:ind w:left="360"/>
        <w:rPr>
          <w:lang w:val="en-CA"/>
        </w:rPr>
      </w:pPr>
      <w:r>
        <w:rPr>
          <w:lang w:val="en-CA"/>
        </w:rPr>
        <w:t xml:space="preserve">(b) </w:t>
      </w:r>
      <w:bookmarkStart w:id="16" w:name="_Hlk149038342"/>
      <w:r w:rsidR="00DB71EC" w:rsidRPr="006B7726">
        <w:rPr>
          <w:lang w:val="en-CA"/>
        </w:rPr>
        <w:t xml:space="preserve">Who are </w:t>
      </w:r>
      <w:r w:rsidR="009A483D">
        <w:rPr>
          <w:lang w:val="en-CA"/>
        </w:rPr>
        <w:t xml:space="preserve">rights holders under </w:t>
      </w:r>
      <w:r w:rsidR="00DB71EC" w:rsidRPr="006B7726">
        <w:rPr>
          <w:lang w:val="en-CA"/>
        </w:rPr>
        <w:t>section 23?</w:t>
      </w:r>
      <w:bookmarkEnd w:id="16"/>
    </w:p>
    <w:p w14:paraId="683050DB" w14:textId="60CEB813" w:rsidR="00C52E5C" w:rsidRPr="006B7726" w:rsidRDefault="00DB71EC" w:rsidP="00700583">
      <w:pPr>
        <w:pStyle w:val="Paragrsimple"/>
        <w:rPr>
          <w:lang w:val="en-CA"/>
        </w:rPr>
      </w:pPr>
      <w:r w:rsidRPr="006B7726">
        <w:rPr>
          <w:lang w:val="en-CA"/>
        </w:rPr>
        <w:lastRenderedPageBreak/>
        <w:t xml:space="preserve">As </w:t>
      </w:r>
      <w:r w:rsidR="00D2180C">
        <w:rPr>
          <w:lang w:val="en-CA"/>
        </w:rPr>
        <w:t>discussed above</w:t>
      </w:r>
      <w:r w:rsidRPr="006B7726">
        <w:rPr>
          <w:lang w:val="en-CA"/>
        </w:rPr>
        <w:t xml:space="preserve">, Canadians who have received primary school instruction in English anywhere in Canada or who have a child enrolled </w:t>
      </w:r>
      <w:r w:rsidR="00305C58">
        <w:rPr>
          <w:lang w:val="en-CA"/>
        </w:rPr>
        <w:t>at</w:t>
      </w:r>
      <w:r w:rsidR="00305C58" w:rsidRPr="006B7726">
        <w:rPr>
          <w:lang w:val="en-CA"/>
        </w:rPr>
        <w:t xml:space="preserve"> </w:t>
      </w:r>
      <w:r w:rsidRPr="006B7726">
        <w:rPr>
          <w:lang w:val="en-CA"/>
        </w:rPr>
        <w:t>an English-language primary or secondary school anywhere in Canada have the right to have their children receive primary and secondary instruction in English in Quebec.</w:t>
      </w:r>
    </w:p>
    <w:p w14:paraId="209AD46D" w14:textId="01871E45" w:rsidR="00C52E5C" w:rsidRPr="00BA1219" w:rsidRDefault="00DB71EC" w:rsidP="001B362D">
      <w:pPr>
        <w:pStyle w:val="Paragrsimple"/>
        <w:rPr>
          <w:lang w:val="en-CA"/>
        </w:rPr>
      </w:pPr>
      <w:r w:rsidRPr="00BA1219">
        <w:rPr>
          <w:lang w:val="en-CA"/>
        </w:rPr>
        <w:t xml:space="preserve">The </w:t>
      </w:r>
      <w:r w:rsidR="00305C58">
        <w:rPr>
          <w:lang w:val="en-CA"/>
        </w:rPr>
        <w:t>wording</w:t>
      </w:r>
      <w:r w:rsidR="00305C58" w:rsidRPr="00BA1219">
        <w:rPr>
          <w:lang w:val="en-CA"/>
        </w:rPr>
        <w:t xml:space="preserve"> </w:t>
      </w:r>
      <w:r w:rsidRPr="00BA1219">
        <w:rPr>
          <w:lang w:val="en-CA"/>
        </w:rPr>
        <w:t xml:space="preserve">of section 23 makes it clear that </w:t>
      </w:r>
      <w:r w:rsidR="00305C58">
        <w:rPr>
          <w:lang w:val="en-CA"/>
        </w:rPr>
        <w:t xml:space="preserve">it is </w:t>
      </w:r>
      <w:r w:rsidRPr="00BA1219">
        <w:rPr>
          <w:lang w:val="en-CA"/>
        </w:rPr>
        <w:t>not only parents whose children are enrolled in an English-</w:t>
      </w:r>
      <w:r w:rsidR="001F1C40">
        <w:rPr>
          <w:lang w:val="en-CA"/>
        </w:rPr>
        <w:t>language</w:t>
      </w:r>
      <w:r w:rsidRPr="00BA1219">
        <w:rPr>
          <w:lang w:val="en-CA"/>
        </w:rPr>
        <w:t xml:space="preserve"> school </w:t>
      </w:r>
      <w:r w:rsidR="00D768BB">
        <w:rPr>
          <w:lang w:val="en-CA"/>
        </w:rPr>
        <w:t xml:space="preserve">that </w:t>
      </w:r>
      <w:r w:rsidRPr="00BA1219">
        <w:rPr>
          <w:lang w:val="en-CA"/>
        </w:rPr>
        <w:t xml:space="preserve">have </w:t>
      </w:r>
      <w:r w:rsidR="00305C58">
        <w:rPr>
          <w:lang w:val="en-CA"/>
        </w:rPr>
        <w:t xml:space="preserve">those </w:t>
      </w:r>
      <w:r w:rsidRPr="00BA1219">
        <w:rPr>
          <w:lang w:val="en-CA"/>
        </w:rPr>
        <w:t xml:space="preserve">rights, but also </w:t>
      </w:r>
      <w:r w:rsidR="00305C58">
        <w:rPr>
          <w:lang w:val="en-CA"/>
        </w:rPr>
        <w:t xml:space="preserve">those </w:t>
      </w:r>
      <w:r w:rsidRPr="00BA1219">
        <w:rPr>
          <w:lang w:val="en-CA"/>
        </w:rPr>
        <w:t xml:space="preserve">who </w:t>
      </w:r>
      <w:r w:rsidR="00305C58">
        <w:rPr>
          <w:lang w:val="en-CA"/>
        </w:rPr>
        <w:t xml:space="preserve">are entitled </w:t>
      </w:r>
      <w:r w:rsidRPr="00BA1219">
        <w:rPr>
          <w:lang w:val="en-CA"/>
        </w:rPr>
        <w:t>to enroll their children</w:t>
      </w:r>
      <w:r w:rsidR="001F1C40">
        <w:rPr>
          <w:lang w:val="en-CA"/>
        </w:rPr>
        <w:t xml:space="preserve"> in an English-language school</w:t>
      </w:r>
      <w:r w:rsidRPr="00BA1219">
        <w:rPr>
          <w:lang w:val="en-CA"/>
        </w:rPr>
        <w:t xml:space="preserve"> or who have enrolled their school-age children</w:t>
      </w:r>
      <w:r w:rsidR="00D2180C">
        <w:rPr>
          <w:lang w:val="en-CA"/>
        </w:rPr>
        <w:t xml:space="preserve"> in an English-language school</w:t>
      </w:r>
      <w:r w:rsidRPr="00BA1219">
        <w:rPr>
          <w:lang w:val="en-CA"/>
        </w:rPr>
        <w:t xml:space="preserve"> or ha</w:t>
      </w:r>
      <w:r w:rsidR="001F1C40">
        <w:rPr>
          <w:lang w:val="en-CA"/>
        </w:rPr>
        <w:t>d</w:t>
      </w:r>
      <w:r w:rsidRPr="00BA1219">
        <w:rPr>
          <w:lang w:val="en-CA"/>
        </w:rPr>
        <w:t xml:space="preserve"> the right to do so.</w:t>
      </w:r>
      <w:r w:rsidR="0096102C" w:rsidRPr="00BA1219">
        <w:rPr>
          <w:lang w:val="en-CA"/>
        </w:rPr>
        <w:t xml:space="preserve"> </w:t>
      </w:r>
    </w:p>
    <w:p w14:paraId="6ED41E87" w14:textId="5FBD98A4" w:rsidR="00C52E5C" w:rsidRPr="00BA1219" w:rsidRDefault="00DB71EC" w:rsidP="001B362D">
      <w:pPr>
        <w:pStyle w:val="Paragrsimple"/>
        <w:rPr>
          <w:lang w:val="en-CA"/>
        </w:rPr>
      </w:pPr>
      <w:r w:rsidRPr="00BA1219">
        <w:rPr>
          <w:lang w:val="en-CA"/>
        </w:rPr>
        <w:t xml:space="preserve">As the evidence </w:t>
      </w:r>
      <w:r w:rsidR="00D768BB">
        <w:rPr>
          <w:lang w:val="en-CA"/>
        </w:rPr>
        <w:t>h</w:t>
      </w:r>
      <w:r w:rsidRPr="00BA1219">
        <w:rPr>
          <w:lang w:val="en-CA"/>
        </w:rPr>
        <w:t xml:space="preserve">as abundantly shown, grandparents who no longer have children enrolled in school have a very important role to play, and indeed </w:t>
      </w:r>
      <w:r w:rsidR="00D768BB">
        <w:rPr>
          <w:lang w:val="en-CA"/>
        </w:rPr>
        <w:t xml:space="preserve">they </w:t>
      </w:r>
      <w:r w:rsidR="00305C58">
        <w:rPr>
          <w:lang w:val="en-CA"/>
        </w:rPr>
        <w:t xml:space="preserve">do </w:t>
      </w:r>
      <w:r w:rsidRPr="00BA1219">
        <w:rPr>
          <w:lang w:val="en-CA"/>
        </w:rPr>
        <w:t>play it.</w:t>
      </w:r>
    </w:p>
    <w:p w14:paraId="5AA42571" w14:textId="4893B0A7" w:rsidR="00C52E5C" w:rsidRPr="00BA1219" w:rsidRDefault="00DB71EC" w:rsidP="001B362D">
      <w:pPr>
        <w:pStyle w:val="Paragrsimple"/>
        <w:rPr>
          <w:lang w:val="en-CA"/>
        </w:rPr>
      </w:pPr>
      <w:r w:rsidRPr="00BA1219">
        <w:rPr>
          <w:lang w:val="en-CA"/>
        </w:rPr>
        <w:t>As the saying goes, “it takes a village to raise a child”.</w:t>
      </w:r>
    </w:p>
    <w:p w14:paraId="663D3864" w14:textId="33ECAF3F" w:rsidR="00E029B7" w:rsidRPr="006B7726" w:rsidRDefault="00DB71EC" w:rsidP="001B362D">
      <w:pPr>
        <w:pStyle w:val="Paragrsimple"/>
        <w:rPr>
          <w:lang w:val="en-CA"/>
        </w:rPr>
      </w:pPr>
      <w:r w:rsidRPr="006B7726">
        <w:rPr>
          <w:lang w:val="en-CA"/>
        </w:rPr>
        <w:t xml:space="preserve">The Attorney General submits that the </w:t>
      </w:r>
      <w:r w:rsidRPr="00D2180C">
        <w:rPr>
          <w:i/>
          <w:iCs/>
          <w:lang w:val="en-CA"/>
        </w:rPr>
        <w:t>Act</w:t>
      </w:r>
      <w:r w:rsidRPr="006B7726">
        <w:rPr>
          <w:lang w:val="en-CA"/>
        </w:rPr>
        <w:t xml:space="preserve"> complies with section 23 of the </w:t>
      </w:r>
      <w:r w:rsidRPr="00D2180C">
        <w:rPr>
          <w:i/>
          <w:iCs/>
          <w:lang w:val="en-CA"/>
        </w:rPr>
        <w:t>Charter</w:t>
      </w:r>
      <w:r w:rsidRPr="006B7726">
        <w:rPr>
          <w:lang w:val="en-CA"/>
        </w:rPr>
        <w:t>, which gives rights to the parents of students</w:t>
      </w:r>
      <w:r w:rsidR="004721C7">
        <w:rPr>
          <w:lang w:val="en-CA"/>
        </w:rPr>
        <w:t xml:space="preserve"> (</w:t>
      </w:r>
      <w:r w:rsidRPr="006B7726">
        <w:rPr>
          <w:lang w:val="en-CA"/>
        </w:rPr>
        <w:t>the “</w:t>
      </w:r>
      <w:r w:rsidR="00366077">
        <w:rPr>
          <w:lang w:val="en-CA"/>
        </w:rPr>
        <w:t>rights holder</w:t>
      </w:r>
      <w:r w:rsidRPr="006B7726">
        <w:rPr>
          <w:lang w:val="en-CA"/>
        </w:rPr>
        <w:t>s”</w:t>
      </w:r>
      <w:r w:rsidR="004721C7">
        <w:rPr>
          <w:lang w:val="en-CA"/>
        </w:rPr>
        <w:t>)</w:t>
      </w:r>
      <w:r w:rsidRPr="006B7726">
        <w:rPr>
          <w:lang w:val="en-CA"/>
        </w:rPr>
        <w:t xml:space="preserve"> because its very purpose is to give control of the school system back to the parents by placing them at the centre of the electoral and decision-making processes.</w:t>
      </w:r>
      <w:r w:rsidR="0096102C" w:rsidRPr="006B7726">
        <w:rPr>
          <w:lang w:val="en-CA"/>
        </w:rPr>
        <w:t xml:space="preserve"> </w:t>
      </w:r>
    </w:p>
    <w:p w14:paraId="55A93416" w14:textId="1E2118A5" w:rsidR="00E029B7" w:rsidRPr="006B7726" w:rsidRDefault="00DB71EC" w:rsidP="001B362D">
      <w:pPr>
        <w:pStyle w:val="Paragrsimple"/>
        <w:rPr>
          <w:lang w:val="en-CA"/>
        </w:rPr>
      </w:pPr>
      <w:r w:rsidRPr="006B7726">
        <w:rPr>
          <w:lang w:val="en-CA"/>
        </w:rPr>
        <w:t>Mr. Eustace, an interven</w:t>
      </w:r>
      <w:r w:rsidR="00D2180C">
        <w:rPr>
          <w:lang w:val="en-CA"/>
        </w:rPr>
        <w:t>o</w:t>
      </w:r>
      <w:r w:rsidRPr="006B7726">
        <w:rPr>
          <w:lang w:val="en-CA"/>
        </w:rPr>
        <w:t>r with experience in the English</w:t>
      </w:r>
      <w:r w:rsidR="00D2180C">
        <w:rPr>
          <w:lang w:val="en-CA"/>
        </w:rPr>
        <w:t>-language</w:t>
      </w:r>
      <w:r w:rsidRPr="006B7726">
        <w:rPr>
          <w:lang w:val="en-CA"/>
        </w:rPr>
        <w:t xml:space="preserve"> school system, welcomes this approach for reasons </w:t>
      </w:r>
      <w:r w:rsidR="004721C7">
        <w:rPr>
          <w:lang w:val="en-CA"/>
        </w:rPr>
        <w:t xml:space="preserve">that </w:t>
      </w:r>
      <w:r w:rsidRPr="006B7726">
        <w:rPr>
          <w:lang w:val="en-CA"/>
        </w:rPr>
        <w:t xml:space="preserve">he has widely publicized over the years and that he </w:t>
      </w:r>
      <w:r w:rsidR="00D2180C">
        <w:rPr>
          <w:lang w:val="en-CA"/>
        </w:rPr>
        <w:t>explained</w:t>
      </w:r>
      <w:r w:rsidRPr="006B7726">
        <w:rPr>
          <w:lang w:val="en-CA"/>
        </w:rPr>
        <w:t xml:space="preserve"> at the hearing.</w:t>
      </w:r>
      <w:r w:rsidR="0096102C" w:rsidRPr="006B7726">
        <w:rPr>
          <w:lang w:val="en-CA"/>
        </w:rPr>
        <w:t xml:space="preserve"> </w:t>
      </w:r>
    </w:p>
    <w:p w14:paraId="57400F13" w14:textId="5A6A91AF" w:rsidR="00AF4B8F" w:rsidRPr="00010321" w:rsidRDefault="00DB71EC" w:rsidP="00010321">
      <w:pPr>
        <w:pStyle w:val="Paragrsimple"/>
        <w:rPr>
          <w:szCs w:val="24"/>
          <w:lang w:val="en-CA"/>
        </w:rPr>
      </w:pPr>
      <w:r w:rsidRPr="00BA1219">
        <w:rPr>
          <w:szCs w:val="24"/>
          <w:lang w:val="en-CA"/>
        </w:rPr>
        <w:t xml:space="preserve">This judgment will establish </w:t>
      </w:r>
      <w:r w:rsidR="004721C7">
        <w:rPr>
          <w:szCs w:val="24"/>
          <w:lang w:val="en-CA"/>
        </w:rPr>
        <w:t xml:space="preserve">how this constitutes </w:t>
      </w:r>
      <w:r w:rsidRPr="00BA1219">
        <w:rPr>
          <w:szCs w:val="24"/>
          <w:lang w:val="en-CA"/>
        </w:rPr>
        <w:t>a restrictive vi</w:t>
      </w:r>
      <w:r w:rsidR="00D2180C">
        <w:rPr>
          <w:szCs w:val="24"/>
          <w:lang w:val="en-CA"/>
        </w:rPr>
        <w:t>ew</w:t>
      </w:r>
      <w:r w:rsidRPr="00BA1219">
        <w:rPr>
          <w:szCs w:val="24"/>
          <w:lang w:val="en-CA"/>
        </w:rPr>
        <w:t xml:space="preserve"> of this section</w:t>
      </w:r>
      <w:r w:rsidR="004721C7">
        <w:rPr>
          <w:szCs w:val="24"/>
          <w:lang w:val="en-CA"/>
        </w:rPr>
        <w:t xml:space="preserve"> and </w:t>
      </w:r>
      <w:r w:rsidRPr="00BA1219">
        <w:rPr>
          <w:szCs w:val="24"/>
          <w:lang w:val="en-CA"/>
        </w:rPr>
        <w:t>prevents it from achieving its objective.</w:t>
      </w:r>
      <w:r w:rsidR="0096102C" w:rsidRPr="00BA1219">
        <w:rPr>
          <w:szCs w:val="24"/>
          <w:lang w:val="en-CA"/>
        </w:rPr>
        <w:t xml:space="preserve"> </w:t>
      </w:r>
      <w:r w:rsidR="00313D33">
        <w:rPr>
          <w:szCs w:val="24"/>
          <w:lang w:val="en-CA"/>
        </w:rPr>
        <w:t>In particular</w:t>
      </w:r>
      <w:r w:rsidRPr="00BA1219">
        <w:rPr>
          <w:szCs w:val="24"/>
          <w:lang w:val="en-CA"/>
        </w:rPr>
        <w:t xml:space="preserve">, this view runs counter to the collective </w:t>
      </w:r>
      <w:r w:rsidR="004721C7">
        <w:rPr>
          <w:szCs w:val="24"/>
          <w:lang w:val="en-CA"/>
        </w:rPr>
        <w:t>aspect</w:t>
      </w:r>
      <w:r w:rsidRPr="00BA1219">
        <w:rPr>
          <w:szCs w:val="24"/>
          <w:lang w:val="en-CA"/>
        </w:rPr>
        <w:t xml:space="preserve"> of the right to minority language education, </w:t>
      </w:r>
      <w:r w:rsidR="004721C7">
        <w:rPr>
          <w:szCs w:val="24"/>
          <w:lang w:val="en-CA"/>
        </w:rPr>
        <w:t xml:space="preserve">which is </w:t>
      </w:r>
      <w:r w:rsidRPr="00BA1219">
        <w:rPr>
          <w:szCs w:val="24"/>
          <w:lang w:val="en-CA"/>
        </w:rPr>
        <w:t xml:space="preserve">the next </w:t>
      </w:r>
      <w:r w:rsidR="00313D33">
        <w:rPr>
          <w:szCs w:val="24"/>
          <w:lang w:val="en-CA"/>
        </w:rPr>
        <w:t xml:space="preserve">topic discussed in </w:t>
      </w:r>
      <w:r w:rsidRPr="00BA1219">
        <w:rPr>
          <w:szCs w:val="24"/>
          <w:lang w:val="en-CA"/>
        </w:rPr>
        <w:t>th</w:t>
      </w:r>
      <w:r w:rsidR="00D2180C">
        <w:rPr>
          <w:szCs w:val="24"/>
          <w:lang w:val="en-CA"/>
        </w:rPr>
        <w:t xml:space="preserve">is </w:t>
      </w:r>
      <w:r w:rsidRPr="00BA1219">
        <w:rPr>
          <w:szCs w:val="24"/>
          <w:lang w:val="en-CA"/>
        </w:rPr>
        <w:t>judgment.</w:t>
      </w:r>
    </w:p>
    <w:p w14:paraId="4F8F38FF" w14:textId="306B7182" w:rsidR="00536590" w:rsidRPr="006B7726" w:rsidRDefault="00D2180C" w:rsidP="00D2180C">
      <w:pPr>
        <w:pStyle w:val="Titre2"/>
        <w:numPr>
          <w:ilvl w:val="0"/>
          <w:numId w:val="0"/>
        </w:numPr>
        <w:ind w:left="360"/>
        <w:rPr>
          <w:lang w:val="en-CA"/>
        </w:rPr>
      </w:pPr>
      <w:r>
        <w:rPr>
          <w:lang w:val="en-CA"/>
        </w:rPr>
        <w:t xml:space="preserve">(c) </w:t>
      </w:r>
      <w:bookmarkStart w:id="17" w:name="_Hlk149038356"/>
      <w:r w:rsidR="00DB71EC" w:rsidRPr="006B7726">
        <w:rPr>
          <w:lang w:val="en-CA"/>
        </w:rPr>
        <w:t>The collective nature of the rights conferred by section 23</w:t>
      </w:r>
      <w:bookmarkEnd w:id="17"/>
    </w:p>
    <w:p w14:paraId="448A7A75" w14:textId="432D996A" w:rsidR="006A00FD" w:rsidRPr="00BA1219" w:rsidRDefault="00DB71EC" w:rsidP="001B362D">
      <w:pPr>
        <w:pStyle w:val="Paragrsimple"/>
        <w:rPr>
          <w:lang w:val="en-CA"/>
        </w:rPr>
      </w:pPr>
      <w:r w:rsidRPr="006B7726">
        <w:rPr>
          <w:lang w:val="en-CA"/>
        </w:rPr>
        <w:t xml:space="preserve">The </w:t>
      </w:r>
      <w:r w:rsidR="00313D33">
        <w:rPr>
          <w:lang w:val="en-CA"/>
        </w:rPr>
        <w:t>wording</w:t>
      </w:r>
      <w:r w:rsidR="00313D33" w:rsidRPr="006B7726">
        <w:rPr>
          <w:lang w:val="en-CA"/>
        </w:rPr>
        <w:t xml:space="preserve"> </w:t>
      </w:r>
      <w:r w:rsidRPr="006B7726">
        <w:rPr>
          <w:lang w:val="en-CA"/>
        </w:rPr>
        <w:t xml:space="preserve">of section 23 confers rights </w:t>
      </w:r>
      <w:r w:rsidR="00313D33">
        <w:rPr>
          <w:lang w:val="en-CA"/>
        </w:rPr>
        <w:t>on</w:t>
      </w:r>
      <w:r w:rsidR="00313D33" w:rsidRPr="006B7726">
        <w:rPr>
          <w:lang w:val="en-CA"/>
        </w:rPr>
        <w:t xml:space="preserve"> </w:t>
      </w:r>
      <w:r w:rsidRPr="006B7726">
        <w:rPr>
          <w:lang w:val="en-CA"/>
        </w:rPr>
        <w:t>“citizens of Canada of whom any child has received or is receiving primary or secondary school instruction in English or French in Canada and to citizens of Canada who have received their primary school instruction in Canada in English”.</w:t>
      </w:r>
      <w:r w:rsidR="00DF3F57" w:rsidRPr="00BA1219">
        <w:rPr>
          <w:lang w:val="en-CA"/>
        </w:rPr>
        <w:t xml:space="preserve"> </w:t>
      </w:r>
      <w:r w:rsidRPr="00BA1219">
        <w:rPr>
          <w:lang w:val="en-CA"/>
        </w:rPr>
        <w:t xml:space="preserve">Contrary to the position it argued in </w:t>
      </w:r>
      <w:r w:rsidRPr="00BA1219">
        <w:rPr>
          <w:i/>
          <w:lang w:val="en-CA"/>
        </w:rPr>
        <w:t>Solski</w:t>
      </w:r>
      <w:r w:rsidRPr="00822668">
        <w:rPr>
          <w:lang w:val="en-CA"/>
        </w:rPr>
        <w:t>,</w:t>
      </w:r>
      <w:r w:rsidRPr="00822668">
        <w:rPr>
          <w:rStyle w:val="Appelnotedebasdep"/>
          <w:rFonts w:cs="Arial"/>
          <w:szCs w:val="24"/>
          <w:lang w:val="en-CA"/>
        </w:rPr>
        <w:footnoteReference w:id="32"/>
      </w:r>
      <w:r w:rsidR="00313D33" w:rsidRPr="00822668">
        <w:rPr>
          <w:lang w:val="en-CA"/>
        </w:rPr>
        <w:t xml:space="preserve"> </w:t>
      </w:r>
      <w:r w:rsidRPr="00822668">
        <w:rPr>
          <w:rFonts w:cs="Arial"/>
          <w:szCs w:val="24"/>
          <w:lang w:val="en-CA"/>
        </w:rPr>
        <w:t>t</w:t>
      </w:r>
      <w:r w:rsidRPr="00BA1219">
        <w:rPr>
          <w:rFonts w:cs="Arial"/>
          <w:iCs/>
          <w:szCs w:val="24"/>
          <w:lang w:val="en-CA"/>
        </w:rPr>
        <w:t xml:space="preserve">he AGQ interprets </w:t>
      </w:r>
      <w:r w:rsidR="00996615">
        <w:rPr>
          <w:rFonts w:cs="Arial"/>
          <w:iCs/>
          <w:szCs w:val="24"/>
          <w:lang w:val="en-CA"/>
        </w:rPr>
        <w:t>that</w:t>
      </w:r>
      <w:r w:rsidRPr="00BA1219">
        <w:rPr>
          <w:rFonts w:cs="Arial"/>
          <w:iCs/>
          <w:szCs w:val="24"/>
          <w:lang w:val="en-CA"/>
        </w:rPr>
        <w:t xml:space="preserve"> provision as conferring individual rights on parents who received instruction in English in Canada and whose children are enrolled in an English-language school.</w:t>
      </w:r>
      <w:r w:rsidR="0096102C" w:rsidRPr="00BA1219">
        <w:rPr>
          <w:lang w:val="en-CA"/>
        </w:rPr>
        <w:t xml:space="preserve"> </w:t>
      </w:r>
    </w:p>
    <w:p w14:paraId="0F88C2F5" w14:textId="694FC7BC" w:rsidR="00536590" w:rsidRPr="00BA1219" w:rsidRDefault="00DB71EC" w:rsidP="001B362D">
      <w:pPr>
        <w:pStyle w:val="Paragrsimple"/>
        <w:rPr>
          <w:lang w:val="en-CA"/>
        </w:rPr>
      </w:pPr>
      <w:r w:rsidRPr="00BA1219">
        <w:rPr>
          <w:lang w:val="en-CA"/>
        </w:rPr>
        <w:t xml:space="preserve">The text </w:t>
      </w:r>
      <w:r w:rsidR="00313D33">
        <w:rPr>
          <w:lang w:val="en-CA"/>
        </w:rPr>
        <w:t>refers</w:t>
      </w:r>
      <w:r w:rsidR="00313D33" w:rsidRPr="00BA1219">
        <w:rPr>
          <w:lang w:val="en-CA"/>
        </w:rPr>
        <w:t xml:space="preserve"> </w:t>
      </w:r>
      <w:r w:rsidR="00996615">
        <w:rPr>
          <w:lang w:val="en-CA"/>
        </w:rPr>
        <w:t xml:space="preserve">to </w:t>
      </w:r>
      <w:r w:rsidRPr="00BA1219">
        <w:rPr>
          <w:lang w:val="en-CA"/>
        </w:rPr>
        <w:t>“citizens” and</w:t>
      </w:r>
      <w:r w:rsidR="00996615">
        <w:rPr>
          <w:lang w:val="en-CA"/>
        </w:rPr>
        <w:t xml:space="preserve"> thus</w:t>
      </w:r>
      <w:r w:rsidRPr="00BA1219">
        <w:rPr>
          <w:lang w:val="en-CA"/>
        </w:rPr>
        <w:t xml:space="preserve"> </w:t>
      </w:r>
      <w:r w:rsidR="00996615">
        <w:rPr>
          <w:lang w:val="en-CA"/>
        </w:rPr>
        <w:t xml:space="preserve">to </w:t>
      </w:r>
      <w:r w:rsidRPr="00BA1219">
        <w:rPr>
          <w:lang w:val="en-CA"/>
        </w:rPr>
        <w:t>individuals.</w:t>
      </w:r>
      <w:r w:rsidR="0096102C" w:rsidRPr="00BA1219">
        <w:rPr>
          <w:lang w:val="en-CA"/>
        </w:rPr>
        <w:t xml:space="preserve"> </w:t>
      </w:r>
      <w:r w:rsidR="00996615">
        <w:rPr>
          <w:lang w:val="en-CA"/>
        </w:rPr>
        <w:t>However, our</w:t>
      </w:r>
      <w:r w:rsidRPr="00BA1219">
        <w:rPr>
          <w:lang w:val="en-CA"/>
        </w:rPr>
        <w:t xml:space="preserve"> courts</w:t>
      </w:r>
      <w:r w:rsidR="00996615">
        <w:rPr>
          <w:lang w:val="en-CA"/>
        </w:rPr>
        <w:t xml:space="preserve"> </w:t>
      </w:r>
      <w:r w:rsidRPr="00BA1219">
        <w:rPr>
          <w:lang w:val="en-CA"/>
        </w:rPr>
        <w:t>have noted that section 23 confers both individual and collective rights.</w:t>
      </w:r>
      <w:r w:rsidR="0096102C" w:rsidRPr="00BA1219">
        <w:rPr>
          <w:lang w:val="en-CA"/>
        </w:rPr>
        <w:t xml:space="preserve"> </w:t>
      </w:r>
      <w:r w:rsidRPr="00BA1219">
        <w:rPr>
          <w:lang w:val="en-CA"/>
        </w:rPr>
        <w:t xml:space="preserve">This aspect is particularly important in matters </w:t>
      </w:r>
      <w:r w:rsidR="00313D33">
        <w:rPr>
          <w:lang w:val="en-CA"/>
        </w:rPr>
        <w:t>concerning the</w:t>
      </w:r>
      <w:r w:rsidR="00313D33" w:rsidRPr="00BA1219">
        <w:rPr>
          <w:lang w:val="en-CA"/>
        </w:rPr>
        <w:t xml:space="preserve"> </w:t>
      </w:r>
      <w:r w:rsidRPr="00BA1219">
        <w:rPr>
          <w:lang w:val="en-CA"/>
        </w:rPr>
        <w:t>management and control of linguistic minority educational institutions.</w:t>
      </w:r>
      <w:r w:rsidR="0096102C" w:rsidRPr="00BA1219">
        <w:rPr>
          <w:lang w:val="en-CA"/>
        </w:rPr>
        <w:t xml:space="preserve"> </w:t>
      </w:r>
    </w:p>
    <w:p w14:paraId="0CABEC6D" w14:textId="2C2B77A2" w:rsidR="003B6195" w:rsidRPr="00BA1219" w:rsidRDefault="00DB71EC" w:rsidP="001B362D">
      <w:pPr>
        <w:pStyle w:val="Paragrsimple"/>
        <w:rPr>
          <w:lang w:val="en-CA"/>
        </w:rPr>
      </w:pPr>
      <w:r w:rsidRPr="00BA1219">
        <w:rPr>
          <w:lang w:val="en-CA"/>
        </w:rPr>
        <w:lastRenderedPageBreak/>
        <w:t xml:space="preserve">As discussed above, the purpose of section 23 cannot be understood without taking into account the community, and therefore </w:t>
      </w:r>
      <w:r w:rsidR="00313D33">
        <w:rPr>
          <w:lang w:val="en-CA"/>
        </w:rPr>
        <w:t xml:space="preserve">the </w:t>
      </w:r>
      <w:r w:rsidRPr="00BA1219">
        <w:rPr>
          <w:lang w:val="en-CA"/>
        </w:rPr>
        <w:t>collective dimension of the rights it confers.</w:t>
      </w:r>
      <w:r w:rsidR="0096102C" w:rsidRPr="00BA1219">
        <w:rPr>
          <w:lang w:val="en-CA"/>
        </w:rPr>
        <w:t xml:space="preserve"> </w:t>
      </w:r>
    </w:p>
    <w:p w14:paraId="3A99C6A6" w14:textId="448145FB" w:rsidR="008D1B57" w:rsidRPr="00BA1219" w:rsidRDefault="00DB71EC" w:rsidP="001B362D">
      <w:pPr>
        <w:pStyle w:val="Paragrsimple"/>
        <w:rPr>
          <w:lang w:val="en-CA"/>
        </w:rPr>
      </w:pPr>
      <w:r w:rsidRPr="00BA1219">
        <w:rPr>
          <w:lang w:val="en-CA"/>
        </w:rPr>
        <w:t xml:space="preserve">The Supreme Court has ruled on this issue on several occasions, beginning with </w:t>
      </w:r>
      <w:r w:rsidRPr="00BA1219">
        <w:rPr>
          <w:i/>
          <w:lang w:val="en-CA"/>
        </w:rPr>
        <w:t>Arsenault-Cameron v. Prince Edward Island</w:t>
      </w:r>
      <w:r w:rsidRPr="00BA1219">
        <w:rPr>
          <w:lang w:val="en-CA"/>
        </w:rPr>
        <w:t>:</w:t>
      </w:r>
      <w:r w:rsidRPr="00BA1219">
        <w:rPr>
          <w:rStyle w:val="Appelnotedebasdep"/>
          <w:lang w:val="en-CA"/>
        </w:rPr>
        <w:t xml:space="preserve"> </w:t>
      </w:r>
      <w:r w:rsidRPr="00BA1219">
        <w:rPr>
          <w:rStyle w:val="Appelnotedebasdep"/>
          <w:lang w:val="en-CA"/>
        </w:rPr>
        <w:footnoteReference w:id="33"/>
      </w:r>
    </w:p>
    <w:p w14:paraId="386698DC" w14:textId="004C7BD7" w:rsidR="00DF3F57" w:rsidRPr="00BA1219" w:rsidRDefault="0096102C" w:rsidP="001B362D">
      <w:pPr>
        <w:pStyle w:val="Citation"/>
        <w:rPr>
          <w:lang w:val="en-CA"/>
        </w:rPr>
      </w:pPr>
      <w:r w:rsidRPr="00BA1219">
        <w:rPr>
          <w:lang w:val="en-CA"/>
        </w:rPr>
        <w:t xml:space="preserve">27 … </w:t>
      </w:r>
      <w:r w:rsidR="00DB71EC" w:rsidRPr="00BA1219">
        <w:rPr>
          <w:lang w:val="en-CA"/>
        </w:rPr>
        <w:t>It is clearly necessary to take into account the importance of language and culture in the context of instruction as well as the importance of official language minority schools to the development of the official language community when examining the actions of the government in dealing with the request for services in Summerside.  As this Court recently explained in </w:t>
      </w:r>
      <w:proofErr w:type="spellStart"/>
      <w:r w:rsidR="00DB71EC" w:rsidRPr="00BA1219">
        <w:rPr>
          <w:i/>
          <w:iCs/>
          <w:lang w:val="en-CA"/>
        </w:rPr>
        <w:t>Beaulac</w:t>
      </w:r>
      <w:proofErr w:type="spellEnd"/>
      <w:r w:rsidR="00DB71EC" w:rsidRPr="00BA1219">
        <w:rPr>
          <w:lang w:val="en-CA"/>
        </w:rPr>
        <w:t>, at para. 25, “[l]</w:t>
      </w:r>
      <w:proofErr w:type="spellStart"/>
      <w:r w:rsidR="00DB71EC" w:rsidRPr="00BA1219">
        <w:rPr>
          <w:lang w:val="en-CA"/>
        </w:rPr>
        <w:t>anguage</w:t>
      </w:r>
      <w:proofErr w:type="spellEnd"/>
      <w:r w:rsidR="00DB71EC" w:rsidRPr="00BA1219">
        <w:rPr>
          <w:lang w:val="en-CA"/>
        </w:rPr>
        <w:t xml:space="preserve"> rights must </w:t>
      </w:r>
      <w:r w:rsidR="00DB71EC" w:rsidRPr="00BA1219">
        <w:rPr>
          <w:u w:val="single"/>
          <w:lang w:val="en-CA"/>
        </w:rPr>
        <w:t>in all cases</w:t>
      </w:r>
      <w:r w:rsidR="00DB71EC" w:rsidRPr="00BA1219">
        <w:rPr>
          <w:lang w:val="en-CA"/>
        </w:rPr>
        <w:t> be interpreted purposively, in a manner consistent with the preservation and development of official language communities in Canada” (emphasis in original).  A purposive interpretation of s. 23 rights is based on the true purpose of redressing past injustices and providing the official language minority with equal access to high quality education in its own language, in circumstances where community development will be enhanced.</w:t>
      </w:r>
    </w:p>
    <w:p w14:paraId="5302FF7F" w14:textId="505749C8" w:rsidR="00DF3F57" w:rsidRPr="00BA1219" w:rsidRDefault="0096102C" w:rsidP="001B362D">
      <w:pPr>
        <w:pStyle w:val="Citation"/>
        <w:rPr>
          <w:u w:val="single"/>
          <w:lang w:val="en-CA"/>
        </w:rPr>
      </w:pPr>
      <w:r w:rsidRPr="00BA1219">
        <w:rPr>
          <w:lang w:val="en-CA"/>
        </w:rPr>
        <w:t xml:space="preserve">29 … </w:t>
      </w:r>
      <w:r w:rsidR="00DB71EC" w:rsidRPr="00BA1219">
        <w:rPr>
          <w:lang w:val="en-CA"/>
        </w:rPr>
        <w:t xml:space="preserve">Insisting on the individual right to instruction, the Minister appeared to ignore the linguistic and cultural assimilation of the Francophone community in Summerside, </w:t>
      </w:r>
      <w:r w:rsidR="00DB71EC" w:rsidRPr="00BA1219">
        <w:rPr>
          <w:u w:val="single"/>
          <w:lang w:val="en-CA"/>
        </w:rPr>
        <w:t>thereby restricting the collective right of the parents of the school children</w:t>
      </w:r>
      <w:r w:rsidR="00DB71EC" w:rsidRPr="00BA1219">
        <w:rPr>
          <w:lang w:val="en-CA"/>
        </w:rPr>
        <w:t>. </w:t>
      </w:r>
    </w:p>
    <w:p w14:paraId="3510813B" w14:textId="17E4F17B" w:rsidR="00DF3F57" w:rsidRPr="00BA1219" w:rsidRDefault="0096102C" w:rsidP="001B362D">
      <w:pPr>
        <w:pStyle w:val="Citation"/>
        <w:rPr>
          <w:lang w:val="en-CA"/>
        </w:rPr>
      </w:pPr>
      <w:r w:rsidRPr="00BA1219">
        <w:rPr>
          <w:lang w:val="en-CA"/>
        </w:rPr>
        <w:t>45 </w:t>
      </w:r>
      <w:r w:rsidR="00DB71EC" w:rsidRPr="006B7726">
        <w:rPr>
          <w:lang w:val="en-CA"/>
        </w:rPr>
        <w:t>Where a minority language board has been established in furtherance of s. 23, it is up to the board, as it represents the minority official language community, to decide what is more appropriate from a cultural and linguistic perspective.</w:t>
      </w:r>
    </w:p>
    <w:p w14:paraId="553A82F5" w14:textId="642FBE58" w:rsidR="003B6195" w:rsidRPr="006B7726" w:rsidRDefault="00F8060B" w:rsidP="001B362D">
      <w:pPr>
        <w:pStyle w:val="Citationenretrait"/>
        <w:jc w:val="right"/>
        <w:rPr>
          <w:sz w:val="24"/>
          <w:szCs w:val="24"/>
          <w:lang w:val="en-CA"/>
        </w:rPr>
      </w:pPr>
      <w:r w:rsidRPr="006B7726">
        <w:rPr>
          <w:sz w:val="24"/>
          <w:szCs w:val="24"/>
          <w:lang w:val="en-CA"/>
        </w:rPr>
        <w:t>[Emphasis added.]</w:t>
      </w:r>
    </w:p>
    <w:p w14:paraId="40BED8A1" w14:textId="6C7AAEE8" w:rsidR="00DF3F57" w:rsidRPr="00BA1219" w:rsidRDefault="00BC6DE4" w:rsidP="001B362D">
      <w:pPr>
        <w:pStyle w:val="Paragrsimple"/>
        <w:rPr>
          <w:lang w:val="en-CA"/>
        </w:rPr>
      </w:pPr>
      <w:r>
        <w:rPr>
          <w:lang w:val="en-CA"/>
        </w:rPr>
        <w:t xml:space="preserve">It </w:t>
      </w:r>
      <w:r w:rsidR="00DB71EC" w:rsidRPr="006B7726">
        <w:rPr>
          <w:lang w:val="en-CA"/>
        </w:rPr>
        <w:t xml:space="preserve">repeated </w:t>
      </w:r>
      <w:r>
        <w:rPr>
          <w:lang w:val="en-CA"/>
        </w:rPr>
        <w:t>its</w:t>
      </w:r>
      <w:r w:rsidR="00DB71EC" w:rsidRPr="006B7726">
        <w:rPr>
          <w:lang w:val="en-CA"/>
        </w:rPr>
        <w:t xml:space="preserve"> remarks in</w:t>
      </w:r>
      <w:r w:rsidR="0096102C" w:rsidRPr="006B7726">
        <w:rPr>
          <w:lang w:val="en-CA"/>
        </w:rPr>
        <w:t xml:space="preserve"> </w:t>
      </w:r>
      <w:r w:rsidR="0096102C" w:rsidRPr="006B7726">
        <w:rPr>
          <w:i/>
          <w:iCs/>
          <w:lang w:val="en-CA"/>
        </w:rPr>
        <w:t>Doucet-Boudreau</w:t>
      </w:r>
      <w:r w:rsidR="00DB71EC" w:rsidRPr="00BA1219">
        <w:rPr>
          <w:lang w:val="en-CA"/>
        </w:rPr>
        <w:t>:</w:t>
      </w:r>
      <w:r w:rsidR="0096102C" w:rsidRPr="00BA1219">
        <w:rPr>
          <w:rStyle w:val="Appelnotedebasdep"/>
          <w:szCs w:val="24"/>
          <w:lang w:val="en-CA"/>
        </w:rPr>
        <w:footnoteReference w:id="34"/>
      </w:r>
      <w:r w:rsidR="00700583" w:rsidRPr="006B7726">
        <w:rPr>
          <w:i/>
          <w:iCs/>
          <w:lang w:val="en-CA"/>
        </w:rPr>
        <w:t> </w:t>
      </w:r>
    </w:p>
    <w:p w14:paraId="74897A57" w14:textId="4EEAED40" w:rsidR="00DF3F57" w:rsidRPr="00BA1219" w:rsidRDefault="0096102C" w:rsidP="001B362D">
      <w:pPr>
        <w:pStyle w:val="Citation"/>
        <w:rPr>
          <w:lang w:val="en-CA"/>
        </w:rPr>
      </w:pPr>
      <w:r w:rsidRPr="00BA1219">
        <w:rPr>
          <w:lang w:val="en-CA"/>
        </w:rPr>
        <w:t>28</w:t>
      </w:r>
      <w:r w:rsidRPr="00BA1219">
        <w:rPr>
          <w:lang w:val="en-CA"/>
        </w:rPr>
        <w:tab/>
      </w:r>
      <w:r w:rsidR="00DB71EC" w:rsidRPr="00BA1219">
        <w:rPr>
          <w:lang w:val="en-CA"/>
        </w:rPr>
        <w:t>While the rights are granted to individuals (</w:t>
      </w:r>
      <w:r w:rsidR="00DB71EC" w:rsidRPr="00BA1219">
        <w:rPr>
          <w:i/>
          <w:iCs/>
          <w:lang w:val="en-CA"/>
        </w:rPr>
        <w:t>Schools Reference</w:t>
      </w:r>
      <w:r w:rsidR="00DB71EC" w:rsidRPr="00BA1219">
        <w:rPr>
          <w:lang w:val="en-CA"/>
        </w:rPr>
        <w:t>, at p. 865), they apply only if the “numbers warrant”, and the specific programs or facilities that the government is required to provide varies depending on the number of students who can potentially be expected to participate (</w:t>
      </w:r>
      <w:r w:rsidR="00DB71EC" w:rsidRPr="00BA1219">
        <w:rPr>
          <w:i/>
          <w:iCs/>
          <w:lang w:val="en-CA"/>
        </w:rPr>
        <w:t>Mahe</w:t>
      </w:r>
      <w:r w:rsidR="00DB71EC" w:rsidRPr="00BA1219">
        <w:rPr>
          <w:lang w:val="en-CA"/>
        </w:rPr>
        <w:t>, </w:t>
      </w:r>
      <w:r w:rsidR="00DB71EC" w:rsidRPr="00BA1219">
        <w:rPr>
          <w:i/>
          <w:iCs/>
          <w:lang w:val="en-CA"/>
        </w:rPr>
        <w:t>supra</w:t>
      </w:r>
      <w:r w:rsidR="00DB71EC" w:rsidRPr="00BA1219">
        <w:rPr>
          <w:lang w:val="en-CA"/>
        </w:rPr>
        <w:t>, at p. 366; </w:t>
      </w:r>
      <w:r w:rsidR="00DB71EC" w:rsidRPr="00BA1219">
        <w:rPr>
          <w:i/>
          <w:iCs/>
          <w:lang w:val="en-CA"/>
        </w:rPr>
        <w:t>Schools Reference</w:t>
      </w:r>
      <w:r w:rsidR="00DB71EC" w:rsidRPr="00BA1219">
        <w:rPr>
          <w:lang w:val="en-CA"/>
        </w:rPr>
        <w:t>, </w:t>
      </w:r>
      <w:r w:rsidR="00DB71EC" w:rsidRPr="00BA1219">
        <w:rPr>
          <w:i/>
          <w:iCs/>
          <w:lang w:val="en-CA"/>
        </w:rPr>
        <w:t>supra</w:t>
      </w:r>
      <w:r w:rsidR="00DB71EC" w:rsidRPr="00BA1219">
        <w:rPr>
          <w:lang w:val="en-CA"/>
        </w:rPr>
        <w:t>, at p. 850; </w:t>
      </w:r>
      <w:r w:rsidR="00DB71EC" w:rsidRPr="00BA1219">
        <w:rPr>
          <w:i/>
          <w:iCs/>
          <w:lang w:val="en-CA"/>
        </w:rPr>
        <w:t>Arsenault-Cameron</w:t>
      </w:r>
      <w:r w:rsidR="00DB71EC" w:rsidRPr="00BA1219">
        <w:rPr>
          <w:lang w:val="en-CA"/>
        </w:rPr>
        <w:t>, </w:t>
      </w:r>
      <w:r w:rsidR="00DB71EC" w:rsidRPr="00BA1219">
        <w:rPr>
          <w:i/>
          <w:iCs/>
          <w:lang w:val="en-CA"/>
        </w:rPr>
        <w:t>supra</w:t>
      </w:r>
      <w:r w:rsidR="00DB71EC" w:rsidRPr="00BA1219">
        <w:rPr>
          <w:lang w:val="en-CA"/>
        </w:rPr>
        <w:t xml:space="preserve">, at para. 38). </w:t>
      </w:r>
      <w:r w:rsidR="00DB71EC" w:rsidRPr="00BA1219">
        <w:rPr>
          <w:u w:val="single"/>
          <w:lang w:val="en-CA"/>
        </w:rPr>
        <w:t>This requirement gives the exercise of minority language education rights a unique collective aspect even though the rights are granted to individuals.</w:t>
      </w:r>
    </w:p>
    <w:p w14:paraId="59276459" w14:textId="7E1D99C9" w:rsidR="003B6195" w:rsidRPr="006B7726" w:rsidRDefault="00F8060B" w:rsidP="001B362D">
      <w:pPr>
        <w:pStyle w:val="Citationenretrait"/>
        <w:jc w:val="right"/>
        <w:rPr>
          <w:sz w:val="24"/>
          <w:szCs w:val="24"/>
          <w:lang w:val="en-CA"/>
        </w:rPr>
      </w:pPr>
      <w:r w:rsidRPr="006B7726">
        <w:rPr>
          <w:sz w:val="24"/>
          <w:szCs w:val="24"/>
          <w:lang w:val="en-CA"/>
        </w:rPr>
        <w:t>[Emphasis added.]</w:t>
      </w:r>
    </w:p>
    <w:p w14:paraId="57419734" w14:textId="4C653C57" w:rsidR="00DF3F57" w:rsidRPr="00BA1219" w:rsidRDefault="00DB71EC" w:rsidP="001B362D">
      <w:pPr>
        <w:pStyle w:val="Paragrsimple"/>
        <w:rPr>
          <w:lang w:val="en-CA"/>
        </w:rPr>
      </w:pPr>
      <w:r w:rsidRPr="006B7726">
        <w:rPr>
          <w:lang w:val="en-CA"/>
        </w:rPr>
        <w:lastRenderedPageBreak/>
        <w:t>In</w:t>
      </w:r>
      <w:r w:rsidR="0096102C" w:rsidRPr="006B7726">
        <w:rPr>
          <w:lang w:val="en-CA"/>
        </w:rPr>
        <w:t xml:space="preserve"> </w:t>
      </w:r>
      <w:r w:rsidR="0096102C" w:rsidRPr="006B7726">
        <w:rPr>
          <w:i/>
          <w:iCs/>
          <w:lang w:val="en-CA"/>
        </w:rPr>
        <w:t>Solski</w:t>
      </w:r>
      <w:r w:rsidR="00313D33">
        <w:rPr>
          <w:lang w:val="en-CA"/>
        </w:rPr>
        <w:t>,</w:t>
      </w:r>
      <w:r w:rsidR="0096102C" w:rsidRPr="00BA1219">
        <w:rPr>
          <w:rStyle w:val="Appelnotedebasdep"/>
          <w:lang w:val="en-CA"/>
        </w:rPr>
        <w:footnoteReference w:id="35"/>
      </w:r>
      <w:r w:rsidRPr="006B7726">
        <w:rPr>
          <w:lang w:val="en-CA"/>
        </w:rPr>
        <w:t xml:space="preserve"> </w:t>
      </w:r>
      <w:r w:rsidR="00BC6DE4">
        <w:rPr>
          <w:lang w:val="en-CA"/>
        </w:rPr>
        <w:t>it</w:t>
      </w:r>
      <w:r w:rsidRPr="006B7726">
        <w:rPr>
          <w:lang w:val="en-CA"/>
        </w:rPr>
        <w:t xml:space="preserve"> wrote</w:t>
      </w:r>
      <w:r w:rsidR="0096102C" w:rsidRPr="006B7726">
        <w:rPr>
          <w:lang w:val="en-CA"/>
        </w:rPr>
        <w:t>:</w:t>
      </w:r>
    </w:p>
    <w:p w14:paraId="0A527CD0" w14:textId="45A74A2F" w:rsidR="00DF3F57" w:rsidRPr="00BA1219" w:rsidRDefault="0096102C" w:rsidP="001B362D">
      <w:pPr>
        <w:pStyle w:val="Citation"/>
        <w:rPr>
          <w:lang w:val="en-CA"/>
        </w:rPr>
      </w:pPr>
      <w:r w:rsidRPr="00BA1219">
        <w:rPr>
          <w:lang w:val="en-CA"/>
        </w:rPr>
        <w:t>4</w:t>
      </w:r>
      <w:r w:rsidRPr="00BA1219">
        <w:rPr>
          <w:lang w:val="en-CA"/>
        </w:rPr>
        <w:tab/>
      </w:r>
      <w:r w:rsidR="00DB71EC" w:rsidRPr="00BA1219">
        <w:rPr>
          <w:lang w:val="en-CA"/>
        </w:rPr>
        <w:t xml:space="preserve">These legislative schemes govern situations in which not only individual rights, but also </w:t>
      </w:r>
      <w:r w:rsidR="00DB71EC" w:rsidRPr="00BA1219">
        <w:rPr>
          <w:u w:val="single"/>
          <w:lang w:val="en-CA"/>
        </w:rPr>
        <w:t>the existence of language communities and the manner in which those communities perceive their future, are in issue</w:t>
      </w:r>
      <w:r w:rsidR="00DB71EC" w:rsidRPr="00BA1219">
        <w:rPr>
          <w:lang w:val="en-CA"/>
        </w:rPr>
        <w:t>.</w:t>
      </w:r>
    </w:p>
    <w:p w14:paraId="198ADFA7" w14:textId="73B722C2" w:rsidR="00DF3F57" w:rsidRPr="00BA1219" w:rsidRDefault="0096102C" w:rsidP="001B362D">
      <w:pPr>
        <w:pStyle w:val="Citation"/>
        <w:rPr>
          <w:lang w:val="en-CA"/>
        </w:rPr>
      </w:pPr>
      <w:bookmarkStart w:id="18" w:name="par5"/>
      <w:r w:rsidRPr="00BA1219">
        <w:rPr>
          <w:lang w:val="en-CA"/>
        </w:rPr>
        <w:t>5</w:t>
      </w:r>
      <w:bookmarkEnd w:id="18"/>
      <w:r w:rsidRPr="00BA1219">
        <w:rPr>
          <w:lang w:val="en-CA"/>
        </w:rPr>
        <w:tab/>
      </w:r>
      <w:r w:rsidR="00DB71EC" w:rsidRPr="00BA1219">
        <w:rPr>
          <w:lang w:val="en-CA"/>
        </w:rPr>
        <w:t xml:space="preserve">Owing to the existence of these two levels of social and legal relationships, the establishment of rules to govern language rights is a sensitive issue.  First, the members of the minority communities and their families, in every province and territory, must be given the opportunity to achieve their personal aspirations.  Second, </w:t>
      </w:r>
      <w:r w:rsidR="00DB71EC" w:rsidRPr="00BA1219">
        <w:rPr>
          <w:u w:val="single"/>
          <w:lang w:val="en-CA"/>
        </w:rPr>
        <w:t>on the collective level, these language issues are related to the development and existence of the English-speaking minority in Quebec</w:t>
      </w:r>
      <w:r w:rsidR="00DB71EC" w:rsidRPr="00BA1219">
        <w:rPr>
          <w:lang w:val="en-CA"/>
        </w:rPr>
        <w:t xml:space="preserve"> and the French-speaking minorities elsewhere in Canada. …</w:t>
      </w:r>
    </w:p>
    <w:p w14:paraId="7FB2C3F5" w14:textId="0B24BCC4" w:rsidR="00DF3F57" w:rsidRPr="00BA1219" w:rsidRDefault="0096102C" w:rsidP="001B362D">
      <w:pPr>
        <w:pStyle w:val="Citation"/>
        <w:rPr>
          <w:lang w:val="en-CA"/>
        </w:rPr>
      </w:pPr>
      <w:bookmarkStart w:id="19" w:name="par20"/>
      <w:r w:rsidRPr="00BA1219">
        <w:rPr>
          <w:lang w:val="en-CA"/>
        </w:rPr>
        <w:t>20</w:t>
      </w:r>
      <w:bookmarkEnd w:id="19"/>
      <w:r w:rsidRPr="00BA1219">
        <w:rPr>
          <w:lang w:val="en-CA"/>
        </w:rPr>
        <w:tab/>
      </w:r>
      <w:r w:rsidR="00DB71EC" w:rsidRPr="00BA1219">
        <w:rPr>
          <w:lang w:val="en-CA"/>
        </w:rPr>
        <w:t xml:space="preserve"> Section 23 provides a comprehensive code of minority language education rights which afford special status to minority English- or French-language </w:t>
      </w:r>
      <w:r w:rsidR="00DB71EC" w:rsidRPr="00BA1219">
        <w:rPr>
          <w:u w:val="single"/>
          <w:lang w:val="en-CA"/>
        </w:rPr>
        <w:t>communities</w:t>
      </w:r>
      <w:r w:rsidR="00DB71EC" w:rsidRPr="00BA1219">
        <w:rPr>
          <w:lang w:val="en-CA"/>
        </w:rPr>
        <w:t>. </w:t>
      </w:r>
    </w:p>
    <w:p w14:paraId="08149A59" w14:textId="2A35C56A" w:rsidR="00DF3F57" w:rsidRPr="00BA1219" w:rsidRDefault="0096102C" w:rsidP="001B362D">
      <w:pPr>
        <w:pStyle w:val="Citation"/>
        <w:rPr>
          <w:lang w:val="en-CA"/>
        </w:rPr>
      </w:pPr>
      <w:r w:rsidRPr="00BA1219">
        <w:rPr>
          <w:lang w:val="en-CA"/>
        </w:rPr>
        <w:t>22</w:t>
      </w:r>
      <w:r w:rsidRPr="00BA1219">
        <w:rPr>
          <w:lang w:val="en-CA"/>
        </w:rPr>
        <w:tab/>
      </w:r>
      <w:r w:rsidR="00DB71EC" w:rsidRPr="006B7726">
        <w:rPr>
          <w:u w:val="single"/>
          <w:lang w:val="en-CA"/>
        </w:rPr>
        <w:t xml:space="preserve">For the Attorney General of Quebec, s. 23 is a provision for the implementation of community rights; </w:t>
      </w:r>
      <w:r w:rsidR="00DB71EC" w:rsidRPr="006B7726">
        <w:rPr>
          <w:lang w:val="en-CA"/>
        </w:rPr>
        <w:t>for the appellant, it is about individual rights that can be exercised by qualified persons throughout Canada.</w:t>
      </w:r>
    </w:p>
    <w:p w14:paraId="1972040D" w14:textId="1D4D0B96" w:rsidR="00DF3F57" w:rsidRPr="00BA1219" w:rsidRDefault="0096102C" w:rsidP="001B362D">
      <w:pPr>
        <w:pStyle w:val="Citation"/>
        <w:rPr>
          <w:lang w:val="en-CA"/>
        </w:rPr>
      </w:pPr>
      <w:bookmarkStart w:id="20" w:name="par23"/>
      <w:r w:rsidRPr="00BA1219">
        <w:rPr>
          <w:lang w:val="en-CA"/>
        </w:rPr>
        <w:t>23</w:t>
      </w:r>
      <w:bookmarkEnd w:id="20"/>
      <w:r w:rsidRPr="00BA1219">
        <w:rPr>
          <w:lang w:val="en-CA"/>
        </w:rPr>
        <w:tab/>
      </w:r>
      <w:r w:rsidR="00DB71EC" w:rsidRPr="00BA1219">
        <w:rPr>
          <w:lang w:val="en-CA"/>
        </w:rPr>
        <w:t>As is often the case, these two approaches are not entirely devoid of merit</w:t>
      </w:r>
    </w:p>
    <w:p w14:paraId="461237A5" w14:textId="6CDABBD8" w:rsidR="00DF3F57" w:rsidRPr="00BA1219" w:rsidRDefault="0096102C" w:rsidP="001B362D">
      <w:pPr>
        <w:pStyle w:val="Citation"/>
        <w:rPr>
          <w:lang w:val="en-CA"/>
        </w:rPr>
      </w:pPr>
      <w:bookmarkStart w:id="21" w:name="par33"/>
      <w:r w:rsidRPr="00BA1219">
        <w:rPr>
          <w:lang w:val="en-CA"/>
        </w:rPr>
        <w:t>33</w:t>
      </w:r>
      <w:bookmarkEnd w:id="21"/>
      <w:r w:rsidRPr="00BA1219">
        <w:rPr>
          <w:lang w:val="en-CA"/>
        </w:rPr>
        <w:tab/>
      </w:r>
      <w:r w:rsidR="00DB71EC" w:rsidRPr="00BA1219">
        <w:rPr>
          <w:lang w:val="en-CA"/>
        </w:rPr>
        <w:t xml:space="preserve">Provincial legislation that establishes criteria regarding the educational experience of the child is helpful. These criteria must, however, accord with the purpose of s. 23. This purpose indicates that s. 23 </w:t>
      </w:r>
      <w:r w:rsidR="00DB71EC" w:rsidRPr="00BA1219">
        <w:rPr>
          <w:u w:val="single"/>
          <w:lang w:val="en-CA"/>
        </w:rPr>
        <w:t>is both a social and collective right</w:t>
      </w:r>
      <w:r w:rsidR="00DB71EC" w:rsidRPr="00BA1219">
        <w:rPr>
          <w:lang w:val="en-CA"/>
        </w:rPr>
        <w:t>, and an individual and civil right.</w:t>
      </w:r>
    </w:p>
    <w:p w14:paraId="43ED9560" w14:textId="3BD89D33" w:rsidR="003B6195" w:rsidRPr="006B7726" w:rsidRDefault="00C32D80" w:rsidP="001B362D">
      <w:pPr>
        <w:pStyle w:val="Citationenretrait"/>
        <w:jc w:val="right"/>
        <w:rPr>
          <w:szCs w:val="22"/>
          <w:lang w:val="en-CA"/>
        </w:rPr>
      </w:pPr>
      <w:r w:rsidRPr="006B7726">
        <w:rPr>
          <w:szCs w:val="22"/>
          <w:lang w:val="en-CA"/>
        </w:rPr>
        <w:t xml:space="preserve">   </w:t>
      </w:r>
      <w:r w:rsidR="00F8060B" w:rsidRPr="006B7726">
        <w:rPr>
          <w:szCs w:val="22"/>
          <w:lang w:val="en-CA"/>
        </w:rPr>
        <w:t>[Emphasis added.]</w:t>
      </w:r>
    </w:p>
    <w:p w14:paraId="0C8854F3" w14:textId="77777777" w:rsidR="003F24E3" w:rsidRPr="00BA1219" w:rsidRDefault="003F24E3" w:rsidP="001B362D">
      <w:pPr>
        <w:pStyle w:val="Citationenretrait"/>
        <w:jc w:val="right"/>
        <w:rPr>
          <w:sz w:val="24"/>
          <w:szCs w:val="24"/>
          <w:lang w:val="en-CA"/>
        </w:rPr>
      </w:pPr>
    </w:p>
    <w:p w14:paraId="652FB648" w14:textId="1AC82F71" w:rsidR="00DF3F57" w:rsidRPr="00BA1219" w:rsidRDefault="00DB71EC" w:rsidP="003F24E3">
      <w:pPr>
        <w:pStyle w:val="Paragrsimple"/>
        <w:rPr>
          <w:lang w:val="en-CA"/>
        </w:rPr>
      </w:pPr>
      <w:r w:rsidRPr="00BA1219">
        <w:rPr>
          <w:lang w:val="en-CA"/>
        </w:rPr>
        <w:t>A</w:t>
      </w:r>
      <w:r w:rsidR="00666845">
        <w:rPr>
          <w:lang w:val="en-CA"/>
        </w:rPr>
        <w:t>nd a</w:t>
      </w:r>
      <w:r w:rsidRPr="00BA1219">
        <w:rPr>
          <w:lang w:val="en-CA"/>
        </w:rPr>
        <w:t>gain</w:t>
      </w:r>
      <w:r w:rsidR="00666845">
        <w:rPr>
          <w:lang w:val="en-CA"/>
        </w:rPr>
        <w:t>,</w:t>
      </w:r>
      <w:r w:rsidRPr="00BA1219">
        <w:rPr>
          <w:lang w:val="en-CA"/>
        </w:rPr>
        <w:t xml:space="preserve"> in</w:t>
      </w:r>
      <w:r w:rsidR="003B6195" w:rsidRPr="00BA1219">
        <w:rPr>
          <w:lang w:val="en-CA"/>
        </w:rPr>
        <w:t xml:space="preserve"> </w:t>
      </w:r>
      <w:r w:rsidR="0096102C" w:rsidRPr="00BA1219">
        <w:rPr>
          <w:i/>
          <w:iCs/>
          <w:lang w:val="en-CA"/>
        </w:rPr>
        <w:t>Rose-des-vents</w:t>
      </w:r>
      <w:r w:rsidRPr="00BA1219">
        <w:rPr>
          <w:lang w:val="en-CA"/>
        </w:rPr>
        <w:t>:</w:t>
      </w:r>
      <w:r w:rsidR="0096102C" w:rsidRPr="00BA1219">
        <w:rPr>
          <w:rStyle w:val="Appelnotedebasdep"/>
          <w:lang w:val="en-CA"/>
        </w:rPr>
        <w:footnoteReference w:id="36"/>
      </w:r>
      <w:r w:rsidR="002B0CA1" w:rsidRPr="00BA1219">
        <w:rPr>
          <w:i/>
          <w:iCs/>
          <w:lang w:val="en-CA"/>
        </w:rPr>
        <w:t> </w:t>
      </w:r>
    </w:p>
    <w:p w14:paraId="7270D759" w14:textId="3E56135F" w:rsidR="00DF3F57" w:rsidRPr="00BA1219" w:rsidRDefault="0096102C" w:rsidP="003F24E3">
      <w:pPr>
        <w:pStyle w:val="Citation"/>
        <w:rPr>
          <w:lang w:val="en-CA"/>
        </w:rPr>
      </w:pPr>
      <w:r w:rsidRPr="00BA1219">
        <w:rPr>
          <w:lang w:val="en-CA"/>
        </w:rPr>
        <w:t>[</w:t>
      </w:r>
      <w:bookmarkStart w:id="22" w:name="par36"/>
      <w:r w:rsidRPr="00BA1219">
        <w:rPr>
          <w:lang w:val="en-CA"/>
        </w:rPr>
        <w:t>36</w:t>
      </w:r>
      <w:bookmarkEnd w:id="22"/>
      <w:r w:rsidRPr="00BA1219">
        <w:rPr>
          <w:lang w:val="en-CA"/>
        </w:rPr>
        <w:t>]</w:t>
      </w:r>
      <w:r w:rsidRPr="00BA1219">
        <w:rPr>
          <w:lang w:val="en-CA"/>
        </w:rPr>
        <w:tab/>
      </w:r>
      <w:r w:rsidR="00DB71EC" w:rsidRPr="00BA1219">
        <w:rPr>
          <w:lang w:val="en-CA"/>
        </w:rPr>
        <w:t>As this Court has noted, both the statutory language and the purpose of s. 23 in preventing the erosion of official language minority groups require considering “wherever in the province” numbers will warrant the application of s. 23 rights (</w:t>
      </w:r>
      <w:r w:rsidR="00DB71EC" w:rsidRPr="00BA1219">
        <w:rPr>
          <w:i/>
          <w:iCs/>
          <w:lang w:val="en-CA"/>
        </w:rPr>
        <w:t>Mahe</w:t>
      </w:r>
      <w:r w:rsidR="00DB71EC" w:rsidRPr="00BA1219">
        <w:rPr>
          <w:lang w:val="en-CA"/>
        </w:rPr>
        <w:t>, at p. 386; </w:t>
      </w:r>
      <w:r w:rsidR="00DB71EC" w:rsidRPr="00BA1219">
        <w:rPr>
          <w:i/>
          <w:iCs/>
          <w:lang w:val="en-CA"/>
        </w:rPr>
        <w:t>Arsenault-Cameron</w:t>
      </w:r>
      <w:r w:rsidR="00DB71EC" w:rsidRPr="00BA1219">
        <w:rPr>
          <w:lang w:val="en-CA"/>
        </w:rPr>
        <w:t>,</w:t>
      </w:r>
      <w:r w:rsidR="00DB71EC" w:rsidRPr="00BA1219">
        <w:rPr>
          <w:i/>
          <w:iCs/>
          <w:lang w:val="en-CA"/>
        </w:rPr>
        <w:t> </w:t>
      </w:r>
      <w:r w:rsidR="00DB71EC" w:rsidRPr="00BA1219">
        <w:rPr>
          <w:lang w:val="en-CA"/>
        </w:rPr>
        <w:t xml:space="preserve">at paras. 56-57).  For that reason, it is necessary to think locally, as </w:t>
      </w:r>
      <w:r w:rsidR="00DB71EC" w:rsidRPr="00BA1219">
        <w:rPr>
          <w:u w:val="single"/>
          <w:lang w:val="en-CA"/>
        </w:rPr>
        <w:t>the linguistic</w:t>
      </w:r>
      <w:r w:rsidR="00DB71EC" w:rsidRPr="00BA1219">
        <w:rPr>
          <w:lang w:val="en-CA"/>
        </w:rPr>
        <w:t xml:space="preserve"> and cultural </w:t>
      </w:r>
      <w:r w:rsidR="00DB71EC" w:rsidRPr="00BA1219">
        <w:rPr>
          <w:u w:val="single"/>
          <w:lang w:val="en-CA"/>
        </w:rPr>
        <w:t>benefits</w:t>
      </w:r>
      <w:r w:rsidR="00DB71EC" w:rsidRPr="00BA1219">
        <w:rPr>
          <w:lang w:val="en-CA"/>
        </w:rPr>
        <w:t xml:space="preserve"> of minority language education </w:t>
      </w:r>
      <w:r w:rsidR="00DB71EC" w:rsidRPr="00BA1219">
        <w:rPr>
          <w:u w:val="single"/>
          <w:lang w:val="en-CA"/>
        </w:rPr>
        <w:t>accrue to the local community</w:t>
      </w:r>
      <w:r w:rsidR="00DB71EC" w:rsidRPr="00BA1219">
        <w:rPr>
          <w:lang w:val="en-CA"/>
        </w:rPr>
        <w:t>.</w:t>
      </w:r>
    </w:p>
    <w:p w14:paraId="6E026073" w14:textId="37E36810" w:rsidR="003B6195" w:rsidRPr="00666845" w:rsidRDefault="00F8060B" w:rsidP="00D75481">
      <w:pPr>
        <w:pStyle w:val="Citationenretrait"/>
        <w:jc w:val="right"/>
        <w:rPr>
          <w:szCs w:val="22"/>
          <w:lang w:val="en-CA"/>
        </w:rPr>
      </w:pPr>
      <w:r w:rsidRPr="00666845">
        <w:rPr>
          <w:szCs w:val="22"/>
          <w:lang w:val="en-CA"/>
        </w:rPr>
        <w:lastRenderedPageBreak/>
        <w:t>[Emphasis added.]</w:t>
      </w:r>
    </w:p>
    <w:p w14:paraId="6C3B0400" w14:textId="68BEFA57" w:rsidR="00DF3F57" w:rsidRPr="00BA1219" w:rsidRDefault="00DB71EC" w:rsidP="003F24E3">
      <w:pPr>
        <w:pStyle w:val="Paragrsimple"/>
        <w:rPr>
          <w:lang w:val="en-CA"/>
        </w:rPr>
      </w:pPr>
      <w:r w:rsidRPr="00666845">
        <w:rPr>
          <w:lang w:val="en-CA"/>
        </w:rPr>
        <w:t>Recently, in</w:t>
      </w:r>
      <w:r w:rsidR="0096102C" w:rsidRPr="00666845">
        <w:t xml:space="preserve"> </w:t>
      </w:r>
      <w:r w:rsidR="0096102C" w:rsidRPr="00666845">
        <w:rPr>
          <w:i/>
          <w:iCs/>
        </w:rPr>
        <w:t>Conseil scolaire francophone de Colombie-Britannique</w:t>
      </w:r>
      <w:r w:rsidRPr="00666845">
        <w:t>,</w:t>
      </w:r>
      <w:r w:rsidR="0096102C" w:rsidRPr="00666845">
        <w:rPr>
          <w:rStyle w:val="Appelnotedebasdep"/>
        </w:rPr>
        <w:footnoteReference w:id="37"/>
      </w:r>
      <w:r w:rsidR="00F42A4E">
        <w:rPr>
          <w:lang w:val="en-CA"/>
        </w:rPr>
        <w:t xml:space="preserve"> </w:t>
      </w:r>
      <w:r w:rsidRPr="00BA1219">
        <w:rPr>
          <w:lang w:val="en-CA"/>
        </w:rPr>
        <w:t>the Supreme Court recalled these principles</w:t>
      </w:r>
      <w:r w:rsidR="0096102C" w:rsidRPr="00BA1219">
        <w:rPr>
          <w:lang w:val="en-CA"/>
        </w:rPr>
        <w:t>:</w:t>
      </w:r>
    </w:p>
    <w:p w14:paraId="2F156751" w14:textId="452BB22D" w:rsidR="00D27FF3" w:rsidRPr="00BA1219" w:rsidRDefault="0096102C" w:rsidP="003F24E3">
      <w:pPr>
        <w:pStyle w:val="Citation"/>
        <w:rPr>
          <w:lang w:val="en-CA"/>
        </w:rPr>
      </w:pPr>
      <w:r w:rsidRPr="00BA1219">
        <w:rPr>
          <w:lang w:val="en-CA"/>
        </w:rPr>
        <w:t>[13]</w:t>
      </w:r>
      <w:r w:rsidRPr="00BA1219">
        <w:rPr>
          <w:lang w:val="en-CA"/>
        </w:rPr>
        <w:tab/>
      </w:r>
      <w:r w:rsidR="0059672D" w:rsidRPr="006B7726">
        <w:rPr>
          <w:lang w:val="en-CA"/>
        </w:rPr>
        <w:t xml:space="preserve"> However, the importance of s. 23 is not based solely on its role in the formation of Canada’s identity as a country. The section is also important because of the role it plays in the identity of Canadians as individuals and </w:t>
      </w:r>
      <w:r w:rsidR="0059672D" w:rsidRPr="006B7726">
        <w:rPr>
          <w:u w:val="single"/>
          <w:lang w:val="en-CA"/>
        </w:rPr>
        <w:t>as members of linguistic communities</w:t>
      </w:r>
      <w:r w:rsidR="0059672D" w:rsidRPr="006B7726">
        <w:rPr>
          <w:lang w:val="en-CA"/>
        </w:rPr>
        <w:t>. Section 23 is intended to preserve culture and language, two core elements of the notions of identity and well</w:t>
      </w:r>
      <w:r w:rsidR="0059672D" w:rsidRPr="006B7726">
        <w:rPr>
          <w:rFonts w:ascii="Cambria Math" w:hAnsi="Cambria Math" w:cs="Cambria Math"/>
          <w:lang w:val="en-CA"/>
        </w:rPr>
        <w:t>‑</w:t>
      </w:r>
      <w:r w:rsidR="0059672D" w:rsidRPr="006B7726">
        <w:rPr>
          <w:lang w:val="en-CA"/>
        </w:rPr>
        <w:t xml:space="preserve">being of individuals and </w:t>
      </w:r>
      <w:r w:rsidR="0059672D" w:rsidRPr="006B7726">
        <w:rPr>
          <w:u w:val="single"/>
          <w:lang w:val="en-CA"/>
        </w:rPr>
        <w:t>communities</w:t>
      </w:r>
      <w:r w:rsidR="00DB71EC" w:rsidRPr="006B7726">
        <w:rPr>
          <w:lang w:val="en-CA"/>
        </w:rPr>
        <w:t>.</w:t>
      </w:r>
      <w:r w:rsidR="0059672D" w:rsidRPr="006B7726">
        <w:rPr>
          <w:u w:val="single"/>
          <w:lang w:val="en-CA"/>
        </w:rPr>
        <w:t xml:space="preserve"> </w:t>
      </w:r>
    </w:p>
    <w:p w14:paraId="632956E1" w14:textId="190DA194" w:rsidR="00D27FF3" w:rsidRPr="00BA1219" w:rsidRDefault="0096102C" w:rsidP="003F24E3">
      <w:pPr>
        <w:pStyle w:val="Citation"/>
        <w:rPr>
          <w:lang w:val="en-CA"/>
        </w:rPr>
      </w:pPr>
      <w:r w:rsidRPr="00BA1219">
        <w:rPr>
          <w:lang w:val="en-CA"/>
        </w:rPr>
        <w:t>[17]</w:t>
      </w:r>
      <w:r w:rsidRPr="00BA1219">
        <w:rPr>
          <w:lang w:val="en-CA"/>
        </w:rPr>
        <w:tab/>
      </w:r>
      <w:r w:rsidR="00DB71EC" w:rsidRPr="006B7726">
        <w:rPr>
          <w:lang w:val="en-CA"/>
        </w:rPr>
        <w:t xml:space="preserve">I would also point out that, unlike some other rights provisions, </w:t>
      </w:r>
      <w:r w:rsidR="00DB71EC" w:rsidRPr="006B7726">
        <w:rPr>
          <w:u w:val="single"/>
          <w:lang w:val="en-CA"/>
        </w:rPr>
        <w:t>s. 23 recognizes rights that are assessed not only in individual terms, but also on a collective level</w:t>
      </w:r>
      <w:r w:rsidR="00DB71EC" w:rsidRPr="006B7726">
        <w:rPr>
          <w:lang w:val="en-CA"/>
        </w:rPr>
        <w:t xml:space="preserve">. The rights conferred by s. 23 are individual rights, but </w:t>
      </w:r>
      <w:r w:rsidR="00DB71EC" w:rsidRPr="006B7726">
        <w:rPr>
          <w:u w:val="single"/>
          <w:lang w:val="en-CA"/>
        </w:rPr>
        <w:t>they have a collective scope</w:t>
      </w:r>
      <w:r w:rsidR="00DB71EC" w:rsidRPr="006B7726">
        <w:rPr>
          <w:lang w:val="en-CA"/>
        </w:rPr>
        <w:t>. As this Court stated in </w:t>
      </w:r>
      <w:r w:rsidR="00DB71EC" w:rsidRPr="006B7726">
        <w:rPr>
          <w:i/>
          <w:iCs/>
          <w:lang w:val="en-CA"/>
        </w:rPr>
        <w:t>Solski</w:t>
      </w:r>
      <w:r w:rsidR="00DB71EC" w:rsidRPr="006B7726">
        <w:rPr>
          <w:lang w:val="en-CA"/>
        </w:rPr>
        <w:t>, this means that the courts must, in interpreting s. 23, consider each language group’s social context, demographics and history. The courts thus have the delicate task of reconciling the sometimes divergent concerns of French</w:t>
      </w:r>
      <w:r w:rsidR="00DB71EC" w:rsidRPr="006B7726">
        <w:rPr>
          <w:lang w:val="en-CA"/>
        </w:rPr>
        <w:noBreakHyphen/>
        <w:t>speaking minority groups outside Quebec, whose language rights have been acquired at considerable expense, with the particular reality of Quebec’s English</w:t>
      </w:r>
      <w:r w:rsidR="00DB71EC" w:rsidRPr="006B7726">
        <w:rPr>
          <w:lang w:val="en-CA"/>
        </w:rPr>
        <w:noBreakHyphen/>
        <w:t>speaking minority and with how French</w:t>
      </w:r>
      <w:r w:rsidR="00DB71EC" w:rsidRPr="006B7726">
        <w:rPr>
          <w:lang w:val="en-CA"/>
        </w:rPr>
        <w:noBreakHyphen/>
        <w:t>speaking Quebecers, who are in the majority in that province but whose language is in the minority in the country as a whole, perceive their future in Canada</w:t>
      </w:r>
    </w:p>
    <w:p w14:paraId="43F6E861" w14:textId="2747897B" w:rsidR="00D27FF3" w:rsidRPr="00BA1219" w:rsidRDefault="0096102C" w:rsidP="003F24E3">
      <w:pPr>
        <w:pStyle w:val="Citation"/>
        <w:rPr>
          <w:lang w:val="en-CA"/>
        </w:rPr>
      </w:pPr>
      <w:r w:rsidRPr="00BA1219">
        <w:rPr>
          <w:lang w:val="en-CA"/>
        </w:rPr>
        <w:t>[</w:t>
      </w:r>
      <w:bookmarkStart w:id="23" w:name="par158"/>
      <w:r w:rsidRPr="00BA1219">
        <w:rPr>
          <w:lang w:val="en-CA"/>
        </w:rPr>
        <w:t>158</w:t>
      </w:r>
      <w:bookmarkEnd w:id="23"/>
      <w:r w:rsidR="009B4FE5" w:rsidRPr="00BA1219">
        <w:rPr>
          <w:lang w:val="en-CA"/>
        </w:rPr>
        <w:t>]</w:t>
      </w:r>
      <w:r w:rsidR="009B4FE5" w:rsidRPr="00BA1219">
        <w:rPr>
          <w:lang w:val="en-CA"/>
        </w:rPr>
        <w:tab/>
      </w:r>
      <w:r w:rsidR="00DB71EC" w:rsidRPr="006B7726">
        <w:rPr>
          <w:lang w:val="en-CA"/>
        </w:rPr>
        <w:t> I would add that, in analyzing the justification for an infringement of the right guaranteed by </w:t>
      </w:r>
      <w:r w:rsidR="00DB71EC" w:rsidRPr="0009517E">
        <w:rPr>
          <w:lang w:val="en-CA"/>
        </w:rPr>
        <w:t>s. 23</w:t>
      </w:r>
      <w:r w:rsidR="00DB71EC" w:rsidRPr="006B7726">
        <w:rPr>
          <w:lang w:val="en-CA"/>
        </w:rPr>
        <w:t> of the </w:t>
      </w:r>
      <w:r w:rsidR="00DB71EC" w:rsidRPr="0009517E">
        <w:rPr>
          <w:i/>
          <w:iCs/>
          <w:lang w:val="en-CA"/>
        </w:rPr>
        <w:t>Charter</w:t>
      </w:r>
      <w:r w:rsidR="00DB71EC" w:rsidRPr="006B7726">
        <w:rPr>
          <w:lang w:val="en-CA"/>
        </w:rPr>
        <w:t xml:space="preserve">, </w:t>
      </w:r>
      <w:r w:rsidR="00DB71EC" w:rsidRPr="006B7726">
        <w:rPr>
          <w:u w:val="single"/>
          <w:lang w:val="en-CA"/>
        </w:rPr>
        <w:t>a court must bear in mind that while it is true that s. 23 has a collective dimension</w:t>
      </w:r>
      <w:r w:rsidR="00DB71EC" w:rsidRPr="006B7726">
        <w:rPr>
          <w:lang w:val="en-CA"/>
        </w:rPr>
        <w:t>, it also has an individual dimension, because the holders of the right in question are, first and foremost, individuals.</w:t>
      </w:r>
    </w:p>
    <w:p w14:paraId="723DA7A1" w14:textId="0D02EA03" w:rsidR="003B6195" w:rsidRPr="006B7726" w:rsidRDefault="00F8060B" w:rsidP="003F24E3">
      <w:pPr>
        <w:pStyle w:val="Citationenretrait"/>
        <w:jc w:val="right"/>
        <w:rPr>
          <w:szCs w:val="22"/>
          <w:lang w:val="en-CA"/>
        </w:rPr>
      </w:pPr>
      <w:r w:rsidRPr="006B7726">
        <w:rPr>
          <w:szCs w:val="22"/>
          <w:lang w:val="en-CA"/>
        </w:rPr>
        <w:t>[Emphasis added.]</w:t>
      </w:r>
    </w:p>
    <w:p w14:paraId="4254B5E3" w14:textId="3E8A0F39" w:rsidR="00DF3F57" w:rsidRPr="00BA1219" w:rsidRDefault="00DB71EC" w:rsidP="009B4FE5">
      <w:pPr>
        <w:pStyle w:val="Paragrsimple"/>
        <w:rPr>
          <w:lang w:val="en-CA"/>
        </w:rPr>
      </w:pPr>
      <w:r w:rsidRPr="00BA1219">
        <w:rPr>
          <w:lang w:val="en-CA"/>
        </w:rPr>
        <w:t xml:space="preserve">The </w:t>
      </w:r>
      <w:r w:rsidR="0096102C" w:rsidRPr="00BA1219">
        <w:rPr>
          <w:lang w:val="en-CA"/>
        </w:rPr>
        <w:t>Cour</w:t>
      </w:r>
      <w:r w:rsidR="008A53AA">
        <w:rPr>
          <w:lang w:val="en-CA"/>
        </w:rPr>
        <w:t>t</w:t>
      </w:r>
      <w:r w:rsidR="0096102C" w:rsidRPr="00BA1219">
        <w:rPr>
          <w:lang w:val="en-CA"/>
        </w:rPr>
        <w:t xml:space="preserve"> </w:t>
      </w:r>
      <w:r w:rsidRPr="00BA1219">
        <w:rPr>
          <w:lang w:val="en-CA"/>
        </w:rPr>
        <w:t>of Appeal of</w:t>
      </w:r>
      <w:r w:rsidR="0096102C" w:rsidRPr="00BA1219">
        <w:rPr>
          <w:lang w:val="en-CA"/>
        </w:rPr>
        <w:t xml:space="preserve"> Qu</w:t>
      </w:r>
      <w:r w:rsidRPr="00BA1219">
        <w:rPr>
          <w:lang w:val="en-CA"/>
        </w:rPr>
        <w:t>e</w:t>
      </w:r>
      <w:r w:rsidR="0096102C" w:rsidRPr="00BA1219">
        <w:rPr>
          <w:lang w:val="en-CA"/>
        </w:rPr>
        <w:t xml:space="preserve">bec </w:t>
      </w:r>
      <w:r w:rsidRPr="00BA1219">
        <w:rPr>
          <w:lang w:val="en-CA"/>
        </w:rPr>
        <w:t>also</w:t>
      </w:r>
      <w:r w:rsidR="007639CE">
        <w:rPr>
          <w:lang w:val="en-CA"/>
        </w:rPr>
        <w:t xml:space="preserve"> emphasized</w:t>
      </w:r>
      <w:r w:rsidRPr="00BA1219">
        <w:rPr>
          <w:lang w:val="en-CA"/>
        </w:rPr>
        <w:t xml:space="preserve"> the collective aspect of the rights thus protected. In </w:t>
      </w:r>
      <w:r w:rsidRPr="00BA1219">
        <w:rPr>
          <w:i/>
          <w:iCs/>
          <w:lang w:val="en-CA"/>
        </w:rPr>
        <w:t>H</w:t>
      </w:r>
      <w:r w:rsidR="0096102C" w:rsidRPr="006B7726">
        <w:rPr>
          <w:i/>
          <w:iCs/>
          <w:lang w:val="en-CA"/>
        </w:rPr>
        <w:t>.N</w:t>
      </w:r>
      <w:r w:rsidR="0096102C" w:rsidRPr="006B7726">
        <w:rPr>
          <w:lang w:val="en-CA"/>
        </w:rPr>
        <w:t xml:space="preserve">., </w:t>
      </w:r>
      <w:r w:rsidR="00666845">
        <w:rPr>
          <w:lang w:val="en-CA"/>
        </w:rPr>
        <w:t xml:space="preserve">the Honourable </w:t>
      </w:r>
      <w:r w:rsidR="0096102C" w:rsidRPr="006B7726">
        <w:rPr>
          <w:lang w:val="en-CA"/>
        </w:rPr>
        <w:t xml:space="preserve">Pierre J. Dalphond </w:t>
      </w:r>
      <w:r w:rsidRPr="006B7726">
        <w:rPr>
          <w:lang w:val="en-CA"/>
        </w:rPr>
        <w:t>J.</w:t>
      </w:r>
      <w:r w:rsidR="0009517E">
        <w:rPr>
          <w:lang w:val="en-CA"/>
        </w:rPr>
        <w:t xml:space="preserve">A. </w:t>
      </w:r>
      <w:r w:rsidRPr="006B7726">
        <w:rPr>
          <w:lang w:val="en-CA"/>
        </w:rPr>
        <w:t>wrote</w:t>
      </w:r>
      <w:r w:rsidRPr="00BA1219">
        <w:rPr>
          <w:lang w:val="en-CA"/>
        </w:rPr>
        <w:t>:</w:t>
      </w:r>
      <w:r w:rsidR="0096102C" w:rsidRPr="00BA1219">
        <w:rPr>
          <w:rStyle w:val="Appelnotedebasdep"/>
          <w:rFonts w:cs="Arial"/>
          <w:szCs w:val="24"/>
          <w:lang w:val="en-CA"/>
        </w:rPr>
        <w:footnoteReference w:id="38"/>
      </w:r>
      <w:r w:rsidR="0096102C" w:rsidRPr="006B7726">
        <w:rPr>
          <w:lang w:val="en-CA"/>
        </w:rPr>
        <w:t> </w:t>
      </w:r>
    </w:p>
    <w:p w14:paraId="46D29C9B" w14:textId="77777777" w:rsidR="00DF3F57" w:rsidRPr="00BA1219" w:rsidRDefault="0096102C" w:rsidP="009B4FE5">
      <w:pPr>
        <w:pStyle w:val="Citation"/>
        <w:rPr>
          <w:lang w:val="en-CA"/>
        </w:rPr>
      </w:pPr>
      <w:r w:rsidRPr="00BA1219">
        <w:rPr>
          <w:lang w:val="en-CA"/>
        </w:rPr>
        <w:t>[</w:t>
      </w:r>
      <w:bookmarkStart w:id="24" w:name="par189"/>
      <w:r w:rsidRPr="00BA1219">
        <w:rPr>
          <w:lang w:val="en-CA"/>
        </w:rPr>
        <w:t>189</w:t>
      </w:r>
      <w:bookmarkEnd w:id="24"/>
      <w:r w:rsidRPr="00BA1219">
        <w:rPr>
          <w:lang w:val="en-CA"/>
        </w:rPr>
        <w:t>]</w:t>
      </w:r>
      <w:r w:rsidRPr="00BA1219">
        <w:rPr>
          <w:lang w:val="en-CA"/>
        </w:rPr>
        <w:tab/>
        <w:t xml:space="preserve">With this context in mind, I will now analyze section 23 in depth. A full reading of the section reveals two aspects: one, individual (the rights of parents, sections 23(1) and 23(2)), and the other, collective (the right to have and manage separate institutions, section 23(3)). </w:t>
      </w:r>
      <w:r w:rsidRPr="00BA1219">
        <w:rPr>
          <w:u w:val="single"/>
          <w:lang w:val="en-CA"/>
        </w:rPr>
        <w:t>The collective aspect underpins section 23</w:t>
      </w:r>
      <w:r w:rsidRPr="00BA1219">
        <w:rPr>
          <w:lang w:val="en-CA"/>
        </w:rPr>
        <w:t>, whose aim is to preserve and promote the existence of minority groups in all parts of the country.</w:t>
      </w:r>
    </w:p>
    <w:p w14:paraId="18CEC9AB" w14:textId="57372D3C" w:rsidR="00DF3F57" w:rsidRPr="006B7726" w:rsidRDefault="00F8060B" w:rsidP="003F24E3">
      <w:pPr>
        <w:pStyle w:val="Citationenretrait"/>
        <w:jc w:val="right"/>
        <w:rPr>
          <w:szCs w:val="22"/>
          <w:lang w:val="en-CA"/>
        </w:rPr>
      </w:pPr>
      <w:r w:rsidRPr="006B7726">
        <w:rPr>
          <w:szCs w:val="22"/>
          <w:lang w:val="en-CA"/>
        </w:rPr>
        <w:lastRenderedPageBreak/>
        <w:t>[Emphasis added.]</w:t>
      </w:r>
    </w:p>
    <w:p w14:paraId="501B530D" w14:textId="27D02E90" w:rsidR="008D1B57" w:rsidRPr="006B7726" w:rsidRDefault="00DB71EC" w:rsidP="009B4FE5">
      <w:pPr>
        <w:pStyle w:val="Paragrsimple"/>
        <w:rPr>
          <w:lang w:val="en-CA"/>
        </w:rPr>
      </w:pPr>
      <w:r w:rsidRPr="006B7726">
        <w:rPr>
          <w:lang w:val="en-CA"/>
        </w:rPr>
        <w:t xml:space="preserve">In this </w:t>
      </w:r>
      <w:r w:rsidR="00666845">
        <w:rPr>
          <w:lang w:val="en-CA"/>
        </w:rPr>
        <w:t>case</w:t>
      </w:r>
      <w:r w:rsidR="0096102C" w:rsidRPr="006B7726">
        <w:rPr>
          <w:lang w:val="en-CA"/>
        </w:rPr>
        <w:t xml:space="preserve">, </w:t>
      </w:r>
      <w:r w:rsidRPr="006B7726">
        <w:rPr>
          <w:lang w:val="en-CA"/>
        </w:rPr>
        <w:t>in its judgment on the stay of proceedings</w:t>
      </w:r>
      <w:r w:rsidR="0096102C" w:rsidRPr="006B7726">
        <w:rPr>
          <w:lang w:val="en-CA"/>
        </w:rPr>
        <w:t xml:space="preserve">, </w:t>
      </w:r>
      <w:r w:rsidRPr="006B7726">
        <w:rPr>
          <w:lang w:val="en-CA"/>
        </w:rPr>
        <w:t>the Court of Appeal wrote</w:t>
      </w:r>
      <w:r w:rsidR="0096102C" w:rsidRPr="006B7726">
        <w:rPr>
          <w:lang w:val="en-CA"/>
        </w:rPr>
        <w:t>:</w:t>
      </w:r>
    </w:p>
    <w:p w14:paraId="075D8DE2" w14:textId="3CEA52CD" w:rsidR="00DB71EC" w:rsidRPr="00BA1219" w:rsidRDefault="00DB71EC" w:rsidP="009B4FE5">
      <w:pPr>
        <w:pStyle w:val="Citation"/>
        <w:rPr>
          <w:lang w:val="en-CA"/>
        </w:rPr>
      </w:pPr>
      <w:r w:rsidRPr="00BA1219">
        <w:rPr>
          <w:lang w:val="en-CA"/>
        </w:rPr>
        <w:t>[</w:t>
      </w:r>
      <w:r w:rsidRPr="00BA1219">
        <w:rPr>
          <w:smallCaps/>
          <w:lang w:val="en-CA"/>
        </w:rPr>
        <w:t>translation</w:t>
      </w:r>
      <w:r w:rsidRPr="00BA1219">
        <w:rPr>
          <w:lang w:val="en-CA"/>
        </w:rPr>
        <w:t>]</w:t>
      </w:r>
    </w:p>
    <w:p w14:paraId="434E00D3" w14:textId="47327DCA" w:rsidR="008D1B57" w:rsidRPr="00BA1219" w:rsidRDefault="0096102C" w:rsidP="009B4FE5">
      <w:pPr>
        <w:pStyle w:val="Citation"/>
        <w:rPr>
          <w:lang w:val="en-CA"/>
        </w:rPr>
      </w:pPr>
      <w:r w:rsidRPr="00BA1219">
        <w:rPr>
          <w:lang w:val="en-CA"/>
        </w:rPr>
        <w:t>[19]</w:t>
      </w:r>
      <w:r w:rsidRPr="00BA1219">
        <w:rPr>
          <w:lang w:val="en-CA"/>
        </w:rPr>
        <w:tab/>
      </w:r>
      <w:r w:rsidR="00DB71EC" w:rsidRPr="006B7726">
        <w:rPr>
          <w:lang w:val="en-CA"/>
        </w:rPr>
        <w:t>Section 23 places positive obligations on governments to mobilize resources and enact legislation for the development of major institutional structures for the province’s l</w:t>
      </w:r>
      <w:r w:rsidR="0009517E">
        <w:rPr>
          <w:lang w:val="en-CA"/>
        </w:rPr>
        <w:t xml:space="preserve">inguistic </w:t>
      </w:r>
      <w:r w:rsidR="00DB71EC" w:rsidRPr="006B7726">
        <w:rPr>
          <w:lang w:val="en-CA"/>
        </w:rPr>
        <w:t xml:space="preserve">minority, which gives the exercise of the rights set out therein </w:t>
      </w:r>
      <w:r w:rsidR="00DB71EC" w:rsidRPr="006B7726">
        <w:rPr>
          <w:u w:val="single"/>
          <w:lang w:val="en-CA"/>
        </w:rPr>
        <w:t>a unique collective aspect</w:t>
      </w:r>
      <w:r w:rsidR="00DB71EC" w:rsidRPr="006B7726">
        <w:rPr>
          <w:lang w:val="en-CA"/>
        </w:rPr>
        <w:t>: </w:t>
      </w:r>
      <w:r w:rsidR="00DB71EC" w:rsidRPr="006B7726">
        <w:rPr>
          <w:i/>
          <w:iCs/>
          <w:lang w:val="en-CA"/>
        </w:rPr>
        <w:t>Mahe</w:t>
      </w:r>
      <w:r w:rsidR="00DB71EC" w:rsidRPr="006B7726">
        <w:rPr>
          <w:lang w:val="en-CA"/>
        </w:rPr>
        <w:t>, pp. 365 and 389, </w:t>
      </w:r>
      <w:r w:rsidR="00DB71EC" w:rsidRPr="006B7726">
        <w:rPr>
          <w:i/>
          <w:iCs/>
          <w:lang w:val="en-CA"/>
        </w:rPr>
        <w:t>Doucet-Boudreau</w:t>
      </w:r>
      <w:r w:rsidR="00DB71EC" w:rsidRPr="006B7726">
        <w:rPr>
          <w:lang w:val="en-CA"/>
        </w:rPr>
        <w:t>, para. </w:t>
      </w:r>
      <w:r w:rsidR="00DB71EC" w:rsidRPr="0009517E">
        <w:rPr>
          <w:lang w:val="en-CA"/>
        </w:rPr>
        <w:t>28</w:t>
      </w:r>
      <w:r w:rsidR="00DB71EC" w:rsidRPr="006B7726">
        <w:rPr>
          <w:lang w:val="en-CA"/>
        </w:rPr>
        <w:t>; </w:t>
      </w:r>
      <w:r w:rsidR="00DB71EC" w:rsidRPr="006B7726">
        <w:rPr>
          <w:i/>
          <w:iCs/>
          <w:lang w:val="en-CA"/>
        </w:rPr>
        <w:t xml:space="preserve">Conseil </w:t>
      </w:r>
      <w:proofErr w:type="spellStart"/>
      <w:r w:rsidR="00DB71EC" w:rsidRPr="001B4C82">
        <w:rPr>
          <w:i/>
          <w:iCs/>
          <w:lang w:val="en-CA"/>
        </w:rPr>
        <w:t>scolaire</w:t>
      </w:r>
      <w:proofErr w:type="spellEnd"/>
      <w:r w:rsidR="00DB71EC" w:rsidRPr="006B7726">
        <w:rPr>
          <w:i/>
          <w:iCs/>
          <w:lang w:val="en-CA"/>
        </w:rPr>
        <w:t xml:space="preserve"> francophone de C.-B.</w:t>
      </w:r>
      <w:r w:rsidR="00DB71EC" w:rsidRPr="006B7726">
        <w:rPr>
          <w:lang w:val="en-CA"/>
        </w:rPr>
        <w:t>, para. 17.</w:t>
      </w:r>
    </w:p>
    <w:p w14:paraId="22827619" w14:textId="077A9D27" w:rsidR="008D1B57" w:rsidRPr="00BA1219" w:rsidRDefault="003F24E3" w:rsidP="009B4FE5">
      <w:pPr>
        <w:pStyle w:val="Citation"/>
        <w:rPr>
          <w:lang w:val="en-CA"/>
        </w:rPr>
      </w:pPr>
      <w:r w:rsidRPr="00BA1219">
        <w:rPr>
          <w:lang w:val="en-CA"/>
        </w:rPr>
        <w:t>[59]</w:t>
      </w:r>
      <w:r w:rsidRPr="00BA1219">
        <w:rPr>
          <w:lang w:val="en-CA"/>
        </w:rPr>
        <w:tab/>
      </w:r>
      <w:r w:rsidR="00DB71EC" w:rsidRPr="00BA1219">
        <w:rPr>
          <w:lang w:val="en-CA"/>
        </w:rPr>
        <w:t>[</w:t>
      </w:r>
      <w:r w:rsidR="00DB71EC" w:rsidRPr="00BA1219">
        <w:rPr>
          <w:rFonts w:cs="Arial"/>
          <w:color w:val="000000"/>
          <w:lang w:val="en-CA"/>
        </w:rPr>
        <w:t>A]s the trial judge noted, the rights conferred by </w:t>
      </w:r>
      <w:r w:rsidR="00DB71EC" w:rsidRPr="00BA1219">
        <w:rPr>
          <w:rFonts w:cs="Arial"/>
          <w:lang w:val="en-CA"/>
        </w:rPr>
        <w:t>s. 23</w:t>
      </w:r>
      <w:r w:rsidR="00DB71EC" w:rsidRPr="00BA1219">
        <w:rPr>
          <w:rFonts w:cs="Arial"/>
          <w:color w:val="000000"/>
          <w:lang w:val="en-CA"/>
        </w:rPr>
        <w:t> of the </w:t>
      </w:r>
      <w:r w:rsidR="00DB71EC" w:rsidRPr="00BA1219">
        <w:rPr>
          <w:rFonts w:cs="Arial"/>
          <w:i/>
          <w:iCs/>
          <w:color w:val="000000"/>
          <w:lang w:val="en-CA"/>
        </w:rPr>
        <w:t>Canadian Charter</w:t>
      </w:r>
      <w:r w:rsidR="00DB71EC" w:rsidRPr="00BA1219">
        <w:rPr>
          <w:rFonts w:cs="Arial"/>
          <w:color w:val="000000"/>
          <w:lang w:val="en-CA"/>
        </w:rPr>
        <w:t> have a significant collective aspect.</w:t>
      </w:r>
      <w:r w:rsidR="00DB71EC" w:rsidRPr="00BA1219">
        <w:rPr>
          <w:rStyle w:val="Appelnotedebasdep"/>
          <w:lang w:val="en-CA"/>
        </w:rPr>
        <w:t xml:space="preserve"> </w:t>
      </w:r>
      <w:r w:rsidR="0096102C" w:rsidRPr="00BA1219">
        <w:rPr>
          <w:rStyle w:val="Appelnotedebasdep"/>
          <w:lang w:val="en-CA"/>
        </w:rPr>
        <w:footnoteReference w:id="39"/>
      </w:r>
    </w:p>
    <w:p w14:paraId="01F94F96" w14:textId="79FF8995" w:rsidR="00DF3F57" w:rsidRPr="006B7726" w:rsidRDefault="00F8060B" w:rsidP="003F24E3">
      <w:pPr>
        <w:pStyle w:val="Citationenretrait"/>
        <w:jc w:val="right"/>
        <w:rPr>
          <w:szCs w:val="22"/>
          <w:lang w:val="en-CA"/>
        </w:rPr>
      </w:pPr>
      <w:r w:rsidRPr="006B7726">
        <w:rPr>
          <w:szCs w:val="22"/>
          <w:lang w:val="en-CA"/>
        </w:rPr>
        <w:t>[Emphasis added.]</w:t>
      </w:r>
    </w:p>
    <w:p w14:paraId="546EF14D" w14:textId="089EB851" w:rsidR="008D1B57" w:rsidRPr="00BA1219" w:rsidRDefault="00E230C4" w:rsidP="009B4FE5">
      <w:pPr>
        <w:pStyle w:val="Paragrsimple"/>
        <w:rPr>
          <w:lang w:val="en-CA"/>
        </w:rPr>
      </w:pPr>
      <w:r>
        <w:rPr>
          <w:lang w:val="en-CA"/>
        </w:rPr>
        <w:t>Commentators</w:t>
      </w:r>
      <w:r w:rsidR="004C01A2" w:rsidRPr="00BA1219">
        <w:rPr>
          <w:lang w:val="en-CA"/>
        </w:rPr>
        <w:t xml:space="preserve"> have also expressed themselves </w:t>
      </w:r>
      <w:r w:rsidR="00393B58">
        <w:rPr>
          <w:lang w:val="en-CA"/>
        </w:rPr>
        <w:t>on the topic of</w:t>
      </w:r>
      <w:r w:rsidR="00393B58" w:rsidRPr="00BA1219">
        <w:rPr>
          <w:lang w:val="en-CA"/>
        </w:rPr>
        <w:t xml:space="preserve"> </w:t>
      </w:r>
      <w:r w:rsidR="004C01A2" w:rsidRPr="00BA1219">
        <w:rPr>
          <w:lang w:val="en-CA"/>
        </w:rPr>
        <w:t>section</w:t>
      </w:r>
      <w:r w:rsidR="0096102C" w:rsidRPr="00BA1219">
        <w:rPr>
          <w:lang w:val="en-CA"/>
        </w:rPr>
        <w:t xml:space="preserve"> 23</w:t>
      </w:r>
      <w:r w:rsidR="004C01A2" w:rsidRPr="00BA1219">
        <w:rPr>
          <w:lang w:val="en-CA"/>
        </w:rPr>
        <w:t xml:space="preserve"> rights</w:t>
      </w:r>
      <w:r w:rsidR="0096102C" w:rsidRPr="00BA1219">
        <w:rPr>
          <w:lang w:val="en-CA"/>
        </w:rPr>
        <w:t xml:space="preserve">. </w:t>
      </w:r>
      <w:r w:rsidR="0096102C" w:rsidRPr="006B7726">
        <w:rPr>
          <w:lang w:val="en-CA"/>
        </w:rPr>
        <w:t>Michel Bastarache</w:t>
      </w:r>
      <w:r>
        <w:rPr>
          <w:lang w:val="en-CA"/>
        </w:rPr>
        <w:t xml:space="preserve"> wrote</w:t>
      </w:r>
      <w:r w:rsidR="0096102C" w:rsidRPr="006B7726">
        <w:rPr>
          <w:lang w:val="en-CA"/>
        </w:rPr>
        <w:t>:</w:t>
      </w:r>
    </w:p>
    <w:p w14:paraId="3F2BFF93" w14:textId="4152BE1E" w:rsidR="008D1B57" w:rsidRPr="00BA1219" w:rsidRDefault="009F1ED5" w:rsidP="009B4FE5">
      <w:pPr>
        <w:pStyle w:val="Citation"/>
        <w:rPr>
          <w:lang w:val="en-CA"/>
        </w:rPr>
      </w:pPr>
      <w:r>
        <w:rPr>
          <w:lang w:val="en-CA"/>
        </w:rPr>
        <w:t>r</w:t>
      </w:r>
      <w:r w:rsidR="0096102C" w:rsidRPr="006B7726">
        <w:rPr>
          <w:lang w:val="en-CA"/>
        </w:rPr>
        <w:t>ights provided under section 23, … are both individual and collective.</w:t>
      </w:r>
      <w:r w:rsidR="0096102C" w:rsidRPr="00BA1219">
        <w:rPr>
          <w:rStyle w:val="Appelnotedebasdep"/>
          <w:rFonts w:cs="Arial"/>
          <w:szCs w:val="24"/>
          <w:lang w:val="en-CA"/>
        </w:rPr>
        <w:footnoteReference w:id="40"/>
      </w:r>
    </w:p>
    <w:p w14:paraId="15F88AC3" w14:textId="36BBB49F" w:rsidR="008D1B57" w:rsidRPr="006B7726" w:rsidRDefault="004C01A2" w:rsidP="008D1B57">
      <w:pPr>
        <w:pStyle w:val="Paragrdouble"/>
        <w:spacing w:line="240" w:lineRule="auto"/>
        <w:rPr>
          <w:lang w:val="en-CA"/>
        </w:rPr>
      </w:pPr>
      <w:r w:rsidRPr="006B7726">
        <w:rPr>
          <w:lang w:val="en-CA"/>
        </w:rPr>
        <w:t>Authors</w:t>
      </w:r>
      <w:r w:rsidR="0096102C" w:rsidRPr="006B7726">
        <w:rPr>
          <w:lang w:val="en-CA"/>
        </w:rPr>
        <w:t xml:space="preserve"> Mark Power and Pierre Foucher</w:t>
      </w:r>
      <w:r w:rsidRPr="006B7726">
        <w:rPr>
          <w:lang w:val="en-CA"/>
        </w:rPr>
        <w:t xml:space="preserve"> noted</w:t>
      </w:r>
      <w:r w:rsidR="0096102C" w:rsidRPr="006B7726">
        <w:rPr>
          <w:lang w:val="en-CA"/>
        </w:rPr>
        <w:t>:</w:t>
      </w:r>
    </w:p>
    <w:p w14:paraId="7AF024F1" w14:textId="4FBDD289" w:rsidR="008D1B57" w:rsidRPr="00BA1219" w:rsidRDefault="0096102C" w:rsidP="002B0CA1">
      <w:pPr>
        <w:pStyle w:val="Citation"/>
        <w:rPr>
          <w:rStyle w:val="Citationintgre"/>
          <w:i w:val="0"/>
          <w:lang w:val="en-CA"/>
        </w:rPr>
      </w:pPr>
      <w:r w:rsidRPr="006B7726">
        <w:rPr>
          <w:lang w:val="en-CA"/>
        </w:rPr>
        <w:t>Third, section 23 does not fit into the traditional categories developed by jurists versed in human rights for classifying fundamental rights.</w:t>
      </w:r>
      <w:r w:rsidRPr="00BA1219">
        <w:rPr>
          <w:lang w:val="en-CA"/>
        </w:rPr>
        <w:t xml:space="preserve"> </w:t>
      </w:r>
      <w:r w:rsidRPr="006B7726">
        <w:rPr>
          <w:lang w:val="en-CA"/>
        </w:rPr>
        <w:t>Its purpose makes it a social and collective right while its constitutional status, justiciability, and scope make it an individual and civil right as well.</w:t>
      </w:r>
      <w:r w:rsidRPr="00BA1219">
        <w:rPr>
          <w:lang w:val="en-CA"/>
        </w:rPr>
        <w:t xml:space="preserve"> </w:t>
      </w:r>
      <w:r w:rsidRPr="006B7726">
        <w:rPr>
          <w:lang w:val="en-CA"/>
        </w:rPr>
        <w:t>These considerations mesh and produce an original and unique constitutional guarantee, one that is, as the Supreme Court itself pointed out, genuinely Canadian.</w:t>
      </w:r>
      <w:r w:rsidRPr="00BA1219">
        <w:rPr>
          <w:rStyle w:val="Appelnotedebasdep"/>
          <w:lang w:val="en-CA"/>
        </w:rPr>
        <w:footnoteReference w:id="41"/>
      </w:r>
    </w:p>
    <w:p w14:paraId="69C6240A" w14:textId="01C74642" w:rsidR="008D1B57" w:rsidRPr="00BA1219" w:rsidRDefault="0096102C" w:rsidP="009B4FE5">
      <w:pPr>
        <w:pStyle w:val="Paragrsimple"/>
        <w:rPr>
          <w:lang w:val="en-CA"/>
        </w:rPr>
      </w:pPr>
      <w:r w:rsidRPr="006B7726">
        <w:rPr>
          <w:lang w:val="en-CA"/>
        </w:rPr>
        <w:t xml:space="preserve">Michel Doucet, </w:t>
      </w:r>
      <w:r w:rsidR="00DB71EC" w:rsidRPr="00BA1219">
        <w:rPr>
          <w:lang w:val="en-CA"/>
        </w:rPr>
        <w:t>in a fifth edition of the same collection</w:t>
      </w:r>
      <w:r w:rsidR="004C01A2" w:rsidRPr="00BA1219">
        <w:rPr>
          <w:lang w:val="en-CA"/>
        </w:rPr>
        <w:t>, wrote</w:t>
      </w:r>
      <w:r w:rsidR="00DB71EC" w:rsidRPr="00BA1219">
        <w:rPr>
          <w:lang w:val="en-CA"/>
        </w:rPr>
        <w:t>:</w:t>
      </w:r>
    </w:p>
    <w:p w14:paraId="44E62FBD" w14:textId="77777777" w:rsidR="004C01A2" w:rsidRPr="006B7726" w:rsidRDefault="004C01A2" w:rsidP="009B4FE5">
      <w:pPr>
        <w:pStyle w:val="Citation"/>
        <w:rPr>
          <w:lang w:val="en-CA"/>
        </w:rPr>
      </w:pPr>
      <w:r w:rsidRPr="006B7726">
        <w:rPr>
          <w:lang w:val="en-CA"/>
        </w:rPr>
        <w:t>[</w:t>
      </w:r>
      <w:r w:rsidRPr="006B7726">
        <w:rPr>
          <w:smallCaps/>
          <w:lang w:val="en-CA"/>
        </w:rPr>
        <w:t>translation</w:t>
      </w:r>
      <w:r w:rsidRPr="006B7726">
        <w:rPr>
          <w:lang w:val="en-CA"/>
        </w:rPr>
        <w:t xml:space="preserve">] </w:t>
      </w:r>
    </w:p>
    <w:p w14:paraId="71618273" w14:textId="1D078781" w:rsidR="008D1B57" w:rsidRPr="006B7726" w:rsidRDefault="004C01A2" w:rsidP="009B4FE5">
      <w:pPr>
        <w:pStyle w:val="Citation"/>
        <w:rPr>
          <w:lang w:val="en-CA"/>
        </w:rPr>
      </w:pPr>
      <w:r w:rsidRPr="006B7726">
        <w:rPr>
          <w:lang w:val="en-CA"/>
        </w:rPr>
        <w:t>Section 23, like all language rights, involves not only individual rights, but also collective rights.</w:t>
      </w:r>
    </w:p>
    <w:p w14:paraId="44D6686B" w14:textId="311D07C3" w:rsidR="008D1B57" w:rsidRPr="00BA1219" w:rsidRDefault="0096102C" w:rsidP="009B4FE5">
      <w:pPr>
        <w:pStyle w:val="Citation"/>
        <w:rPr>
          <w:lang w:val="en-CA"/>
        </w:rPr>
      </w:pPr>
      <w:r w:rsidRPr="00BA1219">
        <w:rPr>
          <w:lang w:val="en-CA"/>
        </w:rPr>
        <w:t>…</w:t>
      </w:r>
    </w:p>
    <w:p w14:paraId="7070A769" w14:textId="5CD8A387" w:rsidR="008D1B57" w:rsidRPr="00BA1219" w:rsidRDefault="004C01A2" w:rsidP="009B4FE5">
      <w:pPr>
        <w:pStyle w:val="Citation"/>
        <w:rPr>
          <w:lang w:val="en-CA"/>
        </w:rPr>
      </w:pPr>
      <w:r w:rsidRPr="006B7726">
        <w:rPr>
          <w:lang w:val="en-CA"/>
        </w:rPr>
        <w:lastRenderedPageBreak/>
        <w:t xml:space="preserve">The Supreme Court of Canada </w:t>
      </w:r>
      <w:r w:rsidR="00393B58">
        <w:rPr>
          <w:lang w:val="en-CA"/>
        </w:rPr>
        <w:t xml:space="preserve">has </w:t>
      </w:r>
      <w:r w:rsidRPr="006B7726">
        <w:rPr>
          <w:lang w:val="en-CA"/>
        </w:rPr>
        <w:t>described school as “the single most important institution for the survival of the official language minority, which is itself a true beneficiary under s. 23”.</w:t>
      </w:r>
      <w:r w:rsidR="0096102C" w:rsidRPr="00BA1219">
        <w:rPr>
          <w:lang w:val="en-CA"/>
        </w:rPr>
        <w:t xml:space="preserve"> </w:t>
      </w:r>
      <w:r w:rsidRPr="006B7726">
        <w:rPr>
          <w:lang w:val="en-CA"/>
        </w:rPr>
        <w:t>In so doing, the Court acknowledged the collective nature of section 23.</w:t>
      </w:r>
      <w:r w:rsidR="0096102C" w:rsidRPr="00BA1219">
        <w:rPr>
          <w:lang w:val="en-CA"/>
        </w:rPr>
        <w:t xml:space="preserve"> </w:t>
      </w:r>
      <w:r w:rsidRPr="006B7726">
        <w:rPr>
          <w:lang w:val="en-CA"/>
        </w:rPr>
        <w:t xml:space="preserve">Indeed, while this </w:t>
      </w:r>
      <w:r w:rsidR="00393B58">
        <w:rPr>
          <w:lang w:val="en-CA"/>
        </w:rPr>
        <w:t xml:space="preserve">provision </w:t>
      </w:r>
      <w:r w:rsidRPr="006B7726">
        <w:rPr>
          <w:lang w:val="en-CA"/>
        </w:rPr>
        <w:t>recognizes individual rights, in that every party that meets the criteria may exercise the rights it confers, it also has a collective aspect</w:t>
      </w:r>
      <w:r w:rsidR="00393B58">
        <w:rPr>
          <w:lang w:val="en-CA"/>
        </w:rPr>
        <w:t>,</w:t>
      </w:r>
      <w:r w:rsidRPr="006B7726">
        <w:rPr>
          <w:lang w:val="en-CA"/>
        </w:rPr>
        <w:t xml:space="preserve"> because ultimately, it is the minority community that is the true beneficiary of the rights conferred by the provision.</w:t>
      </w:r>
      <w:r w:rsidR="0096102C" w:rsidRPr="00BA1219">
        <w:rPr>
          <w:lang w:val="en-CA"/>
        </w:rPr>
        <w:t xml:space="preserve"> </w:t>
      </w:r>
      <w:r w:rsidRPr="006B7726">
        <w:rPr>
          <w:lang w:val="en-CA"/>
        </w:rPr>
        <w:t>Accordingly, it would be dangerous to focus solely on individual rights at trial, to the detriment of the linguistic and cultural rights of the minority community.</w:t>
      </w:r>
      <w:r w:rsidRPr="006B7726">
        <w:rPr>
          <w:rStyle w:val="Appelnotedebasdep"/>
          <w:lang w:val="en-CA"/>
        </w:rPr>
        <w:footnoteReference w:id="42"/>
      </w:r>
    </w:p>
    <w:p w14:paraId="2CD35F7B" w14:textId="1BA76A93" w:rsidR="008D1B57" w:rsidRPr="006B7726" w:rsidRDefault="004C01A2" w:rsidP="009B4FE5">
      <w:pPr>
        <w:pStyle w:val="Paragrsimple"/>
        <w:rPr>
          <w:lang w:val="en-CA"/>
        </w:rPr>
      </w:pPr>
      <w:r w:rsidRPr="006B7726">
        <w:rPr>
          <w:lang w:val="en-CA"/>
        </w:rPr>
        <w:t xml:space="preserve">Professor José </w:t>
      </w:r>
      <w:proofErr w:type="spellStart"/>
      <w:r w:rsidRPr="006B7726">
        <w:rPr>
          <w:lang w:val="en-CA"/>
        </w:rPr>
        <w:t>Woehrling</w:t>
      </w:r>
      <w:proofErr w:type="spellEnd"/>
      <w:r w:rsidRPr="006B7726">
        <w:rPr>
          <w:lang w:val="en-CA"/>
        </w:rPr>
        <w:t xml:space="preserve"> refers to [</w:t>
      </w:r>
      <w:r w:rsidRPr="006B7726">
        <w:rPr>
          <w:smallCaps/>
          <w:lang w:val="en-CA"/>
        </w:rPr>
        <w:t>translation</w:t>
      </w:r>
      <w:r w:rsidRPr="006B7726">
        <w:rPr>
          <w:lang w:val="en-CA"/>
        </w:rPr>
        <w:t>] “rights having a clearly collective aspect”.</w:t>
      </w:r>
      <w:r w:rsidRPr="006B7726">
        <w:rPr>
          <w:rStyle w:val="Appelnotedebasdep"/>
          <w:lang w:val="en-CA"/>
        </w:rPr>
        <w:footnoteReference w:id="43"/>
      </w:r>
    </w:p>
    <w:p w14:paraId="4402C0BC" w14:textId="0DBEB598" w:rsidR="007543E2" w:rsidRPr="00BA1219" w:rsidRDefault="004C01A2" w:rsidP="009B4FE5">
      <w:pPr>
        <w:pStyle w:val="Paragrsimple"/>
        <w:rPr>
          <w:lang w:val="en-CA"/>
        </w:rPr>
      </w:pPr>
      <w:r w:rsidRPr="00BA1219">
        <w:rPr>
          <w:lang w:val="en-CA"/>
        </w:rPr>
        <w:t>This collective aspect is all the more important because minority schools are more than just learning centres.</w:t>
      </w:r>
      <w:r w:rsidR="0096102C" w:rsidRPr="00BA1219">
        <w:rPr>
          <w:lang w:val="en-CA"/>
        </w:rPr>
        <w:t xml:space="preserve"> </w:t>
      </w:r>
      <w:r w:rsidRPr="00BA1219">
        <w:rPr>
          <w:lang w:val="en-CA"/>
        </w:rPr>
        <w:t>They are one of the key anchor points of the community.</w:t>
      </w:r>
      <w:r w:rsidR="0096102C" w:rsidRPr="00BA1219">
        <w:rPr>
          <w:lang w:val="en-CA"/>
        </w:rPr>
        <w:t xml:space="preserve"> </w:t>
      </w:r>
      <w:r w:rsidRPr="006B7726">
        <w:rPr>
          <w:lang w:val="en-CA"/>
        </w:rPr>
        <w:t>It is appro</w:t>
      </w:r>
      <w:r w:rsidR="00170CDF">
        <w:rPr>
          <w:lang w:val="en-CA"/>
        </w:rPr>
        <w:t>p</w:t>
      </w:r>
      <w:r w:rsidRPr="006B7726">
        <w:rPr>
          <w:lang w:val="en-CA"/>
        </w:rPr>
        <w:t>riate to reproduce the Supreme Court’s words:</w:t>
      </w:r>
    </w:p>
    <w:p w14:paraId="38A8B7FA" w14:textId="663D11E1" w:rsidR="007543E2" w:rsidRPr="00BA1219" w:rsidRDefault="000851DE" w:rsidP="009B7445">
      <w:pPr>
        <w:pStyle w:val="Citation"/>
        <w:numPr>
          <w:ilvl w:val="3"/>
          <w:numId w:val="11"/>
        </w:numPr>
        <w:ind w:left="851" w:hanging="283"/>
        <w:rPr>
          <w:lang w:val="en-CA"/>
        </w:rPr>
      </w:pPr>
      <w:r>
        <w:rPr>
          <w:lang w:val="en-CA"/>
        </w:rPr>
        <w:t>“</w:t>
      </w:r>
      <w:r w:rsidR="004C01A2" w:rsidRPr="00BA1219">
        <w:rPr>
          <w:lang w:val="en-CA"/>
        </w:rPr>
        <w:t>In addition, it is worth noting that minority schools themselves provide community centres where the promotion and preservation of minority language culture can occur; they provide needed locations where the minority community can meet and facilities which they can use to express their culture.</w:t>
      </w:r>
      <w:r>
        <w:rPr>
          <w:lang w:val="en-CA"/>
        </w:rPr>
        <w:t>”</w:t>
      </w:r>
      <w:r w:rsidR="0096102C" w:rsidRPr="00BA1219">
        <w:rPr>
          <w:rStyle w:val="Appelnotedebasdep"/>
          <w:lang w:val="en-CA"/>
        </w:rPr>
        <w:footnoteReference w:id="44"/>
      </w:r>
    </w:p>
    <w:p w14:paraId="3BA6B6D4" w14:textId="5D31E51A" w:rsidR="000D0BDC" w:rsidRPr="00BA1219" w:rsidRDefault="000851DE" w:rsidP="009B7445">
      <w:pPr>
        <w:pStyle w:val="Citation"/>
        <w:numPr>
          <w:ilvl w:val="3"/>
          <w:numId w:val="11"/>
        </w:numPr>
        <w:ind w:left="851" w:hanging="283"/>
        <w:rPr>
          <w:lang w:val="en-CA"/>
        </w:rPr>
      </w:pPr>
      <w:r>
        <w:rPr>
          <w:lang w:val="en-CA"/>
        </w:rPr>
        <w:t>“</w:t>
      </w:r>
      <w:r w:rsidR="004C01A2" w:rsidRPr="00BA1219">
        <w:rPr>
          <w:lang w:val="en-CA"/>
        </w:rPr>
        <w:t>Such a finding would also be consistent with the recognition that minority schools play a valuable role as cultural centres as well as educational institutions.  While this Court in </w:t>
      </w:r>
      <w:r w:rsidR="004C01A2" w:rsidRPr="00BA1219">
        <w:rPr>
          <w:i/>
          <w:iCs/>
          <w:lang w:val="en-CA"/>
        </w:rPr>
        <w:t>Mahe</w:t>
      </w:r>
      <w:r w:rsidR="004C01A2" w:rsidRPr="00BA1219">
        <w:rPr>
          <w:lang w:val="en-CA"/>
        </w:rPr>
        <w:t> did not explicitly refer to distinct physical settings in its discussion on schools as cultural centres, it seems reasonable to infer that some distinctiveness in the physical setting is required to successfully fulfil this role.  In my view, the overall objectives of s. 23 expressed in the reasons in </w:t>
      </w:r>
      <w:r w:rsidR="004C01A2" w:rsidRPr="00BA1219">
        <w:rPr>
          <w:i/>
          <w:iCs/>
          <w:lang w:val="en-CA"/>
        </w:rPr>
        <w:t>Mahe</w:t>
      </w:r>
      <w:r w:rsidR="004C01A2" w:rsidRPr="00BA1219">
        <w:rPr>
          <w:lang w:val="en-CA"/>
        </w:rPr>
        <w:t> as a whole support such a conclusion.</w:t>
      </w:r>
      <w:r>
        <w:rPr>
          <w:lang w:val="en-CA"/>
        </w:rPr>
        <w:t>”</w:t>
      </w:r>
      <w:r w:rsidR="0096102C" w:rsidRPr="00BA1219">
        <w:rPr>
          <w:rStyle w:val="Appelnotedebasdep"/>
          <w:lang w:val="en-CA"/>
        </w:rPr>
        <w:footnoteReference w:id="45"/>
      </w:r>
    </w:p>
    <w:p w14:paraId="05C0C806" w14:textId="35AF7E02" w:rsidR="007543E2" w:rsidRPr="00BA1219" w:rsidRDefault="000851DE" w:rsidP="009B7445">
      <w:pPr>
        <w:pStyle w:val="Citation"/>
        <w:numPr>
          <w:ilvl w:val="3"/>
          <w:numId w:val="11"/>
        </w:numPr>
        <w:ind w:left="851" w:hanging="425"/>
        <w:rPr>
          <w:lang w:val="en-CA"/>
        </w:rPr>
      </w:pPr>
      <w:r>
        <w:rPr>
          <w:lang w:val="en-CA"/>
        </w:rPr>
        <w:t>“</w:t>
      </w:r>
      <w:r w:rsidR="000D0BDC" w:rsidRPr="00BA1219">
        <w:rPr>
          <w:lang w:val="en-CA"/>
        </w:rPr>
        <w:t>50</w:t>
      </w:r>
      <w:r w:rsidR="000D0BDC" w:rsidRPr="00BA1219">
        <w:rPr>
          <w:lang w:val="en-CA"/>
        </w:rPr>
        <w:tab/>
      </w:r>
      <w:r w:rsidR="004C01A2" w:rsidRPr="00BA1219">
        <w:rPr>
          <w:lang w:val="en-CA"/>
        </w:rPr>
        <w:t>In that judgment</w:t>
      </w:r>
      <w:r w:rsidR="000D0BDC" w:rsidRPr="00BA1219">
        <w:rPr>
          <w:lang w:val="en-CA"/>
        </w:rPr>
        <w:t xml:space="preserve"> (</w:t>
      </w:r>
      <w:r w:rsidR="000D0BDC" w:rsidRPr="00BA1219">
        <w:rPr>
          <w:i/>
          <w:iCs/>
          <w:lang w:val="en-CA"/>
        </w:rPr>
        <w:t>Mahe</w:t>
      </w:r>
      <w:r w:rsidR="0096102C" w:rsidRPr="00BA1219">
        <w:rPr>
          <w:lang w:val="en-CA"/>
        </w:rPr>
        <w:t xml:space="preserve">), </w:t>
      </w:r>
      <w:r w:rsidR="004C01A2" w:rsidRPr="00BA1219">
        <w:rPr>
          <w:lang w:val="en-CA"/>
        </w:rPr>
        <w:t>the Court insisted on the need to identify schools with the minority in coming to the decision that s. 23 guaranteed the right to management to representatives of the minority.</w:t>
      </w:r>
      <w:r>
        <w:rPr>
          <w:lang w:val="en-CA"/>
        </w:rPr>
        <w:t>”</w:t>
      </w:r>
      <w:r w:rsidR="0096102C" w:rsidRPr="00BA1219">
        <w:rPr>
          <w:rStyle w:val="Appelnotedebasdep"/>
          <w:lang w:val="en-CA"/>
        </w:rPr>
        <w:footnoteReference w:id="46"/>
      </w:r>
    </w:p>
    <w:p w14:paraId="4FC63BF6" w14:textId="27064598" w:rsidR="000D0BDC" w:rsidRPr="00BA1219" w:rsidRDefault="00435DE5" w:rsidP="009B7445">
      <w:pPr>
        <w:pStyle w:val="Citation"/>
        <w:numPr>
          <w:ilvl w:val="3"/>
          <w:numId w:val="11"/>
        </w:numPr>
        <w:ind w:left="851" w:hanging="425"/>
        <w:rPr>
          <w:lang w:val="en-CA"/>
        </w:rPr>
      </w:pPr>
      <w:r>
        <w:rPr>
          <w:lang w:val="en-CA"/>
        </w:rPr>
        <w:t>“</w:t>
      </w:r>
      <w:r w:rsidR="0096102C" w:rsidRPr="00BA1219">
        <w:rPr>
          <w:lang w:val="en-CA"/>
        </w:rPr>
        <w:t>[</w:t>
      </w:r>
      <w:bookmarkStart w:id="25" w:name="par1"/>
      <w:r w:rsidR="0096102C" w:rsidRPr="00BA1219">
        <w:rPr>
          <w:lang w:val="en-CA"/>
        </w:rPr>
        <w:t>1</w:t>
      </w:r>
      <w:bookmarkEnd w:id="25"/>
      <w:r w:rsidR="0096102C" w:rsidRPr="00BA1219">
        <w:rPr>
          <w:lang w:val="en-CA"/>
        </w:rPr>
        <w:t>]</w:t>
      </w:r>
      <w:r w:rsidR="0096102C" w:rsidRPr="00BA1219">
        <w:rPr>
          <w:lang w:val="en-CA"/>
        </w:rPr>
        <w:tab/>
      </w:r>
      <w:r w:rsidR="005D014E" w:rsidRPr="00BA1219">
        <w:rPr>
          <w:lang w:val="en-CA"/>
        </w:rPr>
        <w:t xml:space="preserve">A school is much more than a place where theoretical and practical knowledge is transmitted. It is also a place where people can socialise, </w:t>
      </w:r>
      <w:r w:rsidR="005D014E" w:rsidRPr="00BA1219">
        <w:rPr>
          <w:lang w:val="en-CA"/>
        </w:rPr>
        <w:lastRenderedPageBreak/>
        <w:t>exchange and develop their language skills and, through it, discover their culture.</w:t>
      </w:r>
      <w:r>
        <w:rPr>
          <w:lang w:val="en-CA"/>
        </w:rPr>
        <w:t>”</w:t>
      </w:r>
    </w:p>
    <w:p w14:paraId="02F72589" w14:textId="4D382ABA" w:rsidR="000D0BDC" w:rsidRPr="00BA1219" w:rsidRDefault="00435DE5" w:rsidP="009B7445">
      <w:pPr>
        <w:pStyle w:val="Citation"/>
        <w:numPr>
          <w:ilvl w:val="3"/>
          <w:numId w:val="11"/>
        </w:numPr>
        <w:ind w:left="851" w:hanging="425"/>
        <w:rPr>
          <w:lang w:val="en-CA"/>
        </w:rPr>
      </w:pPr>
      <w:r>
        <w:rPr>
          <w:lang w:val="en-CA"/>
        </w:rPr>
        <w:t>“</w:t>
      </w:r>
      <w:r w:rsidR="0096102C" w:rsidRPr="00BA1219">
        <w:rPr>
          <w:lang w:val="en-CA"/>
        </w:rPr>
        <w:t>[</w:t>
      </w:r>
      <w:bookmarkStart w:id="26" w:name="par74"/>
      <w:r w:rsidR="0096102C" w:rsidRPr="00BA1219">
        <w:rPr>
          <w:lang w:val="en-CA"/>
        </w:rPr>
        <w:t>74</w:t>
      </w:r>
      <w:bookmarkEnd w:id="26"/>
      <w:r w:rsidR="0096102C" w:rsidRPr="00BA1219">
        <w:rPr>
          <w:lang w:val="en-CA"/>
        </w:rPr>
        <w:t>]</w:t>
      </w:r>
      <w:r w:rsidR="0096102C" w:rsidRPr="00BA1219">
        <w:rPr>
          <w:lang w:val="en-CA"/>
        </w:rPr>
        <w:tab/>
      </w:r>
      <w:r w:rsidR="005D014E" w:rsidRPr="00BA1219">
        <w:rPr>
          <w:lang w:val="en-CA"/>
        </w:rPr>
        <w:t>This flexibility takes into account the importance of homogeneous schools as linguistic islands in a minority environment. In such a context, a homogeneous school is often the only place where all of a person’s activities are carried out in his or her language. As well, it serves as a gathering place for the extended community. Shared facilities cannot fully play these roles, as they make it more difficult to achieve the objectives of s. 23.</w:t>
      </w:r>
      <w:r>
        <w:rPr>
          <w:lang w:val="en-CA"/>
        </w:rPr>
        <w:t>”</w:t>
      </w:r>
      <w:r w:rsidR="0096102C" w:rsidRPr="00BA1219">
        <w:rPr>
          <w:rStyle w:val="Appelnotedebasdep"/>
          <w:lang w:val="en-CA"/>
        </w:rPr>
        <w:footnoteReference w:id="47"/>
      </w:r>
    </w:p>
    <w:p w14:paraId="5E67B217" w14:textId="36C1EE7A" w:rsidR="008D1B57" w:rsidRPr="00BA1219" w:rsidRDefault="000074E4" w:rsidP="009B4FE5">
      <w:pPr>
        <w:pStyle w:val="Paragrsimple"/>
        <w:rPr>
          <w:lang w:val="en-CA"/>
        </w:rPr>
      </w:pPr>
      <w:r w:rsidRPr="00BA1219">
        <w:rPr>
          <w:lang w:val="en-CA"/>
        </w:rPr>
        <w:t>The collective aspect of the rights conferred by section 23 must therefore condition and inform its interpretation.</w:t>
      </w:r>
      <w:r w:rsidR="0096102C" w:rsidRPr="00BA1219">
        <w:rPr>
          <w:lang w:val="en-CA"/>
        </w:rPr>
        <w:t xml:space="preserve"> </w:t>
      </w:r>
    </w:p>
    <w:p w14:paraId="4B27F479" w14:textId="59C9D047" w:rsidR="00E97175" w:rsidRPr="00BA1219" w:rsidRDefault="000074E4" w:rsidP="009B4FE5">
      <w:pPr>
        <w:pStyle w:val="Paragrsimple"/>
        <w:rPr>
          <w:lang w:val="en-CA"/>
        </w:rPr>
      </w:pPr>
      <w:r w:rsidRPr="006B7726">
        <w:rPr>
          <w:lang w:val="en-CA"/>
        </w:rPr>
        <w:t>The English-speaking community of Quebec is not limited to parents of students enrolled in school.</w:t>
      </w:r>
      <w:r w:rsidR="0096102C" w:rsidRPr="00BA1219">
        <w:rPr>
          <w:lang w:val="en-CA"/>
        </w:rPr>
        <w:t xml:space="preserve"> </w:t>
      </w:r>
      <w:r w:rsidRPr="006B7726">
        <w:rPr>
          <w:lang w:val="en-CA"/>
        </w:rPr>
        <w:t xml:space="preserve">Section 23 extends its protection to all citizens of Canada who received their primary school instruction in Canada in English or </w:t>
      </w:r>
      <w:r w:rsidR="00350084">
        <w:rPr>
          <w:lang w:val="en-CA"/>
        </w:rPr>
        <w:t>whose</w:t>
      </w:r>
      <w:r w:rsidRPr="006B7726">
        <w:rPr>
          <w:lang w:val="en-CA"/>
        </w:rPr>
        <w:t xml:space="preserve"> child received or is receiving primary or secondary instruction in English.</w:t>
      </w:r>
      <w:r w:rsidR="0096102C" w:rsidRPr="00BA1219">
        <w:rPr>
          <w:lang w:val="en-CA"/>
        </w:rPr>
        <w:t xml:space="preserve"> </w:t>
      </w:r>
      <w:r w:rsidRPr="00BA1219">
        <w:rPr>
          <w:lang w:val="en-CA"/>
        </w:rPr>
        <w:t xml:space="preserve">Section 23 does not create two categories of </w:t>
      </w:r>
      <w:r w:rsidR="00366077">
        <w:rPr>
          <w:lang w:val="en-CA"/>
        </w:rPr>
        <w:t>rights holder</w:t>
      </w:r>
      <w:r w:rsidRPr="00BA1219">
        <w:rPr>
          <w:lang w:val="en-CA"/>
        </w:rPr>
        <w:t>s, those who have children at school and those who do not.</w:t>
      </w:r>
      <w:r w:rsidR="0096102C" w:rsidRPr="00BA1219">
        <w:rPr>
          <w:lang w:val="en-CA"/>
        </w:rPr>
        <w:t xml:space="preserve"> </w:t>
      </w:r>
    </w:p>
    <w:p w14:paraId="56DAA7D0" w14:textId="111F5C2C" w:rsidR="00371D66" w:rsidRPr="00BA1219" w:rsidRDefault="000074E4" w:rsidP="009B4FE5">
      <w:pPr>
        <w:pStyle w:val="Paragrsimple"/>
        <w:rPr>
          <w:lang w:val="en-CA"/>
        </w:rPr>
      </w:pPr>
      <w:r w:rsidRPr="00BA1219">
        <w:rPr>
          <w:lang w:val="en-CA"/>
        </w:rPr>
        <w:t>The designation of community representatives goes beyond</w:t>
      </w:r>
      <w:r w:rsidR="00212619">
        <w:rPr>
          <w:lang w:val="en-CA"/>
        </w:rPr>
        <w:t xml:space="preserve"> simply </w:t>
      </w:r>
      <w:r w:rsidRPr="00BA1219">
        <w:rPr>
          <w:lang w:val="en-CA"/>
        </w:rPr>
        <w:t xml:space="preserve">the group of parents of children enrolled </w:t>
      </w:r>
      <w:r w:rsidR="00350084" w:rsidRPr="00BA1219">
        <w:rPr>
          <w:lang w:val="en-CA"/>
        </w:rPr>
        <w:t>in school</w:t>
      </w:r>
      <w:r w:rsidRPr="00BA1219">
        <w:rPr>
          <w:lang w:val="en-CA"/>
        </w:rPr>
        <w:t>.</w:t>
      </w:r>
      <w:r w:rsidR="00CF5F6E" w:rsidRPr="00BA1219">
        <w:rPr>
          <w:lang w:val="en-CA"/>
        </w:rPr>
        <w:t xml:space="preserve"> </w:t>
      </w:r>
      <w:r w:rsidRPr="00BA1219">
        <w:rPr>
          <w:lang w:val="en-CA"/>
        </w:rPr>
        <w:t>The law must aim to promote the participation of community members in school management, with a view to the community's development.</w:t>
      </w:r>
      <w:r w:rsidR="00CF5F6E" w:rsidRPr="00BA1219">
        <w:rPr>
          <w:lang w:val="en-CA"/>
        </w:rPr>
        <w:t xml:space="preserve"> </w:t>
      </w:r>
    </w:p>
    <w:p w14:paraId="1D64B8F2" w14:textId="17CB0E28" w:rsidR="002113CE" w:rsidRPr="006B7726" w:rsidRDefault="000074E4" w:rsidP="002D2BD3">
      <w:pPr>
        <w:pStyle w:val="Paragrdouble"/>
        <w:spacing w:line="240" w:lineRule="auto"/>
        <w:rPr>
          <w:lang w:val="en-CA"/>
        </w:rPr>
      </w:pPr>
      <w:r w:rsidRPr="006B7726">
        <w:rPr>
          <w:color w:val="000000"/>
          <w:spacing w:val="-3"/>
          <w:lang w:val="en-CA"/>
        </w:rPr>
        <w:t xml:space="preserve">It appears from the remarks of Dickson C.J. in </w:t>
      </w:r>
      <w:r w:rsidRPr="006B7726">
        <w:rPr>
          <w:i/>
          <w:color w:val="000000"/>
          <w:spacing w:val="-3"/>
          <w:lang w:val="en-CA"/>
        </w:rPr>
        <w:t>Mahe</w:t>
      </w:r>
      <w:r w:rsidRPr="000D60E7">
        <w:rPr>
          <w:rStyle w:val="Appelnotedebasdep"/>
          <w:lang w:val="en-CA"/>
        </w:rPr>
        <w:footnoteReference w:id="48"/>
      </w:r>
      <w:r w:rsidRPr="006B7726">
        <w:rPr>
          <w:color w:val="000000"/>
          <w:spacing w:val="-3"/>
          <w:lang w:val="en-CA"/>
        </w:rPr>
        <w:t xml:space="preserve"> that “the persons who will exercise the measure of management and control described above are </w:t>
      </w:r>
      <w:r w:rsidR="007A7D53">
        <w:rPr>
          <w:color w:val="000000"/>
          <w:spacing w:val="-3"/>
          <w:lang w:val="en-CA"/>
        </w:rPr>
        <w:t>“</w:t>
      </w:r>
      <w:r w:rsidRPr="006B7726">
        <w:rPr>
          <w:color w:val="000000"/>
          <w:spacing w:val="-3"/>
          <w:lang w:val="en-CA"/>
        </w:rPr>
        <w:t>s. 23 parents</w:t>
      </w:r>
      <w:r w:rsidR="007A7D53">
        <w:rPr>
          <w:color w:val="000000"/>
          <w:spacing w:val="-3"/>
          <w:lang w:val="en-CA"/>
        </w:rPr>
        <w:t>”</w:t>
      </w:r>
      <w:r w:rsidRPr="006B7726">
        <w:rPr>
          <w:color w:val="000000"/>
          <w:spacing w:val="-3"/>
          <w:lang w:val="en-CA"/>
        </w:rPr>
        <w:t xml:space="preserve"> </w:t>
      </w:r>
      <w:r w:rsidRPr="006B7726">
        <w:rPr>
          <w:color w:val="000000"/>
          <w:spacing w:val="-3"/>
          <w:u w:val="single"/>
          <w:lang w:val="en-CA"/>
        </w:rPr>
        <w:t>or persons such parents designate as their representatives</w:t>
      </w:r>
      <w:r w:rsidRPr="006B7726">
        <w:rPr>
          <w:color w:val="000000"/>
          <w:spacing w:val="-3"/>
          <w:lang w:val="en-CA"/>
        </w:rPr>
        <w:t xml:space="preserve">”. </w:t>
      </w:r>
      <w:r w:rsidR="0096102C" w:rsidRPr="006B7726">
        <w:rPr>
          <w:color w:val="000000"/>
          <w:spacing w:val="-3"/>
          <w:lang w:val="en-CA"/>
        </w:rPr>
        <w:t> </w:t>
      </w:r>
      <w:r w:rsidR="0096102C" w:rsidRPr="006B7726">
        <w:rPr>
          <w:lang w:val="en-CA"/>
        </w:rPr>
        <w:t xml:space="preserve"> </w:t>
      </w:r>
    </w:p>
    <w:p w14:paraId="3C17E259" w14:textId="05D68108" w:rsidR="009F0DD8" w:rsidRPr="00BA1219" w:rsidRDefault="000074E4" w:rsidP="009F0DD8">
      <w:pPr>
        <w:pStyle w:val="Paragrdouble"/>
        <w:spacing w:line="240" w:lineRule="auto"/>
        <w:rPr>
          <w:lang w:val="en-CA"/>
        </w:rPr>
      </w:pPr>
      <w:r w:rsidRPr="00BA1219">
        <w:rPr>
          <w:lang w:val="en-CA"/>
        </w:rPr>
        <w:t xml:space="preserve">These representatives are of course </w:t>
      </w:r>
      <w:r w:rsidR="00366077">
        <w:rPr>
          <w:lang w:val="en-CA"/>
        </w:rPr>
        <w:t>rights holder</w:t>
      </w:r>
      <w:r w:rsidRPr="00BA1219">
        <w:rPr>
          <w:lang w:val="en-CA"/>
        </w:rPr>
        <w:t>s, but there is no requirement that they be the parents of students enrolled in school.</w:t>
      </w:r>
      <w:r w:rsidR="0096102C" w:rsidRPr="00BA1219">
        <w:rPr>
          <w:lang w:val="en-CA"/>
        </w:rPr>
        <w:t xml:space="preserve"> </w:t>
      </w:r>
      <w:r w:rsidRPr="00BA1219">
        <w:rPr>
          <w:lang w:val="en-CA"/>
        </w:rPr>
        <w:t xml:space="preserve">This notion of “representatives” also appears in </w:t>
      </w:r>
      <w:r w:rsidRPr="00BA1219">
        <w:rPr>
          <w:i/>
          <w:lang w:val="en-CA"/>
        </w:rPr>
        <w:t>Arsenault-Cameron</w:t>
      </w:r>
      <w:r w:rsidRPr="00BA1219">
        <w:rPr>
          <w:lang w:val="en-CA"/>
        </w:rPr>
        <w:t>.</w:t>
      </w:r>
      <w:r w:rsidRPr="00BA1219">
        <w:rPr>
          <w:rStyle w:val="Appelnotedebasdep"/>
          <w:lang w:val="en-CA"/>
        </w:rPr>
        <w:footnoteReference w:id="49"/>
      </w:r>
    </w:p>
    <w:p w14:paraId="7B534047" w14:textId="753DB4C9" w:rsidR="006A3D7B" w:rsidRPr="006B7726" w:rsidRDefault="007A7D53" w:rsidP="00822668">
      <w:pPr>
        <w:pStyle w:val="Titre2"/>
        <w:numPr>
          <w:ilvl w:val="0"/>
          <w:numId w:val="0"/>
        </w:numPr>
        <w:ind w:left="360"/>
        <w:rPr>
          <w:lang w:val="en-CA"/>
        </w:rPr>
      </w:pPr>
      <w:r>
        <w:rPr>
          <w:lang w:val="en-CA"/>
        </w:rPr>
        <w:t>(d) The h</w:t>
      </w:r>
      <w:r w:rsidR="000074E4" w:rsidRPr="006B7726">
        <w:rPr>
          <w:lang w:val="en-CA"/>
        </w:rPr>
        <w:t>istorical context</w:t>
      </w:r>
    </w:p>
    <w:p w14:paraId="43D5DCBA" w14:textId="04AD90E8" w:rsidR="00D9749D" w:rsidRPr="00BA1219" w:rsidRDefault="000074E4" w:rsidP="00D9749D">
      <w:pPr>
        <w:pStyle w:val="Paragrdouble"/>
        <w:spacing w:line="240" w:lineRule="auto"/>
        <w:rPr>
          <w:lang w:val="en-CA"/>
        </w:rPr>
      </w:pPr>
      <w:r w:rsidRPr="00BA1219">
        <w:rPr>
          <w:lang w:val="en-CA"/>
        </w:rPr>
        <w:t>The analysis of the respect of minority rights must necessarily consider the historical context of minority rights.</w:t>
      </w:r>
      <w:r w:rsidR="00591787" w:rsidRPr="00BA1219">
        <w:rPr>
          <w:lang w:val="en-CA"/>
        </w:rPr>
        <w:t xml:space="preserve"> </w:t>
      </w:r>
      <w:r w:rsidRPr="006B7726">
        <w:rPr>
          <w:lang w:val="en-CA"/>
        </w:rPr>
        <w:t>The Supreme Court recalls it in several of its judgments on the issue:</w:t>
      </w:r>
    </w:p>
    <w:p w14:paraId="7E81AC00" w14:textId="441AA98B" w:rsidR="00E975A3" w:rsidRPr="00BA1219" w:rsidRDefault="00CB66D2" w:rsidP="009B7445">
      <w:pPr>
        <w:pStyle w:val="Citation"/>
        <w:numPr>
          <w:ilvl w:val="3"/>
          <w:numId w:val="11"/>
        </w:numPr>
        <w:ind w:left="851" w:hanging="425"/>
        <w:rPr>
          <w:lang w:val="en-CA"/>
        </w:rPr>
      </w:pPr>
      <w:r>
        <w:rPr>
          <w:lang w:val="en-CA"/>
        </w:rPr>
        <w:t>“</w:t>
      </w:r>
      <w:r w:rsidR="000074E4" w:rsidRPr="006B7726">
        <w:rPr>
          <w:lang w:val="en-CA"/>
        </w:rPr>
        <w:t>Historically, separate or denominational boards have been the principal bulwarks of minority language education in the absence of any provision for minority representation and authority within public or common school boards.</w:t>
      </w:r>
      <w:r w:rsidR="0096102C" w:rsidRPr="00BA1219">
        <w:rPr>
          <w:lang w:val="en-CA"/>
        </w:rPr>
        <w:t xml:space="preserve"> </w:t>
      </w:r>
      <w:r w:rsidR="000074E4" w:rsidRPr="006B7726">
        <w:rPr>
          <w:lang w:val="en-CA"/>
        </w:rPr>
        <w:t xml:space="preserve">Such independent boards constitute, for the minority, institutions which it can consider its own with all this entails in terms of opportunity of working in its own </w:t>
      </w:r>
      <w:r w:rsidR="000074E4" w:rsidRPr="006B7726">
        <w:rPr>
          <w:lang w:val="en-CA"/>
        </w:rPr>
        <w:lastRenderedPageBreak/>
        <w:t>language and of sharing a common culture, interests and understanding and being afforded the fullest measure of representation and control.</w:t>
      </w:r>
      <w:r w:rsidR="0096102C" w:rsidRPr="00BA1219">
        <w:rPr>
          <w:lang w:val="en-CA"/>
        </w:rPr>
        <w:t xml:space="preserve"> </w:t>
      </w:r>
      <w:r w:rsidR="000074E4" w:rsidRPr="006B7726">
        <w:rPr>
          <w:lang w:val="en-CA"/>
        </w:rPr>
        <w:t>These are particularly important in setting overall priorities and responding to the special educational needs of the minority.</w:t>
      </w:r>
      <w:r>
        <w:rPr>
          <w:lang w:val="en-CA"/>
        </w:rPr>
        <w:t>”</w:t>
      </w:r>
      <w:r w:rsidR="0096102C" w:rsidRPr="00BA1219">
        <w:rPr>
          <w:rStyle w:val="Appelnotedebasdep"/>
          <w:lang w:val="en-CA"/>
        </w:rPr>
        <w:footnoteReference w:id="50"/>
      </w:r>
    </w:p>
    <w:p w14:paraId="7F62508A" w14:textId="75F5449B" w:rsidR="0042568E" w:rsidRDefault="00CB66D2" w:rsidP="0042568E">
      <w:pPr>
        <w:pStyle w:val="Citation"/>
        <w:numPr>
          <w:ilvl w:val="3"/>
          <w:numId w:val="11"/>
        </w:numPr>
        <w:ind w:left="851" w:hanging="425"/>
        <w:rPr>
          <w:lang w:val="en-CA"/>
        </w:rPr>
      </w:pPr>
      <w:r>
        <w:rPr>
          <w:lang w:val="en-CA"/>
        </w:rPr>
        <w:t>“</w:t>
      </w:r>
      <w:r w:rsidR="0096102C" w:rsidRPr="00BA1219">
        <w:rPr>
          <w:lang w:val="en-CA"/>
        </w:rPr>
        <w:t>5</w:t>
      </w:r>
      <w:r w:rsidR="0096102C" w:rsidRPr="00BA1219">
        <w:rPr>
          <w:lang w:val="en-CA"/>
        </w:rPr>
        <w:tab/>
      </w:r>
      <w:r w:rsidR="0042568E">
        <w:rPr>
          <w:lang w:val="en-CA"/>
        </w:rPr>
        <w:t xml:space="preserve">... </w:t>
      </w:r>
      <w:r w:rsidR="000074E4" w:rsidRPr="00BA1219">
        <w:rPr>
          <w:lang w:val="en-CA"/>
        </w:rPr>
        <w:t>Our country’s social context, demographics and history will therefore necessarily comprise the backdrop for the analysis of language rights.  Language rights cannot be analysed in the abstract, without regard for the historical context of the recognition thereof or for the concerns that the manner in which they are currently applied is meant to address.</w:t>
      </w:r>
    </w:p>
    <w:p w14:paraId="5D55E811" w14:textId="602E5457" w:rsidR="0042568E" w:rsidRPr="0042568E" w:rsidRDefault="0042568E" w:rsidP="00D15CF6">
      <w:pPr>
        <w:ind w:left="120" w:firstLine="731"/>
        <w:rPr>
          <w:lang w:val="en-CA"/>
        </w:rPr>
      </w:pPr>
      <w:r>
        <w:rPr>
          <w:sz w:val="22"/>
          <w:szCs w:val="22"/>
          <w:lang w:val="en-CA"/>
        </w:rPr>
        <w:t>...</w:t>
      </w:r>
    </w:p>
    <w:p w14:paraId="3F4957D8" w14:textId="4A619147" w:rsidR="00591787" w:rsidRPr="00BA1219" w:rsidRDefault="0096102C" w:rsidP="00D15CF6">
      <w:pPr>
        <w:pStyle w:val="Citation"/>
        <w:ind w:left="851"/>
        <w:rPr>
          <w:lang w:val="en-CA"/>
        </w:rPr>
      </w:pPr>
      <w:bookmarkStart w:id="27" w:name="par9"/>
      <w:r w:rsidRPr="00BA1219">
        <w:rPr>
          <w:lang w:val="en-CA"/>
        </w:rPr>
        <w:t>9</w:t>
      </w:r>
      <w:bookmarkEnd w:id="27"/>
      <w:r w:rsidRPr="00BA1219">
        <w:rPr>
          <w:lang w:val="en-CA"/>
        </w:rPr>
        <w:tab/>
      </w:r>
      <w:r w:rsidR="000074E4" w:rsidRPr="006B7726">
        <w:rPr>
          <w:lang w:val="en-CA"/>
        </w:rPr>
        <w:t>The current wording of s. 23 undoubtedly reflects the difficulties encountered in the discussions and negotiations that led up to the patriation of the Canadian Constitution in 1982.  In formulating those constitutional rights, the framers could not turn a deaf ear to the recognition sought by Francophones outside Quebec for substantive equality in education.  It was also impossible to ignore the concern felt by Quebec’s Anglophone minority as a result of the language disputes arising out of the “Quiet Revolution”, which had culminated in the enactment of the </w:t>
      </w:r>
      <w:r w:rsidR="000074E4" w:rsidRPr="006B7726">
        <w:rPr>
          <w:i/>
          <w:iCs/>
          <w:lang w:val="en-CA"/>
        </w:rPr>
        <w:t>CFL.</w:t>
      </w:r>
      <w:r w:rsidR="0042568E">
        <w:rPr>
          <w:lang w:val="en-CA"/>
        </w:rPr>
        <w:t>”</w:t>
      </w:r>
      <w:r w:rsidRPr="00BA1219">
        <w:rPr>
          <w:rStyle w:val="Appelnotedebasdep"/>
          <w:lang w:val="en-CA"/>
        </w:rPr>
        <w:footnoteReference w:id="51"/>
      </w:r>
    </w:p>
    <w:p w14:paraId="7BBBD03B" w14:textId="272F1300" w:rsidR="00591787" w:rsidRDefault="0096102C" w:rsidP="009B7445">
      <w:pPr>
        <w:pStyle w:val="Citation"/>
        <w:numPr>
          <w:ilvl w:val="3"/>
          <w:numId w:val="11"/>
        </w:numPr>
        <w:ind w:left="851" w:hanging="425"/>
        <w:rPr>
          <w:lang w:val="en-CA"/>
        </w:rPr>
      </w:pPr>
      <w:r w:rsidRPr="00BA1219">
        <w:rPr>
          <w:lang w:val="en-CA"/>
        </w:rPr>
        <w:t>4</w:t>
      </w:r>
      <w:r w:rsidRPr="00BA1219">
        <w:rPr>
          <w:lang w:val="en-CA"/>
        </w:rPr>
        <w:tab/>
      </w:r>
      <w:r w:rsidR="0042568E">
        <w:rPr>
          <w:lang w:val="en-CA"/>
        </w:rPr>
        <w:t xml:space="preserve">... </w:t>
      </w:r>
      <w:r w:rsidR="000074E4" w:rsidRPr="006B7726">
        <w:rPr>
          <w:lang w:val="en-CA"/>
        </w:rPr>
        <w:t>In addition, it is essential to place the purpose of the right in question in its linguistic, philosophical and historical contexts. </w:t>
      </w:r>
    </w:p>
    <w:p w14:paraId="53F89BAC" w14:textId="6BF61176" w:rsidR="002401F3" w:rsidRPr="002401F3" w:rsidRDefault="002401F3" w:rsidP="00D15CF6">
      <w:pPr>
        <w:ind w:left="120" w:firstLine="731"/>
        <w:rPr>
          <w:lang w:val="en-CA"/>
        </w:rPr>
      </w:pPr>
      <w:r>
        <w:rPr>
          <w:lang w:val="en-CA"/>
        </w:rPr>
        <w:t>...</w:t>
      </w:r>
    </w:p>
    <w:p w14:paraId="6F3074AC" w14:textId="2C272FEB" w:rsidR="00591787" w:rsidRPr="00BA1219" w:rsidRDefault="005A6BD1" w:rsidP="000070AA">
      <w:pPr>
        <w:pStyle w:val="Citation"/>
        <w:rPr>
          <w:lang w:val="en-CA"/>
        </w:rPr>
      </w:pPr>
      <w:r w:rsidRPr="00BA1219">
        <w:rPr>
          <w:lang w:val="en-CA"/>
        </w:rPr>
        <w:t>17</w:t>
      </w:r>
      <w:r w:rsidRPr="00BA1219">
        <w:rPr>
          <w:lang w:val="en-CA"/>
        </w:rPr>
        <w:tab/>
      </w:r>
      <w:r w:rsidR="005200E4">
        <w:rPr>
          <w:lang w:val="en-CA"/>
        </w:rPr>
        <w:t xml:space="preserve">... </w:t>
      </w:r>
      <w:r w:rsidR="000074E4" w:rsidRPr="006B7726">
        <w:rPr>
          <w:lang w:val="en-CA"/>
        </w:rPr>
        <w:t>As this Court stated in </w:t>
      </w:r>
      <w:r w:rsidR="000074E4" w:rsidRPr="006B7726">
        <w:rPr>
          <w:i/>
          <w:iCs/>
          <w:lang w:val="en-CA"/>
        </w:rPr>
        <w:t>Solski</w:t>
      </w:r>
      <w:r w:rsidR="000074E4" w:rsidRPr="006B7726">
        <w:rPr>
          <w:lang w:val="en-CA"/>
        </w:rPr>
        <w:t>, this means that the courts must, in interpreting s. 23, consider each language group’s social context, demographics and history. The courts thus have the delicate task of reconciling the sometimes divergent concerns of French</w:t>
      </w:r>
      <w:r w:rsidR="000074E4" w:rsidRPr="006B7726">
        <w:rPr>
          <w:lang w:val="en-CA"/>
        </w:rPr>
        <w:noBreakHyphen/>
        <w:t>speaking minority groups outside Quebec, whose language rights have been acquired at considerable expense, with the particular reality of Quebec’s English</w:t>
      </w:r>
      <w:r w:rsidR="000074E4" w:rsidRPr="006B7726">
        <w:rPr>
          <w:lang w:val="en-CA"/>
        </w:rPr>
        <w:noBreakHyphen/>
        <w:t>speaking minority and with how French</w:t>
      </w:r>
      <w:r w:rsidR="000074E4" w:rsidRPr="006B7726">
        <w:rPr>
          <w:lang w:val="en-CA"/>
        </w:rPr>
        <w:noBreakHyphen/>
        <w:t>speaking Quebecers, who are in the majority in that province but whose language is in the minority in the country as a whole, perceive their future in Canada (</w:t>
      </w:r>
      <w:r w:rsidR="000074E4" w:rsidRPr="006B7726">
        <w:rPr>
          <w:i/>
          <w:iCs/>
          <w:lang w:val="en-CA"/>
        </w:rPr>
        <w:t>Solski</w:t>
      </w:r>
      <w:r w:rsidR="000074E4" w:rsidRPr="006B7726">
        <w:rPr>
          <w:lang w:val="en-CA"/>
        </w:rPr>
        <w:t>, at para. 5).</w:t>
      </w:r>
      <w:r w:rsidR="002401F3">
        <w:rPr>
          <w:lang w:val="en-CA"/>
        </w:rPr>
        <w:t>”</w:t>
      </w:r>
      <w:r w:rsidR="0096102C" w:rsidRPr="00BA1219">
        <w:rPr>
          <w:rStyle w:val="Appelnotedebasdep"/>
          <w:lang w:val="en-CA"/>
        </w:rPr>
        <w:footnoteReference w:id="52"/>
      </w:r>
    </w:p>
    <w:p w14:paraId="30F8D376" w14:textId="26C6337C" w:rsidR="00A70514" w:rsidRPr="00BA1219" w:rsidRDefault="000074E4" w:rsidP="005A6BD1">
      <w:pPr>
        <w:pStyle w:val="Paragrsimple"/>
        <w:rPr>
          <w:lang w:val="en-CA"/>
        </w:rPr>
      </w:pPr>
      <w:r w:rsidRPr="006B7726">
        <w:rPr>
          <w:lang w:val="en-CA"/>
        </w:rPr>
        <w:t xml:space="preserve">Other than the provisions of section 133, the </w:t>
      </w:r>
      <w:r w:rsidRPr="006B7726">
        <w:rPr>
          <w:i/>
          <w:lang w:val="en-CA"/>
        </w:rPr>
        <w:t>Constitution Act, 1867</w:t>
      </w:r>
      <w:r w:rsidRPr="006B7726">
        <w:rPr>
          <w:rStyle w:val="Appelnotedebasdep"/>
          <w:i/>
          <w:iCs/>
          <w:lang w:val="en-CA"/>
        </w:rPr>
        <w:footnoteReference w:id="53"/>
      </w:r>
      <w:r w:rsidR="002401F3">
        <w:rPr>
          <w:lang w:val="en-CA"/>
        </w:rPr>
        <w:t xml:space="preserve"> </w:t>
      </w:r>
      <w:r w:rsidRPr="006B7726">
        <w:rPr>
          <w:lang w:val="en-CA"/>
        </w:rPr>
        <w:t>is silent on language rights.</w:t>
      </w:r>
      <w:r w:rsidR="0096102C" w:rsidRPr="00BA1219">
        <w:rPr>
          <w:lang w:val="en-CA"/>
        </w:rPr>
        <w:t xml:space="preserve"> </w:t>
      </w:r>
      <w:r w:rsidRPr="00BA1219">
        <w:rPr>
          <w:lang w:val="en-CA"/>
        </w:rPr>
        <w:t xml:space="preserve">Section 93 grants minority groups protection </w:t>
      </w:r>
      <w:r w:rsidR="00D15CF6">
        <w:rPr>
          <w:lang w:val="en-CA"/>
        </w:rPr>
        <w:t xml:space="preserve">in the area of education </w:t>
      </w:r>
      <w:r w:rsidRPr="00BA1219">
        <w:rPr>
          <w:lang w:val="en-CA"/>
        </w:rPr>
        <w:t>on the basis of religion</w:t>
      </w:r>
      <w:r w:rsidR="00350084" w:rsidRPr="00BA1219">
        <w:rPr>
          <w:lang w:val="en-CA"/>
        </w:rPr>
        <w:t>:</w:t>
      </w:r>
    </w:p>
    <w:p w14:paraId="54D51BC6" w14:textId="5CC1AE9B" w:rsidR="00A70514" w:rsidRPr="00BA1219" w:rsidRDefault="0096102C" w:rsidP="005A6BD1">
      <w:pPr>
        <w:pStyle w:val="Citation"/>
        <w:rPr>
          <w:lang w:val="en-CA"/>
        </w:rPr>
      </w:pPr>
      <w:r w:rsidRPr="00BA1219">
        <w:rPr>
          <w:lang w:val="en-CA"/>
        </w:rPr>
        <w:t>93</w:t>
      </w:r>
      <w:r w:rsidRPr="00BA1219">
        <w:rPr>
          <w:lang w:val="en-CA"/>
        </w:rPr>
        <w:tab/>
      </w:r>
      <w:r w:rsidR="000074E4" w:rsidRPr="006B7726">
        <w:rPr>
          <w:lang w:val="en-CA"/>
        </w:rPr>
        <w:t xml:space="preserve">In and for each Province the Legislature may exclusively make Laws in relation to Education, subject and according to the following Provisions: </w:t>
      </w:r>
      <w:r w:rsidRPr="00BA1219">
        <w:rPr>
          <w:lang w:val="en-CA"/>
        </w:rPr>
        <w:t xml:space="preserve"> </w:t>
      </w:r>
    </w:p>
    <w:p w14:paraId="0E9766D4" w14:textId="02C1A0E7" w:rsidR="00A70514" w:rsidRPr="00BA1219" w:rsidRDefault="0096102C" w:rsidP="005A6BD1">
      <w:pPr>
        <w:pStyle w:val="Citation"/>
        <w:ind w:left="1134"/>
        <w:rPr>
          <w:lang w:val="en-CA"/>
        </w:rPr>
      </w:pPr>
      <w:r w:rsidRPr="00BA1219">
        <w:rPr>
          <w:lang w:val="en-CA"/>
        </w:rPr>
        <w:lastRenderedPageBreak/>
        <w:t>1.</w:t>
      </w:r>
      <w:r w:rsidRPr="00BA1219">
        <w:rPr>
          <w:lang w:val="en-CA"/>
        </w:rPr>
        <w:tab/>
      </w:r>
      <w:r w:rsidR="000074E4" w:rsidRPr="006B7726">
        <w:rPr>
          <w:lang w:val="en-CA"/>
        </w:rPr>
        <w:t>Nothing in any such Law shall prejudicially affect any Right or Privilege with respect to Denominational Schools which any Class of Persons have by Law in the Province at the Union</w:t>
      </w:r>
      <w:r w:rsidR="000074E4" w:rsidRPr="00BA1219">
        <w:rPr>
          <w:lang w:val="en-CA"/>
        </w:rPr>
        <w:t>;</w:t>
      </w:r>
    </w:p>
    <w:p w14:paraId="61509C12" w14:textId="1FE64844" w:rsidR="00A70514" w:rsidRPr="00BA1219" w:rsidRDefault="0096102C" w:rsidP="005A6BD1">
      <w:pPr>
        <w:pStyle w:val="Citation"/>
        <w:ind w:left="1134"/>
        <w:rPr>
          <w:lang w:val="en-CA"/>
        </w:rPr>
      </w:pPr>
      <w:r w:rsidRPr="00BA1219">
        <w:rPr>
          <w:lang w:val="en-CA"/>
        </w:rPr>
        <w:t>2.</w:t>
      </w:r>
      <w:r w:rsidRPr="00BA1219">
        <w:rPr>
          <w:lang w:val="en-CA"/>
        </w:rPr>
        <w:tab/>
      </w:r>
      <w:r w:rsidR="007C0944" w:rsidRPr="006B7726">
        <w:rPr>
          <w:lang w:val="en-CA"/>
        </w:rPr>
        <w:t>All the Powers, Privileges, and Duties at the Union by Law conferred and imposed in Upper Canada on the Separate Schools and School Trustees of the Queen's Roman Catholic Subjects shall be and the same are hereby extended to the Dissentient Schools of the Queen's Protestant and Roman Catholic Subjects in Quebec;</w:t>
      </w:r>
    </w:p>
    <w:p w14:paraId="6C803C32" w14:textId="037442A9" w:rsidR="00A70514" w:rsidRPr="00BA1219" w:rsidRDefault="0096102C" w:rsidP="005A6BD1">
      <w:pPr>
        <w:pStyle w:val="Citation"/>
        <w:ind w:left="1134"/>
        <w:rPr>
          <w:lang w:val="en-CA"/>
        </w:rPr>
      </w:pPr>
      <w:r w:rsidRPr="00BA1219">
        <w:rPr>
          <w:lang w:val="en-CA"/>
        </w:rPr>
        <w:t>3.</w:t>
      </w:r>
      <w:r w:rsidRPr="00BA1219">
        <w:rPr>
          <w:lang w:val="en-CA"/>
        </w:rPr>
        <w:tab/>
      </w:r>
      <w:r w:rsidR="007C0944" w:rsidRPr="006B7726">
        <w:rPr>
          <w:lang w:val="en-CA"/>
        </w:rPr>
        <w:t>Where in any Province a System of Separate or Dissentient Schools exists by Law at the Union or is thereafter established by the Legislature of the Province, an Appeal shall lie to the Governor General in Council from any act or Decision of any Provincial Authority affecting any Right or Privilege of the Protestant or Roman Catholic Minority of the Queen's Subjects in relation to Education;</w:t>
      </w:r>
    </w:p>
    <w:p w14:paraId="0E924C51" w14:textId="40A0F1F6" w:rsidR="00591787" w:rsidRPr="00BA1219" w:rsidRDefault="0096102C" w:rsidP="005A6BD1">
      <w:pPr>
        <w:pStyle w:val="Citation"/>
        <w:ind w:left="1134"/>
        <w:rPr>
          <w:lang w:val="en-CA"/>
        </w:rPr>
      </w:pPr>
      <w:r w:rsidRPr="00BA1219">
        <w:rPr>
          <w:lang w:val="en-CA"/>
        </w:rPr>
        <w:t>4.</w:t>
      </w:r>
      <w:r w:rsidRPr="00BA1219">
        <w:rPr>
          <w:lang w:val="en-CA"/>
        </w:rPr>
        <w:tab/>
      </w:r>
      <w:r w:rsidR="007C0944" w:rsidRPr="006B7726">
        <w:rPr>
          <w:lang w:val="en-CA"/>
        </w:rPr>
        <w:t>In case any such Provincial Law as from Time to Time seems to the Governor General in Council requisite for the due Execution of the Provisions of this Section is not made, or in case any Decision of the Governor General in Council on any Appeal under this Section is not duly executed by the proper Provincial Authority in that Behalf, then and in every such Case, and as far only as the Circumstances of each Case require, the Parliament of Canada may make remedial Laws for the due Execution of the Provisions of this Section and of any Decision of the Governor General in Council under this Section.</w:t>
      </w:r>
    </w:p>
    <w:p w14:paraId="1D868689" w14:textId="4AA82331" w:rsidR="00CF5F6E" w:rsidRPr="00BA1219" w:rsidRDefault="007C0944" w:rsidP="005A6BD1">
      <w:pPr>
        <w:pStyle w:val="Paragrsimple"/>
        <w:rPr>
          <w:lang w:val="en-CA"/>
        </w:rPr>
      </w:pPr>
      <w:r w:rsidRPr="00BA1219">
        <w:rPr>
          <w:lang w:val="en-CA"/>
        </w:rPr>
        <w:t xml:space="preserve">The AGQ denies any connection between section 93 of the </w:t>
      </w:r>
      <w:r w:rsidRPr="00BA1219">
        <w:rPr>
          <w:i/>
          <w:lang w:val="en-CA"/>
        </w:rPr>
        <w:t>Constitution Act, 1867</w:t>
      </w:r>
      <w:r w:rsidRPr="00BA1219">
        <w:rPr>
          <w:lang w:val="en-CA"/>
        </w:rPr>
        <w:t xml:space="preserve"> and section 23 of the </w:t>
      </w:r>
      <w:r w:rsidRPr="00BA1219">
        <w:rPr>
          <w:i/>
          <w:lang w:val="en-CA"/>
        </w:rPr>
        <w:t>Charter</w:t>
      </w:r>
      <w:r w:rsidRPr="00BA1219">
        <w:rPr>
          <w:lang w:val="en-CA"/>
        </w:rPr>
        <w:t>.</w:t>
      </w:r>
      <w:r w:rsidR="008D5FEB" w:rsidRPr="00BA1219">
        <w:rPr>
          <w:lang w:val="en-CA"/>
        </w:rPr>
        <w:t xml:space="preserve"> </w:t>
      </w:r>
      <w:r w:rsidR="00EC4031">
        <w:rPr>
          <w:lang w:val="en-CA"/>
        </w:rPr>
        <w:t>This</w:t>
      </w:r>
      <w:r w:rsidR="00EC4031" w:rsidRPr="006B7726">
        <w:rPr>
          <w:lang w:val="en-CA"/>
        </w:rPr>
        <w:t xml:space="preserve"> </w:t>
      </w:r>
      <w:r w:rsidRPr="006B7726">
        <w:rPr>
          <w:lang w:val="en-CA"/>
        </w:rPr>
        <w:t>denial simply cannot stand.</w:t>
      </w:r>
      <w:r w:rsidR="008D5FEB" w:rsidRPr="00BA1219">
        <w:rPr>
          <w:lang w:val="en-CA"/>
        </w:rPr>
        <w:t xml:space="preserve"> </w:t>
      </w:r>
      <w:r w:rsidRPr="00BA1219">
        <w:rPr>
          <w:lang w:val="en-CA"/>
        </w:rPr>
        <w:t xml:space="preserve">It was </w:t>
      </w:r>
      <w:r w:rsidR="007E78A1">
        <w:rPr>
          <w:lang w:val="en-CA"/>
        </w:rPr>
        <w:t xml:space="preserve">precisely in large part </w:t>
      </w:r>
      <w:r w:rsidRPr="00BA1219">
        <w:rPr>
          <w:lang w:val="en-CA"/>
        </w:rPr>
        <w:t>because</w:t>
      </w:r>
      <w:r w:rsidR="007E78A1">
        <w:rPr>
          <w:lang w:val="en-CA"/>
        </w:rPr>
        <w:t>,</w:t>
      </w:r>
      <w:r w:rsidRPr="00BA1219">
        <w:rPr>
          <w:lang w:val="en-CA"/>
        </w:rPr>
        <w:t xml:space="preserve"> </w:t>
      </w:r>
      <w:r w:rsidR="00350084" w:rsidRPr="00BA1219">
        <w:rPr>
          <w:lang w:val="en-CA"/>
        </w:rPr>
        <w:t>outside Quebec</w:t>
      </w:r>
      <w:r w:rsidR="007E78A1">
        <w:rPr>
          <w:lang w:val="en-CA"/>
        </w:rPr>
        <w:t>,</w:t>
      </w:r>
      <w:r w:rsidR="00350084" w:rsidRPr="00BA1219">
        <w:rPr>
          <w:lang w:val="en-CA"/>
        </w:rPr>
        <w:t xml:space="preserve"> </w:t>
      </w:r>
      <w:r w:rsidRPr="00BA1219">
        <w:rPr>
          <w:lang w:val="en-CA"/>
        </w:rPr>
        <w:t xml:space="preserve">the protection of religious freedoms </w:t>
      </w:r>
      <w:r w:rsidR="00EC4031">
        <w:rPr>
          <w:lang w:val="en-CA"/>
        </w:rPr>
        <w:t>could not</w:t>
      </w:r>
      <w:r w:rsidRPr="00BA1219">
        <w:rPr>
          <w:lang w:val="en-CA"/>
        </w:rPr>
        <w:t xml:space="preserve"> be transformed</w:t>
      </w:r>
      <w:r w:rsidR="00350084">
        <w:rPr>
          <w:lang w:val="en-CA"/>
        </w:rPr>
        <w:t xml:space="preserve"> </w:t>
      </w:r>
      <w:r w:rsidRPr="00BA1219">
        <w:rPr>
          <w:lang w:val="en-CA"/>
        </w:rPr>
        <w:t>into protection of</w:t>
      </w:r>
      <w:r w:rsidR="007E78A1">
        <w:rPr>
          <w:lang w:val="en-CA"/>
        </w:rPr>
        <w:t xml:space="preserve"> </w:t>
      </w:r>
      <w:r w:rsidRPr="00BA1219">
        <w:rPr>
          <w:lang w:val="en-CA"/>
        </w:rPr>
        <w:t xml:space="preserve">the minority language, French, that the </w:t>
      </w:r>
      <w:r w:rsidR="007E78A1">
        <w:rPr>
          <w:lang w:val="en-CA"/>
        </w:rPr>
        <w:t>framers of the Constitution</w:t>
      </w:r>
      <w:r w:rsidRPr="00BA1219">
        <w:rPr>
          <w:lang w:val="en-CA"/>
        </w:rPr>
        <w:t xml:space="preserve"> </w:t>
      </w:r>
      <w:r w:rsidR="007E78A1">
        <w:rPr>
          <w:lang w:val="en-CA"/>
        </w:rPr>
        <w:t xml:space="preserve">in 1982 </w:t>
      </w:r>
      <w:r w:rsidRPr="00BA1219">
        <w:rPr>
          <w:lang w:val="en-CA"/>
        </w:rPr>
        <w:t>enshrined the right to education in the minority language.</w:t>
      </w:r>
      <w:r w:rsidR="008D5FEB" w:rsidRPr="00BA1219">
        <w:rPr>
          <w:lang w:val="en-CA"/>
        </w:rPr>
        <w:t xml:space="preserve"> </w:t>
      </w:r>
      <w:r w:rsidRPr="006B7726">
        <w:rPr>
          <w:lang w:val="en-CA"/>
        </w:rPr>
        <w:t xml:space="preserve">In </w:t>
      </w:r>
      <w:r w:rsidRPr="00BA1219">
        <w:rPr>
          <w:rFonts w:cs="Arial"/>
          <w:i/>
          <w:iCs/>
          <w:color w:val="000000"/>
          <w:szCs w:val="24"/>
          <w:lang w:val="en-CA" w:eastAsia="fr-CA"/>
        </w:rPr>
        <w:t>A.G. (Que.) v. Quebec Protestant School Boards</w:t>
      </w:r>
      <w:r w:rsidRPr="00BA1219">
        <w:rPr>
          <w:rFonts w:cs="Arial"/>
          <w:color w:val="000000"/>
          <w:szCs w:val="24"/>
          <w:lang w:val="en-CA" w:eastAsia="fr-CA"/>
        </w:rPr>
        <w:t xml:space="preserve">, </w:t>
      </w:r>
      <w:r w:rsidRPr="006B7726">
        <w:rPr>
          <w:color w:val="212529"/>
          <w:lang w:val="en-CA"/>
        </w:rPr>
        <w:t xml:space="preserve">Wilson J. aptly wrote the following </w:t>
      </w:r>
      <w:r w:rsidR="00350084">
        <w:rPr>
          <w:color w:val="212529"/>
          <w:lang w:val="en-CA"/>
        </w:rPr>
        <w:t xml:space="preserve">on behalf of </w:t>
      </w:r>
      <w:r w:rsidRPr="006B7726">
        <w:rPr>
          <w:color w:val="212529"/>
          <w:lang w:val="en-CA"/>
        </w:rPr>
        <w:t>the Court</w:t>
      </w:r>
      <w:r w:rsidR="00350084">
        <w:rPr>
          <w:color w:val="212529"/>
          <w:lang w:val="en-CA"/>
        </w:rPr>
        <w:t>:</w:t>
      </w:r>
      <w:r w:rsidR="0096102C" w:rsidRPr="00350084">
        <w:rPr>
          <w:rStyle w:val="Appelnotedebasdep"/>
          <w:rFonts w:cs="Arial"/>
          <w:color w:val="212529"/>
          <w:szCs w:val="24"/>
          <w:lang w:val="en-CA"/>
        </w:rPr>
        <w:footnoteReference w:id="54"/>
      </w:r>
    </w:p>
    <w:p w14:paraId="4CE3F7B5" w14:textId="1BCF3B22" w:rsidR="00E975A3" w:rsidRPr="00BA1219" w:rsidRDefault="007C0944" w:rsidP="005A6BD1">
      <w:pPr>
        <w:pStyle w:val="Citation"/>
        <w:rPr>
          <w:lang w:val="en-CA"/>
        </w:rPr>
      </w:pPr>
      <w:r w:rsidRPr="00BA1219">
        <w:rPr>
          <w:lang w:val="en-CA"/>
        </w:rPr>
        <w:t xml:space="preserve">Section 23 of the </w:t>
      </w:r>
      <w:r w:rsidRPr="00BA1219">
        <w:rPr>
          <w:i/>
          <w:iCs/>
          <w:lang w:val="en-CA"/>
        </w:rPr>
        <w:t>Charter</w:t>
      </w:r>
      <w:r w:rsidRPr="00BA1219">
        <w:rPr>
          <w:lang w:val="en-CA"/>
        </w:rPr>
        <w:t xml:space="preserve"> is not, like other provisions in that constitutional document, of the kind generally found in such charters and declarations of fundamental rights. It is not a codification of essential, pre-existing and more or less universal rights that are being confirmed and perhaps clarified, extended or amended, and which, most importantly, are being given a new primacy and inviolability by their entrenchment in the supreme law of the land. The special provisions of s. 23 of the </w:t>
      </w:r>
      <w:r w:rsidRPr="00BA1219">
        <w:rPr>
          <w:i/>
          <w:iCs/>
          <w:lang w:val="en-CA"/>
        </w:rPr>
        <w:t>Charter</w:t>
      </w:r>
      <w:r w:rsidRPr="00BA1219">
        <w:rPr>
          <w:lang w:val="en-CA"/>
        </w:rPr>
        <w:t xml:space="preserve"> make it a unique set of constitutional provisions, quite peculiar to Canada.</w:t>
      </w:r>
      <w:r w:rsidR="005A6BD1" w:rsidRPr="00BA1219">
        <w:rPr>
          <w:lang w:val="en-CA"/>
        </w:rPr>
        <w:t xml:space="preserve"> </w:t>
      </w:r>
    </w:p>
    <w:p w14:paraId="60A2AE99" w14:textId="7F838381" w:rsidR="00E975A3" w:rsidRPr="00BA1219" w:rsidRDefault="007C0944" w:rsidP="007C0944">
      <w:pPr>
        <w:pStyle w:val="Citation"/>
        <w:rPr>
          <w:lang w:val="en-CA"/>
        </w:rPr>
      </w:pPr>
      <w:r w:rsidRPr="00BA1219">
        <w:rPr>
          <w:lang w:val="en-CA"/>
        </w:rPr>
        <w:lastRenderedPageBreak/>
        <w:t>This set of constitutional provisions was not enacted by the framers in a vacuum. When it was adopted, the framers knew, and clearly had in mind the regimes governing the Anglophone and Francophone linguistic minorities in various provinces in Canada so far as the language of instruction was concerned. They also had in mind the history of these regimes, both earlier ones such as Regulation 17, which for a time limited instruction in French in the separate schools of Ontario—</w:t>
      </w:r>
      <w:r w:rsidRPr="00BA1219">
        <w:rPr>
          <w:i/>
          <w:iCs/>
          <w:lang w:val="en-CA"/>
        </w:rPr>
        <w:t>Ottawa Separate Schools Trustees v. Mackell, </w:t>
      </w:r>
      <w:r w:rsidRPr="00BA1219">
        <w:rPr>
          <w:lang w:val="en-CA"/>
        </w:rPr>
        <w:t>[1917] A.C. 62—as well as more recent ones such as </w:t>
      </w:r>
      <w:r w:rsidRPr="00BA1219">
        <w:rPr>
          <w:i/>
          <w:iCs/>
          <w:lang w:val="en-CA"/>
        </w:rPr>
        <w:t>Bill 101 </w:t>
      </w:r>
      <w:r w:rsidRPr="00BA1219">
        <w:rPr>
          <w:lang w:val="en-CA"/>
        </w:rPr>
        <w:t>and the legislation which preceded it in Quebec. Rightly or wrongly,—and it is not for the courts to decide,—the framers of the Constitution manifestly regarded as inadequate some—and perhaps all—of the regimes in force at the time the </w:t>
      </w:r>
      <w:r w:rsidRPr="00BA1219">
        <w:rPr>
          <w:i/>
          <w:iCs/>
          <w:lang w:val="en-CA"/>
        </w:rPr>
        <w:t>Charter </w:t>
      </w:r>
      <w:r w:rsidRPr="00BA1219">
        <w:rPr>
          <w:lang w:val="en-CA"/>
        </w:rPr>
        <w:t>was enacted, and their intention was to remedy the perceived defects of these regimes by uniform corrective measures, namely those contained in s. 23 of the </w:t>
      </w:r>
      <w:r w:rsidRPr="00BA1219">
        <w:rPr>
          <w:i/>
          <w:iCs/>
          <w:lang w:val="en-CA"/>
        </w:rPr>
        <w:t>Charter, </w:t>
      </w:r>
      <w:r w:rsidRPr="00BA1219">
        <w:rPr>
          <w:lang w:val="en-CA"/>
        </w:rPr>
        <w:t>which were at the same time given the status of a constitutional guarantee. The framers of the Constitution unquestionably intended by s. 23 to establish a general regime for the language of instruction, not a special regime for Quebec; but in view of the period when the </w:t>
      </w:r>
      <w:r w:rsidRPr="00BA1219">
        <w:rPr>
          <w:i/>
          <w:iCs/>
          <w:lang w:val="en-CA"/>
        </w:rPr>
        <w:t>Charter </w:t>
      </w:r>
      <w:r w:rsidRPr="00BA1219">
        <w:rPr>
          <w:lang w:val="en-CA"/>
        </w:rPr>
        <w:t>was enacted, and especially in light of the wording of s. 23 of the </w:t>
      </w:r>
      <w:r w:rsidRPr="00BA1219">
        <w:rPr>
          <w:i/>
          <w:iCs/>
          <w:lang w:val="en-CA"/>
        </w:rPr>
        <w:t>Charter </w:t>
      </w:r>
      <w:r w:rsidRPr="00BA1219">
        <w:rPr>
          <w:lang w:val="en-CA"/>
        </w:rPr>
        <w:t>as compared with that of ss. 72 and 73 of </w:t>
      </w:r>
      <w:r w:rsidRPr="00BA1219">
        <w:rPr>
          <w:i/>
          <w:iCs/>
          <w:lang w:val="en-CA"/>
        </w:rPr>
        <w:t>Bill 101, </w:t>
      </w:r>
      <w:r w:rsidRPr="00BA1219">
        <w:rPr>
          <w:lang w:val="en-CA"/>
        </w:rPr>
        <w:t xml:space="preserve">it is apparent that the combined effect of the latter two sections seemed to the framers like an archetype of the regimes needing reform, or which at least had to be affected, and the remedy prescribed for all of Canada by s. 23 of the </w:t>
      </w:r>
      <w:r w:rsidRPr="00BA1219">
        <w:rPr>
          <w:i/>
          <w:iCs/>
          <w:lang w:val="en-CA"/>
        </w:rPr>
        <w:t>Charter </w:t>
      </w:r>
    </w:p>
    <w:p w14:paraId="5C11073C" w14:textId="53003107" w:rsidR="00591787" w:rsidRPr="00BA1219" w:rsidRDefault="007C0944" w:rsidP="005A6BD1">
      <w:pPr>
        <w:pStyle w:val="Paragrsimple"/>
        <w:rPr>
          <w:lang w:val="en-CA"/>
        </w:rPr>
      </w:pPr>
      <w:r w:rsidRPr="00BA1219">
        <w:rPr>
          <w:lang w:val="en-CA"/>
        </w:rPr>
        <w:t>Historically, Quebec’s English-speaking minority has been treated differently than the French-speaking minority in Ontario, Western Canada, and the Maritimes.</w:t>
      </w:r>
      <w:r w:rsidR="0096102C" w:rsidRPr="00BA1219">
        <w:rPr>
          <w:lang w:val="en-CA"/>
        </w:rPr>
        <w:t xml:space="preserve"> </w:t>
      </w:r>
      <w:r w:rsidRPr="00BA1219">
        <w:rPr>
          <w:lang w:val="en-CA"/>
        </w:rPr>
        <w:t xml:space="preserve">Through religious minority institutions it has benefitted from linguistic protections that </w:t>
      </w:r>
      <w:r w:rsidR="00780D9F">
        <w:rPr>
          <w:lang w:val="en-CA"/>
        </w:rPr>
        <w:t>have been</w:t>
      </w:r>
      <w:r w:rsidRPr="00BA1219">
        <w:rPr>
          <w:lang w:val="en-CA"/>
        </w:rPr>
        <w:t xml:space="preserve"> denied several French-speaking communities.</w:t>
      </w:r>
      <w:r w:rsidR="0096102C" w:rsidRPr="00BA1219">
        <w:rPr>
          <w:lang w:val="en-CA"/>
        </w:rPr>
        <w:t xml:space="preserve"> </w:t>
      </w:r>
    </w:p>
    <w:p w14:paraId="144F78F8" w14:textId="16D64CD4" w:rsidR="00D9749D" w:rsidRPr="00BA1219" w:rsidRDefault="007C0944" w:rsidP="005A6BD1">
      <w:pPr>
        <w:pStyle w:val="Paragrsimple"/>
        <w:rPr>
          <w:lang w:val="en-CA"/>
        </w:rPr>
      </w:pPr>
      <w:r w:rsidRPr="00BA1219">
        <w:rPr>
          <w:lang w:val="en-CA"/>
        </w:rPr>
        <w:t xml:space="preserve">However, the </w:t>
      </w:r>
      <w:r w:rsidR="00EC4031">
        <w:rPr>
          <w:lang w:val="en-CA"/>
        </w:rPr>
        <w:t>P</w:t>
      </w:r>
      <w:r w:rsidRPr="00BA1219">
        <w:rPr>
          <w:lang w:val="en-CA"/>
        </w:rPr>
        <w:t>rotestant community</w:t>
      </w:r>
      <w:r w:rsidR="00780D9F">
        <w:rPr>
          <w:lang w:val="en-CA"/>
        </w:rPr>
        <w:t xml:space="preserve"> –</w:t>
      </w:r>
      <w:r w:rsidRPr="00BA1219">
        <w:rPr>
          <w:lang w:val="en-CA"/>
        </w:rPr>
        <w:t xml:space="preserve"> or </w:t>
      </w:r>
      <w:r w:rsidR="00780D9F">
        <w:rPr>
          <w:lang w:val="en-CA"/>
        </w:rPr>
        <w:t>to be more precise,</w:t>
      </w:r>
      <w:r w:rsidRPr="00BA1219">
        <w:rPr>
          <w:lang w:val="en-CA"/>
        </w:rPr>
        <w:t xml:space="preserve"> the </w:t>
      </w:r>
      <w:r w:rsidR="00EC4031">
        <w:rPr>
          <w:lang w:val="en-CA"/>
        </w:rPr>
        <w:t>P</w:t>
      </w:r>
      <w:r w:rsidRPr="00BA1219">
        <w:rPr>
          <w:lang w:val="en-CA"/>
        </w:rPr>
        <w:t>rotestant communities</w:t>
      </w:r>
      <w:r w:rsidR="00780D9F">
        <w:rPr>
          <w:lang w:val="en-CA"/>
        </w:rPr>
        <w:t xml:space="preserve"> –</w:t>
      </w:r>
      <w:r w:rsidRPr="00BA1219">
        <w:rPr>
          <w:lang w:val="en-CA"/>
        </w:rPr>
        <w:t xml:space="preserve"> did not exercise homogenous control over their educational institutions, either geographically or chronologically.</w:t>
      </w:r>
      <w:r w:rsidR="0096102C" w:rsidRPr="00BA1219">
        <w:rPr>
          <w:lang w:val="en-CA"/>
        </w:rPr>
        <w:t xml:space="preserve"> The various expert reports produced by both parties illustrate the variety and complexity of the models used since the early </w:t>
      </w:r>
      <w:r w:rsidR="00EC4031">
        <w:rPr>
          <w:lang w:val="en-CA"/>
        </w:rPr>
        <w:t>nineteenth</w:t>
      </w:r>
      <w:r w:rsidR="00EC4031" w:rsidRPr="00BA1219">
        <w:rPr>
          <w:lang w:val="en-CA"/>
        </w:rPr>
        <w:t xml:space="preserve"> </w:t>
      </w:r>
      <w:r w:rsidR="0096102C" w:rsidRPr="00BA1219">
        <w:rPr>
          <w:lang w:val="en-CA"/>
        </w:rPr>
        <w:t>century.</w:t>
      </w:r>
      <w:r w:rsidR="00F038FF" w:rsidRPr="00BA1219">
        <w:rPr>
          <w:lang w:val="en-CA"/>
        </w:rPr>
        <w:t xml:space="preserve"> </w:t>
      </w:r>
      <w:r w:rsidR="0096102C" w:rsidRPr="00BA1219">
        <w:rPr>
          <w:lang w:val="en-CA"/>
        </w:rPr>
        <w:t xml:space="preserve">These studies are fascinating for the history buff, but do not make it possible to identify a model </w:t>
      </w:r>
      <w:r w:rsidR="00F21B0B">
        <w:rPr>
          <w:lang w:val="en-CA"/>
        </w:rPr>
        <w:t>from</w:t>
      </w:r>
      <w:r w:rsidR="00EC4031">
        <w:rPr>
          <w:lang w:val="en-CA"/>
        </w:rPr>
        <w:t xml:space="preserve"> any time period </w:t>
      </w:r>
      <w:r w:rsidR="0096102C" w:rsidRPr="00BA1219">
        <w:rPr>
          <w:lang w:val="en-CA"/>
        </w:rPr>
        <w:t xml:space="preserve">that can be followed to </w:t>
      </w:r>
      <w:r w:rsidR="000E6029">
        <w:rPr>
          <w:lang w:val="en-CA"/>
        </w:rPr>
        <w:t>comply with</w:t>
      </w:r>
      <w:r w:rsidR="000E6029" w:rsidRPr="00BA1219">
        <w:rPr>
          <w:lang w:val="en-CA"/>
        </w:rPr>
        <w:t xml:space="preserve"> </w:t>
      </w:r>
      <w:r w:rsidR="0096102C" w:rsidRPr="00BA1219">
        <w:rPr>
          <w:lang w:val="en-CA"/>
        </w:rPr>
        <w:t>the provisions of section 23.</w:t>
      </w:r>
      <w:r w:rsidR="00F038FF" w:rsidRPr="00BA1219">
        <w:rPr>
          <w:lang w:val="en-CA"/>
        </w:rPr>
        <w:t xml:space="preserve"> </w:t>
      </w:r>
      <w:r w:rsidR="0096102C" w:rsidRPr="006B7726">
        <w:rPr>
          <w:lang w:val="en-CA"/>
        </w:rPr>
        <w:t xml:space="preserve">They do, however, </w:t>
      </w:r>
      <w:r w:rsidR="00F21B0B">
        <w:rPr>
          <w:lang w:val="en-CA"/>
        </w:rPr>
        <w:t>provide food for though</w:t>
      </w:r>
      <w:r w:rsidR="00823F78">
        <w:rPr>
          <w:lang w:val="en-CA"/>
        </w:rPr>
        <w:t>t</w:t>
      </w:r>
      <w:r w:rsidR="0096102C" w:rsidRPr="006B7726">
        <w:rPr>
          <w:lang w:val="en-CA"/>
        </w:rPr>
        <w:t>.</w:t>
      </w:r>
    </w:p>
    <w:p w14:paraId="47E07259" w14:textId="54A32A22" w:rsidR="007F2BAE" w:rsidRPr="00BA1219" w:rsidRDefault="0096102C" w:rsidP="005A6BD1">
      <w:pPr>
        <w:pStyle w:val="Paragrsimple"/>
        <w:rPr>
          <w:lang w:val="en-CA"/>
        </w:rPr>
      </w:pPr>
      <w:r w:rsidRPr="00BA1219">
        <w:rPr>
          <w:lang w:val="en-CA"/>
        </w:rPr>
        <w:t xml:space="preserve">To simplify matters, let us </w:t>
      </w:r>
      <w:r w:rsidR="00A602CB">
        <w:rPr>
          <w:lang w:val="en-CA"/>
        </w:rPr>
        <w:t>say</w:t>
      </w:r>
      <w:r w:rsidRPr="00BA1219">
        <w:rPr>
          <w:lang w:val="en-CA"/>
        </w:rPr>
        <w:t xml:space="preserve"> that the situation evolved as follows</w:t>
      </w:r>
      <w:r w:rsidR="00E25DFA">
        <w:rPr>
          <w:lang w:val="en-CA"/>
        </w:rPr>
        <w:t>.</w:t>
      </w:r>
    </w:p>
    <w:p w14:paraId="088F9947" w14:textId="57964EA7" w:rsidR="00E11361" w:rsidRPr="00972835" w:rsidRDefault="0096102C" w:rsidP="00E11361">
      <w:pPr>
        <w:pStyle w:val="Paragrsimple"/>
        <w:rPr>
          <w:lang w:val="en-CA" w:eastAsia="fr-CA"/>
        </w:rPr>
      </w:pPr>
      <w:r w:rsidRPr="00972835">
        <w:rPr>
          <w:iCs/>
          <w:lang w:val="en-CA"/>
        </w:rPr>
        <w:t xml:space="preserve">The first statute adopted by the British regime in 1801 was the </w:t>
      </w:r>
      <w:r w:rsidRPr="00972835">
        <w:rPr>
          <w:i/>
          <w:iCs/>
          <w:lang w:val="en-CA"/>
        </w:rPr>
        <w:t>Act respecting The Royal Institution for the Advancement of Learning</w:t>
      </w:r>
      <w:r w:rsidRPr="00972835">
        <w:rPr>
          <w:iCs/>
          <w:lang w:val="en-CA"/>
        </w:rPr>
        <w:t>.</w:t>
      </w:r>
      <w:r w:rsidRPr="00972835">
        <w:rPr>
          <w:rStyle w:val="Appelnotedebasdep"/>
          <w:rFonts w:cs="Arial"/>
          <w:szCs w:val="24"/>
          <w:lang w:val="en-CA"/>
        </w:rPr>
        <w:footnoteReference w:id="55"/>
      </w:r>
      <w:r w:rsidRPr="00972835">
        <w:rPr>
          <w:iCs/>
          <w:lang w:val="en-CA"/>
        </w:rPr>
        <w:t xml:space="preserve"> </w:t>
      </w:r>
      <w:r w:rsidRPr="00972835">
        <w:rPr>
          <w:lang w:val="en-CA" w:eastAsia="fr-CA"/>
        </w:rPr>
        <w:t xml:space="preserve">That </w:t>
      </w:r>
      <w:r w:rsidR="00A602CB">
        <w:rPr>
          <w:iCs/>
          <w:lang w:val="en-CA" w:eastAsia="fr-CA"/>
        </w:rPr>
        <w:t>statute</w:t>
      </w:r>
      <w:r w:rsidRPr="00972835">
        <w:rPr>
          <w:lang w:val="en-CA" w:eastAsia="fr-CA"/>
        </w:rPr>
        <w:t xml:space="preserve"> authorized the </w:t>
      </w:r>
      <w:r w:rsidR="00A602CB">
        <w:rPr>
          <w:lang w:val="en-CA" w:eastAsia="fr-CA"/>
        </w:rPr>
        <w:t>G</w:t>
      </w:r>
      <w:r w:rsidRPr="00972835">
        <w:rPr>
          <w:lang w:val="en-CA" w:eastAsia="fr-CA"/>
        </w:rPr>
        <w:t xml:space="preserve">overnor to appoint commissioners in each parish or county and organize schools; name teachers and determine their salaries; </w:t>
      </w:r>
      <w:r w:rsidR="00E25DFA" w:rsidRPr="00972835">
        <w:rPr>
          <w:lang w:val="en-CA" w:eastAsia="fr-CA"/>
        </w:rPr>
        <w:t xml:space="preserve">and </w:t>
      </w:r>
      <w:r w:rsidRPr="00972835">
        <w:rPr>
          <w:lang w:val="en-CA" w:eastAsia="fr-CA"/>
        </w:rPr>
        <w:t xml:space="preserve">name trustees to create the corporation of the Royal Institution charged with the governance of </w:t>
      </w:r>
      <w:r w:rsidR="00A602CB">
        <w:rPr>
          <w:lang w:val="en-CA" w:eastAsia="fr-CA"/>
        </w:rPr>
        <w:t xml:space="preserve">that </w:t>
      </w:r>
      <w:r w:rsidRPr="00972835">
        <w:rPr>
          <w:lang w:val="en-CA" w:eastAsia="fr-CA"/>
        </w:rPr>
        <w:t xml:space="preserve">entire school system in its name. The </w:t>
      </w:r>
      <w:r w:rsidRPr="00972835">
        <w:rPr>
          <w:lang w:val="en-CA" w:eastAsia="fr-CA"/>
        </w:rPr>
        <w:lastRenderedPageBreak/>
        <w:t xml:space="preserve">Catholic clergy saw this as a threat of assimilation and </w:t>
      </w:r>
      <w:r w:rsidR="00F03B3D">
        <w:rPr>
          <w:lang w:val="en-CA" w:eastAsia="fr-CA"/>
        </w:rPr>
        <w:t>conversion to Protesta</w:t>
      </w:r>
      <w:r w:rsidR="00322427">
        <w:rPr>
          <w:lang w:val="en-CA" w:eastAsia="fr-CA"/>
        </w:rPr>
        <w:t>n</w:t>
      </w:r>
      <w:r w:rsidR="00F03B3D">
        <w:rPr>
          <w:lang w:val="en-CA" w:eastAsia="fr-CA"/>
        </w:rPr>
        <w:t>tism</w:t>
      </w:r>
      <w:r w:rsidRPr="00972835">
        <w:rPr>
          <w:lang w:val="en-CA" w:eastAsia="fr-CA"/>
        </w:rPr>
        <w:t>, and almost universally opposed the Royal Institution.</w:t>
      </w:r>
      <w:r w:rsidRPr="00972835">
        <w:rPr>
          <w:rStyle w:val="Appelnotedebasdep"/>
          <w:rFonts w:cs="Arial"/>
          <w:szCs w:val="24"/>
          <w:lang w:val="en-CA" w:eastAsia="fr-CA"/>
        </w:rPr>
        <w:footnoteReference w:id="56"/>
      </w:r>
      <w:r w:rsidRPr="00972835">
        <w:rPr>
          <w:lang w:val="en-CA" w:eastAsia="fr-CA"/>
        </w:rPr>
        <w:t xml:space="preserve"> </w:t>
      </w:r>
    </w:p>
    <w:p w14:paraId="07F7DD36" w14:textId="7910FE23" w:rsidR="00E11361" w:rsidRPr="00BA1219" w:rsidRDefault="0096102C" w:rsidP="00E11361">
      <w:pPr>
        <w:pStyle w:val="Paragrsimple"/>
        <w:rPr>
          <w:lang w:val="en-CA"/>
        </w:rPr>
      </w:pPr>
      <w:r w:rsidRPr="00BA1219">
        <w:rPr>
          <w:lang w:val="en-CA"/>
        </w:rPr>
        <w:t>This statute subjected the education system to the control of Anglican rel</w:t>
      </w:r>
      <w:r w:rsidR="00653F14">
        <w:rPr>
          <w:lang w:val="en-CA"/>
        </w:rPr>
        <w:t>i</w:t>
      </w:r>
      <w:r w:rsidRPr="00BA1219">
        <w:rPr>
          <w:lang w:val="en-CA"/>
        </w:rPr>
        <w:t xml:space="preserve">gious authorities by instituting </w:t>
      </w:r>
      <w:r w:rsidR="00653F14">
        <w:rPr>
          <w:lang w:val="en-CA"/>
        </w:rPr>
        <w:t>r</w:t>
      </w:r>
      <w:r w:rsidRPr="00BA1219">
        <w:rPr>
          <w:lang w:val="en-CA"/>
        </w:rPr>
        <w:t>oyal, public, and free schools.</w:t>
      </w:r>
      <w:r w:rsidR="000070AA" w:rsidRPr="00BA1219">
        <w:rPr>
          <w:lang w:val="en-CA"/>
        </w:rPr>
        <w:t xml:space="preserve"> </w:t>
      </w:r>
      <w:r w:rsidRPr="00BA1219">
        <w:rPr>
          <w:lang w:val="en-CA"/>
        </w:rPr>
        <w:t xml:space="preserve">The </w:t>
      </w:r>
      <w:r w:rsidR="003A09FC">
        <w:rPr>
          <w:lang w:val="en-CA"/>
        </w:rPr>
        <w:t>government</w:t>
      </w:r>
      <w:r w:rsidR="003A09FC" w:rsidRPr="00BA1219">
        <w:rPr>
          <w:lang w:val="en-CA"/>
        </w:rPr>
        <w:t xml:space="preserve"> </w:t>
      </w:r>
      <w:r w:rsidRPr="00BA1219">
        <w:rPr>
          <w:lang w:val="en-CA"/>
        </w:rPr>
        <w:t>named the Royal Institution’s commissioners, who, in every parish, supervised the elementary school</w:t>
      </w:r>
      <w:r w:rsidR="003A09FC">
        <w:rPr>
          <w:lang w:val="en-CA"/>
        </w:rPr>
        <w:t xml:space="preserve"> and</w:t>
      </w:r>
      <w:r w:rsidRPr="00BA1219">
        <w:rPr>
          <w:lang w:val="en-CA"/>
        </w:rPr>
        <w:t xml:space="preserve"> the choice of teachers, from pedagogical methods to every aspect of instruction.</w:t>
      </w:r>
      <w:r w:rsidRPr="00BA1219">
        <w:rPr>
          <w:rStyle w:val="Appelnotedebasdep"/>
          <w:rFonts w:cs="Arial"/>
          <w:szCs w:val="24"/>
          <w:lang w:val="en-CA"/>
        </w:rPr>
        <w:footnoteReference w:id="57"/>
      </w:r>
    </w:p>
    <w:p w14:paraId="4AEE1EBB" w14:textId="0EFED15C" w:rsidR="00E11361" w:rsidRPr="00BA1219" w:rsidRDefault="0096102C" w:rsidP="00E11361">
      <w:pPr>
        <w:pStyle w:val="Paragrsimple"/>
        <w:rPr>
          <w:lang w:val="en-CA"/>
        </w:rPr>
      </w:pPr>
      <w:r w:rsidRPr="00BA1219">
        <w:rPr>
          <w:lang w:val="en-CA"/>
        </w:rPr>
        <w:t xml:space="preserve">Professor Lemieux </w:t>
      </w:r>
      <w:r w:rsidR="009E6EA1">
        <w:rPr>
          <w:lang w:val="en-CA"/>
        </w:rPr>
        <w:t>described</w:t>
      </w:r>
      <w:r w:rsidRPr="00BA1219">
        <w:rPr>
          <w:lang w:val="en-CA"/>
        </w:rPr>
        <w:t xml:space="preserve"> it </w:t>
      </w:r>
      <w:r w:rsidR="009E6EA1">
        <w:rPr>
          <w:lang w:val="en-CA"/>
        </w:rPr>
        <w:t xml:space="preserve">as </w:t>
      </w:r>
      <w:r w:rsidRPr="00BA1219">
        <w:rPr>
          <w:lang w:val="en-CA"/>
        </w:rPr>
        <w:t>[</w:t>
      </w:r>
      <w:r w:rsidRPr="00BA1219">
        <w:rPr>
          <w:smallCaps/>
          <w:lang w:val="en-CA"/>
        </w:rPr>
        <w:t>translation]</w:t>
      </w:r>
      <w:r w:rsidRPr="00BA1219">
        <w:rPr>
          <w:lang w:val="en-CA"/>
        </w:rPr>
        <w:t xml:space="preserve"> “quasi-complete </w:t>
      </w:r>
      <w:r w:rsidR="003A09FC">
        <w:rPr>
          <w:lang w:val="en-CA"/>
        </w:rPr>
        <w:t xml:space="preserve">State </w:t>
      </w:r>
      <w:r w:rsidRPr="00BA1219">
        <w:rPr>
          <w:lang w:val="en-CA"/>
        </w:rPr>
        <w:t>control over the school system”.</w:t>
      </w:r>
      <w:r w:rsidRPr="00BA1219">
        <w:rPr>
          <w:rStyle w:val="Appelnotedebasdep"/>
          <w:rFonts w:cs="Arial"/>
          <w:szCs w:val="24"/>
          <w:lang w:val="en-CA"/>
        </w:rPr>
        <w:footnoteReference w:id="58"/>
      </w:r>
      <w:r w:rsidR="0004112A" w:rsidRPr="00BA1219">
        <w:rPr>
          <w:lang w:val="en-CA"/>
        </w:rPr>
        <w:t xml:space="preserve"> </w:t>
      </w:r>
      <w:r w:rsidRPr="00BA1219">
        <w:rPr>
          <w:lang w:val="en-CA"/>
        </w:rPr>
        <w:t xml:space="preserve">He conceded that </w:t>
      </w:r>
      <w:r w:rsidR="009E6EA1">
        <w:rPr>
          <w:lang w:val="en-CA"/>
        </w:rPr>
        <w:t>this</w:t>
      </w:r>
      <w:r w:rsidRPr="00BA1219">
        <w:rPr>
          <w:lang w:val="en-CA"/>
        </w:rPr>
        <w:t xml:space="preserve"> control later diminished, even vanished.</w:t>
      </w:r>
      <w:r w:rsidR="0004112A" w:rsidRPr="00BA1219">
        <w:rPr>
          <w:lang w:val="en-CA"/>
        </w:rPr>
        <w:t xml:space="preserve"> </w:t>
      </w:r>
    </w:p>
    <w:p w14:paraId="2C1DDC07" w14:textId="6FD5887F" w:rsidR="00E11361" w:rsidRPr="00BA1219" w:rsidRDefault="0096102C" w:rsidP="00E11361">
      <w:pPr>
        <w:pStyle w:val="Paragrsimple"/>
        <w:rPr>
          <w:lang w:val="en-CA"/>
        </w:rPr>
      </w:pPr>
      <w:r w:rsidRPr="00BA1219">
        <w:rPr>
          <w:lang w:val="en-CA"/>
        </w:rPr>
        <w:t xml:space="preserve">Experts MacLeod and Poutanen note that control by the Anglican Church was met with opposition </w:t>
      </w:r>
      <w:r w:rsidR="009E6EA1">
        <w:rPr>
          <w:lang w:val="en-CA"/>
        </w:rPr>
        <w:t xml:space="preserve">from </w:t>
      </w:r>
      <w:r w:rsidRPr="00BA1219">
        <w:rPr>
          <w:lang w:val="en-CA"/>
        </w:rPr>
        <w:t xml:space="preserve">not </w:t>
      </w:r>
      <w:r w:rsidR="009E6EA1">
        <w:rPr>
          <w:lang w:val="en-CA"/>
        </w:rPr>
        <w:t xml:space="preserve">only </w:t>
      </w:r>
      <w:r w:rsidRPr="00BA1219">
        <w:rPr>
          <w:lang w:val="en-CA"/>
        </w:rPr>
        <w:t>the Catholic clergy, but also the other Protestant denominations.</w:t>
      </w:r>
      <w:r w:rsidR="00653F14" w:rsidRPr="00BA1219">
        <w:rPr>
          <w:rStyle w:val="Appelnotedebasdep"/>
          <w:rFonts w:cs="Arial"/>
          <w:szCs w:val="24"/>
          <w:lang w:val="en-CA"/>
        </w:rPr>
        <w:footnoteReference w:id="59"/>
      </w:r>
    </w:p>
    <w:p w14:paraId="108EC832" w14:textId="661B9509" w:rsidR="00E11361" w:rsidRPr="00BA1219" w:rsidRDefault="0096102C" w:rsidP="00E11361">
      <w:pPr>
        <w:pStyle w:val="Citation"/>
        <w:rPr>
          <w:lang w:val="en-CA"/>
        </w:rPr>
      </w:pPr>
      <w:r w:rsidRPr="00BA1219">
        <w:rPr>
          <w:lang w:val="en-CA"/>
        </w:rPr>
        <w:t>19 Anglicans, representing the “established” Church of England, strove to impose the same official and exclusive status</w:t>
      </w:r>
      <w:r w:rsidRPr="00BA1219">
        <w:rPr>
          <w:spacing w:val="-1"/>
          <w:lang w:val="en-CA"/>
        </w:rPr>
        <w:t xml:space="preserve"> </w:t>
      </w:r>
      <w:r w:rsidRPr="00BA1219">
        <w:rPr>
          <w:lang w:val="en-CA"/>
        </w:rPr>
        <w:t>on Protestants in the colony, a move that was naturally opposed by Presbyterians, Methodists, and other Non</w:t>
      </w:r>
      <w:r w:rsidR="00653F14">
        <w:rPr>
          <w:lang w:val="en-CA"/>
        </w:rPr>
        <w:noBreakHyphen/>
      </w:r>
      <w:r w:rsidRPr="00BA1219">
        <w:rPr>
          <w:lang w:val="en-CA"/>
        </w:rPr>
        <w:t>conformists. Because these groups were drawn together in common cause, and given their traditional support for public education, Presbyterians and Non-conformists tended to promote a religiously neutral, or non-denominational, form</w:t>
      </w:r>
      <w:r w:rsidRPr="00BA1219">
        <w:rPr>
          <w:spacing w:val="-1"/>
          <w:lang w:val="en-CA"/>
        </w:rPr>
        <w:t xml:space="preserve"> </w:t>
      </w:r>
      <w:r w:rsidRPr="00BA1219">
        <w:rPr>
          <w:lang w:val="en-CA"/>
        </w:rPr>
        <w:t>of schooling, whereas Anglicans tended to be hostile to it – much as Catholics were. These tensions played out across Lower Canada through various legislative attempts to create a public education system.</w:t>
      </w:r>
    </w:p>
    <w:p w14:paraId="50A2DCDC" w14:textId="77777777" w:rsidR="00E11361" w:rsidRPr="00BA1219" w:rsidRDefault="0096102C" w:rsidP="00E11361">
      <w:pPr>
        <w:pStyle w:val="Citation"/>
        <w:rPr>
          <w:lang w:val="en-CA"/>
        </w:rPr>
      </w:pPr>
      <w:r w:rsidRPr="00BA1219">
        <w:rPr>
          <w:lang w:val="en-CA"/>
        </w:rPr>
        <w:t>26 The Royal Institution would also appoint a board of school commissioners from among the petitioners</w:t>
      </w:r>
      <w:r w:rsidRPr="00BA1219">
        <w:rPr>
          <w:spacing w:val="-5"/>
          <w:lang w:val="en-CA"/>
        </w:rPr>
        <w:t xml:space="preserve"> </w:t>
      </w:r>
      <w:r w:rsidRPr="00BA1219">
        <w:rPr>
          <w:lang w:val="en-CA"/>
        </w:rPr>
        <w:t>who would be</w:t>
      </w:r>
      <w:r w:rsidRPr="00BA1219">
        <w:rPr>
          <w:spacing w:val="-5"/>
          <w:lang w:val="en-CA"/>
        </w:rPr>
        <w:t xml:space="preserve"> </w:t>
      </w:r>
      <w:r w:rsidRPr="00BA1219">
        <w:rPr>
          <w:lang w:val="en-CA"/>
        </w:rPr>
        <w:t>responsible for making</w:t>
      </w:r>
      <w:r w:rsidRPr="00BA1219">
        <w:rPr>
          <w:spacing w:val="-3"/>
          <w:lang w:val="en-CA"/>
        </w:rPr>
        <w:t xml:space="preserve"> </w:t>
      </w:r>
      <w:r w:rsidRPr="00BA1219">
        <w:rPr>
          <w:lang w:val="en-CA"/>
        </w:rPr>
        <w:t>repairs</w:t>
      </w:r>
      <w:r w:rsidRPr="00BA1219">
        <w:rPr>
          <w:spacing w:val="-6"/>
          <w:lang w:val="en-CA"/>
        </w:rPr>
        <w:t xml:space="preserve"> </w:t>
      </w:r>
      <w:r w:rsidRPr="00BA1219">
        <w:rPr>
          <w:lang w:val="en-CA"/>
        </w:rPr>
        <w:t>and</w:t>
      </w:r>
      <w:r w:rsidRPr="00BA1219">
        <w:rPr>
          <w:spacing w:val="-4"/>
          <w:lang w:val="en-CA"/>
        </w:rPr>
        <w:t xml:space="preserve"> </w:t>
      </w:r>
      <w:r w:rsidRPr="00BA1219">
        <w:rPr>
          <w:lang w:val="en-CA"/>
        </w:rPr>
        <w:t>ensuring</w:t>
      </w:r>
      <w:r w:rsidRPr="00BA1219">
        <w:rPr>
          <w:spacing w:val="-5"/>
          <w:lang w:val="en-CA"/>
        </w:rPr>
        <w:t xml:space="preserve"> </w:t>
      </w:r>
      <w:r w:rsidRPr="00BA1219">
        <w:rPr>
          <w:lang w:val="en-CA"/>
        </w:rPr>
        <w:t>good</w:t>
      </w:r>
      <w:r w:rsidRPr="00BA1219">
        <w:rPr>
          <w:spacing w:val="-9"/>
          <w:lang w:val="en-CA"/>
        </w:rPr>
        <w:t xml:space="preserve"> </w:t>
      </w:r>
      <w:r w:rsidRPr="00BA1219">
        <w:rPr>
          <w:lang w:val="en-CA"/>
        </w:rPr>
        <w:t>relations</w:t>
      </w:r>
      <w:r w:rsidRPr="00BA1219">
        <w:rPr>
          <w:spacing w:val="-6"/>
          <w:lang w:val="en-CA"/>
        </w:rPr>
        <w:t xml:space="preserve"> </w:t>
      </w:r>
      <w:r w:rsidRPr="00BA1219">
        <w:rPr>
          <w:lang w:val="en-CA"/>
        </w:rPr>
        <w:t>between</w:t>
      </w:r>
      <w:r w:rsidRPr="00BA1219">
        <w:rPr>
          <w:spacing w:val="-9"/>
          <w:lang w:val="en-CA"/>
        </w:rPr>
        <w:t xml:space="preserve"> </w:t>
      </w:r>
      <w:r w:rsidRPr="00BA1219">
        <w:rPr>
          <w:lang w:val="en-CA"/>
        </w:rPr>
        <w:t>the teacher and parents.</w:t>
      </w:r>
      <w:r w:rsidRPr="00BA1219">
        <w:rPr>
          <w:vertAlign w:val="superscript"/>
          <w:lang w:val="en-CA"/>
        </w:rPr>
        <w:t>15</w:t>
      </w:r>
      <w:r w:rsidRPr="00BA1219">
        <w:rPr>
          <w:lang w:val="en-CA"/>
        </w:rPr>
        <w:t xml:space="preserve"> These commissioners were in most cases men who had indicated a willingness to serve in such a capacity, and who did so with at least the tacit approval</w:t>
      </w:r>
      <w:r w:rsidRPr="00BA1219">
        <w:rPr>
          <w:spacing w:val="-2"/>
          <w:lang w:val="en-CA"/>
        </w:rPr>
        <w:t xml:space="preserve"> </w:t>
      </w:r>
      <w:r w:rsidRPr="00BA1219">
        <w:rPr>
          <w:lang w:val="en-CA"/>
        </w:rPr>
        <w:t>of</w:t>
      </w:r>
      <w:r w:rsidRPr="00BA1219">
        <w:rPr>
          <w:spacing w:val="-1"/>
          <w:lang w:val="en-CA"/>
        </w:rPr>
        <w:t xml:space="preserve"> </w:t>
      </w:r>
      <w:r w:rsidRPr="00BA1219">
        <w:rPr>
          <w:lang w:val="en-CA"/>
        </w:rPr>
        <w:t>the community;</w:t>
      </w:r>
      <w:r w:rsidRPr="00BA1219">
        <w:rPr>
          <w:spacing w:val="-3"/>
          <w:lang w:val="en-CA"/>
        </w:rPr>
        <w:t xml:space="preserve"> </w:t>
      </w:r>
      <w:r w:rsidRPr="00BA1219">
        <w:rPr>
          <w:lang w:val="en-CA"/>
        </w:rPr>
        <w:t>nevertheless,</w:t>
      </w:r>
      <w:r w:rsidRPr="00BA1219">
        <w:rPr>
          <w:spacing w:val="-1"/>
          <w:lang w:val="en-CA"/>
        </w:rPr>
        <w:t xml:space="preserve"> </w:t>
      </w:r>
      <w:r w:rsidRPr="00BA1219">
        <w:rPr>
          <w:lang w:val="en-CA"/>
        </w:rPr>
        <w:t>the</w:t>
      </w:r>
      <w:r w:rsidRPr="00BA1219">
        <w:rPr>
          <w:spacing w:val="-3"/>
          <w:lang w:val="en-CA"/>
        </w:rPr>
        <w:t xml:space="preserve"> </w:t>
      </w:r>
      <w:r w:rsidRPr="00BA1219">
        <w:rPr>
          <w:lang w:val="en-CA"/>
        </w:rPr>
        <w:t>Royal</w:t>
      </w:r>
      <w:r w:rsidRPr="00BA1219">
        <w:rPr>
          <w:spacing w:val="-7"/>
          <w:lang w:val="en-CA"/>
        </w:rPr>
        <w:t xml:space="preserve"> </w:t>
      </w:r>
      <w:r w:rsidRPr="00BA1219">
        <w:rPr>
          <w:lang w:val="en-CA"/>
        </w:rPr>
        <w:t>Institution’s</w:t>
      </w:r>
      <w:r w:rsidRPr="00BA1219">
        <w:rPr>
          <w:spacing w:val="-5"/>
          <w:lang w:val="en-CA"/>
        </w:rPr>
        <w:t xml:space="preserve"> </w:t>
      </w:r>
      <w:r w:rsidRPr="00BA1219">
        <w:rPr>
          <w:lang w:val="en-CA"/>
        </w:rPr>
        <w:t>power</w:t>
      </w:r>
      <w:r w:rsidRPr="00BA1219">
        <w:rPr>
          <w:spacing w:val="-10"/>
          <w:lang w:val="en-CA"/>
        </w:rPr>
        <w:t xml:space="preserve"> </w:t>
      </w:r>
      <w:r w:rsidRPr="00BA1219">
        <w:rPr>
          <w:lang w:val="en-CA"/>
        </w:rPr>
        <w:t>to make</w:t>
      </w:r>
      <w:r w:rsidRPr="00BA1219">
        <w:rPr>
          <w:spacing w:val="-3"/>
          <w:lang w:val="en-CA"/>
        </w:rPr>
        <w:t xml:space="preserve"> </w:t>
      </w:r>
      <w:r w:rsidRPr="00BA1219">
        <w:rPr>
          <w:lang w:val="en-CA"/>
        </w:rPr>
        <w:t>the final</w:t>
      </w:r>
      <w:r w:rsidRPr="00BA1219">
        <w:rPr>
          <w:spacing w:val="-11"/>
          <w:lang w:val="en-CA"/>
        </w:rPr>
        <w:t xml:space="preserve"> </w:t>
      </w:r>
      <w:r w:rsidRPr="00BA1219">
        <w:rPr>
          <w:lang w:val="en-CA"/>
        </w:rPr>
        <w:t>decision</w:t>
      </w:r>
      <w:r w:rsidRPr="00BA1219">
        <w:rPr>
          <w:spacing w:val="-7"/>
          <w:lang w:val="en-CA"/>
        </w:rPr>
        <w:t xml:space="preserve"> </w:t>
      </w:r>
      <w:r w:rsidRPr="00BA1219">
        <w:rPr>
          <w:lang w:val="en-CA"/>
        </w:rPr>
        <w:t>rankled</w:t>
      </w:r>
      <w:r w:rsidRPr="00BA1219">
        <w:rPr>
          <w:spacing w:val="-3"/>
          <w:lang w:val="en-CA"/>
        </w:rPr>
        <w:t xml:space="preserve"> </w:t>
      </w:r>
      <w:r w:rsidRPr="00BA1219">
        <w:rPr>
          <w:lang w:val="en-CA"/>
        </w:rPr>
        <w:t>people used to having more direct input via community meetings. Indeed, the structure provided by</w:t>
      </w:r>
      <w:r w:rsidRPr="00BA1219">
        <w:rPr>
          <w:spacing w:val="-4"/>
          <w:lang w:val="en-CA"/>
        </w:rPr>
        <w:t xml:space="preserve"> </w:t>
      </w:r>
      <w:r w:rsidRPr="00BA1219">
        <w:rPr>
          <w:lang w:val="en-CA"/>
        </w:rPr>
        <w:t xml:space="preserve">the Royal Institution proved a good deal more centralized than many communities would have wished: too much authority was reserved for the Royal Institution’s board of trustees, which became the owner of school property, the employer of teachers, and the overseer of local commissioners. Some communities clashed with the Royal Institution over this level of control, and over religious disagreements; others </w:t>
      </w:r>
      <w:r w:rsidRPr="00BA1219">
        <w:rPr>
          <w:lang w:val="en-CA"/>
        </w:rPr>
        <w:lastRenderedPageBreak/>
        <w:t>held their noses and accepted the financial assistance they were unable, or not yet able, to provide.</w:t>
      </w:r>
    </w:p>
    <w:p w14:paraId="12FFD4B1" w14:textId="77777777" w:rsidR="00E11361" w:rsidRPr="00BA1219" w:rsidRDefault="0096102C" w:rsidP="00E11361">
      <w:pPr>
        <w:pStyle w:val="Citation"/>
        <w:rPr>
          <w:lang w:val="en-CA"/>
        </w:rPr>
      </w:pPr>
      <w:r w:rsidRPr="00BA1219">
        <w:rPr>
          <w:lang w:val="en-CA"/>
        </w:rPr>
        <w:t>27 Because a large segment of the population in the Eastern Townships was Presbyterian or Methodist, opposition mounted; the region’s growing Catholic minority was equally resentful of distant leadership. The Royal Institution’s capacity</w:t>
      </w:r>
      <w:r w:rsidRPr="00BA1219">
        <w:rPr>
          <w:spacing w:val="-1"/>
          <w:lang w:val="en-CA"/>
        </w:rPr>
        <w:t xml:space="preserve"> </w:t>
      </w:r>
      <w:r w:rsidRPr="00BA1219">
        <w:rPr>
          <w:lang w:val="en-CA"/>
        </w:rPr>
        <w:t>to appoint commissioners enabled its board to favour the kinds of local officials</w:t>
      </w:r>
      <w:r w:rsidRPr="00BA1219">
        <w:rPr>
          <w:spacing w:val="-1"/>
          <w:lang w:val="en-CA"/>
        </w:rPr>
        <w:t xml:space="preserve"> </w:t>
      </w:r>
      <w:r w:rsidRPr="00BA1219">
        <w:rPr>
          <w:lang w:val="en-CA"/>
        </w:rPr>
        <w:t>it preferred –</w:t>
      </w:r>
      <w:r w:rsidRPr="00BA1219">
        <w:rPr>
          <w:spacing w:val="-3"/>
          <w:lang w:val="en-CA"/>
        </w:rPr>
        <w:t xml:space="preserve"> </w:t>
      </w:r>
      <w:r w:rsidRPr="00BA1219">
        <w:rPr>
          <w:lang w:val="en-CA"/>
        </w:rPr>
        <w:t>and</w:t>
      </w:r>
      <w:r w:rsidRPr="00BA1219">
        <w:rPr>
          <w:spacing w:val="-3"/>
          <w:lang w:val="en-CA"/>
        </w:rPr>
        <w:t xml:space="preserve"> </w:t>
      </w:r>
      <w:r w:rsidRPr="00BA1219">
        <w:rPr>
          <w:lang w:val="en-CA"/>
        </w:rPr>
        <w:t>this</w:t>
      </w:r>
      <w:r w:rsidRPr="00BA1219">
        <w:rPr>
          <w:spacing w:val="-1"/>
          <w:lang w:val="en-CA"/>
        </w:rPr>
        <w:t xml:space="preserve"> </w:t>
      </w:r>
      <w:r w:rsidRPr="00BA1219">
        <w:rPr>
          <w:lang w:val="en-CA"/>
        </w:rPr>
        <w:t>furthered local</w:t>
      </w:r>
      <w:r w:rsidRPr="00BA1219">
        <w:rPr>
          <w:spacing w:val="-11"/>
          <w:lang w:val="en-CA"/>
        </w:rPr>
        <w:t xml:space="preserve"> </w:t>
      </w:r>
      <w:r w:rsidRPr="00BA1219">
        <w:rPr>
          <w:lang w:val="en-CA"/>
        </w:rPr>
        <w:t>resentment. By</w:t>
      </w:r>
      <w:r w:rsidRPr="00BA1219">
        <w:rPr>
          <w:spacing w:val="-12"/>
          <w:lang w:val="en-CA"/>
        </w:rPr>
        <w:t xml:space="preserve"> </w:t>
      </w:r>
      <w:r w:rsidRPr="00BA1219">
        <w:rPr>
          <w:lang w:val="en-CA"/>
        </w:rPr>
        <w:t>the</w:t>
      </w:r>
      <w:r w:rsidRPr="00BA1219">
        <w:rPr>
          <w:spacing w:val="-4"/>
          <w:lang w:val="en-CA"/>
        </w:rPr>
        <w:t xml:space="preserve"> </w:t>
      </w:r>
      <w:r w:rsidRPr="00BA1219">
        <w:rPr>
          <w:lang w:val="en-CA"/>
        </w:rPr>
        <w:t>1820s</w:t>
      </w:r>
      <w:r w:rsidRPr="00BA1219">
        <w:rPr>
          <w:spacing w:val="-5"/>
          <w:lang w:val="en-CA"/>
        </w:rPr>
        <w:t xml:space="preserve"> </w:t>
      </w:r>
      <w:r w:rsidRPr="00BA1219">
        <w:rPr>
          <w:lang w:val="en-CA"/>
        </w:rPr>
        <w:t>the</w:t>
      </w:r>
      <w:r w:rsidRPr="00BA1219">
        <w:rPr>
          <w:spacing w:val="-4"/>
          <w:lang w:val="en-CA"/>
        </w:rPr>
        <w:t xml:space="preserve"> </w:t>
      </w:r>
      <w:r w:rsidRPr="00BA1219">
        <w:rPr>
          <w:lang w:val="en-CA"/>
        </w:rPr>
        <w:t>Royal</w:t>
      </w:r>
      <w:r w:rsidRPr="00BA1219">
        <w:rPr>
          <w:spacing w:val="-8"/>
          <w:lang w:val="en-CA"/>
        </w:rPr>
        <w:t xml:space="preserve"> </w:t>
      </w:r>
      <w:r w:rsidRPr="00BA1219">
        <w:rPr>
          <w:lang w:val="en-CA"/>
        </w:rPr>
        <w:t>Institution</w:t>
      </w:r>
      <w:r w:rsidRPr="00BA1219">
        <w:rPr>
          <w:spacing w:val="-8"/>
          <w:lang w:val="en-CA"/>
        </w:rPr>
        <w:t xml:space="preserve"> </w:t>
      </w:r>
      <w:r w:rsidRPr="00BA1219">
        <w:rPr>
          <w:lang w:val="en-CA"/>
        </w:rPr>
        <w:t>was encountering opposition from</w:t>
      </w:r>
      <w:r w:rsidRPr="00BA1219">
        <w:rPr>
          <w:spacing w:val="-7"/>
          <w:lang w:val="en-CA"/>
        </w:rPr>
        <w:t xml:space="preserve"> </w:t>
      </w:r>
      <w:r w:rsidRPr="00BA1219">
        <w:rPr>
          <w:lang w:val="en-CA"/>
        </w:rPr>
        <w:t>all</w:t>
      </w:r>
      <w:r w:rsidRPr="00BA1219">
        <w:rPr>
          <w:spacing w:val="-2"/>
          <w:lang w:val="en-CA"/>
        </w:rPr>
        <w:t xml:space="preserve"> </w:t>
      </w:r>
      <w:r w:rsidRPr="00BA1219">
        <w:rPr>
          <w:lang w:val="en-CA"/>
        </w:rPr>
        <w:t>sides in most parts of</w:t>
      </w:r>
      <w:r w:rsidRPr="00BA1219">
        <w:rPr>
          <w:spacing w:val="-6"/>
          <w:lang w:val="en-CA"/>
        </w:rPr>
        <w:t xml:space="preserve"> </w:t>
      </w:r>
      <w:r w:rsidRPr="00BA1219">
        <w:rPr>
          <w:lang w:val="en-CA"/>
        </w:rPr>
        <w:t>Lower Canada”.</w:t>
      </w:r>
    </w:p>
    <w:p w14:paraId="7B8F4BEF" w14:textId="27C67955" w:rsidR="00E11361" w:rsidRPr="00BA1219" w:rsidRDefault="00692256" w:rsidP="00E11361">
      <w:pPr>
        <w:pStyle w:val="Paragrsimple"/>
        <w:rPr>
          <w:lang w:val="en-CA"/>
        </w:rPr>
      </w:pPr>
      <w:r>
        <w:rPr>
          <w:lang w:val="en-CA"/>
        </w:rPr>
        <w:t>T</w:t>
      </w:r>
      <w:r w:rsidR="0096102C" w:rsidRPr="006B7726">
        <w:rPr>
          <w:lang w:val="en-CA"/>
        </w:rPr>
        <w:t>h</w:t>
      </w:r>
      <w:r w:rsidR="00555D7D">
        <w:rPr>
          <w:lang w:val="en-CA"/>
        </w:rPr>
        <w:t>at</w:t>
      </w:r>
      <w:r w:rsidR="0096102C" w:rsidRPr="006B7726">
        <w:rPr>
          <w:lang w:val="en-CA"/>
        </w:rPr>
        <w:t xml:space="preserve"> </w:t>
      </w:r>
      <w:r w:rsidR="0096102C" w:rsidRPr="006D6417">
        <w:rPr>
          <w:lang w:val="en-CA"/>
        </w:rPr>
        <w:t>Act</w:t>
      </w:r>
      <w:r w:rsidR="0096102C" w:rsidRPr="006B7726">
        <w:rPr>
          <w:lang w:val="en-CA"/>
        </w:rPr>
        <w:t xml:space="preserve"> </w:t>
      </w:r>
      <w:r w:rsidR="005B2318">
        <w:rPr>
          <w:lang w:val="en-CA"/>
        </w:rPr>
        <w:t xml:space="preserve">was </w:t>
      </w:r>
      <w:r>
        <w:rPr>
          <w:lang w:val="en-CA"/>
        </w:rPr>
        <w:t xml:space="preserve">therefore </w:t>
      </w:r>
      <w:r w:rsidR="005B2318">
        <w:rPr>
          <w:lang w:val="en-CA"/>
        </w:rPr>
        <w:t>a failure</w:t>
      </w:r>
      <w:r w:rsidR="0096102C" w:rsidRPr="006B7726">
        <w:rPr>
          <w:lang w:val="en-CA"/>
        </w:rPr>
        <w:t>.</w:t>
      </w:r>
      <w:r w:rsidR="0096102C" w:rsidRPr="00BA1219">
        <w:rPr>
          <w:lang w:val="en-CA"/>
        </w:rPr>
        <w:t xml:space="preserve"> In 1824, the </w:t>
      </w:r>
      <w:r w:rsidR="0062416E">
        <w:rPr>
          <w:lang w:val="en-CA"/>
        </w:rPr>
        <w:t>P</w:t>
      </w:r>
      <w:r w:rsidR="0096102C" w:rsidRPr="00BA1219">
        <w:rPr>
          <w:lang w:val="en-CA"/>
        </w:rPr>
        <w:t xml:space="preserve">arliament of Lower Canada adopted the </w:t>
      </w:r>
      <w:proofErr w:type="spellStart"/>
      <w:r w:rsidR="00BD360F" w:rsidRPr="00BA1219">
        <w:rPr>
          <w:i/>
          <w:lang w:val="en-CA"/>
        </w:rPr>
        <w:t>Loi</w:t>
      </w:r>
      <w:proofErr w:type="spellEnd"/>
      <w:r w:rsidR="00BD360F" w:rsidRPr="00BA1219">
        <w:rPr>
          <w:i/>
          <w:lang w:val="en-CA"/>
        </w:rPr>
        <w:t xml:space="preserve"> des écoles de</w:t>
      </w:r>
      <w:r w:rsidR="0096102C" w:rsidRPr="00BA1219">
        <w:rPr>
          <w:i/>
          <w:lang w:val="en-CA"/>
        </w:rPr>
        <w:t xml:space="preserve"> </w:t>
      </w:r>
      <w:proofErr w:type="spellStart"/>
      <w:r w:rsidR="0096102C" w:rsidRPr="00BA1219">
        <w:rPr>
          <w:i/>
          <w:lang w:val="en-CA"/>
        </w:rPr>
        <w:t>fabriques</w:t>
      </w:r>
      <w:proofErr w:type="spellEnd"/>
      <w:r w:rsidR="0096102C" w:rsidRPr="00BA1219">
        <w:rPr>
          <w:i/>
          <w:lang w:val="en-CA"/>
        </w:rPr>
        <w:t>.</w:t>
      </w:r>
      <w:r w:rsidR="0096102C" w:rsidRPr="00BA1219">
        <w:rPr>
          <w:rStyle w:val="Appelnotedebasdep"/>
          <w:rFonts w:cs="Arial"/>
          <w:szCs w:val="24"/>
          <w:lang w:val="en-CA"/>
        </w:rPr>
        <w:footnoteReference w:id="60"/>
      </w:r>
      <w:r w:rsidR="0096102C" w:rsidRPr="00BA1219">
        <w:rPr>
          <w:lang w:val="en-CA"/>
        </w:rPr>
        <w:t xml:space="preserve"> </w:t>
      </w:r>
      <w:r w:rsidR="006D6417">
        <w:rPr>
          <w:lang w:val="en-CA"/>
        </w:rPr>
        <w:t>This</w:t>
      </w:r>
      <w:r w:rsidR="0096102C" w:rsidRPr="00BA1219">
        <w:rPr>
          <w:lang w:val="en-CA"/>
        </w:rPr>
        <w:t xml:space="preserve"> </w:t>
      </w:r>
      <w:r w:rsidR="005B2318">
        <w:rPr>
          <w:lang w:val="en-CA"/>
        </w:rPr>
        <w:t>s</w:t>
      </w:r>
      <w:r w:rsidR="0096102C" w:rsidRPr="00BA1219">
        <w:rPr>
          <w:lang w:val="en-CA"/>
        </w:rPr>
        <w:t xml:space="preserve">tatute allowed a </w:t>
      </w:r>
      <w:proofErr w:type="spellStart"/>
      <w:r w:rsidR="0096102C" w:rsidRPr="008760EC">
        <w:rPr>
          <w:i/>
          <w:iCs/>
          <w:lang w:val="en-CA"/>
        </w:rPr>
        <w:t>fabrique</w:t>
      </w:r>
      <w:proofErr w:type="spellEnd"/>
      <w:r w:rsidR="0096102C" w:rsidRPr="00BA1219">
        <w:rPr>
          <w:lang w:val="en-CA"/>
        </w:rPr>
        <w:t xml:space="preserve">, </w:t>
      </w:r>
      <w:r w:rsidR="00171A57">
        <w:rPr>
          <w:lang w:val="en-CA"/>
        </w:rPr>
        <w:t>that is</w:t>
      </w:r>
      <w:r w:rsidR="0096102C" w:rsidRPr="00BA1219">
        <w:rPr>
          <w:lang w:val="en-CA"/>
        </w:rPr>
        <w:t>, parishioners grouped together to administer the property of the Church</w:t>
      </w:r>
      <w:r w:rsidR="00171A57">
        <w:rPr>
          <w:lang w:val="en-CA"/>
        </w:rPr>
        <w:t>,</w:t>
      </w:r>
      <w:r>
        <w:rPr>
          <w:lang w:val="en-CA"/>
        </w:rPr>
        <w:t xml:space="preserve"> </w:t>
      </w:r>
      <w:r w:rsidR="00171A57">
        <w:rPr>
          <w:lang w:val="en-CA"/>
        </w:rPr>
        <w:t xml:space="preserve">to </w:t>
      </w:r>
      <w:r w:rsidR="0096102C" w:rsidRPr="00BA1219">
        <w:rPr>
          <w:lang w:val="en-CA"/>
        </w:rPr>
        <w:t>dedicate a qua</w:t>
      </w:r>
      <w:r w:rsidR="005B2318">
        <w:rPr>
          <w:lang w:val="en-CA"/>
        </w:rPr>
        <w:t>r</w:t>
      </w:r>
      <w:r w:rsidR="0096102C" w:rsidRPr="00BA1219">
        <w:rPr>
          <w:lang w:val="en-CA"/>
        </w:rPr>
        <w:t xml:space="preserve">ter of the </w:t>
      </w:r>
      <w:r w:rsidR="006D6417">
        <w:rPr>
          <w:lang w:val="en-CA"/>
        </w:rPr>
        <w:t xml:space="preserve">revenues of the </w:t>
      </w:r>
      <w:r w:rsidR="0096102C" w:rsidRPr="00BA1219">
        <w:rPr>
          <w:lang w:val="en-CA"/>
        </w:rPr>
        <w:t>parish</w:t>
      </w:r>
      <w:r w:rsidR="006D6417">
        <w:rPr>
          <w:lang w:val="en-CA"/>
        </w:rPr>
        <w:t xml:space="preserve"> </w:t>
      </w:r>
      <w:r w:rsidR="0096102C" w:rsidRPr="00BA1219">
        <w:rPr>
          <w:lang w:val="en-CA"/>
        </w:rPr>
        <w:t xml:space="preserve">to maintain and pay a </w:t>
      </w:r>
      <w:r w:rsidR="00331DEC" w:rsidRPr="00BA1219">
        <w:rPr>
          <w:lang w:val="en-CA"/>
        </w:rPr>
        <w:t>master</w:t>
      </w:r>
      <w:r w:rsidR="0096102C" w:rsidRPr="00BA1219">
        <w:rPr>
          <w:sz w:val="22"/>
          <w:szCs w:val="22"/>
          <w:lang w:val="en-CA"/>
        </w:rPr>
        <w:t xml:space="preserve">. </w:t>
      </w:r>
      <w:r w:rsidR="0096102C" w:rsidRPr="006B7726">
        <w:rPr>
          <w:rStyle w:val="Marquedecommentaire"/>
          <w:kern w:val="0"/>
          <w:sz w:val="24"/>
          <w:szCs w:val="24"/>
          <w:lang w:val="en-CA"/>
        </w:rPr>
        <w:t>This was a decentralization of the system.</w:t>
      </w:r>
      <w:r w:rsidR="0096102C" w:rsidRPr="00BA1219">
        <w:rPr>
          <w:sz w:val="22"/>
          <w:szCs w:val="22"/>
          <w:lang w:val="en-CA"/>
        </w:rPr>
        <w:t xml:space="preserve"> </w:t>
      </w:r>
      <w:r w:rsidR="0096102C" w:rsidRPr="00BA1219">
        <w:rPr>
          <w:lang w:val="en-CA"/>
        </w:rPr>
        <w:t xml:space="preserve">However, because of </w:t>
      </w:r>
      <w:r w:rsidR="00171A57">
        <w:rPr>
          <w:lang w:val="en-CA"/>
        </w:rPr>
        <w:t>the insufficient</w:t>
      </w:r>
      <w:r>
        <w:rPr>
          <w:lang w:val="en-CA"/>
        </w:rPr>
        <w:t xml:space="preserve"> revenue of the</w:t>
      </w:r>
      <w:r w:rsidR="0096102C" w:rsidRPr="00BA1219">
        <w:rPr>
          <w:lang w:val="en-CA"/>
        </w:rPr>
        <w:t xml:space="preserve"> </w:t>
      </w:r>
      <w:proofErr w:type="spellStart"/>
      <w:r w:rsidR="0096102C" w:rsidRPr="008760EC">
        <w:rPr>
          <w:i/>
          <w:iCs/>
          <w:lang w:val="en-CA"/>
        </w:rPr>
        <w:t>fabriques</w:t>
      </w:r>
      <w:proofErr w:type="spellEnd"/>
      <w:r w:rsidR="0096102C" w:rsidRPr="00BA1219">
        <w:rPr>
          <w:lang w:val="en-CA"/>
        </w:rPr>
        <w:t xml:space="preserve">, </w:t>
      </w:r>
      <w:r w:rsidR="0096102C" w:rsidRPr="00BA1219">
        <w:rPr>
          <w:sz w:val="22"/>
          <w:szCs w:val="22"/>
          <w:lang w:val="en-CA"/>
        </w:rPr>
        <w:t>the</w:t>
      </w:r>
      <w:r w:rsidR="0096102C" w:rsidRPr="00BA1219">
        <w:rPr>
          <w:lang w:val="en-CA"/>
        </w:rPr>
        <w:t xml:space="preserve"> </w:t>
      </w:r>
      <w:r w:rsidR="005B2318" w:rsidRPr="005B2318">
        <w:rPr>
          <w:lang w:val="en-CA"/>
        </w:rPr>
        <w:t>statute</w:t>
      </w:r>
      <w:r w:rsidR="0096102C" w:rsidRPr="005B2318">
        <w:rPr>
          <w:lang w:val="en-CA"/>
        </w:rPr>
        <w:t xml:space="preserve"> </w:t>
      </w:r>
      <w:r w:rsidR="0096102C" w:rsidRPr="00BA1219">
        <w:rPr>
          <w:lang w:val="en-CA"/>
        </w:rPr>
        <w:t xml:space="preserve">had little </w:t>
      </w:r>
      <w:r w:rsidR="005B2318">
        <w:rPr>
          <w:lang w:val="en-CA"/>
        </w:rPr>
        <w:t>impact</w:t>
      </w:r>
      <w:r w:rsidR="0096102C" w:rsidRPr="00BA1219">
        <w:rPr>
          <w:lang w:val="en-CA"/>
        </w:rPr>
        <w:t>.</w:t>
      </w:r>
      <w:r w:rsidR="0096102C" w:rsidRPr="00BA1219">
        <w:rPr>
          <w:rStyle w:val="Appelnotedebasdep"/>
          <w:rFonts w:cs="Arial"/>
          <w:szCs w:val="24"/>
          <w:lang w:val="en-CA"/>
        </w:rPr>
        <w:footnoteReference w:id="61"/>
      </w:r>
      <w:r w:rsidR="0096102C" w:rsidRPr="00BA1219">
        <w:rPr>
          <w:lang w:val="en-CA"/>
        </w:rPr>
        <w:t xml:space="preserve"> </w:t>
      </w:r>
    </w:p>
    <w:p w14:paraId="43611486" w14:textId="030DF158" w:rsidR="00E11361" w:rsidRPr="00BA1219" w:rsidRDefault="0096102C" w:rsidP="00E11361">
      <w:pPr>
        <w:pStyle w:val="Paragrsimple"/>
        <w:rPr>
          <w:lang w:val="en-CA" w:eastAsia="fr-CA"/>
        </w:rPr>
      </w:pPr>
      <w:r w:rsidRPr="00BA1219">
        <w:rPr>
          <w:lang w:val="en-CA"/>
        </w:rPr>
        <w:t xml:space="preserve">In 1829, the legislative assembly </w:t>
      </w:r>
      <w:r w:rsidR="006D6417">
        <w:rPr>
          <w:lang w:val="en-CA"/>
        </w:rPr>
        <w:t>enacted</w:t>
      </w:r>
      <w:r w:rsidRPr="00BA1219">
        <w:rPr>
          <w:lang w:val="en-CA"/>
        </w:rPr>
        <w:t xml:space="preserve"> </w:t>
      </w:r>
      <w:r w:rsidR="001E3602" w:rsidRPr="00BA1219">
        <w:rPr>
          <w:i/>
          <w:lang w:val="en-CA"/>
        </w:rPr>
        <w:t>An A</w:t>
      </w:r>
      <w:r w:rsidRPr="00BA1219">
        <w:rPr>
          <w:i/>
          <w:lang w:val="en-CA"/>
        </w:rPr>
        <w:t>ct</w:t>
      </w:r>
      <w:r w:rsidR="001E3602" w:rsidRPr="00BA1219">
        <w:rPr>
          <w:i/>
          <w:lang w:val="en-CA"/>
        </w:rPr>
        <w:t xml:space="preserve"> for the encouragement of Elementary </w:t>
      </w:r>
      <w:r w:rsidR="001E3602" w:rsidRPr="008760EC">
        <w:rPr>
          <w:i/>
          <w:lang w:val="en-CA"/>
        </w:rPr>
        <w:t>Education</w:t>
      </w:r>
      <w:r w:rsidRPr="008760EC">
        <w:rPr>
          <w:lang w:val="en-CA"/>
        </w:rPr>
        <w:t>.</w:t>
      </w:r>
      <w:r w:rsidRPr="008760EC">
        <w:rPr>
          <w:rStyle w:val="Appelnotedebasdep"/>
          <w:rFonts w:cs="Arial"/>
          <w:szCs w:val="24"/>
          <w:lang w:val="en-CA"/>
        </w:rPr>
        <w:footnoteReference w:id="62"/>
      </w:r>
      <w:r w:rsidRPr="008760EC">
        <w:rPr>
          <w:i/>
          <w:lang w:val="en-CA"/>
        </w:rPr>
        <w:t xml:space="preserve"> </w:t>
      </w:r>
      <w:r w:rsidRPr="008760EC">
        <w:rPr>
          <w:lang w:val="en-CA" w:eastAsia="fr-CA"/>
        </w:rPr>
        <w:t>Th</w:t>
      </w:r>
      <w:r w:rsidR="00AE48BF" w:rsidRPr="008760EC">
        <w:rPr>
          <w:lang w:val="en-CA" w:eastAsia="fr-CA"/>
        </w:rPr>
        <w:t>is</w:t>
      </w:r>
      <w:r w:rsidRPr="008760EC">
        <w:rPr>
          <w:lang w:val="en-CA" w:eastAsia="fr-CA"/>
        </w:rPr>
        <w:t xml:space="preserve"> </w:t>
      </w:r>
      <w:r w:rsidR="006D6417">
        <w:rPr>
          <w:lang w:val="en-CA" w:eastAsia="fr-CA"/>
        </w:rPr>
        <w:t>statute</w:t>
      </w:r>
      <w:r w:rsidRPr="008760EC">
        <w:rPr>
          <w:lang w:val="en-CA" w:eastAsia="fr-CA"/>
        </w:rPr>
        <w:t xml:space="preserve"> provided that each parish or canton could elect a commission of trustees,</w:t>
      </w:r>
      <w:r w:rsidRPr="00BA1219">
        <w:rPr>
          <w:lang w:val="en-CA" w:eastAsia="fr-CA"/>
        </w:rPr>
        <w:t xml:space="preserve"> selected among </w:t>
      </w:r>
      <w:r w:rsidR="000E1DC6" w:rsidRPr="00BA1219">
        <w:rPr>
          <w:lang w:val="en-CA" w:eastAsia="fr-CA"/>
        </w:rPr>
        <w:t>landholders</w:t>
      </w:r>
      <w:r w:rsidRPr="00BA1219">
        <w:rPr>
          <w:lang w:val="en-CA" w:eastAsia="fr-CA"/>
        </w:rPr>
        <w:t>, to ensure “the</w:t>
      </w:r>
      <w:r w:rsidR="000E1DC6" w:rsidRPr="00BA1219">
        <w:rPr>
          <w:lang w:val="en-CA" w:eastAsia="fr-CA"/>
        </w:rPr>
        <w:t xml:space="preserve"> sole</w:t>
      </w:r>
      <w:r w:rsidRPr="00BA1219">
        <w:rPr>
          <w:lang w:val="en-CA" w:eastAsia="fr-CA"/>
        </w:rPr>
        <w:t xml:space="preserve"> </w:t>
      </w:r>
      <w:r w:rsidR="000E1DC6" w:rsidRPr="00BA1219">
        <w:rPr>
          <w:lang w:val="en-CA" w:eastAsia="fr-CA"/>
        </w:rPr>
        <w:t xml:space="preserve">direction, </w:t>
      </w:r>
      <w:r w:rsidRPr="00BA1219">
        <w:rPr>
          <w:lang w:val="en-CA" w:eastAsia="fr-CA"/>
        </w:rPr>
        <w:t xml:space="preserve">control, management, handling and administration of </w:t>
      </w:r>
      <w:r w:rsidR="00331DEC" w:rsidRPr="00BA1219">
        <w:rPr>
          <w:lang w:val="en-CA" w:eastAsia="fr-CA"/>
        </w:rPr>
        <w:t>the School</w:t>
      </w:r>
      <w:r w:rsidRPr="00BA1219">
        <w:rPr>
          <w:lang w:val="en-CA" w:eastAsia="fr-CA"/>
        </w:rPr>
        <w:t xml:space="preserve">”. </w:t>
      </w:r>
      <w:r w:rsidR="006D6417">
        <w:rPr>
          <w:lang w:val="en-CA" w:eastAsia="fr-CA"/>
        </w:rPr>
        <w:t>It</w:t>
      </w:r>
      <w:r w:rsidRPr="006B7726">
        <w:rPr>
          <w:lang w:val="en-CA" w:eastAsia="fr-CA"/>
        </w:rPr>
        <w:t xml:space="preserve"> </w:t>
      </w:r>
      <w:r w:rsidR="006D6417">
        <w:rPr>
          <w:lang w:val="en-CA" w:eastAsia="fr-CA"/>
        </w:rPr>
        <w:t xml:space="preserve">also </w:t>
      </w:r>
      <w:r w:rsidRPr="006B7726">
        <w:rPr>
          <w:lang w:val="en-CA" w:eastAsia="fr-CA"/>
        </w:rPr>
        <w:t>established a system of subsidies.</w:t>
      </w:r>
      <w:r w:rsidRPr="00BA1219">
        <w:rPr>
          <w:lang w:val="en-CA" w:eastAsia="fr-CA"/>
        </w:rPr>
        <w:t xml:space="preserve"> However, the legislature retained direct control over the entire system by requiring those benefiting from the </w:t>
      </w:r>
      <w:r w:rsidRPr="00555D7D">
        <w:rPr>
          <w:lang w:val="en-CA" w:eastAsia="fr-CA"/>
        </w:rPr>
        <w:t>Act</w:t>
      </w:r>
      <w:r w:rsidRPr="00BA1219">
        <w:rPr>
          <w:lang w:val="en-CA" w:eastAsia="fr-CA"/>
        </w:rPr>
        <w:t xml:space="preserve"> to </w:t>
      </w:r>
      <w:r w:rsidR="00A717FA" w:rsidRPr="00BA1219">
        <w:rPr>
          <w:lang w:val="en-CA" w:eastAsia="fr-CA"/>
        </w:rPr>
        <w:t xml:space="preserve">annually </w:t>
      </w:r>
      <w:r w:rsidRPr="00BA1219">
        <w:rPr>
          <w:lang w:val="en-CA" w:eastAsia="fr-CA"/>
        </w:rPr>
        <w:t xml:space="preserve">submit </w:t>
      </w:r>
      <w:r w:rsidR="00A717FA" w:rsidRPr="00BA1219">
        <w:rPr>
          <w:lang w:val="en-CA" w:eastAsia="fr-CA"/>
        </w:rPr>
        <w:t>a</w:t>
      </w:r>
      <w:r w:rsidRPr="00BA1219">
        <w:rPr>
          <w:lang w:val="en-CA" w:eastAsia="fr-CA"/>
        </w:rPr>
        <w:t xml:space="preserve"> report certified by the member of Parliament for the constituency.</w:t>
      </w:r>
      <w:r w:rsidRPr="00BA1219">
        <w:rPr>
          <w:rStyle w:val="Appelnotedebasdep"/>
          <w:rFonts w:cs="Arial"/>
          <w:szCs w:val="24"/>
          <w:lang w:val="en-CA" w:eastAsia="fr-CA"/>
        </w:rPr>
        <w:footnoteReference w:id="63"/>
      </w:r>
      <w:r w:rsidRPr="00BA1219">
        <w:rPr>
          <w:lang w:val="en-CA" w:eastAsia="fr-CA"/>
        </w:rPr>
        <w:t xml:space="preserve"> </w:t>
      </w:r>
    </w:p>
    <w:p w14:paraId="7E5D2687" w14:textId="0E60720A" w:rsidR="00E11361" w:rsidRPr="00BA1219" w:rsidRDefault="0096102C" w:rsidP="00E11361">
      <w:pPr>
        <w:pStyle w:val="Paragrsimple"/>
        <w:rPr>
          <w:lang w:val="en-CA" w:eastAsia="fr-CA"/>
        </w:rPr>
      </w:pPr>
      <w:r w:rsidRPr="00BA1219">
        <w:rPr>
          <w:lang w:val="en-CA" w:eastAsia="fr-CA"/>
        </w:rPr>
        <w:t xml:space="preserve">The Parent Commission drew three principles from the adoption of this </w:t>
      </w:r>
      <w:r w:rsidR="005B2318">
        <w:rPr>
          <w:lang w:val="en-CA" w:eastAsia="fr-CA"/>
        </w:rPr>
        <w:t>statute</w:t>
      </w:r>
      <w:r w:rsidRPr="00BA1219">
        <w:rPr>
          <w:lang w:val="en-CA" w:eastAsia="fr-CA"/>
        </w:rPr>
        <w:t xml:space="preserve">: </w:t>
      </w:r>
      <w:r w:rsidRPr="006B7726">
        <w:rPr>
          <w:lang w:val="en-CA" w:eastAsia="fr-CA"/>
        </w:rPr>
        <w:t xml:space="preserve">The first </w:t>
      </w:r>
      <w:r w:rsidR="00720329">
        <w:rPr>
          <w:lang w:val="en-CA" w:eastAsia="fr-CA"/>
        </w:rPr>
        <w:t>was that</w:t>
      </w:r>
      <w:r w:rsidRPr="006B7726">
        <w:rPr>
          <w:lang w:val="en-CA" w:eastAsia="fr-CA"/>
        </w:rPr>
        <w:t xml:space="preserve"> </w:t>
      </w:r>
      <w:r w:rsidR="00720329">
        <w:rPr>
          <w:lang w:val="en-CA" w:eastAsia="fr-CA"/>
        </w:rPr>
        <w:t>of</w:t>
      </w:r>
      <w:r w:rsidRPr="006B7726">
        <w:rPr>
          <w:lang w:val="en-CA" w:eastAsia="fr-CA"/>
        </w:rPr>
        <w:t xml:space="preserve"> State intervention </w:t>
      </w:r>
      <w:r w:rsidR="00720329">
        <w:rPr>
          <w:lang w:val="en-CA" w:eastAsia="fr-CA"/>
        </w:rPr>
        <w:t>in educational matters</w:t>
      </w:r>
      <w:r w:rsidRPr="006B7726">
        <w:rPr>
          <w:lang w:val="en-CA" w:eastAsia="fr-CA"/>
        </w:rPr>
        <w:t>.</w:t>
      </w:r>
      <w:r w:rsidRPr="00BA1219">
        <w:rPr>
          <w:lang w:val="en-CA" w:eastAsia="fr-CA"/>
        </w:rPr>
        <w:t xml:space="preserve"> The second </w:t>
      </w:r>
      <w:r w:rsidR="00720329">
        <w:rPr>
          <w:lang w:val="en-CA" w:eastAsia="fr-CA"/>
        </w:rPr>
        <w:t>was</w:t>
      </w:r>
      <w:r w:rsidRPr="00BA1219">
        <w:rPr>
          <w:lang w:val="en-CA" w:eastAsia="fr-CA"/>
        </w:rPr>
        <w:t xml:space="preserve"> progressive decentralization. The third principle guiding the State </w:t>
      </w:r>
      <w:r w:rsidR="00720329">
        <w:rPr>
          <w:lang w:val="en-CA" w:eastAsia="fr-CA"/>
        </w:rPr>
        <w:t>was</w:t>
      </w:r>
      <w:r w:rsidRPr="00BA1219">
        <w:rPr>
          <w:lang w:val="en-CA" w:eastAsia="fr-CA"/>
        </w:rPr>
        <w:t xml:space="preserve"> to refrain from taking any measures </w:t>
      </w:r>
      <w:r w:rsidR="00720329">
        <w:rPr>
          <w:lang w:val="en-CA" w:eastAsia="fr-CA"/>
        </w:rPr>
        <w:t>that would</w:t>
      </w:r>
      <w:r w:rsidRPr="00BA1219">
        <w:rPr>
          <w:lang w:val="en-CA" w:eastAsia="fr-CA"/>
        </w:rPr>
        <w:t xml:space="preserve"> standardi</w:t>
      </w:r>
      <w:r w:rsidR="00720329">
        <w:rPr>
          <w:lang w:val="en-CA" w:eastAsia="fr-CA"/>
        </w:rPr>
        <w:t>z</w:t>
      </w:r>
      <w:r w:rsidRPr="00BA1219">
        <w:rPr>
          <w:lang w:val="en-CA" w:eastAsia="fr-CA"/>
        </w:rPr>
        <w:t>e the school system.</w:t>
      </w:r>
      <w:r w:rsidRPr="00BA1219">
        <w:rPr>
          <w:rStyle w:val="Appelnotedebasdep"/>
          <w:rFonts w:cs="Arial"/>
          <w:szCs w:val="24"/>
          <w:lang w:val="en-CA" w:eastAsia="fr-CA"/>
        </w:rPr>
        <w:t xml:space="preserve"> </w:t>
      </w:r>
      <w:r w:rsidRPr="00BA1219">
        <w:rPr>
          <w:rStyle w:val="Appelnotedebasdep"/>
          <w:rFonts w:cs="Arial"/>
          <w:szCs w:val="24"/>
          <w:lang w:val="en-CA" w:eastAsia="fr-CA"/>
        </w:rPr>
        <w:footnoteReference w:id="64"/>
      </w:r>
    </w:p>
    <w:p w14:paraId="569BFEAE" w14:textId="6CF310E4" w:rsidR="00E11361" w:rsidRPr="00BA1219" w:rsidRDefault="00720329" w:rsidP="00E11361">
      <w:pPr>
        <w:pStyle w:val="Paragrsimple"/>
        <w:rPr>
          <w:lang w:val="en-CA" w:eastAsia="fr-CA"/>
        </w:rPr>
      </w:pPr>
      <w:r>
        <w:rPr>
          <w:lang w:val="en-CA" w:eastAsia="fr-CA"/>
        </w:rPr>
        <w:t>On the eve of</w:t>
      </w:r>
      <w:r w:rsidRPr="00BA1219">
        <w:rPr>
          <w:lang w:val="en-CA" w:eastAsia="fr-CA"/>
        </w:rPr>
        <w:t xml:space="preserve"> the 1837 Rebellion</w:t>
      </w:r>
      <w:r w:rsidR="0096102C" w:rsidRPr="00BA1219">
        <w:rPr>
          <w:lang w:val="en-CA" w:eastAsia="fr-CA"/>
        </w:rPr>
        <w:t>, however,</w:t>
      </w:r>
      <w:r w:rsidRPr="00BA1219">
        <w:rPr>
          <w:lang w:val="en-CA" w:eastAsia="fr-CA"/>
        </w:rPr>
        <w:t xml:space="preserve"> trustee schools ceased to exist</w:t>
      </w:r>
      <w:r w:rsidR="0096102C" w:rsidRPr="00BA1219">
        <w:rPr>
          <w:lang w:val="en-CA" w:eastAsia="fr-CA"/>
        </w:rPr>
        <w:t xml:space="preserve">. </w:t>
      </w:r>
      <w:r w:rsidR="0096102C" w:rsidRPr="00BA1219">
        <w:rPr>
          <w:lang w:val="en-CA"/>
        </w:rPr>
        <w:t xml:space="preserve">It was not until 1841, after the </w:t>
      </w:r>
      <w:r w:rsidR="0096102C" w:rsidRPr="00BA1219">
        <w:rPr>
          <w:i/>
          <w:lang w:val="en-CA"/>
        </w:rPr>
        <w:t>Union Act</w:t>
      </w:r>
      <w:r w:rsidR="0096102C" w:rsidRPr="00BA1219">
        <w:rPr>
          <w:lang w:val="en-CA"/>
        </w:rPr>
        <w:t xml:space="preserve"> and the publication of the Durham Report that a new statute was adopted, that is, the </w:t>
      </w:r>
      <w:r w:rsidR="0096102C" w:rsidRPr="00BA1219">
        <w:rPr>
          <w:i/>
          <w:lang w:val="en-CA"/>
        </w:rPr>
        <w:t>Act to repeal certain Acts therein mentioned, and to make further provisions for the establishment and maintenance of Common Schools throughout the Province (Common Schools Act)</w:t>
      </w:r>
      <w:r w:rsidR="0096102C" w:rsidRPr="00BA1219">
        <w:rPr>
          <w:lang w:val="en-CA"/>
        </w:rPr>
        <w:t>.</w:t>
      </w:r>
      <w:r w:rsidR="0096102C" w:rsidRPr="00BA1219">
        <w:rPr>
          <w:rStyle w:val="Appelnotedebasdep"/>
          <w:rFonts w:cs="Arial"/>
          <w:iCs/>
          <w:szCs w:val="24"/>
          <w:lang w:val="en-CA"/>
        </w:rPr>
        <w:footnoteReference w:id="65"/>
      </w:r>
      <w:r w:rsidR="0096102C" w:rsidRPr="00BA1219">
        <w:rPr>
          <w:lang w:val="en-CA"/>
        </w:rPr>
        <w:t xml:space="preserve"> </w:t>
      </w:r>
    </w:p>
    <w:p w14:paraId="398639F2" w14:textId="09941319" w:rsidR="00E11361" w:rsidRPr="00BA1219" w:rsidRDefault="0096102C" w:rsidP="00E11361">
      <w:pPr>
        <w:pStyle w:val="Paragrsimple"/>
        <w:rPr>
          <w:lang w:val="en-CA"/>
        </w:rPr>
      </w:pPr>
      <w:r w:rsidRPr="00BA1219">
        <w:rPr>
          <w:lang w:val="en-CA"/>
        </w:rPr>
        <w:t xml:space="preserve">It was pursuant to this Act that "school boards" were created. Each </w:t>
      </w:r>
      <w:r w:rsidR="00170F34">
        <w:rPr>
          <w:lang w:val="en-CA"/>
        </w:rPr>
        <w:t>district</w:t>
      </w:r>
      <w:r w:rsidR="00170F34" w:rsidRPr="00BA1219">
        <w:rPr>
          <w:lang w:val="en-CA"/>
        </w:rPr>
        <w:t xml:space="preserve"> </w:t>
      </w:r>
      <w:r w:rsidR="00720329" w:rsidRPr="00BA1219">
        <w:rPr>
          <w:lang w:val="en-CA"/>
        </w:rPr>
        <w:t>had</w:t>
      </w:r>
      <w:r w:rsidRPr="00BA1219">
        <w:rPr>
          <w:lang w:val="en-CA"/>
        </w:rPr>
        <w:t xml:space="preserve"> to elect five to seven commissioners to manage the schools in its territory.</w:t>
      </w:r>
      <w:r w:rsidRPr="00BA1219">
        <w:rPr>
          <w:spacing w:val="-6"/>
          <w:lang w:val="en-CA"/>
        </w:rPr>
        <w:t xml:space="preserve"> </w:t>
      </w:r>
      <w:r w:rsidRPr="00BA1219">
        <w:rPr>
          <w:lang w:val="en-CA"/>
        </w:rPr>
        <w:t xml:space="preserve">These </w:t>
      </w:r>
      <w:r w:rsidR="00720329" w:rsidRPr="00BA1219">
        <w:rPr>
          <w:lang w:val="en-CA"/>
        </w:rPr>
        <w:lastRenderedPageBreak/>
        <w:t>commissioners</w:t>
      </w:r>
      <w:r w:rsidRPr="00BA1219">
        <w:rPr>
          <w:lang w:val="en-CA"/>
        </w:rPr>
        <w:t xml:space="preserve"> were responsible for purchasing land for schools, supervising their construction, maintaining them, hiring the teachers, establishing the curriculum</w:t>
      </w:r>
      <w:r w:rsidR="008B154B">
        <w:rPr>
          <w:lang w:val="en-CA"/>
        </w:rPr>
        <w:t>,</w:t>
      </w:r>
      <w:r w:rsidRPr="00BA1219">
        <w:rPr>
          <w:lang w:val="en-CA"/>
        </w:rPr>
        <w:t xml:space="preserve"> and choosing the textbooks.</w:t>
      </w:r>
    </w:p>
    <w:p w14:paraId="6D69BF7E" w14:textId="34E075AB" w:rsidR="00E11361" w:rsidRPr="00BA1219" w:rsidRDefault="0096102C" w:rsidP="00E11361">
      <w:pPr>
        <w:pStyle w:val="Paragrsimple"/>
        <w:rPr>
          <w:lang w:val="en-CA"/>
        </w:rPr>
      </w:pPr>
      <w:r w:rsidRPr="00BA1219">
        <w:rPr>
          <w:lang w:val="en-CA"/>
        </w:rPr>
        <w:t>These schools were th</w:t>
      </w:r>
      <w:r w:rsidR="005F2C14">
        <w:rPr>
          <w:lang w:val="en-CA"/>
        </w:rPr>
        <w:t>us</w:t>
      </w:r>
      <w:r w:rsidRPr="00BA1219">
        <w:rPr>
          <w:lang w:val="en-CA"/>
        </w:rPr>
        <w:t xml:space="preserve"> considered “public” schools, that is non-denominational and able to welcome any of the children from the territory, whatever their religious beliefs.</w:t>
      </w:r>
      <w:r w:rsidRPr="00BA1219">
        <w:rPr>
          <w:spacing w:val="-3"/>
          <w:lang w:val="en-CA"/>
        </w:rPr>
        <w:t xml:space="preserve"> </w:t>
      </w:r>
      <w:r w:rsidR="00853675">
        <w:rPr>
          <w:spacing w:val="-3"/>
          <w:lang w:val="en-CA"/>
        </w:rPr>
        <w:t>Nevertheless, t</w:t>
      </w:r>
      <w:r w:rsidRPr="00BA1219">
        <w:rPr>
          <w:lang w:val="en-CA"/>
        </w:rPr>
        <w:t xml:space="preserve">he </w:t>
      </w:r>
      <w:r w:rsidRPr="00555D7D">
        <w:rPr>
          <w:lang w:val="en-CA"/>
        </w:rPr>
        <w:t>Act</w:t>
      </w:r>
      <w:r w:rsidRPr="00BA1219">
        <w:rPr>
          <w:lang w:val="en-CA"/>
        </w:rPr>
        <w:t xml:space="preserve"> provided</w:t>
      </w:r>
      <w:r w:rsidR="008B154B">
        <w:rPr>
          <w:lang w:val="en-CA"/>
        </w:rPr>
        <w:t xml:space="preserve"> </w:t>
      </w:r>
      <w:r w:rsidRPr="00BA1219">
        <w:rPr>
          <w:lang w:val="en-CA"/>
        </w:rPr>
        <w:t xml:space="preserve">a right of dissent for the </w:t>
      </w:r>
      <w:r w:rsidR="00170F34">
        <w:rPr>
          <w:lang w:val="en-CA"/>
        </w:rPr>
        <w:t xml:space="preserve">district’s </w:t>
      </w:r>
      <w:r w:rsidRPr="00BA1219">
        <w:rPr>
          <w:lang w:val="en-CA"/>
        </w:rPr>
        <w:t>inhabitants.</w:t>
      </w:r>
      <w:r w:rsidRPr="00BA1219">
        <w:rPr>
          <w:rStyle w:val="Appelnotedebasdep"/>
          <w:rFonts w:cs="Arial"/>
          <w:szCs w:val="24"/>
          <w:lang w:val="en-CA"/>
        </w:rPr>
        <w:footnoteReference w:id="66"/>
      </w:r>
      <w:r w:rsidR="00170F34">
        <w:rPr>
          <w:lang w:val="en-CA"/>
        </w:rPr>
        <w:t xml:space="preserve"> </w:t>
      </w:r>
      <w:r w:rsidR="00853675">
        <w:rPr>
          <w:lang w:val="en-CA"/>
        </w:rPr>
        <w:t>Under</w:t>
      </w:r>
      <w:r w:rsidRPr="00BA1219">
        <w:rPr>
          <w:lang w:val="en-CA"/>
        </w:rPr>
        <w:t xml:space="preserve"> the right of dissent, members of a religious minority who were </w:t>
      </w:r>
      <w:r w:rsidR="005F2C14" w:rsidRPr="00BA1219">
        <w:rPr>
          <w:lang w:val="en-CA"/>
        </w:rPr>
        <w:t>dissatisfied</w:t>
      </w:r>
      <w:r w:rsidRPr="00BA1219">
        <w:rPr>
          <w:lang w:val="en-CA"/>
        </w:rPr>
        <w:t xml:space="preserve"> with the administration offered by their school board could remove themselves from its jurisdiction and establish their own schools, </w:t>
      </w:r>
      <w:r w:rsidR="005F2C14">
        <w:rPr>
          <w:lang w:val="en-CA"/>
        </w:rPr>
        <w:t>which were directed by</w:t>
      </w:r>
      <w:r w:rsidRPr="00BA1219">
        <w:rPr>
          <w:lang w:val="en-CA"/>
        </w:rPr>
        <w:t xml:space="preserve"> trustees elected by the dissenting citizens.</w:t>
      </w:r>
    </w:p>
    <w:p w14:paraId="0CE44906" w14:textId="7867C10A" w:rsidR="00E11361" w:rsidRPr="00BA1219" w:rsidRDefault="0096102C" w:rsidP="00E11361">
      <w:pPr>
        <w:pStyle w:val="Paragrsimple"/>
        <w:rPr>
          <w:lang w:val="en-CA"/>
        </w:rPr>
      </w:pPr>
      <w:r w:rsidRPr="00BA1219">
        <w:rPr>
          <w:lang w:val="en-CA"/>
        </w:rPr>
        <w:t>In 1845, the</w:t>
      </w:r>
      <w:r w:rsidR="005B688F" w:rsidRPr="00BA1219">
        <w:rPr>
          <w:lang w:val="en-CA"/>
        </w:rPr>
        <w:t xml:space="preserve"> </w:t>
      </w:r>
      <w:r w:rsidR="005B688F" w:rsidRPr="00BA1219">
        <w:rPr>
          <w:rFonts w:cs="Arial"/>
          <w:i/>
          <w:iCs/>
          <w:lang w:val="en-CA"/>
        </w:rPr>
        <w:t xml:space="preserve">Act to make better Provision for Elementary Instruction in Lower Canada, </w:t>
      </w:r>
      <w:r w:rsidR="005B688F" w:rsidRPr="00AF2952">
        <w:rPr>
          <w:rFonts w:cs="Arial"/>
          <w:i/>
          <w:iCs/>
          <w:lang w:val="en-CA"/>
        </w:rPr>
        <w:t>1845</w:t>
      </w:r>
      <w:r w:rsidRPr="00BA1219">
        <w:rPr>
          <w:rStyle w:val="Appelnotedebasdep"/>
          <w:rFonts w:cs="Arial"/>
          <w:szCs w:val="24"/>
          <w:lang w:val="en-CA"/>
        </w:rPr>
        <w:footnoteReference w:id="67"/>
      </w:r>
      <w:r w:rsidRPr="00BA1219">
        <w:rPr>
          <w:i/>
          <w:lang w:val="en-CA"/>
        </w:rPr>
        <w:t xml:space="preserve"> </w:t>
      </w:r>
      <w:r w:rsidRPr="00BA1219">
        <w:rPr>
          <w:lang w:val="en-CA"/>
        </w:rPr>
        <w:t xml:space="preserve">entrusted the management of public schools to a school board entirely independent of the municipal council. This </w:t>
      </w:r>
      <w:r w:rsidRPr="00555D7D">
        <w:rPr>
          <w:lang w:val="en-CA"/>
        </w:rPr>
        <w:t>Act</w:t>
      </w:r>
      <w:r w:rsidRPr="00BA1219">
        <w:rPr>
          <w:lang w:val="en-CA"/>
        </w:rPr>
        <w:t xml:space="preserve"> also reiterated the right to dissent for Catholic and Protestant minorities and require</w:t>
      </w:r>
      <w:r w:rsidR="00C72974" w:rsidRPr="00BA1219">
        <w:rPr>
          <w:lang w:val="en-CA"/>
        </w:rPr>
        <w:t>d</w:t>
      </w:r>
      <w:r w:rsidRPr="00BA1219">
        <w:rPr>
          <w:lang w:val="en-CA"/>
        </w:rPr>
        <w:t xml:space="preserve"> the establishment of denominational school board</w:t>
      </w:r>
      <w:r w:rsidR="000A72F6">
        <w:rPr>
          <w:lang w:val="en-CA"/>
        </w:rPr>
        <w:t>s – that is, C</w:t>
      </w:r>
      <w:r w:rsidR="009137A3">
        <w:rPr>
          <w:lang w:val="en-CA"/>
        </w:rPr>
        <w:t>a</w:t>
      </w:r>
      <w:r w:rsidR="000A72F6">
        <w:rPr>
          <w:lang w:val="en-CA"/>
        </w:rPr>
        <w:t>tholic and Protestant –</w:t>
      </w:r>
      <w:r w:rsidRPr="00BA1219">
        <w:rPr>
          <w:lang w:val="en-CA"/>
        </w:rPr>
        <w:t xml:space="preserve"> in Qu</w:t>
      </w:r>
      <w:r w:rsidR="00853675">
        <w:rPr>
          <w:lang w:val="en-CA"/>
        </w:rPr>
        <w:t>e</w:t>
      </w:r>
      <w:r w:rsidRPr="00BA1219">
        <w:rPr>
          <w:lang w:val="en-CA"/>
        </w:rPr>
        <w:t>bec</w:t>
      </w:r>
      <w:r w:rsidR="001F0E42">
        <w:rPr>
          <w:lang w:val="en-CA"/>
        </w:rPr>
        <w:t xml:space="preserve"> City</w:t>
      </w:r>
      <w:r w:rsidRPr="00BA1219">
        <w:rPr>
          <w:lang w:val="en-CA"/>
        </w:rPr>
        <w:t>. S</w:t>
      </w:r>
      <w:r w:rsidR="00C72974" w:rsidRPr="00BA1219">
        <w:rPr>
          <w:lang w:val="en-CA"/>
        </w:rPr>
        <w:t>e</w:t>
      </w:r>
      <w:r w:rsidRPr="00BA1219">
        <w:rPr>
          <w:lang w:val="en-CA"/>
        </w:rPr>
        <w:t>ction XLI provide</w:t>
      </w:r>
      <w:r w:rsidR="008A52CC">
        <w:rPr>
          <w:lang w:val="en-CA"/>
        </w:rPr>
        <w:t>d as follows</w:t>
      </w:r>
      <w:r w:rsidRPr="00BA1219">
        <w:rPr>
          <w:lang w:val="en-CA"/>
        </w:rPr>
        <w:t>:</w:t>
      </w:r>
      <w:r w:rsidRPr="00BA1219">
        <w:rPr>
          <w:rStyle w:val="Appelnotedebasdep"/>
          <w:rFonts w:cs="Arial"/>
          <w:szCs w:val="24"/>
          <w:lang w:val="en-CA"/>
        </w:rPr>
        <w:t xml:space="preserve"> </w:t>
      </w:r>
      <w:r w:rsidRPr="00BA1219">
        <w:rPr>
          <w:rStyle w:val="Appelnotedebasdep"/>
          <w:rFonts w:cs="Arial"/>
          <w:szCs w:val="24"/>
          <w:lang w:val="en-CA"/>
        </w:rPr>
        <w:footnoteReference w:id="68"/>
      </w:r>
    </w:p>
    <w:p w14:paraId="2CD23596" w14:textId="312BD9AF" w:rsidR="00E11361" w:rsidRPr="00BA1219" w:rsidRDefault="0096102C" w:rsidP="00E11361">
      <w:pPr>
        <w:pStyle w:val="Citation"/>
        <w:rPr>
          <w:lang w:val="en-CA"/>
        </w:rPr>
      </w:pPr>
      <w:r w:rsidRPr="00BA1219">
        <w:rPr>
          <w:lang w:val="en-CA"/>
        </w:rPr>
        <w:t xml:space="preserve">… </w:t>
      </w:r>
      <w:r w:rsidR="00C72974" w:rsidRPr="00BA1219">
        <w:rPr>
          <w:lang w:val="en-CA"/>
        </w:rPr>
        <w:t xml:space="preserve">in </w:t>
      </w:r>
      <w:r w:rsidRPr="00BA1219">
        <w:rPr>
          <w:lang w:val="en-CA"/>
        </w:rPr>
        <w:t>Qu</w:t>
      </w:r>
      <w:r w:rsidR="00C72974" w:rsidRPr="00BA1219">
        <w:rPr>
          <w:lang w:val="en-CA"/>
        </w:rPr>
        <w:t>e</w:t>
      </w:r>
      <w:r w:rsidRPr="00BA1219">
        <w:rPr>
          <w:lang w:val="en-CA"/>
        </w:rPr>
        <w:t xml:space="preserve">bec </w:t>
      </w:r>
      <w:r w:rsidR="00C72974" w:rsidRPr="00BA1219">
        <w:rPr>
          <w:lang w:val="en-CA"/>
        </w:rPr>
        <w:t>and</w:t>
      </w:r>
      <w:r w:rsidRPr="00BA1219">
        <w:rPr>
          <w:lang w:val="en-CA"/>
        </w:rPr>
        <w:t xml:space="preserve"> Montr</w:t>
      </w:r>
      <w:r w:rsidR="00C72974" w:rsidRPr="00BA1219">
        <w:rPr>
          <w:lang w:val="en-CA"/>
        </w:rPr>
        <w:t>e</w:t>
      </w:r>
      <w:r w:rsidRPr="00BA1219">
        <w:rPr>
          <w:lang w:val="en-CA"/>
        </w:rPr>
        <w:t xml:space="preserve">al, </w:t>
      </w:r>
      <w:r w:rsidR="00C72974" w:rsidRPr="00BA1219">
        <w:rPr>
          <w:lang w:val="en-CA"/>
        </w:rPr>
        <w:t>the</w:t>
      </w:r>
      <w:r w:rsidRPr="00BA1219">
        <w:rPr>
          <w:lang w:val="en-CA"/>
        </w:rPr>
        <w:t xml:space="preserve"> </w:t>
      </w:r>
      <w:r w:rsidR="00CB02BD" w:rsidRPr="00BA1219">
        <w:rPr>
          <w:lang w:val="en-CA"/>
        </w:rPr>
        <w:t>C</w:t>
      </w:r>
      <w:r w:rsidRPr="00BA1219">
        <w:rPr>
          <w:lang w:val="en-CA"/>
        </w:rPr>
        <w:t xml:space="preserve">orporation </w:t>
      </w:r>
      <w:r w:rsidR="00CB02BD" w:rsidRPr="00BA1219">
        <w:rPr>
          <w:lang w:val="en-CA"/>
        </w:rPr>
        <w:t>shall appoint twelve School Commissioners, six of whom shall be Roman Catholics and six Protestants; and such Commissioners shall form two separate and distinct Corporations, the one for the Roman Catholics and the other for the Protestants; and one-half of each of the said Corporations shall be renewed annually by said Corporation.</w:t>
      </w:r>
      <w:r w:rsidRPr="00BA1219">
        <w:rPr>
          <w:lang w:val="en-CA"/>
        </w:rPr>
        <w:t xml:space="preserve"> </w:t>
      </w:r>
    </w:p>
    <w:p w14:paraId="175E7D22" w14:textId="45FBF435" w:rsidR="002113CE" w:rsidRPr="00BA1219" w:rsidRDefault="0096102C" w:rsidP="005A6BD1">
      <w:pPr>
        <w:pStyle w:val="Paragrsimple"/>
        <w:rPr>
          <w:lang w:val="en-CA"/>
        </w:rPr>
      </w:pPr>
      <w:r w:rsidRPr="00BA1219">
        <w:rPr>
          <w:lang w:val="en-CA"/>
        </w:rPr>
        <w:t>Therefore, school commissioners</w:t>
      </w:r>
      <w:r w:rsidR="00012DDC">
        <w:rPr>
          <w:lang w:val="en-CA"/>
        </w:rPr>
        <w:t xml:space="preserve"> were appointed by municipal councillors, and this </w:t>
      </w:r>
      <w:r w:rsidRPr="00BA1219">
        <w:rPr>
          <w:lang w:val="en-CA"/>
        </w:rPr>
        <w:t>was the situation until 1972.</w:t>
      </w:r>
      <w:r w:rsidR="008D33A4" w:rsidRPr="00BA1219">
        <w:rPr>
          <w:lang w:val="en-CA"/>
        </w:rPr>
        <w:t xml:space="preserve"> </w:t>
      </w:r>
      <w:r w:rsidRPr="00BA1219">
        <w:rPr>
          <w:lang w:val="en-CA"/>
        </w:rPr>
        <w:t>Professors MacLeod and Poutanen describe how the commissioners were appointed:</w:t>
      </w:r>
    </w:p>
    <w:p w14:paraId="1EF33953" w14:textId="77777777" w:rsidR="008D33A4" w:rsidRPr="00BA1219" w:rsidRDefault="0096102C" w:rsidP="00B114F1">
      <w:pPr>
        <w:pStyle w:val="Citation"/>
        <w:rPr>
          <w:lang w:val="en-CA"/>
        </w:rPr>
      </w:pPr>
      <w:r w:rsidRPr="00360EA8">
        <w:rPr>
          <w:lang w:val="en-CA"/>
        </w:rPr>
        <w:t>78 In this respect, virtually anyone living within the city’s jurisdiction was technically eligible for appointment to the boards, although in practice it was the wealthier and well-respected figures that were chosen. On the Protestant side, in Montreal, the first commissioners were not only respectable, but had a clear personal interest in educational matters, something that no doubt influenced their decision to join the board (but did not determine their selection).</w:t>
      </w:r>
      <w:r w:rsidRPr="00360EA8">
        <w:rPr>
          <w:rStyle w:val="Appelnotedebasdep"/>
          <w:lang w:val="en-CA"/>
        </w:rPr>
        <w:footnoteReference w:id="69"/>
      </w:r>
    </w:p>
    <w:p w14:paraId="73EAF2ED" w14:textId="33415114" w:rsidR="007F2BAE" w:rsidRPr="00C37C20" w:rsidRDefault="0096102C" w:rsidP="005A6BD1">
      <w:pPr>
        <w:pStyle w:val="Paragrsimple"/>
        <w:rPr>
          <w:lang w:val="en-CA"/>
        </w:rPr>
      </w:pPr>
      <w:r w:rsidRPr="00C37C20">
        <w:rPr>
          <w:lang w:val="en-CA" w:eastAsia="fr-CA"/>
        </w:rPr>
        <w:t>The 1856 school legislation</w:t>
      </w:r>
      <w:r w:rsidRPr="00C37C20">
        <w:rPr>
          <w:rStyle w:val="Appelnotedebasdep"/>
          <w:rFonts w:cs="Arial"/>
          <w:szCs w:val="24"/>
          <w:lang w:val="en-CA" w:eastAsia="fr-CA"/>
        </w:rPr>
        <w:footnoteReference w:id="70"/>
      </w:r>
      <w:r w:rsidR="000A72F6" w:rsidRPr="00C37C20">
        <w:rPr>
          <w:lang w:val="en-CA" w:eastAsia="fr-CA"/>
        </w:rPr>
        <w:t xml:space="preserve"> </w:t>
      </w:r>
      <w:r w:rsidRPr="00C37C20">
        <w:rPr>
          <w:rFonts w:cs="Arial"/>
          <w:szCs w:val="24"/>
          <w:lang w:val="en-CA" w:eastAsia="fr-CA"/>
        </w:rPr>
        <w:t>made it possible to establish normal schools and created the Council of</w:t>
      </w:r>
      <w:r w:rsidR="005009EC">
        <w:rPr>
          <w:rFonts w:cs="Arial"/>
          <w:szCs w:val="24"/>
          <w:lang w:val="en-CA" w:eastAsia="fr-CA"/>
        </w:rPr>
        <w:t xml:space="preserve"> Public Instruction</w:t>
      </w:r>
      <w:r w:rsidR="009137A3" w:rsidRPr="00C37C20">
        <w:rPr>
          <w:rFonts w:cs="Arial"/>
          <w:szCs w:val="24"/>
          <w:lang w:val="en-CA" w:eastAsia="fr-CA"/>
        </w:rPr>
        <w:t xml:space="preserve">, which </w:t>
      </w:r>
      <w:r w:rsidRPr="00C37C20">
        <w:rPr>
          <w:lang w:val="en-CA" w:eastAsia="fr-CA"/>
        </w:rPr>
        <w:t xml:space="preserve">was the </w:t>
      </w:r>
      <w:r w:rsidR="009137A3" w:rsidRPr="00C37C20">
        <w:rPr>
          <w:lang w:val="en-CA" w:eastAsia="fr-CA"/>
        </w:rPr>
        <w:t xml:space="preserve">first </w:t>
      </w:r>
      <w:r w:rsidRPr="00C37C20">
        <w:rPr>
          <w:lang w:val="en-CA" w:eastAsia="fr-CA"/>
        </w:rPr>
        <w:t xml:space="preserve">governing body of the province’s school system. Its duties consisted of making regulations </w:t>
      </w:r>
      <w:r w:rsidR="009137A3" w:rsidRPr="00C37C20">
        <w:rPr>
          <w:lang w:val="en-CA" w:eastAsia="fr-CA"/>
        </w:rPr>
        <w:t xml:space="preserve">on </w:t>
      </w:r>
      <w:r w:rsidRPr="00C37C20">
        <w:rPr>
          <w:lang w:val="en-CA" w:eastAsia="fr-CA"/>
        </w:rPr>
        <w:t xml:space="preserve">the normal </w:t>
      </w:r>
      <w:r w:rsidRPr="00C37C20">
        <w:rPr>
          <w:lang w:val="en-CA" w:eastAsia="fr-CA"/>
        </w:rPr>
        <w:lastRenderedPageBreak/>
        <w:t xml:space="preserve">schools, </w:t>
      </w:r>
      <w:r w:rsidR="009137A3" w:rsidRPr="00C37C20">
        <w:rPr>
          <w:lang w:val="en-CA" w:eastAsia="fr-CA"/>
        </w:rPr>
        <w:t xml:space="preserve">on </w:t>
      </w:r>
      <w:r w:rsidRPr="00C37C20">
        <w:rPr>
          <w:lang w:val="en-CA" w:eastAsia="fr-CA"/>
        </w:rPr>
        <w:t xml:space="preserve">teacher certification by the board of examiners, and </w:t>
      </w:r>
      <w:r w:rsidR="009137A3" w:rsidRPr="00C37C20">
        <w:rPr>
          <w:lang w:val="en-CA" w:eastAsia="fr-CA"/>
        </w:rPr>
        <w:t xml:space="preserve">on </w:t>
      </w:r>
      <w:r w:rsidRPr="00C37C20">
        <w:rPr>
          <w:lang w:val="en-CA" w:eastAsia="fr-CA"/>
        </w:rPr>
        <w:t xml:space="preserve">the </w:t>
      </w:r>
      <w:r w:rsidR="008A52CC" w:rsidRPr="00C37C20">
        <w:rPr>
          <w:lang w:val="en-CA" w:eastAsia="fr-CA"/>
        </w:rPr>
        <w:t>[</w:t>
      </w:r>
      <w:r w:rsidRPr="00C37C20">
        <w:rPr>
          <w:smallCaps/>
          <w:lang w:val="en-CA" w:eastAsia="fr-CA"/>
        </w:rPr>
        <w:t>translation</w:t>
      </w:r>
      <w:r w:rsidR="008A52CC" w:rsidRPr="00C37C20">
        <w:rPr>
          <w:smallCaps/>
          <w:lang w:val="en-CA" w:eastAsia="fr-CA"/>
        </w:rPr>
        <w:t>]</w:t>
      </w:r>
      <w:r w:rsidRPr="00C37C20">
        <w:rPr>
          <w:lang w:val="en-CA" w:eastAsia="fr-CA"/>
        </w:rPr>
        <w:t xml:space="preserve"> “organization, governance and discipline of the public schools”.</w:t>
      </w:r>
      <w:r w:rsidRPr="00C37C20">
        <w:rPr>
          <w:rStyle w:val="Appelnotedebasdep"/>
          <w:rFonts w:cs="Arial"/>
          <w:szCs w:val="24"/>
          <w:lang w:val="en-CA" w:eastAsia="fr-CA"/>
        </w:rPr>
        <w:footnoteReference w:id="71"/>
      </w:r>
    </w:p>
    <w:p w14:paraId="17765CC5" w14:textId="28C29C32" w:rsidR="00C06FB6" w:rsidRDefault="0096102C" w:rsidP="005A6BD1">
      <w:pPr>
        <w:pStyle w:val="Paragrsimple"/>
        <w:rPr>
          <w:lang w:val="en-CA"/>
        </w:rPr>
      </w:pPr>
      <w:r w:rsidRPr="00BA1219">
        <w:rPr>
          <w:lang w:val="en-CA"/>
        </w:rPr>
        <w:t xml:space="preserve">The Court cites the conclusion of the report of expert David Gilles, on the legislative contexts of standards relating to the school system </w:t>
      </w:r>
      <w:r w:rsidR="00C849C0" w:rsidRPr="00BA1219">
        <w:rPr>
          <w:lang w:val="en-CA"/>
        </w:rPr>
        <w:t>before</w:t>
      </w:r>
      <w:r w:rsidRPr="00BA1219">
        <w:rPr>
          <w:lang w:val="en-CA"/>
        </w:rPr>
        <w:t xml:space="preserve"> Confederation:</w:t>
      </w:r>
      <w:r w:rsidRPr="00BA1219">
        <w:rPr>
          <w:rStyle w:val="Appelnotedebasdep"/>
          <w:lang w:val="en-CA"/>
        </w:rPr>
        <w:footnoteReference w:id="72"/>
      </w:r>
    </w:p>
    <w:p w14:paraId="4CEEE43C" w14:textId="03B6A2E0" w:rsidR="00523E30" w:rsidRPr="00523E30" w:rsidRDefault="00523E30" w:rsidP="00523E30">
      <w:pPr>
        <w:pStyle w:val="Paragrdouble"/>
        <w:numPr>
          <w:ilvl w:val="0"/>
          <w:numId w:val="0"/>
        </w:numPr>
        <w:ind w:left="731"/>
        <w:rPr>
          <w:lang w:val="en-CA"/>
        </w:rPr>
      </w:pPr>
      <w:r>
        <w:rPr>
          <w:lang w:val="en-CA" w:eastAsia="fr-CA"/>
        </w:rPr>
        <w:t>[</w:t>
      </w:r>
      <w:r w:rsidRPr="008A52CC">
        <w:rPr>
          <w:smallCaps/>
          <w:lang w:val="en-CA" w:eastAsia="fr-CA"/>
        </w:rPr>
        <w:t>translation</w:t>
      </w:r>
      <w:r>
        <w:rPr>
          <w:smallCaps/>
          <w:lang w:val="en-CA" w:eastAsia="fr-CA"/>
        </w:rPr>
        <w:t>]</w:t>
      </w:r>
    </w:p>
    <w:p w14:paraId="32D1AFFC" w14:textId="204A807B" w:rsidR="00C06FB6" w:rsidRPr="00BA1219" w:rsidRDefault="0096102C" w:rsidP="005A6BD1">
      <w:pPr>
        <w:pStyle w:val="Citation"/>
        <w:rPr>
          <w:lang w:val="en-CA"/>
        </w:rPr>
      </w:pPr>
      <w:r w:rsidRPr="00BA1219">
        <w:rPr>
          <w:lang w:val="en-CA"/>
        </w:rPr>
        <w:t>129</w:t>
      </w:r>
      <w:r w:rsidRPr="00BA1219">
        <w:rPr>
          <w:lang w:val="en-CA"/>
        </w:rPr>
        <w:tab/>
      </w:r>
      <w:r w:rsidR="009137A3">
        <w:rPr>
          <w:lang w:val="en-CA"/>
        </w:rPr>
        <w:t xml:space="preserve">... </w:t>
      </w:r>
      <w:r w:rsidR="008A52CC" w:rsidRPr="008A52CC">
        <w:rPr>
          <w:lang w:val="en-CA"/>
        </w:rPr>
        <w:t xml:space="preserve">[T]he succession of school </w:t>
      </w:r>
      <w:r w:rsidR="008A52CC">
        <w:rPr>
          <w:lang w:val="en-CA"/>
        </w:rPr>
        <w:t xml:space="preserve">legislation </w:t>
      </w:r>
      <w:r w:rsidR="008A52CC" w:rsidRPr="008A52CC">
        <w:rPr>
          <w:lang w:val="en-CA"/>
        </w:rPr>
        <w:t xml:space="preserve">in the first half of the 19th century did not alter the fundamentals that had been in place since the end of the 18th century. </w:t>
      </w:r>
      <w:r w:rsidR="008A52CC">
        <w:rPr>
          <w:lang w:val="en-CA"/>
        </w:rPr>
        <w:t>It was an</w:t>
      </w:r>
      <w:r w:rsidR="008A52CC" w:rsidRPr="008A52CC">
        <w:rPr>
          <w:lang w:val="en-CA"/>
        </w:rPr>
        <w:t xml:space="preserve"> evolving school system, based on </w:t>
      </w:r>
      <w:r w:rsidR="00D21A81">
        <w:rPr>
          <w:lang w:val="en-CA"/>
        </w:rPr>
        <w:t>governmental</w:t>
      </w:r>
      <w:r w:rsidR="0098669E">
        <w:rPr>
          <w:lang w:val="en-CA"/>
        </w:rPr>
        <w:t xml:space="preserve"> and</w:t>
      </w:r>
      <w:r w:rsidR="008A52CC" w:rsidRPr="008A52CC">
        <w:rPr>
          <w:lang w:val="en-CA"/>
        </w:rPr>
        <w:t xml:space="preserve"> denominational frameworks</w:t>
      </w:r>
      <w:r w:rsidR="00C37C20">
        <w:rPr>
          <w:lang w:val="en-CA"/>
        </w:rPr>
        <w:t xml:space="preserve"> in turn</w:t>
      </w:r>
      <w:r w:rsidR="008A52CC" w:rsidRPr="008A52CC">
        <w:rPr>
          <w:lang w:val="en-CA"/>
        </w:rPr>
        <w:t xml:space="preserve">, ultimately leaving a very </w:t>
      </w:r>
      <w:r w:rsidR="00A47D04">
        <w:rPr>
          <w:lang w:val="en-CA"/>
        </w:rPr>
        <w:t>significant</w:t>
      </w:r>
      <w:r w:rsidR="008A52CC" w:rsidRPr="008A52CC">
        <w:rPr>
          <w:lang w:val="en-CA"/>
        </w:rPr>
        <w:t xml:space="preserve"> </w:t>
      </w:r>
      <w:r w:rsidR="00A47D04">
        <w:rPr>
          <w:lang w:val="en-CA"/>
        </w:rPr>
        <w:t>role</w:t>
      </w:r>
      <w:r w:rsidR="008A52CC" w:rsidRPr="008A52CC">
        <w:rPr>
          <w:lang w:val="en-CA"/>
        </w:rPr>
        <w:t xml:space="preserve"> for </w:t>
      </w:r>
      <w:r w:rsidR="00D21A81">
        <w:rPr>
          <w:lang w:val="en-CA"/>
        </w:rPr>
        <w:t xml:space="preserve">a </w:t>
      </w:r>
      <w:r w:rsidR="008A52CC" w:rsidRPr="008A52CC">
        <w:rPr>
          <w:lang w:val="en-CA"/>
        </w:rPr>
        <w:t>denominational</w:t>
      </w:r>
      <w:r w:rsidR="00691B96">
        <w:rPr>
          <w:lang w:val="en-CA"/>
        </w:rPr>
        <w:t xml:space="preserve"> </w:t>
      </w:r>
      <w:r w:rsidR="00EA139F">
        <w:rPr>
          <w:lang w:val="en-CA"/>
        </w:rPr>
        <w:t>approach</w:t>
      </w:r>
      <w:r w:rsidR="008A52CC" w:rsidRPr="008A52CC">
        <w:rPr>
          <w:lang w:val="en-CA"/>
        </w:rPr>
        <w:t>.</w:t>
      </w:r>
    </w:p>
    <w:p w14:paraId="315915CA" w14:textId="3486EC19" w:rsidR="00C06FB6" w:rsidRPr="00BA1219" w:rsidRDefault="0096102C" w:rsidP="005A6BD1">
      <w:pPr>
        <w:pStyle w:val="Citation"/>
        <w:rPr>
          <w:lang w:val="en-CA"/>
        </w:rPr>
      </w:pPr>
      <w:r w:rsidRPr="00BA1219">
        <w:rPr>
          <w:lang w:val="en-CA"/>
        </w:rPr>
        <w:t>130</w:t>
      </w:r>
      <w:r w:rsidRPr="00BA1219">
        <w:rPr>
          <w:lang w:val="en-CA"/>
        </w:rPr>
        <w:tab/>
      </w:r>
      <w:r w:rsidR="00760399" w:rsidRPr="00760399">
        <w:rPr>
          <w:lang w:val="en-CA"/>
        </w:rPr>
        <w:t xml:space="preserve">From the point of view of school system administration, tolerance </w:t>
      </w:r>
      <w:r w:rsidR="00EA139F">
        <w:rPr>
          <w:lang w:val="en-CA"/>
        </w:rPr>
        <w:t>was</w:t>
      </w:r>
      <w:r w:rsidR="00EA139F" w:rsidRPr="00760399">
        <w:rPr>
          <w:lang w:val="en-CA"/>
        </w:rPr>
        <w:t xml:space="preserve"> </w:t>
      </w:r>
      <w:r w:rsidR="00760399" w:rsidRPr="00760399">
        <w:rPr>
          <w:lang w:val="en-CA"/>
        </w:rPr>
        <w:t xml:space="preserve">a logical extension of the legal, political and administrative </w:t>
      </w:r>
      <w:r w:rsidR="00EA139F">
        <w:rPr>
          <w:lang w:val="en-CA"/>
        </w:rPr>
        <w:t>approach</w:t>
      </w:r>
      <w:r w:rsidR="00D21A81" w:rsidRPr="00760399">
        <w:rPr>
          <w:lang w:val="en-CA"/>
        </w:rPr>
        <w:t xml:space="preserve"> </w:t>
      </w:r>
      <w:r w:rsidR="00760399" w:rsidRPr="00760399">
        <w:rPr>
          <w:lang w:val="en-CA"/>
        </w:rPr>
        <w:t>that ultimately stem</w:t>
      </w:r>
      <w:r w:rsidR="00EA139F">
        <w:rPr>
          <w:lang w:val="en-CA"/>
        </w:rPr>
        <w:t>med</w:t>
      </w:r>
      <w:r w:rsidR="00760399" w:rsidRPr="00760399">
        <w:rPr>
          <w:lang w:val="en-CA"/>
        </w:rPr>
        <w:t xml:space="preserve"> from the cultural and demographic reality of the territory. In the field of education, acceptance of dissent </w:t>
      </w:r>
      <w:r w:rsidR="00FF107E">
        <w:rPr>
          <w:lang w:val="en-CA"/>
        </w:rPr>
        <w:t xml:space="preserve">quickly became a concern </w:t>
      </w:r>
      <w:r w:rsidR="00760399" w:rsidRPr="00760399">
        <w:rPr>
          <w:lang w:val="en-CA"/>
        </w:rPr>
        <w:t xml:space="preserve">clearly taken into account by successive legislatures, which were quite consistent in accommodating the possibility of </w:t>
      </w:r>
      <w:r w:rsidR="00BB76BD">
        <w:rPr>
          <w:lang w:val="en-CA"/>
        </w:rPr>
        <w:t>dissentient</w:t>
      </w:r>
      <w:r w:rsidR="00BB76BD" w:rsidRPr="00760399">
        <w:rPr>
          <w:lang w:val="en-CA"/>
        </w:rPr>
        <w:t xml:space="preserve"> </w:t>
      </w:r>
      <w:r w:rsidR="00760399" w:rsidRPr="00760399">
        <w:rPr>
          <w:lang w:val="en-CA"/>
        </w:rPr>
        <w:t>schools and school boards on a denominational basis.</w:t>
      </w:r>
    </w:p>
    <w:p w14:paraId="41A5A58C" w14:textId="71F5C3E3" w:rsidR="00C06FB6" w:rsidRPr="00BA1219" w:rsidRDefault="0096102C" w:rsidP="005A6BD1">
      <w:pPr>
        <w:pStyle w:val="Citation"/>
        <w:rPr>
          <w:spacing w:val="-2"/>
          <w:lang w:val="en-CA"/>
        </w:rPr>
      </w:pPr>
      <w:r w:rsidRPr="00BA1219">
        <w:rPr>
          <w:spacing w:val="-2"/>
          <w:lang w:val="en-CA"/>
        </w:rPr>
        <w:t>131</w:t>
      </w:r>
      <w:r w:rsidRPr="00BA1219">
        <w:rPr>
          <w:spacing w:val="-2"/>
          <w:lang w:val="en-CA"/>
        </w:rPr>
        <w:tab/>
      </w:r>
      <w:r w:rsidR="00760399" w:rsidRPr="00760399">
        <w:rPr>
          <w:spacing w:val="-2"/>
          <w:lang w:val="en-CA"/>
        </w:rPr>
        <w:t xml:space="preserve">From the legislatures of </w:t>
      </w:r>
      <w:r w:rsidR="00760399">
        <w:rPr>
          <w:spacing w:val="-2"/>
          <w:lang w:val="en-CA"/>
        </w:rPr>
        <w:t>United Canada</w:t>
      </w:r>
      <w:r w:rsidR="00760399" w:rsidRPr="00760399">
        <w:rPr>
          <w:spacing w:val="-2"/>
          <w:lang w:val="en-CA"/>
        </w:rPr>
        <w:t xml:space="preserve"> onwards, a</w:t>
      </w:r>
      <w:r w:rsidR="00EA139F">
        <w:rPr>
          <w:spacing w:val="-2"/>
          <w:lang w:val="en-CA"/>
        </w:rPr>
        <w:t>n approach to</w:t>
      </w:r>
      <w:r w:rsidR="00760399" w:rsidRPr="00760399">
        <w:rPr>
          <w:spacing w:val="-2"/>
          <w:lang w:val="en-CA"/>
        </w:rPr>
        <w:t xml:space="preserve"> school</w:t>
      </w:r>
      <w:r w:rsidR="0098669E">
        <w:rPr>
          <w:spacing w:val="-2"/>
          <w:lang w:val="en-CA"/>
        </w:rPr>
        <w:t>s</w:t>
      </w:r>
      <w:r w:rsidR="00760399" w:rsidRPr="00760399">
        <w:rPr>
          <w:spacing w:val="-2"/>
          <w:lang w:val="en-CA"/>
        </w:rPr>
        <w:t xml:space="preserve"> that increasingly favo</w:t>
      </w:r>
      <w:r w:rsidR="00760399">
        <w:rPr>
          <w:spacing w:val="-2"/>
          <w:lang w:val="en-CA"/>
        </w:rPr>
        <w:t>u</w:t>
      </w:r>
      <w:r w:rsidR="00760399" w:rsidRPr="00760399">
        <w:rPr>
          <w:spacing w:val="-2"/>
          <w:lang w:val="en-CA"/>
        </w:rPr>
        <w:t>r</w:t>
      </w:r>
      <w:r w:rsidR="00EA139F">
        <w:rPr>
          <w:spacing w:val="-2"/>
          <w:lang w:val="en-CA"/>
        </w:rPr>
        <w:t>ed</w:t>
      </w:r>
      <w:r w:rsidR="00760399" w:rsidRPr="00760399">
        <w:rPr>
          <w:spacing w:val="-2"/>
          <w:lang w:val="en-CA"/>
        </w:rPr>
        <w:t xml:space="preserve"> a local </w:t>
      </w:r>
      <w:r w:rsidR="00B005EA">
        <w:rPr>
          <w:spacing w:val="-2"/>
          <w:lang w:val="en-CA"/>
        </w:rPr>
        <w:t>perspective</w:t>
      </w:r>
      <w:r w:rsidR="00760399" w:rsidRPr="00760399">
        <w:rPr>
          <w:spacing w:val="-2"/>
          <w:lang w:val="en-CA"/>
        </w:rPr>
        <w:t xml:space="preserve">, based on school democracy, </w:t>
      </w:r>
      <w:r w:rsidR="00760399">
        <w:rPr>
          <w:spacing w:val="-2"/>
          <w:lang w:val="en-CA"/>
        </w:rPr>
        <w:t>was</w:t>
      </w:r>
      <w:r w:rsidR="00760399" w:rsidRPr="00760399">
        <w:rPr>
          <w:spacing w:val="-2"/>
          <w:lang w:val="en-CA"/>
        </w:rPr>
        <w:t xml:space="preserve"> asserting itself.</w:t>
      </w:r>
    </w:p>
    <w:p w14:paraId="0ACCCA6C" w14:textId="4E0E9D91" w:rsidR="00C06FB6" w:rsidRPr="00BA1219" w:rsidRDefault="0096102C" w:rsidP="005A6BD1">
      <w:pPr>
        <w:pStyle w:val="Citation"/>
        <w:rPr>
          <w:lang w:val="en-CA"/>
        </w:rPr>
      </w:pPr>
      <w:r w:rsidRPr="00BA1219">
        <w:rPr>
          <w:spacing w:val="-2"/>
          <w:lang w:val="en-CA"/>
        </w:rPr>
        <w:t>132</w:t>
      </w:r>
      <w:r w:rsidRPr="00BA1219">
        <w:rPr>
          <w:spacing w:val="-2"/>
          <w:lang w:val="en-CA"/>
        </w:rPr>
        <w:tab/>
      </w:r>
      <w:r w:rsidR="00523E30" w:rsidRPr="00523E30">
        <w:rPr>
          <w:spacing w:val="-2"/>
          <w:lang w:val="en-CA"/>
        </w:rPr>
        <w:t xml:space="preserve">Nevertheless, the legislatures of United Canada and Lower Canada did not consider it necessary to set specific criteria other than property ownership and </w:t>
      </w:r>
      <w:r w:rsidR="006940FC">
        <w:rPr>
          <w:spacing w:val="-2"/>
          <w:lang w:val="en-CA"/>
        </w:rPr>
        <w:t xml:space="preserve">whether or not someone was a member of </w:t>
      </w:r>
      <w:r w:rsidR="00523E30" w:rsidRPr="00523E30">
        <w:rPr>
          <w:spacing w:val="-2"/>
          <w:lang w:val="en-CA"/>
        </w:rPr>
        <w:t xml:space="preserve">the clergy to </w:t>
      </w:r>
      <w:r w:rsidR="006940FC">
        <w:rPr>
          <w:spacing w:val="-2"/>
          <w:lang w:val="en-CA"/>
        </w:rPr>
        <w:t xml:space="preserve">be able to </w:t>
      </w:r>
      <w:r w:rsidR="00523E30" w:rsidRPr="00523E30">
        <w:rPr>
          <w:spacing w:val="-2"/>
          <w:lang w:val="en-CA"/>
        </w:rPr>
        <w:t xml:space="preserve">participate in school elections or </w:t>
      </w:r>
      <w:r w:rsidR="00523E30">
        <w:rPr>
          <w:spacing w:val="-2"/>
          <w:lang w:val="en-CA"/>
        </w:rPr>
        <w:t xml:space="preserve">run </w:t>
      </w:r>
      <w:r w:rsidR="00523E30" w:rsidRPr="00523E30">
        <w:rPr>
          <w:spacing w:val="-2"/>
          <w:lang w:val="en-CA"/>
        </w:rPr>
        <w:t>as a candidate. From this point of view, general electoral norms governed this reality.</w:t>
      </w:r>
    </w:p>
    <w:p w14:paraId="6D7E4D8D" w14:textId="55C1AA18" w:rsidR="00C06FB6" w:rsidRPr="00BA1219" w:rsidRDefault="0096102C" w:rsidP="005A6BD1">
      <w:pPr>
        <w:pStyle w:val="Citation"/>
        <w:rPr>
          <w:lang w:val="en-CA"/>
        </w:rPr>
      </w:pPr>
      <w:r w:rsidRPr="00BA1219">
        <w:rPr>
          <w:lang w:val="en-CA"/>
        </w:rPr>
        <w:t>133</w:t>
      </w:r>
      <w:r w:rsidRPr="00BA1219">
        <w:rPr>
          <w:lang w:val="en-CA"/>
        </w:rPr>
        <w:tab/>
      </w:r>
      <w:r w:rsidR="00523E30" w:rsidRPr="00523E30">
        <w:rPr>
          <w:lang w:val="en-CA"/>
        </w:rPr>
        <w:t xml:space="preserve">However, through the various reforms, commissions and committees, a very liberal sketch of </w:t>
      </w:r>
      <w:r w:rsidR="00FF107E">
        <w:rPr>
          <w:lang w:val="en-CA"/>
        </w:rPr>
        <w:t>a</w:t>
      </w:r>
      <w:r w:rsidR="00523E30" w:rsidRPr="00523E30">
        <w:rPr>
          <w:lang w:val="en-CA"/>
        </w:rPr>
        <w:t xml:space="preserve"> good school board truste</w:t>
      </w:r>
      <w:r w:rsidR="003A6FB7">
        <w:rPr>
          <w:lang w:val="en-CA"/>
        </w:rPr>
        <w:t xml:space="preserve">e </w:t>
      </w:r>
      <w:r w:rsidR="006940FC">
        <w:rPr>
          <w:lang w:val="en-CA"/>
        </w:rPr>
        <w:t xml:space="preserve">implicitly </w:t>
      </w:r>
      <w:r w:rsidR="00523E30" w:rsidRPr="00523E30">
        <w:rPr>
          <w:lang w:val="en-CA"/>
        </w:rPr>
        <w:t xml:space="preserve">emerges: </w:t>
      </w:r>
      <w:r w:rsidR="003A6FB7">
        <w:rPr>
          <w:lang w:val="en-CA"/>
        </w:rPr>
        <w:t xml:space="preserve">property </w:t>
      </w:r>
      <w:r w:rsidR="00523E30" w:rsidRPr="00523E30">
        <w:rPr>
          <w:lang w:val="en-CA"/>
        </w:rPr>
        <w:t>owner, good manager, locally established, morally hono</w:t>
      </w:r>
      <w:r w:rsidR="003A6FB7">
        <w:rPr>
          <w:lang w:val="en-CA"/>
        </w:rPr>
        <w:t>u</w:t>
      </w:r>
      <w:r w:rsidR="00523E30" w:rsidRPr="00523E30">
        <w:rPr>
          <w:lang w:val="en-CA"/>
        </w:rPr>
        <w:t>rable, and, in the case of denominational school boards, possibly a member of the clergy</w:t>
      </w:r>
      <w:r w:rsidR="006940FC">
        <w:rPr>
          <w:lang w:val="en-CA"/>
        </w:rPr>
        <w:t xml:space="preserve"> –</w:t>
      </w:r>
      <w:r w:rsidR="00523E30" w:rsidRPr="00523E30">
        <w:rPr>
          <w:lang w:val="en-CA"/>
        </w:rPr>
        <w:t xml:space="preserve"> all these elements prove</w:t>
      </w:r>
      <w:r w:rsidR="003A6FB7">
        <w:rPr>
          <w:lang w:val="en-CA"/>
        </w:rPr>
        <w:t>d</w:t>
      </w:r>
      <w:r w:rsidR="00523E30" w:rsidRPr="00523E30">
        <w:rPr>
          <w:lang w:val="en-CA"/>
        </w:rPr>
        <w:t xml:space="preserve"> to be sought-after qualities, although not all </w:t>
      </w:r>
      <w:r w:rsidR="006940FC">
        <w:rPr>
          <w:lang w:val="en-CA"/>
        </w:rPr>
        <w:t xml:space="preserve">were </w:t>
      </w:r>
      <w:r w:rsidR="00523E30" w:rsidRPr="00523E30">
        <w:rPr>
          <w:lang w:val="en-CA"/>
        </w:rPr>
        <w:t>necessarily conditions for holding the position.</w:t>
      </w:r>
    </w:p>
    <w:p w14:paraId="2171FC88" w14:textId="7266958F" w:rsidR="00187157" w:rsidRPr="00BA1219" w:rsidRDefault="00AF2ADD" w:rsidP="00187157">
      <w:pPr>
        <w:pStyle w:val="Paragrdouble"/>
        <w:spacing w:line="240" w:lineRule="auto"/>
        <w:rPr>
          <w:lang w:val="en-CA" w:eastAsia="fr-CA"/>
        </w:rPr>
      </w:pPr>
      <w:r w:rsidRPr="00BA1219">
        <w:rPr>
          <w:lang w:val="en-CA" w:eastAsia="fr-CA"/>
        </w:rPr>
        <w:t>It is worthwhile reproducing the conclusions of the</w:t>
      </w:r>
      <w:r w:rsidR="0096102C" w:rsidRPr="00BA1219">
        <w:rPr>
          <w:lang w:val="en-CA" w:eastAsia="fr-CA"/>
        </w:rPr>
        <w:t xml:space="preserve"> Parent </w:t>
      </w:r>
      <w:r w:rsidRPr="00BA1219">
        <w:rPr>
          <w:lang w:val="en-CA" w:eastAsia="fr-CA"/>
        </w:rPr>
        <w:t xml:space="preserve">Commission on the state of the school system before </w:t>
      </w:r>
      <w:r w:rsidR="0096102C" w:rsidRPr="00BA1219">
        <w:rPr>
          <w:lang w:val="en-CA" w:eastAsia="fr-CA"/>
        </w:rPr>
        <w:t>Conf</w:t>
      </w:r>
      <w:r w:rsidRPr="00BA1219">
        <w:rPr>
          <w:lang w:val="en-CA" w:eastAsia="fr-CA"/>
        </w:rPr>
        <w:t>e</w:t>
      </w:r>
      <w:r w:rsidR="0096102C" w:rsidRPr="00BA1219">
        <w:rPr>
          <w:lang w:val="en-CA" w:eastAsia="fr-CA"/>
        </w:rPr>
        <w:t>d</w:t>
      </w:r>
      <w:r w:rsidRPr="00BA1219">
        <w:rPr>
          <w:lang w:val="en-CA" w:eastAsia="fr-CA"/>
        </w:rPr>
        <w:t>e</w:t>
      </w:r>
      <w:r w:rsidR="0096102C" w:rsidRPr="00BA1219">
        <w:rPr>
          <w:lang w:val="en-CA" w:eastAsia="fr-CA"/>
        </w:rPr>
        <w:t>ration</w:t>
      </w:r>
      <w:r w:rsidRPr="00BA1219">
        <w:rPr>
          <w:lang w:val="en-CA" w:eastAsia="fr-CA"/>
        </w:rPr>
        <w:t>:</w:t>
      </w:r>
      <w:r w:rsidR="0096102C" w:rsidRPr="00BA1219">
        <w:rPr>
          <w:rStyle w:val="Appelnotedebasdep"/>
          <w:rFonts w:cs="Arial"/>
          <w:szCs w:val="24"/>
          <w:lang w:val="en-CA" w:eastAsia="fr-CA"/>
        </w:rPr>
        <w:footnoteReference w:id="73"/>
      </w:r>
      <w:r w:rsidR="0096102C" w:rsidRPr="00BA1219">
        <w:rPr>
          <w:lang w:val="en-CA" w:eastAsia="fr-CA"/>
        </w:rPr>
        <w:t> </w:t>
      </w:r>
    </w:p>
    <w:p w14:paraId="15AC1063" w14:textId="15F53A77" w:rsidR="00A973FB" w:rsidRPr="00BA1219" w:rsidRDefault="00A973FB" w:rsidP="00401C39">
      <w:pPr>
        <w:pStyle w:val="Citation"/>
        <w:keepNext/>
        <w:ind w:left="862" w:right="862"/>
        <w:rPr>
          <w:lang w:val="en-CA"/>
        </w:rPr>
      </w:pPr>
      <w:r w:rsidRPr="00BA1219">
        <w:rPr>
          <w:smallCaps/>
          <w:lang w:val="en-CA"/>
        </w:rPr>
        <w:lastRenderedPageBreak/>
        <w:t>[translation]</w:t>
      </w:r>
    </w:p>
    <w:p w14:paraId="2CF1ACDF" w14:textId="7979F50C" w:rsidR="00187157" w:rsidRPr="00BA1219" w:rsidRDefault="00B70258" w:rsidP="00401C39">
      <w:pPr>
        <w:pStyle w:val="Citation"/>
        <w:keepNext/>
        <w:ind w:left="862" w:right="862"/>
        <w:rPr>
          <w:lang w:val="en-CA"/>
        </w:rPr>
      </w:pPr>
      <w:r w:rsidRPr="00BA1219">
        <w:rPr>
          <w:lang w:val="en-CA"/>
        </w:rPr>
        <w:t>In addition to the</w:t>
      </w:r>
      <w:r w:rsidR="0096102C" w:rsidRPr="00BA1219">
        <w:rPr>
          <w:lang w:val="en-CA"/>
        </w:rPr>
        <w:t xml:space="preserve"> </w:t>
      </w:r>
      <w:r w:rsidR="00F52BD6" w:rsidRPr="00BA1219">
        <w:rPr>
          <w:lang w:val="en-CA"/>
        </w:rPr>
        <w:t>legally established Catholic and Protestant schools in</w:t>
      </w:r>
      <w:r w:rsidR="0096102C" w:rsidRPr="00BA1219">
        <w:rPr>
          <w:lang w:val="en-CA"/>
        </w:rPr>
        <w:t xml:space="preserve"> Montr</w:t>
      </w:r>
      <w:r w:rsidRPr="00BA1219">
        <w:rPr>
          <w:lang w:val="en-CA"/>
        </w:rPr>
        <w:t>e</w:t>
      </w:r>
      <w:r w:rsidR="0096102C" w:rsidRPr="00BA1219">
        <w:rPr>
          <w:lang w:val="en-CA"/>
        </w:rPr>
        <w:t xml:space="preserve">al </w:t>
      </w:r>
      <w:r w:rsidRPr="00BA1219">
        <w:rPr>
          <w:lang w:val="en-CA"/>
        </w:rPr>
        <w:t>and</w:t>
      </w:r>
      <w:r w:rsidR="0096102C" w:rsidRPr="00BA1219">
        <w:rPr>
          <w:lang w:val="en-CA"/>
        </w:rPr>
        <w:t xml:space="preserve"> Qu</w:t>
      </w:r>
      <w:r w:rsidR="006940FC">
        <w:rPr>
          <w:lang w:val="en-CA"/>
        </w:rPr>
        <w:t>e</w:t>
      </w:r>
      <w:r w:rsidR="0096102C" w:rsidRPr="00BA1219">
        <w:rPr>
          <w:lang w:val="en-CA"/>
        </w:rPr>
        <w:t>be</w:t>
      </w:r>
      <w:r w:rsidR="00996C02" w:rsidRPr="00BA1219">
        <w:rPr>
          <w:lang w:val="en-CA"/>
        </w:rPr>
        <w:t>c</w:t>
      </w:r>
      <w:r w:rsidR="00A973FB" w:rsidRPr="00BA1219">
        <w:rPr>
          <w:lang w:val="en-CA"/>
        </w:rPr>
        <w:t xml:space="preserve"> City</w:t>
      </w:r>
      <w:r w:rsidR="00996C02" w:rsidRPr="00BA1219">
        <w:rPr>
          <w:lang w:val="en-CA"/>
        </w:rPr>
        <w:t xml:space="preserve">, other </w:t>
      </w:r>
      <w:r w:rsidR="00BB76BD">
        <w:rPr>
          <w:lang w:val="en-CA"/>
        </w:rPr>
        <w:t>dissentient</w:t>
      </w:r>
      <w:r w:rsidR="006940FC">
        <w:rPr>
          <w:lang w:val="en-CA"/>
        </w:rPr>
        <w:t xml:space="preserve"> </w:t>
      </w:r>
      <w:r w:rsidR="00996C02" w:rsidRPr="00BA1219">
        <w:rPr>
          <w:lang w:val="en-CA"/>
        </w:rPr>
        <w:t>schools</w:t>
      </w:r>
      <w:r w:rsidR="0096102C" w:rsidRPr="00BA1219">
        <w:rPr>
          <w:lang w:val="en-CA"/>
        </w:rPr>
        <w:t xml:space="preserve">, </w:t>
      </w:r>
      <w:r w:rsidR="006940FC">
        <w:rPr>
          <w:lang w:val="en-CA"/>
        </w:rPr>
        <w:t>primarily</w:t>
      </w:r>
      <w:r w:rsidR="006940FC" w:rsidRPr="00BA1219">
        <w:rPr>
          <w:lang w:val="en-CA"/>
        </w:rPr>
        <w:t xml:space="preserve"> </w:t>
      </w:r>
      <w:r w:rsidR="00240C2A" w:rsidRPr="00BA1219">
        <w:rPr>
          <w:lang w:val="en-CA"/>
        </w:rPr>
        <w:t>Protestant</w:t>
      </w:r>
      <w:r w:rsidR="0096102C" w:rsidRPr="00BA1219">
        <w:rPr>
          <w:lang w:val="en-CA"/>
        </w:rPr>
        <w:t xml:space="preserve">, </w:t>
      </w:r>
      <w:r w:rsidR="00996C02" w:rsidRPr="00BA1219">
        <w:rPr>
          <w:lang w:val="en-CA"/>
        </w:rPr>
        <w:t>cropped up here and there</w:t>
      </w:r>
      <w:r w:rsidR="006940FC">
        <w:rPr>
          <w:lang w:val="en-CA"/>
        </w:rPr>
        <w:t>. They</w:t>
      </w:r>
      <w:r w:rsidR="00996C02" w:rsidRPr="00BA1219">
        <w:rPr>
          <w:lang w:val="en-CA"/>
        </w:rPr>
        <w:t xml:space="preserve"> were </w:t>
      </w:r>
      <w:r w:rsidR="00F52BD6" w:rsidRPr="00BA1219">
        <w:rPr>
          <w:lang w:val="en-CA"/>
        </w:rPr>
        <w:t>also</w:t>
      </w:r>
      <w:r w:rsidR="0096102C" w:rsidRPr="00BA1219">
        <w:rPr>
          <w:lang w:val="en-CA"/>
        </w:rPr>
        <w:t xml:space="preserve"> </w:t>
      </w:r>
      <w:r w:rsidR="00F52BD6" w:rsidRPr="00BA1219">
        <w:rPr>
          <w:lang w:val="en-CA"/>
        </w:rPr>
        <w:t xml:space="preserve">legally established </w:t>
      </w:r>
      <w:r w:rsidRPr="00BA1219">
        <w:rPr>
          <w:lang w:val="en-CA"/>
        </w:rPr>
        <w:t>denominational</w:t>
      </w:r>
      <w:r w:rsidR="00F52BD6" w:rsidRPr="00BA1219">
        <w:rPr>
          <w:lang w:val="en-CA"/>
        </w:rPr>
        <w:t xml:space="preserve"> schools</w:t>
      </w:r>
      <w:r w:rsidR="0096102C" w:rsidRPr="00BA1219">
        <w:rPr>
          <w:lang w:val="en-CA"/>
        </w:rPr>
        <w:t xml:space="preserve">, </w:t>
      </w:r>
      <w:r w:rsidR="00F52BD6" w:rsidRPr="00BA1219">
        <w:rPr>
          <w:lang w:val="en-CA"/>
        </w:rPr>
        <w:t xml:space="preserve">but </w:t>
      </w:r>
      <w:r w:rsidR="003E43E2">
        <w:rPr>
          <w:lang w:val="en-CA"/>
        </w:rPr>
        <w:t xml:space="preserve">even </w:t>
      </w:r>
      <w:r w:rsidR="00F52BD6" w:rsidRPr="00BA1219">
        <w:rPr>
          <w:lang w:val="en-CA"/>
        </w:rPr>
        <w:t xml:space="preserve">more strictly </w:t>
      </w:r>
      <w:r w:rsidRPr="00BA1219">
        <w:rPr>
          <w:lang w:val="en-CA"/>
        </w:rPr>
        <w:t>denominatio</w:t>
      </w:r>
      <w:r w:rsidR="00F52BD6" w:rsidRPr="00BA1219">
        <w:rPr>
          <w:lang w:val="en-CA"/>
        </w:rPr>
        <w:t>nal because they could refuse to admit children from a different denomination</w:t>
      </w:r>
      <w:r w:rsidR="0096102C" w:rsidRPr="00BA1219">
        <w:rPr>
          <w:lang w:val="en-CA"/>
        </w:rPr>
        <w:t xml:space="preserve">. </w:t>
      </w:r>
      <w:r w:rsidR="00996C02" w:rsidRPr="00BA1219">
        <w:rPr>
          <w:lang w:val="en-CA"/>
        </w:rPr>
        <w:t>Alongside these</w:t>
      </w:r>
      <w:r w:rsidR="0096102C" w:rsidRPr="00BA1219">
        <w:rPr>
          <w:lang w:val="en-CA"/>
        </w:rPr>
        <w:t xml:space="preserve"> </w:t>
      </w:r>
      <w:r w:rsidR="00F52BD6" w:rsidRPr="00BA1219">
        <w:rPr>
          <w:lang w:val="en-CA"/>
        </w:rPr>
        <w:t xml:space="preserve">legally established </w:t>
      </w:r>
      <w:r w:rsidRPr="00BA1219">
        <w:rPr>
          <w:lang w:val="en-CA"/>
        </w:rPr>
        <w:t>denominational</w:t>
      </w:r>
      <w:r w:rsidR="00F52BD6" w:rsidRPr="00BA1219">
        <w:rPr>
          <w:lang w:val="en-CA"/>
        </w:rPr>
        <w:t xml:space="preserve"> schools</w:t>
      </w:r>
      <w:r w:rsidR="0096102C" w:rsidRPr="00BA1219">
        <w:rPr>
          <w:lang w:val="en-CA"/>
        </w:rPr>
        <w:t xml:space="preserve">, </w:t>
      </w:r>
      <w:r w:rsidR="00F52BD6" w:rsidRPr="00BA1219">
        <w:rPr>
          <w:lang w:val="en-CA"/>
        </w:rPr>
        <w:t>the legally established common schools</w:t>
      </w:r>
      <w:r w:rsidR="0096102C" w:rsidRPr="00BA1219">
        <w:rPr>
          <w:lang w:val="en-CA"/>
        </w:rPr>
        <w:t xml:space="preserve"> </w:t>
      </w:r>
      <w:r w:rsidR="00F52BD6" w:rsidRPr="00BA1219">
        <w:rPr>
          <w:lang w:val="en-CA"/>
        </w:rPr>
        <w:t>became</w:t>
      </w:r>
      <w:r w:rsidR="0096102C" w:rsidRPr="00BA1219">
        <w:rPr>
          <w:lang w:val="en-CA"/>
        </w:rPr>
        <w:t xml:space="preserve"> </w:t>
      </w:r>
      <w:r w:rsidRPr="00BA1219">
        <w:rPr>
          <w:i/>
          <w:iCs/>
          <w:lang w:val="en-CA"/>
        </w:rPr>
        <w:t xml:space="preserve">de facto </w:t>
      </w:r>
      <w:r w:rsidRPr="00BA1219">
        <w:rPr>
          <w:lang w:val="en-CA"/>
        </w:rPr>
        <w:t xml:space="preserve">denominational schools </w:t>
      </w:r>
      <w:r w:rsidR="003E43E2">
        <w:rPr>
          <w:lang w:val="en-CA"/>
        </w:rPr>
        <w:t xml:space="preserve">in areas </w:t>
      </w:r>
      <w:r w:rsidR="00996C02" w:rsidRPr="00BA1219">
        <w:rPr>
          <w:lang w:val="en-CA"/>
        </w:rPr>
        <w:t>where</w:t>
      </w:r>
      <w:r w:rsidRPr="00BA1219">
        <w:rPr>
          <w:lang w:val="en-CA"/>
        </w:rPr>
        <w:t xml:space="preserve"> </w:t>
      </w:r>
      <w:r w:rsidR="003E43E2">
        <w:rPr>
          <w:lang w:val="en-CA"/>
        </w:rPr>
        <w:t xml:space="preserve">nearly the entire </w:t>
      </w:r>
      <w:r w:rsidRPr="00BA1219">
        <w:rPr>
          <w:lang w:val="en-CA"/>
        </w:rPr>
        <w:t>population was Catholic or Protestant</w:t>
      </w:r>
      <w:r w:rsidR="003E43E2">
        <w:rPr>
          <w:lang w:val="en-CA"/>
        </w:rPr>
        <w:t>,</w:t>
      </w:r>
      <w:r w:rsidRPr="00BA1219">
        <w:rPr>
          <w:lang w:val="en-CA"/>
        </w:rPr>
        <w:t xml:space="preserve"> a</w:t>
      </w:r>
      <w:r w:rsidR="003A6FB7">
        <w:rPr>
          <w:lang w:val="en-CA"/>
        </w:rPr>
        <w:t>s well as</w:t>
      </w:r>
      <w:r w:rsidRPr="00BA1219">
        <w:rPr>
          <w:lang w:val="en-CA"/>
        </w:rPr>
        <w:t xml:space="preserve"> in any areas where a </w:t>
      </w:r>
      <w:r w:rsidR="00C11B18">
        <w:rPr>
          <w:lang w:val="en-CA"/>
        </w:rPr>
        <w:t>dissentient</w:t>
      </w:r>
      <w:r w:rsidRPr="00BA1219">
        <w:rPr>
          <w:lang w:val="en-CA"/>
        </w:rPr>
        <w:t xml:space="preserve"> school</w:t>
      </w:r>
      <w:r w:rsidR="003E43E2">
        <w:rPr>
          <w:lang w:val="en-CA"/>
        </w:rPr>
        <w:t xml:space="preserve"> had emerged</w:t>
      </w:r>
      <w:r w:rsidRPr="00BA1219">
        <w:rPr>
          <w:lang w:val="en-CA"/>
        </w:rPr>
        <w:t xml:space="preserve">. The process was accentuated by the </w:t>
      </w:r>
      <w:r w:rsidR="008A092D">
        <w:rPr>
          <w:lang w:val="en-CA"/>
        </w:rPr>
        <w:t xml:space="preserve">correspondence of </w:t>
      </w:r>
      <w:r w:rsidR="00FC0489" w:rsidRPr="00BA1219">
        <w:rPr>
          <w:lang w:val="en-CA"/>
        </w:rPr>
        <w:t>language differences and religious differences and the fact that</w:t>
      </w:r>
      <w:r w:rsidR="008A092D">
        <w:rPr>
          <w:lang w:val="en-CA"/>
        </w:rPr>
        <w:t>,</w:t>
      </w:r>
      <w:r w:rsidR="00FC0489" w:rsidRPr="00BA1219">
        <w:rPr>
          <w:lang w:val="en-CA"/>
        </w:rPr>
        <w:t xml:space="preserve"> outside Montreal and Qu</w:t>
      </w:r>
      <w:r w:rsidR="008A092D">
        <w:rPr>
          <w:lang w:val="en-CA"/>
        </w:rPr>
        <w:t>e</w:t>
      </w:r>
      <w:r w:rsidR="00FC0489" w:rsidRPr="00BA1219">
        <w:rPr>
          <w:lang w:val="en-CA"/>
        </w:rPr>
        <w:t>bec</w:t>
      </w:r>
      <w:r w:rsidR="00A973FB" w:rsidRPr="00BA1219">
        <w:rPr>
          <w:lang w:val="en-CA"/>
        </w:rPr>
        <w:t xml:space="preserve"> City</w:t>
      </w:r>
      <w:r w:rsidR="008A092D">
        <w:rPr>
          <w:lang w:val="en-CA"/>
        </w:rPr>
        <w:t>,</w:t>
      </w:r>
      <w:r w:rsidR="00FC0489" w:rsidRPr="00BA1219">
        <w:rPr>
          <w:lang w:val="en-CA"/>
        </w:rPr>
        <w:t xml:space="preserve"> the two </w:t>
      </w:r>
      <w:r w:rsidR="008A092D">
        <w:rPr>
          <w:lang w:val="en-CA"/>
        </w:rPr>
        <w:t xml:space="preserve">main </w:t>
      </w:r>
      <w:r w:rsidR="00FC0489" w:rsidRPr="00BA1219">
        <w:rPr>
          <w:lang w:val="en-CA"/>
        </w:rPr>
        <w:t xml:space="preserve">religious groups were </w:t>
      </w:r>
      <w:r w:rsidR="003A6FB7" w:rsidRPr="00BA1219">
        <w:rPr>
          <w:lang w:val="en-CA"/>
        </w:rPr>
        <w:t>often</w:t>
      </w:r>
      <w:r w:rsidR="00FC0489" w:rsidRPr="00BA1219">
        <w:rPr>
          <w:lang w:val="en-CA"/>
        </w:rPr>
        <w:t xml:space="preserve"> geographically separate one from </w:t>
      </w:r>
      <w:r w:rsidR="008A092D">
        <w:rPr>
          <w:lang w:val="en-CA"/>
        </w:rPr>
        <w:t>one an</w:t>
      </w:r>
      <w:r w:rsidR="00FC0489" w:rsidRPr="00BA1219">
        <w:rPr>
          <w:lang w:val="en-CA"/>
        </w:rPr>
        <w:t>other. Among Catholics, the clergy and religious communities devoted themselves to filling the gaps in the system</w:t>
      </w:r>
      <w:r w:rsidR="005852F3">
        <w:rPr>
          <w:lang w:val="en-CA"/>
        </w:rPr>
        <w:t>,</w:t>
      </w:r>
      <w:r w:rsidR="00FC0489" w:rsidRPr="00BA1219">
        <w:rPr>
          <w:lang w:val="en-CA"/>
        </w:rPr>
        <w:t xml:space="preserve"> and</w:t>
      </w:r>
      <w:r w:rsidR="008A092D">
        <w:rPr>
          <w:lang w:val="en-CA"/>
        </w:rPr>
        <w:t xml:space="preserve"> </w:t>
      </w:r>
      <w:r w:rsidR="00FC0489" w:rsidRPr="00BA1219">
        <w:rPr>
          <w:lang w:val="en-CA"/>
        </w:rPr>
        <w:t xml:space="preserve">their efforts compensated for their compatriots' lack of resources and the rural population's lack of interest in the development of education. As soon as the end of the Union regime was announced, the Protestants, realizing that </w:t>
      </w:r>
      <w:r w:rsidR="005852F3">
        <w:rPr>
          <w:lang w:val="en-CA"/>
        </w:rPr>
        <w:t xml:space="preserve">they would become a minority </w:t>
      </w:r>
      <w:r w:rsidR="00FC0489" w:rsidRPr="00BA1219">
        <w:rPr>
          <w:lang w:val="en-CA"/>
        </w:rPr>
        <w:t xml:space="preserve">in a Lower Canada independent </w:t>
      </w:r>
      <w:r w:rsidR="003A6FB7">
        <w:rPr>
          <w:lang w:val="en-CA"/>
        </w:rPr>
        <w:t>from</w:t>
      </w:r>
      <w:r w:rsidR="00FC0489" w:rsidRPr="00BA1219">
        <w:rPr>
          <w:lang w:val="en-CA"/>
        </w:rPr>
        <w:t xml:space="preserve"> Upper Canada, sought to enshrine the autonomy of their schools and the specific identity of the school system they had gradually built up. Thus, the French side, </w:t>
      </w:r>
      <w:r w:rsidR="005852F3">
        <w:rPr>
          <w:lang w:val="en-CA"/>
        </w:rPr>
        <w:t xml:space="preserve">with </w:t>
      </w:r>
      <w:r w:rsidR="00FC0489" w:rsidRPr="00BA1219">
        <w:rPr>
          <w:lang w:val="en-CA"/>
        </w:rPr>
        <w:t xml:space="preserve">the Catholic clergy and many lay people concerned </w:t>
      </w:r>
      <w:r w:rsidR="005852F3">
        <w:rPr>
          <w:lang w:val="en-CA"/>
        </w:rPr>
        <w:t>with</w:t>
      </w:r>
      <w:r w:rsidR="00FC0489" w:rsidRPr="00BA1219">
        <w:rPr>
          <w:lang w:val="en-CA"/>
        </w:rPr>
        <w:t xml:space="preserve"> preserving the role of the Church in education, and the English side, </w:t>
      </w:r>
      <w:r w:rsidR="005852F3">
        <w:rPr>
          <w:lang w:val="en-CA"/>
        </w:rPr>
        <w:t xml:space="preserve">with a </w:t>
      </w:r>
      <w:r w:rsidR="00FC0489" w:rsidRPr="00BA1219">
        <w:rPr>
          <w:lang w:val="en-CA"/>
        </w:rPr>
        <w:t xml:space="preserve">population wishing to safeguard the autonomy of </w:t>
      </w:r>
      <w:r w:rsidR="00A973FB" w:rsidRPr="00BA1219">
        <w:rPr>
          <w:lang w:val="en-CA"/>
        </w:rPr>
        <w:t>their</w:t>
      </w:r>
      <w:r w:rsidR="00FC0489" w:rsidRPr="00BA1219">
        <w:rPr>
          <w:lang w:val="en-CA"/>
        </w:rPr>
        <w:t xml:space="preserve"> schools, joined forces to accentuate the denominational nature of the system and combat any effort by the </w:t>
      </w:r>
      <w:r w:rsidR="00D571A7">
        <w:rPr>
          <w:lang w:val="en-CA"/>
        </w:rPr>
        <w:t>government</w:t>
      </w:r>
      <w:r w:rsidR="00D571A7" w:rsidRPr="00BA1219">
        <w:rPr>
          <w:lang w:val="en-CA"/>
        </w:rPr>
        <w:t xml:space="preserve"> </w:t>
      </w:r>
      <w:r w:rsidR="00FC0489" w:rsidRPr="00BA1219">
        <w:rPr>
          <w:lang w:val="en-CA"/>
        </w:rPr>
        <w:t>to take effective control of education.</w:t>
      </w:r>
    </w:p>
    <w:p w14:paraId="4E81BB15" w14:textId="0122C0E2" w:rsidR="00921A3E" w:rsidRPr="00BA1219" w:rsidRDefault="00E93511" w:rsidP="005A6BD1">
      <w:pPr>
        <w:pStyle w:val="Paragrsimple"/>
        <w:rPr>
          <w:lang w:val="en-CA"/>
        </w:rPr>
      </w:pPr>
      <w:r w:rsidRPr="00BA1219">
        <w:rPr>
          <w:lang w:val="en-CA"/>
        </w:rPr>
        <w:t xml:space="preserve"> In 18</w:t>
      </w:r>
      <w:r w:rsidR="0092693E">
        <w:rPr>
          <w:lang w:val="en-CA"/>
        </w:rPr>
        <w:t>6</w:t>
      </w:r>
      <w:r w:rsidRPr="00BA1219">
        <w:rPr>
          <w:lang w:val="en-CA"/>
        </w:rPr>
        <w:t xml:space="preserve">6, </w:t>
      </w:r>
      <w:r w:rsidR="003A6FB7" w:rsidRPr="00BA1219">
        <w:rPr>
          <w:lang w:val="en-CA"/>
        </w:rPr>
        <w:t>to</w:t>
      </w:r>
      <w:r w:rsidRPr="00BA1219">
        <w:rPr>
          <w:lang w:val="en-CA"/>
        </w:rPr>
        <w:t xml:space="preserve"> </w:t>
      </w:r>
      <w:r w:rsidR="00401C39">
        <w:rPr>
          <w:lang w:val="en-CA"/>
        </w:rPr>
        <w:t>fortify</w:t>
      </w:r>
      <w:r w:rsidRPr="00BA1219">
        <w:rPr>
          <w:lang w:val="en-CA"/>
        </w:rPr>
        <w:t xml:space="preserve"> their position, the Anglo-Protestants in Quebec ardently </w:t>
      </w:r>
      <w:r w:rsidR="003A6FB7" w:rsidRPr="00BA1219">
        <w:rPr>
          <w:lang w:val="en-CA"/>
        </w:rPr>
        <w:t>clamo</w:t>
      </w:r>
      <w:r w:rsidR="003D32ED">
        <w:rPr>
          <w:lang w:val="en-CA"/>
        </w:rPr>
        <w:t>u</w:t>
      </w:r>
      <w:r w:rsidR="003A6FB7" w:rsidRPr="00BA1219">
        <w:rPr>
          <w:lang w:val="en-CA"/>
        </w:rPr>
        <w:t>red</w:t>
      </w:r>
      <w:r w:rsidRPr="00BA1219">
        <w:rPr>
          <w:lang w:val="en-CA"/>
        </w:rPr>
        <w:t xml:space="preserve"> for the entrenchment in the new constitution of their right to an autonomous school system </w:t>
      </w:r>
      <w:r w:rsidR="003D32ED">
        <w:rPr>
          <w:lang w:val="en-CA"/>
        </w:rPr>
        <w:t>separate</w:t>
      </w:r>
      <w:r w:rsidR="003D32ED" w:rsidRPr="00BA1219">
        <w:rPr>
          <w:lang w:val="en-CA"/>
        </w:rPr>
        <w:t xml:space="preserve"> </w:t>
      </w:r>
      <w:r w:rsidRPr="00BA1219">
        <w:rPr>
          <w:lang w:val="en-CA"/>
        </w:rPr>
        <w:t>from that of the Franco-Catholics. Anticipating their integration into a political landscape composed primarily of French-speaking Catholic citizens, they demanded a positive answer to their request.</w:t>
      </w:r>
      <w:r w:rsidR="0096102C" w:rsidRPr="00BA1219">
        <w:rPr>
          <w:lang w:val="en-CA"/>
        </w:rPr>
        <w:t xml:space="preserve"> </w:t>
      </w:r>
      <w:r w:rsidRPr="00BA1219">
        <w:rPr>
          <w:lang w:val="en-CA"/>
        </w:rPr>
        <w:t xml:space="preserve">The </w:t>
      </w:r>
      <w:r w:rsidR="00EC1370" w:rsidRPr="00BA1219">
        <w:rPr>
          <w:lang w:val="en-CA"/>
        </w:rPr>
        <w:t>education</w:t>
      </w:r>
      <w:r w:rsidRPr="00BA1219">
        <w:rPr>
          <w:lang w:val="en-CA"/>
        </w:rPr>
        <w:t xml:space="preserve"> issue even became a </w:t>
      </w:r>
      <w:r w:rsidRPr="00BA1219">
        <w:rPr>
          <w:i/>
          <w:lang w:val="en-CA"/>
        </w:rPr>
        <w:t>sine qua non</w:t>
      </w:r>
      <w:r w:rsidRPr="00BA1219">
        <w:rPr>
          <w:lang w:val="en-CA"/>
        </w:rPr>
        <w:t xml:space="preserve"> condition of Anglo-Protestant adhesion to Canadian union.</w:t>
      </w:r>
      <w:r w:rsidR="0096102C" w:rsidRPr="00BA1219">
        <w:rPr>
          <w:rStyle w:val="Appelnotedebasdep"/>
          <w:lang w:val="en-CA"/>
        </w:rPr>
        <w:footnoteReference w:id="74"/>
      </w:r>
    </w:p>
    <w:p w14:paraId="61F2E6D3" w14:textId="162C0AF0" w:rsidR="00586C37" w:rsidRPr="00401C39" w:rsidRDefault="003D32ED" w:rsidP="005A6BD1">
      <w:pPr>
        <w:pStyle w:val="Paragrsimple"/>
        <w:rPr>
          <w:lang w:val="en-CA"/>
        </w:rPr>
      </w:pPr>
      <w:r w:rsidRPr="00401C39">
        <w:rPr>
          <w:lang w:val="en-CA"/>
        </w:rPr>
        <w:t>Although s</w:t>
      </w:r>
      <w:r w:rsidR="00E93511" w:rsidRPr="00401C39">
        <w:rPr>
          <w:lang w:val="en-CA"/>
        </w:rPr>
        <w:t xml:space="preserve">ection 93 of the </w:t>
      </w:r>
      <w:r w:rsidR="00E93511" w:rsidRPr="00401C39">
        <w:rPr>
          <w:i/>
          <w:lang w:val="en-CA"/>
        </w:rPr>
        <w:t>Constitution Act, 1867</w:t>
      </w:r>
      <w:r w:rsidR="00E93511" w:rsidRPr="00401C39">
        <w:rPr>
          <w:lang w:val="en-CA"/>
        </w:rPr>
        <w:t xml:space="preserve"> entrusted </w:t>
      </w:r>
      <w:r w:rsidR="00EC1370" w:rsidRPr="00401C39">
        <w:rPr>
          <w:lang w:val="en-CA"/>
        </w:rPr>
        <w:t>responsibility</w:t>
      </w:r>
      <w:r w:rsidR="00E93511" w:rsidRPr="00401C39">
        <w:rPr>
          <w:lang w:val="en-CA"/>
        </w:rPr>
        <w:t xml:space="preserve"> over education exclusively to the provinces, </w:t>
      </w:r>
      <w:r w:rsidRPr="00401C39">
        <w:rPr>
          <w:lang w:val="en-CA"/>
        </w:rPr>
        <w:t xml:space="preserve">it </w:t>
      </w:r>
      <w:r w:rsidR="00E93511" w:rsidRPr="00401C39">
        <w:rPr>
          <w:lang w:val="en-CA"/>
        </w:rPr>
        <w:t xml:space="preserve">included protections for minority denominational groups, </w:t>
      </w:r>
      <w:r w:rsidRPr="00401C39">
        <w:rPr>
          <w:lang w:val="en-CA"/>
        </w:rPr>
        <w:t xml:space="preserve">namely, </w:t>
      </w:r>
      <w:r w:rsidR="00EC1370" w:rsidRPr="00401C39">
        <w:rPr>
          <w:lang w:val="en-CA"/>
        </w:rPr>
        <w:t xml:space="preserve">English-speaking </w:t>
      </w:r>
      <w:r w:rsidR="00E93511" w:rsidRPr="00401C39">
        <w:rPr>
          <w:lang w:val="en-CA"/>
        </w:rPr>
        <w:t>Protestants in Quebec and Fr</w:t>
      </w:r>
      <w:r w:rsidR="00EC1370" w:rsidRPr="00401C39">
        <w:rPr>
          <w:lang w:val="en-CA"/>
        </w:rPr>
        <w:t xml:space="preserve">ench-speaking </w:t>
      </w:r>
      <w:r w:rsidR="00E93511" w:rsidRPr="00401C39">
        <w:rPr>
          <w:lang w:val="en-CA"/>
        </w:rPr>
        <w:t>Catholics outside Quebec.</w:t>
      </w:r>
      <w:r w:rsidR="0096102C" w:rsidRPr="00401C39">
        <w:rPr>
          <w:lang w:val="en-CA"/>
        </w:rPr>
        <w:t xml:space="preserve"> </w:t>
      </w:r>
      <w:r w:rsidR="00E93511" w:rsidRPr="00401C39">
        <w:rPr>
          <w:lang w:val="en-CA"/>
        </w:rPr>
        <w:t xml:space="preserve">As we know, the federal Parliament did not exercise </w:t>
      </w:r>
      <w:r w:rsidR="00EC1370" w:rsidRPr="00401C39">
        <w:rPr>
          <w:lang w:val="en-CA"/>
        </w:rPr>
        <w:t>its</w:t>
      </w:r>
      <w:r w:rsidR="00E93511" w:rsidRPr="00401C39">
        <w:rPr>
          <w:lang w:val="en-CA"/>
        </w:rPr>
        <w:t xml:space="preserve"> power </w:t>
      </w:r>
      <w:r w:rsidR="00F46F79">
        <w:rPr>
          <w:lang w:val="en-CA"/>
        </w:rPr>
        <w:t xml:space="preserve">to intervene on behalf of </w:t>
      </w:r>
      <w:r w:rsidR="00E93511" w:rsidRPr="00401C39">
        <w:rPr>
          <w:lang w:val="en-CA"/>
        </w:rPr>
        <w:t>minorities for Francophones, who were despoiled of their rights.</w:t>
      </w:r>
    </w:p>
    <w:p w14:paraId="3E8E1075" w14:textId="1FF69F4A" w:rsidR="002C5DAB" w:rsidRPr="00BA1219" w:rsidRDefault="00E93511" w:rsidP="005A6BD1">
      <w:pPr>
        <w:pStyle w:val="Paragrsimple"/>
        <w:rPr>
          <w:lang w:val="en-CA"/>
        </w:rPr>
      </w:pPr>
      <w:r w:rsidRPr="00BA1219">
        <w:rPr>
          <w:lang w:val="en-CA"/>
        </w:rPr>
        <w:t>The granting</w:t>
      </w:r>
      <w:r w:rsidR="009B6AF5">
        <w:rPr>
          <w:lang w:val="en-CA"/>
        </w:rPr>
        <w:t xml:space="preserve"> of the exclusive power to legislate in matters of education</w:t>
      </w:r>
      <w:r w:rsidRPr="00BA1219">
        <w:rPr>
          <w:lang w:val="en-CA"/>
        </w:rPr>
        <w:t xml:space="preserve"> to the Quebec legislature by the </w:t>
      </w:r>
      <w:r w:rsidRPr="00BA1219">
        <w:rPr>
          <w:i/>
          <w:lang w:val="en-CA"/>
        </w:rPr>
        <w:t>Constitution Act, 1867</w:t>
      </w:r>
      <w:r w:rsidR="009B6AF5">
        <w:rPr>
          <w:lang w:val="en-CA"/>
        </w:rPr>
        <w:t xml:space="preserve"> </w:t>
      </w:r>
      <w:r w:rsidRPr="00BA1219">
        <w:rPr>
          <w:lang w:val="en-CA"/>
        </w:rPr>
        <w:t>did not result in a unified system of school management.</w:t>
      </w:r>
      <w:r w:rsidR="0096102C" w:rsidRPr="00BA1219">
        <w:rPr>
          <w:lang w:val="en-CA"/>
        </w:rPr>
        <w:t xml:space="preserve"> </w:t>
      </w:r>
      <w:r w:rsidRPr="00BA1219">
        <w:rPr>
          <w:lang w:val="en-CA"/>
        </w:rPr>
        <w:t xml:space="preserve">The first ministry of public education </w:t>
      </w:r>
      <w:r w:rsidR="00EC1370">
        <w:rPr>
          <w:lang w:val="en-CA"/>
        </w:rPr>
        <w:t>existed</w:t>
      </w:r>
      <w:r w:rsidRPr="00BA1219">
        <w:rPr>
          <w:lang w:val="en-CA"/>
        </w:rPr>
        <w:t xml:space="preserve"> only from 1867 to 1875.</w:t>
      </w:r>
      <w:r w:rsidR="0096102C" w:rsidRPr="00BA1219">
        <w:rPr>
          <w:lang w:val="en-CA"/>
        </w:rPr>
        <w:t xml:space="preserve"> </w:t>
      </w:r>
      <w:r w:rsidRPr="00BA1219">
        <w:rPr>
          <w:lang w:val="en-CA"/>
        </w:rPr>
        <w:t>The clergy then had it abolished and replaced by a [</w:t>
      </w:r>
      <w:r w:rsidRPr="00BA1219">
        <w:rPr>
          <w:smallCaps/>
          <w:lang w:val="en-CA"/>
        </w:rPr>
        <w:t>translation]</w:t>
      </w:r>
      <w:r w:rsidRPr="00BA1219">
        <w:rPr>
          <w:lang w:val="en-CA"/>
        </w:rPr>
        <w:t xml:space="preserve"> “</w:t>
      </w:r>
      <w:r w:rsidR="00EC1370" w:rsidRPr="00BA1219">
        <w:rPr>
          <w:lang w:val="en-CA"/>
        </w:rPr>
        <w:t>superintendent</w:t>
      </w:r>
      <w:r w:rsidRPr="00BA1219">
        <w:rPr>
          <w:lang w:val="en-CA"/>
        </w:rPr>
        <w:t xml:space="preserve"> of education”, who was not a </w:t>
      </w:r>
      <w:r w:rsidR="00731621">
        <w:rPr>
          <w:lang w:val="en-CA"/>
        </w:rPr>
        <w:t xml:space="preserve">governmental </w:t>
      </w:r>
      <w:r w:rsidRPr="00BA1219">
        <w:rPr>
          <w:lang w:val="en-CA"/>
        </w:rPr>
        <w:t>minister.</w:t>
      </w:r>
    </w:p>
    <w:p w14:paraId="6B1A303E" w14:textId="1A9355CD" w:rsidR="007F2BAE" w:rsidRPr="00BA1219" w:rsidRDefault="00E93511" w:rsidP="005A6BD1">
      <w:pPr>
        <w:pStyle w:val="Paragrsimple"/>
        <w:rPr>
          <w:lang w:val="en-CA"/>
        </w:rPr>
      </w:pPr>
      <w:r w:rsidRPr="00BA1219">
        <w:rPr>
          <w:lang w:val="en-CA"/>
        </w:rPr>
        <w:lastRenderedPageBreak/>
        <w:t xml:space="preserve">It should be recalled that the next time there was a Ministry of Education in Quebec was </w:t>
      </w:r>
      <w:r w:rsidR="00EC1370" w:rsidRPr="00BA1219">
        <w:rPr>
          <w:lang w:val="en-CA"/>
        </w:rPr>
        <w:t>in 1964</w:t>
      </w:r>
      <w:r w:rsidR="00EC1370">
        <w:rPr>
          <w:lang w:val="en-CA"/>
        </w:rPr>
        <w:t xml:space="preserve"> </w:t>
      </w:r>
      <w:r w:rsidRPr="00BA1219">
        <w:rPr>
          <w:lang w:val="en-CA"/>
        </w:rPr>
        <w:t>under the Jean Lesage government, during the Quiet Revolution.</w:t>
      </w:r>
      <w:r w:rsidR="002B27C2" w:rsidRPr="00BA1219">
        <w:rPr>
          <w:lang w:val="en-CA"/>
        </w:rPr>
        <w:t xml:space="preserve"> </w:t>
      </w:r>
      <w:r w:rsidRPr="00BA1219">
        <w:rPr>
          <w:lang w:val="en-CA"/>
        </w:rPr>
        <w:t xml:space="preserve">Professor Lemieux </w:t>
      </w:r>
      <w:r w:rsidR="00BF3EAF" w:rsidRPr="00BA1219">
        <w:rPr>
          <w:lang w:val="en-CA"/>
        </w:rPr>
        <w:t xml:space="preserve">calls </w:t>
      </w:r>
      <w:r w:rsidRPr="00BA1219">
        <w:rPr>
          <w:lang w:val="en-CA"/>
        </w:rPr>
        <w:t>this the [</w:t>
      </w:r>
      <w:r w:rsidRPr="00BA1219">
        <w:rPr>
          <w:smallCaps/>
          <w:lang w:val="en-CA"/>
        </w:rPr>
        <w:t>translation]</w:t>
      </w:r>
      <w:r w:rsidRPr="00BA1219">
        <w:rPr>
          <w:lang w:val="en-CA"/>
        </w:rPr>
        <w:t xml:space="preserve"> “the great Quebec winter”.</w:t>
      </w:r>
    </w:p>
    <w:p w14:paraId="66B9AF42" w14:textId="4835DD73" w:rsidR="00187157" w:rsidRPr="00BA1219" w:rsidRDefault="00E93511" w:rsidP="000070AA">
      <w:pPr>
        <w:pStyle w:val="Paragrsimple"/>
        <w:rPr>
          <w:rFonts w:ascii="Times New Roman" w:hAnsi="Times New Roman"/>
          <w:sz w:val="30"/>
          <w:szCs w:val="30"/>
          <w:lang w:val="en-CA" w:eastAsia="fr-CA"/>
        </w:rPr>
      </w:pPr>
      <w:r w:rsidRPr="00BA1219">
        <w:rPr>
          <w:lang w:val="en-CA"/>
        </w:rPr>
        <w:t>In 1869, the legislative assembly adopted the</w:t>
      </w:r>
      <w:r w:rsidR="00E32F56">
        <w:rPr>
          <w:lang w:val="en-CA"/>
        </w:rPr>
        <w:t xml:space="preserve"> </w:t>
      </w:r>
      <w:r w:rsidR="00E32F56" w:rsidRPr="00EE41DD">
        <w:rPr>
          <w:rFonts w:cs="Arial"/>
          <w:i/>
          <w:iCs/>
          <w:color w:val="000000"/>
          <w:spacing w:val="-3"/>
          <w:lang w:val="en-CA"/>
        </w:rPr>
        <w:t>Act to amend the Law respecting Education in this Province</w:t>
      </w:r>
      <w:r w:rsidRPr="00BA1219">
        <w:rPr>
          <w:lang w:val="en-CA"/>
        </w:rPr>
        <w:t>.</w:t>
      </w:r>
      <w:r w:rsidRPr="00BA1219">
        <w:rPr>
          <w:rStyle w:val="Appelnotedebasdep"/>
          <w:rFonts w:cs="Arial"/>
          <w:szCs w:val="24"/>
          <w:lang w:val="en-CA"/>
        </w:rPr>
        <w:footnoteReference w:id="75"/>
      </w:r>
      <w:r w:rsidR="0096102C" w:rsidRPr="00BA1219">
        <w:rPr>
          <w:lang w:val="en-CA"/>
        </w:rPr>
        <w:t xml:space="preserve"> </w:t>
      </w:r>
      <w:r w:rsidRPr="00BA1219">
        <w:rPr>
          <w:lang w:val="en-CA"/>
        </w:rPr>
        <w:t xml:space="preserve">The </w:t>
      </w:r>
      <w:r w:rsidR="00E32F56">
        <w:rPr>
          <w:lang w:val="en-CA"/>
        </w:rPr>
        <w:t>Council of Public Instruction</w:t>
      </w:r>
      <w:r w:rsidRPr="00BA1219">
        <w:rPr>
          <w:lang w:val="en-CA"/>
        </w:rPr>
        <w:t> would henceforth be composed of fourteen Catholics and seven Protestants.</w:t>
      </w:r>
      <w:r w:rsidR="0096102C" w:rsidRPr="00BA1219">
        <w:rPr>
          <w:lang w:val="en-CA"/>
        </w:rPr>
        <w:t xml:space="preserve"> </w:t>
      </w:r>
      <w:r w:rsidRPr="00BA1219">
        <w:rPr>
          <w:lang w:val="en-CA"/>
        </w:rPr>
        <w:t>This statute marked the definitive abandon</w:t>
      </w:r>
      <w:r w:rsidR="00016F28" w:rsidRPr="00BA1219">
        <w:rPr>
          <w:lang w:val="en-CA"/>
        </w:rPr>
        <w:t>ment</w:t>
      </w:r>
      <w:r w:rsidRPr="00BA1219">
        <w:rPr>
          <w:lang w:val="en-CA"/>
        </w:rPr>
        <w:t xml:space="preserve"> of the </w:t>
      </w:r>
      <w:r w:rsidR="00016F28" w:rsidRPr="00BA1219">
        <w:rPr>
          <w:lang w:val="en-CA"/>
        </w:rPr>
        <w:t xml:space="preserve">concept </w:t>
      </w:r>
      <w:r w:rsidRPr="00BA1219">
        <w:rPr>
          <w:lang w:val="en-CA"/>
        </w:rPr>
        <w:t>of a united board that had prevailed in the 1856 statute.</w:t>
      </w:r>
      <w:r w:rsidR="0096102C" w:rsidRPr="00BA1219">
        <w:rPr>
          <w:lang w:val="en-CA"/>
        </w:rPr>
        <w:t xml:space="preserve"> </w:t>
      </w:r>
      <w:r w:rsidRPr="00BA1219">
        <w:rPr>
          <w:lang w:val="en-CA" w:eastAsia="fr-CA"/>
        </w:rPr>
        <w:t xml:space="preserve">Under the 1869 </w:t>
      </w:r>
      <w:r w:rsidR="008552BA">
        <w:rPr>
          <w:lang w:val="en-CA" w:eastAsia="fr-CA"/>
        </w:rPr>
        <w:t>Act</w:t>
      </w:r>
      <w:r w:rsidRPr="00BA1219">
        <w:rPr>
          <w:lang w:val="en-CA" w:eastAsia="fr-CA"/>
        </w:rPr>
        <w:t xml:space="preserve">, the Board was constituted on a denominational basis and </w:t>
      </w:r>
      <w:r w:rsidR="00DE60EB">
        <w:rPr>
          <w:lang w:val="en-CA" w:eastAsia="fr-CA"/>
        </w:rPr>
        <w:t>its division</w:t>
      </w:r>
      <w:r w:rsidRPr="00BA1219">
        <w:rPr>
          <w:lang w:val="en-CA" w:eastAsia="fr-CA"/>
        </w:rPr>
        <w:t xml:space="preserve"> into two committees was </w:t>
      </w:r>
      <w:r w:rsidR="00C07A56" w:rsidRPr="00BA1219">
        <w:rPr>
          <w:lang w:val="en-CA" w:eastAsia="fr-CA"/>
        </w:rPr>
        <w:t>definitively</w:t>
      </w:r>
      <w:r w:rsidRPr="00BA1219">
        <w:rPr>
          <w:lang w:val="en-CA" w:eastAsia="fr-CA"/>
        </w:rPr>
        <w:t xml:space="preserve"> accepted.</w:t>
      </w:r>
      <w:r w:rsidRPr="00BA1219">
        <w:rPr>
          <w:rStyle w:val="Appelnotedebasdep"/>
          <w:rFonts w:cs="Arial"/>
          <w:szCs w:val="24"/>
          <w:lang w:val="en-CA" w:eastAsia="fr-CA"/>
        </w:rPr>
        <w:footnoteReference w:id="76"/>
      </w:r>
      <w:r w:rsidR="0096102C" w:rsidRPr="00BA1219">
        <w:rPr>
          <w:rFonts w:ascii="Times New Roman" w:hAnsi="Times New Roman"/>
          <w:sz w:val="30"/>
          <w:szCs w:val="30"/>
          <w:lang w:val="en-CA" w:eastAsia="fr-CA"/>
        </w:rPr>
        <w:t xml:space="preserve"> </w:t>
      </w:r>
    </w:p>
    <w:p w14:paraId="7C85772D" w14:textId="42A90605" w:rsidR="00187157" w:rsidRPr="00BA1219" w:rsidRDefault="00C07A56" w:rsidP="001D63DA">
      <w:pPr>
        <w:pStyle w:val="Paragrsimple"/>
        <w:rPr>
          <w:lang w:val="en-CA" w:eastAsia="fr-CA"/>
        </w:rPr>
      </w:pPr>
      <w:r>
        <w:rPr>
          <w:lang w:val="en-CA" w:eastAsia="fr-CA"/>
        </w:rPr>
        <w:t>In 1875, a</w:t>
      </w:r>
      <w:r w:rsidR="009E0D73" w:rsidRPr="00BA1219">
        <w:rPr>
          <w:lang w:val="en-CA" w:eastAsia="fr-CA"/>
        </w:rPr>
        <w:t xml:space="preserve">fter the abolition of the </w:t>
      </w:r>
      <w:proofErr w:type="spellStart"/>
      <w:r w:rsidR="009E0D73" w:rsidRPr="00BA1219">
        <w:rPr>
          <w:lang w:val="en-CA" w:eastAsia="fr-CA"/>
        </w:rPr>
        <w:t>Ministère</w:t>
      </w:r>
      <w:proofErr w:type="spellEnd"/>
      <w:r w:rsidR="009E0D73" w:rsidRPr="00BA1219">
        <w:rPr>
          <w:lang w:val="en-CA" w:eastAsia="fr-CA"/>
        </w:rPr>
        <w:t xml:space="preserve"> de </w:t>
      </w:r>
      <w:proofErr w:type="spellStart"/>
      <w:r w:rsidR="009E0D73" w:rsidRPr="00BA1219">
        <w:rPr>
          <w:lang w:val="en-CA" w:eastAsia="fr-CA"/>
        </w:rPr>
        <w:t>l’Instruction</w:t>
      </w:r>
      <w:proofErr w:type="spellEnd"/>
      <w:r w:rsidR="009E0D73" w:rsidRPr="00BA1219">
        <w:rPr>
          <w:lang w:val="en-CA" w:eastAsia="fr-CA"/>
        </w:rPr>
        <w:t xml:space="preserve"> </w:t>
      </w:r>
      <w:proofErr w:type="spellStart"/>
      <w:r w:rsidR="009E0D73" w:rsidRPr="00BA1219">
        <w:rPr>
          <w:lang w:val="en-CA" w:eastAsia="fr-CA"/>
        </w:rPr>
        <w:t>publique</w:t>
      </w:r>
      <w:proofErr w:type="spellEnd"/>
      <w:r w:rsidR="009E0D73" w:rsidRPr="00BA1219">
        <w:rPr>
          <w:lang w:val="en-CA" w:eastAsia="fr-CA"/>
        </w:rPr>
        <w:t xml:space="preserve">, the </w:t>
      </w:r>
      <w:r w:rsidR="008552BA">
        <w:rPr>
          <w:lang w:val="en-CA" w:eastAsia="fr-CA"/>
        </w:rPr>
        <w:t>Council of Public Instruction</w:t>
      </w:r>
      <w:r w:rsidR="009E0D73" w:rsidRPr="00BA1219">
        <w:rPr>
          <w:lang w:val="en-CA" w:eastAsia="fr-CA"/>
        </w:rPr>
        <w:t>’s denominational committees separated for good and operated independently.</w:t>
      </w:r>
      <w:r w:rsidR="0096102C" w:rsidRPr="00BA1219">
        <w:rPr>
          <w:lang w:val="en-CA" w:eastAsia="fr-CA"/>
        </w:rPr>
        <w:t xml:space="preserve"> </w:t>
      </w:r>
      <w:r w:rsidR="00E81323">
        <w:rPr>
          <w:lang w:val="en-CA" w:eastAsia="fr-CA"/>
        </w:rPr>
        <w:t>And f</w:t>
      </w:r>
      <w:r>
        <w:rPr>
          <w:lang w:val="en-CA" w:eastAsia="fr-CA"/>
        </w:rPr>
        <w:t>rom</w:t>
      </w:r>
      <w:r w:rsidR="009E0D73" w:rsidRPr="006B7726">
        <w:rPr>
          <w:lang w:val="en-CA" w:eastAsia="fr-CA"/>
        </w:rPr>
        <w:t xml:space="preserve"> 1908 to 1960</w:t>
      </w:r>
      <w:r>
        <w:rPr>
          <w:lang w:val="en-CA" w:eastAsia="fr-CA"/>
        </w:rPr>
        <w:t xml:space="preserve">, no </w:t>
      </w:r>
      <w:r w:rsidR="005009EC">
        <w:rPr>
          <w:lang w:val="en-CA" w:eastAsia="fr-CA"/>
        </w:rPr>
        <w:t>Council</w:t>
      </w:r>
      <w:r>
        <w:rPr>
          <w:lang w:val="en-CA" w:eastAsia="fr-CA"/>
        </w:rPr>
        <w:t xml:space="preserve"> meetings were held</w:t>
      </w:r>
      <w:r w:rsidR="00E81323">
        <w:rPr>
          <w:lang w:val="en-CA" w:eastAsia="fr-CA"/>
        </w:rPr>
        <w:t xml:space="preserve"> at all</w:t>
      </w:r>
      <w:r w:rsidR="00D0640C">
        <w:rPr>
          <w:lang w:val="en-CA" w:eastAsia="fr-CA"/>
        </w:rPr>
        <w:t>.</w:t>
      </w:r>
      <w:r w:rsidR="009E0D73" w:rsidRPr="006B7726">
        <w:rPr>
          <w:rStyle w:val="Appelnotedebasdep"/>
          <w:rFonts w:cs="Arial"/>
          <w:szCs w:val="24"/>
          <w:lang w:val="en-CA" w:eastAsia="fr-CA"/>
        </w:rPr>
        <w:t xml:space="preserve"> </w:t>
      </w:r>
      <w:r w:rsidR="009E0D73" w:rsidRPr="006B7726">
        <w:rPr>
          <w:rStyle w:val="Appelnotedebasdep"/>
          <w:rFonts w:cs="Arial"/>
          <w:szCs w:val="24"/>
          <w:lang w:val="en-CA" w:eastAsia="fr-CA"/>
        </w:rPr>
        <w:footnoteReference w:id="77"/>
      </w:r>
    </w:p>
    <w:p w14:paraId="2739F162" w14:textId="3A65260D" w:rsidR="00187157" w:rsidRPr="00BA1219" w:rsidRDefault="00016F28" w:rsidP="001D63DA">
      <w:pPr>
        <w:pStyle w:val="Paragrsimple"/>
        <w:rPr>
          <w:lang w:val="en-CA" w:eastAsia="fr-CA"/>
        </w:rPr>
      </w:pPr>
      <w:r w:rsidRPr="00BA1219">
        <w:rPr>
          <w:lang w:val="en-CA" w:eastAsia="fr-CA"/>
        </w:rPr>
        <w:t>It should be noted that the Protestants centralized their school boards.</w:t>
      </w:r>
      <w:r w:rsidR="0096102C" w:rsidRPr="00BA1219">
        <w:rPr>
          <w:lang w:val="en-CA" w:eastAsia="fr-CA"/>
        </w:rPr>
        <w:t xml:space="preserve"> </w:t>
      </w:r>
      <w:r w:rsidRPr="00BA1219">
        <w:rPr>
          <w:lang w:val="en-CA" w:eastAsia="fr-CA"/>
        </w:rPr>
        <w:t>A central school board was established in Montreal in 1925 and the same thing was attempted in rural areas.</w:t>
      </w:r>
      <w:r w:rsidRPr="00BA1219">
        <w:rPr>
          <w:rStyle w:val="Appelnotedebasdep"/>
          <w:rFonts w:cs="Arial"/>
          <w:szCs w:val="24"/>
          <w:lang w:val="en-CA" w:eastAsia="fr-CA"/>
        </w:rPr>
        <w:footnoteReference w:id="78"/>
      </w:r>
      <w:r w:rsidR="0096102C" w:rsidRPr="00BA1219">
        <w:rPr>
          <w:lang w:val="en-CA" w:eastAsia="fr-CA"/>
        </w:rPr>
        <w:t xml:space="preserve"> </w:t>
      </w:r>
    </w:p>
    <w:p w14:paraId="74EE1623" w14:textId="1B7A4288" w:rsidR="008D33A4" w:rsidRPr="00BA1219" w:rsidRDefault="00E81323" w:rsidP="001D63DA">
      <w:pPr>
        <w:pStyle w:val="Paragrsimple"/>
        <w:rPr>
          <w:lang w:val="en-CA" w:eastAsia="fr-CA"/>
        </w:rPr>
      </w:pPr>
      <w:r>
        <w:rPr>
          <w:lang w:val="en-CA" w:eastAsia="fr-CA"/>
        </w:rPr>
        <w:t xml:space="preserve">Education did not become mandatory </w:t>
      </w:r>
      <w:r w:rsidR="00D0640C">
        <w:rPr>
          <w:lang w:val="en-CA" w:eastAsia="fr-CA"/>
        </w:rPr>
        <w:t xml:space="preserve">until </w:t>
      </w:r>
      <w:r w:rsidR="00016F28" w:rsidRPr="00BA1219">
        <w:rPr>
          <w:lang w:val="en-CA" w:eastAsia="fr-CA"/>
        </w:rPr>
        <w:t xml:space="preserve">1943, under </w:t>
      </w:r>
      <w:proofErr w:type="spellStart"/>
      <w:r w:rsidR="00016F28" w:rsidRPr="00BA1219">
        <w:rPr>
          <w:lang w:val="en-CA" w:eastAsia="fr-CA"/>
        </w:rPr>
        <w:t>Adélard</w:t>
      </w:r>
      <w:proofErr w:type="spellEnd"/>
      <w:r w:rsidR="00016F28" w:rsidRPr="00BA1219">
        <w:rPr>
          <w:lang w:val="en-CA" w:eastAsia="fr-CA"/>
        </w:rPr>
        <w:t xml:space="preserve"> Godbout</w:t>
      </w:r>
      <w:r>
        <w:rPr>
          <w:lang w:val="en-CA" w:eastAsia="fr-CA"/>
        </w:rPr>
        <w:t>. I</w:t>
      </w:r>
      <w:r w:rsidR="00D0640C">
        <w:rPr>
          <w:lang w:val="en-CA" w:eastAsia="fr-CA"/>
        </w:rPr>
        <w:t>t</w:t>
      </w:r>
      <w:r>
        <w:rPr>
          <w:lang w:val="en-CA" w:eastAsia="fr-CA"/>
        </w:rPr>
        <w:t xml:space="preserve"> is </w:t>
      </w:r>
      <w:r w:rsidR="00D0640C">
        <w:rPr>
          <w:lang w:val="en-CA" w:eastAsia="fr-CA"/>
        </w:rPr>
        <w:t xml:space="preserve">relevant to note that </w:t>
      </w:r>
      <w:r w:rsidR="00016F28" w:rsidRPr="00BA1219">
        <w:rPr>
          <w:lang w:val="en-CA" w:eastAsia="fr-CA"/>
        </w:rPr>
        <w:t>education became mandatory in Ontario in 1870</w:t>
      </w:r>
      <w:r>
        <w:rPr>
          <w:lang w:val="en-CA" w:eastAsia="fr-CA"/>
        </w:rPr>
        <w:t>,</w:t>
      </w:r>
      <w:r w:rsidR="00016F28" w:rsidRPr="00BA1219">
        <w:rPr>
          <w:lang w:val="en-CA" w:eastAsia="fr-CA"/>
        </w:rPr>
        <w:t xml:space="preserve"> and in </w:t>
      </w:r>
      <w:r w:rsidR="00C07A56" w:rsidRPr="00BA1219">
        <w:rPr>
          <w:lang w:val="en-CA" w:eastAsia="fr-CA"/>
        </w:rPr>
        <w:t>France</w:t>
      </w:r>
      <w:r w:rsidR="00016F28" w:rsidRPr="00BA1219">
        <w:rPr>
          <w:lang w:val="en-CA" w:eastAsia="fr-CA"/>
        </w:rPr>
        <w:t xml:space="preserve"> in 1882.</w:t>
      </w:r>
      <w:r w:rsidR="0096102C" w:rsidRPr="00BA1219">
        <w:rPr>
          <w:lang w:val="en-CA" w:eastAsia="fr-CA"/>
        </w:rPr>
        <w:t xml:space="preserve"> </w:t>
      </w:r>
    </w:p>
    <w:p w14:paraId="6CD43F3D" w14:textId="48F91AE7" w:rsidR="00187157" w:rsidRPr="006B7726" w:rsidRDefault="00016F28" w:rsidP="001D63DA">
      <w:pPr>
        <w:pStyle w:val="Paragrsimple"/>
        <w:rPr>
          <w:lang w:val="en-CA" w:eastAsia="fr-CA"/>
        </w:rPr>
      </w:pPr>
      <w:r w:rsidRPr="006B7726">
        <w:rPr>
          <w:lang w:val="en-CA" w:eastAsia="fr-CA"/>
        </w:rPr>
        <w:t>Professor Lemieux concluded as follows:</w:t>
      </w:r>
    </w:p>
    <w:p w14:paraId="63DA55E6" w14:textId="229D1931" w:rsidR="00016F28" w:rsidRPr="00BA1219" w:rsidRDefault="00016F28" w:rsidP="00851417">
      <w:pPr>
        <w:pStyle w:val="Citation"/>
        <w:rPr>
          <w:lang w:val="en-CA"/>
        </w:rPr>
      </w:pPr>
      <w:r w:rsidRPr="00BA1219">
        <w:rPr>
          <w:rFonts w:cs="Arial"/>
          <w:smallCaps/>
          <w:lang w:val="en-CA"/>
        </w:rPr>
        <w:t>[</w:t>
      </w:r>
      <w:r w:rsidRPr="00BA1219">
        <w:rPr>
          <w:smallCaps/>
          <w:lang w:val="en-CA"/>
        </w:rPr>
        <w:t>translation</w:t>
      </w:r>
      <w:r w:rsidRPr="00BA1219">
        <w:rPr>
          <w:rFonts w:cs="Arial"/>
          <w:smallCaps/>
          <w:lang w:val="en-CA"/>
        </w:rPr>
        <w:t>]</w:t>
      </w:r>
    </w:p>
    <w:p w14:paraId="258AF130" w14:textId="756F486A" w:rsidR="00187157" w:rsidRPr="00BA1219" w:rsidRDefault="00016F28" w:rsidP="00851417">
      <w:pPr>
        <w:pStyle w:val="Citation"/>
        <w:rPr>
          <w:lang w:val="en-CA"/>
        </w:rPr>
      </w:pPr>
      <w:r w:rsidRPr="00BA1219">
        <w:rPr>
          <w:lang w:val="en-CA"/>
        </w:rPr>
        <w:t>40</w:t>
      </w:r>
      <w:r w:rsidR="0096102C" w:rsidRPr="00BA1219">
        <w:rPr>
          <w:lang w:val="en-CA"/>
        </w:rPr>
        <w:t xml:space="preserve"> </w:t>
      </w:r>
      <w:r w:rsidRPr="00BA1219">
        <w:rPr>
          <w:lang w:val="en-CA"/>
        </w:rPr>
        <w:t>When the Parent Commission was set up</w:t>
      </w:r>
      <w:r w:rsidR="00D0640C">
        <w:rPr>
          <w:lang w:val="en-CA"/>
        </w:rPr>
        <w:t>,</w:t>
      </w:r>
      <w:r w:rsidRPr="00BA1219">
        <w:rPr>
          <w:lang w:val="en-CA"/>
        </w:rPr>
        <w:t xml:space="preserve"> the state of Quebec’s school system was alarming.</w:t>
      </w:r>
      <w:r w:rsidR="0096102C" w:rsidRPr="00BA1219">
        <w:rPr>
          <w:lang w:val="en-CA"/>
        </w:rPr>
        <w:t xml:space="preserve"> </w:t>
      </w:r>
      <w:r w:rsidRPr="00BA1219">
        <w:rPr>
          <w:lang w:val="en-CA"/>
        </w:rPr>
        <w:t xml:space="preserve">The </w:t>
      </w:r>
      <w:r w:rsidR="00C07A56" w:rsidRPr="00BA1219">
        <w:rPr>
          <w:lang w:val="en-CA"/>
        </w:rPr>
        <w:t>commissioners</w:t>
      </w:r>
      <w:r w:rsidRPr="00BA1219">
        <w:rPr>
          <w:lang w:val="en-CA"/>
        </w:rPr>
        <w:t xml:space="preserve"> were faced with </w:t>
      </w:r>
      <w:r w:rsidR="00D0640C">
        <w:rPr>
          <w:lang w:val="en-CA"/>
        </w:rPr>
        <w:t>a</w:t>
      </w:r>
      <w:r w:rsidR="00D0640C" w:rsidRPr="00BA1219">
        <w:rPr>
          <w:lang w:val="en-CA"/>
        </w:rPr>
        <w:t xml:space="preserve"> </w:t>
      </w:r>
      <w:r w:rsidRPr="00BA1219">
        <w:rPr>
          <w:lang w:val="en-CA"/>
        </w:rPr>
        <w:t>marked absence of a unified authority, deep-rooted dualities (religion, language, gender, etc.), a range of programs of study, structural underfinancing, and low education levels among</w:t>
      </w:r>
      <w:r w:rsidR="00C07A56">
        <w:rPr>
          <w:lang w:val="en-CA"/>
        </w:rPr>
        <w:t xml:space="preserve"> </w:t>
      </w:r>
      <w:r w:rsidRPr="00BA1219">
        <w:rPr>
          <w:lang w:val="en-CA"/>
        </w:rPr>
        <w:t>French Canadians (</w:t>
      </w:r>
      <w:proofErr w:type="spellStart"/>
      <w:r w:rsidRPr="00BA1219">
        <w:rPr>
          <w:lang w:val="en-CA"/>
        </w:rPr>
        <w:t>Corbo</w:t>
      </w:r>
      <w:proofErr w:type="spellEnd"/>
      <w:r w:rsidRPr="00BA1219">
        <w:rPr>
          <w:lang w:val="en-CA"/>
        </w:rPr>
        <w:t xml:space="preserve"> &amp; Couture, 2000).</w:t>
      </w:r>
      <w:r w:rsidR="0096102C" w:rsidRPr="00BA1219">
        <w:rPr>
          <w:lang w:val="en-CA"/>
        </w:rPr>
        <w:t xml:space="preserve"> </w:t>
      </w:r>
      <w:r w:rsidRPr="00BA1219">
        <w:rPr>
          <w:lang w:val="en-CA"/>
        </w:rPr>
        <w:t xml:space="preserve">This chaos created significant </w:t>
      </w:r>
      <w:r w:rsidR="00C07A56" w:rsidRPr="00BA1219">
        <w:rPr>
          <w:lang w:val="en-CA"/>
        </w:rPr>
        <w:t>disparity</w:t>
      </w:r>
      <w:r w:rsidRPr="00BA1219">
        <w:rPr>
          <w:lang w:val="en-CA"/>
        </w:rPr>
        <w:t xml:space="preserve"> and inequality within the Quebec population.</w:t>
      </w:r>
      <w:r w:rsidR="0096102C" w:rsidRPr="00BA1219">
        <w:rPr>
          <w:lang w:val="en-CA"/>
        </w:rPr>
        <w:t xml:space="preserve"> </w:t>
      </w:r>
      <w:r w:rsidRPr="00BA1219">
        <w:rPr>
          <w:lang w:val="en-CA"/>
        </w:rPr>
        <w:t xml:space="preserve">As noted in the CSE (2001 at 14), the </w:t>
      </w:r>
      <w:r w:rsidR="00C07A56" w:rsidRPr="00BA1219">
        <w:rPr>
          <w:lang w:val="en-CA"/>
        </w:rPr>
        <w:t>French-Canadian</w:t>
      </w:r>
      <w:r w:rsidRPr="00BA1219">
        <w:rPr>
          <w:lang w:val="en-CA"/>
        </w:rPr>
        <w:t xml:space="preserve"> population at the time was largely undereducated compared to the English</w:t>
      </w:r>
      <w:r w:rsidR="00C07A56">
        <w:rPr>
          <w:lang w:val="en-CA"/>
        </w:rPr>
        <w:t>-</w:t>
      </w:r>
      <w:r w:rsidRPr="00BA1219">
        <w:rPr>
          <w:lang w:val="en-CA"/>
        </w:rPr>
        <w:t>Canadian population.</w:t>
      </w:r>
    </w:p>
    <w:p w14:paraId="5E5372D0" w14:textId="1BA02BA8" w:rsidR="00187157" w:rsidRPr="00BA1219" w:rsidRDefault="00016F28" w:rsidP="001D63DA">
      <w:pPr>
        <w:pStyle w:val="Paragrsimple"/>
        <w:rPr>
          <w:lang w:val="en-CA"/>
        </w:rPr>
      </w:pPr>
      <w:r w:rsidRPr="00BA1219">
        <w:rPr>
          <w:lang w:val="en-CA"/>
        </w:rPr>
        <w:t xml:space="preserve">The </w:t>
      </w:r>
      <w:proofErr w:type="spellStart"/>
      <w:r w:rsidRPr="00BA1219">
        <w:rPr>
          <w:lang w:val="en-CA"/>
        </w:rPr>
        <w:t>Ministère</w:t>
      </w:r>
      <w:proofErr w:type="spellEnd"/>
      <w:r w:rsidRPr="00BA1219">
        <w:rPr>
          <w:lang w:val="en-CA"/>
        </w:rPr>
        <w:t xml:space="preserve"> de </w:t>
      </w:r>
      <w:proofErr w:type="spellStart"/>
      <w:r w:rsidRPr="00BA1219">
        <w:rPr>
          <w:lang w:val="en-CA"/>
        </w:rPr>
        <w:t>l’Éducation</w:t>
      </w:r>
      <w:proofErr w:type="spellEnd"/>
      <w:r w:rsidRPr="00BA1219">
        <w:rPr>
          <w:lang w:val="en-CA"/>
        </w:rPr>
        <w:t xml:space="preserve"> was created only in 1964.</w:t>
      </w:r>
      <w:r w:rsidR="0096102C" w:rsidRPr="00BA1219">
        <w:rPr>
          <w:lang w:val="en-CA"/>
        </w:rPr>
        <w:t xml:space="preserve"> </w:t>
      </w:r>
    </w:p>
    <w:p w14:paraId="42686E21" w14:textId="0872313A" w:rsidR="00187157" w:rsidRPr="00BA1219" w:rsidRDefault="00016F28" w:rsidP="001D63DA">
      <w:pPr>
        <w:pStyle w:val="Paragrsimple"/>
        <w:rPr>
          <w:lang w:val="en-CA"/>
        </w:rPr>
      </w:pPr>
      <w:r w:rsidRPr="006B7726">
        <w:rPr>
          <w:lang w:val="en-CA"/>
        </w:rPr>
        <w:t xml:space="preserve">In 1971, Quebec’s National Assembly adopted the </w:t>
      </w:r>
      <w:r w:rsidRPr="006B7726">
        <w:rPr>
          <w:i/>
          <w:lang w:val="en-CA"/>
        </w:rPr>
        <w:t>Act respecting the regrouping and management of school boards</w:t>
      </w:r>
      <w:r w:rsidRPr="006B7726">
        <w:rPr>
          <w:lang w:val="en-CA"/>
        </w:rPr>
        <w:t>.</w:t>
      </w:r>
      <w:r w:rsidRPr="00DA1B11">
        <w:rPr>
          <w:rStyle w:val="Appelnotedebasdep"/>
          <w:iCs/>
          <w:lang w:val="en-CA"/>
        </w:rPr>
        <w:footnoteReference w:id="79"/>
      </w:r>
      <w:r w:rsidR="0096102C" w:rsidRPr="00BA1219">
        <w:rPr>
          <w:lang w:val="en-CA"/>
        </w:rPr>
        <w:t xml:space="preserve"> </w:t>
      </w:r>
      <w:r w:rsidRPr="00BA1219">
        <w:rPr>
          <w:lang w:val="en-CA"/>
        </w:rPr>
        <w:t>At the time</w:t>
      </w:r>
      <w:r w:rsidR="00800026">
        <w:rPr>
          <w:lang w:val="en-CA"/>
        </w:rPr>
        <w:t>,</w:t>
      </w:r>
      <w:r w:rsidRPr="00BA1219">
        <w:rPr>
          <w:lang w:val="en-CA"/>
        </w:rPr>
        <w:t xml:space="preserve"> it merged the 1,100 local school boards </w:t>
      </w:r>
      <w:r w:rsidRPr="00BA1219">
        <w:rPr>
          <w:lang w:val="en-CA"/>
        </w:rPr>
        <w:lastRenderedPageBreak/>
        <w:t xml:space="preserve">outside the </w:t>
      </w:r>
      <w:r w:rsidR="00C07A56">
        <w:rPr>
          <w:lang w:val="en-CA"/>
        </w:rPr>
        <w:t>I</w:t>
      </w:r>
      <w:r w:rsidRPr="00BA1219">
        <w:rPr>
          <w:lang w:val="en-CA"/>
        </w:rPr>
        <w:t>sland of Montreal into 168 confessional school boards.</w:t>
      </w:r>
      <w:r w:rsidRPr="00BA1219">
        <w:rPr>
          <w:rStyle w:val="Appelnotedebasdep"/>
          <w:rFonts w:cs="Arial"/>
          <w:szCs w:val="24"/>
          <w:lang w:val="en-CA"/>
        </w:rPr>
        <w:footnoteReference w:id="80"/>
      </w:r>
      <w:r w:rsidR="0096102C" w:rsidRPr="00BA1219">
        <w:rPr>
          <w:lang w:val="en-CA"/>
        </w:rPr>
        <w:t xml:space="preserve"> </w:t>
      </w:r>
      <w:r w:rsidRPr="00BA1219">
        <w:rPr>
          <w:lang w:val="en-CA"/>
        </w:rPr>
        <w:t xml:space="preserve">That </w:t>
      </w:r>
      <w:r w:rsidR="00DA1B11">
        <w:rPr>
          <w:iCs/>
          <w:lang w:val="en-CA"/>
        </w:rPr>
        <w:t>statute</w:t>
      </w:r>
      <w:r w:rsidRPr="00BA1219">
        <w:rPr>
          <w:i/>
          <w:lang w:val="en-CA"/>
        </w:rPr>
        <w:t xml:space="preserve"> </w:t>
      </w:r>
      <w:r w:rsidRPr="00BA1219">
        <w:rPr>
          <w:lang w:val="en-CA"/>
        </w:rPr>
        <w:t xml:space="preserve">did not apply on the </w:t>
      </w:r>
      <w:r w:rsidR="0000382B">
        <w:rPr>
          <w:lang w:val="en-CA"/>
        </w:rPr>
        <w:t>I</w:t>
      </w:r>
      <w:r w:rsidRPr="00BA1219">
        <w:rPr>
          <w:lang w:val="en-CA"/>
        </w:rPr>
        <w:t xml:space="preserve">sland of Montreal, and it was only the following year, in 1972, that the </w:t>
      </w:r>
      <w:r w:rsidRPr="00BA1219">
        <w:rPr>
          <w:i/>
          <w:lang w:val="en-CA"/>
        </w:rPr>
        <w:t>Act to promote school development on the island of Montreal</w:t>
      </w:r>
      <w:r w:rsidRPr="00BA1219">
        <w:rPr>
          <w:lang w:val="en-CA"/>
        </w:rPr>
        <w:t xml:space="preserve"> was adopted.</w:t>
      </w:r>
      <w:r w:rsidRPr="00BA1219">
        <w:rPr>
          <w:rStyle w:val="Appelnotedebasdep"/>
          <w:iCs/>
          <w:lang w:val="en-CA"/>
        </w:rPr>
        <w:footnoteReference w:id="81"/>
      </w:r>
      <w:r w:rsidR="0096102C" w:rsidRPr="00BA1219">
        <w:rPr>
          <w:iCs/>
          <w:lang w:val="en-CA"/>
        </w:rPr>
        <w:t xml:space="preserve"> </w:t>
      </w:r>
    </w:p>
    <w:p w14:paraId="3B55B64A" w14:textId="46488E21" w:rsidR="00187157" w:rsidRPr="00BA1219" w:rsidRDefault="00016F28" w:rsidP="001D63DA">
      <w:pPr>
        <w:pStyle w:val="Paragrsimple"/>
        <w:rPr>
          <w:lang w:val="en-CA"/>
        </w:rPr>
      </w:pPr>
      <w:r w:rsidRPr="00BA1219">
        <w:rPr>
          <w:lang w:val="en-CA"/>
        </w:rPr>
        <w:t xml:space="preserve">At the time, that </w:t>
      </w:r>
      <w:r w:rsidR="0000382B">
        <w:rPr>
          <w:lang w:val="en-CA"/>
        </w:rPr>
        <w:t>statute</w:t>
      </w:r>
      <w:r w:rsidRPr="00BA1219">
        <w:rPr>
          <w:lang w:val="en-CA"/>
        </w:rPr>
        <w:t xml:space="preserve"> grouped together the 36 school boards on the </w:t>
      </w:r>
      <w:r w:rsidR="00DA1B11">
        <w:rPr>
          <w:lang w:val="en-CA"/>
        </w:rPr>
        <w:t>I</w:t>
      </w:r>
      <w:r w:rsidRPr="00BA1219">
        <w:rPr>
          <w:lang w:val="en-CA"/>
        </w:rPr>
        <w:t>sland into six Catholic and two Protestant school boards to administer primary and secondary education.</w:t>
      </w:r>
      <w:r w:rsidRPr="00BA1219">
        <w:rPr>
          <w:rStyle w:val="Appelnotedebasdep"/>
          <w:rFonts w:cs="Arial"/>
          <w:szCs w:val="24"/>
          <w:lang w:val="en-CA"/>
        </w:rPr>
        <w:footnoteReference w:id="82"/>
      </w:r>
      <w:r w:rsidR="0096102C" w:rsidRPr="00BA1219">
        <w:rPr>
          <w:lang w:val="en-CA"/>
        </w:rPr>
        <w:t xml:space="preserve"> </w:t>
      </w:r>
      <w:r w:rsidRPr="00BA1219">
        <w:rPr>
          <w:lang w:val="en-CA"/>
        </w:rPr>
        <w:t xml:space="preserve">It instituted universal suffrage on the </w:t>
      </w:r>
      <w:r w:rsidR="00DA1B11">
        <w:rPr>
          <w:lang w:val="en-CA"/>
        </w:rPr>
        <w:t>I</w:t>
      </w:r>
      <w:r w:rsidRPr="00BA1219">
        <w:rPr>
          <w:lang w:val="en-CA"/>
        </w:rPr>
        <w:t>sland for the first time.</w:t>
      </w:r>
      <w:r w:rsidR="0096102C" w:rsidRPr="00BA1219">
        <w:rPr>
          <w:lang w:val="en-CA"/>
        </w:rPr>
        <w:t xml:space="preserve"> </w:t>
      </w:r>
    </w:p>
    <w:p w14:paraId="623F079A" w14:textId="76FDBCB0" w:rsidR="00187157" w:rsidRPr="00BA1219" w:rsidRDefault="00016F28" w:rsidP="001D63DA">
      <w:pPr>
        <w:pStyle w:val="Paragrsimple"/>
        <w:rPr>
          <w:lang w:val="en-CA"/>
        </w:rPr>
      </w:pPr>
      <w:r w:rsidRPr="00BA1219">
        <w:rPr>
          <w:lang w:val="en-CA"/>
        </w:rPr>
        <w:t xml:space="preserve">When the Parti </w:t>
      </w:r>
      <w:proofErr w:type="spellStart"/>
      <w:r w:rsidRPr="00BA1219">
        <w:rPr>
          <w:lang w:val="en-CA"/>
        </w:rPr>
        <w:t>québ</w:t>
      </w:r>
      <w:r w:rsidR="00800026">
        <w:rPr>
          <w:lang w:val="en-CA"/>
        </w:rPr>
        <w:t>é</w:t>
      </w:r>
      <w:r w:rsidRPr="00BA1219">
        <w:rPr>
          <w:lang w:val="en-CA"/>
        </w:rPr>
        <w:t>cois</w:t>
      </w:r>
      <w:proofErr w:type="spellEnd"/>
      <w:r w:rsidRPr="00BA1219">
        <w:rPr>
          <w:lang w:val="en-CA"/>
        </w:rPr>
        <w:t xml:space="preserve"> was elected, the government planned to restructure the school boards by language rather than by religion.</w:t>
      </w:r>
      <w:r w:rsidR="0096102C" w:rsidRPr="00BA1219">
        <w:rPr>
          <w:lang w:val="en-CA"/>
        </w:rPr>
        <w:t xml:space="preserve"> </w:t>
      </w:r>
      <w:r w:rsidR="00CD304F">
        <w:rPr>
          <w:lang w:val="en-CA"/>
        </w:rPr>
        <w:t>T</w:t>
      </w:r>
      <w:r w:rsidR="00CD304F" w:rsidRPr="006B7726">
        <w:rPr>
          <w:lang w:val="en-CA"/>
        </w:rPr>
        <w:t>o that end</w:t>
      </w:r>
      <w:r w:rsidR="00CD304F">
        <w:rPr>
          <w:lang w:val="en-CA"/>
        </w:rPr>
        <w:t>,</w:t>
      </w:r>
      <w:r w:rsidR="00DA43A6">
        <w:rPr>
          <w:lang w:val="en-CA"/>
        </w:rPr>
        <w:t xml:space="preserve"> Bill</w:t>
      </w:r>
      <w:r w:rsidRPr="006C01F8">
        <w:rPr>
          <w:lang w:val="en-CA"/>
        </w:rPr>
        <w:t xml:space="preserve"> 3</w:t>
      </w:r>
      <w:r w:rsidRPr="00230D30">
        <w:rPr>
          <w:lang w:val="en-CA"/>
        </w:rPr>
        <w:t xml:space="preserve"> w</w:t>
      </w:r>
      <w:r w:rsidRPr="006B7726">
        <w:rPr>
          <w:lang w:val="en-CA"/>
        </w:rPr>
        <w:t xml:space="preserve">as </w:t>
      </w:r>
      <w:r w:rsidR="00DA43A6">
        <w:rPr>
          <w:lang w:val="en-CA"/>
        </w:rPr>
        <w:t xml:space="preserve">passed </w:t>
      </w:r>
      <w:r w:rsidRPr="006B7726">
        <w:rPr>
          <w:lang w:val="en-CA"/>
        </w:rPr>
        <w:t>in 1984.</w:t>
      </w:r>
      <w:r w:rsidR="00CD304F" w:rsidRPr="006B7726">
        <w:rPr>
          <w:rStyle w:val="Appelnotedebasdep"/>
          <w:lang w:val="en-CA"/>
        </w:rPr>
        <w:footnoteReference w:id="83"/>
      </w:r>
      <w:r w:rsidR="00CD304F" w:rsidRPr="00BA1219">
        <w:rPr>
          <w:lang w:val="en-CA"/>
        </w:rPr>
        <w:t xml:space="preserve"> </w:t>
      </w:r>
      <w:r w:rsidRPr="006B7726">
        <w:rPr>
          <w:lang w:val="en-CA"/>
        </w:rPr>
        <w:t xml:space="preserve">However, </w:t>
      </w:r>
      <w:r w:rsidR="00DA43A6">
        <w:rPr>
          <w:lang w:val="en-CA"/>
        </w:rPr>
        <w:t xml:space="preserve">the Bill </w:t>
      </w:r>
      <w:r w:rsidRPr="006B7726">
        <w:rPr>
          <w:lang w:val="en-CA"/>
        </w:rPr>
        <w:t xml:space="preserve">was </w:t>
      </w:r>
      <w:r w:rsidR="00DA43A6">
        <w:rPr>
          <w:lang w:val="en-CA"/>
        </w:rPr>
        <w:t xml:space="preserve">found to be </w:t>
      </w:r>
      <w:r w:rsidR="00CD304F" w:rsidRPr="006B7726">
        <w:rPr>
          <w:lang w:val="en-CA"/>
        </w:rPr>
        <w:t>unconstitutional</w:t>
      </w:r>
      <w:r w:rsidRPr="006B7726">
        <w:rPr>
          <w:lang w:val="en-CA"/>
        </w:rPr>
        <w:t>.</w:t>
      </w:r>
      <w:r w:rsidR="00CD304F" w:rsidRPr="00BA1219">
        <w:rPr>
          <w:rStyle w:val="Appelnotedebasdep"/>
          <w:rFonts w:cs="Arial"/>
          <w:szCs w:val="24"/>
          <w:lang w:val="en-CA"/>
        </w:rPr>
        <w:footnoteReference w:id="84"/>
      </w:r>
      <w:r w:rsidR="0096102C" w:rsidRPr="00BA1219">
        <w:rPr>
          <w:lang w:val="en-CA"/>
        </w:rPr>
        <w:t xml:space="preserve"> </w:t>
      </w:r>
    </w:p>
    <w:p w14:paraId="27138D2B" w14:textId="6FE737B9" w:rsidR="00187157" w:rsidRPr="00BA1219" w:rsidRDefault="00016F28" w:rsidP="001D63DA">
      <w:pPr>
        <w:pStyle w:val="Paragrsimple"/>
        <w:rPr>
          <w:lang w:val="en-CA"/>
        </w:rPr>
      </w:pPr>
      <w:r w:rsidRPr="00BA1219">
        <w:rPr>
          <w:lang w:val="en-CA"/>
        </w:rPr>
        <w:t xml:space="preserve">Subsequently, the new Liberal </w:t>
      </w:r>
      <w:r w:rsidR="00800026">
        <w:rPr>
          <w:lang w:val="en-CA"/>
        </w:rPr>
        <w:t>M</w:t>
      </w:r>
      <w:r w:rsidRPr="00BA1219">
        <w:rPr>
          <w:lang w:val="en-CA"/>
        </w:rPr>
        <w:t xml:space="preserve">inister </w:t>
      </w:r>
      <w:r w:rsidR="00800026">
        <w:rPr>
          <w:lang w:val="en-CA"/>
        </w:rPr>
        <w:t xml:space="preserve">of </w:t>
      </w:r>
      <w:r w:rsidRPr="00BA1219">
        <w:rPr>
          <w:lang w:val="en-CA"/>
        </w:rPr>
        <w:t xml:space="preserve">Education, Claude Ryan, </w:t>
      </w:r>
      <w:r w:rsidR="00DA43A6">
        <w:rPr>
          <w:lang w:val="en-CA"/>
        </w:rPr>
        <w:t>enacted</w:t>
      </w:r>
      <w:r w:rsidRPr="00BA1219">
        <w:rPr>
          <w:lang w:val="en-CA"/>
        </w:rPr>
        <w:t xml:space="preserve"> the </w:t>
      </w:r>
      <w:r w:rsidRPr="00BA1219">
        <w:rPr>
          <w:i/>
          <w:lang w:val="en-CA"/>
        </w:rPr>
        <w:t>Education Act</w:t>
      </w:r>
      <w:r w:rsidRPr="00BA1219">
        <w:rPr>
          <w:lang w:val="en-CA"/>
        </w:rPr>
        <w:t>,</w:t>
      </w:r>
      <w:r w:rsidRPr="00BA1219">
        <w:rPr>
          <w:rStyle w:val="Appelnotedebasdep"/>
          <w:rFonts w:cs="Arial"/>
          <w:i/>
          <w:iCs/>
          <w:color w:val="000000"/>
          <w:spacing w:val="-3"/>
          <w:szCs w:val="24"/>
          <w:lang w:val="en-CA"/>
        </w:rPr>
        <w:footnoteReference w:id="85"/>
      </w:r>
      <w:r w:rsidR="00230D30">
        <w:rPr>
          <w:lang w:val="en-CA"/>
        </w:rPr>
        <w:t xml:space="preserve"> </w:t>
      </w:r>
      <w:r w:rsidR="00B97B3A">
        <w:rPr>
          <w:lang w:val="en-CA"/>
        </w:rPr>
        <w:t>which</w:t>
      </w:r>
      <w:r w:rsidRPr="00BA1219">
        <w:rPr>
          <w:lang w:val="en-CA"/>
        </w:rPr>
        <w:t xml:space="preserve"> provided for the deconfessionalization of all the school boards and the maintenance of </w:t>
      </w:r>
      <w:r w:rsidR="00DA43A6">
        <w:rPr>
          <w:lang w:val="en-CA"/>
        </w:rPr>
        <w:t xml:space="preserve">the minority right of </w:t>
      </w:r>
      <w:r w:rsidRPr="00BA1219">
        <w:rPr>
          <w:lang w:val="en-CA"/>
        </w:rPr>
        <w:t>dissent in their territories.</w:t>
      </w:r>
      <w:r w:rsidR="0096102C" w:rsidRPr="00BA1219">
        <w:rPr>
          <w:spacing w:val="-12"/>
          <w:lang w:val="en-CA"/>
        </w:rPr>
        <w:t xml:space="preserve"> </w:t>
      </w:r>
      <w:r w:rsidRPr="00BA1219">
        <w:rPr>
          <w:lang w:val="en-CA"/>
        </w:rPr>
        <w:t xml:space="preserve">Before implementing the </w:t>
      </w:r>
      <w:r w:rsidR="00555D7D">
        <w:rPr>
          <w:lang w:val="en-CA"/>
        </w:rPr>
        <w:t>statute</w:t>
      </w:r>
      <w:r w:rsidR="00B97B3A" w:rsidRPr="00CD304F">
        <w:rPr>
          <w:i/>
          <w:iCs/>
          <w:lang w:val="en-CA"/>
        </w:rPr>
        <w:t>,</w:t>
      </w:r>
      <w:r w:rsidRPr="00BA1219">
        <w:rPr>
          <w:lang w:val="en-CA"/>
        </w:rPr>
        <w:t xml:space="preserve"> the government waited for the Court of Appeal and then the Supreme Court to confirm its </w:t>
      </w:r>
      <w:r w:rsidR="00CD304F" w:rsidRPr="00BA1219">
        <w:rPr>
          <w:lang w:val="en-CA"/>
        </w:rPr>
        <w:t>constitutionality</w:t>
      </w:r>
      <w:r w:rsidRPr="00BA1219">
        <w:rPr>
          <w:lang w:val="en-CA"/>
        </w:rPr>
        <w:t>.</w:t>
      </w:r>
      <w:r w:rsidR="0096102C" w:rsidRPr="00BA1219">
        <w:rPr>
          <w:lang w:val="en-CA"/>
        </w:rPr>
        <w:t xml:space="preserve"> </w:t>
      </w:r>
      <w:r w:rsidR="00DA43A6">
        <w:rPr>
          <w:lang w:val="en-CA"/>
        </w:rPr>
        <w:t>J</w:t>
      </w:r>
      <w:r w:rsidRPr="006B7726">
        <w:rPr>
          <w:lang w:val="en-CA"/>
        </w:rPr>
        <w:t>udgment was rendered in June</w:t>
      </w:r>
      <w:r w:rsidR="00BB76BD">
        <w:rPr>
          <w:lang w:val="en-CA"/>
        </w:rPr>
        <w:t> </w:t>
      </w:r>
      <w:r w:rsidRPr="006B7726">
        <w:rPr>
          <w:lang w:val="en-CA"/>
        </w:rPr>
        <w:t>199</w:t>
      </w:r>
      <w:r w:rsidR="00BB76BD">
        <w:rPr>
          <w:lang w:val="en-CA"/>
        </w:rPr>
        <w:t>3</w:t>
      </w:r>
      <w:r w:rsidRPr="006B7726">
        <w:rPr>
          <w:lang w:val="en-CA"/>
        </w:rPr>
        <w:t>:</w:t>
      </w:r>
      <w:r w:rsidRPr="006B7726">
        <w:rPr>
          <w:rStyle w:val="Appelnotedebasdep"/>
          <w:rFonts w:cs="Arial"/>
          <w:spacing w:val="-2"/>
          <w:szCs w:val="24"/>
          <w:lang w:val="en-CA"/>
        </w:rPr>
        <w:footnoteReference w:id="86"/>
      </w:r>
      <w:r w:rsidR="0096102C" w:rsidRPr="00BA1219">
        <w:rPr>
          <w:lang w:val="en-CA"/>
        </w:rPr>
        <w:t xml:space="preserve"> </w:t>
      </w:r>
      <w:r w:rsidRPr="00BA1219">
        <w:rPr>
          <w:lang w:val="en-CA"/>
        </w:rPr>
        <w:t xml:space="preserve">there </w:t>
      </w:r>
      <w:r w:rsidR="002F3084">
        <w:rPr>
          <w:lang w:val="en-CA"/>
        </w:rPr>
        <w:t>was</w:t>
      </w:r>
      <w:r w:rsidR="002F3084" w:rsidRPr="00BA1219">
        <w:rPr>
          <w:lang w:val="en-CA"/>
        </w:rPr>
        <w:t xml:space="preserve"> </w:t>
      </w:r>
      <w:r w:rsidRPr="00BA1219">
        <w:rPr>
          <w:lang w:val="en-CA"/>
        </w:rPr>
        <w:t>no reason not to create linguistic school boards</w:t>
      </w:r>
      <w:r w:rsidR="00BB76BD">
        <w:rPr>
          <w:lang w:val="en-CA"/>
        </w:rPr>
        <w:t>, so long as</w:t>
      </w:r>
      <w:r w:rsidRPr="00BA1219">
        <w:rPr>
          <w:lang w:val="en-CA"/>
        </w:rPr>
        <w:t xml:space="preserve"> the </w:t>
      </w:r>
      <w:r w:rsidR="002F5AA0" w:rsidRPr="00BA1219">
        <w:rPr>
          <w:lang w:val="en-CA"/>
        </w:rPr>
        <w:t>government</w:t>
      </w:r>
      <w:r w:rsidRPr="00BA1219">
        <w:rPr>
          <w:lang w:val="en-CA"/>
        </w:rPr>
        <w:t xml:space="preserve"> maintain</w:t>
      </w:r>
      <w:r w:rsidR="002F3084">
        <w:rPr>
          <w:lang w:val="en-CA"/>
        </w:rPr>
        <w:t>ed</w:t>
      </w:r>
      <w:r w:rsidRPr="00BA1219">
        <w:rPr>
          <w:lang w:val="en-CA"/>
        </w:rPr>
        <w:t xml:space="preserve"> the right to dissent and the denominational school boards of </w:t>
      </w:r>
      <w:r w:rsidR="002F3084">
        <w:rPr>
          <w:lang w:val="en-CA"/>
        </w:rPr>
        <w:t xml:space="preserve">the cities of </w:t>
      </w:r>
      <w:r w:rsidRPr="00BA1219">
        <w:rPr>
          <w:lang w:val="en-CA"/>
        </w:rPr>
        <w:t>Qu</w:t>
      </w:r>
      <w:r w:rsidR="00DA43A6">
        <w:rPr>
          <w:lang w:val="en-CA"/>
        </w:rPr>
        <w:t>e</w:t>
      </w:r>
      <w:r w:rsidRPr="00BA1219">
        <w:rPr>
          <w:lang w:val="en-CA"/>
        </w:rPr>
        <w:t>bec and Montreal.</w:t>
      </w:r>
      <w:r w:rsidRPr="00BA1219">
        <w:rPr>
          <w:rStyle w:val="Appelnotedebasdep"/>
          <w:rFonts w:cs="Arial"/>
          <w:szCs w:val="24"/>
          <w:lang w:val="en-CA"/>
        </w:rPr>
        <w:footnoteReference w:id="87"/>
      </w:r>
    </w:p>
    <w:p w14:paraId="341B6584" w14:textId="663D451A" w:rsidR="00187157" w:rsidRPr="00BA1219" w:rsidRDefault="00016F28" w:rsidP="001D63DA">
      <w:pPr>
        <w:pStyle w:val="Paragrsimple"/>
        <w:rPr>
          <w:lang w:val="en-CA"/>
        </w:rPr>
      </w:pPr>
      <w:r w:rsidRPr="006B7726">
        <w:rPr>
          <w:lang w:val="en-CA"/>
        </w:rPr>
        <w:t xml:space="preserve">In 1995, the government appointed the Commission for the Estates General on Education. The </w:t>
      </w:r>
      <w:r w:rsidR="00BB76BD">
        <w:rPr>
          <w:lang w:val="en-CA"/>
        </w:rPr>
        <w:t xml:space="preserve"> C</w:t>
      </w:r>
      <w:r w:rsidRPr="006B7726">
        <w:rPr>
          <w:lang w:val="en-CA"/>
        </w:rPr>
        <w:t>ommission’s final report made the following recommendations:</w:t>
      </w:r>
    </w:p>
    <w:p w14:paraId="1A1249F4" w14:textId="616452F9" w:rsidR="00187157" w:rsidRPr="00BA1219" w:rsidRDefault="00016F28" w:rsidP="009B7445">
      <w:pPr>
        <w:pStyle w:val="Paragrdouble"/>
        <w:numPr>
          <w:ilvl w:val="0"/>
          <w:numId w:val="15"/>
        </w:numPr>
        <w:spacing w:line="240" w:lineRule="auto"/>
        <w:rPr>
          <w:lang w:val="en-CA"/>
        </w:rPr>
      </w:pPr>
      <w:r w:rsidRPr="006B7726">
        <w:rPr>
          <w:lang w:val="en-CA"/>
        </w:rPr>
        <w:t>Transform confessional school boards into linguistic school boards;</w:t>
      </w:r>
    </w:p>
    <w:p w14:paraId="4AABD6AE" w14:textId="7BE6032D" w:rsidR="00187157" w:rsidRPr="00BA1219" w:rsidRDefault="00016F28" w:rsidP="009B7445">
      <w:pPr>
        <w:pStyle w:val="Paragrdouble"/>
        <w:numPr>
          <w:ilvl w:val="0"/>
          <w:numId w:val="15"/>
        </w:numPr>
        <w:spacing w:line="240" w:lineRule="auto"/>
        <w:rPr>
          <w:lang w:val="en-CA"/>
        </w:rPr>
      </w:pPr>
      <w:r w:rsidRPr="00BA1219">
        <w:rPr>
          <w:lang w:val="en-CA"/>
        </w:rPr>
        <w:t>Undertake action to have section 93 of the Canadian Constitution repealed with a view to abolishing existing confessional structures and mechanisms;</w:t>
      </w:r>
    </w:p>
    <w:p w14:paraId="3D579E2A" w14:textId="2A118CA8" w:rsidR="00187157" w:rsidRPr="00BA1219" w:rsidRDefault="00016F28" w:rsidP="009B7445">
      <w:pPr>
        <w:pStyle w:val="Paragrdouble"/>
        <w:numPr>
          <w:ilvl w:val="0"/>
          <w:numId w:val="15"/>
        </w:numPr>
        <w:spacing w:line="240" w:lineRule="auto"/>
        <w:rPr>
          <w:lang w:val="en-CA"/>
        </w:rPr>
      </w:pPr>
      <w:r w:rsidRPr="00BA1219">
        <w:rPr>
          <w:lang w:val="en-CA"/>
        </w:rPr>
        <w:t>Encourage groups currently holding confessional guarantees to introduce mechanisms that will enable all Christian education to be dispensed in places more appropriate than schools.</w:t>
      </w:r>
      <w:r w:rsidRPr="00BA1219">
        <w:rPr>
          <w:rStyle w:val="Appelnotedebasdep"/>
          <w:rFonts w:cs="Arial"/>
          <w:szCs w:val="24"/>
          <w:lang w:val="en-CA"/>
        </w:rPr>
        <w:footnoteReference w:id="88"/>
      </w:r>
    </w:p>
    <w:p w14:paraId="655B79A3" w14:textId="4B3577D5" w:rsidR="00187157" w:rsidRPr="00BA1219" w:rsidRDefault="00016F28" w:rsidP="00187157">
      <w:pPr>
        <w:pStyle w:val="Paragrdouble"/>
        <w:spacing w:line="240" w:lineRule="auto"/>
        <w:rPr>
          <w:lang w:val="en-CA"/>
        </w:rPr>
      </w:pPr>
      <w:r w:rsidRPr="00BA1219">
        <w:rPr>
          <w:lang w:val="en-CA"/>
        </w:rPr>
        <w:t>On April 15, 1997, in the aftermath of this report, the Quebec National Assembly unanimously adopted a resolution to terminate the application of paragraphs (1) to (4) of s</w:t>
      </w:r>
      <w:r w:rsidR="00DB2965">
        <w:rPr>
          <w:lang w:val="en-CA"/>
        </w:rPr>
        <w:t>ection</w:t>
      </w:r>
      <w:r w:rsidRPr="00BA1219">
        <w:rPr>
          <w:lang w:val="en-CA"/>
        </w:rPr>
        <w:t xml:space="preserve"> 93 of the </w:t>
      </w:r>
      <w:r w:rsidRPr="00BA1219">
        <w:rPr>
          <w:i/>
          <w:lang w:val="en-CA"/>
        </w:rPr>
        <w:t>Constitution Act, 1867</w:t>
      </w:r>
      <w:r w:rsidRPr="00BA1219">
        <w:rPr>
          <w:lang w:val="en-CA"/>
        </w:rPr>
        <w:t>.</w:t>
      </w:r>
      <w:r w:rsidR="0096102C" w:rsidRPr="00BA1219">
        <w:rPr>
          <w:lang w:val="en-CA"/>
        </w:rPr>
        <w:t xml:space="preserve"> </w:t>
      </w:r>
    </w:p>
    <w:p w14:paraId="01564DE4" w14:textId="54AB5AEB" w:rsidR="00187157" w:rsidRPr="00BA1219" w:rsidRDefault="00016F28" w:rsidP="00187157">
      <w:pPr>
        <w:pStyle w:val="Paragrdouble"/>
        <w:spacing w:line="240" w:lineRule="auto"/>
        <w:rPr>
          <w:lang w:val="en-CA"/>
        </w:rPr>
      </w:pPr>
      <w:r w:rsidRPr="00BA1219">
        <w:rPr>
          <w:lang w:val="en-CA"/>
        </w:rPr>
        <w:lastRenderedPageBreak/>
        <w:t xml:space="preserve">Such a constitutional amendment required </w:t>
      </w:r>
      <w:r w:rsidR="002F5AA0">
        <w:rPr>
          <w:lang w:val="en-CA"/>
        </w:rPr>
        <w:t xml:space="preserve">the </w:t>
      </w:r>
      <w:r w:rsidRPr="00BA1219">
        <w:rPr>
          <w:lang w:val="en-CA"/>
        </w:rPr>
        <w:t xml:space="preserve">approval </w:t>
      </w:r>
      <w:r w:rsidR="002F5AA0">
        <w:rPr>
          <w:lang w:val="en-CA"/>
        </w:rPr>
        <w:t>of</w:t>
      </w:r>
      <w:r w:rsidRPr="00BA1219">
        <w:rPr>
          <w:lang w:val="en-CA"/>
        </w:rPr>
        <w:t xml:space="preserve"> both parliaments.</w:t>
      </w:r>
      <w:r w:rsidRPr="00BA1219">
        <w:rPr>
          <w:rStyle w:val="Appelnotedebasdep"/>
          <w:rFonts w:cs="Arial"/>
          <w:szCs w:val="24"/>
          <w:lang w:val="en-CA"/>
        </w:rPr>
        <w:footnoteReference w:id="89"/>
      </w:r>
      <w:r w:rsidR="0096102C" w:rsidRPr="00BA1219">
        <w:rPr>
          <w:lang w:val="en-CA"/>
        </w:rPr>
        <w:t xml:space="preserve"> </w:t>
      </w:r>
      <w:r w:rsidRPr="00BA1219">
        <w:rPr>
          <w:lang w:val="en-CA"/>
        </w:rPr>
        <w:t>The debates in both parliaments are instructive.</w:t>
      </w:r>
    </w:p>
    <w:p w14:paraId="66F6D7FA" w14:textId="27B6C306" w:rsidR="00A572BB" w:rsidRPr="00BA1219" w:rsidRDefault="00016F28" w:rsidP="00187157">
      <w:pPr>
        <w:pStyle w:val="Paragrdouble"/>
        <w:spacing w:line="240" w:lineRule="auto"/>
        <w:rPr>
          <w:lang w:val="en-CA"/>
        </w:rPr>
      </w:pPr>
      <w:r w:rsidRPr="00BA1219">
        <w:rPr>
          <w:lang w:val="en-CA"/>
        </w:rPr>
        <w:t>Pauline Marois, the</w:t>
      </w:r>
      <w:r w:rsidR="006D4FEC">
        <w:rPr>
          <w:lang w:val="en-CA"/>
        </w:rPr>
        <w:t>n</w:t>
      </w:r>
      <w:r w:rsidRPr="00BA1219">
        <w:rPr>
          <w:lang w:val="en-CA"/>
        </w:rPr>
        <w:t xml:space="preserve"> Minister of Education, stated the following before the National Assembly:</w:t>
      </w:r>
      <w:r w:rsidRPr="00BA1219">
        <w:rPr>
          <w:rStyle w:val="Appelnotedebasdep"/>
          <w:lang w:val="en-CA"/>
        </w:rPr>
        <w:t xml:space="preserve"> </w:t>
      </w:r>
      <w:r w:rsidRPr="00BA1219">
        <w:rPr>
          <w:rStyle w:val="Appelnotedebasdep"/>
          <w:lang w:val="en-CA"/>
        </w:rPr>
        <w:footnoteReference w:id="90"/>
      </w:r>
    </w:p>
    <w:p w14:paraId="19EA500C" w14:textId="1E95B973" w:rsidR="00016F28" w:rsidRPr="00BA1219" w:rsidRDefault="00016F28" w:rsidP="001D63DA">
      <w:pPr>
        <w:pStyle w:val="Citation"/>
        <w:rPr>
          <w:shd w:val="clear" w:color="auto" w:fill="FFFFFF"/>
          <w:lang w:val="en-CA"/>
        </w:rPr>
      </w:pPr>
      <w:r w:rsidRPr="00BA1219">
        <w:rPr>
          <w:rFonts w:cs="Arial"/>
          <w:smallCaps/>
          <w:shd w:val="clear" w:color="auto" w:fill="FFFFFF"/>
          <w:lang w:val="en-CA"/>
        </w:rPr>
        <w:t>[</w:t>
      </w:r>
      <w:r w:rsidRPr="00BA1219">
        <w:rPr>
          <w:smallCaps/>
          <w:shd w:val="clear" w:color="auto" w:fill="FFFFFF"/>
          <w:lang w:val="en-CA"/>
        </w:rPr>
        <w:t>translation</w:t>
      </w:r>
      <w:r w:rsidRPr="00BA1219">
        <w:rPr>
          <w:rFonts w:cs="Arial"/>
          <w:smallCaps/>
          <w:shd w:val="clear" w:color="auto" w:fill="FFFFFF"/>
          <w:lang w:val="en-CA"/>
        </w:rPr>
        <w:t>]</w:t>
      </w:r>
    </w:p>
    <w:p w14:paraId="26C87BD9" w14:textId="4A8F2CB8" w:rsidR="00C9493F" w:rsidRPr="00BA1219" w:rsidRDefault="00016F28" w:rsidP="001D63DA">
      <w:pPr>
        <w:pStyle w:val="Citation"/>
        <w:rPr>
          <w:shd w:val="clear" w:color="auto" w:fill="FFFFFF"/>
          <w:lang w:val="en-CA"/>
        </w:rPr>
      </w:pPr>
      <w:r w:rsidRPr="00BA1219">
        <w:rPr>
          <w:shd w:val="clear" w:color="auto" w:fill="FFFFFF"/>
          <w:lang w:val="en-CA"/>
        </w:rPr>
        <w:t xml:space="preserve">There is a second objective that, at this point, </w:t>
      </w:r>
      <w:r w:rsidR="00ED590A">
        <w:rPr>
          <w:shd w:val="clear" w:color="auto" w:fill="FFFFFF"/>
          <w:lang w:val="en-CA"/>
        </w:rPr>
        <w:t xml:space="preserve">involves </w:t>
      </w:r>
      <w:r w:rsidRPr="00BA1219">
        <w:rPr>
          <w:shd w:val="clear" w:color="auto" w:fill="FFFFFF"/>
          <w:lang w:val="en-CA"/>
        </w:rPr>
        <w:t xml:space="preserve">the English-speaking community: </w:t>
      </w:r>
      <w:r w:rsidR="0096102C" w:rsidRPr="00BA1219">
        <w:rPr>
          <w:shd w:val="clear" w:color="auto" w:fill="FFFFFF"/>
          <w:lang w:val="en-CA"/>
        </w:rPr>
        <w:t xml:space="preserve"> </w:t>
      </w:r>
      <w:r w:rsidR="00ED590A">
        <w:rPr>
          <w:shd w:val="clear" w:color="auto" w:fill="FFFFFF"/>
          <w:lang w:val="en-CA"/>
        </w:rPr>
        <w:t>this</w:t>
      </w:r>
      <w:r w:rsidR="00ED590A" w:rsidRPr="00BA1219">
        <w:rPr>
          <w:shd w:val="clear" w:color="auto" w:fill="FFFFFF"/>
          <w:lang w:val="en-CA"/>
        </w:rPr>
        <w:t xml:space="preserve"> </w:t>
      </w:r>
      <w:r w:rsidR="008552BA" w:rsidRPr="00BA1219">
        <w:rPr>
          <w:shd w:val="clear" w:color="auto" w:fill="FFFFFF"/>
          <w:lang w:val="en-CA"/>
        </w:rPr>
        <w:t>community</w:t>
      </w:r>
      <w:r w:rsidRPr="00BA1219">
        <w:rPr>
          <w:shd w:val="clear" w:color="auto" w:fill="FFFFFF"/>
          <w:lang w:val="en-CA"/>
        </w:rPr>
        <w:t xml:space="preserve"> clearly wishes to manage and control its schools.</w:t>
      </w:r>
      <w:r w:rsidR="0096102C" w:rsidRPr="00BA1219">
        <w:rPr>
          <w:shd w:val="clear" w:color="auto" w:fill="FFFFFF"/>
          <w:lang w:val="en-CA"/>
        </w:rPr>
        <w:t xml:space="preserve"> </w:t>
      </w:r>
      <w:r w:rsidRPr="00BA1219">
        <w:rPr>
          <w:shd w:val="clear" w:color="auto" w:fill="FFFFFF"/>
          <w:lang w:val="en-CA"/>
        </w:rPr>
        <w:t xml:space="preserve">It has told us so many times, </w:t>
      </w:r>
      <w:r w:rsidR="00ED590A">
        <w:rPr>
          <w:shd w:val="clear" w:color="auto" w:fill="FFFFFF"/>
          <w:lang w:val="en-CA"/>
        </w:rPr>
        <w:t xml:space="preserve">and </w:t>
      </w:r>
      <w:r w:rsidRPr="00BA1219">
        <w:rPr>
          <w:shd w:val="clear" w:color="auto" w:fill="FFFFFF"/>
          <w:lang w:val="en-CA"/>
        </w:rPr>
        <w:t xml:space="preserve">it is even written in the </w:t>
      </w:r>
      <w:r w:rsidRPr="00BA1219">
        <w:rPr>
          <w:i/>
          <w:shd w:val="clear" w:color="auto" w:fill="FFFFFF"/>
          <w:lang w:val="en-CA"/>
        </w:rPr>
        <w:t>Charter of Rights</w:t>
      </w:r>
      <w:r w:rsidRPr="00BA1219">
        <w:rPr>
          <w:shd w:val="clear" w:color="auto" w:fill="FFFFFF"/>
          <w:lang w:val="en-CA"/>
        </w:rPr>
        <w:t xml:space="preserve"> that it has the right to control its institutions.</w:t>
      </w:r>
      <w:r w:rsidR="0096102C" w:rsidRPr="00BA1219">
        <w:rPr>
          <w:shd w:val="clear" w:color="auto" w:fill="FFFFFF"/>
          <w:lang w:val="en-CA"/>
        </w:rPr>
        <w:t xml:space="preserve"> </w:t>
      </w:r>
      <w:r w:rsidRPr="00BA1219">
        <w:rPr>
          <w:shd w:val="clear" w:color="auto" w:fill="FFFFFF"/>
          <w:lang w:val="en-CA"/>
        </w:rPr>
        <w:t xml:space="preserve">Therefore, in that sense, we believe the </w:t>
      </w:r>
      <w:r w:rsidR="00ED590A">
        <w:rPr>
          <w:shd w:val="clear" w:color="auto" w:fill="FFFFFF"/>
          <w:lang w:val="en-CA"/>
        </w:rPr>
        <w:t>establishment</w:t>
      </w:r>
      <w:r w:rsidR="00ED590A" w:rsidRPr="00BA1219">
        <w:rPr>
          <w:shd w:val="clear" w:color="auto" w:fill="FFFFFF"/>
          <w:lang w:val="en-CA"/>
        </w:rPr>
        <w:t xml:space="preserve"> </w:t>
      </w:r>
      <w:r w:rsidRPr="00BA1219">
        <w:rPr>
          <w:shd w:val="clear" w:color="auto" w:fill="FFFFFF"/>
          <w:lang w:val="en-CA"/>
        </w:rPr>
        <w:t>of school boards based on language will help to meet that objective, will accomplish it.</w:t>
      </w:r>
      <w:r w:rsidR="0096102C" w:rsidRPr="00BA1219">
        <w:rPr>
          <w:shd w:val="clear" w:color="auto" w:fill="FFFFFF"/>
          <w:lang w:val="en-CA"/>
        </w:rPr>
        <w:t xml:space="preserve"> </w:t>
      </w:r>
      <w:r w:rsidRPr="00BA1219">
        <w:rPr>
          <w:shd w:val="clear" w:color="auto" w:fill="FFFFFF"/>
          <w:lang w:val="en-CA"/>
        </w:rPr>
        <w:t xml:space="preserve">I </w:t>
      </w:r>
      <w:r w:rsidR="00ED590A">
        <w:rPr>
          <w:shd w:val="clear" w:color="auto" w:fill="FFFFFF"/>
          <w:lang w:val="en-CA"/>
        </w:rPr>
        <w:t xml:space="preserve">have </w:t>
      </w:r>
      <w:r w:rsidRPr="00BA1219">
        <w:rPr>
          <w:shd w:val="clear" w:color="auto" w:fill="FFFFFF"/>
          <w:lang w:val="en-CA"/>
        </w:rPr>
        <w:t>in fact met with several bodies;</w:t>
      </w:r>
      <w:r w:rsidR="0096102C" w:rsidRPr="00BA1219">
        <w:rPr>
          <w:shd w:val="clear" w:color="auto" w:fill="FFFFFF"/>
          <w:lang w:val="en-CA"/>
        </w:rPr>
        <w:t xml:space="preserve"> </w:t>
      </w:r>
      <w:r w:rsidRPr="006B7726">
        <w:rPr>
          <w:shd w:val="clear" w:color="auto" w:fill="FFFFFF"/>
          <w:lang w:val="en-CA"/>
        </w:rPr>
        <w:t>I will return to the consultation later, Mr. President.</w:t>
      </w:r>
      <w:r w:rsidR="0096102C" w:rsidRPr="00BA1219">
        <w:rPr>
          <w:shd w:val="clear" w:color="auto" w:fill="FFFFFF"/>
          <w:lang w:val="en-CA"/>
        </w:rPr>
        <w:t xml:space="preserve"> </w:t>
      </w:r>
      <w:r w:rsidRPr="00BA1219">
        <w:rPr>
          <w:shd w:val="clear" w:color="auto" w:fill="FFFFFF"/>
          <w:lang w:val="en-CA"/>
        </w:rPr>
        <w:t xml:space="preserve">I </w:t>
      </w:r>
      <w:r w:rsidR="00ED590A">
        <w:rPr>
          <w:shd w:val="clear" w:color="auto" w:fill="FFFFFF"/>
          <w:lang w:val="en-CA"/>
        </w:rPr>
        <w:t xml:space="preserve">have </w:t>
      </w:r>
      <w:r w:rsidRPr="00BA1219">
        <w:rPr>
          <w:shd w:val="clear" w:color="auto" w:fill="FFFFFF"/>
          <w:lang w:val="en-CA"/>
        </w:rPr>
        <w:t xml:space="preserve">in fact met with several bodies, among them representatives from the English-speaking community in the Eastern Townships where what they had to say was </w:t>
      </w:r>
      <w:r w:rsidR="008552BA" w:rsidRPr="00BA1219">
        <w:rPr>
          <w:shd w:val="clear" w:color="auto" w:fill="FFFFFF"/>
          <w:lang w:val="en-CA"/>
        </w:rPr>
        <w:t>particularly</w:t>
      </w:r>
      <w:r w:rsidRPr="00BA1219">
        <w:rPr>
          <w:shd w:val="clear" w:color="auto" w:fill="FFFFFF"/>
          <w:lang w:val="en-CA"/>
        </w:rPr>
        <w:t xml:space="preserve"> interesting.</w:t>
      </w:r>
      <w:r w:rsidR="0096102C" w:rsidRPr="00BA1219">
        <w:rPr>
          <w:shd w:val="clear" w:color="auto" w:fill="FFFFFF"/>
          <w:lang w:val="en-CA"/>
        </w:rPr>
        <w:t xml:space="preserve"> </w:t>
      </w:r>
      <w:r w:rsidRPr="00BA1219">
        <w:rPr>
          <w:shd w:val="clear" w:color="auto" w:fill="FFFFFF"/>
          <w:lang w:val="en-CA"/>
        </w:rPr>
        <w:t xml:space="preserve">They were sending us a message when they </w:t>
      </w:r>
      <w:r w:rsidR="00672EEB" w:rsidRPr="00BA1219">
        <w:rPr>
          <w:shd w:val="clear" w:color="auto" w:fill="FFFFFF"/>
          <w:lang w:val="en-CA"/>
        </w:rPr>
        <w:t>said,</w:t>
      </w:r>
      <w:r w:rsidR="00672EEB">
        <w:rPr>
          <w:shd w:val="clear" w:color="auto" w:fill="FFFFFF"/>
          <w:lang w:val="en-CA"/>
        </w:rPr>
        <w:t xml:space="preserve"> </w:t>
      </w:r>
      <w:r w:rsidR="00672EEB" w:rsidRPr="00BA1219">
        <w:rPr>
          <w:shd w:val="clear" w:color="auto" w:fill="FFFFFF"/>
          <w:lang w:val="en-CA"/>
        </w:rPr>
        <w:t>Listen</w:t>
      </w:r>
      <w:r w:rsidRPr="00BA1219">
        <w:rPr>
          <w:shd w:val="clear" w:color="auto" w:fill="FFFFFF"/>
          <w:lang w:val="en-CA"/>
        </w:rPr>
        <w:t>, we have the impression that our community is literally crumbling and we believe that this would enable us to maintain a sufficiently large core to ensure the continuity of our culture and our presence in this region, for example.</w:t>
      </w:r>
      <w:r w:rsidR="0096102C" w:rsidRPr="00BA1219">
        <w:rPr>
          <w:shd w:val="clear" w:color="auto" w:fill="FFFFFF"/>
          <w:lang w:val="en-CA"/>
        </w:rPr>
        <w:t xml:space="preserve"> </w:t>
      </w:r>
      <w:r w:rsidRPr="006B7726">
        <w:rPr>
          <w:shd w:val="clear" w:color="auto" w:fill="FFFFFF"/>
          <w:lang w:val="en-CA"/>
        </w:rPr>
        <w:t>So, the second objective.</w:t>
      </w:r>
    </w:p>
    <w:p w14:paraId="7443F398" w14:textId="71B37C29" w:rsidR="00C9493F" w:rsidRPr="006B7726" w:rsidRDefault="00016F28" w:rsidP="00187157">
      <w:pPr>
        <w:pStyle w:val="Paragrdouble"/>
        <w:spacing w:line="240" w:lineRule="auto"/>
        <w:rPr>
          <w:lang w:val="en-CA"/>
        </w:rPr>
      </w:pPr>
      <w:r w:rsidRPr="006B7726">
        <w:rPr>
          <w:lang w:val="en-CA"/>
        </w:rPr>
        <w:t>A few months later, she repeated:</w:t>
      </w:r>
      <w:r w:rsidRPr="006B7726">
        <w:rPr>
          <w:rStyle w:val="Appelnotedebasdep"/>
          <w:lang w:val="en-CA"/>
        </w:rPr>
        <w:t xml:space="preserve"> </w:t>
      </w:r>
      <w:r w:rsidRPr="006B7726">
        <w:rPr>
          <w:rStyle w:val="Appelnotedebasdep"/>
          <w:lang w:val="en-CA"/>
        </w:rPr>
        <w:footnoteReference w:id="91"/>
      </w:r>
    </w:p>
    <w:p w14:paraId="7C70CDD0" w14:textId="4A53021F" w:rsidR="00016F28" w:rsidRPr="00BA1219" w:rsidRDefault="00016F28" w:rsidP="00A572BB">
      <w:pPr>
        <w:pStyle w:val="Paragrdouble"/>
        <w:numPr>
          <w:ilvl w:val="0"/>
          <w:numId w:val="0"/>
        </w:numPr>
        <w:spacing w:line="240" w:lineRule="auto"/>
        <w:ind w:left="731"/>
        <w:rPr>
          <w:sz w:val="22"/>
          <w:szCs w:val="22"/>
          <w:shd w:val="clear" w:color="auto" w:fill="FFFFFF"/>
          <w:lang w:val="en-CA"/>
        </w:rPr>
      </w:pPr>
      <w:r w:rsidRPr="00BA1219">
        <w:rPr>
          <w:rFonts w:cs="Arial"/>
          <w:sz w:val="22"/>
          <w:szCs w:val="22"/>
          <w:shd w:val="clear" w:color="auto" w:fill="FFFFFF"/>
          <w:lang w:val="en-CA"/>
        </w:rPr>
        <w:t>[</w:t>
      </w:r>
      <w:r w:rsidRPr="00BA1219">
        <w:rPr>
          <w:smallCaps/>
          <w:sz w:val="22"/>
          <w:szCs w:val="22"/>
          <w:shd w:val="clear" w:color="auto" w:fill="FFFFFF"/>
          <w:lang w:val="en-CA"/>
        </w:rPr>
        <w:t>translation</w:t>
      </w:r>
      <w:r w:rsidRPr="00BA1219">
        <w:rPr>
          <w:rFonts w:cs="Arial"/>
          <w:sz w:val="22"/>
          <w:szCs w:val="22"/>
          <w:shd w:val="clear" w:color="auto" w:fill="FFFFFF"/>
          <w:lang w:val="en-CA"/>
        </w:rPr>
        <w:t>]</w:t>
      </w:r>
    </w:p>
    <w:p w14:paraId="6DE4FE29" w14:textId="0DAF31A0" w:rsidR="00A572BB" w:rsidRPr="00BA1219" w:rsidRDefault="00016F28" w:rsidP="00A572BB">
      <w:pPr>
        <w:pStyle w:val="Paragrdouble"/>
        <w:numPr>
          <w:ilvl w:val="0"/>
          <w:numId w:val="0"/>
        </w:numPr>
        <w:spacing w:line="240" w:lineRule="auto"/>
        <w:ind w:left="731"/>
        <w:rPr>
          <w:sz w:val="22"/>
          <w:szCs w:val="22"/>
          <w:shd w:val="clear" w:color="auto" w:fill="FFFFFF"/>
          <w:lang w:val="en-CA"/>
        </w:rPr>
      </w:pPr>
      <w:r w:rsidRPr="00BA1219">
        <w:rPr>
          <w:sz w:val="22"/>
          <w:szCs w:val="22"/>
          <w:shd w:val="clear" w:color="auto" w:fill="FFFFFF"/>
          <w:lang w:val="en-CA"/>
        </w:rPr>
        <w:t xml:space="preserve">The second basis for this policy, </w:t>
      </w:r>
      <w:r w:rsidRPr="00BA1219">
        <w:rPr>
          <w:sz w:val="22"/>
          <w:szCs w:val="22"/>
          <w:u w:val="single"/>
          <w:shd w:val="clear" w:color="auto" w:fill="FFFFFF"/>
          <w:lang w:val="en-CA"/>
        </w:rPr>
        <w:t xml:space="preserve">is to allow the English-speaking community to manage its institutions, to be responsible for its entire school system, which is recognized by the </w:t>
      </w:r>
      <w:r w:rsidRPr="00BA1219">
        <w:rPr>
          <w:i/>
          <w:sz w:val="22"/>
          <w:szCs w:val="22"/>
          <w:u w:val="single"/>
          <w:shd w:val="clear" w:color="auto" w:fill="FFFFFF"/>
          <w:lang w:val="en-CA"/>
        </w:rPr>
        <w:t>Charter</w:t>
      </w:r>
      <w:r w:rsidRPr="00BA1219">
        <w:rPr>
          <w:sz w:val="22"/>
          <w:szCs w:val="22"/>
          <w:shd w:val="clear" w:color="auto" w:fill="FFFFFF"/>
          <w:lang w:val="en-CA"/>
        </w:rPr>
        <w:t>, which we are willing to grant, using the quickest method, that is, an amendment, this motion proposed by my colleague,</w:t>
      </w:r>
      <w:r w:rsidR="00672EEB">
        <w:rPr>
          <w:sz w:val="22"/>
          <w:szCs w:val="22"/>
          <w:shd w:val="clear" w:color="auto" w:fill="FFFFFF"/>
          <w:lang w:val="en-CA"/>
        </w:rPr>
        <w:t xml:space="preserve"> </w:t>
      </w:r>
      <w:r w:rsidRPr="00BA1219">
        <w:rPr>
          <w:sz w:val="22"/>
          <w:szCs w:val="22"/>
          <w:shd w:val="clear" w:color="auto" w:fill="FFFFFF"/>
          <w:lang w:val="en-CA"/>
        </w:rPr>
        <w:t>the Minister responsible for Canadian Intergovernmental Affairs.</w:t>
      </w:r>
      <w:r w:rsidR="0096102C" w:rsidRPr="00BA1219">
        <w:rPr>
          <w:sz w:val="22"/>
          <w:szCs w:val="22"/>
          <w:shd w:val="clear" w:color="auto" w:fill="FFFFFF"/>
          <w:lang w:val="en-CA"/>
        </w:rPr>
        <w:t xml:space="preserve"> </w:t>
      </w:r>
      <w:r w:rsidRPr="00BA1219">
        <w:rPr>
          <w:sz w:val="22"/>
          <w:szCs w:val="22"/>
          <w:shd w:val="clear" w:color="auto" w:fill="FFFFFF"/>
          <w:lang w:val="en-CA"/>
        </w:rPr>
        <w:t>So in that way, that is the basis for our desire to amend section 93.</w:t>
      </w:r>
      <w:r w:rsidR="0096102C" w:rsidRPr="00BA1219">
        <w:rPr>
          <w:sz w:val="22"/>
          <w:szCs w:val="22"/>
          <w:shd w:val="clear" w:color="auto" w:fill="FFFFFF"/>
          <w:lang w:val="en-CA"/>
        </w:rPr>
        <w:t> </w:t>
      </w:r>
    </w:p>
    <w:p w14:paraId="04F75320" w14:textId="5BCD3F0B" w:rsidR="00A572BB" w:rsidRPr="006B7726" w:rsidRDefault="00F8060B" w:rsidP="00B114F1">
      <w:pPr>
        <w:pStyle w:val="Paragrdouble"/>
        <w:numPr>
          <w:ilvl w:val="0"/>
          <w:numId w:val="0"/>
        </w:numPr>
        <w:spacing w:line="240" w:lineRule="auto"/>
        <w:jc w:val="right"/>
        <w:rPr>
          <w:lang w:val="en-CA"/>
        </w:rPr>
      </w:pPr>
      <w:r w:rsidRPr="006B7726">
        <w:rPr>
          <w:lang w:val="en-CA"/>
        </w:rPr>
        <w:t>[Emphasis added.]</w:t>
      </w:r>
    </w:p>
    <w:p w14:paraId="1F3C9937" w14:textId="55C10627" w:rsidR="006B185D" w:rsidRPr="00BA1219" w:rsidRDefault="00016F28" w:rsidP="00EC16D5">
      <w:pPr>
        <w:pStyle w:val="Paragrsimple"/>
        <w:rPr>
          <w:lang w:val="en-CA"/>
        </w:rPr>
      </w:pPr>
      <w:r w:rsidRPr="00BA1219">
        <w:rPr>
          <w:lang w:val="en-CA"/>
        </w:rPr>
        <w:t>The text of the National Assembly’s propos</w:t>
      </w:r>
      <w:r w:rsidR="0024728D" w:rsidRPr="00BA1219">
        <w:rPr>
          <w:lang w:val="en-CA"/>
        </w:rPr>
        <w:t>al</w:t>
      </w:r>
      <w:r w:rsidRPr="00BA1219">
        <w:rPr>
          <w:lang w:val="en-CA"/>
        </w:rPr>
        <w:t>, which includes the amendment filed by the Liberal opposition to add the second paragraph, read a</w:t>
      </w:r>
      <w:r w:rsidR="00672EEB">
        <w:rPr>
          <w:lang w:val="en-CA"/>
        </w:rPr>
        <w:t>s</w:t>
      </w:r>
      <w:r w:rsidRPr="00BA1219">
        <w:rPr>
          <w:lang w:val="en-CA"/>
        </w:rPr>
        <w:t xml:space="preserve"> follows:</w:t>
      </w:r>
    </w:p>
    <w:p w14:paraId="72CE9B5C" w14:textId="3CC74BC5" w:rsidR="006B185D" w:rsidRPr="00BA1219" w:rsidRDefault="00016F28" w:rsidP="00B114F1">
      <w:pPr>
        <w:pStyle w:val="Citation"/>
        <w:rPr>
          <w:shd w:val="clear" w:color="auto" w:fill="FFFFFF"/>
          <w:lang w:val="en-CA"/>
        </w:rPr>
      </w:pPr>
      <w:r w:rsidRPr="00BA1219">
        <w:rPr>
          <w:shd w:val="clear" w:color="auto" w:fill="FFFFFF"/>
          <w:lang w:val="en-CA"/>
        </w:rPr>
        <w:t>WHEREAS the Government intends to institute linguistic school boards as soon as possible;</w:t>
      </w:r>
    </w:p>
    <w:p w14:paraId="7B2B0417" w14:textId="150F7D00" w:rsidR="006B185D" w:rsidRPr="00BA1219" w:rsidRDefault="00016F28" w:rsidP="00B114F1">
      <w:pPr>
        <w:pStyle w:val="Citation"/>
        <w:rPr>
          <w:shd w:val="clear" w:color="auto" w:fill="FFFFFF"/>
          <w:lang w:val="en-CA"/>
        </w:rPr>
      </w:pPr>
      <w:r w:rsidRPr="006B7726">
        <w:rPr>
          <w:shd w:val="clear" w:color="auto" w:fill="FFFFFF"/>
          <w:lang w:val="en-CA"/>
        </w:rPr>
        <w:lastRenderedPageBreak/>
        <w:t xml:space="preserve">WHEREAS in so doing the National Assembly of Québec reaffirms the established rights of the English-speaking community of Québec. </w:t>
      </w:r>
      <w:r w:rsidRPr="00BA1219">
        <w:rPr>
          <w:shd w:val="clear" w:color="auto" w:fill="FFFFFF"/>
          <w:lang w:val="en-CA"/>
        </w:rPr>
        <w:t xml:space="preserve">More specifically, whereas Quebeckers </w:t>
      </w:r>
      <w:r w:rsidRPr="00BA1219">
        <w:rPr>
          <w:u w:val="single"/>
          <w:shd w:val="clear" w:color="auto" w:fill="FFFFFF"/>
          <w:lang w:val="en-CA"/>
        </w:rPr>
        <w:t>whose children are admissible</w:t>
      </w:r>
      <w:r w:rsidRPr="00BA1219">
        <w:rPr>
          <w:shd w:val="clear" w:color="auto" w:fill="FFFFFF"/>
          <w:lang w:val="en-CA"/>
        </w:rPr>
        <w:t xml:space="preserve"> in accordance with Chapter VIII of the </w:t>
      </w:r>
      <w:r w:rsidRPr="00BA1219">
        <w:rPr>
          <w:i/>
          <w:shd w:val="clear" w:color="auto" w:fill="FFFFFF"/>
          <w:lang w:val="en-CA"/>
        </w:rPr>
        <w:t>Charter of the French Language</w:t>
      </w:r>
      <w:r w:rsidRPr="00BA1219">
        <w:rPr>
          <w:shd w:val="clear" w:color="auto" w:fill="FFFFFF"/>
          <w:lang w:val="en-CA"/>
        </w:rPr>
        <w:t xml:space="preserve"> </w:t>
      </w:r>
      <w:r w:rsidRPr="00BA1219">
        <w:rPr>
          <w:u w:val="single"/>
          <w:shd w:val="clear" w:color="auto" w:fill="FFFFFF"/>
          <w:lang w:val="en-CA"/>
        </w:rPr>
        <w:t>have the right to have them receive their instruction in English language educational facilities under the management and control of this community</w:t>
      </w:r>
      <w:r w:rsidRPr="00BA1219">
        <w:rPr>
          <w:shd w:val="clear" w:color="auto" w:fill="FFFFFF"/>
          <w:lang w:val="en-CA"/>
        </w:rPr>
        <w:t>, as provided by law, and which are financed through public funds;</w:t>
      </w:r>
    </w:p>
    <w:p w14:paraId="3C48E74F" w14:textId="6BCC9840" w:rsidR="006B185D" w:rsidRPr="00BA1219" w:rsidRDefault="00016F28" w:rsidP="00B114F1">
      <w:pPr>
        <w:pStyle w:val="Citation"/>
        <w:rPr>
          <w:shd w:val="clear" w:color="auto" w:fill="FFFFFF"/>
          <w:lang w:val="en-CA"/>
        </w:rPr>
      </w:pPr>
      <w:r w:rsidRPr="00BA1219">
        <w:rPr>
          <w:shd w:val="clear" w:color="auto" w:fill="FFFFFF"/>
          <w:lang w:val="en-CA"/>
        </w:rPr>
        <w:t>WHEREAS it is desirable, for that purpose, to amend the Constitution Act, 1967, so that Québec may recover its full capacity to act in matters of education;</w:t>
      </w:r>
    </w:p>
    <w:p w14:paraId="53DE8C67" w14:textId="0E3B337B" w:rsidR="006B185D" w:rsidRPr="00BA1219" w:rsidRDefault="00016F28" w:rsidP="00B114F1">
      <w:pPr>
        <w:pStyle w:val="Citation"/>
        <w:rPr>
          <w:shd w:val="clear" w:color="auto" w:fill="FFFFFF"/>
          <w:lang w:val="en-CA"/>
        </w:rPr>
      </w:pPr>
      <w:r w:rsidRPr="00BA1219">
        <w:rPr>
          <w:shd w:val="clear" w:color="auto" w:fill="FFFFFF"/>
          <w:lang w:val="en-CA"/>
        </w:rPr>
        <w:t xml:space="preserve">WHEREAS such amendment in no way </w:t>
      </w:r>
      <w:r w:rsidR="00324A15" w:rsidRPr="00BA1219">
        <w:rPr>
          <w:shd w:val="clear" w:color="auto" w:fill="FFFFFF"/>
          <w:lang w:val="en-CA"/>
        </w:rPr>
        <w:t>constitutes</w:t>
      </w:r>
      <w:r w:rsidRPr="00BA1219">
        <w:rPr>
          <w:shd w:val="clear" w:color="auto" w:fill="FFFFFF"/>
          <w:lang w:val="en-CA"/>
        </w:rPr>
        <w:t xml:space="preserve"> recognition by the National Assembly of the </w:t>
      </w:r>
      <w:r w:rsidRPr="00BA1219">
        <w:rPr>
          <w:i/>
          <w:shd w:val="clear" w:color="auto" w:fill="FFFFFF"/>
          <w:lang w:val="en-CA"/>
        </w:rPr>
        <w:t>Constitution Act, 1982</w:t>
      </w:r>
      <w:r w:rsidRPr="00BA1219">
        <w:rPr>
          <w:shd w:val="clear" w:color="auto" w:fill="FFFFFF"/>
          <w:lang w:val="en-CA"/>
        </w:rPr>
        <w:t>, which was adopted without its consent;</w:t>
      </w:r>
    </w:p>
    <w:p w14:paraId="1BBD28EE" w14:textId="0B6519D7" w:rsidR="006B185D" w:rsidRPr="00BA1219" w:rsidRDefault="00016F28" w:rsidP="00B114F1">
      <w:pPr>
        <w:pStyle w:val="Citation"/>
        <w:rPr>
          <w:shd w:val="clear" w:color="auto" w:fill="FFFFFF"/>
          <w:lang w:val="en-CA"/>
        </w:rPr>
      </w:pPr>
      <w:r w:rsidRPr="00BA1219">
        <w:rPr>
          <w:shd w:val="clear" w:color="auto" w:fill="FFFFFF"/>
          <w:lang w:val="en-CA"/>
        </w:rPr>
        <w:t>WHEREAS undertakings were given by the Federal Government to proceed rapidly with such amendment, though bilateral action and with the agreement of the National Assembly and of the Federal Parliament;</w:t>
      </w:r>
    </w:p>
    <w:p w14:paraId="01A275E9" w14:textId="5C230AA9" w:rsidR="00016F28" w:rsidRPr="00BA1219" w:rsidRDefault="00016F28" w:rsidP="00016F28">
      <w:pPr>
        <w:pStyle w:val="NormalWeb"/>
        <w:shd w:val="clear" w:color="auto" w:fill="FFFFFF"/>
        <w:spacing w:before="0" w:beforeAutospacing="0" w:after="150" w:afterAutospacing="0"/>
        <w:jc w:val="center"/>
        <w:rPr>
          <w:rFonts w:ascii="Roboto" w:hAnsi="Roboto"/>
          <w:color w:val="333333"/>
          <w:sz w:val="21"/>
          <w:szCs w:val="21"/>
          <w:lang w:val="en-CA"/>
        </w:rPr>
      </w:pPr>
      <w:r w:rsidRPr="00BA1219">
        <w:rPr>
          <w:rFonts w:ascii="Roboto" w:hAnsi="Roboto"/>
          <w:b/>
          <w:bCs/>
          <w:color w:val="333333"/>
          <w:sz w:val="21"/>
          <w:szCs w:val="21"/>
          <w:lang w:val="en-CA"/>
        </w:rPr>
        <w:t>THEREFORE, BE IT RESOLVED</w:t>
      </w:r>
    </w:p>
    <w:p w14:paraId="50920A4A" w14:textId="77777777" w:rsidR="00016F28" w:rsidRPr="00BA1219" w:rsidRDefault="00016F28" w:rsidP="00016F28">
      <w:pPr>
        <w:shd w:val="clear" w:color="auto" w:fill="FFFFFF"/>
        <w:spacing w:after="150"/>
        <w:ind w:left="851" w:right="857"/>
        <w:rPr>
          <w:sz w:val="22"/>
          <w:szCs w:val="22"/>
          <w:shd w:val="clear" w:color="auto" w:fill="FFFFFF"/>
          <w:lang w:val="en-CA"/>
        </w:rPr>
      </w:pPr>
      <w:r w:rsidRPr="00BA1219">
        <w:rPr>
          <w:sz w:val="22"/>
          <w:szCs w:val="22"/>
          <w:shd w:val="clear" w:color="auto" w:fill="FFFFFF"/>
          <w:lang w:val="en-CA"/>
        </w:rPr>
        <w:t>THAT the National Assembly authorizes the amendment to the Constitution of Canada by proclamation of His Excellency the Governor General under the Great Seal of Canada, in accordance with the following text:</w:t>
      </w:r>
    </w:p>
    <w:p w14:paraId="0DA19DE4" w14:textId="2ED9AEFC" w:rsidR="00016F28" w:rsidRPr="00612F60" w:rsidRDefault="00016F28" w:rsidP="00016F28">
      <w:pPr>
        <w:shd w:val="clear" w:color="auto" w:fill="FFFFFF"/>
        <w:spacing w:after="150"/>
        <w:ind w:left="731"/>
        <w:rPr>
          <w:rFonts w:cs="Arial"/>
          <w:color w:val="333333"/>
          <w:sz w:val="21"/>
          <w:szCs w:val="21"/>
          <w:lang w:val="en-CA" w:eastAsia="fr-CA"/>
        </w:rPr>
      </w:pPr>
      <w:r w:rsidRPr="00612F60">
        <w:rPr>
          <w:rFonts w:cs="Arial"/>
          <w:b/>
          <w:bCs/>
          <w:color w:val="333333"/>
          <w:sz w:val="21"/>
          <w:szCs w:val="21"/>
          <w:lang w:val="en-CA" w:eastAsia="fr-CA"/>
        </w:rPr>
        <w:t>CONSTITUTION</w:t>
      </w:r>
      <w:r w:rsidR="00612F60" w:rsidRPr="00612F60">
        <w:rPr>
          <w:rFonts w:cs="Arial"/>
          <w:b/>
          <w:bCs/>
          <w:color w:val="333333"/>
          <w:sz w:val="21"/>
          <w:szCs w:val="21"/>
          <w:lang w:val="en-CA" w:eastAsia="fr-CA"/>
        </w:rPr>
        <w:t>AL</w:t>
      </w:r>
      <w:r w:rsidRPr="00612F60">
        <w:rPr>
          <w:rFonts w:cs="Arial"/>
          <w:b/>
          <w:bCs/>
          <w:color w:val="333333"/>
          <w:sz w:val="21"/>
          <w:szCs w:val="21"/>
          <w:lang w:val="en-CA" w:eastAsia="fr-CA"/>
        </w:rPr>
        <w:t xml:space="preserve"> AMENDMENT TO THE CONSTITUTION OF CANADA ACT, 1867</w:t>
      </w:r>
    </w:p>
    <w:p w14:paraId="14FBDFD4" w14:textId="4C7E6E90" w:rsidR="006B185D" w:rsidRPr="00612F60" w:rsidRDefault="00016F28" w:rsidP="00016F28">
      <w:pPr>
        <w:numPr>
          <w:ilvl w:val="0"/>
          <w:numId w:val="21"/>
        </w:numPr>
        <w:shd w:val="clear" w:color="auto" w:fill="FFFFFF"/>
        <w:tabs>
          <w:tab w:val="clear" w:pos="720"/>
        </w:tabs>
        <w:spacing w:before="100" w:beforeAutospacing="1" w:after="100" w:afterAutospacing="1"/>
        <w:ind w:left="1560" w:right="715" w:hanging="284"/>
        <w:rPr>
          <w:rFonts w:cs="Arial"/>
          <w:color w:val="333333"/>
          <w:sz w:val="21"/>
          <w:szCs w:val="21"/>
          <w:lang w:val="en-CA" w:eastAsia="fr-CA"/>
        </w:rPr>
      </w:pPr>
      <w:r w:rsidRPr="00612F60">
        <w:rPr>
          <w:rFonts w:cs="Arial"/>
          <w:color w:val="333333"/>
          <w:sz w:val="21"/>
          <w:szCs w:val="21"/>
          <w:lang w:val="en-CA" w:eastAsia="fr-CA"/>
        </w:rPr>
        <w:t>The Constitution Act, 1867, is amended by adding, immediately after section 93, the following:</w:t>
      </w:r>
      <w:r w:rsidR="00324A15" w:rsidRPr="00612F60">
        <w:rPr>
          <w:rFonts w:cs="Arial"/>
          <w:color w:val="333333"/>
          <w:sz w:val="21"/>
          <w:szCs w:val="21"/>
          <w:lang w:val="en-CA" w:eastAsia="fr-CA"/>
        </w:rPr>
        <w:t xml:space="preserve"> </w:t>
      </w:r>
      <w:r w:rsidRPr="00612F60">
        <w:rPr>
          <w:rFonts w:cs="Arial"/>
          <w:color w:val="333333"/>
          <w:sz w:val="21"/>
          <w:szCs w:val="21"/>
          <w:lang w:val="en-CA" w:eastAsia="fr-CA"/>
        </w:rPr>
        <w:t>"93A. Paragraphs (1) to (4) of section 93 do not apply to Québec".</w:t>
      </w:r>
    </w:p>
    <w:p w14:paraId="1DC680BD" w14:textId="0A243068" w:rsidR="008D33A4" w:rsidRPr="006B7726" w:rsidRDefault="0096102C" w:rsidP="00B114F1">
      <w:pPr>
        <w:rPr>
          <w:lang w:val="en-CA"/>
        </w:rPr>
      </w:pPr>
      <w:r w:rsidRPr="00612F60">
        <w:rPr>
          <w:rFonts w:cs="Arial"/>
          <w:lang w:val="en-CA"/>
        </w:rPr>
        <w:tab/>
      </w:r>
      <w:r w:rsidRPr="00612F60">
        <w:rPr>
          <w:rFonts w:cs="Arial"/>
          <w:lang w:val="en-CA"/>
        </w:rPr>
        <w:tab/>
      </w:r>
      <w:r w:rsidRPr="00612F60">
        <w:rPr>
          <w:rFonts w:cs="Arial"/>
          <w:lang w:val="en-CA"/>
        </w:rPr>
        <w:tab/>
      </w:r>
      <w:r w:rsidRPr="00BA1219">
        <w:rPr>
          <w:lang w:val="en-CA"/>
        </w:rPr>
        <w:tab/>
      </w:r>
      <w:r w:rsidRPr="00BA1219">
        <w:rPr>
          <w:lang w:val="en-CA"/>
        </w:rPr>
        <w:tab/>
      </w:r>
      <w:r w:rsidRPr="00BA1219">
        <w:rPr>
          <w:lang w:val="en-CA"/>
        </w:rPr>
        <w:tab/>
      </w:r>
      <w:r w:rsidRPr="00BA1219">
        <w:rPr>
          <w:lang w:val="en-CA"/>
        </w:rPr>
        <w:tab/>
      </w:r>
      <w:r w:rsidR="00016F28" w:rsidRPr="00BA1219">
        <w:rPr>
          <w:lang w:val="en-CA"/>
        </w:rPr>
        <w:t xml:space="preserve">  </w:t>
      </w:r>
      <w:r w:rsidRPr="00BA1219">
        <w:rPr>
          <w:lang w:val="en-CA"/>
        </w:rPr>
        <w:tab/>
      </w:r>
      <w:r w:rsidR="00016F28" w:rsidRPr="00BA1219">
        <w:rPr>
          <w:lang w:val="en-CA"/>
        </w:rPr>
        <w:t xml:space="preserve">           </w:t>
      </w:r>
      <w:r w:rsidR="00F8060B" w:rsidRPr="006B7726">
        <w:rPr>
          <w:lang w:val="en-CA"/>
        </w:rPr>
        <w:t>[Emphasis added.]</w:t>
      </w:r>
    </w:p>
    <w:p w14:paraId="63459964" w14:textId="7E81B3D7" w:rsidR="006B185D" w:rsidRPr="00BA1219" w:rsidRDefault="0024728D" w:rsidP="00EB6383">
      <w:pPr>
        <w:pStyle w:val="Paragrsimple"/>
        <w:rPr>
          <w:lang w:val="en-CA"/>
        </w:rPr>
      </w:pPr>
      <w:r w:rsidRPr="00BA1219">
        <w:rPr>
          <w:lang w:val="en-CA"/>
        </w:rPr>
        <w:t xml:space="preserve">Quebec’s </w:t>
      </w:r>
      <w:r w:rsidR="00E2385D">
        <w:rPr>
          <w:lang w:val="en-CA"/>
        </w:rPr>
        <w:t>proposal</w:t>
      </w:r>
      <w:r w:rsidR="00E2385D" w:rsidRPr="00BA1219">
        <w:rPr>
          <w:lang w:val="en-CA"/>
        </w:rPr>
        <w:t xml:space="preserve"> </w:t>
      </w:r>
      <w:r w:rsidRPr="00BA1219">
        <w:rPr>
          <w:lang w:val="en-CA"/>
        </w:rPr>
        <w:t>was adopted unanimously, then submitted to Parliament.</w:t>
      </w:r>
      <w:r w:rsidR="0096102C" w:rsidRPr="00BA1219">
        <w:rPr>
          <w:lang w:val="en-CA"/>
        </w:rPr>
        <w:t xml:space="preserve"> </w:t>
      </w:r>
      <w:r w:rsidR="001E6D42">
        <w:rPr>
          <w:iCs/>
          <w:szCs w:val="24"/>
          <w:lang w:val="en-CA"/>
        </w:rPr>
        <w:t>Appearing</w:t>
      </w:r>
      <w:r w:rsidRPr="00BA1219">
        <w:rPr>
          <w:iCs/>
          <w:szCs w:val="24"/>
          <w:lang w:val="en-CA"/>
        </w:rPr>
        <w:t xml:space="preserve"> before the Special Joint Committee to amend section 93 of the </w:t>
      </w:r>
      <w:r w:rsidRPr="00BA1219">
        <w:rPr>
          <w:i/>
          <w:iCs/>
          <w:szCs w:val="24"/>
          <w:lang w:val="en-CA"/>
        </w:rPr>
        <w:t>Constitution Act, 1867</w:t>
      </w:r>
      <w:r w:rsidRPr="00BA1219">
        <w:rPr>
          <w:iCs/>
          <w:szCs w:val="24"/>
          <w:lang w:val="en-CA"/>
        </w:rPr>
        <w:t>, concerning the Quebec school system, Ms. Marois reiterated:</w:t>
      </w:r>
      <w:r w:rsidRPr="00BA1219">
        <w:rPr>
          <w:rStyle w:val="Appelnotedebasdep"/>
          <w:iCs/>
          <w:szCs w:val="24"/>
          <w:lang w:val="en-CA"/>
        </w:rPr>
        <w:footnoteReference w:id="92"/>
      </w:r>
    </w:p>
    <w:p w14:paraId="001A7D27" w14:textId="29DD0A3A" w:rsidR="006B185D" w:rsidRPr="00BA1219" w:rsidRDefault="004F63D2" w:rsidP="001D63DA">
      <w:pPr>
        <w:pStyle w:val="Citation"/>
        <w:rPr>
          <w:shd w:val="clear" w:color="auto" w:fill="FFFFFF"/>
          <w:lang w:val="en-CA"/>
        </w:rPr>
      </w:pPr>
      <w:r w:rsidRPr="004F63D2">
        <w:rPr>
          <w:shd w:val="clear" w:color="auto" w:fill="FFFFFF"/>
          <w:lang w:val="en-CA"/>
        </w:rPr>
        <w:t xml:space="preserve">The second whereas clause in the resolution, to which the Official Opposition contributed significantly, emphasizes the fact that the National Assembly is reaffirming the established rights of the English-speaking community in Quebec. Although section 93 protects denominational rights and not linguistic rights, and several groups have come here to say so, the National Assembly was nonetheless aware of the need to </w:t>
      </w:r>
      <w:r w:rsidRPr="004F63D2">
        <w:rPr>
          <w:u w:val="single"/>
          <w:shd w:val="clear" w:color="auto" w:fill="FFFFFF"/>
          <w:lang w:val="en-CA"/>
        </w:rPr>
        <w:t>reassure Quebec's English-speaking minority regarding the management of its schools</w:t>
      </w:r>
      <w:r w:rsidRPr="004F63D2">
        <w:rPr>
          <w:shd w:val="clear" w:color="auto" w:fill="FFFFFF"/>
          <w:lang w:val="en-CA"/>
        </w:rPr>
        <w:t>.</w:t>
      </w:r>
    </w:p>
    <w:p w14:paraId="13400342" w14:textId="1DFE23C6" w:rsidR="008D33A4" w:rsidRPr="006B7726" w:rsidRDefault="0096102C" w:rsidP="00B114F1">
      <w:pPr>
        <w:rPr>
          <w:lang w:val="en-CA"/>
        </w:rPr>
      </w:pP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t xml:space="preserve">            </w:t>
      </w:r>
      <w:r w:rsidR="00F8060B" w:rsidRPr="006B7726">
        <w:rPr>
          <w:lang w:val="en-CA"/>
        </w:rPr>
        <w:t>[Emphasis added.]</w:t>
      </w:r>
    </w:p>
    <w:p w14:paraId="19C9B666" w14:textId="04A67998" w:rsidR="00EC16D5" w:rsidRPr="00BA1219" w:rsidRDefault="0024728D" w:rsidP="00EB6383">
      <w:pPr>
        <w:pStyle w:val="Paragrsimple"/>
        <w:rPr>
          <w:lang w:val="en-CA"/>
        </w:rPr>
      </w:pPr>
      <w:r w:rsidRPr="00BA1219">
        <w:rPr>
          <w:lang w:val="en-CA"/>
        </w:rPr>
        <w:lastRenderedPageBreak/>
        <w:t xml:space="preserve">The interventions of the federal members of </w:t>
      </w:r>
      <w:r w:rsidR="00612F60">
        <w:rPr>
          <w:lang w:val="en-CA"/>
        </w:rPr>
        <w:t>P</w:t>
      </w:r>
      <w:r w:rsidRPr="00BA1219">
        <w:rPr>
          <w:lang w:val="en-CA"/>
        </w:rPr>
        <w:t>arliament are instructive. First, the close relationship between the English-speaking community and the Protestant confessional school system should be noted. The Minister for Intergovernmental Affairs, Stéphane Dion, made that connection:</w:t>
      </w:r>
      <w:r w:rsidRPr="00BA1219">
        <w:rPr>
          <w:rStyle w:val="Appelnotedebasdep"/>
          <w:lang w:val="en-CA"/>
        </w:rPr>
        <w:footnoteReference w:id="93"/>
      </w:r>
      <w:r w:rsidRPr="00BA1219">
        <w:rPr>
          <w:lang w:val="en-CA"/>
        </w:rPr>
        <w:t> </w:t>
      </w:r>
    </w:p>
    <w:p w14:paraId="6A672A78" w14:textId="694D3764" w:rsidR="00EC16D5" w:rsidRPr="00BA1219" w:rsidRDefault="0024728D" w:rsidP="002B27C2">
      <w:pPr>
        <w:pStyle w:val="Citation"/>
        <w:rPr>
          <w:lang w:val="en-CA" w:eastAsia="fr-CA"/>
        </w:rPr>
      </w:pPr>
      <w:r w:rsidRPr="00BA1219">
        <w:rPr>
          <w:lang w:val="en-CA" w:eastAsia="fr-CA"/>
        </w:rPr>
        <w:t xml:space="preserve">While section 93 does not protect linguistic rights, language and denomination nevertheless have close historical ties. In the past, Quebec's anglophone minority relied heavily on the Protestant school boards to ensure its development. The constitutional amendment proposed today does not run counter to the interests of that community. On the contrary in effect section 23 of the </w:t>
      </w:r>
      <w:r w:rsidRPr="00BA1219">
        <w:rPr>
          <w:i/>
          <w:lang w:val="en-CA" w:eastAsia="fr-CA"/>
        </w:rPr>
        <w:t>Canadian Charter of Rights and Freedoms</w:t>
      </w:r>
      <w:r w:rsidRPr="00BA1219">
        <w:rPr>
          <w:lang w:val="en-CA" w:eastAsia="fr-CA"/>
        </w:rPr>
        <w:t xml:space="preserve"> will continue to provide strong constitutional guarantees to Quebec anglophones.</w:t>
      </w:r>
      <w:r w:rsidR="0096102C" w:rsidRPr="00BA1219">
        <w:rPr>
          <w:lang w:val="en-CA" w:eastAsia="fr-CA"/>
        </w:rPr>
        <w:t xml:space="preserve"> </w:t>
      </w:r>
    </w:p>
    <w:p w14:paraId="12D53191" w14:textId="4FA4DF7B" w:rsidR="00EC16D5" w:rsidRPr="00BA1219" w:rsidRDefault="0024728D" w:rsidP="001D63DA">
      <w:pPr>
        <w:pStyle w:val="Citation"/>
        <w:rPr>
          <w:lang w:val="en-CA" w:eastAsia="fr-CA"/>
        </w:rPr>
      </w:pPr>
      <w:r w:rsidRPr="00BA1219">
        <w:rPr>
          <w:lang w:val="en-CA" w:eastAsia="fr-CA"/>
        </w:rPr>
        <w:t>While section 93 guarantees the existence of denominational management structures in Montreal and Quebec City and the right of dissent in the rest of the province, section 23 allows the minority to control and manage linguistic school structures.</w:t>
      </w:r>
    </w:p>
    <w:p w14:paraId="17DB49EA" w14:textId="3C66A3CD" w:rsidR="00EC16D5" w:rsidRPr="00BA1219" w:rsidRDefault="0024728D" w:rsidP="001D63DA">
      <w:pPr>
        <w:pStyle w:val="Citation"/>
        <w:rPr>
          <w:lang w:val="en-CA" w:eastAsia="fr-CA"/>
        </w:rPr>
      </w:pPr>
      <w:r w:rsidRPr="00BA1219">
        <w:rPr>
          <w:lang w:val="en-CA" w:eastAsia="fr-CA"/>
        </w:rPr>
        <w:t>In addition the establishment of linguistic school boards will allow the anglophone community to consolidate its school population and thus to establish a more solid foundation for its rights under section 23.</w:t>
      </w:r>
    </w:p>
    <w:p w14:paraId="52AF5F5D" w14:textId="05BAF71A" w:rsidR="00EC16D5" w:rsidRPr="006B7726" w:rsidRDefault="0024728D" w:rsidP="005A6BD1">
      <w:pPr>
        <w:pStyle w:val="Paragrsimple"/>
        <w:rPr>
          <w:lang w:val="en-CA"/>
        </w:rPr>
      </w:pPr>
      <w:r w:rsidRPr="006B7726">
        <w:rPr>
          <w:lang w:val="en-CA"/>
        </w:rPr>
        <w:t>On November 17, he repeated:</w:t>
      </w:r>
      <w:r w:rsidRPr="006B7726">
        <w:rPr>
          <w:rStyle w:val="Appelnotedebasdep"/>
          <w:lang w:val="en-CA"/>
        </w:rPr>
        <w:footnoteReference w:id="94"/>
      </w:r>
    </w:p>
    <w:p w14:paraId="2CEA45F5" w14:textId="23C299DF" w:rsidR="00C9493F" w:rsidRPr="00BA1219" w:rsidRDefault="0024728D" w:rsidP="001D63DA">
      <w:pPr>
        <w:pStyle w:val="Citation"/>
        <w:rPr>
          <w:lang w:val="en-CA" w:eastAsia="fr-CA"/>
        </w:rPr>
      </w:pPr>
      <w:r w:rsidRPr="006B7726">
        <w:rPr>
          <w:lang w:val="en-CA" w:eastAsia="fr-CA"/>
        </w:rPr>
        <w:t>12</w:t>
      </w:r>
      <w:r w:rsidR="004F27E8">
        <w:rPr>
          <w:lang w:val="en-CA" w:eastAsia="fr-CA"/>
        </w:rPr>
        <w:t>1</w:t>
      </w:r>
      <w:r w:rsidRPr="006B7726">
        <w:rPr>
          <w:lang w:val="en-CA" w:eastAsia="fr-CA"/>
        </w:rPr>
        <w:t xml:space="preserve">5 In that connection I reiterate that Quebec's anglophone minority, which has traditionally controlled and managed its own school system, thanks to protections granted to Protestants under section 93, can support amending that provision in all confidence. That is because its rights have been better protected since the coming into force of the </w:t>
      </w:r>
      <w:r w:rsidRPr="006C01F8">
        <w:rPr>
          <w:i/>
          <w:iCs/>
          <w:lang w:val="en-CA" w:eastAsia="fr-CA"/>
        </w:rPr>
        <w:t>Constitution Act, 1982,</w:t>
      </w:r>
      <w:r w:rsidRPr="006B7726">
        <w:rPr>
          <w:lang w:val="en-CA" w:eastAsia="fr-CA"/>
        </w:rPr>
        <w:t xml:space="preserve"> specifically section 23 of the </w:t>
      </w:r>
      <w:r w:rsidRPr="006C01F8">
        <w:rPr>
          <w:i/>
          <w:iCs/>
          <w:lang w:val="en-CA" w:eastAsia="fr-CA"/>
        </w:rPr>
        <w:t xml:space="preserve">Canadian </w:t>
      </w:r>
      <w:r w:rsidR="00D33F33" w:rsidRPr="006C01F8">
        <w:rPr>
          <w:i/>
          <w:iCs/>
          <w:lang w:val="en-CA" w:eastAsia="fr-CA"/>
        </w:rPr>
        <w:t>C</w:t>
      </w:r>
      <w:r w:rsidRPr="006C01F8">
        <w:rPr>
          <w:i/>
          <w:iCs/>
          <w:lang w:val="en-CA" w:eastAsia="fr-CA"/>
        </w:rPr>
        <w:t>harter</w:t>
      </w:r>
      <w:r w:rsidRPr="006B7726">
        <w:rPr>
          <w:lang w:val="en-CA" w:eastAsia="fr-CA"/>
        </w:rPr>
        <w:t>.</w:t>
      </w:r>
    </w:p>
    <w:p w14:paraId="328A934F" w14:textId="59E30A3E" w:rsidR="00C9493F" w:rsidRPr="00BA1219" w:rsidRDefault="0024728D" w:rsidP="005A6BD1">
      <w:pPr>
        <w:pStyle w:val="Paragrsimple"/>
        <w:rPr>
          <w:lang w:val="en-CA"/>
        </w:rPr>
      </w:pPr>
      <w:r w:rsidRPr="00BA1219">
        <w:rPr>
          <w:lang w:val="en-CA"/>
        </w:rPr>
        <w:t>Senator John Lynch-Staunton appeared before the Senate and also made the connection between the English-speaking community and the Protestant minority:</w:t>
      </w:r>
      <w:r w:rsidRPr="00BA1219">
        <w:rPr>
          <w:rStyle w:val="Appelnotedebasdep"/>
          <w:lang w:val="en-CA"/>
        </w:rPr>
        <w:t xml:space="preserve"> </w:t>
      </w:r>
      <w:r w:rsidRPr="00BA1219">
        <w:rPr>
          <w:rStyle w:val="Appelnotedebasdep"/>
          <w:lang w:val="en-CA"/>
        </w:rPr>
        <w:footnoteReference w:id="95"/>
      </w:r>
      <w:r w:rsidR="0096102C" w:rsidRPr="00BA1219">
        <w:rPr>
          <w:lang w:val="en-CA"/>
        </w:rPr>
        <w:t xml:space="preserve"> </w:t>
      </w:r>
    </w:p>
    <w:p w14:paraId="0942063C" w14:textId="4A9E1CEC" w:rsidR="00C9493F" w:rsidRPr="00BA1219" w:rsidRDefault="0024728D" w:rsidP="001D63DA">
      <w:pPr>
        <w:pStyle w:val="Citation"/>
        <w:rPr>
          <w:lang w:val="en-CA" w:eastAsia="fr-CA"/>
        </w:rPr>
      </w:pPr>
      <w:r w:rsidRPr="00BA1219">
        <w:rPr>
          <w:lang w:val="en-CA" w:eastAsia="fr-CA"/>
        </w:rPr>
        <w:t>While section 93 guarantees are only a matter of religious denominations, the essential characteristics of the resulting Quebec school system have, nonetheless, been linguistic. One does not speak often of going to a Catholic or Protestant school any more. One usually speaks of going to a French or an English school. It was inevitable, then, that the committee would be drawn into a debate on how the amendment of section 93 might affect linguistic rights, particularly those claimed by the minority.</w:t>
      </w:r>
      <w:r w:rsidR="0096102C" w:rsidRPr="00BA1219">
        <w:rPr>
          <w:lang w:val="en-CA" w:eastAsia="fr-CA"/>
        </w:rPr>
        <w:t xml:space="preserve"> </w:t>
      </w:r>
    </w:p>
    <w:p w14:paraId="44F5D8AE" w14:textId="040F5D4C" w:rsidR="00362A4C" w:rsidRPr="00BA1219" w:rsidRDefault="0096102C" w:rsidP="005A6BD1">
      <w:pPr>
        <w:pStyle w:val="Paragrsimple"/>
        <w:rPr>
          <w:lang w:val="en-CA"/>
        </w:rPr>
      </w:pPr>
      <w:r w:rsidRPr="00BA1219">
        <w:rPr>
          <w:lang w:val="en-CA"/>
        </w:rPr>
        <w:lastRenderedPageBreak/>
        <w:t xml:space="preserve">Bloc </w:t>
      </w:r>
      <w:r w:rsidR="008E5F08" w:rsidRPr="00BA1219">
        <w:rPr>
          <w:lang w:val="en-CA"/>
        </w:rPr>
        <w:t>Quebe</w:t>
      </w:r>
      <w:r w:rsidRPr="00BA1219">
        <w:rPr>
          <w:lang w:val="en-CA"/>
        </w:rPr>
        <w:t>cois</w:t>
      </w:r>
      <w:r w:rsidR="008E5F08" w:rsidRPr="00BA1219">
        <w:rPr>
          <w:lang w:val="en-CA"/>
        </w:rPr>
        <w:t xml:space="preserve"> member </w:t>
      </w:r>
      <w:r w:rsidRPr="00BA1219">
        <w:rPr>
          <w:lang w:val="en-CA"/>
        </w:rPr>
        <w:t xml:space="preserve">Réal Ménard </w:t>
      </w:r>
      <w:r w:rsidR="008E5F08" w:rsidRPr="00BA1219">
        <w:rPr>
          <w:lang w:val="en-CA"/>
        </w:rPr>
        <w:t>expressed his support for the project in the following terms</w:t>
      </w:r>
      <w:r w:rsidRPr="00BA1219">
        <w:rPr>
          <w:lang w:val="en-CA"/>
        </w:rPr>
        <w:t xml:space="preserve">, </w:t>
      </w:r>
      <w:r w:rsidR="008E5F08" w:rsidRPr="00BA1219">
        <w:rPr>
          <w:lang w:val="en-CA"/>
        </w:rPr>
        <w:t xml:space="preserve">while </w:t>
      </w:r>
      <w:r w:rsidR="004D3566">
        <w:rPr>
          <w:lang w:val="en-CA"/>
        </w:rPr>
        <w:t xml:space="preserve">emphasizing the agreement of </w:t>
      </w:r>
      <w:r w:rsidR="008E5F08" w:rsidRPr="00BA1219">
        <w:rPr>
          <w:lang w:val="en-CA"/>
        </w:rPr>
        <w:t>the English-speaking community:</w:t>
      </w:r>
      <w:r w:rsidRPr="00BA1219">
        <w:rPr>
          <w:rStyle w:val="Appelnotedebasdep"/>
          <w:lang w:val="en-CA"/>
        </w:rPr>
        <w:footnoteReference w:id="96"/>
      </w:r>
      <w:r w:rsidRPr="00BA1219">
        <w:rPr>
          <w:lang w:val="en-CA"/>
        </w:rPr>
        <w:t> </w:t>
      </w:r>
    </w:p>
    <w:p w14:paraId="26865D7C" w14:textId="5CBB553C" w:rsidR="00362A4C" w:rsidRPr="00BA1219" w:rsidRDefault="00FD5397" w:rsidP="001D63DA">
      <w:pPr>
        <w:pStyle w:val="Citation"/>
        <w:rPr>
          <w:lang w:val="en-CA" w:eastAsia="fr-CA"/>
        </w:rPr>
      </w:pPr>
      <w:r w:rsidRPr="00BA1219">
        <w:rPr>
          <w:lang w:val="en-CA" w:eastAsia="fr-CA"/>
        </w:rPr>
        <w:t xml:space="preserve">We therefore recognize—and I am pleased that the Leader of the Opposition has read the National Assembly motion—that the anglophone community, or the English speaking community as they chose to put it, is entitled to its educational structures, to schooling from kindergarten to the university level, according to a criterion found in article 73 of the </w:t>
      </w:r>
      <w:r w:rsidRPr="006C01F8">
        <w:rPr>
          <w:i/>
          <w:iCs/>
          <w:lang w:val="en-CA" w:eastAsia="fr-CA"/>
        </w:rPr>
        <w:t>Charter of the French Language</w:t>
      </w:r>
      <w:r w:rsidRPr="00BA1219">
        <w:rPr>
          <w:lang w:val="en-CA" w:eastAsia="fr-CA"/>
        </w:rPr>
        <w:t>. No one is challenging this. Moreover, generally speaking, I do not believe I am mistaken in thinking that the anglophone community, via a number of spokespersons, has been rather favourable to the point that, when it comes down to it, what it will get from the linguistic school boards is an enhanced control over its institutions. That is what it will mean to the anglophone community.</w:t>
      </w:r>
    </w:p>
    <w:p w14:paraId="0BBD2276" w14:textId="3FD74A61" w:rsidR="00362A4C" w:rsidRPr="00BA1219" w:rsidRDefault="008E5F08" w:rsidP="005A6BD1">
      <w:pPr>
        <w:pStyle w:val="Paragrsimple"/>
        <w:rPr>
          <w:lang w:val="en-CA"/>
        </w:rPr>
      </w:pPr>
      <w:r w:rsidRPr="006B7726">
        <w:rPr>
          <w:lang w:val="en-CA"/>
        </w:rPr>
        <w:t xml:space="preserve">He repeated </w:t>
      </w:r>
      <w:r w:rsidR="00DA582C">
        <w:rPr>
          <w:lang w:val="en-CA"/>
        </w:rPr>
        <w:t>these</w:t>
      </w:r>
      <w:r w:rsidRPr="006B7726">
        <w:rPr>
          <w:lang w:val="en-CA"/>
        </w:rPr>
        <w:t xml:space="preserve"> remarks on November</w:t>
      </w:r>
      <w:r w:rsidR="0096102C" w:rsidRPr="006B7726">
        <w:rPr>
          <w:lang w:val="en-CA"/>
        </w:rPr>
        <w:t xml:space="preserve"> 17</w:t>
      </w:r>
      <w:r w:rsidR="009953D7" w:rsidRPr="006B7726">
        <w:rPr>
          <w:lang w:val="en-CA"/>
        </w:rPr>
        <w:t>,</w:t>
      </w:r>
      <w:r w:rsidR="0096102C" w:rsidRPr="006B7726">
        <w:rPr>
          <w:lang w:val="en-CA"/>
        </w:rPr>
        <w:t xml:space="preserve"> 1997</w:t>
      </w:r>
      <w:r w:rsidR="009953D7" w:rsidRPr="00BA1219">
        <w:rPr>
          <w:lang w:val="en-CA"/>
        </w:rPr>
        <w:t>:</w:t>
      </w:r>
      <w:r w:rsidR="0096102C" w:rsidRPr="00BA1219">
        <w:rPr>
          <w:rStyle w:val="Appelnotedebasdep"/>
          <w:lang w:val="en-CA"/>
        </w:rPr>
        <w:footnoteReference w:id="97"/>
      </w:r>
      <w:r w:rsidR="0096102C" w:rsidRPr="006B7726">
        <w:rPr>
          <w:lang w:val="en-CA"/>
        </w:rPr>
        <w:t> </w:t>
      </w:r>
    </w:p>
    <w:p w14:paraId="71DFB61F" w14:textId="051CA129" w:rsidR="00362A4C" w:rsidRPr="00653FC6" w:rsidRDefault="00093450" w:rsidP="001D63DA">
      <w:pPr>
        <w:pStyle w:val="Citation"/>
        <w:rPr>
          <w:rFonts w:cs="Arial"/>
          <w:lang w:val="en-CA" w:eastAsia="fr-CA"/>
        </w:rPr>
      </w:pPr>
      <w:r w:rsidRPr="00653FC6">
        <w:rPr>
          <w:rFonts w:cs="Arial"/>
          <w:shd w:val="clear" w:color="auto" w:fill="FFFFFF"/>
          <w:lang w:val="en-CA"/>
        </w:rPr>
        <w:t>It comes as no surprise—and it must be pointed out—that, generally speaking, the English speaking community strongly supports the amendment, for two reasons. First, because it provides increased access for that community and, from a management perspective, it means more control than the English speaking community currently has.</w:t>
      </w:r>
    </w:p>
    <w:p w14:paraId="2E5AB860" w14:textId="34061F52" w:rsidR="00362A4C" w:rsidRPr="006C01F8" w:rsidRDefault="0096102C" w:rsidP="001D63DA">
      <w:pPr>
        <w:pStyle w:val="Paragrsimple"/>
        <w:rPr>
          <w:lang w:val="en-CA"/>
        </w:rPr>
      </w:pPr>
      <w:r w:rsidRPr="006C01F8">
        <w:rPr>
          <w:lang w:val="en-CA"/>
        </w:rPr>
        <w:t>M</w:t>
      </w:r>
      <w:r w:rsidR="00693087" w:rsidRPr="006C01F8">
        <w:rPr>
          <w:lang w:val="en-CA"/>
        </w:rPr>
        <w:t>r</w:t>
      </w:r>
      <w:r w:rsidRPr="006C01F8">
        <w:rPr>
          <w:lang w:val="en-CA"/>
        </w:rPr>
        <w:t xml:space="preserve">. Dion </w:t>
      </w:r>
      <w:r w:rsidR="00D33F33" w:rsidRPr="006C01F8">
        <w:rPr>
          <w:lang w:val="en-CA"/>
        </w:rPr>
        <w:t>echoed his remarks when he testified before the Sen</w:t>
      </w:r>
      <w:r w:rsidR="00D33F33">
        <w:rPr>
          <w:lang w:val="en-CA"/>
        </w:rPr>
        <w:t>ate:</w:t>
      </w:r>
      <w:r w:rsidRPr="00BA1219">
        <w:rPr>
          <w:rStyle w:val="Appelnotedebasdep"/>
          <w:lang w:val="en-CA"/>
        </w:rPr>
        <w:footnoteReference w:id="98"/>
      </w:r>
    </w:p>
    <w:p w14:paraId="111DD1C5" w14:textId="3D9D9E9D" w:rsidR="00042EC2" w:rsidRPr="00BA1219" w:rsidRDefault="007F4BF9" w:rsidP="00EC7EFF">
      <w:pPr>
        <w:pStyle w:val="Citation"/>
        <w:keepNext/>
        <w:ind w:left="862" w:right="862"/>
        <w:rPr>
          <w:lang w:val="en-CA" w:eastAsia="fr-CA"/>
        </w:rPr>
      </w:pPr>
      <w:r w:rsidRPr="00BA1219">
        <w:rPr>
          <w:rFonts w:cs="Arial"/>
          <w:smallCaps/>
          <w:lang w:val="en-CA" w:eastAsia="fr-CA"/>
        </w:rPr>
        <w:t>[</w:t>
      </w:r>
      <w:r w:rsidR="00042EC2" w:rsidRPr="00BA1219">
        <w:rPr>
          <w:smallCaps/>
          <w:lang w:val="en-CA" w:eastAsia="fr-CA"/>
        </w:rPr>
        <w:t>translation</w:t>
      </w:r>
      <w:r w:rsidRPr="00BA1219">
        <w:rPr>
          <w:rFonts w:cs="Arial"/>
          <w:smallCaps/>
          <w:lang w:val="en-CA" w:eastAsia="fr-CA"/>
        </w:rPr>
        <w:t>]</w:t>
      </w:r>
    </w:p>
    <w:p w14:paraId="6960111E" w14:textId="05A474B4" w:rsidR="00362A4C" w:rsidRPr="00BA1219" w:rsidRDefault="003762E3" w:rsidP="00EC7EFF">
      <w:pPr>
        <w:pStyle w:val="Citation"/>
        <w:keepNext/>
        <w:ind w:left="862" w:right="862"/>
        <w:rPr>
          <w:lang w:val="en-CA" w:eastAsia="fr-CA"/>
        </w:rPr>
      </w:pPr>
      <w:r w:rsidRPr="00BA1219">
        <w:rPr>
          <w:lang w:val="en-CA" w:eastAsia="fr-CA"/>
        </w:rPr>
        <w:t>Constitutions exist in order to protect a certain number of rights, but also to enable a society to evolve. In the case at hand, there is very clear Protestant support, but not unanimous support. If you seek unanimity, there will never be any changes made, whether in legislation, regulations or the Constitution. I cannot tell you that the francophone Protestants are in favour of the amendment. I do know that there is reasonable support among Protestants, anglophones, francophones, and Catholics. There are certainly some elements of society that are not in agreement. Overall, however, there is a strong consensus in favour of this change in Quebec.</w:t>
      </w:r>
    </w:p>
    <w:p w14:paraId="257D885D" w14:textId="1D36477E" w:rsidR="00362A4C" w:rsidRPr="00BA1219" w:rsidRDefault="00EA15A2" w:rsidP="00EA15A2">
      <w:pPr>
        <w:pStyle w:val="Paragrsimple"/>
        <w:rPr>
          <w:lang w:val="en-CA"/>
        </w:rPr>
      </w:pPr>
      <w:r w:rsidRPr="00BA1219">
        <w:rPr>
          <w:lang w:val="en-CA"/>
        </w:rPr>
        <w:t xml:space="preserve">Several </w:t>
      </w:r>
      <w:r w:rsidR="00653FC6">
        <w:rPr>
          <w:lang w:val="en-CA"/>
        </w:rPr>
        <w:t>s</w:t>
      </w:r>
      <w:r w:rsidRPr="00BA1219">
        <w:rPr>
          <w:lang w:val="en-CA"/>
        </w:rPr>
        <w:t>enators referred to the consensus that exist</w:t>
      </w:r>
      <w:r w:rsidR="00D33F33">
        <w:rPr>
          <w:lang w:val="en-CA"/>
        </w:rPr>
        <w:t>ed</w:t>
      </w:r>
      <w:r w:rsidRPr="00BA1219">
        <w:rPr>
          <w:lang w:val="en-CA"/>
        </w:rPr>
        <w:t xml:space="preserve"> on the need and desirability of the proposed constitutional change.</w:t>
      </w:r>
      <w:r w:rsidR="0096102C" w:rsidRPr="00BA1219">
        <w:rPr>
          <w:rStyle w:val="Appelnotedebasdep"/>
          <w:lang w:val="en-CA"/>
        </w:rPr>
        <w:footnoteReference w:id="99"/>
      </w:r>
    </w:p>
    <w:p w14:paraId="4513542B" w14:textId="77777777" w:rsidR="006F4882" w:rsidRPr="006B7726" w:rsidRDefault="006E184B" w:rsidP="006E184B">
      <w:pPr>
        <w:pStyle w:val="Paragrsimple"/>
        <w:rPr>
          <w:lang w:val="en-CA"/>
        </w:rPr>
      </w:pPr>
      <w:r w:rsidRPr="006B7726">
        <w:rPr>
          <w:lang w:val="en-CA"/>
        </w:rPr>
        <w:t>The resolution adopted by Parliament reads as follows:</w:t>
      </w:r>
    </w:p>
    <w:p w14:paraId="375A2354" w14:textId="14AB0322" w:rsidR="006E184B" w:rsidRPr="00BA1219" w:rsidRDefault="006E184B" w:rsidP="006C01F8">
      <w:pPr>
        <w:pStyle w:val="Paragrsimple"/>
        <w:keepNext/>
        <w:numPr>
          <w:ilvl w:val="0"/>
          <w:numId w:val="0"/>
        </w:numPr>
        <w:ind w:firstLine="731"/>
        <w:rPr>
          <w:sz w:val="22"/>
          <w:szCs w:val="22"/>
          <w:lang w:val="en-CA"/>
        </w:rPr>
      </w:pPr>
      <w:r w:rsidRPr="00BA1219">
        <w:rPr>
          <w:rFonts w:cs="Arial"/>
          <w:sz w:val="22"/>
          <w:szCs w:val="22"/>
          <w:lang w:val="en-CA" w:eastAsia="fr-CA"/>
        </w:rPr>
        <w:lastRenderedPageBreak/>
        <w:t xml:space="preserve">  [</w:t>
      </w:r>
      <w:r w:rsidRPr="00BA1219">
        <w:rPr>
          <w:smallCaps/>
          <w:sz w:val="22"/>
          <w:szCs w:val="22"/>
          <w:lang w:val="en-CA" w:eastAsia="fr-CA"/>
        </w:rPr>
        <w:t>translation</w:t>
      </w:r>
      <w:r w:rsidRPr="00BA1219">
        <w:rPr>
          <w:rFonts w:cs="Arial"/>
          <w:sz w:val="22"/>
          <w:szCs w:val="22"/>
          <w:lang w:val="en-CA" w:eastAsia="fr-CA"/>
        </w:rPr>
        <w:t>]</w:t>
      </w:r>
    </w:p>
    <w:p w14:paraId="488C0840" w14:textId="14DB1288" w:rsidR="0071635E" w:rsidRPr="006B7726" w:rsidRDefault="006E184B" w:rsidP="006C01F8">
      <w:pPr>
        <w:pStyle w:val="Citation"/>
        <w:keepNext/>
        <w:jc w:val="left"/>
        <w:rPr>
          <w:lang w:val="en-CA" w:eastAsia="fr-CA"/>
        </w:rPr>
      </w:pPr>
      <w:r w:rsidRPr="006B7726">
        <w:rPr>
          <w:lang w:val="en-CA" w:eastAsia="fr-CA"/>
        </w:rPr>
        <w:t>WHEREAS the Government of Quebec has indicated that it intends to establish French and English linguistic school boards in Quebec;</w:t>
      </w:r>
      <w:r w:rsidRPr="006B7726">
        <w:rPr>
          <w:lang w:val="en-CA" w:eastAsia="fr-CA"/>
        </w:rPr>
        <w:br/>
      </w:r>
      <w:r w:rsidRPr="006B7726">
        <w:rPr>
          <w:lang w:val="en-CA" w:eastAsia="fr-CA"/>
        </w:rPr>
        <w:br/>
        <w:t>AND WHEREAS the National Assembly of Quebec has passed a resolution authorizing an amendment to the Constitution of Canada;</w:t>
      </w:r>
      <w:r w:rsidRPr="006B7726">
        <w:rPr>
          <w:lang w:val="en-CA" w:eastAsia="fr-CA"/>
        </w:rPr>
        <w:br/>
      </w:r>
      <w:r w:rsidRPr="006B7726">
        <w:rPr>
          <w:lang w:val="en-CA" w:eastAsia="fr-CA"/>
        </w:rPr>
        <w:br/>
        <w:t>AND WHEREAS the National Assembly of Quebec has reaffirmed the established rights of the English-speaking community of Quebec, specifically the right, in accordance with the law of Quebec, of members of that community to have their children receive their instruction in English language educational facilities that are under the management and control of that community and are financed through public funds;</w:t>
      </w:r>
      <w:r w:rsidRPr="006B7726">
        <w:rPr>
          <w:lang w:val="en-CA" w:eastAsia="fr-CA"/>
        </w:rPr>
        <w:br/>
      </w:r>
      <w:r w:rsidRPr="006B7726">
        <w:rPr>
          <w:lang w:val="en-CA" w:eastAsia="fr-CA"/>
        </w:rPr>
        <w:br/>
        <w:t>AND WHEREAS section 23 of the Canadian Charter of Rights and Freedoms guarantees to citizens throughout Canada rights to minority language instruction and minority language educational facilities under the management and control of linguistic minorities and provided out of public funds;</w:t>
      </w:r>
      <w:r w:rsidRPr="006B7726">
        <w:rPr>
          <w:lang w:val="en-CA" w:eastAsia="fr-CA"/>
        </w:rPr>
        <w:br/>
      </w:r>
      <w:r w:rsidRPr="006B7726">
        <w:rPr>
          <w:lang w:val="en-CA" w:eastAsia="fr-CA"/>
        </w:rPr>
        <w:br/>
        <w:t>AND WHEREAS section 43 of the Constitution Act, 1982 provides that an amendment to the Constitution of Canada may be made by proclamation issued by the Governor General under the Great Seal of Canada where so authorized by resolutions of the Senate and House of Commons and of the legislative assembly of each province to which the amendment applies;</w:t>
      </w:r>
      <w:r w:rsidRPr="006B7726">
        <w:rPr>
          <w:lang w:val="en-CA" w:eastAsia="fr-CA"/>
        </w:rPr>
        <w:br/>
      </w:r>
      <w:r w:rsidRPr="006B7726">
        <w:rPr>
          <w:lang w:val="en-CA" w:eastAsia="fr-CA"/>
        </w:rPr>
        <w:br/>
        <w:t>NOW THEREFORE the House of Commons resolves that an amendment to the Constitution of Canada be authorized to be made by proclamation issued by His Excellency the Governor General under the Great Seal of Canada in accordance with the schedule hereto.</w:t>
      </w:r>
      <w:r w:rsidRPr="006B7726">
        <w:rPr>
          <w:lang w:val="en-CA" w:eastAsia="fr-CA"/>
        </w:rPr>
        <w:br/>
      </w:r>
      <w:r w:rsidRPr="006B7726">
        <w:rPr>
          <w:lang w:val="en-CA" w:eastAsia="fr-CA"/>
        </w:rPr>
        <w:br/>
        <w:t>SCHEDULE</w:t>
      </w:r>
      <w:r w:rsidRPr="006B7726">
        <w:rPr>
          <w:lang w:val="en-CA" w:eastAsia="fr-CA"/>
        </w:rPr>
        <w:br/>
      </w:r>
      <w:r w:rsidRPr="006B7726">
        <w:rPr>
          <w:lang w:val="en-CA" w:eastAsia="fr-CA"/>
        </w:rPr>
        <w:br/>
        <w:t>AMENDMENT TO THE CONSTITUTION OF CANADA</w:t>
      </w:r>
      <w:r w:rsidRPr="006B7726">
        <w:rPr>
          <w:lang w:val="en-CA" w:eastAsia="fr-CA"/>
        </w:rPr>
        <w:br/>
        <w:t>CONSTITUTION ACT, 1867.</w:t>
      </w:r>
      <w:r w:rsidRPr="006B7726">
        <w:rPr>
          <w:lang w:val="en-CA" w:eastAsia="fr-CA"/>
        </w:rPr>
        <w:br/>
      </w:r>
      <w:r w:rsidRPr="006B7726">
        <w:rPr>
          <w:lang w:val="en-CA" w:eastAsia="fr-CA"/>
        </w:rPr>
        <w:br/>
        <w:t>1. The Constitution Act, 1867, is amended by adding, immediately after section 93, the following:</w:t>
      </w:r>
      <w:r w:rsidRPr="006B7726">
        <w:rPr>
          <w:lang w:val="en-CA" w:eastAsia="fr-CA"/>
        </w:rPr>
        <w:br/>
      </w:r>
      <w:r w:rsidRPr="006B7726">
        <w:rPr>
          <w:lang w:val="en-CA" w:eastAsia="fr-CA"/>
        </w:rPr>
        <w:br/>
        <w:t>“93A. Paragraphs (1) to (4) of section 93 do not apply to Quebec.”</w:t>
      </w:r>
      <w:r w:rsidRPr="006B7726">
        <w:rPr>
          <w:lang w:val="en-CA" w:eastAsia="fr-CA"/>
        </w:rPr>
        <w:br/>
      </w:r>
      <w:r w:rsidRPr="006B7726">
        <w:rPr>
          <w:lang w:val="en-CA" w:eastAsia="fr-CA"/>
        </w:rPr>
        <w:br/>
        <w:t>CITATION</w:t>
      </w:r>
      <w:r w:rsidRPr="006B7726">
        <w:rPr>
          <w:lang w:val="en-CA" w:eastAsia="fr-CA"/>
        </w:rPr>
        <w:br/>
      </w:r>
      <w:r w:rsidRPr="006B7726">
        <w:rPr>
          <w:lang w:val="en-CA" w:eastAsia="fr-CA"/>
        </w:rPr>
        <w:br/>
        <w:t>2. This Amendment may be cited as the Constitution Amendment, year of proclamation (Quebec)</w:t>
      </w:r>
      <w:r w:rsidR="00083258">
        <w:rPr>
          <w:lang w:val="en-CA" w:eastAsia="fr-CA"/>
        </w:rPr>
        <w:t>.</w:t>
      </w:r>
      <w:r w:rsidR="0096102C" w:rsidRPr="006B7726">
        <w:rPr>
          <w:lang w:val="en-CA" w:eastAsia="fr-CA"/>
        </w:rPr>
        <w:t xml:space="preserve"> </w:t>
      </w:r>
    </w:p>
    <w:p w14:paraId="707A530A" w14:textId="1FD0A27E" w:rsidR="006E184B" w:rsidRPr="00BA1219" w:rsidRDefault="006E184B" w:rsidP="006E184B">
      <w:pPr>
        <w:rPr>
          <w:lang w:val="en-CA" w:eastAsia="fr-CA"/>
        </w:rPr>
      </w:pPr>
    </w:p>
    <w:p w14:paraId="3F25629B" w14:textId="3B01D7C5" w:rsidR="0071635E" w:rsidRPr="00BA1219" w:rsidRDefault="007B7032" w:rsidP="001D63DA">
      <w:pPr>
        <w:pStyle w:val="Paragrsimple"/>
        <w:rPr>
          <w:lang w:val="en-CA"/>
        </w:rPr>
      </w:pPr>
      <w:r w:rsidRPr="00BA1219">
        <w:rPr>
          <w:lang w:val="en-CA"/>
        </w:rPr>
        <w:lastRenderedPageBreak/>
        <w:t xml:space="preserve"> </w:t>
      </w:r>
      <w:r w:rsidR="00083258">
        <w:rPr>
          <w:lang w:val="en-CA"/>
        </w:rPr>
        <w:t>The</w:t>
      </w:r>
      <w:r w:rsidR="00083258" w:rsidRPr="00BA1219">
        <w:rPr>
          <w:lang w:val="en-CA"/>
        </w:rPr>
        <w:t xml:space="preserve"> </w:t>
      </w:r>
      <w:r w:rsidRPr="00BA1219">
        <w:rPr>
          <w:lang w:val="en-CA"/>
        </w:rPr>
        <w:t xml:space="preserve">resolution was adopted </w:t>
      </w:r>
      <w:r w:rsidR="004750AA">
        <w:rPr>
          <w:lang w:val="en-CA"/>
        </w:rPr>
        <w:t xml:space="preserve">in the House of Commons </w:t>
      </w:r>
      <w:r w:rsidRPr="00BA1219">
        <w:rPr>
          <w:lang w:val="en-CA"/>
        </w:rPr>
        <w:t xml:space="preserve">by a vote of 204 members </w:t>
      </w:r>
      <w:r w:rsidR="004750AA">
        <w:rPr>
          <w:lang w:val="en-CA"/>
        </w:rPr>
        <w:t xml:space="preserve">to </w:t>
      </w:r>
      <w:r w:rsidRPr="00BA1219">
        <w:rPr>
          <w:lang w:val="en-CA"/>
        </w:rPr>
        <w:t>59</w:t>
      </w:r>
      <w:r w:rsidR="004750AA">
        <w:rPr>
          <w:lang w:val="en-CA"/>
        </w:rPr>
        <w:t>,</w:t>
      </w:r>
      <w:r w:rsidRPr="00BA1219">
        <w:rPr>
          <w:lang w:val="en-CA"/>
        </w:rPr>
        <w:t xml:space="preserve"> and </w:t>
      </w:r>
      <w:r w:rsidR="00653FC6">
        <w:rPr>
          <w:lang w:val="en-CA"/>
        </w:rPr>
        <w:t xml:space="preserve">in the Senate </w:t>
      </w:r>
      <w:r w:rsidRPr="00BA1219">
        <w:rPr>
          <w:lang w:val="en-CA"/>
        </w:rPr>
        <w:t xml:space="preserve">on December 15, 1997, </w:t>
      </w:r>
      <w:r w:rsidR="00653FC6">
        <w:rPr>
          <w:lang w:val="en-CA"/>
        </w:rPr>
        <w:t xml:space="preserve">by </w:t>
      </w:r>
      <w:r w:rsidRPr="00BA1219">
        <w:rPr>
          <w:lang w:val="en-CA"/>
        </w:rPr>
        <w:t xml:space="preserve">a vote of 51 senators </w:t>
      </w:r>
      <w:r w:rsidR="004750AA">
        <w:rPr>
          <w:lang w:val="en-CA"/>
        </w:rPr>
        <w:t>to</w:t>
      </w:r>
      <w:r w:rsidR="004750AA" w:rsidRPr="00BA1219">
        <w:rPr>
          <w:lang w:val="en-CA"/>
        </w:rPr>
        <w:t xml:space="preserve"> </w:t>
      </w:r>
      <w:r w:rsidRPr="00BA1219">
        <w:rPr>
          <w:lang w:val="en-CA"/>
        </w:rPr>
        <w:t>17, with 2 abstentions</w:t>
      </w:r>
      <w:r w:rsidR="00B35687">
        <w:rPr>
          <w:lang w:val="en-CA"/>
        </w:rPr>
        <w:t>.</w:t>
      </w:r>
      <w:r w:rsidR="003B1382" w:rsidRPr="00BA1219">
        <w:rPr>
          <w:lang w:val="en-CA"/>
        </w:rPr>
        <w:t xml:space="preserve"> </w:t>
      </w:r>
      <w:r w:rsidRPr="00BA1219">
        <w:rPr>
          <w:lang w:val="en-CA"/>
        </w:rPr>
        <w:t>Only one member from Quebec voted against the resolution.</w:t>
      </w:r>
      <w:r w:rsidR="003B1382" w:rsidRPr="00BA1219">
        <w:rPr>
          <w:lang w:val="en-CA"/>
        </w:rPr>
        <w:t xml:space="preserve"> </w:t>
      </w:r>
    </w:p>
    <w:p w14:paraId="1844A89B" w14:textId="6A2DE45A" w:rsidR="008F419A" w:rsidRPr="00BA1219" w:rsidRDefault="007B7032" w:rsidP="008F419A">
      <w:pPr>
        <w:pStyle w:val="Paragrsimple"/>
        <w:rPr>
          <w:lang w:val="en-CA"/>
        </w:rPr>
      </w:pPr>
      <w:r w:rsidRPr="00BA1219">
        <w:rPr>
          <w:lang w:val="en-CA"/>
        </w:rPr>
        <w:t xml:space="preserve">On June 19, 1997, the National Assembly adopted the </w:t>
      </w:r>
      <w:r w:rsidRPr="00BA1219">
        <w:rPr>
          <w:i/>
          <w:lang w:val="en-CA"/>
        </w:rPr>
        <w:t>Act to amend the Education Act, the Act respecting school elections and other legislative provisions</w:t>
      </w:r>
      <w:r w:rsidRPr="00BA1219">
        <w:rPr>
          <w:lang w:val="en-CA"/>
        </w:rPr>
        <w:t>,</w:t>
      </w:r>
      <w:r w:rsidRPr="00BA1219">
        <w:rPr>
          <w:rStyle w:val="Appelnotedebasdep"/>
          <w:lang w:val="en-CA"/>
        </w:rPr>
        <w:footnoteReference w:id="100"/>
      </w:r>
      <w:r w:rsidR="004750AA">
        <w:rPr>
          <w:lang w:val="en-CA"/>
        </w:rPr>
        <w:t xml:space="preserve"> </w:t>
      </w:r>
      <w:r w:rsidRPr="00BA1219">
        <w:rPr>
          <w:lang w:val="en-CA"/>
        </w:rPr>
        <w:t>which officially implemented the linguistic school boards.</w:t>
      </w:r>
      <w:r w:rsidR="0096102C" w:rsidRPr="00BA1219">
        <w:rPr>
          <w:lang w:val="en-CA"/>
        </w:rPr>
        <w:t xml:space="preserve"> </w:t>
      </w:r>
      <w:r w:rsidRPr="006B7726">
        <w:rPr>
          <w:lang w:val="en-CA"/>
        </w:rPr>
        <w:t>It came into force on July 1, 1998.</w:t>
      </w:r>
      <w:r w:rsidR="0096102C" w:rsidRPr="00BA1219">
        <w:rPr>
          <w:lang w:val="en-CA"/>
        </w:rPr>
        <w:t xml:space="preserve">  </w:t>
      </w:r>
    </w:p>
    <w:p w14:paraId="1D05030D" w14:textId="5AD6CB86" w:rsidR="00411F83" w:rsidRPr="006B7726" w:rsidRDefault="007B7032" w:rsidP="00411F83">
      <w:pPr>
        <w:pStyle w:val="Paragrsimple"/>
        <w:rPr>
          <w:lang w:val="en-CA"/>
        </w:rPr>
      </w:pPr>
      <w:r w:rsidRPr="006B7726">
        <w:rPr>
          <w:lang w:val="en-CA"/>
        </w:rPr>
        <w:t xml:space="preserve">On December 19, 1997, it adopted the </w:t>
      </w:r>
      <w:r w:rsidRPr="006B7726">
        <w:rPr>
          <w:i/>
          <w:lang w:val="en-CA"/>
        </w:rPr>
        <w:t>Act to amend the Education Act and various legislative provisions</w:t>
      </w:r>
      <w:r w:rsidRPr="006B7726">
        <w:rPr>
          <w:lang w:val="en-CA"/>
        </w:rPr>
        <w:t>.</w:t>
      </w:r>
      <w:r w:rsidRPr="006B7726">
        <w:rPr>
          <w:rStyle w:val="Appelnotedebasdep"/>
          <w:lang w:val="en-CA"/>
        </w:rPr>
        <w:footnoteReference w:id="101"/>
      </w:r>
    </w:p>
    <w:p w14:paraId="6452BACC" w14:textId="350650E9" w:rsidR="00411F83" w:rsidRPr="00BA1219" w:rsidRDefault="004750AA" w:rsidP="00411F83">
      <w:pPr>
        <w:pStyle w:val="Paragrdouble"/>
        <w:spacing w:line="240" w:lineRule="auto"/>
        <w:rPr>
          <w:lang w:val="en-CA"/>
        </w:rPr>
      </w:pPr>
      <w:r>
        <w:rPr>
          <w:lang w:val="en-CA"/>
        </w:rPr>
        <w:t>The latter</w:t>
      </w:r>
      <w:r w:rsidRPr="00BA1219">
        <w:rPr>
          <w:lang w:val="en-CA"/>
        </w:rPr>
        <w:t xml:space="preserve"> </w:t>
      </w:r>
      <w:r w:rsidR="00555D7D">
        <w:rPr>
          <w:iCs/>
          <w:lang w:val="en-CA"/>
        </w:rPr>
        <w:t>statute</w:t>
      </w:r>
      <w:r w:rsidR="00AB2EBD" w:rsidRPr="00BA1219">
        <w:rPr>
          <w:i/>
          <w:lang w:val="en-CA"/>
        </w:rPr>
        <w:t xml:space="preserve"> </w:t>
      </w:r>
      <w:r w:rsidR="00AB2EBD" w:rsidRPr="00BA1219">
        <w:rPr>
          <w:lang w:val="en-CA"/>
        </w:rPr>
        <w:t>decentralized</w:t>
      </w:r>
      <w:r w:rsidR="007B7032" w:rsidRPr="00BA1219">
        <w:rPr>
          <w:lang w:val="en-CA"/>
        </w:rPr>
        <w:t xml:space="preserve"> the roles and responsibilities exercised up until then by intermediate bodies and transferred them to local authorities, thereby seeking to address the criticism that the school system was overly centralized, rigid, and inefficient.</w:t>
      </w:r>
      <w:r w:rsidR="0096102C" w:rsidRPr="00BA1219">
        <w:rPr>
          <w:lang w:val="en-CA"/>
        </w:rPr>
        <w:t xml:space="preserve"> </w:t>
      </w:r>
      <w:r w:rsidR="007B7032" w:rsidRPr="00BA1219">
        <w:rPr>
          <w:lang w:val="en-CA"/>
        </w:rPr>
        <w:t xml:space="preserve">Its purpose was to increase the autonomy of </w:t>
      </w:r>
      <w:r w:rsidR="00C32D80" w:rsidRPr="00BA1219">
        <w:rPr>
          <w:lang w:val="en-CA"/>
        </w:rPr>
        <w:t>educational institutions</w:t>
      </w:r>
      <w:r w:rsidR="007B7032" w:rsidRPr="00BA1219">
        <w:rPr>
          <w:lang w:val="en-CA"/>
        </w:rPr>
        <w:t>.</w:t>
      </w:r>
      <w:r w:rsidR="0096102C" w:rsidRPr="00BA1219">
        <w:rPr>
          <w:rStyle w:val="Appelnotedebasdep"/>
          <w:lang w:val="en-CA"/>
        </w:rPr>
        <w:footnoteReference w:id="102"/>
      </w:r>
    </w:p>
    <w:p w14:paraId="54D52356" w14:textId="350240D0" w:rsidR="00411F83" w:rsidRPr="00BA1219" w:rsidRDefault="007B7032" w:rsidP="00411F83">
      <w:pPr>
        <w:pStyle w:val="Paragrdouble"/>
        <w:spacing w:line="240" w:lineRule="auto"/>
        <w:rPr>
          <w:lang w:val="en-CA"/>
        </w:rPr>
      </w:pPr>
      <w:r w:rsidRPr="00BA1219">
        <w:rPr>
          <w:lang w:val="en-CA"/>
        </w:rPr>
        <w:t xml:space="preserve">School boards retained their powers of control and management, </w:t>
      </w:r>
      <w:r w:rsidR="007C2B4A">
        <w:rPr>
          <w:lang w:val="en-CA"/>
        </w:rPr>
        <w:t xml:space="preserve">as well as </w:t>
      </w:r>
      <w:r w:rsidRPr="00BA1219">
        <w:rPr>
          <w:lang w:val="en-CA"/>
        </w:rPr>
        <w:t>their responsibilities in connection with educational servi</w:t>
      </w:r>
      <w:r w:rsidR="00C32D80" w:rsidRPr="00BA1219">
        <w:rPr>
          <w:lang w:val="en-CA"/>
        </w:rPr>
        <w:t>c</w:t>
      </w:r>
      <w:r w:rsidRPr="00BA1219">
        <w:rPr>
          <w:lang w:val="en-CA"/>
        </w:rPr>
        <w:t>es.</w:t>
      </w:r>
      <w:r w:rsidR="0096102C" w:rsidRPr="00BA1219">
        <w:rPr>
          <w:lang w:val="en-CA"/>
        </w:rPr>
        <w:t xml:space="preserve"> </w:t>
      </w:r>
      <w:r w:rsidRPr="00BA1219">
        <w:rPr>
          <w:lang w:val="en-CA"/>
        </w:rPr>
        <w:t>They retained their function</w:t>
      </w:r>
      <w:r w:rsidR="007C2B4A">
        <w:rPr>
          <w:lang w:val="en-CA"/>
        </w:rPr>
        <w:t>s</w:t>
      </w:r>
      <w:r w:rsidRPr="00BA1219">
        <w:rPr>
          <w:lang w:val="en-CA"/>
        </w:rPr>
        <w:t xml:space="preserve"> of organizing educational services, allocating various resources to and supporting the institutions, employing staff, owning the immovables, and </w:t>
      </w:r>
      <w:r w:rsidR="007C2B4A">
        <w:rPr>
          <w:lang w:val="en-CA"/>
        </w:rPr>
        <w:t>appointing</w:t>
      </w:r>
      <w:r w:rsidR="007C2B4A" w:rsidRPr="00BA1219">
        <w:rPr>
          <w:lang w:val="en-CA"/>
        </w:rPr>
        <w:t xml:space="preserve"> </w:t>
      </w:r>
      <w:r w:rsidRPr="00BA1219">
        <w:rPr>
          <w:lang w:val="en-CA"/>
        </w:rPr>
        <w:t>managerial staff for the institutions.</w:t>
      </w:r>
      <w:r w:rsidR="0096102C" w:rsidRPr="00BA1219">
        <w:rPr>
          <w:lang w:val="en-CA"/>
        </w:rPr>
        <w:t xml:space="preserve"> </w:t>
      </w:r>
      <w:r w:rsidR="00C32D80" w:rsidRPr="00BA1219">
        <w:rPr>
          <w:lang w:val="en-CA"/>
        </w:rPr>
        <w:t>Its role as sole intermediary between the Minister and the institutions in the assessment of the system’s programs and functioning was confirmed.</w:t>
      </w:r>
      <w:r w:rsidR="00C32D80" w:rsidRPr="00BA1219">
        <w:rPr>
          <w:rStyle w:val="Appelnotedebasdep"/>
          <w:lang w:val="en-CA"/>
        </w:rPr>
        <w:footnoteReference w:id="103"/>
      </w:r>
    </w:p>
    <w:p w14:paraId="0FB9846B" w14:textId="50BF6114" w:rsidR="00075A58" w:rsidRPr="00BA1219" w:rsidRDefault="00C32D80" w:rsidP="00075A58">
      <w:pPr>
        <w:pStyle w:val="Paragrdouble"/>
        <w:spacing w:line="240" w:lineRule="auto"/>
        <w:rPr>
          <w:lang w:val="en-CA"/>
        </w:rPr>
      </w:pPr>
      <w:r w:rsidRPr="00BA1219">
        <w:rPr>
          <w:lang w:val="en-CA"/>
        </w:rPr>
        <w:t xml:space="preserve">In the early </w:t>
      </w:r>
      <w:r w:rsidR="007C2B4A">
        <w:rPr>
          <w:lang w:val="en-CA"/>
        </w:rPr>
        <w:t>21st</w:t>
      </w:r>
      <w:r w:rsidRPr="00BA1219">
        <w:rPr>
          <w:lang w:val="en-CA"/>
        </w:rPr>
        <w:t xml:space="preserve"> century, the political role of the school boards </w:t>
      </w:r>
      <w:r w:rsidR="00265F38">
        <w:rPr>
          <w:lang w:val="en-CA"/>
        </w:rPr>
        <w:t>was</w:t>
      </w:r>
      <w:r w:rsidR="00265F38" w:rsidRPr="00BA1219">
        <w:rPr>
          <w:lang w:val="en-CA"/>
        </w:rPr>
        <w:t xml:space="preserve"> </w:t>
      </w:r>
      <w:r w:rsidRPr="00BA1219">
        <w:rPr>
          <w:lang w:val="en-CA"/>
        </w:rPr>
        <w:t>contested because of the low participation rate in school board elections in 2003 (8.1% of Francophones and 14.6% of Anglophones) and 2007 (7.2% of Francophones and 16.7% of Anglophones).</w:t>
      </w:r>
      <w:r w:rsidR="0096102C" w:rsidRPr="00BA1219">
        <w:rPr>
          <w:lang w:val="en-CA"/>
        </w:rPr>
        <w:t xml:space="preserve"> </w:t>
      </w:r>
      <w:r w:rsidRPr="00BA1219">
        <w:rPr>
          <w:lang w:val="en-CA"/>
        </w:rPr>
        <w:t>The ADQ proposed that they be abolished.</w:t>
      </w:r>
      <w:r w:rsidR="0096102C" w:rsidRPr="00BA1219">
        <w:rPr>
          <w:lang w:val="en-CA"/>
        </w:rPr>
        <w:t xml:space="preserve"> </w:t>
      </w:r>
      <w:r w:rsidRPr="00BA1219">
        <w:rPr>
          <w:lang w:val="en-CA"/>
        </w:rPr>
        <w:t xml:space="preserve">The Coalition Avenir Québec included </w:t>
      </w:r>
      <w:r w:rsidR="00265F38">
        <w:rPr>
          <w:lang w:val="en-CA"/>
        </w:rPr>
        <w:t>the issue</w:t>
      </w:r>
      <w:r w:rsidR="00265F38" w:rsidRPr="00BA1219">
        <w:rPr>
          <w:lang w:val="en-CA"/>
        </w:rPr>
        <w:t xml:space="preserve"> </w:t>
      </w:r>
      <w:r w:rsidRPr="00BA1219">
        <w:rPr>
          <w:lang w:val="en-CA"/>
        </w:rPr>
        <w:t>in its electoral platform and proposed that the school boards be replaced by a more flexible structure and that their resources be transferred to the educational institutions.</w:t>
      </w:r>
    </w:p>
    <w:p w14:paraId="5B19BF1B" w14:textId="512682BB" w:rsidR="00800B91" w:rsidRPr="00BA1219" w:rsidRDefault="00C32D80" w:rsidP="00075A58">
      <w:pPr>
        <w:pStyle w:val="Paragrdouble"/>
        <w:spacing w:line="240" w:lineRule="auto"/>
        <w:rPr>
          <w:lang w:val="en-CA"/>
        </w:rPr>
      </w:pPr>
      <w:r w:rsidRPr="00BA1219">
        <w:rPr>
          <w:lang w:val="en-CA"/>
        </w:rPr>
        <w:t xml:space="preserve">In 2008, </w:t>
      </w:r>
      <w:r w:rsidR="00653FC6">
        <w:rPr>
          <w:lang w:val="en-CA"/>
        </w:rPr>
        <w:t xml:space="preserve">Minister of Education </w:t>
      </w:r>
      <w:r w:rsidRPr="00BA1219">
        <w:rPr>
          <w:lang w:val="en-CA"/>
        </w:rPr>
        <w:t>Michelle Courchesne convened the Forum on School Board Democracy and Governance.</w:t>
      </w:r>
      <w:r w:rsidRPr="00BA1219">
        <w:rPr>
          <w:rStyle w:val="Appelnotedebasdep"/>
          <w:lang w:val="en-CA"/>
        </w:rPr>
        <w:footnoteReference w:id="104"/>
      </w:r>
      <w:r w:rsidR="0096102C" w:rsidRPr="00BA1219">
        <w:rPr>
          <w:lang w:val="en-CA"/>
        </w:rPr>
        <w:t xml:space="preserve"> </w:t>
      </w:r>
      <w:r w:rsidRPr="00BA1219">
        <w:rPr>
          <w:lang w:val="en-CA"/>
        </w:rPr>
        <w:t xml:space="preserve">She </w:t>
      </w:r>
      <w:r w:rsidR="00653FC6">
        <w:rPr>
          <w:lang w:val="en-CA"/>
        </w:rPr>
        <w:t>over</w:t>
      </w:r>
      <w:r w:rsidR="00265F38">
        <w:rPr>
          <w:lang w:val="en-CA"/>
        </w:rPr>
        <w:t>s</w:t>
      </w:r>
      <w:r w:rsidR="00851803">
        <w:rPr>
          <w:lang w:val="en-CA"/>
        </w:rPr>
        <w:t xml:space="preserve">aw </w:t>
      </w:r>
      <w:r w:rsidR="00265F38">
        <w:rPr>
          <w:lang w:val="en-CA"/>
        </w:rPr>
        <w:t xml:space="preserve">the passing of </w:t>
      </w:r>
      <w:r w:rsidRPr="00BA1219">
        <w:rPr>
          <w:lang w:val="en-CA"/>
        </w:rPr>
        <w:t xml:space="preserve">the </w:t>
      </w:r>
      <w:r w:rsidRPr="00BA1219">
        <w:rPr>
          <w:i/>
          <w:lang w:val="en-CA"/>
        </w:rPr>
        <w:t>Act to amend the Education Act and various legislative provisions</w:t>
      </w:r>
      <w:r w:rsidRPr="00BA1219">
        <w:rPr>
          <w:lang w:val="en-CA"/>
        </w:rPr>
        <w:t>,</w:t>
      </w:r>
      <w:r w:rsidRPr="00BA1219">
        <w:rPr>
          <w:rStyle w:val="Appelnotedebasdep"/>
          <w:lang w:val="en-CA"/>
        </w:rPr>
        <w:footnoteReference w:id="105"/>
      </w:r>
      <w:r w:rsidR="00265F38">
        <w:rPr>
          <w:lang w:val="en-CA"/>
        </w:rPr>
        <w:t xml:space="preserve"> </w:t>
      </w:r>
      <w:r w:rsidRPr="00BA1219">
        <w:rPr>
          <w:lang w:val="en-CA"/>
        </w:rPr>
        <w:t>which reduced the number of commissioners on the council of a school board</w:t>
      </w:r>
      <w:r w:rsidR="00265F38">
        <w:rPr>
          <w:lang w:val="en-CA"/>
        </w:rPr>
        <w:t>,</w:t>
      </w:r>
      <w:r w:rsidRPr="00BA1219">
        <w:rPr>
          <w:lang w:val="en-CA"/>
        </w:rPr>
        <w:t xml:space="preserve"> increased the number of parent representatives and established that the chair would in future be elected by all electors of the school board.</w:t>
      </w:r>
    </w:p>
    <w:p w14:paraId="05C55E88" w14:textId="4E802E68" w:rsidR="00075A58" w:rsidRPr="00BA1219" w:rsidRDefault="00C32D80" w:rsidP="00411F83">
      <w:pPr>
        <w:pStyle w:val="Paragrdouble"/>
        <w:spacing w:line="240" w:lineRule="auto"/>
        <w:rPr>
          <w:lang w:val="en-CA"/>
        </w:rPr>
      </w:pPr>
      <w:r w:rsidRPr="00BA1219">
        <w:rPr>
          <w:lang w:val="en-CA"/>
        </w:rPr>
        <w:t>In 2014, 5</w:t>
      </w:r>
      <w:r w:rsidR="00265F38">
        <w:rPr>
          <w:lang w:val="en-CA"/>
        </w:rPr>
        <w:t>.</w:t>
      </w:r>
      <w:r w:rsidRPr="00BA1219">
        <w:rPr>
          <w:lang w:val="en-CA"/>
        </w:rPr>
        <w:t>35% of Francophones and 18.02% of Anglophones participated in school board elections.</w:t>
      </w:r>
      <w:r w:rsidR="0096102C" w:rsidRPr="00BA1219">
        <w:rPr>
          <w:lang w:val="en-CA"/>
        </w:rPr>
        <w:t xml:space="preserve"> </w:t>
      </w:r>
    </w:p>
    <w:p w14:paraId="7FC83436" w14:textId="1E540975" w:rsidR="00EA6814" w:rsidRPr="00BA1219" w:rsidRDefault="00C32D80" w:rsidP="00411F83">
      <w:pPr>
        <w:pStyle w:val="Paragrdouble"/>
        <w:spacing w:line="240" w:lineRule="auto"/>
        <w:rPr>
          <w:lang w:val="en-CA"/>
        </w:rPr>
      </w:pPr>
      <w:r w:rsidRPr="00BA1219">
        <w:rPr>
          <w:lang w:val="en-CA"/>
        </w:rPr>
        <w:lastRenderedPageBreak/>
        <w:t xml:space="preserve">Other minor amendments were made to the </w:t>
      </w:r>
      <w:r w:rsidRPr="00BA1219">
        <w:rPr>
          <w:i/>
          <w:lang w:val="en-CA"/>
        </w:rPr>
        <w:t>EA</w:t>
      </w:r>
      <w:r w:rsidR="0049496C">
        <w:rPr>
          <w:iCs/>
          <w:lang w:val="en-CA"/>
        </w:rPr>
        <w:t>,</w:t>
      </w:r>
      <w:r w:rsidRPr="00BA1219">
        <w:rPr>
          <w:lang w:val="en-CA"/>
        </w:rPr>
        <w:t xml:space="preserve"> until the CAQ </w:t>
      </w:r>
      <w:r w:rsidR="001D3E41" w:rsidRPr="00BA1219">
        <w:rPr>
          <w:lang w:val="en-CA"/>
        </w:rPr>
        <w:t>government</w:t>
      </w:r>
      <w:r w:rsidRPr="00BA1219">
        <w:rPr>
          <w:lang w:val="en-CA"/>
        </w:rPr>
        <w:t xml:space="preserve"> passed the </w:t>
      </w:r>
      <w:r w:rsidRPr="00BA1219">
        <w:rPr>
          <w:i/>
          <w:lang w:val="en-CA"/>
        </w:rPr>
        <w:t>Act</w:t>
      </w:r>
      <w:r w:rsidRPr="00BA1219">
        <w:rPr>
          <w:lang w:val="en-CA"/>
        </w:rPr>
        <w:t>.</w:t>
      </w:r>
    </w:p>
    <w:p w14:paraId="3E87ED49" w14:textId="44F180C5" w:rsidR="001E0F27" w:rsidRPr="00BA1219" w:rsidRDefault="00C32D80" w:rsidP="00B114F1">
      <w:pPr>
        <w:pStyle w:val="Paragrdouble"/>
        <w:spacing w:line="240" w:lineRule="auto"/>
        <w:rPr>
          <w:lang w:val="en-CA"/>
        </w:rPr>
      </w:pPr>
      <w:r w:rsidRPr="00BA1219">
        <w:rPr>
          <w:lang w:val="en-CA"/>
        </w:rPr>
        <w:t>What conclusions can be drawn from this historical review?</w:t>
      </w:r>
    </w:p>
    <w:p w14:paraId="7FA6D21F" w14:textId="514D6D4E" w:rsidR="001E0F27" w:rsidRPr="00BA1219" w:rsidRDefault="00C32D80" w:rsidP="00B114F1">
      <w:pPr>
        <w:pStyle w:val="Paragrdouble"/>
        <w:spacing w:line="240" w:lineRule="auto"/>
        <w:rPr>
          <w:lang w:val="en-CA"/>
        </w:rPr>
      </w:pPr>
      <w:r w:rsidRPr="00BA1219">
        <w:rPr>
          <w:lang w:val="en-CA"/>
        </w:rPr>
        <w:t xml:space="preserve">For nearly two centuries, the Quebec school system has been divided into two groups: </w:t>
      </w:r>
      <w:r w:rsidR="00F630DE" w:rsidRPr="00BA1219">
        <w:rPr>
          <w:lang w:val="en-CA"/>
        </w:rPr>
        <w:t xml:space="preserve"> </w:t>
      </w:r>
      <w:r w:rsidRPr="00BA1219">
        <w:rPr>
          <w:lang w:val="en-CA"/>
        </w:rPr>
        <w:t>at first Catholic and Protestant, and then French speakers and English speakers. Both groups</w:t>
      </w:r>
      <w:r w:rsidR="00851803">
        <w:rPr>
          <w:lang w:val="en-CA"/>
        </w:rPr>
        <w:t xml:space="preserve"> have</w:t>
      </w:r>
      <w:r w:rsidRPr="00BA1219">
        <w:rPr>
          <w:lang w:val="en-CA"/>
        </w:rPr>
        <w:t xml:space="preserve"> managed their educational institutions at the local level. Before the Quiet Revolution, the </w:t>
      </w:r>
      <w:r w:rsidR="0049496C">
        <w:rPr>
          <w:lang w:val="en-CA"/>
        </w:rPr>
        <w:t>government’s</w:t>
      </w:r>
      <w:r w:rsidR="0049496C" w:rsidRPr="00BA1219">
        <w:rPr>
          <w:lang w:val="en-CA"/>
        </w:rPr>
        <w:t xml:space="preserve"> </w:t>
      </w:r>
      <w:r w:rsidR="001D3E41" w:rsidRPr="00BA1219">
        <w:rPr>
          <w:lang w:val="en-CA"/>
        </w:rPr>
        <w:t>role</w:t>
      </w:r>
      <w:r w:rsidRPr="00BA1219">
        <w:rPr>
          <w:lang w:val="en-CA"/>
        </w:rPr>
        <w:t xml:space="preserve"> was limited. While it did </w:t>
      </w:r>
      <w:r w:rsidR="00851803">
        <w:rPr>
          <w:lang w:val="en-CA"/>
        </w:rPr>
        <w:t>take on</w:t>
      </w:r>
      <w:r w:rsidR="0049496C" w:rsidRPr="00BA1219">
        <w:rPr>
          <w:lang w:val="en-CA"/>
        </w:rPr>
        <w:t xml:space="preserve"> </w:t>
      </w:r>
      <w:r w:rsidRPr="00BA1219">
        <w:rPr>
          <w:lang w:val="en-CA"/>
        </w:rPr>
        <w:t xml:space="preserve">some of the costs of education and set up programs, it left it to the Catholic Church to provide education for its </w:t>
      </w:r>
      <w:r w:rsidR="003B238C">
        <w:rPr>
          <w:lang w:val="en-CA"/>
        </w:rPr>
        <w:t>followers</w:t>
      </w:r>
      <w:r w:rsidR="0049496C">
        <w:rPr>
          <w:lang w:val="en-CA"/>
        </w:rPr>
        <w:t xml:space="preserve"> and left </w:t>
      </w:r>
      <w:r w:rsidRPr="00BA1219">
        <w:rPr>
          <w:lang w:val="en-CA"/>
        </w:rPr>
        <w:t>the Protestants a great deal of latitude. The "Protestants" were overwhelmingly English-speaking.</w:t>
      </w:r>
      <w:r w:rsidR="00F630DE" w:rsidRPr="00BA1219">
        <w:rPr>
          <w:lang w:val="en-CA"/>
        </w:rPr>
        <w:t xml:space="preserve"> </w:t>
      </w:r>
    </w:p>
    <w:p w14:paraId="3DD7EFD7" w14:textId="6AABDC48" w:rsidR="001E0F27" w:rsidRPr="00BA1219" w:rsidRDefault="00C32D80" w:rsidP="00B114F1">
      <w:pPr>
        <w:pStyle w:val="Paragrdouble"/>
        <w:spacing w:line="240" w:lineRule="auto"/>
        <w:rPr>
          <w:lang w:val="en-CA"/>
        </w:rPr>
      </w:pPr>
      <w:r w:rsidRPr="00BA1219">
        <w:rPr>
          <w:lang w:val="en-CA"/>
        </w:rPr>
        <w:t>Local management structures were not uniform.</w:t>
      </w:r>
      <w:r w:rsidR="0096102C" w:rsidRPr="00BA1219">
        <w:rPr>
          <w:lang w:val="en-CA"/>
        </w:rPr>
        <w:t xml:space="preserve"> </w:t>
      </w:r>
      <w:r w:rsidRPr="00BA1219">
        <w:rPr>
          <w:lang w:val="en-CA"/>
        </w:rPr>
        <w:t>School boards in Montreal and Qu</w:t>
      </w:r>
      <w:r w:rsidR="003B238C">
        <w:rPr>
          <w:lang w:val="en-CA"/>
        </w:rPr>
        <w:t>e</w:t>
      </w:r>
      <w:r w:rsidRPr="00BA1219">
        <w:rPr>
          <w:lang w:val="en-CA"/>
        </w:rPr>
        <w:t xml:space="preserve">bec City, which accounted for the majority of students, were appointed by the </w:t>
      </w:r>
      <w:r w:rsidR="001D3E41" w:rsidRPr="00BA1219">
        <w:rPr>
          <w:lang w:val="en-CA"/>
        </w:rPr>
        <w:t>municipal</w:t>
      </w:r>
      <w:r w:rsidRPr="00BA1219">
        <w:rPr>
          <w:lang w:val="en-CA"/>
        </w:rPr>
        <w:t xml:space="preserve"> </w:t>
      </w:r>
      <w:r w:rsidR="001D3E41" w:rsidRPr="00BA1219">
        <w:rPr>
          <w:lang w:val="en-CA"/>
        </w:rPr>
        <w:t>councillors</w:t>
      </w:r>
      <w:r w:rsidRPr="00BA1219">
        <w:rPr>
          <w:lang w:val="en-CA"/>
        </w:rPr>
        <w:t xml:space="preserve"> of those cities.</w:t>
      </w:r>
      <w:r w:rsidR="0096102C" w:rsidRPr="00BA1219">
        <w:rPr>
          <w:lang w:val="en-CA"/>
        </w:rPr>
        <w:t xml:space="preserve"> </w:t>
      </w:r>
      <w:r w:rsidRPr="00BA1219">
        <w:rPr>
          <w:lang w:val="en-CA"/>
        </w:rPr>
        <w:t>Direct democracy was instituted only in 1972.</w:t>
      </w:r>
      <w:r w:rsidR="0096102C" w:rsidRPr="00BA1219">
        <w:rPr>
          <w:lang w:val="en-CA"/>
        </w:rPr>
        <w:t xml:space="preserve"> </w:t>
      </w:r>
      <w:r w:rsidRPr="00BA1219">
        <w:rPr>
          <w:lang w:val="en-CA"/>
        </w:rPr>
        <w:t>Representatives from the Protestant minority were appointed regardless of their status as parents.</w:t>
      </w:r>
      <w:r w:rsidR="0096102C" w:rsidRPr="00BA1219">
        <w:rPr>
          <w:lang w:val="en-CA"/>
        </w:rPr>
        <w:t xml:space="preserve"> </w:t>
      </w:r>
    </w:p>
    <w:p w14:paraId="2018D942" w14:textId="3D5F2C76" w:rsidR="001E0F27" w:rsidRPr="00BA1219" w:rsidRDefault="00C32D80" w:rsidP="00B114F1">
      <w:pPr>
        <w:pStyle w:val="Paragrdouble"/>
        <w:spacing w:line="240" w:lineRule="auto"/>
        <w:rPr>
          <w:lang w:val="en-CA"/>
        </w:rPr>
      </w:pPr>
      <w:r w:rsidRPr="00BA1219">
        <w:rPr>
          <w:lang w:val="en-CA"/>
        </w:rPr>
        <w:t>In other regions of Quebec, community involvement was more democratic, with school laws providing for the elections of commissioners or trustees.</w:t>
      </w:r>
      <w:r w:rsidR="0096102C" w:rsidRPr="00BA1219">
        <w:rPr>
          <w:lang w:val="en-CA"/>
        </w:rPr>
        <w:t xml:space="preserve"> </w:t>
      </w:r>
      <w:r w:rsidRPr="00BA1219">
        <w:rPr>
          <w:lang w:val="en-CA"/>
        </w:rPr>
        <w:t xml:space="preserve">In these regions, democratic management was largely inspired by the model imported from New England, where many Loyalists </w:t>
      </w:r>
      <w:r w:rsidR="000D5D04">
        <w:rPr>
          <w:lang w:val="en-CA"/>
        </w:rPr>
        <w:t>had come</w:t>
      </w:r>
      <w:r w:rsidR="000D5D04" w:rsidRPr="00BA1219">
        <w:rPr>
          <w:lang w:val="en-CA"/>
        </w:rPr>
        <w:t xml:space="preserve"> </w:t>
      </w:r>
      <w:r w:rsidRPr="00BA1219">
        <w:rPr>
          <w:lang w:val="en-CA"/>
        </w:rPr>
        <w:t>from. These Protestant communities, most of which were non-Anglican, were accustomed to a very communitarian, democratic approach that focused on education rather than religious practice itself, which was a more personal affair that did not lend itself well to the presence of several Protestant denominations in the same territory.</w:t>
      </w:r>
      <w:r w:rsidR="0096102C" w:rsidRPr="00BA1219">
        <w:rPr>
          <w:lang w:val="en-CA"/>
        </w:rPr>
        <w:t xml:space="preserve"> </w:t>
      </w:r>
    </w:p>
    <w:p w14:paraId="74537DC2" w14:textId="59235FB2" w:rsidR="001E0F27" w:rsidRPr="00BA1219" w:rsidRDefault="00C32D80" w:rsidP="00B114F1">
      <w:pPr>
        <w:pStyle w:val="Paragrdouble"/>
        <w:spacing w:line="240" w:lineRule="auto"/>
        <w:rPr>
          <w:lang w:val="en-CA"/>
        </w:rPr>
      </w:pPr>
      <w:r w:rsidRPr="00BA1219">
        <w:rPr>
          <w:lang w:val="en-CA"/>
        </w:rPr>
        <w:t xml:space="preserve">Whatever the model, it is clear that the management of educational institutions </w:t>
      </w:r>
      <w:r w:rsidR="00D10093">
        <w:rPr>
          <w:lang w:val="en-CA"/>
        </w:rPr>
        <w:t>was</w:t>
      </w:r>
      <w:r w:rsidR="00D10093" w:rsidRPr="00BA1219">
        <w:rPr>
          <w:lang w:val="en-CA"/>
        </w:rPr>
        <w:t xml:space="preserve"> </w:t>
      </w:r>
      <w:r w:rsidRPr="00BA1219">
        <w:rPr>
          <w:lang w:val="en-CA"/>
        </w:rPr>
        <w:t>a matter for the community, which appoint</w:t>
      </w:r>
      <w:r w:rsidR="00D10093">
        <w:rPr>
          <w:lang w:val="en-CA"/>
        </w:rPr>
        <w:t>ed</w:t>
      </w:r>
      <w:r w:rsidRPr="00BA1219">
        <w:rPr>
          <w:lang w:val="en-CA"/>
        </w:rPr>
        <w:t xml:space="preserve"> its representatives from among its </w:t>
      </w:r>
      <w:r w:rsidR="00294968">
        <w:rPr>
          <w:lang w:val="en-CA"/>
        </w:rPr>
        <w:t>eminent citizens</w:t>
      </w:r>
      <w:r w:rsidRPr="00BA1219">
        <w:rPr>
          <w:lang w:val="en-CA"/>
        </w:rPr>
        <w:t>, regardless of their status as parents.</w:t>
      </w:r>
    </w:p>
    <w:p w14:paraId="420C71F0" w14:textId="0FDBCE15" w:rsidR="001E0F27" w:rsidRPr="00BA1219" w:rsidRDefault="00C32D80" w:rsidP="00B114F1">
      <w:pPr>
        <w:pStyle w:val="Paragrdouble"/>
        <w:spacing w:line="240" w:lineRule="auto"/>
        <w:rPr>
          <w:lang w:val="en-CA"/>
        </w:rPr>
      </w:pPr>
      <w:r w:rsidRPr="00BA1219">
        <w:rPr>
          <w:lang w:val="en-CA"/>
        </w:rPr>
        <w:t>There is no doubt that the majority of English-speakers identified with the Protestant group, even though the Irish and other English-speaking Catholics also had their own schools.</w:t>
      </w:r>
      <w:r w:rsidR="0096102C" w:rsidRPr="00BA1219">
        <w:rPr>
          <w:lang w:val="en-CA"/>
        </w:rPr>
        <w:t xml:space="preserve"> </w:t>
      </w:r>
    </w:p>
    <w:p w14:paraId="727BE4C4" w14:textId="4D8C1A7E" w:rsidR="001E0F27" w:rsidRPr="00BA1219" w:rsidRDefault="00C32D80" w:rsidP="00B114F1">
      <w:pPr>
        <w:pStyle w:val="Paragrdouble"/>
        <w:spacing w:line="240" w:lineRule="auto"/>
        <w:rPr>
          <w:lang w:val="en-CA"/>
        </w:rPr>
      </w:pPr>
      <w:r w:rsidRPr="00BA1219">
        <w:rPr>
          <w:lang w:val="en-CA"/>
        </w:rPr>
        <w:t xml:space="preserve">The entrenchment of this Protestant minority’s rights was an important factor in its </w:t>
      </w:r>
      <w:r w:rsidR="00E3518E">
        <w:rPr>
          <w:lang w:val="en-CA"/>
        </w:rPr>
        <w:t>support for</w:t>
      </w:r>
      <w:r w:rsidRPr="00BA1219">
        <w:rPr>
          <w:lang w:val="en-CA"/>
        </w:rPr>
        <w:t xml:space="preserve"> Confederation.</w:t>
      </w:r>
      <w:r w:rsidR="0096102C" w:rsidRPr="00BA1219">
        <w:rPr>
          <w:lang w:val="en-CA"/>
        </w:rPr>
        <w:t xml:space="preserve"> </w:t>
      </w:r>
      <w:r w:rsidR="00F44369">
        <w:rPr>
          <w:lang w:val="en-CA"/>
        </w:rPr>
        <w:t>And u</w:t>
      </w:r>
      <w:r w:rsidR="00D10093">
        <w:rPr>
          <w:lang w:val="en-CA"/>
        </w:rPr>
        <w:t xml:space="preserve">nlike </w:t>
      </w:r>
      <w:r w:rsidRPr="00BA1219">
        <w:rPr>
          <w:lang w:val="en-CA"/>
        </w:rPr>
        <w:t xml:space="preserve">the French-speaking Catholic minorities, it was not </w:t>
      </w:r>
      <w:r w:rsidR="00E3518E">
        <w:rPr>
          <w:lang w:val="en-CA"/>
        </w:rPr>
        <w:t xml:space="preserve">subsequently </w:t>
      </w:r>
      <w:r w:rsidR="00F44369" w:rsidRPr="00BA1219">
        <w:rPr>
          <w:lang w:val="en-CA"/>
        </w:rPr>
        <w:t>deceived</w:t>
      </w:r>
      <w:r w:rsidRPr="00BA1219">
        <w:rPr>
          <w:lang w:val="en-CA"/>
        </w:rPr>
        <w:t>.</w:t>
      </w:r>
      <w:r w:rsidR="0096102C" w:rsidRPr="00BA1219">
        <w:rPr>
          <w:lang w:val="en-CA"/>
        </w:rPr>
        <w:t xml:space="preserve"> </w:t>
      </w:r>
    </w:p>
    <w:p w14:paraId="16043894" w14:textId="09698C54" w:rsidR="001E0F27" w:rsidRPr="00BA1219" w:rsidRDefault="00C32D80" w:rsidP="00B114F1">
      <w:pPr>
        <w:pStyle w:val="Paragrdouble"/>
        <w:spacing w:line="240" w:lineRule="auto"/>
        <w:rPr>
          <w:lang w:val="en-CA"/>
        </w:rPr>
      </w:pPr>
      <w:r w:rsidRPr="00BA1219">
        <w:rPr>
          <w:lang w:val="en-CA"/>
        </w:rPr>
        <w:t xml:space="preserve">The adoption of the </w:t>
      </w:r>
      <w:r w:rsidRPr="00BA1219">
        <w:rPr>
          <w:i/>
          <w:lang w:val="en-CA"/>
        </w:rPr>
        <w:t>Charter of the French Language</w:t>
      </w:r>
      <w:r w:rsidRPr="00BA1219">
        <w:rPr>
          <w:rStyle w:val="Appelnotedebasdep"/>
          <w:rFonts w:cs="Arial"/>
          <w:szCs w:val="24"/>
          <w:lang w:val="en-CA"/>
        </w:rPr>
        <w:footnoteReference w:id="106"/>
      </w:r>
      <w:r w:rsidRPr="00BA1219">
        <w:rPr>
          <w:lang w:val="en-CA"/>
        </w:rPr>
        <w:t xml:space="preserve"> dried up the supply of new students by obliging new Quebeckers to attend school in </w:t>
      </w:r>
      <w:r w:rsidR="007B767F" w:rsidRPr="00BA1219">
        <w:rPr>
          <w:lang w:val="en-CA"/>
        </w:rPr>
        <w:t>French</w:t>
      </w:r>
      <w:r w:rsidR="00D10093">
        <w:rPr>
          <w:lang w:val="en-CA"/>
        </w:rPr>
        <w:t>,</w:t>
      </w:r>
      <w:r w:rsidR="007B767F" w:rsidRPr="00BA1219">
        <w:rPr>
          <w:lang w:val="en-CA"/>
        </w:rPr>
        <w:t xml:space="preserve"> but</w:t>
      </w:r>
      <w:r w:rsidRPr="00BA1219">
        <w:rPr>
          <w:lang w:val="en-CA"/>
        </w:rPr>
        <w:t xml:space="preserve"> </w:t>
      </w:r>
      <w:r w:rsidR="00D10093">
        <w:rPr>
          <w:lang w:val="en-CA"/>
        </w:rPr>
        <w:t xml:space="preserve">it </w:t>
      </w:r>
      <w:r w:rsidRPr="00BA1219">
        <w:rPr>
          <w:lang w:val="en-CA"/>
        </w:rPr>
        <w:t xml:space="preserve">did not result in the loss of any of the </w:t>
      </w:r>
      <w:r w:rsidR="00321707">
        <w:rPr>
          <w:lang w:val="en-CA"/>
        </w:rPr>
        <w:t>capacities of</w:t>
      </w:r>
      <w:r w:rsidRPr="00BA1219">
        <w:rPr>
          <w:lang w:val="en-CA"/>
        </w:rPr>
        <w:t xml:space="preserve"> institutional management.</w:t>
      </w:r>
    </w:p>
    <w:p w14:paraId="3AFB4588" w14:textId="094B9020" w:rsidR="001E0F27" w:rsidRPr="00BA1219" w:rsidRDefault="00C32D80" w:rsidP="00B114F1">
      <w:pPr>
        <w:pStyle w:val="Paragrdouble"/>
        <w:spacing w:line="240" w:lineRule="auto"/>
        <w:rPr>
          <w:lang w:val="en-CA"/>
        </w:rPr>
      </w:pPr>
      <w:r w:rsidRPr="00BA1219">
        <w:rPr>
          <w:lang w:val="en-CA"/>
        </w:rPr>
        <w:lastRenderedPageBreak/>
        <w:t xml:space="preserve">The adoption of section 23 of the </w:t>
      </w:r>
      <w:r w:rsidRPr="00BA1219">
        <w:rPr>
          <w:i/>
          <w:lang w:val="en-CA"/>
        </w:rPr>
        <w:t>Charter</w:t>
      </w:r>
      <w:r w:rsidRPr="00BA1219">
        <w:rPr>
          <w:lang w:val="en-CA"/>
        </w:rPr>
        <w:t xml:space="preserve"> </w:t>
      </w:r>
      <w:r w:rsidR="001D3E41" w:rsidRPr="00BA1219">
        <w:rPr>
          <w:lang w:val="en-CA"/>
        </w:rPr>
        <w:t>re-established</w:t>
      </w:r>
      <w:r w:rsidRPr="00BA1219">
        <w:rPr>
          <w:lang w:val="en-CA"/>
        </w:rPr>
        <w:t xml:space="preserve"> a clientele from the rest of Canada and entrenched the right to the control and </w:t>
      </w:r>
      <w:r w:rsidR="001D3E41" w:rsidRPr="00BA1219">
        <w:rPr>
          <w:lang w:val="en-CA"/>
        </w:rPr>
        <w:t>management</w:t>
      </w:r>
      <w:r w:rsidRPr="00BA1219">
        <w:rPr>
          <w:lang w:val="en-CA"/>
        </w:rPr>
        <w:t xml:space="preserve"> of educational institutions, as section 93 of the </w:t>
      </w:r>
      <w:r w:rsidRPr="00BA1219">
        <w:rPr>
          <w:i/>
          <w:lang w:val="en-CA"/>
        </w:rPr>
        <w:t>Constitution Act, 18</w:t>
      </w:r>
      <w:r w:rsidR="00334C07">
        <w:rPr>
          <w:i/>
          <w:lang w:val="en-CA"/>
        </w:rPr>
        <w:t>6</w:t>
      </w:r>
      <w:r w:rsidRPr="00BA1219">
        <w:rPr>
          <w:i/>
          <w:lang w:val="en-CA"/>
        </w:rPr>
        <w:t>7</w:t>
      </w:r>
      <w:r w:rsidRPr="00BA1219">
        <w:rPr>
          <w:lang w:val="en-CA"/>
        </w:rPr>
        <w:t xml:space="preserve"> had done.</w:t>
      </w:r>
      <w:r w:rsidR="0096102C" w:rsidRPr="00BA1219">
        <w:rPr>
          <w:lang w:val="en-CA"/>
        </w:rPr>
        <w:t xml:space="preserve"> </w:t>
      </w:r>
    </w:p>
    <w:p w14:paraId="54A73BFC" w14:textId="6D8DF0E9" w:rsidR="001E0F27" w:rsidRPr="00BA1219" w:rsidRDefault="00C32D80" w:rsidP="00B114F1">
      <w:pPr>
        <w:pStyle w:val="Paragrdouble"/>
        <w:spacing w:line="240" w:lineRule="auto"/>
        <w:rPr>
          <w:lang w:val="en-CA"/>
        </w:rPr>
      </w:pPr>
      <w:r w:rsidRPr="00BA1219">
        <w:rPr>
          <w:lang w:val="en-CA"/>
        </w:rPr>
        <w:t xml:space="preserve">The implementation of </w:t>
      </w:r>
      <w:r w:rsidR="001D3E41" w:rsidRPr="00BA1219">
        <w:rPr>
          <w:lang w:val="en-CA"/>
        </w:rPr>
        <w:t>linguistic</w:t>
      </w:r>
      <w:r w:rsidRPr="00BA1219">
        <w:rPr>
          <w:lang w:val="en-CA"/>
        </w:rPr>
        <w:t xml:space="preserve"> instead of confessional structures completed the modernization of the school system.</w:t>
      </w:r>
    </w:p>
    <w:p w14:paraId="2EB51AA0" w14:textId="37194959" w:rsidR="001E0F27" w:rsidRPr="00BA1219" w:rsidRDefault="00C32D80" w:rsidP="00B114F1">
      <w:pPr>
        <w:pStyle w:val="Paragrdouble"/>
        <w:spacing w:line="240" w:lineRule="auto"/>
        <w:rPr>
          <w:lang w:val="en-CA"/>
        </w:rPr>
      </w:pPr>
      <w:r w:rsidRPr="00BA1219">
        <w:rPr>
          <w:lang w:val="en-CA"/>
        </w:rPr>
        <w:t xml:space="preserve">The Quebec government rallied support for this project </w:t>
      </w:r>
      <w:r w:rsidR="00D10093">
        <w:rPr>
          <w:lang w:val="en-CA"/>
        </w:rPr>
        <w:t xml:space="preserve">from the majority of </w:t>
      </w:r>
      <w:r w:rsidRPr="00BA1219">
        <w:rPr>
          <w:lang w:val="en-CA"/>
        </w:rPr>
        <w:t xml:space="preserve">the English-speaking </w:t>
      </w:r>
      <w:r w:rsidR="00D10093">
        <w:rPr>
          <w:lang w:val="en-CA"/>
        </w:rPr>
        <w:t xml:space="preserve">community </w:t>
      </w:r>
      <w:r w:rsidRPr="00BA1219">
        <w:rPr>
          <w:lang w:val="en-CA"/>
        </w:rPr>
        <w:t xml:space="preserve">and Protestants by guaranteeing that they would retain the power to manage and control their educational institutions. Members of </w:t>
      </w:r>
      <w:r w:rsidR="00D10093">
        <w:rPr>
          <w:lang w:val="en-CA"/>
        </w:rPr>
        <w:t xml:space="preserve">the National Assembly </w:t>
      </w:r>
      <w:r w:rsidRPr="00BA1219">
        <w:rPr>
          <w:lang w:val="en-CA"/>
        </w:rPr>
        <w:t>noted a broad “consensus” on the reform.</w:t>
      </w:r>
    </w:p>
    <w:p w14:paraId="74CB2B10" w14:textId="672D4770" w:rsidR="001E0F27" w:rsidRPr="00BA1219" w:rsidRDefault="00C32D80" w:rsidP="00B114F1">
      <w:pPr>
        <w:pStyle w:val="Paragrdouble"/>
        <w:spacing w:line="240" w:lineRule="auto"/>
        <w:rPr>
          <w:lang w:val="en-CA"/>
        </w:rPr>
      </w:pPr>
      <w:r w:rsidRPr="00BA1219">
        <w:rPr>
          <w:lang w:val="en-CA"/>
        </w:rPr>
        <w:t xml:space="preserve">This commitment to </w:t>
      </w:r>
      <w:r w:rsidR="00334C07">
        <w:rPr>
          <w:lang w:val="en-CA"/>
        </w:rPr>
        <w:t xml:space="preserve">keeping the </w:t>
      </w:r>
      <w:r w:rsidRPr="00BA1219">
        <w:rPr>
          <w:lang w:val="en-CA"/>
        </w:rPr>
        <w:t xml:space="preserve">management and control of institutions </w:t>
      </w:r>
      <w:r w:rsidR="00334C07">
        <w:rPr>
          <w:lang w:val="en-CA"/>
        </w:rPr>
        <w:t xml:space="preserve">in the hands of the minority </w:t>
      </w:r>
      <w:r w:rsidRPr="00BA1219">
        <w:rPr>
          <w:lang w:val="en-CA"/>
        </w:rPr>
        <w:t xml:space="preserve">must necessarily guide the interpretation of </w:t>
      </w:r>
      <w:r w:rsidR="00983FA2">
        <w:rPr>
          <w:lang w:val="en-CA"/>
        </w:rPr>
        <w:t>s</w:t>
      </w:r>
      <w:r w:rsidRPr="00BA1219">
        <w:rPr>
          <w:lang w:val="en-CA"/>
        </w:rPr>
        <w:t xml:space="preserve">ection 23 </w:t>
      </w:r>
      <w:r w:rsidR="007365D6">
        <w:rPr>
          <w:lang w:val="en-CA"/>
        </w:rPr>
        <w:t>in</w:t>
      </w:r>
      <w:r w:rsidR="007365D6" w:rsidRPr="00BA1219">
        <w:rPr>
          <w:lang w:val="en-CA"/>
        </w:rPr>
        <w:t xml:space="preserve"> </w:t>
      </w:r>
      <w:r w:rsidRPr="00BA1219">
        <w:rPr>
          <w:lang w:val="en-CA"/>
        </w:rPr>
        <w:t>th</w:t>
      </w:r>
      <w:r w:rsidR="007365D6">
        <w:rPr>
          <w:lang w:val="en-CA"/>
        </w:rPr>
        <w:t>is</w:t>
      </w:r>
      <w:r w:rsidRPr="00BA1219">
        <w:rPr>
          <w:lang w:val="en-CA"/>
        </w:rPr>
        <w:t xml:space="preserve"> situation.</w:t>
      </w:r>
    </w:p>
    <w:p w14:paraId="313FF4D5" w14:textId="39225E01" w:rsidR="004268A5" w:rsidRPr="00BA1219" w:rsidRDefault="00C32D80" w:rsidP="00B114F1">
      <w:pPr>
        <w:pStyle w:val="Paragrdouble"/>
        <w:spacing w:line="240" w:lineRule="auto"/>
        <w:rPr>
          <w:lang w:val="en-CA"/>
        </w:rPr>
      </w:pPr>
      <w:r w:rsidRPr="006B7726">
        <w:rPr>
          <w:lang w:val="en-CA"/>
        </w:rPr>
        <w:t xml:space="preserve">In </w:t>
      </w:r>
      <w:r w:rsidRPr="007B767F">
        <w:rPr>
          <w:i/>
          <w:iCs/>
          <w:lang w:val="en-CA"/>
        </w:rPr>
        <w:t>Reference re Public Schools Act (Man.),</w:t>
      </w:r>
      <w:r w:rsidRPr="006B7726">
        <w:rPr>
          <w:i/>
          <w:lang w:val="en-CA"/>
        </w:rPr>
        <w:t xml:space="preserve"> s. 79(3), (4) and (7</w:t>
      </w:r>
      <w:r w:rsidR="007B767F" w:rsidRPr="006B7726">
        <w:rPr>
          <w:i/>
          <w:lang w:val="en-CA"/>
        </w:rPr>
        <w:t>)</w:t>
      </w:r>
      <w:r w:rsidR="007B767F" w:rsidRPr="006B7726">
        <w:rPr>
          <w:lang w:val="en-CA"/>
        </w:rPr>
        <w:t>, the</w:t>
      </w:r>
      <w:r w:rsidRPr="006B7726">
        <w:rPr>
          <w:lang w:val="en-CA"/>
        </w:rPr>
        <w:t xml:space="preserve"> majority wrote:</w:t>
      </w:r>
      <w:r w:rsidR="0096102C" w:rsidRPr="00BA1219">
        <w:rPr>
          <w:rStyle w:val="Appelnotedebasdep"/>
          <w:lang w:val="en-CA"/>
        </w:rPr>
        <w:footnoteReference w:id="107"/>
      </w:r>
    </w:p>
    <w:p w14:paraId="7DA05821" w14:textId="4676F9F0" w:rsidR="002B27C2" w:rsidRPr="00BA1219" w:rsidRDefault="00C32D80" w:rsidP="006C01F8">
      <w:pPr>
        <w:pStyle w:val="Citation"/>
        <w:keepNext/>
        <w:ind w:left="360"/>
        <w:rPr>
          <w:u w:val="single"/>
          <w:lang w:val="en-CA"/>
        </w:rPr>
      </w:pPr>
      <w:r w:rsidRPr="00BA1219">
        <w:rPr>
          <w:lang w:val="en-CA"/>
        </w:rPr>
        <w:t xml:space="preserve">In passing, one should note, as this Court held in </w:t>
      </w:r>
      <w:r w:rsidRPr="00BA1219">
        <w:rPr>
          <w:i/>
          <w:lang w:val="en-CA"/>
        </w:rPr>
        <w:t>Ford v. Quebec (Attorney General)</w:t>
      </w:r>
      <w:r w:rsidRPr="00BA1219">
        <w:rPr>
          <w:lang w:val="en-CA"/>
        </w:rPr>
        <w:t xml:space="preserve">, [1988] 2 S.C.R. 712, at pp. 777-78, that </w:t>
      </w:r>
      <w:r w:rsidRPr="00BA1219">
        <w:rPr>
          <w:u w:val="single"/>
          <w:lang w:val="en-CA"/>
        </w:rPr>
        <w:t>the focus on the historical context of language and culture indicates that different interpretative approaches may well have to be taken in different jurisdictions, sensitive to the unique blend of linguistic dynamics that have developed in each province.</w:t>
      </w:r>
      <w:r w:rsidR="0096102C" w:rsidRPr="00BA1219">
        <w:rPr>
          <w:u w:val="single"/>
          <w:lang w:val="en-CA"/>
        </w:rPr>
        <w:t xml:space="preserve"> </w:t>
      </w:r>
    </w:p>
    <w:p w14:paraId="0B61F881" w14:textId="2A9E3143" w:rsidR="004268A5" w:rsidRPr="007B767F" w:rsidRDefault="0096102C" w:rsidP="006C01F8">
      <w:pPr>
        <w:keepNext/>
        <w:rPr>
          <w:lang w:val="en-CA"/>
        </w:rPr>
      </w:pP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Pr="00BA1219">
        <w:rPr>
          <w:lang w:val="en-CA"/>
        </w:rPr>
        <w:tab/>
      </w:r>
      <w:r w:rsidR="007B767F">
        <w:rPr>
          <w:lang w:val="en-CA"/>
        </w:rPr>
        <w:tab/>
      </w:r>
      <w:r w:rsidR="007B767F" w:rsidRPr="007B767F">
        <w:rPr>
          <w:sz w:val="22"/>
          <w:szCs w:val="22"/>
          <w:lang w:val="en-CA"/>
        </w:rPr>
        <w:tab/>
      </w:r>
      <w:r w:rsidR="00F8060B" w:rsidRPr="007B767F">
        <w:rPr>
          <w:sz w:val="22"/>
          <w:szCs w:val="22"/>
          <w:lang w:val="en-CA"/>
        </w:rPr>
        <w:t>[Emphasis added.]</w:t>
      </w:r>
    </w:p>
    <w:p w14:paraId="488732EC" w14:textId="6413A7F8" w:rsidR="001E0F27" w:rsidRPr="00BA1219" w:rsidRDefault="005722E8" w:rsidP="001E0F27">
      <w:pPr>
        <w:pStyle w:val="Paragrdouble"/>
        <w:spacing w:line="240" w:lineRule="auto"/>
        <w:rPr>
          <w:lang w:val="en-CA"/>
        </w:rPr>
      </w:pPr>
      <w:r>
        <w:rPr>
          <w:lang w:val="en-CA"/>
        </w:rPr>
        <w:t xml:space="preserve">Concurrently with the purpose of section 23 </w:t>
      </w:r>
      <w:r w:rsidR="00AC3B02">
        <w:rPr>
          <w:lang w:val="en-CA"/>
        </w:rPr>
        <w:t>to</w:t>
      </w:r>
      <w:r>
        <w:rPr>
          <w:lang w:val="en-CA"/>
        </w:rPr>
        <w:t xml:space="preserve"> </w:t>
      </w:r>
      <w:r w:rsidR="00C32D80" w:rsidRPr="00BA1219">
        <w:rPr>
          <w:lang w:val="en-CA"/>
        </w:rPr>
        <w:t>[</w:t>
      </w:r>
      <w:r w:rsidR="00C32D80" w:rsidRPr="00BA1219">
        <w:rPr>
          <w:smallCaps/>
          <w:lang w:val="en-CA"/>
        </w:rPr>
        <w:t>translation]</w:t>
      </w:r>
      <w:r w:rsidR="00C32D80" w:rsidRPr="00BA1219">
        <w:rPr>
          <w:lang w:val="en-CA"/>
        </w:rPr>
        <w:t xml:space="preserve"> “remedy” the injustices </w:t>
      </w:r>
      <w:r w:rsidR="007365D6">
        <w:rPr>
          <w:lang w:val="en-CA"/>
        </w:rPr>
        <w:t xml:space="preserve">done </w:t>
      </w:r>
      <w:r w:rsidR="00C32D80" w:rsidRPr="00BA1219">
        <w:rPr>
          <w:lang w:val="en-CA"/>
        </w:rPr>
        <w:t xml:space="preserve">to Francophones living outside Quebec, </w:t>
      </w:r>
      <w:r>
        <w:rPr>
          <w:lang w:val="en-CA"/>
        </w:rPr>
        <w:t xml:space="preserve">in Quebec it must also be </w:t>
      </w:r>
      <w:r w:rsidR="00C32D80" w:rsidRPr="00BA1219">
        <w:rPr>
          <w:lang w:val="en-CA"/>
        </w:rPr>
        <w:t>to prevent the erosion of the rights acquired over the centuries by English-speaking Quebeckers to the management and control of the</w:t>
      </w:r>
      <w:r w:rsidR="007365D6">
        <w:rPr>
          <w:lang w:val="en-CA"/>
        </w:rPr>
        <w:t>ir</w:t>
      </w:r>
      <w:r w:rsidR="00C32D80" w:rsidRPr="00BA1219">
        <w:rPr>
          <w:lang w:val="en-CA"/>
        </w:rPr>
        <w:t xml:space="preserve"> educational institutions.</w:t>
      </w:r>
      <w:r w:rsidR="0096102C" w:rsidRPr="00BA1219">
        <w:rPr>
          <w:lang w:val="en-CA"/>
        </w:rPr>
        <w:t xml:space="preserve"> </w:t>
      </w:r>
    </w:p>
    <w:p w14:paraId="05B95B35" w14:textId="24568CC3" w:rsidR="001E0F27" w:rsidRPr="00BA1219" w:rsidRDefault="00C32D80" w:rsidP="001E0F27">
      <w:pPr>
        <w:pStyle w:val="Paragrsimple"/>
        <w:rPr>
          <w:lang w:val="en-CA"/>
        </w:rPr>
      </w:pPr>
      <w:r w:rsidRPr="00BA1219">
        <w:rPr>
          <w:lang w:val="en-CA"/>
        </w:rPr>
        <w:t>As professors Guillaume Rousseau and Éric Poirier wrote on section 23 and its application in Quebec:</w:t>
      </w:r>
      <w:r w:rsidRPr="00BA1219">
        <w:rPr>
          <w:rStyle w:val="Appelnotedebasdep"/>
          <w:lang w:val="en-CA"/>
        </w:rPr>
        <w:footnoteReference w:id="108"/>
      </w:r>
    </w:p>
    <w:p w14:paraId="09EE382B" w14:textId="59DB79F9" w:rsidR="002749E2" w:rsidRDefault="002749E2" w:rsidP="00B114F1">
      <w:pPr>
        <w:pStyle w:val="Citation"/>
        <w:ind w:left="360"/>
        <w:rPr>
          <w:smallCaps/>
          <w:lang w:val="en-CA"/>
        </w:rPr>
      </w:pPr>
      <w:r>
        <w:rPr>
          <w:smallCaps/>
          <w:lang w:val="en-CA"/>
        </w:rPr>
        <w:t>[</w:t>
      </w:r>
      <w:r w:rsidR="00C32D80" w:rsidRPr="002749E2">
        <w:rPr>
          <w:smallCaps/>
          <w:lang w:val="en-CA"/>
        </w:rPr>
        <w:t>translation</w:t>
      </w:r>
      <w:r>
        <w:rPr>
          <w:smallCaps/>
          <w:lang w:val="en-CA"/>
        </w:rPr>
        <w:t>]</w:t>
      </w:r>
    </w:p>
    <w:p w14:paraId="32ECC111" w14:textId="21906984" w:rsidR="001E0F27" w:rsidRPr="00BA1219" w:rsidRDefault="00C32D80" w:rsidP="00B114F1">
      <w:pPr>
        <w:pStyle w:val="Citation"/>
        <w:ind w:left="360"/>
        <w:rPr>
          <w:lang w:val="en-CA"/>
        </w:rPr>
      </w:pPr>
      <w:r w:rsidRPr="00BA1219">
        <w:rPr>
          <w:lang w:val="en-CA"/>
        </w:rPr>
        <w:t>Rather than causing changes as it did in the other provinces, section 23 protected existing institutions</w:t>
      </w:r>
      <w:r w:rsidR="007365D6">
        <w:rPr>
          <w:lang w:val="en-CA"/>
        </w:rPr>
        <w:t xml:space="preserve"> in Quebec</w:t>
      </w:r>
      <w:r w:rsidRPr="00BA1219">
        <w:rPr>
          <w:lang w:val="en-CA"/>
        </w:rPr>
        <w:t>.</w:t>
      </w:r>
    </w:p>
    <w:p w14:paraId="3FB78796" w14:textId="7FF2FC4B" w:rsidR="00D9749D" w:rsidRPr="006B7726" w:rsidRDefault="007365D6" w:rsidP="006C01F8">
      <w:pPr>
        <w:pStyle w:val="Titre2"/>
        <w:numPr>
          <w:ilvl w:val="0"/>
          <w:numId w:val="0"/>
        </w:numPr>
        <w:ind w:left="360"/>
        <w:rPr>
          <w:lang w:val="en-CA"/>
        </w:rPr>
      </w:pPr>
      <w:bookmarkStart w:id="31" w:name="_Toc140833347"/>
      <w:bookmarkStart w:id="32" w:name="_Toc141191393"/>
      <w:bookmarkStart w:id="33" w:name="_Toc141191693"/>
      <w:r>
        <w:rPr>
          <w:lang w:val="en-CA"/>
        </w:rPr>
        <w:t xml:space="preserve">(e) </w:t>
      </w:r>
      <w:r w:rsidR="00C32D80" w:rsidRPr="006B7726">
        <w:rPr>
          <w:lang w:val="en-CA"/>
        </w:rPr>
        <w:t>The geographical context</w:t>
      </w:r>
      <w:r w:rsidR="006457A0" w:rsidRPr="006B7726">
        <w:rPr>
          <w:lang w:val="en-CA"/>
        </w:rPr>
        <w:t> </w:t>
      </w:r>
      <w:bookmarkEnd w:id="31"/>
      <w:bookmarkEnd w:id="32"/>
      <w:bookmarkEnd w:id="33"/>
    </w:p>
    <w:p w14:paraId="7ED95A3C" w14:textId="1980BBCB" w:rsidR="00DB5410" w:rsidRPr="006B7726" w:rsidRDefault="00C32D80" w:rsidP="00D63440">
      <w:pPr>
        <w:pStyle w:val="Paragrsimple"/>
        <w:rPr>
          <w:lang w:val="en-CA"/>
        </w:rPr>
      </w:pPr>
      <w:r w:rsidRPr="006B7726">
        <w:rPr>
          <w:lang w:val="en-CA"/>
        </w:rPr>
        <w:t>Section 23 must be interpreted with respect to space and time.</w:t>
      </w:r>
      <w:r w:rsidRPr="006B7726">
        <w:rPr>
          <w:rStyle w:val="Appelnotedebasdep"/>
          <w:lang w:val="en-CA"/>
        </w:rPr>
        <w:footnoteReference w:id="109"/>
      </w:r>
    </w:p>
    <w:p w14:paraId="73679A58" w14:textId="53E5E889" w:rsidR="00D9749D" w:rsidRPr="00BA1219" w:rsidRDefault="00C32D80" w:rsidP="00D63440">
      <w:pPr>
        <w:pStyle w:val="Paragrsimple"/>
        <w:rPr>
          <w:lang w:val="en-CA"/>
        </w:rPr>
      </w:pPr>
      <w:r w:rsidRPr="00BA1219">
        <w:rPr>
          <w:lang w:val="en-CA"/>
        </w:rPr>
        <w:lastRenderedPageBreak/>
        <w:t xml:space="preserve">Just like the history of English-speaking communities differs depending on whether they are in rural or urban areas, </w:t>
      </w:r>
      <w:r w:rsidR="00AA2072">
        <w:rPr>
          <w:lang w:val="en-CA"/>
        </w:rPr>
        <w:t xml:space="preserve">so does it appear </w:t>
      </w:r>
      <w:r w:rsidRPr="00BA1219">
        <w:rPr>
          <w:lang w:val="en-CA"/>
        </w:rPr>
        <w:t>that the nine school boards today are experiencing very different realities from one another.</w:t>
      </w:r>
    </w:p>
    <w:p w14:paraId="68990732" w14:textId="17DBAB7B" w:rsidR="007F29F3" w:rsidRPr="00BA1219" w:rsidRDefault="00C32D80" w:rsidP="009D575D">
      <w:pPr>
        <w:pStyle w:val="Paragrsimple"/>
        <w:rPr>
          <w:lang w:val="en-CA"/>
        </w:rPr>
      </w:pPr>
      <w:r w:rsidRPr="00BA1219">
        <w:rPr>
          <w:lang w:val="en-CA"/>
        </w:rPr>
        <w:t xml:space="preserve">Two of those urban school boards have over 80,000 electors: the territory of the English Montreal School </w:t>
      </w:r>
      <w:r w:rsidR="002749E2" w:rsidRPr="00BA1219">
        <w:rPr>
          <w:lang w:val="en-CA"/>
        </w:rPr>
        <w:t>Board corresponds</w:t>
      </w:r>
      <w:r w:rsidRPr="00BA1219">
        <w:rPr>
          <w:lang w:val="en-CA"/>
        </w:rPr>
        <w:t xml:space="preserve"> to that of the Ville de Montréal, excluding the boroughs of Verdun</w:t>
      </w:r>
      <w:r w:rsidR="009D575D">
        <w:rPr>
          <w:lang w:val="en-CA"/>
        </w:rPr>
        <w:t>–Ile</w:t>
      </w:r>
      <w:r w:rsidR="00896420">
        <w:rPr>
          <w:lang w:val="en-CA"/>
        </w:rPr>
        <w:t>-</w:t>
      </w:r>
      <w:r w:rsidR="009D575D">
        <w:rPr>
          <w:lang w:val="en-CA"/>
        </w:rPr>
        <w:t>des</w:t>
      </w:r>
      <w:r w:rsidR="00896420">
        <w:rPr>
          <w:lang w:val="en-CA"/>
        </w:rPr>
        <w:t>-</w:t>
      </w:r>
      <w:proofErr w:type="spellStart"/>
      <w:r w:rsidR="009D575D" w:rsidRPr="009D575D">
        <w:rPr>
          <w:lang w:val="en-CA"/>
        </w:rPr>
        <w:t>Sœurs</w:t>
      </w:r>
      <w:proofErr w:type="spellEnd"/>
      <w:r w:rsidRPr="00BA1219">
        <w:rPr>
          <w:lang w:val="en-CA"/>
        </w:rPr>
        <w:t xml:space="preserve"> , Lasalle, Lachine, and those to the west, as well as the cities of Westmount, Town of Mont-Royal, C</w:t>
      </w:r>
      <w:r w:rsidR="007F4BD5">
        <w:rPr>
          <w:lang w:val="en-CA"/>
        </w:rPr>
        <w:t>ô</w:t>
      </w:r>
      <w:r w:rsidRPr="00BA1219">
        <w:rPr>
          <w:lang w:val="en-CA"/>
        </w:rPr>
        <w:t>te</w:t>
      </w:r>
      <w:r w:rsidR="00824A65">
        <w:rPr>
          <w:lang w:val="en-CA"/>
        </w:rPr>
        <w:t xml:space="preserve"> </w:t>
      </w:r>
      <w:r w:rsidRPr="00BA1219">
        <w:rPr>
          <w:lang w:val="en-CA"/>
        </w:rPr>
        <w:t>S</w:t>
      </w:r>
      <w:r w:rsidR="00824A65">
        <w:rPr>
          <w:lang w:val="en-CA"/>
        </w:rPr>
        <w:t>ain</w:t>
      </w:r>
      <w:r w:rsidRPr="00BA1219">
        <w:rPr>
          <w:lang w:val="en-CA"/>
        </w:rPr>
        <w:t>t-Luc, Hampstead, Montreal West and Montr</w:t>
      </w:r>
      <w:r w:rsidR="007F4BD5">
        <w:rPr>
          <w:lang w:val="en-CA"/>
        </w:rPr>
        <w:t>éal-Est</w:t>
      </w:r>
      <w:r w:rsidRPr="00BA1219">
        <w:rPr>
          <w:lang w:val="en-CA"/>
        </w:rPr>
        <w:t>.</w:t>
      </w:r>
      <w:r w:rsidR="0096102C" w:rsidRPr="00BA1219">
        <w:rPr>
          <w:lang w:val="en-CA"/>
        </w:rPr>
        <w:t xml:space="preserve"> </w:t>
      </w:r>
      <w:r w:rsidRPr="006B7726">
        <w:rPr>
          <w:lang w:val="en-CA"/>
        </w:rPr>
        <w:t>It has over 81,000 electors.</w:t>
      </w:r>
      <w:r w:rsidRPr="006B7726">
        <w:rPr>
          <w:rStyle w:val="Appelnotedebasdep"/>
          <w:lang w:val="en-CA"/>
        </w:rPr>
        <w:footnoteReference w:id="110"/>
      </w:r>
      <w:r w:rsidR="0096102C" w:rsidRPr="00BA1219">
        <w:rPr>
          <w:lang w:val="en-CA"/>
        </w:rPr>
        <w:t xml:space="preserve"> </w:t>
      </w:r>
    </w:p>
    <w:p w14:paraId="51B5F24A" w14:textId="68BA7315" w:rsidR="00D9749D" w:rsidRPr="00BA1219" w:rsidRDefault="00C32D80" w:rsidP="005A6BD1">
      <w:pPr>
        <w:pStyle w:val="Paragrsimple"/>
        <w:rPr>
          <w:lang w:val="en-CA"/>
        </w:rPr>
      </w:pPr>
      <w:r w:rsidRPr="00BA1219">
        <w:rPr>
          <w:lang w:val="en-CA"/>
        </w:rPr>
        <w:t>The Lester B. Pearson school board, which includes the West Island and the remaining Montreal boroughs, as well as the territory of the MRC de Vaudreuil-Solanges, has over 80,000 electors.</w:t>
      </w:r>
      <w:r w:rsidR="007F29F3" w:rsidRPr="00BA1219">
        <w:rPr>
          <w:lang w:val="en-CA"/>
        </w:rPr>
        <w:t xml:space="preserve"> </w:t>
      </w:r>
    </w:p>
    <w:p w14:paraId="4C1CD4A7" w14:textId="08921B98" w:rsidR="007F29F3" w:rsidRPr="00BA1219" w:rsidRDefault="00C32D80" w:rsidP="005A6BD1">
      <w:pPr>
        <w:pStyle w:val="Paragrsimple"/>
        <w:rPr>
          <w:lang w:val="en-CA"/>
        </w:rPr>
      </w:pPr>
      <w:r w:rsidRPr="006B7726">
        <w:rPr>
          <w:lang w:val="en-CA"/>
        </w:rPr>
        <w:t>These two school boards represent 57% of the total English-speaking electors identified by the QESBA.</w:t>
      </w:r>
      <w:r w:rsidR="003A4392" w:rsidRPr="00BA1219">
        <w:rPr>
          <w:lang w:val="en-CA"/>
        </w:rPr>
        <w:t xml:space="preserve"> </w:t>
      </w:r>
      <w:r w:rsidRPr="006B7726">
        <w:rPr>
          <w:lang w:val="en-CA"/>
        </w:rPr>
        <w:t>Their territory is relatively limited.</w:t>
      </w:r>
      <w:r w:rsidR="003A4392" w:rsidRPr="00BA1219">
        <w:rPr>
          <w:lang w:val="en-CA"/>
        </w:rPr>
        <w:t xml:space="preserve"> </w:t>
      </w:r>
    </w:p>
    <w:p w14:paraId="0916E75C" w14:textId="7834AA30" w:rsidR="003A4392" w:rsidRPr="00BA1219" w:rsidRDefault="00C32D80" w:rsidP="00E11361">
      <w:pPr>
        <w:pStyle w:val="Paragrsimple"/>
        <w:rPr>
          <w:lang w:val="en-CA"/>
        </w:rPr>
      </w:pPr>
      <w:r w:rsidRPr="00BA1219">
        <w:rPr>
          <w:lang w:val="en-CA"/>
        </w:rPr>
        <w:t>Moving away from the Island of Montreal, there are two medium-sized school boards: the Wilfrid Laurier School Board, with 37,485 electors, and the Riverside School Board, with 24,397 electors.</w:t>
      </w:r>
    </w:p>
    <w:p w14:paraId="4EB65BFC" w14:textId="5D2872AB" w:rsidR="003A3141" w:rsidRPr="00BA1219" w:rsidRDefault="00C32D80" w:rsidP="00E11361">
      <w:pPr>
        <w:pStyle w:val="Paragrsimple"/>
        <w:rPr>
          <w:lang w:val="en-CA"/>
        </w:rPr>
      </w:pPr>
      <w:r w:rsidRPr="00BA1219">
        <w:rPr>
          <w:lang w:val="en-CA"/>
        </w:rPr>
        <w:t xml:space="preserve">The Sir Wilfred Laurier school board covers the territory of Laval and the North </w:t>
      </w:r>
      <w:r w:rsidR="00303737">
        <w:rPr>
          <w:lang w:val="en-CA"/>
        </w:rPr>
        <w:t>S</w:t>
      </w:r>
      <w:r w:rsidRPr="00BA1219">
        <w:rPr>
          <w:lang w:val="en-CA"/>
        </w:rPr>
        <w:t xml:space="preserve">hore of Montreal, </w:t>
      </w:r>
      <w:r w:rsidR="007C3247">
        <w:rPr>
          <w:lang w:val="en-CA"/>
        </w:rPr>
        <w:t xml:space="preserve">and </w:t>
      </w:r>
      <w:r w:rsidRPr="00BA1219">
        <w:rPr>
          <w:lang w:val="en-CA"/>
        </w:rPr>
        <w:t>extends over all of the Laurentians and Lanaudière.</w:t>
      </w:r>
      <w:r w:rsidR="0096102C" w:rsidRPr="00BA1219">
        <w:rPr>
          <w:lang w:val="en-CA"/>
        </w:rPr>
        <w:t xml:space="preserve"> </w:t>
      </w:r>
      <w:r w:rsidRPr="00BA1219">
        <w:rPr>
          <w:lang w:val="en-CA"/>
        </w:rPr>
        <w:t xml:space="preserve">This represents 17 </w:t>
      </w:r>
      <w:r w:rsidR="007C3247">
        <w:rPr>
          <w:lang w:val="en-CA"/>
        </w:rPr>
        <w:t>RCMs</w:t>
      </w:r>
      <w:r w:rsidRPr="00BA1219">
        <w:rPr>
          <w:lang w:val="en-CA"/>
        </w:rPr>
        <w:t xml:space="preserve"> and 135 municipalities.</w:t>
      </w:r>
      <w:r w:rsidR="0096102C" w:rsidRPr="00BA1219">
        <w:rPr>
          <w:lang w:val="en-CA"/>
        </w:rPr>
        <w:t xml:space="preserve"> </w:t>
      </w:r>
    </w:p>
    <w:p w14:paraId="44F3A8CA" w14:textId="2DE05934" w:rsidR="003A4392" w:rsidRPr="00BA1219" w:rsidRDefault="00C32D80" w:rsidP="00E11361">
      <w:pPr>
        <w:pStyle w:val="Paragrsimple"/>
        <w:rPr>
          <w:lang w:val="en-CA"/>
        </w:rPr>
      </w:pPr>
      <w:r w:rsidRPr="00BA1219">
        <w:rPr>
          <w:lang w:val="en-CA"/>
        </w:rPr>
        <w:t xml:space="preserve">The Riverside School Board covers most of the South Shore of Montreal, </w:t>
      </w:r>
      <w:r w:rsidR="00266F91">
        <w:rPr>
          <w:lang w:val="en-CA"/>
        </w:rPr>
        <w:t>from</w:t>
      </w:r>
      <w:r w:rsidR="00266F91" w:rsidRPr="00BA1219">
        <w:rPr>
          <w:lang w:val="en-CA"/>
        </w:rPr>
        <w:t xml:space="preserve"> </w:t>
      </w:r>
      <w:r w:rsidRPr="00BA1219">
        <w:rPr>
          <w:lang w:val="en-CA"/>
        </w:rPr>
        <w:t>S</w:t>
      </w:r>
      <w:r w:rsidR="000A1868">
        <w:rPr>
          <w:lang w:val="en-CA"/>
        </w:rPr>
        <w:t>ain</w:t>
      </w:r>
      <w:r w:rsidRPr="00BA1219">
        <w:rPr>
          <w:lang w:val="en-CA"/>
        </w:rPr>
        <w:t>t</w:t>
      </w:r>
      <w:r w:rsidR="00303737">
        <w:rPr>
          <w:lang w:val="en-CA"/>
        </w:rPr>
        <w:noBreakHyphen/>
      </w:r>
      <w:r w:rsidRPr="00BA1219">
        <w:rPr>
          <w:lang w:val="en-CA"/>
        </w:rPr>
        <w:t xml:space="preserve">Isidore </w:t>
      </w:r>
      <w:r w:rsidR="00266F91">
        <w:rPr>
          <w:lang w:val="en-CA"/>
        </w:rPr>
        <w:t xml:space="preserve">to </w:t>
      </w:r>
      <w:r w:rsidRPr="00BA1219">
        <w:rPr>
          <w:lang w:val="en-CA"/>
        </w:rPr>
        <w:t>Sorel-Tracy, and includes S</w:t>
      </w:r>
      <w:r w:rsidR="00303737">
        <w:rPr>
          <w:lang w:val="en-CA"/>
        </w:rPr>
        <w:t>ain</w:t>
      </w:r>
      <w:r w:rsidRPr="00BA1219">
        <w:rPr>
          <w:lang w:val="en-CA"/>
        </w:rPr>
        <w:t>t-Jean-sur-Richelieu and Saint-Hyacinthe.</w:t>
      </w:r>
      <w:r w:rsidR="006457A0" w:rsidRPr="00BA1219">
        <w:rPr>
          <w:lang w:val="en-CA"/>
        </w:rPr>
        <w:t xml:space="preserve"> </w:t>
      </w:r>
      <w:r w:rsidRPr="00BA1219">
        <w:rPr>
          <w:lang w:val="en-CA"/>
        </w:rPr>
        <w:t xml:space="preserve">It covers the territory of seven </w:t>
      </w:r>
      <w:r w:rsidR="007C3247">
        <w:rPr>
          <w:lang w:val="en-CA"/>
        </w:rPr>
        <w:t>RCM</w:t>
      </w:r>
      <w:r w:rsidRPr="00BA1219">
        <w:rPr>
          <w:lang w:val="en-CA"/>
        </w:rPr>
        <w:t>s and 175 municipalities.</w:t>
      </w:r>
    </w:p>
    <w:p w14:paraId="529F29D8" w14:textId="5846A7C4" w:rsidR="009644B9" w:rsidRPr="008B4D5E" w:rsidRDefault="00C32D80" w:rsidP="005A6BD1">
      <w:pPr>
        <w:pStyle w:val="Paragrsimple"/>
        <w:rPr>
          <w:lang w:val="en-CA"/>
        </w:rPr>
      </w:pPr>
      <w:r w:rsidRPr="008B4D5E">
        <w:rPr>
          <w:lang w:val="en-CA"/>
        </w:rPr>
        <w:t>The Western Quebec School Board, with its 16,684 electors, covers the Outaouais</w:t>
      </w:r>
      <w:r w:rsidR="00266F91" w:rsidRPr="008B4D5E">
        <w:rPr>
          <w:lang w:val="en-CA"/>
        </w:rPr>
        <w:t xml:space="preserve"> region of Quebec</w:t>
      </w:r>
      <w:r w:rsidRPr="008B4D5E">
        <w:rPr>
          <w:lang w:val="en-CA"/>
        </w:rPr>
        <w:t xml:space="preserve">, Pontiac, Abitibi and </w:t>
      </w:r>
      <w:r w:rsidR="00303737" w:rsidRPr="008B4D5E">
        <w:rPr>
          <w:lang w:val="en-CA"/>
        </w:rPr>
        <w:t>Témiscamingue</w:t>
      </w:r>
      <w:r w:rsidRPr="008B4D5E">
        <w:rPr>
          <w:lang w:val="en-CA"/>
        </w:rPr>
        <w:t xml:space="preserve">, </w:t>
      </w:r>
      <w:r w:rsidR="00266F91" w:rsidRPr="008B4D5E">
        <w:rPr>
          <w:lang w:val="en-CA"/>
        </w:rPr>
        <w:t>including</w:t>
      </w:r>
      <w:r w:rsidRPr="008B4D5E">
        <w:rPr>
          <w:lang w:val="en-CA"/>
        </w:rPr>
        <w:t xml:space="preserve"> eight </w:t>
      </w:r>
      <w:r w:rsidR="007C3247" w:rsidRPr="008B4D5E">
        <w:rPr>
          <w:lang w:val="en-CA"/>
        </w:rPr>
        <w:t xml:space="preserve">RCMs </w:t>
      </w:r>
      <w:r w:rsidRPr="008B4D5E">
        <w:rPr>
          <w:lang w:val="en-CA"/>
        </w:rPr>
        <w:t>and 147 municipalities.</w:t>
      </w:r>
    </w:p>
    <w:p w14:paraId="3F1522DA" w14:textId="12CAE833" w:rsidR="009644B9" w:rsidRPr="00BA1219" w:rsidRDefault="00C32D80" w:rsidP="005A6BD1">
      <w:pPr>
        <w:pStyle w:val="Paragrsimple"/>
        <w:rPr>
          <w:lang w:val="en-CA"/>
        </w:rPr>
      </w:pPr>
      <w:r w:rsidRPr="00BA1219">
        <w:rPr>
          <w:lang w:val="en-CA"/>
        </w:rPr>
        <w:t xml:space="preserve">The Eastern Townships School Board, with its 17,019 electors, covers a smaller territory, </w:t>
      </w:r>
      <w:r w:rsidR="00266F91">
        <w:rPr>
          <w:lang w:val="en-CA"/>
        </w:rPr>
        <w:t xml:space="preserve">yet one which </w:t>
      </w:r>
      <w:r w:rsidRPr="00BA1219">
        <w:rPr>
          <w:lang w:val="en-CA"/>
        </w:rPr>
        <w:t xml:space="preserve">includes all of the Eastern Townships, the eastern part of </w:t>
      </w:r>
      <w:r w:rsidR="00266F91">
        <w:rPr>
          <w:lang w:val="en-CA"/>
        </w:rPr>
        <w:t xml:space="preserve">the </w:t>
      </w:r>
      <w:r w:rsidRPr="00BA1219">
        <w:rPr>
          <w:lang w:val="en-CA"/>
        </w:rPr>
        <w:t>Montérégie</w:t>
      </w:r>
      <w:r w:rsidR="000A1868">
        <w:rPr>
          <w:lang w:val="en-CA"/>
        </w:rPr>
        <w:t>,</w:t>
      </w:r>
      <w:r w:rsidRPr="00BA1219">
        <w:rPr>
          <w:lang w:val="en-CA"/>
        </w:rPr>
        <w:t xml:space="preserve"> and part of Centre-du-Québec.</w:t>
      </w:r>
      <w:r w:rsidR="006457A0" w:rsidRPr="00BA1219">
        <w:rPr>
          <w:lang w:val="en-CA"/>
        </w:rPr>
        <w:t xml:space="preserve"> </w:t>
      </w:r>
      <w:r w:rsidRPr="00BA1219">
        <w:rPr>
          <w:lang w:val="en-CA"/>
        </w:rPr>
        <w:t xml:space="preserve">This represents 14 </w:t>
      </w:r>
      <w:r w:rsidR="007C3247">
        <w:rPr>
          <w:lang w:val="en-CA"/>
        </w:rPr>
        <w:t>RCMs</w:t>
      </w:r>
      <w:r w:rsidR="007C3247" w:rsidRPr="00BA1219">
        <w:rPr>
          <w:lang w:val="en-CA"/>
        </w:rPr>
        <w:t xml:space="preserve"> </w:t>
      </w:r>
      <w:r w:rsidRPr="00BA1219">
        <w:rPr>
          <w:lang w:val="en-CA"/>
        </w:rPr>
        <w:t>and 175 municipalities.</w:t>
      </w:r>
      <w:r w:rsidR="006457A0" w:rsidRPr="00BA1219">
        <w:rPr>
          <w:lang w:val="en-CA"/>
        </w:rPr>
        <w:t xml:space="preserve"> </w:t>
      </w:r>
    </w:p>
    <w:p w14:paraId="28E6E7CD" w14:textId="5C9DE4CE" w:rsidR="009644B9" w:rsidRPr="00BA1219" w:rsidRDefault="00C32D80" w:rsidP="005A6BD1">
      <w:pPr>
        <w:pStyle w:val="Paragrsimple"/>
        <w:rPr>
          <w:lang w:val="en-CA"/>
        </w:rPr>
      </w:pPr>
      <w:r w:rsidRPr="00BA1219">
        <w:rPr>
          <w:lang w:val="en-CA"/>
        </w:rPr>
        <w:t>The Central Quebec School Board includes 11,387 electors.</w:t>
      </w:r>
      <w:r w:rsidR="00CA61C5" w:rsidRPr="00BA1219">
        <w:rPr>
          <w:lang w:val="en-CA"/>
        </w:rPr>
        <w:t xml:space="preserve"> </w:t>
      </w:r>
      <w:r w:rsidRPr="00BA1219">
        <w:rPr>
          <w:lang w:val="en-CA"/>
        </w:rPr>
        <w:t xml:space="preserve">Its territory </w:t>
      </w:r>
      <w:r w:rsidR="00266F91">
        <w:rPr>
          <w:lang w:val="en-CA"/>
        </w:rPr>
        <w:t>covers</w:t>
      </w:r>
      <w:r w:rsidR="00266F91" w:rsidRPr="00BA1219">
        <w:rPr>
          <w:lang w:val="en-CA"/>
        </w:rPr>
        <w:t xml:space="preserve"> </w:t>
      </w:r>
      <w:r w:rsidRPr="00BA1219">
        <w:rPr>
          <w:lang w:val="en-CA"/>
        </w:rPr>
        <w:t>the greater Qu</w:t>
      </w:r>
      <w:r w:rsidR="000A1868">
        <w:rPr>
          <w:lang w:val="en-CA"/>
        </w:rPr>
        <w:t>e</w:t>
      </w:r>
      <w:r w:rsidRPr="00BA1219">
        <w:rPr>
          <w:lang w:val="en-CA"/>
        </w:rPr>
        <w:t>bec City area, Charlevoix, Saguenay-Lac-Saint-Jean, Chaudière-</w:t>
      </w:r>
      <w:proofErr w:type="spellStart"/>
      <w:r w:rsidRPr="00BA1219">
        <w:rPr>
          <w:lang w:val="en-CA"/>
        </w:rPr>
        <w:t>Appalaches</w:t>
      </w:r>
      <w:proofErr w:type="spellEnd"/>
      <w:r w:rsidRPr="00BA1219">
        <w:rPr>
          <w:lang w:val="en-CA"/>
        </w:rPr>
        <w:t xml:space="preserve">, </w:t>
      </w:r>
      <w:proofErr w:type="spellStart"/>
      <w:r w:rsidRPr="00BA1219">
        <w:rPr>
          <w:lang w:val="en-CA"/>
        </w:rPr>
        <w:t>Mauricie</w:t>
      </w:r>
      <w:proofErr w:type="spellEnd"/>
      <w:r w:rsidRPr="00BA1219">
        <w:rPr>
          <w:lang w:val="en-CA"/>
        </w:rPr>
        <w:t xml:space="preserve"> and part of Centre-du-Québec, as well as </w:t>
      </w:r>
      <w:r w:rsidR="00266F91">
        <w:rPr>
          <w:lang w:val="en-CA"/>
        </w:rPr>
        <w:t>Nord-du-Québec</w:t>
      </w:r>
      <w:r w:rsidRPr="00BA1219">
        <w:rPr>
          <w:lang w:val="en-CA"/>
        </w:rPr>
        <w:t>.</w:t>
      </w:r>
      <w:r w:rsidR="00CA61C5" w:rsidRPr="00BA1219">
        <w:rPr>
          <w:lang w:val="en-CA"/>
        </w:rPr>
        <w:t xml:space="preserve"> </w:t>
      </w:r>
      <w:r w:rsidRPr="006B7726">
        <w:rPr>
          <w:lang w:val="en-CA"/>
        </w:rPr>
        <w:t xml:space="preserve">It covers 25 </w:t>
      </w:r>
      <w:r w:rsidR="007C3247">
        <w:rPr>
          <w:lang w:val="en-CA"/>
        </w:rPr>
        <w:t>RCMs</w:t>
      </w:r>
      <w:r w:rsidR="007C3247" w:rsidRPr="006B7726">
        <w:rPr>
          <w:lang w:val="en-CA"/>
        </w:rPr>
        <w:t xml:space="preserve"> </w:t>
      </w:r>
      <w:r w:rsidRPr="006B7726">
        <w:rPr>
          <w:lang w:val="en-CA"/>
        </w:rPr>
        <w:t>and 220 municipalities.</w:t>
      </w:r>
      <w:r w:rsidR="00CA61C5" w:rsidRPr="00BA1219">
        <w:rPr>
          <w:lang w:val="en-CA"/>
        </w:rPr>
        <w:t xml:space="preserve"> </w:t>
      </w:r>
      <w:r w:rsidRPr="006B7726">
        <w:rPr>
          <w:lang w:val="en-CA"/>
        </w:rPr>
        <w:t>Its surface area is larger than Germany</w:t>
      </w:r>
      <w:r w:rsidR="00AE075C">
        <w:rPr>
          <w:lang w:val="en-CA"/>
        </w:rPr>
        <w:t>’s</w:t>
      </w:r>
      <w:r w:rsidRPr="006B7726">
        <w:rPr>
          <w:lang w:val="en-CA"/>
        </w:rPr>
        <w:t>.</w:t>
      </w:r>
      <w:r w:rsidRPr="006B7726">
        <w:rPr>
          <w:rStyle w:val="Appelnotedebasdep"/>
          <w:lang w:val="en-CA"/>
        </w:rPr>
        <w:footnoteReference w:id="111"/>
      </w:r>
      <w:r w:rsidR="00CA61C5" w:rsidRPr="00BA1219">
        <w:rPr>
          <w:lang w:val="en-CA"/>
        </w:rPr>
        <w:t xml:space="preserve"> </w:t>
      </w:r>
    </w:p>
    <w:p w14:paraId="3D577ED0" w14:textId="20397719" w:rsidR="00CA61C5" w:rsidRPr="00BA1219" w:rsidRDefault="00C32D80" w:rsidP="005A6BD1">
      <w:pPr>
        <w:pStyle w:val="Paragrsimple"/>
        <w:rPr>
          <w:lang w:val="en-CA"/>
        </w:rPr>
      </w:pPr>
      <w:r w:rsidRPr="00BA1219">
        <w:rPr>
          <w:lang w:val="en-CA"/>
        </w:rPr>
        <w:lastRenderedPageBreak/>
        <w:t>The New Frontiers School Board has 10,154 electors and is located in the southwest corner of Quebec, in Montérégie, and 4,000 students attend its institutions.</w:t>
      </w:r>
      <w:r w:rsidR="006457A0" w:rsidRPr="00BA1219">
        <w:rPr>
          <w:lang w:val="en-CA"/>
        </w:rPr>
        <w:t xml:space="preserve"> </w:t>
      </w:r>
      <w:r w:rsidRPr="00BA1219">
        <w:rPr>
          <w:lang w:val="en-CA"/>
        </w:rPr>
        <w:t xml:space="preserve">Its territories cover four </w:t>
      </w:r>
      <w:r w:rsidR="007C3247">
        <w:rPr>
          <w:lang w:val="en-CA"/>
        </w:rPr>
        <w:t>RCMs</w:t>
      </w:r>
      <w:r w:rsidR="007C3247" w:rsidRPr="00BA1219">
        <w:rPr>
          <w:lang w:val="en-CA"/>
        </w:rPr>
        <w:t xml:space="preserve"> </w:t>
      </w:r>
      <w:r w:rsidRPr="00BA1219">
        <w:rPr>
          <w:lang w:val="en-CA"/>
        </w:rPr>
        <w:t>and 21 municipalities.</w:t>
      </w:r>
      <w:r w:rsidR="006457A0" w:rsidRPr="00BA1219">
        <w:rPr>
          <w:lang w:val="en-CA"/>
        </w:rPr>
        <w:t xml:space="preserve"> </w:t>
      </w:r>
    </w:p>
    <w:p w14:paraId="60A8B525" w14:textId="6B893314" w:rsidR="00F4189C" w:rsidRPr="00BA1219" w:rsidRDefault="00C32D80" w:rsidP="005A6BD1">
      <w:pPr>
        <w:pStyle w:val="Paragrsimple"/>
        <w:rPr>
          <w:lang w:val="en-CA"/>
        </w:rPr>
      </w:pPr>
      <w:r w:rsidRPr="00BA1219">
        <w:rPr>
          <w:lang w:val="en-CA"/>
        </w:rPr>
        <w:t xml:space="preserve">Last, the Eastern Shores School Board, with 4,434 electors, </w:t>
      </w:r>
      <w:r w:rsidRPr="00BA1219">
        <w:rPr>
          <w:color w:val="1A1A1A"/>
          <w:lang w:val="en-CA"/>
        </w:rPr>
        <w:t>covers both shores of the S</w:t>
      </w:r>
      <w:r w:rsidR="00AE075C">
        <w:rPr>
          <w:color w:val="1A1A1A"/>
          <w:lang w:val="en-CA"/>
        </w:rPr>
        <w:t>aint</w:t>
      </w:r>
      <w:r w:rsidRPr="00BA1219">
        <w:rPr>
          <w:color w:val="1A1A1A"/>
          <w:lang w:val="en-CA"/>
        </w:rPr>
        <w:t xml:space="preserve"> Lawrence </w:t>
      </w:r>
      <w:r w:rsidR="00AE075C">
        <w:rPr>
          <w:color w:val="1A1A1A"/>
          <w:lang w:val="en-CA"/>
        </w:rPr>
        <w:t xml:space="preserve">River </w:t>
      </w:r>
      <w:r w:rsidRPr="00BA1219">
        <w:rPr>
          <w:color w:val="1A1A1A"/>
          <w:lang w:val="en-CA"/>
        </w:rPr>
        <w:t>and the Gulf</w:t>
      </w:r>
      <w:r w:rsidR="00AE075C">
        <w:rPr>
          <w:color w:val="1A1A1A"/>
          <w:lang w:val="en-CA"/>
        </w:rPr>
        <w:t xml:space="preserve"> of Saint Lawrence</w:t>
      </w:r>
      <w:r w:rsidRPr="00BA1219">
        <w:rPr>
          <w:color w:val="1A1A1A"/>
          <w:lang w:val="en-CA"/>
        </w:rPr>
        <w:t xml:space="preserve"> in the far east of Quebec, in Bas-S</w:t>
      </w:r>
      <w:r w:rsidR="00AE075C">
        <w:rPr>
          <w:color w:val="1A1A1A"/>
          <w:lang w:val="en-CA"/>
        </w:rPr>
        <w:t>ain</w:t>
      </w:r>
      <w:r w:rsidRPr="00BA1219">
        <w:rPr>
          <w:color w:val="1A1A1A"/>
          <w:lang w:val="en-CA"/>
        </w:rPr>
        <w:t>t-Laurent, Gaspésie, Îles-de-la-Madeleine and Côte-Nord, with the exception of the territory of the Centre de services scolaires du Littoral, which has a special status.</w:t>
      </w:r>
      <w:r w:rsidR="0096102C" w:rsidRPr="00BA1219">
        <w:rPr>
          <w:rFonts w:cs="Arial"/>
          <w:color w:val="1A1A1A"/>
          <w:shd w:val="clear" w:color="auto" w:fill="FFFFFF"/>
          <w:lang w:val="en-CA"/>
        </w:rPr>
        <w:t xml:space="preserve"> </w:t>
      </w:r>
      <w:r w:rsidRPr="006B7726">
        <w:rPr>
          <w:rFonts w:cs="Arial"/>
          <w:color w:val="1A1A1A"/>
          <w:shd w:val="clear" w:color="auto" w:fill="FFFFFF"/>
          <w:lang w:val="en-CA"/>
        </w:rPr>
        <w:t xml:space="preserve">It includes 12 </w:t>
      </w:r>
      <w:r w:rsidR="007C3247">
        <w:rPr>
          <w:rFonts w:cs="Arial"/>
          <w:color w:val="1A1A1A"/>
          <w:shd w:val="clear" w:color="auto" w:fill="FFFFFF"/>
          <w:lang w:val="en-CA"/>
        </w:rPr>
        <w:t>RCMs</w:t>
      </w:r>
      <w:r w:rsidR="007C3247" w:rsidRPr="006B7726">
        <w:rPr>
          <w:rFonts w:cs="Arial"/>
          <w:color w:val="1A1A1A"/>
          <w:shd w:val="clear" w:color="auto" w:fill="FFFFFF"/>
          <w:lang w:val="en-CA"/>
        </w:rPr>
        <w:t xml:space="preserve"> </w:t>
      </w:r>
      <w:r w:rsidRPr="006B7726">
        <w:rPr>
          <w:rFonts w:cs="Arial"/>
          <w:color w:val="1A1A1A"/>
          <w:shd w:val="clear" w:color="auto" w:fill="FFFFFF"/>
          <w:lang w:val="en-CA"/>
        </w:rPr>
        <w:t>and 120 municipalities.</w:t>
      </w:r>
      <w:r w:rsidR="0096102C" w:rsidRPr="00BA1219">
        <w:rPr>
          <w:rFonts w:cs="Arial"/>
          <w:color w:val="1A1A1A"/>
          <w:shd w:val="clear" w:color="auto" w:fill="FFFFFF"/>
          <w:lang w:val="en-CA"/>
        </w:rPr>
        <w:t xml:space="preserve"> </w:t>
      </w:r>
      <w:r w:rsidRPr="00BA1219">
        <w:rPr>
          <w:rFonts w:cs="Arial"/>
          <w:color w:val="1A1A1A"/>
          <w:shd w:val="clear" w:color="auto" w:fill="FFFFFF"/>
          <w:lang w:val="en-CA"/>
        </w:rPr>
        <w:t>In 2019-2020, there were 1,077 students enrolled in its schools and training centres.</w:t>
      </w:r>
    </w:p>
    <w:p w14:paraId="433A4680" w14:textId="112C34C4" w:rsidR="009644B9" w:rsidRPr="00BA1219" w:rsidRDefault="00C32D80" w:rsidP="005A6BD1">
      <w:pPr>
        <w:pStyle w:val="Paragrsimple"/>
        <w:rPr>
          <w:lang w:val="en-CA"/>
        </w:rPr>
      </w:pPr>
      <w:r w:rsidRPr="00BA1219">
        <w:rPr>
          <w:lang w:val="en-CA"/>
        </w:rPr>
        <w:t>The vastness of the territory covered by the seven school boards outside the Island of Montr</w:t>
      </w:r>
      <w:r w:rsidR="001C20AB">
        <w:rPr>
          <w:lang w:val="en-CA"/>
        </w:rPr>
        <w:t>e</w:t>
      </w:r>
      <w:r w:rsidRPr="00BA1219">
        <w:rPr>
          <w:lang w:val="en-CA"/>
        </w:rPr>
        <w:t xml:space="preserve">al is </w:t>
      </w:r>
      <w:r w:rsidR="001C20AB">
        <w:rPr>
          <w:lang w:val="en-CA"/>
        </w:rPr>
        <w:t>immediately apparent</w:t>
      </w:r>
      <w:r w:rsidRPr="00BA1219">
        <w:rPr>
          <w:lang w:val="en-CA"/>
        </w:rPr>
        <w:t>.</w:t>
      </w:r>
      <w:r w:rsidR="0096102C" w:rsidRPr="00BA1219">
        <w:rPr>
          <w:lang w:val="en-CA"/>
        </w:rPr>
        <w:t xml:space="preserve"> </w:t>
      </w:r>
    </w:p>
    <w:p w14:paraId="2DAF7238" w14:textId="2D2C0894" w:rsidR="003E5EDA" w:rsidRPr="006B7726" w:rsidRDefault="00C32D80" w:rsidP="005A6BD1">
      <w:pPr>
        <w:pStyle w:val="Paragrsimple"/>
        <w:rPr>
          <w:lang w:val="en-CA"/>
        </w:rPr>
      </w:pPr>
      <w:r w:rsidRPr="006B7726">
        <w:rPr>
          <w:lang w:val="en-CA"/>
        </w:rPr>
        <w:t>By comparison, there are currently 61 French-language service centres.</w:t>
      </w:r>
      <w:r w:rsidR="0096102C" w:rsidRPr="006B7726">
        <w:rPr>
          <w:lang w:val="en-CA"/>
        </w:rPr>
        <w:t xml:space="preserve"> </w:t>
      </w:r>
    </w:p>
    <w:p w14:paraId="3EBDA064" w14:textId="216DEBCF" w:rsidR="00801245" w:rsidRPr="00BA1219" w:rsidRDefault="00C32D80" w:rsidP="005A6BD1">
      <w:pPr>
        <w:pStyle w:val="Paragrsimple"/>
        <w:rPr>
          <w:lang w:val="en-CA"/>
        </w:rPr>
      </w:pPr>
      <w:r w:rsidRPr="00BA1219">
        <w:rPr>
          <w:lang w:val="en-CA"/>
        </w:rPr>
        <w:t xml:space="preserve">Not only does the geography pose particular challenges, but the </w:t>
      </w:r>
      <w:r w:rsidR="001C20AB">
        <w:rPr>
          <w:lang w:val="en-CA"/>
        </w:rPr>
        <w:t xml:space="preserve">situation of the </w:t>
      </w:r>
      <w:r w:rsidRPr="00BA1219">
        <w:rPr>
          <w:lang w:val="en-CA"/>
        </w:rPr>
        <w:t xml:space="preserve">English-speaking population of these regions is different </w:t>
      </w:r>
      <w:r w:rsidR="001C20AB">
        <w:rPr>
          <w:lang w:val="en-CA"/>
        </w:rPr>
        <w:t>from</w:t>
      </w:r>
      <w:r w:rsidR="001C20AB" w:rsidRPr="00BA1219">
        <w:rPr>
          <w:lang w:val="en-CA"/>
        </w:rPr>
        <w:t xml:space="preserve"> </w:t>
      </w:r>
      <w:r w:rsidRPr="00BA1219">
        <w:rPr>
          <w:lang w:val="en-CA"/>
        </w:rPr>
        <w:t>that of the Montreal region.</w:t>
      </w:r>
      <w:r w:rsidR="0086081F" w:rsidRPr="00BA1219">
        <w:rPr>
          <w:lang w:val="en-CA"/>
        </w:rPr>
        <w:t xml:space="preserve"> </w:t>
      </w:r>
    </w:p>
    <w:p w14:paraId="0BBEF233" w14:textId="5F8B1520" w:rsidR="0086081F" w:rsidRPr="00BA1219" w:rsidRDefault="00C32D80" w:rsidP="005A6BD1">
      <w:pPr>
        <w:pStyle w:val="Paragrsimple"/>
        <w:rPr>
          <w:lang w:val="en-CA"/>
        </w:rPr>
      </w:pPr>
      <w:r w:rsidRPr="00BA1219">
        <w:rPr>
          <w:lang w:val="en-CA"/>
        </w:rPr>
        <w:t xml:space="preserve">The expert report of Diane </w:t>
      </w:r>
      <w:proofErr w:type="spellStart"/>
      <w:r w:rsidRPr="00BA1219">
        <w:rPr>
          <w:lang w:val="en-CA"/>
        </w:rPr>
        <w:t>Gérin</w:t>
      </w:r>
      <w:proofErr w:type="spellEnd"/>
      <w:r w:rsidRPr="00BA1219">
        <w:rPr>
          <w:lang w:val="en-CA"/>
        </w:rPr>
        <w:t>-Lajoie</w:t>
      </w:r>
      <w:r w:rsidRPr="00BA1219">
        <w:rPr>
          <w:rStyle w:val="Appelnotedebasdep"/>
          <w:lang w:val="en-CA"/>
        </w:rPr>
        <w:footnoteReference w:id="112"/>
      </w:r>
      <w:r w:rsidRPr="00BA1219">
        <w:rPr>
          <w:lang w:val="en-CA"/>
        </w:rPr>
        <w:t xml:space="preserve"> addresses this </w:t>
      </w:r>
      <w:r w:rsidR="00936FC8" w:rsidRPr="00BA1219">
        <w:rPr>
          <w:lang w:val="en-CA"/>
        </w:rPr>
        <w:t>phenomenon</w:t>
      </w:r>
      <w:r w:rsidRPr="00BA1219">
        <w:rPr>
          <w:lang w:val="en-CA"/>
        </w:rPr>
        <w:t>.</w:t>
      </w:r>
      <w:r w:rsidR="0045486F" w:rsidRPr="00BA1219">
        <w:rPr>
          <w:lang w:val="en-CA"/>
        </w:rPr>
        <w:t xml:space="preserve"> </w:t>
      </w:r>
      <w:r w:rsidRPr="006B7726">
        <w:rPr>
          <w:lang w:val="en-CA"/>
        </w:rPr>
        <w:t>She notes the following:</w:t>
      </w:r>
    </w:p>
    <w:p w14:paraId="375E4826" w14:textId="305F9106" w:rsidR="008C34D0" w:rsidRPr="00BA1219" w:rsidRDefault="0045486F" w:rsidP="00586C37">
      <w:pPr>
        <w:pStyle w:val="Citation"/>
        <w:rPr>
          <w:lang w:val="en-CA" w:eastAsia="fr-CA"/>
        </w:rPr>
      </w:pPr>
      <w:r w:rsidRPr="00BA1219">
        <w:rPr>
          <w:lang w:val="en-CA" w:eastAsia="fr-CA"/>
        </w:rPr>
        <w:t>11</w:t>
      </w:r>
      <w:r w:rsidRPr="00BA1219">
        <w:rPr>
          <w:lang w:val="en-CA" w:eastAsia="fr-CA"/>
        </w:rPr>
        <w:tab/>
        <w:t>…</w:t>
      </w:r>
      <w:r w:rsidR="000A1868">
        <w:rPr>
          <w:lang w:val="en-CA" w:eastAsia="fr-CA"/>
        </w:rPr>
        <w:t xml:space="preserve"> </w:t>
      </w:r>
      <w:r w:rsidRPr="00BA1219">
        <w:rPr>
          <w:lang w:val="en-CA" w:eastAsia="fr-CA"/>
        </w:rPr>
        <w:t>the difference between the situation of Anglophone minority populations in the Montreal area and the situation of Anglophones living outside of Montreal, in the province’s regions. In fact, Quebec’s English-language official minority is composed of several communities whose everyday lived experiences differ. Those experiences have a definite impact on the vitality of the communities (</w:t>
      </w:r>
      <w:proofErr w:type="spellStart"/>
      <w:r w:rsidRPr="00BA1219">
        <w:rPr>
          <w:lang w:val="en-CA" w:eastAsia="fr-CA"/>
        </w:rPr>
        <w:t>Gérin</w:t>
      </w:r>
      <w:proofErr w:type="spellEnd"/>
      <w:r w:rsidRPr="00BA1219">
        <w:rPr>
          <w:lang w:val="en-CA" w:eastAsia="fr-CA"/>
        </w:rPr>
        <w:t xml:space="preserve">-Lajoie, 2011, 2016). The research I have conducted in Quebec since 2005 indicates, without any doubt, the presence of diverse English-language communities in Quebec. Through individual, in-depth interviews with more than 100 participants, my research has found that members of Quebec’s English-language communities live very different realities. In addition, the vitality of the communities depends on the members’ access to resources (such as bookstores, community centres, theater, etc.) and services in the minority language and on the existence of established Anglophone institutions in the areas they live. For an Anglophone, to live in the region of la </w:t>
      </w:r>
      <w:proofErr w:type="spellStart"/>
      <w:r w:rsidRPr="00BA1219">
        <w:rPr>
          <w:lang w:val="en-CA" w:eastAsia="fr-CA"/>
        </w:rPr>
        <w:t>Mauricie</w:t>
      </w:r>
      <w:proofErr w:type="spellEnd"/>
      <w:r w:rsidRPr="00BA1219">
        <w:rPr>
          <w:lang w:val="en-CA" w:eastAsia="fr-CA"/>
        </w:rPr>
        <w:t>, for example, is quite different from living in Montreal. It is also worth noting that even Anglophones in Montreal do not see themselves as one large homogeneous community, as often portrayed. Anglophones from the West Island, Verdun and in the East end of Montreal, for example, do not share the same social, linguistic, cultural and economic experiences (</w:t>
      </w:r>
      <w:proofErr w:type="spellStart"/>
      <w:r w:rsidRPr="00BA1219">
        <w:rPr>
          <w:lang w:val="en-CA" w:eastAsia="fr-CA"/>
        </w:rPr>
        <w:t>Gérin</w:t>
      </w:r>
      <w:proofErr w:type="spellEnd"/>
      <w:r w:rsidRPr="00BA1219">
        <w:rPr>
          <w:lang w:val="en-CA" w:eastAsia="fr-CA"/>
        </w:rPr>
        <w:t>-Lajoie, 2011)</w:t>
      </w:r>
    </w:p>
    <w:p w14:paraId="3702A76E" w14:textId="77777777" w:rsidR="0045486F" w:rsidRPr="00BA1219" w:rsidRDefault="0096102C" w:rsidP="00586C37">
      <w:pPr>
        <w:pStyle w:val="Citation"/>
        <w:rPr>
          <w:rFonts w:cs="Arial"/>
          <w:lang w:val="en-CA" w:eastAsia="fr-CA"/>
        </w:rPr>
      </w:pPr>
      <w:r w:rsidRPr="00BA1219">
        <w:rPr>
          <w:lang w:val="en-CA"/>
        </w:rPr>
        <w:t>12</w:t>
      </w:r>
      <w:r w:rsidRPr="00BA1219">
        <w:rPr>
          <w:lang w:val="en-CA"/>
        </w:rPr>
        <w:tab/>
        <w:t xml:space="preserve">My findings, over the course of my three programs of qualitative research in English minority language schools (2005-2008; 2009-2012; 2013-2016), lead to the conclusion that disparities exist between Montreal and the rest of the </w:t>
      </w:r>
      <w:r w:rsidRPr="00BA1219">
        <w:rPr>
          <w:lang w:val="en-CA"/>
        </w:rPr>
        <w:lastRenderedPageBreak/>
        <w:t>province and those disparities have a direct impact on the use of language and the vitality of the linguistic minority group. Anglophones living in regions are isolated. Lamarre (2012) explains that,</w:t>
      </w:r>
      <w:r w:rsidRPr="00BA1219">
        <w:rPr>
          <w:spacing w:val="40"/>
          <w:lang w:val="en-CA"/>
        </w:rPr>
        <w:t xml:space="preserve"> </w:t>
      </w:r>
      <w:r w:rsidRPr="00BA1219">
        <w:rPr>
          <w:lang w:val="en-CA"/>
        </w:rPr>
        <w:t>contrary to the situation in Montreal where Anglophones have better institutional support, Anglophones outside of Montreal who are dispersed on large territories face the same problems as Francophones do outside of Quebec: little access to services in English, a</w:t>
      </w:r>
      <w:r w:rsidRPr="00BA1219">
        <w:rPr>
          <w:spacing w:val="-1"/>
          <w:lang w:val="en-CA"/>
        </w:rPr>
        <w:t xml:space="preserve"> </w:t>
      </w:r>
      <w:r w:rsidRPr="00BA1219">
        <w:rPr>
          <w:lang w:val="en-CA"/>
        </w:rPr>
        <w:t>lack of resources, such as bookstores, community centres, theater, etc. and the absence of institutional support.</w:t>
      </w:r>
    </w:p>
    <w:p w14:paraId="7BDE07B1" w14:textId="34808E57" w:rsidR="008C34D0" w:rsidRPr="00BA1219" w:rsidRDefault="00C32D80" w:rsidP="00EB3EED">
      <w:pPr>
        <w:pStyle w:val="Paragrsimple"/>
        <w:rPr>
          <w:lang w:val="en-CA"/>
        </w:rPr>
      </w:pPr>
      <w:r w:rsidRPr="00BA1219">
        <w:rPr>
          <w:lang w:val="en-CA"/>
        </w:rPr>
        <w:t xml:space="preserve">These issues of dispersion and the lack of vitality of the English-speaking community outside of Montreal are not without consequence </w:t>
      </w:r>
      <w:r w:rsidR="000A1868">
        <w:rPr>
          <w:lang w:val="en-CA"/>
        </w:rPr>
        <w:t>on</w:t>
      </w:r>
      <w:r w:rsidRPr="00BA1219">
        <w:rPr>
          <w:lang w:val="en-CA"/>
        </w:rPr>
        <w:t xml:space="preserve"> the infringement of the rights guaranteed by section 23 of the </w:t>
      </w:r>
      <w:r w:rsidRPr="00BA1219">
        <w:rPr>
          <w:i/>
          <w:lang w:val="en-CA"/>
        </w:rPr>
        <w:t>Act</w:t>
      </w:r>
      <w:r w:rsidRPr="00BA1219">
        <w:rPr>
          <w:lang w:val="en-CA"/>
        </w:rPr>
        <w:t>.</w:t>
      </w:r>
      <w:r w:rsidR="0096102C" w:rsidRPr="00BA1219">
        <w:rPr>
          <w:lang w:val="en-CA"/>
        </w:rPr>
        <w:t xml:space="preserve"> </w:t>
      </w:r>
    </w:p>
    <w:p w14:paraId="0FD9FE40" w14:textId="56AFEA2D" w:rsidR="006A3D7B" w:rsidRPr="006B7726" w:rsidRDefault="00081BA8" w:rsidP="006C01F8">
      <w:pPr>
        <w:pStyle w:val="Titre2"/>
        <w:numPr>
          <w:ilvl w:val="0"/>
          <w:numId w:val="0"/>
        </w:numPr>
        <w:ind w:left="720"/>
        <w:rPr>
          <w:lang w:val="en-CA"/>
        </w:rPr>
      </w:pPr>
      <w:r>
        <w:rPr>
          <w:lang w:val="en-CA"/>
        </w:rPr>
        <w:t xml:space="preserve">(f) </w:t>
      </w:r>
      <w:bookmarkStart w:id="34" w:name="_Hlk149038430"/>
      <w:r w:rsidR="00C32D80" w:rsidRPr="006B7726">
        <w:rPr>
          <w:lang w:val="en-CA"/>
        </w:rPr>
        <w:t>The management and control of educational institutions by the minority</w:t>
      </w:r>
      <w:bookmarkEnd w:id="34"/>
    </w:p>
    <w:p w14:paraId="38FB94EC" w14:textId="65266C6B" w:rsidR="006457A0" w:rsidRPr="00BA1219" w:rsidRDefault="00C32D80" w:rsidP="00EB3EED">
      <w:pPr>
        <w:pStyle w:val="Paragrsimple"/>
        <w:rPr>
          <w:lang w:val="en-CA"/>
        </w:rPr>
      </w:pPr>
      <w:r w:rsidRPr="00BA1219">
        <w:rPr>
          <w:lang w:val="en-CA"/>
        </w:rPr>
        <w:t xml:space="preserve">With the exception of the challenge to section 212 of the </w:t>
      </w:r>
      <w:r w:rsidRPr="00BA1219">
        <w:rPr>
          <w:i/>
          <w:lang w:val="en-CA"/>
        </w:rPr>
        <w:t>Act</w:t>
      </w:r>
      <w:r w:rsidRPr="00BA1219">
        <w:rPr>
          <w:lang w:val="en-CA"/>
        </w:rPr>
        <w:t>, which concerns elector and beneficiary status, all the sections challenged as infringing the rights of section 23 concern the minority's exclusive power to manage and control its educational institutions.</w:t>
      </w:r>
      <w:r w:rsidR="0096102C" w:rsidRPr="00BA1219">
        <w:rPr>
          <w:lang w:val="en-CA"/>
        </w:rPr>
        <w:t xml:space="preserve"> </w:t>
      </w:r>
    </w:p>
    <w:p w14:paraId="268CFA00" w14:textId="0ABE5BB7" w:rsidR="00A47A79" w:rsidRPr="00BA1219" w:rsidRDefault="00C32D80" w:rsidP="00EB3EED">
      <w:pPr>
        <w:pStyle w:val="Paragrsimple"/>
        <w:rPr>
          <w:lang w:val="en-CA"/>
        </w:rPr>
      </w:pPr>
      <w:r w:rsidRPr="00BA1219">
        <w:rPr>
          <w:lang w:val="en-CA"/>
        </w:rPr>
        <w:t xml:space="preserve">The excerpt from </w:t>
      </w:r>
      <w:r w:rsidRPr="00BA1219">
        <w:rPr>
          <w:i/>
          <w:lang w:val="en-CA"/>
        </w:rPr>
        <w:t>Mahe</w:t>
      </w:r>
      <w:r w:rsidRPr="00BA1219">
        <w:rPr>
          <w:lang w:val="en-CA"/>
        </w:rPr>
        <w:t xml:space="preserve"> on which that argument is based has already been articulated.</w:t>
      </w:r>
      <w:r w:rsidR="0096102C" w:rsidRPr="00BA1219">
        <w:rPr>
          <w:lang w:val="en-CA"/>
        </w:rPr>
        <w:t xml:space="preserve"> </w:t>
      </w:r>
      <w:r w:rsidRPr="006B7726">
        <w:rPr>
          <w:lang w:val="en-CA"/>
        </w:rPr>
        <w:t>It is appropriate to repeat it:</w:t>
      </w:r>
    </w:p>
    <w:p w14:paraId="095FAACB" w14:textId="4B36FC59" w:rsidR="00A47A79" w:rsidRPr="006B7726" w:rsidRDefault="00C32D80" w:rsidP="001D63DA">
      <w:pPr>
        <w:pStyle w:val="Citation"/>
        <w:rPr>
          <w:lang w:val="en-CA"/>
        </w:rPr>
      </w:pPr>
      <w:r w:rsidRPr="006B7726">
        <w:rPr>
          <w:lang w:val="en-CA"/>
        </w:rPr>
        <w:t>The minority language representatives should have exclusive authority to make decisions relating to the minority language instruction and facilities, including:</w:t>
      </w:r>
    </w:p>
    <w:p w14:paraId="3AAA465C" w14:textId="602CC7CD" w:rsidR="00A47A79" w:rsidRPr="006B7726" w:rsidRDefault="00C32D80" w:rsidP="00C32D80">
      <w:pPr>
        <w:pStyle w:val="Citation"/>
        <w:jc w:val="left"/>
        <w:rPr>
          <w:lang w:val="en-CA"/>
        </w:rPr>
      </w:pPr>
      <w:r w:rsidRPr="006B7726">
        <w:rPr>
          <w:lang w:val="en-CA"/>
        </w:rPr>
        <w:t>(a)</w:t>
      </w:r>
      <w:r w:rsidR="00936FC8">
        <w:rPr>
          <w:lang w:val="en-CA"/>
        </w:rPr>
        <w:t xml:space="preserve"> </w:t>
      </w:r>
      <w:r w:rsidRPr="006B7726">
        <w:rPr>
          <w:lang w:val="en-CA"/>
        </w:rPr>
        <w:t>expenditures of funds provided for such instruction and facilities;</w:t>
      </w:r>
      <w:r w:rsidRPr="006B7726">
        <w:rPr>
          <w:lang w:val="en-CA"/>
        </w:rPr>
        <w:br/>
        <w:t xml:space="preserve"> </w:t>
      </w:r>
      <w:r w:rsidRPr="006B7726">
        <w:rPr>
          <w:lang w:val="en-CA"/>
        </w:rPr>
        <w:br/>
        <w:t>(b)</w:t>
      </w:r>
      <w:r w:rsidR="00936FC8">
        <w:rPr>
          <w:lang w:val="en-CA"/>
        </w:rPr>
        <w:t xml:space="preserve"> </w:t>
      </w:r>
      <w:r w:rsidRPr="006B7726">
        <w:rPr>
          <w:lang w:val="en-CA"/>
        </w:rPr>
        <w:t>appointment and direction of those responsible for the administration of such instruction and facilities;</w:t>
      </w:r>
      <w:r w:rsidRPr="006B7726">
        <w:rPr>
          <w:lang w:val="en-CA"/>
        </w:rPr>
        <w:br/>
      </w:r>
      <w:r w:rsidRPr="006B7726">
        <w:rPr>
          <w:lang w:val="en-CA"/>
        </w:rPr>
        <w:br/>
        <w:t>(c)</w:t>
      </w:r>
      <w:r w:rsidR="00936FC8">
        <w:rPr>
          <w:lang w:val="en-CA"/>
        </w:rPr>
        <w:t xml:space="preserve"> </w:t>
      </w:r>
      <w:r w:rsidRPr="006B7726">
        <w:rPr>
          <w:lang w:val="en-CA"/>
        </w:rPr>
        <w:t>establishment of programs of instruction;</w:t>
      </w:r>
      <w:r w:rsidRPr="006B7726">
        <w:rPr>
          <w:lang w:val="en-CA"/>
        </w:rPr>
        <w:br/>
      </w:r>
      <w:r w:rsidRPr="006B7726">
        <w:rPr>
          <w:lang w:val="en-CA"/>
        </w:rPr>
        <w:br/>
        <w:t>(d)</w:t>
      </w:r>
      <w:r w:rsidR="00936FC8">
        <w:rPr>
          <w:lang w:val="en-CA"/>
        </w:rPr>
        <w:t xml:space="preserve"> </w:t>
      </w:r>
      <w:r w:rsidRPr="006B7726">
        <w:rPr>
          <w:lang w:val="en-CA"/>
        </w:rPr>
        <w:t>recruitment and assignment of teachers and other personnel; and</w:t>
      </w:r>
      <w:r w:rsidRPr="006B7726">
        <w:rPr>
          <w:lang w:val="en-CA"/>
        </w:rPr>
        <w:br/>
      </w:r>
      <w:r w:rsidRPr="006B7726">
        <w:rPr>
          <w:lang w:val="en-CA"/>
        </w:rPr>
        <w:br/>
        <w:t>(e)</w:t>
      </w:r>
      <w:r w:rsidR="00936FC8">
        <w:rPr>
          <w:lang w:val="en-CA"/>
        </w:rPr>
        <w:t xml:space="preserve"> </w:t>
      </w:r>
      <w:r w:rsidRPr="006B7726">
        <w:rPr>
          <w:lang w:val="en-CA"/>
        </w:rPr>
        <w:t>making of agreements for education and services for minority language pupils.</w:t>
      </w:r>
    </w:p>
    <w:p w14:paraId="3159FE15" w14:textId="79B65F26" w:rsidR="00F74455" w:rsidRPr="00BA1219" w:rsidRDefault="00C32D80" w:rsidP="008A3FC4">
      <w:pPr>
        <w:pStyle w:val="Paragrsimple"/>
        <w:rPr>
          <w:rFonts w:cs="Arial"/>
          <w:color w:val="000000"/>
          <w:szCs w:val="24"/>
          <w:lang w:val="en-CA" w:eastAsia="fr-CA"/>
        </w:rPr>
      </w:pPr>
      <w:r w:rsidRPr="00BA1219">
        <w:rPr>
          <w:lang w:val="en-CA"/>
        </w:rPr>
        <w:t xml:space="preserve"> Few decisions have analy</w:t>
      </w:r>
      <w:r w:rsidR="003C5904">
        <w:rPr>
          <w:lang w:val="en-CA"/>
        </w:rPr>
        <w:t>z</w:t>
      </w:r>
      <w:r w:rsidRPr="00BA1219">
        <w:rPr>
          <w:lang w:val="en-CA"/>
        </w:rPr>
        <w:t>ed provincial legislation with regard to this notion of management and control.</w:t>
      </w:r>
      <w:r w:rsidR="003C535D" w:rsidRPr="00BA1219">
        <w:rPr>
          <w:lang w:val="en-CA"/>
        </w:rPr>
        <w:t xml:space="preserve"> </w:t>
      </w:r>
      <w:r w:rsidRPr="00BA1219">
        <w:rPr>
          <w:rFonts w:cs="Arial"/>
          <w:color w:val="000000"/>
          <w:szCs w:val="24"/>
          <w:lang w:val="en-CA" w:eastAsia="fr-CA"/>
        </w:rPr>
        <w:t>On this subject, the Supreme Court of Canada wrote: “Exhaustive specifics cannot be given principally because of the sliding scale of rights and the need to adapt modalities to the particular circumstances of each province or territory.”</w:t>
      </w:r>
      <w:r w:rsidRPr="00BA1219">
        <w:rPr>
          <w:rStyle w:val="Appelnotedebasdep"/>
          <w:rFonts w:cs="Arial"/>
          <w:color w:val="000000"/>
          <w:szCs w:val="24"/>
          <w:lang w:val="en-CA" w:eastAsia="fr-CA"/>
        </w:rPr>
        <w:footnoteReference w:id="113"/>
      </w:r>
      <w:r w:rsidR="00CF0694" w:rsidRPr="00BA1219">
        <w:rPr>
          <w:rFonts w:cs="Arial"/>
          <w:color w:val="000000"/>
          <w:szCs w:val="24"/>
          <w:lang w:val="en-CA" w:eastAsia="fr-CA"/>
        </w:rPr>
        <w:t> </w:t>
      </w:r>
    </w:p>
    <w:p w14:paraId="64752A1E" w14:textId="49E7E57F" w:rsidR="00F23F66" w:rsidRPr="00BA1219" w:rsidRDefault="00C32D80" w:rsidP="00F23F66">
      <w:pPr>
        <w:pStyle w:val="Paragrdouble"/>
        <w:spacing w:line="240" w:lineRule="auto"/>
        <w:rPr>
          <w:lang w:val="en-CA" w:eastAsia="fr-CA"/>
        </w:rPr>
      </w:pPr>
      <w:r w:rsidRPr="00BA1219">
        <w:rPr>
          <w:lang w:val="en-CA" w:eastAsia="fr-CA"/>
        </w:rPr>
        <w:t xml:space="preserve">However, it is important to point out that this notion of management and control had been the subject of a judicial </w:t>
      </w:r>
      <w:r w:rsidR="00D015D8">
        <w:rPr>
          <w:lang w:val="en-CA" w:eastAsia="fr-CA"/>
        </w:rPr>
        <w:t>consideration</w:t>
      </w:r>
      <w:r w:rsidR="00D015D8" w:rsidRPr="00BA1219">
        <w:rPr>
          <w:lang w:val="en-CA" w:eastAsia="fr-CA"/>
        </w:rPr>
        <w:t xml:space="preserve"> </w:t>
      </w:r>
      <w:r w:rsidRPr="00BA1219">
        <w:rPr>
          <w:lang w:val="en-CA" w:eastAsia="fr-CA"/>
        </w:rPr>
        <w:t>in relation to the constitutional</w:t>
      </w:r>
      <w:r w:rsidR="003C5904">
        <w:rPr>
          <w:lang w:val="en-CA" w:eastAsia="fr-CA"/>
        </w:rPr>
        <w:t>ity</w:t>
      </w:r>
      <w:r w:rsidRPr="00BA1219">
        <w:rPr>
          <w:lang w:val="en-CA" w:eastAsia="fr-CA"/>
        </w:rPr>
        <w:t xml:space="preserve"> of </w:t>
      </w:r>
      <w:r w:rsidRPr="006C01F8">
        <w:rPr>
          <w:lang w:val="en-CA" w:eastAsia="fr-CA"/>
        </w:rPr>
        <w:t>Bill</w:t>
      </w:r>
      <w:r w:rsidR="00C71A80" w:rsidRPr="006C01F8">
        <w:rPr>
          <w:lang w:val="en-CA" w:eastAsia="fr-CA"/>
        </w:rPr>
        <w:t> </w:t>
      </w:r>
      <w:r w:rsidRPr="006C01F8">
        <w:rPr>
          <w:lang w:val="en-CA" w:eastAsia="fr-CA"/>
        </w:rPr>
        <w:t>3</w:t>
      </w:r>
      <w:r w:rsidRPr="00BA1219">
        <w:rPr>
          <w:lang w:val="en-CA" w:eastAsia="fr-CA"/>
        </w:rPr>
        <w:t xml:space="preserve"> in </w:t>
      </w:r>
      <w:r w:rsidRPr="00BA1219">
        <w:rPr>
          <w:lang w:val="en-CA" w:eastAsia="fr-CA"/>
        </w:rPr>
        <w:lastRenderedPageBreak/>
        <w:t>1984</w:t>
      </w:r>
      <w:r w:rsidR="003C5904">
        <w:rPr>
          <w:lang w:val="en-CA" w:eastAsia="fr-CA"/>
        </w:rPr>
        <w:t xml:space="preserve"> having regard to</w:t>
      </w:r>
      <w:r w:rsidRPr="00BA1219">
        <w:rPr>
          <w:lang w:val="en-CA" w:eastAsia="fr-CA"/>
        </w:rPr>
        <w:t xml:space="preserve"> section </w:t>
      </w:r>
      <w:r w:rsidR="00C71A80" w:rsidRPr="00BA1219">
        <w:rPr>
          <w:lang w:val="en-CA" w:eastAsia="fr-CA"/>
        </w:rPr>
        <w:t xml:space="preserve">93 </w:t>
      </w:r>
      <w:r w:rsidRPr="00BA1219">
        <w:rPr>
          <w:lang w:val="en-CA" w:eastAsia="fr-CA"/>
        </w:rPr>
        <w:t xml:space="preserve">of the </w:t>
      </w:r>
      <w:r w:rsidRPr="00BA1219">
        <w:rPr>
          <w:i/>
          <w:lang w:val="en-CA" w:eastAsia="fr-CA"/>
        </w:rPr>
        <w:t>Constitution Act, 1867</w:t>
      </w:r>
      <w:r w:rsidRPr="00BA1219">
        <w:rPr>
          <w:lang w:val="en-CA" w:eastAsia="fr-CA"/>
        </w:rPr>
        <w:t>.</w:t>
      </w:r>
      <w:r w:rsidR="00B52B1D" w:rsidRPr="00BA1219">
        <w:rPr>
          <w:lang w:val="en-CA" w:eastAsia="fr-CA"/>
        </w:rPr>
        <w:t xml:space="preserve"> </w:t>
      </w:r>
      <w:r w:rsidRPr="00BA1219">
        <w:rPr>
          <w:lang w:val="en-CA" w:eastAsia="fr-CA"/>
        </w:rPr>
        <w:t>The Honourable André Brossard J.S.C., as he then was, ruled on rights that are protected in this way:</w:t>
      </w:r>
      <w:r w:rsidRPr="00BA1219">
        <w:rPr>
          <w:rStyle w:val="Appelnotedebasdep"/>
          <w:lang w:val="en-CA" w:eastAsia="fr-CA"/>
        </w:rPr>
        <w:footnoteReference w:id="114"/>
      </w:r>
    </w:p>
    <w:p w14:paraId="7DDDAD77" w14:textId="3FB58FFA" w:rsidR="00B52B1D" w:rsidRPr="00BA1219" w:rsidRDefault="0096102C" w:rsidP="00B52B1D">
      <w:pPr>
        <w:pStyle w:val="Paragrdouble"/>
        <w:numPr>
          <w:ilvl w:val="0"/>
          <w:numId w:val="0"/>
        </w:numPr>
        <w:spacing w:line="240" w:lineRule="auto"/>
        <w:ind w:left="731"/>
        <w:rPr>
          <w:rFonts w:cs="Arial"/>
          <w:color w:val="000000"/>
          <w:sz w:val="22"/>
          <w:szCs w:val="22"/>
          <w:shd w:val="clear" w:color="auto" w:fill="FFFFFF"/>
          <w:lang w:val="en-CA"/>
        </w:rPr>
      </w:pPr>
      <w:r w:rsidRPr="00BA1219">
        <w:rPr>
          <w:rFonts w:cs="Arial"/>
          <w:color w:val="000000"/>
          <w:sz w:val="22"/>
          <w:szCs w:val="22"/>
          <w:shd w:val="clear" w:color="auto" w:fill="FFFFFF"/>
          <w:lang w:val="en-CA"/>
        </w:rPr>
        <w:t>that the rights and privileges protected by s. 93(1) and (2) of the </w:t>
      </w:r>
      <w:r w:rsidRPr="00BA1219">
        <w:rPr>
          <w:rStyle w:val="italic"/>
          <w:rFonts w:cs="Arial"/>
          <w:i/>
          <w:iCs/>
          <w:color w:val="000000"/>
          <w:sz w:val="22"/>
          <w:szCs w:val="22"/>
          <w:shd w:val="clear" w:color="auto" w:fill="FFFFFF"/>
          <w:lang w:val="en-CA"/>
        </w:rPr>
        <w:t xml:space="preserve">Constitution Act, 1867 </w:t>
      </w:r>
      <w:r w:rsidRPr="00BA1219">
        <w:rPr>
          <w:rFonts w:cs="Arial"/>
          <w:color w:val="000000"/>
          <w:sz w:val="22"/>
          <w:szCs w:val="22"/>
          <w:shd w:val="clear" w:color="auto" w:fill="FFFFFF"/>
          <w:lang w:val="en-CA"/>
        </w:rPr>
        <w:t xml:space="preserve">include </w:t>
      </w:r>
      <w:r w:rsidRPr="00BA1219">
        <w:rPr>
          <w:rFonts w:cs="Arial"/>
          <w:color w:val="000000"/>
          <w:sz w:val="22"/>
          <w:szCs w:val="22"/>
          <w:u w:val="single"/>
          <w:shd w:val="clear" w:color="auto" w:fill="FFFFFF"/>
          <w:lang w:val="en-CA"/>
        </w:rPr>
        <w:t>the right to elect their own trustees</w:t>
      </w:r>
      <w:r w:rsidRPr="00BA1219">
        <w:rPr>
          <w:rFonts w:cs="Arial"/>
          <w:color w:val="000000"/>
          <w:sz w:val="22"/>
          <w:szCs w:val="22"/>
          <w:shd w:val="clear" w:color="auto" w:fill="FFFFFF"/>
          <w:lang w:val="en-CA"/>
        </w:rPr>
        <w:t xml:space="preserve">, </w:t>
      </w:r>
      <w:r w:rsidRPr="00BA1219">
        <w:rPr>
          <w:rFonts w:cs="Arial"/>
          <w:color w:val="000000"/>
          <w:sz w:val="22"/>
          <w:szCs w:val="22"/>
          <w:u w:val="single"/>
          <w:shd w:val="clear" w:color="auto" w:fill="FFFFFF"/>
          <w:lang w:val="en-CA"/>
        </w:rPr>
        <w:t>the right to</w:t>
      </w:r>
      <w:r w:rsidRPr="00BA1219">
        <w:rPr>
          <w:rFonts w:cs="Arial"/>
          <w:color w:val="000000"/>
          <w:sz w:val="22"/>
          <w:szCs w:val="22"/>
          <w:shd w:val="clear" w:color="auto" w:fill="FFFFFF"/>
          <w:lang w:val="en-CA"/>
        </w:rPr>
        <w:t xml:space="preserve"> possess and </w:t>
      </w:r>
      <w:r w:rsidRPr="00BA1219">
        <w:rPr>
          <w:rFonts w:cs="Arial"/>
          <w:color w:val="000000"/>
          <w:sz w:val="22"/>
          <w:szCs w:val="22"/>
          <w:u w:val="single"/>
          <w:shd w:val="clear" w:color="auto" w:fill="FFFFFF"/>
          <w:lang w:val="en-CA"/>
        </w:rPr>
        <w:t>manage their own</w:t>
      </w:r>
      <w:r w:rsidRPr="00BA1219">
        <w:rPr>
          <w:rFonts w:cs="Arial"/>
          <w:color w:val="000000"/>
          <w:sz w:val="22"/>
          <w:szCs w:val="22"/>
          <w:shd w:val="clear" w:color="auto" w:fill="FFFFFF"/>
          <w:lang w:val="en-CA"/>
        </w:rPr>
        <w:t xml:space="preserve"> </w:t>
      </w:r>
      <w:r w:rsidRPr="00BA1219">
        <w:rPr>
          <w:rFonts w:cs="Arial"/>
          <w:color w:val="000000"/>
          <w:sz w:val="22"/>
          <w:szCs w:val="22"/>
          <w:u w:val="single"/>
          <w:shd w:val="clear" w:color="auto" w:fill="FFFFFF"/>
          <w:lang w:val="en-CA"/>
        </w:rPr>
        <w:t>denominational schools</w:t>
      </w:r>
      <w:r w:rsidRPr="00BA1219">
        <w:rPr>
          <w:rFonts w:cs="Arial"/>
          <w:color w:val="000000"/>
          <w:sz w:val="22"/>
          <w:szCs w:val="22"/>
          <w:shd w:val="clear" w:color="auto" w:fill="FFFFFF"/>
          <w:lang w:val="en-CA"/>
        </w:rPr>
        <w:t>, the right of control over and the right to choose teaching staff within certain legislative limits, the right of visitation by the religious authorities of their denomination, the exclusive right to the choice of books of religion by the ecclesiastical authorities of their denomination, the unlimited power of taxation of their co-religionists and a discretionary power of borrowing within limits determined by law.</w:t>
      </w:r>
    </w:p>
    <w:p w14:paraId="3C54B600" w14:textId="49E1A8EF" w:rsidR="00F23F66" w:rsidRPr="006B7726" w:rsidRDefault="0096102C" w:rsidP="00B52B1D">
      <w:pPr>
        <w:pStyle w:val="Paragrdouble"/>
        <w:numPr>
          <w:ilvl w:val="0"/>
          <w:numId w:val="0"/>
        </w:numPr>
        <w:spacing w:line="240" w:lineRule="auto"/>
        <w:ind w:left="731"/>
        <w:jc w:val="left"/>
        <w:rPr>
          <w:lang w:val="en-CA"/>
        </w:rPr>
      </w:pPr>
      <w:r w:rsidRPr="00BA1219">
        <w:rPr>
          <w:rFonts w:cs="Arial"/>
          <w:color w:val="000000"/>
          <w:szCs w:val="24"/>
          <w:shd w:val="clear" w:color="auto" w:fill="FFFFFF"/>
          <w:lang w:val="en-CA"/>
        </w:rPr>
        <w:tab/>
      </w:r>
      <w:r w:rsidRPr="00BA1219">
        <w:rPr>
          <w:rFonts w:cs="Arial"/>
          <w:color w:val="000000"/>
          <w:szCs w:val="24"/>
          <w:shd w:val="clear" w:color="auto" w:fill="FFFFFF"/>
          <w:lang w:val="en-CA"/>
        </w:rPr>
        <w:tab/>
      </w:r>
      <w:r w:rsidRPr="00BA1219">
        <w:rPr>
          <w:rFonts w:cs="Arial"/>
          <w:color w:val="000000"/>
          <w:szCs w:val="24"/>
          <w:shd w:val="clear" w:color="auto" w:fill="FFFFFF"/>
          <w:lang w:val="en-CA"/>
        </w:rPr>
        <w:tab/>
      </w:r>
      <w:r w:rsidRPr="00BA1219">
        <w:rPr>
          <w:rFonts w:cs="Arial"/>
          <w:color w:val="000000"/>
          <w:szCs w:val="24"/>
          <w:shd w:val="clear" w:color="auto" w:fill="FFFFFF"/>
          <w:lang w:val="en-CA"/>
        </w:rPr>
        <w:tab/>
      </w:r>
      <w:r w:rsidRPr="00BA1219">
        <w:rPr>
          <w:rFonts w:cs="Arial"/>
          <w:color w:val="000000"/>
          <w:szCs w:val="24"/>
          <w:shd w:val="clear" w:color="auto" w:fill="FFFFFF"/>
          <w:lang w:val="en-CA"/>
        </w:rPr>
        <w:tab/>
      </w:r>
      <w:r w:rsidRPr="00BA1219">
        <w:rPr>
          <w:rFonts w:cs="Arial"/>
          <w:color w:val="000000"/>
          <w:szCs w:val="24"/>
          <w:shd w:val="clear" w:color="auto" w:fill="FFFFFF"/>
          <w:lang w:val="en-CA"/>
        </w:rPr>
        <w:tab/>
      </w:r>
      <w:r w:rsidR="00C32D80" w:rsidRPr="00BA1219">
        <w:rPr>
          <w:rFonts w:cs="Arial"/>
          <w:color w:val="000000"/>
          <w:szCs w:val="24"/>
          <w:shd w:val="clear" w:color="auto" w:fill="FFFFFF"/>
          <w:lang w:val="en-CA"/>
        </w:rPr>
        <w:t xml:space="preserve">                                 </w:t>
      </w:r>
      <w:r w:rsidR="00F8060B" w:rsidRPr="006B7726">
        <w:rPr>
          <w:rFonts w:cs="Arial"/>
          <w:color w:val="000000"/>
          <w:szCs w:val="24"/>
          <w:shd w:val="clear" w:color="auto" w:fill="FFFFFF"/>
          <w:lang w:val="en-CA"/>
        </w:rPr>
        <w:t>[Emphasis added.]</w:t>
      </w:r>
      <w:r w:rsidRPr="006B7726">
        <w:rPr>
          <w:lang w:val="en-CA"/>
        </w:rPr>
        <w:br/>
      </w:r>
    </w:p>
    <w:p w14:paraId="18D6FCF0" w14:textId="5F8043A7" w:rsidR="00F74455" w:rsidRPr="00BA1219" w:rsidRDefault="00C32D80" w:rsidP="008A3FC4">
      <w:pPr>
        <w:pStyle w:val="Paragrsimple"/>
        <w:rPr>
          <w:lang w:val="en-CA"/>
        </w:rPr>
      </w:pPr>
      <w:bookmarkStart w:id="35" w:name="_Hlk139797110"/>
      <w:r w:rsidRPr="00BA1219">
        <w:rPr>
          <w:lang w:val="en-CA"/>
        </w:rPr>
        <w:t xml:space="preserve">In </w:t>
      </w:r>
      <w:proofErr w:type="spellStart"/>
      <w:r w:rsidRPr="00BA1219">
        <w:rPr>
          <w:i/>
          <w:color w:val="212529"/>
          <w:lang w:val="en-CA"/>
        </w:rPr>
        <w:t>L'association</w:t>
      </w:r>
      <w:proofErr w:type="spellEnd"/>
      <w:r w:rsidRPr="00BA1219">
        <w:rPr>
          <w:i/>
          <w:color w:val="212529"/>
          <w:lang w:val="en-CA"/>
        </w:rPr>
        <w:t xml:space="preserve"> Des Parents Francophones De La </w:t>
      </w:r>
      <w:proofErr w:type="spellStart"/>
      <w:r w:rsidRPr="00BA1219">
        <w:rPr>
          <w:i/>
          <w:color w:val="212529"/>
          <w:lang w:val="en-CA"/>
        </w:rPr>
        <w:t>Colombie</w:t>
      </w:r>
      <w:proofErr w:type="spellEnd"/>
      <w:r w:rsidRPr="00BA1219">
        <w:rPr>
          <w:i/>
          <w:color w:val="212529"/>
          <w:lang w:val="en-CA"/>
        </w:rPr>
        <w:t xml:space="preserve">- </w:t>
      </w:r>
      <w:proofErr w:type="spellStart"/>
      <w:r w:rsidRPr="00BA1219">
        <w:rPr>
          <w:i/>
          <w:color w:val="212529"/>
          <w:lang w:val="en-CA"/>
        </w:rPr>
        <w:t>Britannique</w:t>
      </w:r>
      <w:proofErr w:type="spellEnd"/>
      <w:r w:rsidRPr="00BA1219">
        <w:rPr>
          <w:color w:val="212529"/>
          <w:lang w:val="en-CA"/>
        </w:rPr>
        <w:t xml:space="preserve">, </w:t>
      </w:r>
      <w:r w:rsidRPr="00BA1219">
        <w:rPr>
          <w:i/>
          <w:color w:val="212529"/>
          <w:lang w:val="en-CA"/>
        </w:rPr>
        <w:t xml:space="preserve">La Federation Des Francophones De La </w:t>
      </w:r>
      <w:proofErr w:type="spellStart"/>
      <w:r w:rsidRPr="00BA1219">
        <w:rPr>
          <w:i/>
          <w:color w:val="212529"/>
          <w:lang w:val="en-CA"/>
        </w:rPr>
        <w:t>Colombie-Britannique</w:t>
      </w:r>
      <w:proofErr w:type="spellEnd"/>
      <w:r w:rsidRPr="00BA1219">
        <w:rPr>
          <w:color w:val="212529"/>
          <w:lang w:val="en-CA"/>
        </w:rPr>
        <w:t xml:space="preserve"> </w:t>
      </w:r>
      <w:r w:rsidRPr="00BA1219">
        <w:rPr>
          <w:i/>
          <w:color w:val="212529"/>
          <w:lang w:val="en-CA"/>
        </w:rPr>
        <w:t>v.</w:t>
      </w:r>
      <w:r w:rsidRPr="00BA1219">
        <w:rPr>
          <w:color w:val="212529"/>
          <w:lang w:val="en-CA"/>
        </w:rPr>
        <w:t xml:space="preserve"> </w:t>
      </w:r>
      <w:r w:rsidRPr="00BA1219">
        <w:rPr>
          <w:i/>
          <w:color w:val="212529"/>
          <w:lang w:val="en-CA"/>
        </w:rPr>
        <w:t>Woods</w:t>
      </w:r>
      <w:r w:rsidRPr="00BA1219">
        <w:rPr>
          <w:color w:val="212529"/>
          <w:lang w:val="en-CA"/>
        </w:rPr>
        <w:t xml:space="preserve">, Vickers J. of the </w:t>
      </w:r>
      <w:r w:rsidR="002132E4">
        <w:rPr>
          <w:color w:val="212529"/>
          <w:lang w:val="en-CA"/>
        </w:rPr>
        <w:t xml:space="preserve">Supreme Court of </w:t>
      </w:r>
      <w:r w:rsidRPr="00BA1219">
        <w:rPr>
          <w:color w:val="212529"/>
          <w:lang w:val="en-CA"/>
        </w:rPr>
        <w:t xml:space="preserve">British Columbia </w:t>
      </w:r>
      <w:r w:rsidR="002132E4">
        <w:rPr>
          <w:color w:val="212529"/>
          <w:lang w:val="en-CA"/>
        </w:rPr>
        <w:t>considered</w:t>
      </w:r>
      <w:r w:rsidR="002132E4" w:rsidRPr="00BA1219">
        <w:rPr>
          <w:color w:val="212529"/>
          <w:lang w:val="en-CA"/>
        </w:rPr>
        <w:t xml:space="preserve"> </w:t>
      </w:r>
      <w:r w:rsidRPr="00BA1219">
        <w:rPr>
          <w:color w:val="212529"/>
          <w:lang w:val="en-CA"/>
        </w:rPr>
        <w:t xml:space="preserve">some of these issues, </w:t>
      </w:r>
      <w:r w:rsidR="003C5904">
        <w:rPr>
          <w:color w:val="212529"/>
          <w:lang w:val="en-CA"/>
        </w:rPr>
        <w:t>in particular</w:t>
      </w:r>
      <w:r w:rsidR="002132E4">
        <w:rPr>
          <w:color w:val="212529"/>
          <w:lang w:val="en-CA"/>
        </w:rPr>
        <w:t xml:space="preserve"> </w:t>
      </w:r>
      <w:r w:rsidRPr="00BA1219">
        <w:rPr>
          <w:color w:val="212529"/>
          <w:lang w:val="en-CA"/>
        </w:rPr>
        <w:t xml:space="preserve">the issue of </w:t>
      </w:r>
      <w:r w:rsidR="003C5904">
        <w:rPr>
          <w:color w:val="212529"/>
          <w:lang w:val="en-CA"/>
        </w:rPr>
        <w:t>funding</w:t>
      </w:r>
      <w:r w:rsidRPr="00BA1219">
        <w:rPr>
          <w:color w:val="212529"/>
          <w:lang w:val="en-CA"/>
        </w:rPr>
        <w:t>.</w:t>
      </w:r>
      <w:r w:rsidR="0096102C" w:rsidRPr="00BA1219">
        <w:rPr>
          <w:rStyle w:val="Appelnotedebasdep"/>
          <w:rFonts w:cs="Arial"/>
          <w:color w:val="212529"/>
          <w:szCs w:val="24"/>
          <w:lang w:val="en-CA"/>
        </w:rPr>
        <w:footnoteReference w:id="115"/>
      </w:r>
      <w:r w:rsidR="0096102C" w:rsidRPr="00BA1219">
        <w:rPr>
          <w:lang w:val="en-CA"/>
        </w:rPr>
        <w:t xml:space="preserve"> </w:t>
      </w:r>
    </w:p>
    <w:bookmarkEnd w:id="35"/>
    <w:p w14:paraId="0AB23BFD" w14:textId="62444D9E" w:rsidR="000A2BD7" w:rsidRPr="00BA1219" w:rsidRDefault="00C32D80" w:rsidP="008A3FC4">
      <w:pPr>
        <w:pStyle w:val="Paragrsimple"/>
        <w:rPr>
          <w:color w:val="212529"/>
          <w:lang w:val="en-CA"/>
        </w:rPr>
      </w:pPr>
      <w:r w:rsidRPr="00BA1219">
        <w:rPr>
          <w:color w:val="212529"/>
          <w:lang w:val="en-CA"/>
        </w:rPr>
        <w:t xml:space="preserve">In </w:t>
      </w:r>
      <w:r w:rsidRPr="00BA1219">
        <w:rPr>
          <w:i/>
          <w:color w:val="212529"/>
          <w:lang w:val="en-CA"/>
        </w:rPr>
        <w:t>Hak,</w:t>
      </w:r>
      <w:r w:rsidRPr="00BA1219">
        <w:rPr>
          <w:rStyle w:val="Appelnotedebasdep"/>
          <w:rFonts w:cs="Arial"/>
          <w:szCs w:val="24"/>
          <w:lang w:val="en-CA"/>
        </w:rPr>
        <w:footnoteReference w:id="116"/>
      </w:r>
      <w:r w:rsidRPr="00BA1219">
        <w:rPr>
          <w:rFonts w:cs="Arial"/>
          <w:color w:val="212529"/>
          <w:szCs w:val="24"/>
          <w:lang w:val="en-CA"/>
        </w:rPr>
        <w:t xml:space="preserve"> the notion of management and control was discussed </w:t>
      </w:r>
      <w:r w:rsidR="00AE6AC0">
        <w:rPr>
          <w:rFonts w:cs="Arial"/>
          <w:color w:val="212529"/>
          <w:szCs w:val="24"/>
          <w:lang w:val="en-CA"/>
        </w:rPr>
        <w:t>in connection with</w:t>
      </w:r>
      <w:r w:rsidRPr="00BA1219">
        <w:rPr>
          <w:rFonts w:cs="Arial"/>
          <w:color w:val="212529"/>
          <w:szCs w:val="24"/>
          <w:lang w:val="en-CA"/>
        </w:rPr>
        <w:t xml:space="preserve"> the hiring of teaching staff and </w:t>
      </w:r>
      <w:r w:rsidR="00C71A80" w:rsidRPr="00BA1219">
        <w:rPr>
          <w:rFonts w:cs="Arial"/>
          <w:color w:val="212529"/>
          <w:szCs w:val="24"/>
          <w:lang w:val="en-CA"/>
        </w:rPr>
        <w:t>interference</w:t>
      </w:r>
      <w:r w:rsidRPr="00BA1219">
        <w:rPr>
          <w:rFonts w:cs="Arial"/>
          <w:color w:val="212529"/>
          <w:szCs w:val="24"/>
          <w:lang w:val="en-CA"/>
        </w:rPr>
        <w:t xml:space="preserve"> with hiring freedom created by the laicity requirements imposed by the </w:t>
      </w:r>
      <w:r w:rsidRPr="00BA1219">
        <w:rPr>
          <w:rFonts w:cs="Arial"/>
          <w:i/>
          <w:color w:val="212529"/>
          <w:szCs w:val="24"/>
          <w:lang w:val="en-CA"/>
        </w:rPr>
        <w:t>Act respecting the laicity of the State</w:t>
      </w:r>
      <w:r w:rsidR="00AE6AC0">
        <w:rPr>
          <w:rFonts w:cs="Arial"/>
          <w:color w:val="212529"/>
          <w:szCs w:val="24"/>
          <w:lang w:val="en-CA"/>
        </w:rPr>
        <w:t>.</w:t>
      </w:r>
      <w:r w:rsidRPr="00AE6AC0">
        <w:rPr>
          <w:rStyle w:val="Appelnotedebasdep"/>
          <w:rFonts w:cs="Arial"/>
          <w:color w:val="212529"/>
          <w:szCs w:val="24"/>
          <w:lang w:val="en-CA"/>
        </w:rPr>
        <w:footnoteReference w:id="117"/>
      </w:r>
      <w:r w:rsidRPr="00AE6AC0">
        <w:rPr>
          <w:rFonts w:cs="Arial"/>
          <w:color w:val="212529"/>
          <w:szCs w:val="24"/>
          <w:lang w:val="en-CA"/>
        </w:rPr>
        <w:t xml:space="preserve"> </w:t>
      </w:r>
      <w:r w:rsidR="00AE6AC0">
        <w:rPr>
          <w:rFonts w:cs="Arial"/>
          <w:color w:val="212529"/>
          <w:szCs w:val="24"/>
          <w:lang w:val="en-CA"/>
        </w:rPr>
        <w:t xml:space="preserve">That case </w:t>
      </w:r>
      <w:r w:rsidRPr="00BA1219">
        <w:rPr>
          <w:rFonts w:cs="Arial"/>
          <w:iCs/>
          <w:color w:val="212529"/>
          <w:szCs w:val="24"/>
          <w:lang w:val="en-CA"/>
        </w:rPr>
        <w:t xml:space="preserve">does not shed any light on the issues in dispute </w:t>
      </w:r>
      <w:r w:rsidR="00E52BE0" w:rsidRPr="00BA1219">
        <w:rPr>
          <w:rFonts w:cs="Arial"/>
          <w:iCs/>
          <w:color w:val="212529"/>
          <w:szCs w:val="24"/>
          <w:lang w:val="en-CA"/>
        </w:rPr>
        <w:t>here</w:t>
      </w:r>
      <w:r w:rsidR="00AE6AC0">
        <w:rPr>
          <w:rFonts w:cs="Arial"/>
          <w:iCs/>
          <w:color w:val="212529"/>
          <w:szCs w:val="24"/>
          <w:lang w:val="en-CA"/>
        </w:rPr>
        <w:t>,</w:t>
      </w:r>
      <w:r w:rsidR="00E52BE0" w:rsidRPr="00BA1219">
        <w:rPr>
          <w:rFonts w:cs="Arial"/>
          <w:iCs/>
          <w:color w:val="212529"/>
          <w:szCs w:val="24"/>
          <w:lang w:val="en-CA"/>
        </w:rPr>
        <w:t xml:space="preserve"> but</w:t>
      </w:r>
      <w:r w:rsidRPr="00BA1219">
        <w:rPr>
          <w:rFonts w:cs="Arial"/>
          <w:iCs/>
          <w:color w:val="212529"/>
          <w:szCs w:val="24"/>
          <w:lang w:val="en-CA"/>
        </w:rPr>
        <w:t xml:space="preserve"> </w:t>
      </w:r>
      <w:r w:rsidR="00AE6AC0">
        <w:rPr>
          <w:rFonts w:cs="Arial"/>
          <w:iCs/>
          <w:color w:val="212529"/>
          <w:szCs w:val="24"/>
          <w:lang w:val="en-CA"/>
        </w:rPr>
        <w:t xml:space="preserve">it does </w:t>
      </w:r>
      <w:r w:rsidRPr="00BA1219">
        <w:rPr>
          <w:rFonts w:cs="Arial"/>
          <w:iCs/>
          <w:color w:val="212529"/>
          <w:szCs w:val="24"/>
          <w:lang w:val="en-CA"/>
        </w:rPr>
        <w:t xml:space="preserve">illustrate the variety of situations </w:t>
      </w:r>
      <w:r w:rsidR="006A482C" w:rsidRPr="00BA1219">
        <w:rPr>
          <w:rFonts w:cs="Arial"/>
          <w:iCs/>
          <w:color w:val="212529"/>
          <w:szCs w:val="24"/>
          <w:lang w:val="en-CA"/>
        </w:rPr>
        <w:t>covered</w:t>
      </w:r>
      <w:r w:rsidRPr="00BA1219">
        <w:rPr>
          <w:rFonts w:cs="Arial"/>
          <w:iCs/>
          <w:color w:val="212529"/>
          <w:szCs w:val="24"/>
          <w:lang w:val="en-CA"/>
        </w:rPr>
        <w:t xml:space="preserve"> by this exclusive power. </w:t>
      </w:r>
    </w:p>
    <w:p w14:paraId="72B4003F" w14:textId="2F41F6B1" w:rsidR="001E0F27" w:rsidRPr="00BA1219" w:rsidRDefault="00C32D80" w:rsidP="003B1E68">
      <w:pPr>
        <w:pStyle w:val="Paragrdouble"/>
        <w:spacing w:line="240" w:lineRule="auto"/>
        <w:rPr>
          <w:lang w:val="en-CA"/>
        </w:rPr>
      </w:pPr>
      <w:r w:rsidRPr="00BA1219">
        <w:rPr>
          <w:lang w:val="en-CA"/>
        </w:rPr>
        <w:t xml:space="preserve">Other judgments have examined the power of minority school boards to admit students who are not the children of </w:t>
      </w:r>
      <w:r w:rsidR="00366077">
        <w:rPr>
          <w:lang w:val="en-CA"/>
        </w:rPr>
        <w:t>rights holder</w:t>
      </w:r>
      <w:r w:rsidRPr="00BA1219">
        <w:rPr>
          <w:lang w:val="en-CA"/>
        </w:rPr>
        <w:t>s.</w:t>
      </w:r>
      <w:r w:rsidR="0096102C" w:rsidRPr="00BA1219">
        <w:rPr>
          <w:rStyle w:val="Appelnotedebasdep"/>
          <w:lang w:val="en-CA"/>
        </w:rPr>
        <w:footnoteReference w:id="118"/>
      </w:r>
    </w:p>
    <w:p w14:paraId="7E7A5896" w14:textId="3B35BF55" w:rsidR="00CE030B" w:rsidRPr="00BA1219" w:rsidRDefault="00C32D80" w:rsidP="003B1E68">
      <w:pPr>
        <w:pStyle w:val="Paragrdouble"/>
        <w:spacing w:line="240" w:lineRule="auto"/>
        <w:rPr>
          <w:lang w:val="en-CA"/>
        </w:rPr>
      </w:pPr>
      <w:r w:rsidRPr="00BA1219">
        <w:rPr>
          <w:szCs w:val="24"/>
          <w:lang w:val="en-CA"/>
        </w:rPr>
        <w:t xml:space="preserve">In </w:t>
      </w:r>
      <w:r w:rsidRPr="00BA1219">
        <w:rPr>
          <w:i/>
          <w:szCs w:val="24"/>
          <w:lang w:val="en-CA"/>
        </w:rPr>
        <w:t>Arsenault-Cameron</w:t>
      </w:r>
      <w:r w:rsidRPr="00BA1219">
        <w:rPr>
          <w:szCs w:val="24"/>
          <w:lang w:val="en-CA"/>
        </w:rPr>
        <w:t xml:space="preserve">, the Court decided that the offer of classes or of a facility </w:t>
      </w:r>
      <w:r w:rsidR="002C63E9">
        <w:rPr>
          <w:szCs w:val="24"/>
          <w:lang w:val="en-CA"/>
        </w:rPr>
        <w:t>fell</w:t>
      </w:r>
      <w:r w:rsidRPr="00BA1219">
        <w:rPr>
          <w:szCs w:val="24"/>
          <w:lang w:val="en-CA"/>
        </w:rPr>
        <w:t xml:space="preserve"> within the </w:t>
      </w:r>
      <w:r w:rsidR="002C63E9">
        <w:rPr>
          <w:szCs w:val="24"/>
          <w:lang w:val="en-CA"/>
        </w:rPr>
        <w:t xml:space="preserve">minority’s </w:t>
      </w:r>
      <w:r w:rsidRPr="00BA1219">
        <w:rPr>
          <w:szCs w:val="24"/>
          <w:lang w:val="en-CA"/>
        </w:rPr>
        <w:t xml:space="preserve">exclusive </w:t>
      </w:r>
      <w:r w:rsidR="002C63E9">
        <w:rPr>
          <w:szCs w:val="24"/>
          <w:lang w:val="en-CA"/>
        </w:rPr>
        <w:t xml:space="preserve">management right and </w:t>
      </w:r>
      <w:r w:rsidRPr="00BA1219">
        <w:rPr>
          <w:szCs w:val="24"/>
          <w:lang w:val="en-CA"/>
        </w:rPr>
        <w:t>that the Minister</w:t>
      </w:r>
      <w:r w:rsidR="006A482C">
        <w:rPr>
          <w:szCs w:val="24"/>
          <w:lang w:val="en-CA"/>
        </w:rPr>
        <w:t>’</w:t>
      </w:r>
      <w:r w:rsidRPr="00BA1219">
        <w:rPr>
          <w:szCs w:val="24"/>
          <w:lang w:val="en-CA"/>
        </w:rPr>
        <w:t>s discretion was limited to verifying whether the Board had met provincial requirements.</w:t>
      </w:r>
      <w:r w:rsidRPr="00BA1219">
        <w:rPr>
          <w:rStyle w:val="Appelnotedebasdep"/>
          <w:color w:val="000000"/>
          <w:szCs w:val="24"/>
          <w:lang w:val="en-CA"/>
        </w:rPr>
        <w:footnoteReference w:id="119"/>
      </w:r>
    </w:p>
    <w:p w14:paraId="36A55B51" w14:textId="52702E4A" w:rsidR="00C64C6C" w:rsidRPr="00BA1219" w:rsidRDefault="00C32D80" w:rsidP="008A3FC4">
      <w:pPr>
        <w:pStyle w:val="Paragrsimple"/>
        <w:rPr>
          <w:lang w:val="en-CA"/>
        </w:rPr>
      </w:pPr>
      <w:r w:rsidRPr="00BA1219">
        <w:rPr>
          <w:rFonts w:cs="Arial"/>
          <w:szCs w:val="24"/>
          <w:lang w:val="en-CA"/>
        </w:rPr>
        <w:t xml:space="preserve">In </w:t>
      </w:r>
      <w:r w:rsidRPr="00BA1219">
        <w:rPr>
          <w:rFonts w:cs="Arial"/>
          <w:i/>
          <w:szCs w:val="24"/>
          <w:lang w:val="en-CA"/>
        </w:rPr>
        <w:t>Yukon Francophone School Board, Education Area #23 v. Yukon (Attorney General)</w:t>
      </w:r>
      <w:r w:rsidRPr="00BA1219">
        <w:rPr>
          <w:rFonts w:cs="Arial"/>
          <w:szCs w:val="24"/>
          <w:lang w:val="en-CA"/>
        </w:rPr>
        <w:t>, the Supreme Court reiterated that there is a limit to this exclusive control:</w:t>
      </w:r>
      <w:r w:rsidRPr="00BA1219">
        <w:rPr>
          <w:rStyle w:val="Appelnotedebasdep"/>
          <w:rFonts w:cs="Arial"/>
          <w:color w:val="212529"/>
          <w:szCs w:val="24"/>
          <w:lang w:val="en-CA"/>
        </w:rPr>
        <w:t xml:space="preserve"> </w:t>
      </w:r>
      <w:r w:rsidRPr="00BA1219">
        <w:rPr>
          <w:rStyle w:val="Appelnotedebasdep"/>
          <w:rFonts w:cs="Arial"/>
          <w:color w:val="212529"/>
          <w:szCs w:val="24"/>
          <w:lang w:val="en-CA"/>
        </w:rPr>
        <w:footnoteReference w:id="120"/>
      </w:r>
    </w:p>
    <w:p w14:paraId="00AD10C4" w14:textId="1BCBFABD" w:rsidR="00C64C6C" w:rsidRPr="00BA1219" w:rsidRDefault="0096102C" w:rsidP="008A3FC4">
      <w:pPr>
        <w:pStyle w:val="Citation"/>
        <w:rPr>
          <w:lang w:val="en-CA"/>
        </w:rPr>
      </w:pPr>
      <w:r w:rsidRPr="00BA1219">
        <w:rPr>
          <w:lang w:val="en-CA"/>
        </w:rPr>
        <w:t>[</w:t>
      </w:r>
      <w:bookmarkStart w:id="36" w:name="par68"/>
      <w:r w:rsidRPr="00BA1219">
        <w:rPr>
          <w:lang w:val="en-CA"/>
        </w:rPr>
        <w:t>68</w:t>
      </w:r>
      <w:bookmarkEnd w:id="36"/>
      <w:r w:rsidR="008A3FC4" w:rsidRPr="00BA1219">
        <w:rPr>
          <w:lang w:val="en-CA"/>
        </w:rPr>
        <w:t>]</w:t>
      </w:r>
      <w:r w:rsidR="008A3FC4" w:rsidRPr="00BA1219">
        <w:rPr>
          <w:lang w:val="en-CA"/>
        </w:rPr>
        <w:tab/>
      </w:r>
      <w:r w:rsidR="00C32D80" w:rsidRPr="00BA1219">
        <w:rPr>
          <w:lang w:val="en-CA"/>
        </w:rPr>
        <w:t xml:space="preserve">That said, this Court recently reaffirmed that while “the Charter reflects the importance of language rights, it also reflects the importance of respect for the constitutional powers of the provinces”: </w:t>
      </w:r>
      <w:r w:rsidR="00C32D80" w:rsidRPr="006B7726">
        <w:rPr>
          <w:i/>
          <w:iCs/>
          <w:lang w:val="en-CA"/>
        </w:rPr>
        <w:t xml:space="preserve">Conseil </w:t>
      </w:r>
      <w:proofErr w:type="spellStart"/>
      <w:r w:rsidR="00C32D80" w:rsidRPr="006B7726">
        <w:rPr>
          <w:i/>
          <w:iCs/>
          <w:lang w:val="en-CA"/>
        </w:rPr>
        <w:t>scolaire</w:t>
      </w:r>
      <w:proofErr w:type="spellEnd"/>
      <w:r w:rsidR="00C32D80" w:rsidRPr="006B7726">
        <w:rPr>
          <w:i/>
          <w:iCs/>
          <w:lang w:val="en-CA"/>
        </w:rPr>
        <w:t xml:space="preserve"> francophone de la </w:t>
      </w:r>
      <w:proofErr w:type="spellStart"/>
      <w:r w:rsidR="00C32D80" w:rsidRPr="006B7726">
        <w:rPr>
          <w:i/>
          <w:iCs/>
          <w:lang w:val="en-CA"/>
        </w:rPr>
        <w:lastRenderedPageBreak/>
        <w:t>Colombie-Britannique</w:t>
      </w:r>
      <w:proofErr w:type="spellEnd"/>
      <w:r w:rsidR="00C32D80" w:rsidRPr="006B7726">
        <w:rPr>
          <w:i/>
          <w:iCs/>
          <w:lang w:val="en-CA"/>
        </w:rPr>
        <w:t xml:space="preserve"> v. British Columbia</w:t>
      </w:r>
      <w:r w:rsidR="00C32D80" w:rsidRPr="006B7726">
        <w:rPr>
          <w:iCs/>
          <w:lang w:val="en-CA"/>
        </w:rPr>
        <w:t xml:space="preserve">, [2013] 2 S.C.R. </w:t>
      </w:r>
      <w:r w:rsidR="008A3FC4" w:rsidRPr="00BA1219">
        <w:rPr>
          <w:lang w:val="en-CA"/>
        </w:rPr>
        <w:t xml:space="preserve"> </w:t>
      </w:r>
      <w:r w:rsidR="00C32D80" w:rsidRPr="006B7726">
        <w:rPr>
          <w:lang w:val="en-CA"/>
        </w:rPr>
        <w:t>774, at para.</w:t>
      </w:r>
      <w:r w:rsidR="008A3FC4" w:rsidRPr="00BA1219">
        <w:rPr>
          <w:lang w:val="en-CA"/>
        </w:rPr>
        <w:t xml:space="preserve"> </w:t>
      </w:r>
      <w:r w:rsidR="00C32D80" w:rsidRPr="00BA1219">
        <w:rPr>
          <w:lang w:val="en-CA"/>
        </w:rPr>
        <w:t>56.</w:t>
      </w:r>
      <w:r w:rsidR="008A3FC4" w:rsidRPr="00BA1219">
        <w:rPr>
          <w:lang w:val="en-CA"/>
        </w:rPr>
        <w:t xml:space="preserve"> </w:t>
      </w:r>
      <w:r w:rsidR="00C32D80" w:rsidRPr="006B7726">
        <w:rPr>
          <w:lang w:val="en-CA"/>
        </w:rPr>
        <w:t xml:space="preserve">Pursuant to s. 93 of the </w:t>
      </w:r>
      <w:r w:rsidR="00C32D80" w:rsidRPr="006B7726">
        <w:rPr>
          <w:i/>
          <w:lang w:val="en-CA"/>
        </w:rPr>
        <w:t>Constitution Act, 1867</w:t>
      </w:r>
      <w:r w:rsidR="00C32D80" w:rsidRPr="006B7726">
        <w:rPr>
          <w:lang w:val="en-CA"/>
        </w:rPr>
        <w:t xml:space="preserve">, provincial legislatures have authority to make laws in relation to education. Federalism remains a notable feature in matters of minority language rights. As this Court stated in </w:t>
      </w:r>
      <w:r w:rsidR="00C32D80" w:rsidRPr="006B7726">
        <w:rPr>
          <w:i/>
          <w:lang w:val="en-CA"/>
        </w:rPr>
        <w:t>Solski</w:t>
      </w:r>
      <w:r w:rsidR="00C32D80" w:rsidRPr="006B7726">
        <w:rPr>
          <w:lang w:val="en-CA"/>
        </w:rPr>
        <w:t>, a case upholding Quebec legislation requiring a student to have received the “major part” of his or her education in English in order to qualify for access to publicly funded English-language schools:</w:t>
      </w:r>
    </w:p>
    <w:p w14:paraId="0A68D69E" w14:textId="603FD2C9" w:rsidR="00C64C6C" w:rsidRPr="00BA1219" w:rsidRDefault="00C32D80" w:rsidP="008A3FC4">
      <w:pPr>
        <w:pStyle w:val="Citation"/>
        <w:rPr>
          <w:lang w:val="en-CA"/>
        </w:rPr>
      </w:pPr>
      <w:r w:rsidRPr="006B7726">
        <w:rPr>
          <w:lang w:val="en-CA"/>
        </w:rPr>
        <w:t>As education falls within the purview of provincial power, each province has a legitimate interest in the provision and regulation of minority language education... .</w:t>
      </w:r>
    </w:p>
    <w:p w14:paraId="72FE33B4" w14:textId="6EA027F4" w:rsidR="00C64C6C" w:rsidRPr="00BA1219" w:rsidRDefault="009F3D46" w:rsidP="008A3FC4">
      <w:pPr>
        <w:pStyle w:val="Citation"/>
        <w:rPr>
          <w:lang w:val="en-CA"/>
        </w:rPr>
      </w:pPr>
      <w:r>
        <w:rPr>
          <w:lang w:val="en-CA"/>
        </w:rPr>
        <w:t xml:space="preserve">... </w:t>
      </w:r>
      <w:r w:rsidR="00C32D80" w:rsidRPr="00BA1219">
        <w:rPr>
          <w:lang w:val="en-CA"/>
        </w:rPr>
        <w:t xml:space="preserve">The latitude given to the provincial government in drafting legislation regarding education must be broad enough to ensure the protection of the French language while satisfying the purposes of s. 23. As noted by Lamer C.J. in </w:t>
      </w:r>
      <w:r w:rsidR="00C32D80" w:rsidRPr="00BA1219">
        <w:rPr>
          <w:i/>
          <w:iCs/>
          <w:lang w:val="en-CA"/>
        </w:rPr>
        <w:t xml:space="preserve">Reference re Public Schools </w:t>
      </w:r>
      <w:r w:rsidR="00E52BE0" w:rsidRPr="00BA1219">
        <w:rPr>
          <w:i/>
          <w:iCs/>
          <w:lang w:val="en-CA"/>
        </w:rPr>
        <w:t>Act (</w:t>
      </w:r>
      <w:r w:rsidR="00C32D80" w:rsidRPr="00BA1219">
        <w:rPr>
          <w:i/>
          <w:iCs/>
          <w:lang w:val="en-CA"/>
        </w:rPr>
        <w:t>Man.)</w:t>
      </w:r>
      <w:r w:rsidR="00C32D80" w:rsidRPr="00BA1219">
        <w:rPr>
          <w:lang w:val="en-CA"/>
        </w:rPr>
        <w:t>, at p. 851, “different interpretative approaches may well have to be taken in different jurisdictions, sensitive to the unique blend of linguistic dynamics that have developed in each province”.</w:t>
      </w:r>
      <w:r w:rsidR="0096102C" w:rsidRPr="00BA1219">
        <w:rPr>
          <w:lang w:val="en-CA"/>
        </w:rPr>
        <w:t xml:space="preserve"> </w:t>
      </w:r>
    </w:p>
    <w:p w14:paraId="1D127099" w14:textId="156859D9" w:rsidR="003B1E68" w:rsidRPr="00BA1219" w:rsidRDefault="00C32D80" w:rsidP="008A3FC4">
      <w:pPr>
        <w:pStyle w:val="Paragrsimple"/>
        <w:rPr>
          <w:lang w:val="en-CA"/>
        </w:rPr>
      </w:pPr>
      <w:r w:rsidRPr="00BA1219">
        <w:rPr>
          <w:lang w:val="en-CA"/>
        </w:rPr>
        <w:t xml:space="preserve">In that judgment, the Court confirmed that it was up to the government to determine </w:t>
      </w:r>
      <w:r w:rsidR="006D3A44">
        <w:rPr>
          <w:lang w:val="en-CA"/>
        </w:rPr>
        <w:t>whether</w:t>
      </w:r>
      <w:r w:rsidR="006D3A44" w:rsidRPr="00BA1219">
        <w:rPr>
          <w:lang w:val="en-CA"/>
        </w:rPr>
        <w:t xml:space="preserve"> </w:t>
      </w:r>
      <w:r w:rsidRPr="00BA1219">
        <w:rPr>
          <w:lang w:val="en-CA"/>
        </w:rPr>
        <w:t>non</w:t>
      </w:r>
      <w:r w:rsidR="006D3A44">
        <w:rPr>
          <w:lang w:val="en-CA"/>
        </w:rPr>
        <w:t>-</w:t>
      </w:r>
      <w:r w:rsidR="00366077">
        <w:rPr>
          <w:lang w:val="en-CA"/>
        </w:rPr>
        <w:t>rights</w:t>
      </w:r>
      <w:r w:rsidR="009F3D46">
        <w:rPr>
          <w:lang w:val="en-CA"/>
        </w:rPr>
        <w:t>-</w:t>
      </w:r>
      <w:r w:rsidR="00366077">
        <w:rPr>
          <w:lang w:val="en-CA"/>
        </w:rPr>
        <w:t>holder</w:t>
      </w:r>
      <w:r w:rsidR="006D3A44">
        <w:rPr>
          <w:lang w:val="en-CA"/>
        </w:rPr>
        <w:t xml:space="preserve"> parents</w:t>
      </w:r>
      <w:r w:rsidRPr="00BA1219">
        <w:rPr>
          <w:lang w:val="en-CA"/>
        </w:rPr>
        <w:t xml:space="preserve"> could have their children educated in the minority language, an issue which has been settled in Quebec.</w:t>
      </w:r>
      <w:r w:rsidR="0096102C" w:rsidRPr="00BA1219">
        <w:rPr>
          <w:lang w:val="en-CA"/>
        </w:rPr>
        <w:t xml:space="preserve"> </w:t>
      </w:r>
      <w:r w:rsidRPr="006B7726">
        <w:rPr>
          <w:lang w:val="en-CA"/>
        </w:rPr>
        <w:t xml:space="preserve">The provincial government can </w:t>
      </w:r>
      <w:r w:rsidR="006D3A44">
        <w:rPr>
          <w:lang w:val="en-CA"/>
        </w:rPr>
        <w:t xml:space="preserve">also </w:t>
      </w:r>
      <w:r w:rsidRPr="006B7726">
        <w:rPr>
          <w:lang w:val="en-CA"/>
        </w:rPr>
        <w:t>delegate that power to the school board.</w:t>
      </w:r>
      <w:r w:rsidRPr="006B7726">
        <w:rPr>
          <w:rStyle w:val="Appelnotedebasdep"/>
          <w:lang w:val="en-CA"/>
        </w:rPr>
        <w:footnoteReference w:id="121"/>
      </w:r>
      <w:r w:rsidR="0096102C" w:rsidRPr="00BA1219">
        <w:rPr>
          <w:lang w:val="en-CA"/>
        </w:rPr>
        <w:t xml:space="preserve"> </w:t>
      </w:r>
    </w:p>
    <w:p w14:paraId="67766489" w14:textId="385D133D" w:rsidR="005B2C44" w:rsidRPr="00BA1219" w:rsidRDefault="00C32D80" w:rsidP="008A3FC4">
      <w:pPr>
        <w:pStyle w:val="Paragrsimple"/>
        <w:rPr>
          <w:lang w:val="en-CA"/>
        </w:rPr>
      </w:pPr>
      <w:r w:rsidRPr="00BA1219">
        <w:rPr>
          <w:lang w:val="en-CA"/>
        </w:rPr>
        <w:t xml:space="preserve">Do the provisions that the </w:t>
      </w:r>
      <w:r w:rsidR="009F3D46">
        <w:rPr>
          <w:lang w:val="en-CA"/>
        </w:rPr>
        <w:t>applicants</w:t>
      </w:r>
      <w:r w:rsidRPr="00BA1219">
        <w:rPr>
          <w:lang w:val="en-CA"/>
        </w:rPr>
        <w:t xml:space="preserve"> seek to have declared null and void infringe the exclusive power of control and management, or are they on the contrary a manifestation of the National Assembly's constitutional power to legislate in matters of education?</w:t>
      </w:r>
      <w:r w:rsidR="0096102C" w:rsidRPr="00BA1219">
        <w:rPr>
          <w:lang w:val="en-CA"/>
        </w:rPr>
        <w:t xml:space="preserve"> </w:t>
      </w:r>
    </w:p>
    <w:p w14:paraId="43FBDC7F" w14:textId="0135A237" w:rsidR="00C64C6C" w:rsidRPr="00BA1219" w:rsidRDefault="00C32D80" w:rsidP="008A3FC4">
      <w:pPr>
        <w:pStyle w:val="Paragrsimple"/>
        <w:rPr>
          <w:lang w:val="en-CA"/>
        </w:rPr>
      </w:pPr>
      <w:r w:rsidRPr="00BA1219">
        <w:rPr>
          <w:lang w:val="en-CA"/>
        </w:rPr>
        <w:t xml:space="preserve">Before examining the provisions </w:t>
      </w:r>
      <w:r w:rsidR="00F70D11">
        <w:rPr>
          <w:lang w:val="en-CA"/>
        </w:rPr>
        <w:t>at issue</w:t>
      </w:r>
      <w:r w:rsidRPr="00BA1219">
        <w:rPr>
          <w:lang w:val="en-CA"/>
        </w:rPr>
        <w:t>, it should be recalled that this discretionary power must be exercised "to ensure the protection of the English language", to paraphrase the Supreme Court.</w:t>
      </w:r>
      <w:r w:rsidR="0096102C" w:rsidRPr="00BA1219">
        <w:rPr>
          <w:lang w:val="en-CA"/>
        </w:rPr>
        <w:t xml:space="preserve"> </w:t>
      </w:r>
      <w:r w:rsidRPr="00BA1219">
        <w:rPr>
          <w:lang w:val="en-CA"/>
        </w:rPr>
        <w:t xml:space="preserve">As will be seen below in greater detail, this power must be exercised to </w:t>
      </w:r>
      <w:r w:rsidRPr="006C01F8">
        <w:rPr>
          <w:iCs/>
          <w:u w:val="single"/>
          <w:lang w:val="en-CA"/>
        </w:rPr>
        <w:t>meet</w:t>
      </w:r>
      <w:r w:rsidRPr="00BA1219">
        <w:rPr>
          <w:lang w:val="en-CA"/>
        </w:rPr>
        <w:t xml:space="preserve"> the needs and concerns of the minority.</w:t>
      </w:r>
    </w:p>
    <w:p w14:paraId="3046D03A" w14:textId="7A6C59A6" w:rsidR="00A47A79" w:rsidRPr="00BA1219" w:rsidRDefault="00C32D80" w:rsidP="008A3FC4">
      <w:pPr>
        <w:pStyle w:val="Paragrsimple"/>
        <w:rPr>
          <w:lang w:val="en-CA"/>
        </w:rPr>
      </w:pPr>
      <w:r w:rsidRPr="00BA1219">
        <w:rPr>
          <w:lang w:val="en-CA"/>
        </w:rPr>
        <w:t>Let us now examine the grounds invoked by the applicants to have the impugned provisions declared null and void.</w:t>
      </w:r>
    </w:p>
    <w:p w14:paraId="27AEFD9D" w14:textId="0F68D7DD" w:rsidR="00F248F3" w:rsidRPr="006B7726" w:rsidRDefault="009602FF" w:rsidP="009B7445">
      <w:pPr>
        <w:pStyle w:val="Titre3"/>
        <w:rPr>
          <w:lang w:val="en-CA"/>
        </w:rPr>
      </w:pPr>
      <w:r>
        <w:rPr>
          <w:lang w:val="en-CA"/>
        </w:rPr>
        <w:t>E</w:t>
      </w:r>
      <w:r w:rsidR="00C32D80" w:rsidRPr="006B7726">
        <w:rPr>
          <w:lang w:val="en-CA"/>
        </w:rPr>
        <w:t>ligibility requirements</w:t>
      </w:r>
      <w:r w:rsidR="0096102C" w:rsidRPr="006B7726">
        <w:rPr>
          <w:lang w:val="en-CA"/>
        </w:rPr>
        <w:t xml:space="preserve"> </w:t>
      </w:r>
    </w:p>
    <w:p w14:paraId="7F4440E1" w14:textId="27A26392" w:rsidR="004162B0" w:rsidRPr="006B7726" w:rsidRDefault="009602FF" w:rsidP="008A3FC4">
      <w:pPr>
        <w:pStyle w:val="Paragrsimple"/>
        <w:rPr>
          <w:lang w:val="en-CA"/>
        </w:rPr>
      </w:pPr>
      <w:r>
        <w:rPr>
          <w:lang w:val="en-CA"/>
        </w:rPr>
        <w:t>Under</w:t>
      </w:r>
      <w:r w:rsidR="00C32D80" w:rsidRPr="006B7726">
        <w:rPr>
          <w:lang w:val="en-CA"/>
        </w:rPr>
        <w:t xml:space="preserve"> section 50 of the </w:t>
      </w:r>
      <w:r w:rsidR="00C32D80" w:rsidRPr="006B7726">
        <w:rPr>
          <w:i/>
          <w:lang w:val="en-CA"/>
        </w:rPr>
        <w:t>Act</w:t>
      </w:r>
      <w:r w:rsidR="00C32D80" w:rsidRPr="006B7726">
        <w:rPr>
          <w:lang w:val="en-CA"/>
        </w:rPr>
        <w:t>, not only must half the members of the school service centre’s board of directors be composed of parents of students attending an institution under the school service centre’s jurisdiction who are not members of the school service centre’s staff, they must also sit as parent representatives on the governing board of a school or vocational training centre.</w:t>
      </w:r>
    </w:p>
    <w:p w14:paraId="7879F790" w14:textId="07D951D3" w:rsidR="001034E9" w:rsidRPr="00BA1219" w:rsidRDefault="00C32D80" w:rsidP="008A3FC4">
      <w:pPr>
        <w:pStyle w:val="Paragrsimple"/>
        <w:rPr>
          <w:lang w:val="en-CA"/>
        </w:rPr>
      </w:pPr>
      <w:r w:rsidRPr="00BA1219">
        <w:rPr>
          <w:lang w:val="en-CA"/>
        </w:rPr>
        <w:lastRenderedPageBreak/>
        <w:t>Under the same section, "community representatives", who make up between a quarter and a third of the board of directors, must come from the following social categories:</w:t>
      </w:r>
    </w:p>
    <w:p w14:paraId="7A1B4B04" w14:textId="4DCE4311" w:rsidR="004162B0" w:rsidRPr="00BA1219" w:rsidRDefault="00C32D80" w:rsidP="008A3FC4">
      <w:pPr>
        <w:pStyle w:val="Citation"/>
        <w:rPr>
          <w:lang w:val="en-CA"/>
        </w:rPr>
      </w:pPr>
      <w:r w:rsidRPr="006B7726">
        <w:rPr>
          <w:lang w:val="en-CA"/>
        </w:rPr>
        <w:t>(a)</w:t>
      </w:r>
      <w:r w:rsidR="0096102C" w:rsidRPr="00BA1219">
        <w:rPr>
          <w:lang w:val="en-CA"/>
        </w:rPr>
        <w:tab/>
      </w:r>
      <w:r w:rsidRPr="006B7726">
        <w:rPr>
          <w:lang w:val="en-CA"/>
        </w:rPr>
        <w:t>at least one person with expertise in governance, in ethics, in risk management or in human resources management;</w:t>
      </w:r>
      <w:r w:rsidR="0096102C" w:rsidRPr="00BA1219">
        <w:rPr>
          <w:lang w:val="en-CA"/>
        </w:rPr>
        <w:t xml:space="preserve"> </w:t>
      </w:r>
    </w:p>
    <w:p w14:paraId="0419D477" w14:textId="0F48E326" w:rsidR="004162B0" w:rsidRPr="00BA1219" w:rsidRDefault="00C32D80" w:rsidP="008A3FC4">
      <w:pPr>
        <w:pStyle w:val="Citation"/>
        <w:rPr>
          <w:lang w:val="en-CA"/>
        </w:rPr>
      </w:pPr>
      <w:r w:rsidRPr="006B7726">
        <w:rPr>
          <w:lang w:val="en-CA"/>
        </w:rPr>
        <w:t>(b)</w:t>
      </w:r>
      <w:r w:rsidR="0096102C" w:rsidRPr="00BA1219">
        <w:rPr>
          <w:lang w:val="en-CA"/>
        </w:rPr>
        <w:tab/>
      </w:r>
      <w:r w:rsidRPr="006B7726">
        <w:rPr>
          <w:lang w:val="en-CA"/>
        </w:rPr>
        <w:t>at least one person with expertise in finance or accounting or in financial or physical resources management;</w:t>
      </w:r>
      <w:r w:rsidR="0096102C" w:rsidRPr="00BA1219">
        <w:rPr>
          <w:lang w:val="en-CA"/>
        </w:rPr>
        <w:t xml:space="preserve"> </w:t>
      </w:r>
    </w:p>
    <w:p w14:paraId="6DF87E05" w14:textId="21D21ABD" w:rsidR="004162B0" w:rsidRPr="00BA1219" w:rsidRDefault="00C32D80" w:rsidP="008A3FC4">
      <w:pPr>
        <w:pStyle w:val="Citation"/>
        <w:rPr>
          <w:lang w:val="en-CA"/>
        </w:rPr>
      </w:pPr>
      <w:r w:rsidRPr="006B7726">
        <w:rPr>
          <w:lang w:val="en-CA"/>
        </w:rPr>
        <w:t>(c)</w:t>
      </w:r>
      <w:r w:rsidR="0096102C" w:rsidRPr="00BA1219">
        <w:rPr>
          <w:lang w:val="en-CA"/>
        </w:rPr>
        <w:tab/>
      </w:r>
      <w:r w:rsidRPr="006B7726">
        <w:rPr>
          <w:lang w:val="en-CA"/>
        </w:rPr>
        <w:t>at least one person from the community, municipal, sport, cultural, health, social services or business sector; and</w:t>
      </w:r>
      <w:r w:rsidR="0096102C" w:rsidRPr="00BA1219">
        <w:rPr>
          <w:lang w:val="en-CA"/>
        </w:rPr>
        <w:t xml:space="preserve"> </w:t>
      </w:r>
    </w:p>
    <w:p w14:paraId="710766C5" w14:textId="1BBEE01E" w:rsidR="004162B0" w:rsidRPr="00BA1219" w:rsidRDefault="00C32D80" w:rsidP="008A3FC4">
      <w:pPr>
        <w:pStyle w:val="Citation"/>
        <w:rPr>
          <w:lang w:val="en-CA"/>
        </w:rPr>
      </w:pPr>
      <w:r w:rsidRPr="006B7726">
        <w:rPr>
          <w:lang w:val="en-CA"/>
        </w:rPr>
        <w:t>(d) at least one person aged 18-3</w:t>
      </w:r>
      <w:r w:rsidRPr="00BA1219">
        <w:rPr>
          <w:lang w:val="en-CA"/>
        </w:rPr>
        <w:t>5</w:t>
      </w:r>
      <w:r w:rsidR="008136FB">
        <w:rPr>
          <w:lang w:val="en-CA"/>
        </w:rPr>
        <w:t>.</w:t>
      </w:r>
    </w:p>
    <w:p w14:paraId="43FE9591" w14:textId="299B45F8" w:rsidR="00165150" w:rsidRPr="00BA1219" w:rsidRDefault="00BF3EAF" w:rsidP="008A3FC4">
      <w:pPr>
        <w:pStyle w:val="Paragrsimple"/>
        <w:rPr>
          <w:lang w:val="en-CA"/>
        </w:rPr>
      </w:pPr>
      <w:r w:rsidRPr="00BA1219">
        <w:rPr>
          <w:lang w:val="en-CA"/>
        </w:rPr>
        <w:t xml:space="preserve">Section 208 of the </w:t>
      </w:r>
      <w:r w:rsidRPr="00BA1219">
        <w:rPr>
          <w:i/>
          <w:lang w:val="en-CA"/>
        </w:rPr>
        <w:t>Act</w:t>
      </w:r>
      <w:r w:rsidRPr="00BA1219">
        <w:rPr>
          <w:lang w:val="en-CA"/>
        </w:rPr>
        <w:t xml:space="preserve">, which added sections 11.0.1 and 11.0.2. to the </w:t>
      </w:r>
      <w:r w:rsidRPr="00BA1219">
        <w:rPr>
          <w:i/>
          <w:lang w:val="en-CA"/>
        </w:rPr>
        <w:t xml:space="preserve">Act respecting school elections to elect certain members of the boards of directors of English-language school service </w:t>
      </w:r>
      <w:r w:rsidR="00F70D11" w:rsidRPr="00BA1219">
        <w:rPr>
          <w:i/>
          <w:lang w:val="en-CA"/>
        </w:rPr>
        <w:t>centres</w:t>
      </w:r>
      <w:r w:rsidR="00F70D11" w:rsidRPr="00BA1219">
        <w:rPr>
          <w:lang w:val="en-CA"/>
        </w:rPr>
        <w:t>, supplemented</w:t>
      </w:r>
      <w:r w:rsidRPr="00BA1219">
        <w:rPr>
          <w:lang w:val="en-CA"/>
        </w:rPr>
        <w:t xml:space="preserve"> the provisions of the </w:t>
      </w:r>
      <w:r w:rsidRPr="00BA1219">
        <w:rPr>
          <w:i/>
          <w:lang w:val="en-CA"/>
        </w:rPr>
        <w:t>EA</w:t>
      </w:r>
      <w:r w:rsidRPr="00BA1219">
        <w:rPr>
          <w:lang w:val="en-CA"/>
        </w:rPr>
        <w:t xml:space="preserve"> by determining the order of attribution of the profiles of candidates if the number of community representative seats was greater than four.</w:t>
      </w:r>
      <w:r w:rsidR="0096102C" w:rsidRPr="00BA1219">
        <w:rPr>
          <w:rStyle w:val="Hyperlien"/>
          <w:rFonts w:cs="Arial"/>
          <w:color w:val="auto"/>
          <w:szCs w:val="24"/>
          <w:u w:val="none"/>
          <w:lang w:val="en-CA"/>
        </w:rPr>
        <w:t xml:space="preserve"> </w:t>
      </w:r>
    </w:p>
    <w:p w14:paraId="18BCBB36" w14:textId="442B0732" w:rsidR="003D23FB" w:rsidRPr="00BA1219" w:rsidRDefault="00BF3EAF" w:rsidP="0054179C">
      <w:pPr>
        <w:pStyle w:val="Paragrsimple"/>
        <w:rPr>
          <w:lang w:val="en-CA"/>
        </w:rPr>
      </w:pPr>
      <w:r w:rsidRPr="00BA1219">
        <w:rPr>
          <w:lang w:val="en-CA"/>
        </w:rPr>
        <w:t xml:space="preserve">The applicants argue that these provisions unduly limit the rights of </w:t>
      </w:r>
      <w:r w:rsidR="000F5C17">
        <w:rPr>
          <w:lang w:val="en-CA"/>
        </w:rPr>
        <w:t xml:space="preserve">section 23 </w:t>
      </w:r>
      <w:r w:rsidR="00366077">
        <w:rPr>
          <w:lang w:val="en-CA"/>
        </w:rPr>
        <w:t>rights holder</w:t>
      </w:r>
      <w:r w:rsidRPr="00BA1219">
        <w:rPr>
          <w:lang w:val="en-CA"/>
        </w:rPr>
        <w:t>s to run in school elections.</w:t>
      </w:r>
      <w:r w:rsidR="0096102C" w:rsidRPr="00BA1219">
        <w:rPr>
          <w:lang w:val="en-CA"/>
        </w:rPr>
        <w:t xml:space="preserve"> </w:t>
      </w:r>
      <w:r w:rsidRPr="00BA1219">
        <w:rPr>
          <w:lang w:val="en-CA"/>
        </w:rPr>
        <w:t xml:space="preserve">According to them, the right to vote includes the right to run for election, just as it does </w:t>
      </w:r>
      <w:r w:rsidR="006018FB">
        <w:rPr>
          <w:lang w:val="en-CA"/>
        </w:rPr>
        <w:t>in</w:t>
      </w:r>
      <w:r w:rsidR="006018FB" w:rsidRPr="00BA1219">
        <w:rPr>
          <w:lang w:val="en-CA"/>
        </w:rPr>
        <w:t xml:space="preserve"> </w:t>
      </w:r>
      <w:r w:rsidRPr="00BA1219">
        <w:rPr>
          <w:lang w:val="en-CA"/>
        </w:rPr>
        <w:t>provincial and federal elections.</w:t>
      </w:r>
      <w:r w:rsidR="0096102C" w:rsidRPr="00BA1219">
        <w:rPr>
          <w:lang w:val="en-CA"/>
        </w:rPr>
        <w:t xml:space="preserve"> </w:t>
      </w:r>
      <w:r w:rsidRPr="00BA1219">
        <w:rPr>
          <w:lang w:val="en-CA"/>
        </w:rPr>
        <w:t>They gave as examples the legislation or regulations in force in all the other provinces and territories.</w:t>
      </w:r>
      <w:r w:rsidRPr="00BA1219">
        <w:rPr>
          <w:rStyle w:val="Appelnotedebasdep"/>
          <w:lang w:val="en-CA"/>
        </w:rPr>
        <w:footnoteReference w:id="122"/>
      </w:r>
      <w:r w:rsidR="0096102C" w:rsidRPr="00BA1219">
        <w:rPr>
          <w:lang w:val="en-CA"/>
        </w:rPr>
        <w:t xml:space="preserve"> </w:t>
      </w:r>
    </w:p>
    <w:p w14:paraId="1B66D0CC" w14:textId="29B1913F" w:rsidR="0012341A" w:rsidRPr="00BA1219" w:rsidRDefault="00BF3EAF" w:rsidP="0054179C">
      <w:pPr>
        <w:pStyle w:val="Paragrsimple"/>
        <w:rPr>
          <w:lang w:val="en-CA"/>
        </w:rPr>
      </w:pPr>
      <w:r w:rsidRPr="00BA1219">
        <w:rPr>
          <w:lang w:val="en-CA"/>
        </w:rPr>
        <w:t xml:space="preserve">According to them, </w:t>
      </w:r>
      <w:r w:rsidR="00DB7832">
        <w:rPr>
          <w:lang w:val="en-CA"/>
        </w:rPr>
        <w:t>the</w:t>
      </w:r>
      <w:r w:rsidR="00DB7832" w:rsidRPr="00BA1219">
        <w:rPr>
          <w:lang w:val="en-CA"/>
        </w:rPr>
        <w:t xml:space="preserve"> </w:t>
      </w:r>
      <w:r w:rsidRPr="00BA1219">
        <w:rPr>
          <w:lang w:val="en-CA"/>
        </w:rPr>
        <w:t>right to run for election is at the heart of community participation in and management of educational institutions.</w:t>
      </w:r>
      <w:r w:rsidR="0096102C" w:rsidRPr="00BA1219">
        <w:rPr>
          <w:lang w:val="en-CA"/>
        </w:rPr>
        <w:t xml:space="preserve"> </w:t>
      </w:r>
    </w:p>
    <w:p w14:paraId="5264F534" w14:textId="40A7D1EF" w:rsidR="00254270" w:rsidRPr="00BA1219" w:rsidRDefault="00BF3EAF" w:rsidP="0054179C">
      <w:pPr>
        <w:pStyle w:val="Paragrsimple"/>
        <w:rPr>
          <w:lang w:val="en-CA"/>
        </w:rPr>
      </w:pPr>
      <w:r w:rsidRPr="00BA1219">
        <w:rPr>
          <w:lang w:val="en-CA"/>
        </w:rPr>
        <w:lastRenderedPageBreak/>
        <w:t>The applicants contest the requirement that only parent representatives can act as chair or vice-chair of a board of directors.</w:t>
      </w:r>
      <w:r w:rsidR="0096102C" w:rsidRPr="00BA1219">
        <w:rPr>
          <w:lang w:val="en-CA"/>
        </w:rPr>
        <w:t xml:space="preserve"> </w:t>
      </w:r>
      <w:r w:rsidRPr="00BA1219">
        <w:rPr>
          <w:lang w:val="en-CA"/>
        </w:rPr>
        <w:t xml:space="preserve">Not only must the person be a parent, </w:t>
      </w:r>
      <w:r w:rsidR="00DB7832">
        <w:rPr>
          <w:lang w:val="en-CA"/>
        </w:rPr>
        <w:t xml:space="preserve">they </w:t>
      </w:r>
      <w:r w:rsidRPr="00BA1219">
        <w:rPr>
          <w:lang w:val="en-CA"/>
        </w:rPr>
        <w:t xml:space="preserve">must also sit on the school </w:t>
      </w:r>
      <w:r w:rsidR="00B43EF4">
        <w:rPr>
          <w:lang w:val="en-CA"/>
        </w:rPr>
        <w:t>board</w:t>
      </w:r>
      <w:r w:rsidRPr="00BA1219">
        <w:rPr>
          <w:lang w:val="en-CA"/>
        </w:rPr>
        <w:t>. These requirements considerably limit the number of people who can run.</w:t>
      </w:r>
      <w:r w:rsidR="0096102C" w:rsidRPr="00BA1219">
        <w:rPr>
          <w:lang w:val="en-CA"/>
        </w:rPr>
        <w:t xml:space="preserve"> </w:t>
      </w:r>
    </w:p>
    <w:p w14:paraId="061FB698" w14:textId="0DF741F3" w:rsidR="00254270" w:rsidRPr="00BA1219" w:rsidRDefault="00BF3EAF" w:rsidP="0054179C">
      <w:pPr>
        <w:pStyle w:val="Paragrsimple"/>
        <w:rPr>
          <w:lang w:val="en-CA"/>
        </w:rPr>
      </w:pPr>
      <w:r w:rsidRPr="00BA1219">
        <w:rPr>
          <w:lang w:val="en-CA"/>
        </w:rPr>
        <w:t xml:space="preserve">The applicants added up the number of parents of students in schools (268) and training centres (31) who are eligible to be members of the governing board, and arrived at a figure </w:t>
      </w:r>
      <w:r w:rsidR="0092342D">
        <w:rPr>
          <w:lang w:val="en-CA"/>
        </w:rPr>
        <w:t xml:space="preserve">between </w:t>
      </w:r>
      <w:r w:rsidRPr="00BA1219">
        <w:rPr>
          <w:lang w:val="en-CA"/>
        </w:rPr>
        <w:t xml:space="preserve">1,134 </w:t>
      </w:r>
      <w:r w:rsidR="0092342D">
        <w:rPr>
          <w:lang w:val="en-CA"/>
        </w:rPr>
        <w:t xml:space="preserve">and </w:t>
      </w:r>
      <w:r w:rsidRPr="00BA1219">
        <w:rPr>
          <w:lang w:val="en-CA"/>
        </w:rPr>
        <w:t>4,093.</w:t>
      </w:r>
      <w:r w:rsidR="0096102C" w:rsidRPr="00BA1219">
        <w:rPr>
          <w:lang w:val="en-CA"/>
        </w:rPr>
        <w:t xml:space="preserve"> </w:t>
      </w:r>
      <w:r w:rsidR="00DB7832">
        <w:rPr>
          <w:lang w:val="en-CA"/>
        </w:rPr>
        <w:t>With</w:t>
      </w:r>
      <w:r w:rsidRPr="00BA1219">
        <w:rPr>
          <w:lang w:val="en-CA"/>
        </w:rPr>
        <w:t xml:space="preserve"> approximately 270,000 persons registered on the voting lists</w:t>
      </w:r>
      <w:r w:rsidR="0092342D">
        <w:rPr>
          <w:lang w:val="en-CA"/>
        </w:rPr>
        <w:t xml:space="preserve"> today</w:t>
      </w:r>
      <w:r w:rsidRPr="00BA1219">
        <w:rPr>
          <w:lang w:val="en-CA"/>
        </w:rPr>
        <w:t xml:space="preserve">, </w:t>
      </w:r>
      <w:r w:rsidR="00DB7832">
        <w:rPr>
          <w:lang w:val="en-CA"/>
        </w:rPr>
        <w:t xml:space="preserve">this </w:t>
      </w:r>
      <w:r w:rsidRPr="00BA1219">
        <w:rPr>
          <w:lang w:val="en-CA"/>
        </w:rPr>
        <w:t xml:space="preserve">represents a 99% reduction </w:t>
      </w:r>
      <w:r w:rsidR="00DB7832">
        <w:rPr>
          <w:lang w:val="en-CA"/>
        </w:rPr>
        <w:t xml:space="preserve">in </w:t>
      </w:r>
      <w:r w:rsidRPr="00BA1219">
        <w:rPr>
          <w:lang w:val="en-CA"/>
        </w:rPr>
        <w:t>potential candidates.</w:t>
      </w:r>
      <w:r w:rsidR="0096102C" w:rsidRPr="00BA1219">
        <w:rPr>
          <w:lang w:val="en-CA"/>
        </w:rPr>
        <w:t xml:space="preserve"> </w:t>
      </w:r>
    </w:p>
    <w:p w14:paraId="09AC8B83" w14:textId="37B4C51D" w:rsidR="004713AE" w:rsidRPr="00BA1219" w:rsidRDefault="00BF3EAF" w:rsidP="0054179C">
      <w:pPr>
        <w:pStyle w:val="Paragrsimple"/>
        <w:rPr>
          <w:lang w:val="en-CA"/>
        </w:rPr>
      </w:pPr>
      <w:r w:rsidRPr="00BA1219">
        <w:rPr>
          <w:lang w:val="en-CA"/>
        </w:rPr>
        <w:t xml:space="preserve">Expert Loewen explains that the </w:t>
      </w:r>
      <w:r w:rsidRPr="00BA1219">
        <w:rPr>
          <w:i/>
          <w:lang w:val="en-CA"/>
        </w:rPr>
        <w:t>Act</w:t>
      </w:r>
      <w:r w:rsidRPr="00BA1219">
        <w:rPr>
          <w:lang w:val="en-CA"/>
        </w:rPr>
        <w:t xml:space="preserve"> [</w:t>
      </w:r>
      <w:r w:rsidRPr="00BA1219">
        <w:rPr>
          <w:smallCaps/>
          <w:lang w:val="en-CA"/>
        </w:rPr>
        <w:t>translation]</w:t>
      </w:r>
      <w:r w:rsidRPr="00BA1219">
        <w:rPr>
          <w:lang w:val="en-CA"/>
        </w:rPr>
        <w:t xml:space="preserve"> “mechanically” reduces the number of potential candidates.</w:t>
      </w:r>
      <w:r w:rsidRPr="00BA1219">
        <w:rPr>
          <w:rStyle w:val="Appelnotedebasdep"/>
          <w:lang w:val="en-CA"/>
        </w:rPr>
        <w:footnoteReference w:id="123"/>
      </w:r>
      <w:r w:rsidR="0096102C" w:rsidRPr="00BA1219">
        <w:rPr>
          <w:lang w:val="en-CA"/>
        </w:rPr>
        <w:t xml:space="preserve"> </w:t>
      </w:r>
      <w:r w:rsidRPr="00BA1219">
        <w:rPr>
          <w:lang w:val="en-CA"/>
        </w:rPr>
        <w:t xml:space="preserve">Expert Lemieux, </w:t>
      </w:r>
      <w:r w:rsidR="00DB7832">
        <w:rPr>
          <w:lang w:val="en-CA"/>
        </w:rPr>
        <w:t>retained</w:t>
      </w:r>
      <w:r w:rsidRPr="00BA1219">
        <w:rPr>
          <w:lang w:val="en-CA"/>
        </w:rPr>
        <w:t xml:space="preserve"> by the AGQ, agrees with these calculations:</w:t>
      </w:r>
    </w:p>
    <w:p w14:paraId="19BB1E38" w14:textId="2177CB7B" w:rsidR="004547B9" w:rsidRDefault="004547B9" w:rsidP="0054179C">
      <w:pPr>
        <w:pStyle w:val="Citation"/>
        <w:rPr>
          <w:lang w:val="en-CA"/>
        </w:rPr>
      </w:pPr>
      <w:r>
        <w:rPr>
          <w:lang w:val="en-CA"/>
        </w:rPr>
        <w:t>[</w:t>
      </w:r>
      <w:r>
        <w:rPr>
          <w:smallCaps/>
          <w:lang w:val="en-CA"/>
        </w:rPr>
        <w:t>t</w:t>
      </w:r>
      <w:r w:rsidRPr="006C01F8">
        <w:rPr>
          <w:smallCaps/>
          <w:lang w:val="en-CA"/>
        </w:rPr>
        <w:t>ranslation</w:t>
      </w:r>
      <w:r>
        <w:rPr>
          <w:lang w:val="en-CA"/>
        </w:rPr>
        <w:t>]</w:t>
      </w:r>
    </w:p>
    <w:p w14:paraId="3B70CD19" w14:textId="2CFAC1E1" w:rsidR="00254270" w:rsidRPr="00BA1219" w:rsidRDefault="0096102C" w:rsidP="0054179C">
      <w:pPr>
        <w:pStyle w:val="Citation"/>
        <w:rPr>
          <w:lang w:val="en-CA"/>
        </w:rPr>
      </w:pPr>
      <w:r w:rsidRPr="00BA1219">
        <w:rPr>
          <w:lang w:val="en-CA"/>
        </w:rPr>
        <w:t xml:space="preserve">148. </w:t>
      </w:r>
      <w:r w:rsidR="00BF3EAF" w:rsidRPr="00BA1219">
        <w:rPr>
          <w:lang w:val="en-CA"/>
        </w:rPr>
        <w:t xml:space="preserve">The demonstration of the mechanical effect is very convincing. The new rules governing the appointment of members of the governing board of </w:t>
      </w:r>
      <w:r w:rsidR="0003383A">
        <w:rPr>
          <w:lang w:val="en-CA"/>
        </w:rPr>
        <w:t xml:space="preserve">the </w:t>
      </w:r>
      <w:r w:rsidR="00BF3EAF" w:rsidRPr="00BA1219">
        <w:rPr>
          <w:lang w:val="en-CA"/>
        </w:rPr>
        <w:t>CSSs undoubtedly reduce the pool of potential candidates. It could even be argued that this was the legislature</w:t>
      </w:r>
      <w:r w:rsidR="0003383A">
        <w:rPr>
          <w:lang w:val="en-CA"/>
        </w:rPr>
        <w:t>’</w:t>
      </w:r>
      <w:r w:rsidR="00BF3EAF" w:rsidRPr="00BA1219">
        <w:rPr>
          <w:lang w:val="en-CA"/>
        </w:rPr>
        <w:t>s intention with the proposed new governance model, which sought to replace civic address as the primary qualification criterion with other criteria based primarily on the candidate's status or expertise.</w:t>
      </w:r>
      <w:r w:rsidRPr="00BA1219">
        <w:rPr>
          <w:rStyle w:val="Appelnotedebasdep"/>
          <w:lang w:val="en-CA"/>
        </w:rPr>
        <w:footnoteReference w:id="124"/>
      </w:r>
    </w:p>
    <w:p w14:paraId="71790DDF" w14:textId="0B2AC45C" w:rsidR="0012341A" w:rsidRPr="00BA1219" w:rsidRDefault="00BF3EAF" w:rsidP="0054179C">
      <w:pPr>
        <w:pStyle w:val="Paragrsimple"/>
        <w:rPr>
          <w:lang w:val="en-CA"/>
        </w:rPr>
      </w:pPr>
      <w:r w:rsidRPr="00BA1219">
        <w:rPr>
          <w:lang w:val="en-CA"/>
        </w:rPr>
        <w:t>The applicants also note that only parents of students are elected by electoral division, whereas the other members are elected for all of the school board or service centre’s territory.</w:t>
      </w:r>
      <w:r w:rsidR="0096102C" w:rsidRPr="00BA1219">
        <w:rPr>
          <w:lang w:val="en-CA"/>
        </w:rPr>
        <w:t xml:space="preserve"> </w:t>
      </w:r>
    </w:p>
    <w:p w14:paraId="4C162364" w14:textId="50158D6F" w:rsidR="00F248F3" w:rsidRPr="00BA1219" w:rsidRDefault="00BF3EAF" w:rsidP="0054179C">
      <w:pPr>
        <w:pStyle w:val="Paragrsimple"/>
        <w:rPr>
          <w:lang w:val="en-CA"/>
        </w:rPr>
      </w:pPr>
      <w:r w:rsidRPr="00BA1219">
        <w:rPr>
          <w:lang w:val="en-CA"/>
        </w:rPr>
        <w:t xml:space="preserve">Professor Loewen is of the view that these members, representing the “community”, </w:t>
      </w:r>
      <w:r w:rsidR="0003383A">
        <w:rPr>
          <w:lang w:val="en-CA"/>
        </w:rPr>
        <w:t>constitute</w:t>
      </w:r>
      <w:r w:rsidR="0003383A" w:rsidRPr="00BA1219">
        <w:rPr>
          <w:lang w:val="en-CA"/>
        </w:rPr>
        <w:t xml:space="preserve"> </w:t>
      </w:r>
      <w:r w:rsidRPr="00BA1219">
        <w:rPr>
          <w:lang w:val="en-CA"/>
        </w:rPr>
        <w:t>only about 50% of persons who are currently eligible to be councillors.</w:t>
      </w:r>
      <w:r w:rsidRPr="00BA1219">
        <w:rPr>
          <w:rStyle w:val="Appelnotedebasdep"/>
          <w:lang w:val="en-CA"/>
        </w:rPr>
        <w:footnoteReference w:id="125"/>
      </w:r>
      <w:r w:rsidR="0096102C" w:rsidRPr="00BA1219">
        <w:rPr>
          <w:lang w:val="en-CA"/>
        </w:rPr>
        <w:t xml:space="preserve"> </w:t>
      </w:r>
    </w:p>
    <w:p w14:paraId="08588514" w14:textId="2913AC05" w:rsidR="004713AE" w:rsidRPr="00BA1219" w:rsidRDefault="00BF3EAF" w:rsidP="0054179C">
      <w:pPr>
        <w:pStyle w:val="Paragrsimple"/>
        <w:rPr>
          <w:lang w:val="en-CA"/>
        </w:rPr>
      </w:pPr>
      <w:r w:rsidRPr="00BA1219">
        <w:rPr>
          <w:lang w:val="en-CA"/>
        </w:rPr>
        <w:t>Several affiants who currently sit on school boards testified that the new requirements will make it difficult for them to do so.</w:t>
      </w:r>
    </w:p>
    <w:p w14:paraId="46F60A43" w14:textId="65DFC86B" w:rsidR="00471B9A" w:rsidRPr="00BA1219" w:rsidRDefault="00BF3EAF" w:rsidP="0054179C">
      <w:pPr>
        <w:pStyle w:val="Paragrsimple"/>
        <w:rPr>
          <w:lang w:val="en-CA"/>
        </w:rPr>
      </w:pPr>
      <w:r w:rsidRPr="00BA1219">
        <w:rPr>
          <w:lang w:val="en-CA"/>
        </w:rPr>
        <w:t>Deborah Cornforth, who was the Central Quebec School Board commissioner for six years and chair of the governing board of her child’s school</w:t>
      </w:r>
      <w:r w:rsidR="0003383A">
        <w:rPr>
          <w:lang w:val="en-CA"/>
        </w:rPr>
        <w:t>,</w:t>
      </w:r>
      <w:r w:rsidRPr="00BA1219">
        <w:rPr>
          <w:lang w:val="en-CA"/>
        </w:rPr>
        <w:t xml:space="preserve"> explained:</w:t>
      </w:r>
      <w:r w:rsidRPr="00BA1219">
        <w:rPr>
          <w:rStyle w:val="Appelnotedebasdep"/>
          <w:spacing w:val="-4"/>
          <w:lang w:val="en-CA"/>
        </w:rPr>
        <w:t xml:space="preserve"> </w:t>
      </w:r>
      <w:r w:rsidRPr="00BA1219">
        <w:rPr>
          <w:rStyle w:val="Appelnotedebasdep"/>
          <w:spacing w:val="-4"/>
          <w:lang w:val="en-CA"/>
        </w:rPr>
        <w:footnoteReference w:id="126"/>
      </w:r>
    </w:p>
    <w:p w14:paraId="67F47671" w14:textId="77777777" w:rsidR="00471B9A" w:rsidRPr="00BA1219" w:rsidRDefault="0096102C" w:rsidP="0054179C">
      <w:pPr>
        <w:pStyle w:val="Citation"/>
        <w:rPr>
          <w:lang w:val="en-CA"/>
        </w:rPr>
      </w:pPr>
      <w:r w:rsidRPr="00BA1219">
        <w:rPr>
          <w:lang w:val="en-CA"/>
        </w:rPr>
        <w:t>4</w:t>
      </w:r>
      <w:r w:rsidRPr="00BA1219">
        <w:rPr>
          <w:lang w:val="en-CA"/>
        </w:rPr>
        <w:tab/>
      </w:r>
      <w:r w:rsidRPr="006B7726">
        <w:rPr>
          <w:lang w:val="en-CA"/>
        </w:rPr>
        <w:t>In my experience, the level of involvement of parents at the board level is quite low.</w:t>
      </w:r>
      <w:r w:rsidRPr="00BA1219">
        <w:rPr>
          <w:lang w:val="en-CA"/>
        </w:rPr>
        <w:t xml:space="preserve"> It is hard to convince parents with children in school to commit to do more (on top of taking care of their children and working full time), as they already have a lot of responsibilities. Even at the governing board level, I have found that it is very difficult</w:t>
      </w:r>
      <w:r w:rsidRPr="00BA1219">
        <w:rPr>
          <w:spacing w:val="-2"/>
          <w:lang w:val="en-CA"/>
        </w:rPr>
        <w:t xml:space="preserve"> </w:t>
      </w:r>
      <w:r w:rsidRPr="00BA1219">
        <w:rPr>
          <w:lang w:val="en-CA"/>
        </w:rPr>
        <w:t>to</w:t>
      </w:r>
      <w:r w:rsidRPr="00BA1219">
        <w:rPr>
          <w:spacing w:val="-4"/>
          <w:lang w:val="en-CA"/>
        </w:rPr>
        <w:t xml:space="preserve"> </w:t>
      </w:r>
      <w:r w:rsidRPr="00BA1219">
        <w:rPr>
          <w:lang w:val="en-CA"/>
        </w:rPr>
        <w:t>find</w:t>
      </w:r>
      <w:r w:rsidRPr="00BA1219">
        <w:rPr>
          <w:spacing w:val="-2"/>
          <w:lang w:val="en-CA"/>
        </w:rPr>
        <w:t xml:space="preserve"> </w:t>
      </w:r>
      <w:r w:rsidRPr="00BA1219">
        <w:rPr>
          <w:lang w:val="en-CA"/>
        </w:rPr>
        <w:t>parents</w:t>
      </w:r>
      <w:r w:rsidRPr="00BA1219">
        <w:rPr>
          <w:spacing w:val="-3"/>
          <w:lang w:val="en-CA"/>
        </w:rPr>
        <w:t xml:space="preserve"> </w:t>
      </w:r>
      <w:r w:rsidRPr="00BA1219">
        <w:rPr>
          <w:lang w:val="en-CA"/>
        </w:rPr>
        <w:t>willing</w:t>
      </w:r>
      <w:r w:rsidRPr="00BA1219">
        <w:rPr>
          <w:spacing w:val="-4"/>
          <w:lang w:val="en-CA"/>
        </w:rPr>
        <w:t xml:space="preserve"> </w:t>
      </w:r>
      <w:r w:rsidRPr="00BA1219">
        <w:rPr>
          <w:lang w:val="en-CA"/>
        </w:rPr>
        <w:t>to</w:t>
      </w:r>
      <w:r w:rsidRPr="00BA1219">
        <w:rPr>
          <w:spacing w:val="-4"/>
          <w:lang w:val="en-CA"/>
        </w:rPr>
        <w:t xml:space="preserve"> </w:t>
      </w:r>
      <w:r w:rsidRPr="00BA1219">
        <w:rPr>
          <w:lang w:val="en-CA"/>
        </w:rPr>
        <w:t>replace</w:t>
      </w:r>
      <w:r w:rsidRPr="00BA1219">
        <w:rPr>
          <w:spacing w:val="-2"/>
          <w:lang w:val="en-CA"/>
        </w:rPr>
        <w:t xml:space="preserve"> </w:t>
      </w:r>
      <w:r w:rsidRPr="00BA1219">
        <w:rPr>
          <w:lang w:val="en-CA"/>
        </w:rPr>
        <w:t>me</w:t>
      </w:r>
      <w:r w:rsidRPr="00BA1219">
        <w:rPr>
          <w:spacing w:val="-2"/>
          <w:lang w:val="en-CA"/>
        </w:rPr>
        <w:t xml:space="preserve"> </w:t>
      </w:r>
      <w:r w:rsidRPr="00BA1219">
        <w:rPr>
          <w:lang w:val="en-CA"/>
        </w:rPr>
        <w:t>on</w:t>
      </w:r>
      <w:r w:rsidRPr="00BA1219">
        <w:rPr>
          <w:spacing w:val="-5"/>
          <w:lang w:val="en-CA"/>
        </w:rPr>
        <w:t xml:space="preserve"> </w:t>
      </w:r>
      <w:r w:rsidRPr="00BA1219">
        <w:rPr>
          <w:lang w:val="en-CA"/>
        </w:rPr>
        <w:t>the</w:t>
      </w:r>
      <w:r w:rsidRPr="00BA1219">
        <w:rPr>
          <w:spacing w:val="-5"/>
          <w:lang w:val="en-CA"/>
        </w:rPr>
        <w:t xml:space="preserve"> </w:t>
      </w:r>
      <w:r w:rsidRPr="00BA1219">
        <w:rPr>
          <w:lang w:val="en-CA"/>
        </w:rPr>
        <w:t xml:space="preserve">various </w:t>
      </w:r>
      <w:r w:rsidRPr="00BA1219">
        <w:rPr>
          <w:lang w:val="en-CA"/>
        </w:rPr>
        <w:lastRenderedPageBreak/>
        <w:t>committees</w:t>
      </w:r>
      <w:r w:rsidRPr="00BA1219">
        <w:rPr>
          <w:spacing w:val="-3"/>
          <w:lang w:val="en-CA"/>
        </w:rPr>
        <w:t xml:space="preserve"> </w:t>
      </w:r>
      <w:r w:rsidRPr="00BA1219">
        <w:rPr>
          <w:lang w:val="en-CA"/>
        </w:rPr>
        <w:t>that</w:t>
      </w:r>
      <w:r w:rsidRPr="00BA1219">
        <w:rPr>
          <w:spacing w:val="-5"/>
          <w:lang w:val="en-CA"/>
        </w:rPr>
        <w:t xml:space="preserve"> </w:t>
      </w:r>
      <w:r w:rsidRPr="00BA1219">
        <w:rPr>
          <w:lang w:val="en-CA"/>
        </w:rPr>
        <w:t>I</w:t>
      </w:r>
      <w:r w:rsidRPr="00BA1219">
        <w:rPr>
          <w:spacing w:val="-4"/>
          <w:lang w:val="en-CA"/>
        </w:rPr>
        <w:t xml:space="preserve"> </w:t>
      </w:r>
      <w:r w:rsidRPr="00BA1219">
        <w:rPr>
          <w:lang w:val="en-CA"/>
        </w:rPr>
        <w:t>am</w:t>
      </w:r>
      <w:r w:rsidRPr="00BA1219">
        <w:rPr>
          <w:spacing w:val="-2"/>
          <w:lang w:val="en-CA"/>
        </w:rPr>
        <w:t xml:space="preserve"> </w:t>
      </w:r>
      <w:r w:rsidRPr="00BA1219">
        <w:rPr>
          <w:lang w:val="en-CA"/>
        </w:rPr>
        <w:t>on. I</w:t>
      </w:r>
      <w:r w:rsidRPr="00BA1219">
        <w:rPr>
          <w:spacing w:val="-4"/>
          <w:lang w:val="en-CA"/>
        </w:rPr>
        <w:t xml:space="preserve"> </w:t>
      </w:r>
      <w:r w:rsidRPr="00BA1219">
        <w:rPr>
          <w:lang w:val="en-CA"/>
        </w:rPr>
        <w:t>feel</w:t>
      </w:r>
      <w:r w:rsidRPr="00BA1219">
        <w:rPr>
          <w:spacing w:val="-5"/>
          <w:lang w:val="en-CA"/>
        </w:rPr>
        <w:t xml:space="preserve"> </w:t>
      </w:r>
      <w:r w:rsidRPr="00BA1219">
        <w:rPr>
          <w:lang w:val="en-CA"/>
        </w:rPr>
        <w:t>that</w:t>
      </w:r>
      <w:r w:rsidRPr="00BA1219">
        <w:rPr>
          <w:spacing w:val="-5"/>
          <w:lang w:val="en-CA"/>
        </w:rPr>
        <w:t xml:space="preserve"> </w:t>
      </w:r>
      <w:r w:rsidRPr="00BA1219">
        <w:rPr>
          <w:lang w:val="en-CA"/>
        </w:rPr>
        <w:t>after</w:t>
      </w:r>
      <w:r w:rsidRPr="00BA1219">
        <w:rPr>
          <w:spacing w:val="-4"/>
          <w:lang w:val="en-CA"/>
        </w:rPr>
        <w:t xml:space="preserve"> </w:t>
      </w:r>
      <w:r w:rsidRPr="00BA1219">
        <w:rPr>
          <w:lang w:val="en-CA"/>
        </w:rPr>
        <w:t>almost</w:t>
      </w:r>
      <w:r w:rsidRPr="00BA1219">
        <w:rPr>
          <w:spacing w:val="-2"/>
          <w:lang w:val="en-CA"/>
        </w:rPr>
        <w:t xml:space="preserve"> </w:t>
      </w:r>
      <w:r w:rsidRPr="00BA1219">
        <w:rPr>
          <w:lang w:val="en-CA"/>
        </w:rPr>
        <w:t>a</w:t>
      </w:r>
      <w:r w:rsidRPr="00BA1219">
        <w:rPr>
          <w:spacing w:val="-4"/>
          <w:lang w:val="en-CA"/>
        </w:rPr>
        <w:t xml:space="preserve"> </w:t>
      </w:r>
      <w:r w:rsidRPr="00BA1219">
        <w:rPr>
          <w:lang w:val="en-CA"/>
        </w:rPr>
        <w:t>decade</w:t>
      </w:r>
      <w:r w:rsidRPr="00BA1219">
        <w:rPr>
          <w:spacing w:val="-4"/>
          <w:lang w:val="en-CA"/>
        </w:rPr>
        <w:t xml:space="preserve"> </w:t>
      </w:r>
      <w:r w:rsidRPr="00BA1219">
        <w:rPr>
          <w:lang w:val="en-CA"/>
        </w:rPr>
        <w:t>of</w:t>
      </w:r>
      <w:r w:rsidRPr="00BA1219">
        <w:rPr>
          <w:spacing w:val="-4"/>
          <w:lang w:val="en-CA"/>
        </w:rPr>
        <w:t xml:space="preserve"> </w:t>
      </w:r>
      <w:r w:rsidRPr="00BA1219">
        <w:rPr>
          <w:lang w:val="en-CA"/>
        </w:rPr>
        <w:t>significant involvement</w:t>
      </w:r>
      <w:r w:rsidRPr="00BA1219">
        <w:rPr>
          <w:spacing w:val="-4"/>
          <w:lang w:val="en-CA"/>
        </w:rPr>
        <w:t xml:space="preserve"> </w:t>
      </w:r>
      <w:r w:rsidRPr="00BA1219">
        <w:rPr>
          <w:lang w:val="en-CA"/>
        </w:rPr>
        <w:t>on</w:t>
      </w:r>
      <w:r w:rsidRPr="00BA1219">
        <w:rPr>
          <w:spacing w:val="-4"/>
          <w:lang w:val="en-CA"/>
        </w:rPr>
        <w:t xml:space="preserve"> </w:t>
      </w:r>
      <w:r w:rsidRPr="00BA1219">
        <w:rPr>
          <w:lang w:val="en-CA"/>
        </w:rPr>
        <w:t>the</w:t>
      </w:r>
      <w:r w:rsidRPr="00BA1219">
        <w:rPr>
          <w:spacing w:val="-4"/>
          <w:lang w:val="en-CA"/>
        </w:rPr>
        <w:t xml:space="preserve"> </w:t>
      </w:r>
      <w:r w:rsidRPr="00BA1219">
        <w:rPr>
          <w:lang w:val="en-CA"/>
        </w:rPr>
        <w:t>governing</w:t>
      </w:r>
      <w:r w:rsidRPr="00BA1219">
        <w:rPr>
          <w:spacing w:val="-4"/>
          <w:lang w:val="en-CA"/>
        </w:rPr>
        <w:t xml:space="preserve"> </w:t>
      </w:r>
      <w:r w:rsidRPr="00BA1219">
        <w:rPr>
          <w:lang w:val="en-CA"/>
        </w:rPr>
        <w:t>board, I have</w:t>
      </w:r>
      <w:r w:rsidRPr="00BA1219">
        <w:rPr>
          <w:spacing w:val="-4"/>
          <w:lang w:val="en-CA"/>
        </w:rPr>
        <w:t xml:space="preserve"> </w:t>
      </w:r>
      <w:r w:rsidRPr="00BA1219">
        <w:rPr>
          <w:lang w:val="en-CA"/>
        </w:rPr>
        <w:t>too</w:t>
      </w:r>
      <w:r w:rsidRPr="00BA1219">
        <w:rPr>
          <w:spacing w:val="-4"/>
          <w:lang w:val="en-CA"/>
        </w:rPr>
        <w:t xml:space="preserve"> </w:t>
      </w:r>
      <w:r w:rsidRPr="00BA1219">
        <w:rPr>
          <w:lang w:val="en-CA"/>
        </w:rPr>
        <w:t>many</w:t>
      </w:r>
      <w:r w:rsidRPr="00BA1219">
        <w:rPr>
          <w:spacing w:val="-3"/>
          <w:lang w:val="en-CA"/>
        </w:rPr>
        <w:t xml:space="preserve"> </w:t>
      </w:r>
      <w:r w:rsidRPr="00BA1219">
        <w:rPr>
          <w:lang w:val="en-CA"/>
        </w:rPr>
        <w:t>responsibilities and</w:t>
      </w:r>
      <w:r w:rsidRPr="00BA1219">
        <w:rPr>
          <w:spacing w:val="-4"/>
          <w:lang w:val="en-CA"/>
        </w:rPr>
        <w:t xml:space="preserve"> </w:t>
      </w:r>
      <w:r w:rsidRPr="00BA1219">
        <w:rPr>
          <w:lang w:val="en-CA"/>
        </w:rPr>
        <w:t>would</w:t>
      </w:r>
      <w:r w:rsidRPr="00BA1219">
        <w:rPr>
          <w:spacing w:val="-4"/>
          <w:lang w:val="en-CA"/>
        </w:rPr>
        <w:t xml:space="preserve"> </w:t>
      </w:r>
      <w:r w:rsidRPr="00BA1219">
        <w:rPr>
          <w:lang w:val="en-CA"/>
        </w:rPr>
        <w:t>like</w:t>
      </w:r>
      <w:r w:rsidRPr="00BA1219">
        <w:rPr>
          <w:spacing w:val="-4"/>
          <w:lang w:val="en-CA"/>
        </w:rPr>
        <w:t xml:space="preserve"> </w:t>
      </w:r>
      <w:r w:rsidRPr="00BA1219">
        <w:rPr>
          <w:lang w:val="en-CA"/>
        </w:rPr>
        <w:t>to</w:t>
      </w:r>
      <w:r w:rsidRPr="00BA1219">
        <w:rPr>
          <w:spacing w:val="-2"/>
          <w:lang w:val="en-CA"/>
        </w:rPr>
        <w:t xml:space="preserve"> </w:t>
      </w:r>
      <w:r w:rsidRPr="00BA1219">
        <w:rPr>
          <w:lang w:val="en-CA"/>
        </w:rPr>
        <w:t>leave</w:t>
      </w:r>
      <w:r w:rsidRPr="00BA1219">
        <w:rPr>
          <w:spacing w:val="-4"/>
          <w:lang w:val="en-CA"/>
        </w:rPr>
        <w:t xml:space="preserve"> </w:t>
      </w:r>
      <w:r w:rsidRPr="00BA1219">
        <w:rPr>
          <w:lang w:val="en-CA"/>
        </w:rPr>
        <w:t>room</w:t>
      </w:r>
      <w:r w:rsidRPr="00BA1219">
        <w:rPr>
          <w:spacing w:val="-4"/>
          <w:lang w:val="en-CA"/>
        </w:rPr>
        <w:t xml:space="preserve"> </w:t>
      </w:r>
      <w:r w:rsidRPr="00BA1219">
        <w:rPr>
          <w:lang w:val="en-CA"/>
        </w:rPr>
        <w:t>for</w:t>
      </w:r>
      <w:r w:rsidRPr="00BA1219">
        <w:rPr>
          <w:spacing w:val="-4"/>
          <w:lang w:val="en-CA"/>
        </w:rPr>
        <w:t xml:space="preserve"> </w:t>
      </w:r>
      <w:r w:rsidRPr="00BA1219">
        <w:rPr>
          <w:lang w:val="en-CA"/>
        </w:rPr>
        <w:t>others</w:t>
      </w:r>
      <w:r w:rsidRPr="00BA1219">
        <w:rPr>
          <w:spacing w:val="-2"/>
          <w:lang w:val="en-CA"/>
        </w:rPr>
        <w:t xml:space="preserve"> </w:t>
      </w:r>
      <w:r w:rsidRPr="00BA1219">
        <w:rPr>
          <w:lang w:val="en-CA"/>
        </w:rPr>
        <w:t>to</w:t>
      </w:r>
      <w:r w:rsidRPr="00BA1219">
        <w:rPr>
          <w:spacing w:val="-4"/>
          <w:lang w:val="en-CA"/>
        </w:rPr>
        <w:t xml:space="preserve"> </w:t>
      </w:r>
      <w:r w:rsidRPr="00BA1219">
        <w:rPr>
          <w:lang w:val="en-CA"/>
        </w:rPr>
        <w:t>participate more at the school level.</w:t>
      </w:r>
    </w:p>
    <w:p w14:paraId="2870BF8B" w14:textId="77777777" w:rsidR="00471B9A" w:rsidRPr="00BA1219" w:rsidRDefault="0096102C" w:rsidP="0054179C">
      <w:pPr>
        <w:pStyle w:val="Citation"/>
        <w:rPr>
          <w:lang w:val="en-CA"/>
        </w:rPr>
      </w:pPr>
      <w:r w:rsidRPr="00BA1219">
        <w:rPr>
          <w:lang w:val="en-CA"/>
        </w:rPr>
        <w:t>7</w:t>
      </w:r>
      <w:r w:rsidRPr="00BA1219">
        <w:rPr>
          <w:lang w:val="en-CA"/>
        </w:rPr>
        <w:tab/>
      </w:r>
      <w:r w:rsidRPr="006B7726">
        <w:rPr>
          <w:lang w:val="en-CA"/>
        </w:rPr>
        <w:t>There</w:t>
      </w:r>
      <w:r w:rsidRPr="006B7726">
        <w:rPr>
          <w:spacing w:val="-3"/>
          <w:lang w:val="en-CA"/>
        </w:rPr>
        <w:t xml:space="preserve"> </w:t>
      </w:r>
      <w:r w:rsidRPr="006B7726">
        <w:rPr>
          <w:lang w:val="en-CA"/>
        </w:rPr>
        <w:t>are 11</w:t>
      </w:r>
      <w:r w:rsidRPr="006B7726">
        <w:rPr>
          <w:spacing w:val="-3"/>
          <w:lang w:val="en-CA"/>
        </w:rPr>
        <w:t xml:space="preserve"> </w:t>
      </w:r>
      <w:r w:rsidRPr="006B7726">
        <w:rPr>
          <w:lang w:val="en-CA"/>
        </w:rPr>
        <w:t>wards</w:t>
      </w:r>
      <w:r w:rsidRPr="006B7726">
        <w:rPr>
          <w:spacing w:val="-2"/>
          <w:lang w:val="en-CA"/>
        </w:rPr>
        <w:t xml:space="preserve"> </w:t>
      </w:r>
      <w:r w:rsidRPr="006B7726">
        <w:rPr>
          <w:lang w:val="en-CA"/>
        </w:rPr>
        <w:t>at</w:t>
      </w:r>
      <w:r w:rsidRPr="006B7726">
        <w:rPr>
          <w:spacing w:val="-1"/>
          <w:lang w:val="en-CA"/>
        </w:rPr>
        <w:t xml:space="preserve"> </w:t>
      </w:r>
      <w:r w:rsidRPr="006B7726">
        <w:rPr>
          <w:lang w:val="en-CA"/>
        </w:rPr>
        <w:t>the</w:t>
      </w:r>
      <w:r w:rsidRPr="006B7726">
        <w:rPr>
          <w:spacing w:val="-3"/>
          <w:lang w:val="en-CA"/>
        </w:rPr>
        <w:t xml:space="preserve"> </w:t>
      </w:r>
      <w:r w:rsidRPr="006B7726">
        <w:rPr>
          <w:lang w:val="en-CA"/>
        </w:rPr>
        <w:t>CQSB.</w:t>
      </w:r>
      <w:r w:rsidRPr="00BA1219">
        <w:rPr>
          <w:spacing w:val="-1"/>
          <w:lang w:val="en-CA"/>
        </w:rPr>
        <w:t xml:space="preserve"> </w:t>
      </w:r>
      <w:r w:rsidRPr="00BA1219">
        <w:rPr>
          <w:lang w:val="en-CA"/>
        </w:rPr>
        <w:t>I</w:t>
      </w:r>
      <w:r w:rsidRPr="00BA1219">
        <w:rPr>
          <w:spacing w:val="-3"/>
          <w:lang w:val="en-CA"/>
        </w:rPr>
        <w:t xml:space="preserve"> </w:t>
      </w:r>
      <w:r w:rsidRPr="00BA1219">
        <w:rPr>
          <w:lang w:val="en-CA"/>
        </w:rPr>
        <w:t>cannot</w:t>
      </w:r>
      <w:r w:rsidRPr="00BA1219">
        <w:rPr>
          <w:spacing w:val="-1"/>
          <w:lang w:val="en-CA"/>
        </w:rPr>
        <w:t xml:space="preserve"> </w:t>
      </w:r>
      <w:r w:rsidRPr="00BA1219">
        <w:rPr>
          <w:lang w:val="en-CA"/>
        </w:rPr>
        <w:t>imagine</w:t>
      </w:r>
      <w:r w:rsidRPr="00BA1219">
        <w:rPr>
          <w:spacing w:val="-3"/>
          <w:lang w:val="en-CA"/>
        </w:rPr>
        <w:t xml:space="preserve"> </w:t>
      </w:r>
      <w:r w:rsidRPr="00BA1219">
        <w:rPr>
          <w:lang w:val="en-CA"/>
        </w:rPr>
        <w:t>that</w:t>
      </w:r>
      <w:r w:rsidRPr="00BA1219">
        <w:rPr>
          <w:spacing w:val="-3"/>
          <w:lang w:val="en-CA"/>
        </w:rPr>
        <w:t xml:space="preserve"> </w:t>
      </w:r>
      <w:r w:rsidRPr="00BA1219">
        <w:rPr>
          <w:lang w:val="en-CA"/>
        </w:rPr>
        <w:t>the</w:t>
      </w:r>
      <w:r w:rsidRPr="00BA1219">
        <w:rPr>
          <w:spacing w:val="-1"/>
          <w:lang w:val="en-CA"/>
        </w:rPr>
        <w:t xml:space="preserve"> </w:t>
      </w:r>
      <w:r w:rsidRPr="00BA1219">
        <w:rPr>
          <w:lang w:val="en-CA"/>
        </w:rPr>
        <w:t>CQSB</w:t>
      </w:r>
      <w:r w:rsidRPr="00BA1219">
        <w:rPr>
          <w:spacing w:val="-3"/>
          <w:lang w:val="en-CA"/>
        </w:rPr>
        <w:t xml:space="preserve"> </w:t>
      </w:r>
      <w:r w:rsidRPr="00BA1219">
        <w:rPr>
          <w:lang w:val="en-CA"/>
        </w:rPr>
        <w:t>would</w:t>
      </w:r>
      <w:r w:rsidRPr="00BA1219">
        <w:rPr>
          <w:spacing w:val="-1"/>
          <w:lang w:val="en-CA"/>
        </w:rPr>
        <w:t xml:space="preserve"> </w:t>
      </w:r>
      <w:r w:rsidRPr="00BA1219">
        <w:rPr>
          <w:lang w:val="en-CA"/>
        </w:rPr>
        <w:t>ever</w:t>
      </w:r>
      <w:r w:rsidRPr="00BA1219">
        <w:rPr>
          <w:spacing w:val="-2"/>
          <w:lang w:val="en-CA"/>
        </w:rPr>
        <w:t xml:space="preserve"> </w:t>
      </w:r>
      <w:r w:rsidRPr="00BA1219">
        <w:rPr>
          <w:lang w:val="en-CA"/>
        </w:rPr>
        <w:t>be able to find 11 parent representatives under Bill 40; we often do not even have 11 parents at the Parents Committee meetings, and the responsibilities and time commitment that come with being on the Parents Committee are significantly less than being a commissioner.</w:t>
      </w:r>
    </w:p>
    <w:p w14:paraId="0870FFF5" w14:textId="55189CB1" w:rsidR="00471B9A" w:rsidRPr="006B7726" w:rsidRDefault="00BF3EAF" w:rsidP="0054179C">
      <w:pPr>
        <w:pStyle w:val="Paragrsimple"/>
        <w:rPr>
          <w:lang w:val="en-CA"/>
        </w:rPr>
      </w:pPr>
      <w:r w:rsidRPr="006B7726">
        <w:rPr>
          <w:lang w:val="en-CA"/>
        </w:rPr>
        <w:t xml:space="preserve">Applicant Adam Gordon, chair of the Sir Wilfred Laurier School parents’ committee, </w:t>
      </w:r>
      <w:r w:rsidR="00F70D11" w:rsidRPr="006B7726">
        <w:rPr>
          <w:lang w:val="en-CA"/>
        </w:rPr>
        <w:t>commissioner,</w:t>
      </w:r>
      <w:r w:rsidRPr="006B7726">
        <w:rPr>
          <w:lang w:val="en-CA"/>
        </w:rPr>
        <w:t xml:space="preserve"> and vice-chair of the board of the Sir Wilfrid Laurier School Board</w:t>
      </w:r>
      <w:r w:rsidR="003752DF">
        <w:rPr>
          <w:lang w:val="en-CA"/>
        </w:rPr>
        <w:t>,</w:t>
      </w:r>
      <w:r w:rsidRPr="006B7726">
        <w:rPr>
          <w:lang w:val="en-CA"/>
        </w:rPr>
        <w:t xml:space="preserve"> explained</w:t>
      </w:r>
      <w:r w:rsidR="003752DF">
        <w:rPr>
          <w:lang w:val="en-CA"/>
        </w:rPr>
        <w:t xml:space="preserve"> his perspective</w:t>
      </w:r>
      <w:r w:rsidRPr="006B7726">
        <w:rPr>
          <w:lang w:val="en-CA"/>
        </w:rPr>
        <w:t>:</w:t>
      </w:r>
      <w:r w:rsidRPr="006B7726">
        <w:rPr>
          <w:rStyle w:val="Appelnotedebasdep"/>
          <w:lang w:val="en-CA"/>
        </w:rPr>
        <w:t xml:space="preserve"> </w:t>
      </w:r>
      <w:r w:rsidRPr="006B7726">
        <w:rPr>
          <w:rStyle w:val="Appelnotedebasdep"/>
          <w:lang w:val="en-CA"/>
        </w:rPr>
        <w:footnoteReference w:id="127"/>
      </w:r>
    </w:p>
    <w:p w14:paraId="7217FFEA" w14:textId="77777777" w:rsidR="00471B9A" w:rsidRPr="00BA1219" w:rsidRDefault="0096102C" w:rsidP="0054179C">
      <w:pPr>
        <w:pStyle w:val="Citation"/>
        <w:rPr>
          <w:lang w:val="en-CA"/>
        </w:rPr>
      </w:pPr>
      <w:r w:rsidRPr="00BA1219">
        <w:rPr>
          <w:lang w:val="en-CA"/>
        </w:rPr>
        <w:t>9</w:t>
      </w:r>
      <w:r w:rsidRPr="00BA1219">
        <w:rPr>
          <w:lang w:val="en-CA"/>
        </w:rPr>
        <w:tab/>
        <w:t>In my experience, while there are parents with children in school, like myself, willing to take on extra responsibilities beyond the level of the school, these persons are few and far between. There have been years where several schools did not even have representatives on the SWLSB Parents’ Committee. Most parents simply tell me they do not have the time to take on extra roles. This is particularly the case the further north of Laval you go, where there is the additional challenge of the time it takes to commute to Board meetings (though the situation is currently different because of the pandemic and meetings are held virtually).</w:t>
      </w:r>
    </w:p>
    <w:p w14:paraId="1DC1B0C4" w14:textId="77777777" w:rsidR="00471B9A" w:rsidRPr="00BA1219" w:rsidRDefault="0096102C" w:rsidP="0054179C">
      <w:pPr>
        <w:pStyle w:val="Citation"/>
        <w:rPr>
          <w:lang w:val="en-CA"/>
        </w:rPr>
      </w:pPr>
      <w:r w:rsidRPr="00BA1219">
        <w:rPr>
          <w:lang w:val="en-CA"/>
        </w:rPr>
        <w:t>10</w:t>
      </w:r>
      <w:r w:rsidRPr="00BA1219">
        <w:rPr>
          <w:lang w:val="en-CA"/>
        </w:rPr>
        <w:tab/>
        <w:t>In October and November 2020, I actively participated in getting the word out about the school board elections and encouraging people to run. I spoke to many parents with children in school, including parents who had previously served on governing boards.</w:t>
      </w:r>
      <w:r w:rsidRPr="00BA1219">
        <w:rPr>
          <w:spacing w:val="-2"/>
          <w:lang w:val="en-CA"/>
        </w:rPr>
        <w:t xml:space="preserve"> </w:t>
      </w:r>
      <w:r w:rsidRPr="00BA1219">
        <w:rPr>
          <w:lang w:val="en-CA"/>
        </w:rPr>
        <w:t>I found that parents</w:t>
      </w:r>
      <w:r w:rsidRPr="00BA1219">
        <w:rPr>
          <w:spacing w:val="-1"/>
          <w:lang w:val="en-CA"/>
        </w:rPr>
        <w:t xml:space="preserve"> </w:t>
      </w:r>
      <w:r w:rsidRPr="00BA1219">
        <w:rPr>
          <w:lang w:val="en-CA"/>
        </w:rPr>
        <w:t>were</w:t>
      </w:r>
      <w:r w:rsidRPr="00BA1219">
        <w:rPr>
          <w:spacing w:val="-2"/>
          <w:lang w:val="en-CA"/>
        </w:rPr>
        <w:t xml:space="preserve"> </w:t>
      </w:r>
      <w:r w:rsidRPr="00BA1219">
        <w:rPr>
          <w:lang w:val="en-CA"/>
        </w:rPr>
        <w:t>very reluctant to participate, citing how little time they had and the low remuneration offered, and I was not successful in encouraging anyone to run. I am very concerned that, with Bill 40, many parent representative</w:t>
      </w:r>
      <w:r w:rsidRPr="00BA1219">
        <w:rPr>
          <w:spacing w:val="-13"/>
          <w:lang w:val="en-CA"/>
        </w:rPr>
        <w:t xml:space="preserve"> </w:t>
      </w:r>
      <w:r w:rsidRPr="00BA1219">
        <w:rPr>
          <w:lang w:val="en-CA"/>
        </w:rPr>
        <w:t>positions</w:t>
      </w:r>
      <w:r w:rsidRPr="00BA1219">
        <w:rPr>
          <w:spacing w:val="-13"/>
          <w:lang w:val="en-CA"/>
        </w:rPr>
        <w:t xml:space="preserve"> </w:t>
      </w:r>
      <w:r w:rsidRPr="00BA1219">
        <w:rPr>
          <w:lang w:val="en-CA"/>
        </w:rPr>
        <w:t>will</w:t>
      </w:r>
      <w:r w:rsidRPr="00BA1219">
        <w:rPr>
          <w:spacing w:val="-12"/>
          <w:lang w:val="en-CA"/>
        </w:rPr>
        <w:t xml:space="preserve"> </w:t>
      </w:r>
      <w:r w:rsidRPr="00BA1219">
        <w:rPr>
          <w:lang w:val="en-CA"/>
        </w:rPr>
        <w:t>simply</w:t>
      </w:r>
      <w:r w:rsidRPr="00BA1219">
        <w:rPr>
          <w:spacing w:val="-12"/>
          <w:lang w:val="en-CA"/>
        </w:rPr>
        <w:t xml:space="preserve"> </w:t>
      </w:r>
      <w:r w:rsidRPr="00BA1219">
        <w:rPr>
          <w:lang w:val="en-CA"/>
        </w:rPr>
        <w:t>not</w:t>
      </w:r>
      <w:r w:rsidRPr="00BA1219">
        <w:rPr>
          <w:spacing w:val="-11"/>
          <w:lang w:val="en-CA"/>
        </w:rPr>
        <w:t xml:space="preserve"> </w:t>
      </w:r>
      <w:r w:rsidRPr="00BA1219">
        <w:rPr>
          <w:lang w:val="en-CA"/>
        </w:rPr>
        <w:t>be</w:t>
      </w:r>
      <w:r w:rsidRPr="00BA1219">
        <w:rPr>
          <w:spacing w:val="-12"/>
          <w:lang w:val="en-CA"/>
        </w:rPr>
        <w:t xml:space="preserve"> </w:t>
      </w:r>
      <w:r w:rsidRPr="00BA1219">
        <w:rPr>
          <w:lang w:val="en-CA"/>
        </w:rPr>
        <w:t>filled.</w:t>
      </w:r>
      <w:r w:rsidRPr="00BA1219">
        <w:rPr>
          <w:spacing w:val="-14"/>
          <w:lang w:val="en-CA"/>
        </w:rPr>
        <w:t xml:space="preserve"> </w:t>
      </w:r>
      <w:r w:rsidRPr="00BA1219">
        <w:rPr>
          <w:lang w:val="en-CA"/>
        </w:rPr>
        <w:t>The</w:t>
      </w:r>
      <w:r w:rsidRPr="00BA1219">
        <w:rPr>
          <w:spacing w:val="-10"/>
          <w:lang w:val="en-CA"/>
        </w:rPr>
        <w:t xml:space="preserve"> </w:t>
      </w:r>
      <w:r w:rsidRPr="00BA1219">
        <w:rPr>
          <w:lang w:val="en-CA"/>
        </w:rPr>
        <w:t>level</w:t>
      </w:r>
      <w:r w:rsidRPr="00BA1219">
        <w:rPr>
          <w:spacing w:val="-14"/>
          <w:lang w:val="en-CA"/>
        </w:rPr>
        <w:t xml:space="preserve"> </w:t>
      </w:r>
      <w:r w:rsidRPr="00BA1219">
        <w:rPr>
          <w:lang w:val="en-CA"/>
        </w:rPr>
        <w:t>of</w:t>
      </w:r>
      <w:r w:rsidRPr="00BA1219">
        <w:rPr>
          <w:spacing w:val="-14"/>
          <w:lang w:val="en-CA"/>
        </w:rPr>
        <w:t xml:space="preserve"> </w:t>
      </w:r>
      <w:r w:rsidRPr="00BA1219">
        <w:rPr>
          <w:lang w:val="en-CA"/>
        </w:rPr>
        <w:t>participation</w:t>
      </w:r>
      <w:r w:rsidRPr="00BA1219">
        <w:rPr>
          <w:spacing w:val="-12"/>
          <w:lang w:val="en-CA"/>
        </w:rPr>
        <w:t xml:space="preserve"> </w:t>
      </w:r>
      <w:r w:rsidRPr="00BA1219">
        <w:rPr>
          <w:lang w:val="en-CA"/>
        </w:rPr>
        <w:t>in</w:t>
      </w:r>
      <w:r w:rsidRPr="00BA1219">
        <w:rPr>
          <w:spacing w:val="-12"/>
          <w:lang w:val="en-CA"/>
        </w:rPr>
        <w:t xml:space="preserve"> </w:t>
      </w:r>
      <w:r w:rsidRPr="00BA1219">
        <w:rPr>
          <w:lang w:val="en-CA"/>
        </w:rPr>
        <w:t>elections is</w:t>
      </w:r>
      <w:r w:rsidRPr="00BA1219">
        <w:rPr>
          <w:spacing w:val="-5"/>
          <w:lang w:val="en-CA"/>
        </w:rPr>
        <w:t xml:space="preserve"> </w:t>
      </w:r>
      <w:r w:rsidRPr="00BA1219">
        <w:rPr>
          <w:lang w:val="en-CA"/>
        </w:rPr>
        <w:t>already</w:t>
      </w:r>
      <w:r w:rsidRPr="00BA1219">
        <w:rPr>
          <w:spacing w:val="-5"/>
          <w:lang w:val="en-CA"/>
        </w:rPr>
        <w:t xml:space="preserve"> </w:t>
      </w:r>
      <w:r w:rsidRPr="00BA1219">
        <w:rPr>
          <w:lang w:val="en-CA"/>
        </w:rPr>
        <w:t>low</w:t>
      </w:r>
      <w:r w:rsidRPr="00BA1219">
        <w:rPr>
          <w:spacing w:val="-7"/>
          <w:lang w:val="en-CA"/>
        </w:rPr>
        <w:t xml:space="preserve"> </w:t>
      </w:r>
      <w:r w:rsidRPr="00BA1219">
        <w:rPr>
          <w:lang w:val="en-CA"/>
        </w:rPr>
        <w:t>and</w:t>
      </w:r>
      <w:r w:rsidRPr="00BA1219">
        <w:rPr>
          <w:spacing w:val="-5"/>
          <w:lang w:val="en-CA"/>
        </w:rPr>
        <w:t xml:space="preserve"> </w:t>
      </w:r>
      <w:r w:rsidRPr="00BA1219">
        <w:rPr>
          <w:lang w:val="en-CA"/>
        </w:rPr>
        <w:t>many</w:t>
      </w:r>
      <w:r w:rsidRPr="00BA1219">
        <w:rPr>
          <w:spacing w:val="-6"/>
          <w:lang w:val="en-CA"/>
        </w:rPr>
        <w:t xml:space="preserve"> </w:t>
      </w:r>
      <w:r w:rsidRPr="00BA1219">
        <w:rPr>
          <w:lang w:val="en-CA"/>
        </w:rPr>
        <w:t>positions</w:t>
      </w:r>
      <w:r w:rsidRPr="00BA1219">
        <w:rPr>
          <w:spacing w:val="-6"/>
          <w:lang w:val="en-CA"/>
        </w:rPr>
        <w:t xml:space="preserve"> </w:t>
      </w:r>
      <w:r w:rsidRPr="00BA1219">
        <w:rPr>
          <w:lang w:val="en-CA"/>
        </w:rPr>
        <w:t>are</w:t>
      </w:r>
      <w:r w:rsidRPr="00BA1219">
        <w:rPr>
          <w:spacing w:val="-6"/>
          <w:lang w:val="en-CA"/>
        </w:rPr>
        <w:t xml:space="preserve"> </w:t>
      </w:r>
      <w:r w:rsidRPr="00BA1219">
        <w:rPr>
          <w:lang w:val="en-CA"/>
        </w:rPr>
        <w:t>filled</w:t>
      </w:r>
      <w:r w:rsidRPr="00BA1219">
        <w:rPr>
          <w:spacing w:val="-5"/>
          <w:lang w:val="en-CA"/>
        </w:rPr>
        <w:t xml:space="preserve"> </w:t>
      </w:r>
      <w:r w:rsidRPr="00BA1219">
        <w:rPr>
          <w:lang w:val="en-CA"/>
        </w:rPr>
        <w:t>by</w:t>
      </w:r>
      <w:r w:rsidRPr="00BA1219">
        <w:rPr>
          <w:spacing w:val="-1"/>
          <w:lang w:val="en-CA"/>
        </w:rPr>
        <w:t xml:space="preserve"> </w:t>
      </w:r>
      <w:r w:rsidRPr="00BA1219">
        <w:rPr>
          <w:lang w:val="en-CA"/>
        </w:rPr>
        <w:t>acclamation;</w:t>
      </w:r>
      <w:r w:rsidRPr="00BA1219">
        <w:rPr>
          <w:spacing w:val="-6"/>
          <w:lang w:val="en-CA"/>
        </w:rPr>
        <w:t xml:space="preserve"> </w:t>
      </w:r>
      <w:r w:rsidRPr="00BA1219">
        <w:rPr>
          <w:lang w:val="en-CA"/>
        </w:rPr>
        <w:t>I</w:t>
      </w:r>
      <w:r w:rsidRPr="00BA1219">
        <w:rPr>
          <w:spacing w:val="-6"/>
          <w:lang w:val="en-CA"/>
        </w:rPr>
        <w:t xml:space="preserve"> </w:t>
      </w:r>
      <w:r w:rsidRPr="00BA1219">
        <w:rPr>
          <w:lang w:val="en-CA"/>
        </w:rPr>
        <w:t>am</w:t>
      </w:r>
      <w:r w:rsidRPr="00BA1219">
        <w:rPr>
          <w:spacing w:val="-7"/>
          <w:lang w:val="en-CA"/>
        </w:rPr>
        <w:t xml:space="preserve"> </w:t>
      </w:r>
      <w:r w:rsidRPr="00BA1219">
        <w:rPr>
          <w:lang w:val="en-CA"/>
        </w:rPr>
        <w:t>concerned</w:t>
      </w:r>
      <w:r w:rsidRPr="00BA1219">
        <w:rPr>
          <w:spacing w:val="-7"/>
          <w:lang w:val="en-CA"/>
        </w:rPr>
        <w:t xml:space="preserve"> </w:t>
      </w:r>
      <w:r w:rsidRPr="00BA1219">
        <w:rPr>
          <w:lang w:val="en-CA"/>
        </w:rPr>
        <w:t>that</w:t>
      </w:r>
      <w:r w:rsidRPr="00BA1219">
        <w:rPr>
          <w:spacing w:val="-6"/>
          <w:lang w:val="en-CA"/>
        </w:rPr>
        <w:t xml:space="preserve"> </w:t>
      </w:r>
      <w:r w:rsidRPr="00BA1219">
        <w:rPr>
          <w:lang w:val="en-CA"/>
        </w:rPr>
        <w:t>the situation will</w:t>
      </w:r>
      <w:r w:rsidRPr="00BA1219">
        <w:rPr>
          <w:spacing w:val="-2"/>
          <w:lang w:val="en-CA"/>
        </w:rPr>
        <w:t xml:space="preserve"> </w:t>
      </w:r>
      <w:r w:rsidRPr="00BA1219">
        <w:rPr>
          <w:lang w:val="en-CA"/>
        </w:rPr>
        <w:t>get much worse</w:t>
      </w:r>
      <w:r w:rsidRPr="00BA1219">
        <w:rPr>
          <w:spacing w:val="-1"/>
          <w:lang w:val="en-CA"/>
        </w:rPr>
        <w:t xml:space="preserve"> </w:t>
      </w:r>
      <w:r w:rsidRPr="00BA1219">
        <w:rPr>
          <w:lang w:val="en-CA"/>
        </w:rPr>
        <w:t>with Bill</w:t>
      </w:r>
      <w:r w:rsidRPr="00BA1219">
        <w:rPr>
          <w:spacing w:val="-2"/>
          <w:lang w:val="en-CA"/>
        </w:rPr>
        <w:t xml:space="preserve"> </w:t>
      </w:r>
      <w:r w:rsidRPr="00BA1219">
        <w:rPr>
          <w:lang w:val="en-CA"/>
        </w:rPr>
        <w:t>40. There are not enough</w:t>
      </w:r>
      <w:r w:rsidRPr="00BA1219">
        <w:rPr>
          <w:spacing w:val="-1"/>
          <w:lang w:val="en-CA"/>
        </w:rPr>
        <w:t xml:space="preserve"> </w:t>
      </w:r>
      <w:r w:rsidRPr="00BA1219">
        <w:rPr>
          <w:lang w:val="en-CA"/>
        </w:rPr>
        <w:t>involved parents to fill the parent representative seats.</w:t>
      </w:r>
    </w:p>
    <w:p w14:paraId="2AA71351" w14:textId="2C401AC1" w:rsidR="00471B9A" w:rsidRPr="00BA1219" w:rsidRDefault="00BF3EAF" w:rsidP="0054179C">
      <w:pPr>
        <w:pStyle w:val="Paragrsimple"/>
        <w:rPr>
          <w:lang w:val="en-CA"/>
        </w:rPr>
      </w:pPr>
      <w:r w:rsidRPr="00BA1219">
        <w:rPr>
          <w:lang w:val="en-CA"/>
        </w:rPr>
        <w:t xml:space="preserve">The difficulty of recruiting candidates is exacerbated in outlying school boards, where the number of eligible students is </w:t>
      </w:r>
      <w:r w:rsidR="00F70D11" w:rsidRPr="00BA1219">
        <w:rPr>
          <w:lang w:val="en-CA"/>
        </w:rPr>
        <w:t>decreasing</w:t>
      </w:r>
      <w:r w:rsidRPr="00BA1219">
        <w:rPr>
          <w:lang w:val="en-CA"/>
        </w:rPr>
        <w:t xml:space="preserve"> and distances are increasing.</w:t>
      </w:r>
      <w:r w:rsidR="0096102C" w:rsidRPr="00BA1219">
        <w:rPr>
          <w:lang w:val="en-CA"/>
        </w:rPr>
        <w:t xml:space="preserve"> </w:t>
      </w:r>
    </w:p>
    <w:p w14:paraId="669CC22C" w14:textId="0DFC0BD3" w:rsidR="009459A9" w:rsidRPr="00BA1219" w:rsidRDefault="00BF3EAF" w:rsidP="0054179C">
      <w:pPr>
        <w:pStyle w:val="Paragrsimple"/>
        <w:rPr>
          <w:lang w:val="en-CA"/>
        </w:rPr>
      </w:pPr>
      <w:r w:rsidRPr="00BA1219">
        <w:rPr>
          <w:lang w:val="en-CA"/>
        </w:rPr>
        <w:t xml:space="preserve">Katherine </w:t>
      </w:r>
      <w:proofErr w:type="spellStart"/>
      <w:r w:rsidRPr="00BA1219">
        <w:rPr>
          <w:lang w:val="en-CA"/>
        </w:rPr>
        <w:t>MacKenzie</w:t>
      </w:r>
      <w:proofErr w:type="spellEnd"/>
      <w:r w:rsidRPr="00BA1219">
        <w:rPr>
          <w:lang w:val="en-CA"/>
        </w:rPr>
        <w:t>, a parent commissioner for six years with the Eastern Shores School Board and chair of the Central Parents Committee for five years</w:t>
      </w:r>
      <w:r w:rsidR="003752DF">
        <w:rPr>
          <w:lang w:val="en-CA"/>
        </w:rPr>
        <w:t>,</w:t>
      </w:r>
      <w:r w:rsidRPr="00BA1219">
        <w:rPr>
          <w:lang w:val="en-CA"/>
        </w:rPr>
        <w:t xml:space="preserve"> testified:</w:t>
      </w:r>
      <w:r w:rsidR="0096102C" w:rsidRPr="00BA1219">
        <w:rPr>
          <w:lang w:val="en-CA"/>
        </w:rPr>
        <w:t xml:space="preserve"> </w:t>
      </w:r>
    </w:p>
    <w:p w14:paraId="26D1F138" w14:textId="77777777" w:rsidR="009459A9" w:rsidRPr="00BA1219" w:rsidRDefault="0096102C" w:rsidP="0054179C">
      <w:pPr>
        <w:pStyle w:val="Citation"/>
        <w:rPr>
          <w:lang w:val="en-CA"/>
        </w:rPr>
      </w:pPr>
      <w:r w:rsidRPr="00BA1219">
        <w:rPr>
          <w:lang w:val="en-CA"/>
        </w:rPr>
        <w:t>4.</w:t>
      </w:r>
      <w:r w:rsidRPr="00BA1219">
        <w:rPr>
          <w:lang w:val="en-CA"/>
        </w:rPr>
        <w:tab/>
        <w:t xml:space="preserve">In my experience, it is hard to get parents with children in school involved at all levels of the board (whether at the governing boards, at the Central Parents Committee or on Council). The ESSB schools are small and spread out, and there are not many parents; </w:t>
      </w:r>
      <w:proofErr w:type="spellStart"/>
      <w:r w:rsidRPr="00BA1219">
        <w:rPr>
          <w:lang w:val="en-CA"/>
        </w:rPr>
        <w:t>Shigawake</w:t>
      </w:r>
      <w:proofErr w:type="spellEnd"/>
      <w:r w:rsidRPr="00BA1219">
        <w:rPr>
          <w:lang w:val="en-CA"/>
        </w:rPr>
        <w:t xml:space="preserve">-Port-Daniel school, for instance, has </w:t>
      </w:r>
      <w:r w:rsidRPr="00BA1219">
        <w:rPr>
          <w:lang w:val="en-CA"/>
        </w:rPr>
        <w:lastRenderedPageBreak/>
        <w:t>70 students. The parents I know are usually busy with work and with the responsibility of having children in school. I myself am a stay-at-home mother and find that I have more time to invest at the board; even so, I only got involved once most of my children were older.</w:t>
      </w:r>
    </w:p>
    <w:p w14:paraId="5F1FC603" w14:textId="77777777" w:rsidR="009459A9" w:rsidRPr="00BA1219" w:rsidRDefault="0096102C" w:rsidP="0054179C">
      <w:pPr>
        <w:pStyle w:val="Citation"/>
        <w:rPr>
          <w:lang w:val="en-CA"/>
        </w:rPr>
      </w:pPr>
      <w:r w:rsidRPr="00BA1219">
        <w:rPr>
          <w:lang w:val="en-CA"/>
        </w:rPr>
        <w:t>5</w:t>
      </w:r>
      <w:r w:rsidRPr="00BA1219">
        <w:rPr>
          <w:lang w:val="en-CA"/>
        </w:rPr>
        <w:tab/>
        <w:t>There</w:t>
      </w:r>
      <w:r w:rsidRPr="00BA1219">
        <w:rPr>
          <w:spacing w:val="-6"/>
          <w:lang w:val="en-CA"/>
        </w:rPr>
        <w:t xml:space="preserve"> </w:t>
      </w:r>
      <w:r w:rsidRPr="00BA1219">
        <w:rPr>
          <w:lang w:val="en-CA"/>
        </w:rPr>
        <w:t>are</w:t>
      </w:r>
      <w:r w:rsidRPr="00BA1219">
        <w:rPr>
          <w:spacing w:val="-3"/>
          <w:lang w:val="en-CA"/>
        </w:rPr>
        <w:t xml:space="preserve"> </w:t>
      </w:r>
      <w:r w:rsidRPr="00BA1219">
        <w:rPr>
          <w:lang w:val="en-CA"/>
        </w:rPr>
        <w:t>16</w:t>
      </w:r>
      <w:r w:rsidRPr="00BA1219">
        <w:rPr>
          <w:spacing w:val="-4"/>
          <w:lang w:val="en-CA"/>
        </w:rPr>
        <w:t xml:space="preserve"> </w:t>
      </w:r>
      <w:r w:rsidRPr="00BA1219">
        <w:rPr>
          <w:lang w:val="en-CA"/>
        </w:rPr>
        <w:t>schools</w:t>
      </w:r>
      <w:r w:rsidRPr="00BA1219">
        <w:rPr>
          <w:spacing w:val="-3"/>
          <w:lang w:val="en-CA"/>
        </w:rPr>
        <w:t xml:space="preserve"> </w:t>
      </w:r>
      <w:r w:rsidRPr="00BA1219">
        <w:rPr>
          <w:lang w:val="en-CA"/>
        </w:rPr>
        <w:t>and</w:t>
      </w:r>
      <w:r w:rsidRPr="00BA1219">
        <w:rPr>
          <w:spacing w:val="-6"/>
          <w:lang w:val="en-CA"/>
        </w:rPr>
        <w:t xml:space="preserve"> </w:t>
      </w:r>
      <w:r w:rsidRPr="00BA1219">
        <w:rPr>
          <w:lang w:val="en-CA"/>
        </w:rPr>
        <w:t>centers</w:t>
      </w:r>
      <w:r w:rsidRPr="00BA1219">
        <w:rPr>
          <w:spacing w:val="-5"/>
          <w:lang w:val="en-CA"/>
        </w:rPr>
        <w:t xml:space="preserve"> </w:t>
      </w:r>
      <w:r w:rsidRPr="00BA1219">
        <w:rPr>
          <w:lang w:val="en-CA"/>
        </w:rPr>
        <w:t>in</w:t>
      </w:r>
      <w:r w:rsidRPr="00BA1219">
        <w:rPr>
          <w:spacing w:val="-4"/>
          <w:lang w:val="en-CA"/>
        </w:rPr>
        <w:t xml:space="preserve"> </w:t>
      </w:r>
      <w:r w:rsidRPr="00BA1219">
        <w:rPr>
          <w:lang w:val="en-CA"/>
        </w:rPr>
        <w:t>ESSB,</w:t>
      </w:r>
      <w:r w:rsidRPr="00BA1219">
        <w:rPr>
          <w:spacing w:val="-6"/>
          <w:lang w:val="en-CA"/>
        </w:rPr>
        <w:t xml:space="preserve"> </w:t>
      </w:r>
      <w:r w:rsidRPr="00BA1219">
        <w:rPr>
          <w:lang w:val="en-CA"/>
        </w:rPr>
        <w:t>yet</w:t>
      </w:r>
      <w:r w:rsidRPr="00BA1219">
        <w:rPr>
          <w:spacing w:val="-5"/>
          <w:lang w:val="en-CA"/>
        </w:rPr>
        <w:t xml:space="preserve"> </w:t>
      </w:r>
      <w:r w:rsidRPr="00BA1219">
        <w:rPr>
          <w:lang w:val="en-CA"/>
        </w:rPr>
        <w:t>the</w:t>
      </w:r>
      <w:r w:rsidRPr="00BA1219">
        <w:rPr>
          <w:spacing w:val="-4"/>
          <w:lang w:val="en-CA"/>
        </w:rPr>
        <w:t xml:space="preserve"> </w:t>
      </w:r>
      <w:r w:rsidRPr="00BA1219">
        <w:rPr>
          <w:lang w:val="en-CA"/>
        </w:rPr>
        <w:t>most</w:t>
      </w:r>
      <w:r w:rsidRPr="00BA1219">
        <w:rPr>
          <w:spacing w:val="-6"/>
          <w:lang w:val="en-CA"/>
        </w:rPr>
        <w:t xml:space="preserve"> </w:t>
      </w:r>
      <w:r w:rsidRPr="00BA1219">
        <w:rPr>
          <w:lang w:val="en-CA"/>
        </w:rPr>
        <w:t>parents</w:t>
      </w:r>
      <w:r w:rsidRPr="00BA1219">
        <w:rPr>
          <w:spacing w:val="-5"/>
          <w:lang w:val="en-CA"/>
        </w:rPr>
        <w:t xml:space="preserve"> </w:t>
      </w:r>
      <w:r w:rsidRPr="00BA1219">
        <w:rPr>
          <w:lang w:val="en-CA"/>
        </w:rPr>
        <w:t>we</w:t>
      </w:r>
      <w:r w:rsidRPr="00BA1219">
        <w:rPr>
          <w:spacing w:val="-6"/>
          <w:lang w:val="en-CA"/>
        </w:rPr>
        <w:t xml:space="preserve"> </w:t>
      </w:r>
      <w:r w:rsidRPr="00BA1219">
        <w:rPr>
          <w:lang w:val="en-CA"/>
        </w:rPr>
        <w:t>ever</w:t>
      </w:r>
      <w:r w:rsidRPr="00BA1219">
        <w:rPr>
          <w:spacing w:val="-4"/>
          <w:lang w:val="en-CA"/>
        </w:rPr>
        <w:t xml:space="preserve"> </w:t>
      </w:r>
      <w:r w:rsidRPr="00BA1219">
        <w:rPr>
          <w:lang w:val="en-CA"/>
        </w:rPr>
        <w:t>get</w:t>
      </w:r>
      <w:r w:rsidRPr="00BA1219">
        <w:rPr>
          <w:spacing w:val="-3"/>
          <w:lang w:val="en-CA"/>
        </w:rPr>
        <w:t xml:space="preserve"> </w:t>
      </w:r>
      <w:r w:rsidRPr="00BA1219">
        <w:rPr>
          <w:lang w:val="en-CA"/>
        </w:rPr>
        <w:t>at</w:t>
      </w:r>
      <w:r w:rsidRPr="00BA1219">
        <w:rPr>
          <w:spacing w:val="-6"/>
          <w:lang w:val="en-CA"/>
        </w:rPr>
        <w:t xml:space="preserve"> </w:t>
      </w:r>
      <w:r w:rsidRPr="00BA1219">
        <w:rPr>
          <w:lang w:val="en-CA"/>
        </w:rPr>
        <w:t>a Central Parents Committee meeting (which has representatives from all governing boards)</w:t>
      </w:r>
      <w:r w:rsidRPr="00BA1219">
        <w:rPr>
          <w:spacing w:val="-8"/>
          <w:lang w:val="en-CA"/>
        </w:rPr>
        <w:t xml:space="preserve"> </w:t>
      </w:r>
      <w:r w:rsidRPr="00BA1219">
        <w:rPr>
          <w:lang w:val="en-CA"/>
        </w:rPr>
        <w:t>is</w:t>
      </w:r>
      <w:r w:rsidRPr="00BA1219">
        <w:rPr>
          <w:spacing w:val="-8"/>
          <w:lang w:val="en-CA"/>
        </w:rPr>
        <w:t xml:space="preserve"> </w:t>
      </w:r>
      <w:r w:rsidRPr="00BA1219">
        <w:rPr>
          <w:lang w:val="en-CA"/>
        </w:rPr>
        <w:t>eight</w:t>
      </w:r>
      <w:r w:rsidRPr="00BA1219">
        <w:rPr>
          <w:spacing w:val="-7"/>
          <w:lang w:val="en-CA"/>
        </w:rPr>
        <w:t xml:space="preserve"> </w:t>
      </w:r>
      <w:r w:rsidRPr="00BA1219">
        <w:rPr>
          <w:lang w:val="en-CA"/>
        </w:rPr>
        <w:t>or</w:t>
      </w:r>
      <w:r w:rsidRPr="00BA1219">
        <w:rPr>
          <w:spacing w:val="-7"/>
          <w:lang w:val="en-CA"/>
        </w:rPr>
        <w:t xml:space="preserve"> </w:t>
      </w:r>
      <w:r w:rsidRPr="00BA1219">
        <w:rPr>
          <w:lang w:val="en-CA"/>
        </w:rPr>
        <w:t>ten,</w:t>
      </w:r>
      <w:r w:rsidRPr="00BA1219">
        <w:rPr>
          <w:spacing w:val="-6"/>
          <w:lang w:val="en-CA"/>
        </w:rPr>
        <w:t xml:space="preserve"> </w:t>
      </w:r>
      <w:r w:rsidRPr="00BA1219">
        <w:rPr>
          <w:lang w:val="en-CA"/>
        </w:rPr>
        <w:t>and</w:t>
      </w:r>
      <w:r w:rsidRPr="00BA1219">
        <w:rPr>
          <w:spacing w:val="-7"/>
          <w:lang w:val="en-CA"/>
        </w:rPr>
        <w:t xml:space="preserve"> </w:t>
      </w:r>
      <w:r w:rsidRPr="00BA1219">
        <w:rPr>
          <w:lang w:val="en-CA"/>
        </w:rPr>
        <w:t>this</w:t>
      </w:r>
      <w:r w:rsidRPr="00BA1219">
        <w:rPr>
          <w:spacing w:val="-8"/>
          <w:lang w:val="en-CA"/>
        </w:rPr>
        <w:t xml:space="preserve"> </w:t>
      </w:r>
      <w:r w:rsidRPr="00BA1219">
        <w:rPr>
          <w:lang w:val="en-CA"/>
        </w:rPr>
        <w:t>is</w:t>
      </w:r>
      <w:r w:rsidRPr="00BA1219">
        <w:rPr>
          <w:spacing w:val="-8"/>
          <w:lang w:val="en-CA"/>
        </w:rPr>
        <w:t xml:space="preserve"> </w:t>
      </w:r>
      <w:r w:rsidRPr="00BA1219">
        <w:rPr>
          <w:lang w:val="en-CA"/>
        </w:rPr>
        <w:t>quite</w:t>
      </w:r>
      <w:r w:rsidRPr="00BA1219">
        <w:rPr>
          <w:spacing w:val="-7"/>
          <w:lang w:val="en-CA"/>
        </w:rPr>
        <w:t xml:space="preserve"> </w:t>
      </w:r>
      <w:r w:rsidRPr="00BA1219">
        <w:rPr>
          <w:lang w:val="en-CA"/>
        </w:rPr>
        <w:t>exceptional.</w:t>
      </w:r>
      <w:r w:rsidRPr="00BA1219">
        <w:rPr>
          <w:spacing w:val="-9"/>
          <w:lang w:val="en-CA"/>
        </w:rPr>
        <w:t xml:space="preserve"> </w:t>
      </w:r>
      <w:r w:rsidRPr="00BA1219">
        <w:rPr>
          <w:lang w:val="en-CA"/>
        </w:rPr>
        <w:t>I</w:t>
      </w:r>
      <w:r w:rsidRPr="00BA1219">
        <w:rPr>
          <w:spacing w:val="-6"/>
          <w:lang w:val="en-CA"/>
        </w:rPr>
        <w:t xml:space="preserve"> </w:t>
      </w:r>
      <w:r w:rsidRPr="00BA1219">
        <w:rPr>
          <w:lang w:val="en-CA"/>
        </w:rPr>
        <w:t>have</w:t>
      </w:r>
      <w:r w:rsidRPr="00BA1219">
        <w:rPr>
          <w:spacing w:val="-9"/>
          <w:lang w:val="en-CA"/>
        </w:rPr>
        <w:t xml:space="preserve"> </w:t>
      </w:r>
      <w:r w:rsidRPr="00BA1219">
        <w:rPr>
          <w:lang w:val="en-CA"/>
        </w:rPr>
        <w:t>held</w:t>
      </w:r>
      <w:r w:rsidRPr="00BA1219">
        <w:rPr>
          <w:spacing w:val="-6"/>
          <w:lang w:val="en-CA"/>
        </w:rPr>
        <w:t xml:space="preserve"> </w:t>
      </w:r>
      <w:r w:rsidRPr="00BA1219">
        <w:rPr>
          <w:lang w:val="en-CA"/>
        </w:rPr>
        <w:t>some</w:t>
      </w:r>
      <w:r w:rsidRPr="00BA1219">
        <w:rPr>
          <w:spacing w:val="-9"/>
          <w:lang w:val="en-CA"/>
        </w:rPr>
        <w:t xml:space="preserve"> </w:t>
      </w:r>
      <w:r w:rsidRPr="00BA1219">
        <w:rPr>
          <w:lang w:val="en-CA"/>
        </w:rPr>
        <w:t>meetings</w:t>
      </w:r>
      <w:r w:rsidRPr="00BA1219">
        <w:rPr>
          <w:spacing w:val="-8"/>
          <w:lang w:val="en-CA"/>
        </w:rPr>
        <w:t xml:space="preserve"> </w:t>
      </w:r>
      <w:r w:rsidRPr="00BA1219">
        <w:rPr>
          <w:lang w:val="en-CA"/>
        </w:rPr>
        <w:t>over the years where only one parent has shown up. We do not follow a rule of quorum because it would be impossible to hold meetings if we did.</w:t>
      </w:r>
    </w:p>
    <w:p w14:paraId="60FC44AB" w14:textId="77777777" w:rsidR="009459A9" w:rsidRPr="00BA1219" w:rsidRDefault="0096102C" w:rsidP="0054179C">
      <w:pPr>
        <w:pStyle w:val="Citation"/>
        <w:rPr>
          <w:lang w:val="en-CA"/>
        </w:rPr>
      </w:pPr>
      <w:r w:rsidRPr="00BA1219">
        <w:rPr>
          <w:lang w:val="en-CA"/>
        </w:rPr>
        <w:t>6</w:t>
      </w:r>
      <w:r w:rsidRPr="00BA1219">
        <w:rPr>
          <w:lang w:val="en-CA"/>
        </w:rPr>
        <w:tab/>
        <w:t>I have seen parent commissioners quit after one year or fail to attend three consecutive meetings of Council, and then have to step down. In most of the six years I have been a parent commissioner, Council has had trouble filling the four parent</w:t>
      </w:r>
      <w:r w:rsidRPr="00BA1219">
        <w:rPr>
          <w:spacing w:val="-8"/>
          <w:lang w:val="en-CA"/>
        </w:rPr>
        <w:t xml:space="preserve"> </w:t>
      </w:r>
      <w:r w:rsidRPr="00BA1219">
        <w:rPr>
          <w:lang w:val="en-CA"/>
        </w:rPr>
        <w:t>commissioner</w:t>
      </w:r>
      <w:r w:rsidRPr="00BA1219">
        <w:rPr>
          <w:spacing w:val="-7"/>
          <w:lang w:val="en-CA"/>
        </w:rPr>
        <w:t xml:space="preserve"> </w:t>
      </w:r>
      <w:r w:rsidRPr="00BA1219">
        <w:rPr>
          <w:lang w:val="en-CA"/>
        </w:rPr>
        <w:t>positions</w:t>
      </w:r>
      <w:r w:rsidRPr="00BA1219">
        <w:rPr>
          <w:spacing w:val="-9"/>
          <w:lang w:val="en-CA"/>
        </w:rPr>
        <w:t xml:space="preserve"> </w:t>
      </w:r>
      <w:r w:rsidRPr="00BA1219">
        <w:rPr>
          <w:lang w:val="en-CA"/>
        </w:rPr>
        <w:t>or</w:t>
      </w:r>
      <w:r w:rsidRPr="00BA1219">
        <w:rPr>
          <w:spacing w:val="-7"/>
          <w:lang w:val="en-CA"/>
        </w:rPr>
        <w:t xml:space="preserve"> </w:t>
      </w:r>
      <w:r w:rsidRPr="00BA1219">
        <w:rPr>
          <w:lang w:val="en-CA"/>
        </w:rPr>
        <w:t>the</w:t>
      </w:r>
      <w:r w:rsidRPr="00BA1219">
        <w:rPr>
          <w:spacing w:val="-8"/>
          <w:lang w:val="en-CA"/>
        </w:rPr>
        <w:t xml:space="preserve"> </w:t>
      </w:r>
      <w:r w:rsidRPr="00BA1219">
        <w:rPr>
          <w:lang w:val="en-CA"/>
        </w:rPr>
        <w:t>parent</w:t>
      </w:r>
      <w:r w:rsidRPr="00BA1219">
        <w:rPr>
          <w:spacing w:val="-8"/>
          <w:lang w:val="en-CA"/>
        </w:rPr>
        <w:t xml:space="preserve"> </w:t>
      </w:r>
      <w:r w:rsidRPr="00BA1219">
        <w:rPr>
          <w:lang w:val="en-CA"/>
        </w:rPr>
        <w:t>commissioners</w:t>
      </w:r>
      <w:r w:rsidRPr="00BA1219">
        <w:rPr>
          <w:spacing w:val="-5"/>
          <w:lang w:val="en-CA"/>
        </w:rPr>
        <w:t xml:space="preserve"> </w:t>
      </w:r>
      <w:r w:rsidRPr="00BA1219">
        <w:rPr>
          <w:lang w:val="en-CA"/>
        </w:rPr>
        <w:t>would</w:t>
      </w:r>
      <w:r w:rsidRPr="00BA1219">
        <w:rPr>
          <w:spacing w:val="-7"/>
          <w:lang w:val="en-CA"/>
        </w:rPr>
        <w:t xml:space="preserve"> </w:t>
      </w:r>
      <w:r w:rsidRPr="00BA1219">
        <w:rPr>
          <w:lang w:val="en-CA"/>
        </w:rPr>
        <w:t>irregularly</w:t>
      </w:r>
      <w:r w:rsidRPr="00BA1219">
        <w:rPr>
          <w:spacing w:val="-9"/>
          <w:lang w:val="en-CA"/>
        </w:rPr>
        <w:t xml:space="preserve"> </w:t>
      </w:r>
      <w:r w:rsidRPr="00BA1219">
        <w:rPr>
          <w:lang w:val="en-CA"/>
        </w:rPr>
        <w:t>attend the Council and Committee meetings.</w:t>
      </w:r>
    </w:p>
    <w:p w14:paraId="48E33D52" w14:textId="20F768EA" w:rsidR="009459A9" w:rsidRPr="00BA1219" w:rsidRDefault="00B157E0" w:rsidP="0054179C">
      <w:pPr>
        <w:pStyle w:val="Paragrsimple"/>
        <w:rPr>
          <w:lang w:val="en-CA"/>
        </w:rPr>
      </w:pPr>
      <w:r>
        <w:rPr>
          <w:lang w:val="en-CA"/>
        </w:rPr>
        <w:t xml:space="preserve">According to </w:t>
      </w:r>
      <w:r w:rsidR="00BF3EAF" w:rsidRPr="00BA1219">
        <w:rPr>
          <w:lang w:val="en-CA"/>
        </w:rPr>
        <w:t>Ellen Beaulieu, also a commissioner with the Eastern Shores Board,</w:t>
      </w:r>
      <w:r w:rsidR="00372312">
        <w:rPr>
          <w:lang w:val="en-CA"/>
        </w:rPr>
        <w:t xml:space="preserve"> who</w:t>
      </w:r>
      <w:r w:rsidR="00BF3EAF" w:rsidRPr="00BA1219">
        <w:rPr>
          <w:lang w:val="en-CA"/>
        </w:rPr>
        <w:t xml:space="preserve"> </w:t>
      </w:r>
      <w:r w:rsidR="00F70D11" w:rsidRPr="00BA1219">
        <w:rPr>
          <w:lang w:val="en-CA"/>
        </w:rPr>
        <w:t>testified</w:t>
      </w:r>
      <w:r w:rsidR="00BF3EAF" w:rsidRPr="00BA1219">
        <w:rPr>
          <w:lang w:val="en-CA"/>
        </w:rPr>
        <w:t xml:space="preserve"> at trial:</w:t>
      </w:r>
      <w:r w:rsidR="00BF3EAF" w:rsidRPr="00BA1219">
        <w:rPr>
          <w:rStyle w:val="Appelnotedebasdep"/>
          <w:lang w:val="en-CA"/>
        </w:rPr>
        <w:footnoteReference w:id="128"/>
      </w:r>
    </w:p>
    <w:p w14:paraId="50B44D87" w14:textId="77777777" w:rsidR="0026177C" w:rsidRPr="00BA1219" w:rsidRDefault="0096102C" w:rsidP="0054179C">
      <w:pPr>
        <w:pStyle w:val="Citation"/>
        <w:rPr>
          <w:lang w:val="en-CA"/>
        </w:rPr>
      </w:pPr>
      <w:r w:rsidRPr="00BA1219">
        <w:rPr>
          <w:lang w:val="en-CA"/>
        </w:rPr>
        <w:t>5</w:t>
      </w:r>
      <w:r w:rsidRPr="00BA1219">
        <w:rPr>
          <w:lang w:val="en-CA"/>
        </w:rPr>
        <w:tab/>
        <w:t xml:space="preserve">The schools on the North Shore that I cover (Fermont, Port Cartier and </w:t>
      </w:r>
      <w:proofErr w:type="spellStart"/>
      <w:r w:rsidRPr="00BA1219">
        <w:rPr>
          <w:lang w:val="en-CA"/>
        </w:rPr>
        <w:t>Baie</w:t>
      </w:r>
      <w:proofErr w:type="spellEnd"/>
      <w:r w:rsidRPr="00BA1219">
        <w:rPr>
          <w:lang w:val="en-CA"/>
        </w:rPr>
        <w:t>-Comeau) are very small and the parents are working and busy. Several of them are also not very comfortable in English. As a result, there is very little parent involvement in governance issues. A few parents are involved on the Home and School Association, less on the governing boards, and almost none at the ESSB level. ESSB has in fact had a lot of difficulty having a Parents Committee these past years. There is also very limited involvement of parent commissioners on the Council. We had one very active and qualified parent commissioner last year from the North Shore, who ended up resigning because she did not have enough time to carry out her duties or to travel to the Gaspé.</w:t>
      </w:r>
    </w:p>
    <w:p w14:paraId="4AE0F42D" w14:textId="5731A64C" w:rsidR="00BF3EAF" w:rsidRPr="00BA1219" w:rsidRDefault="00BF3EAF" w:rsidP="008705B5">
      <w:pPr>
        <w:pStyle w:val="Paragrsimple"/>
        <w:rPr>
          <w:lang w:val="en-CA"/>
        </w:rPr>
      </w:pPr>
      <w:r w:rsidRPr="00BA1219">
        <w:rPr>
          <w:lang w:val="en-CA"/>
        </w:rPr>
        <w:t xml:space="preserve">Moreover, section 196 of the </w:t>
      </w:r>
      <w:r w:rsidRPr="00BA1219">
        <w:rPr>
          <w:i/>
          <w:lang w:val="en-CA"/>
        </w:rPr>
        <w:t xml:space="preserve">Act </w:t>
      </w:r>
      <w:r w:rsidRPr="00BA1219">
        <w:rPr>
          <w:lang w:val="en-CA"/>
        </w:rPr>
        <w:t xml:space="preserve">amends the </w:t>
      </w:r>
      <w:r w:rsidRPr="00BA1219">
        <w:rPr>
          <w:i/>
          <w:lang w:val="en-CA"/>
        </w:rPr>
        <w:t>Act respecting school elections to elect certain members of the boards of directors of English-language school service centres</w:t>
      </w:r>
      <w:r w:rsidRPr="00BA1219">
        <w:rPr>
          <w:rStyle w:val="Appelnotedebasdep"/>
          <w:rFonts w:cs="Arial"/>
          <w:color w:val="212529"/>
          <w:szCs w:val="24"/>
          <w:lang w:val="en-CA"/>
        </w:rPr>
        <w:footnoteReference w:id="129"/>
      </w:r>
      <w:r w:rsidRPr="00BA1219">
        <w:rPr>
          <w:lang w:val="en-CA"/>
        </w:rPr>
        <w:t xml:space="preserve"> by adding section 4.1, which now provides that members who sit on the board of directors of an English-language school service centre as parents of students are elected by universal suffrage of electors </w:t>
      </w:r>
      <w:r w:rsidR="00491579">
        <w:rPr>
          <w:lang w:val="en-CA"/>
        </w:rPr>
        <w:t xml:space="preserve">in </w:t>
      </w:r>
      <w:r w:rsidRPr="00BA1219">
        <w:rPr>
          <w:lang w:val="en-CA"/>
        </w:rPr>
        <w:t>the territory of the electoral division concerned</w:t>
      </w:r>
      <w:r w:rsidR="00F50936">
        <w:rPr>
          <w:lang w:val="en-CA"/>
        </w:rPr>
        <w:t>,</w:t>
      </w:r>
      <w:r w:rsidRPr="00BA1219">
        <w:rPr>
          <w:lang w:val="en-CA"/>
        </w:rPr>
        <w:t xml:space="preserve"> and that members who sit as representatives of the community are elected by universal suffrage of electors </w:t>
      </w:r>
      <w:r w:rsidR="00491579">
        <w:rPr>
          <w:lang w:val="en-CA"/>
        </w:rPr>
        <w:t xml:space="preserve">in </w:t>
      </w:r>
      <w:r w:rsidRPr="00BA1219">
        <w:rPr>
          <w:lang w:val="en-CA"/>
        </w:rPr>
        <w:t>the entire territory of the English-language school service centre.</w:t>
      </w:r>
    </w:p>
    <w:p w14:paraId="4C638AF9" w14:textId="1F9351D2" w:rsidR="005E45A1" w:rsidRPr="00BA1219" w:rsidRDefault="00BF3EAF" w:rsidP="008705B5">
      <w:pPr>
        <w:pStyle w:val="Paragrsimple"/>
        <w:rPr>
          <w:lang w:val="en-CA"/>
        </w:rPr>
      </w:pPr>
      <w:r w:rsidRPr="00BA1219">
        <w:rPr>
          <w:lang w:val="en-CA"/>
        </w:rPr>
        <w:t xml:space="preserve">This provision, combined with the other restrictions, means that </w:t>
      </w:r>
      <w:r w:rsidR="007D4C93">
        <w:rPr>
          <w:lang w:val="en-CA"/>
        </w:rPr>
        <w:t xml:space="preserve">in the case of outlying school boards, </w:t>
      </w:r>
      <w:r w:rsidRPr="00BA1219">
        <w:rPr>
          <w:lang w:val="en-CA"/>
        </w:rPr>
        <w:t>community representatives must campaign over a vast territory, with no possibility of holding a position of responsibility as chair or vice-chair, and with no remuneration other than an attendance allowance.</w:t>
      </w:r>
      <w:r w:rsidR="0096102C" w:rsidRPr="00BA1219">
        <w:rPr>
          <w:lang w:val="en-CA"/>
        </w:rPr>
        <w:t xml:space="preserve"> </w:t>
      </w:r>
    </w:p>
    <w:p w14:paraId="21D7452E" w14:textId="0884C10C" w:rsidR="005E45A1" w:rsidRPr="00BA1219" w:rsidRDefault="00BF3EAF" w:rsidP="008705B5">
      <w:pPr>
        <w:pStyle w:val="Paragrsimple"/>
        <w:rPr>
          <w:lang w:val="en-CA"/>
        </w:rPr>
      </w:pPr>
      <w:r w:rsidRPr="00BA1219">
        <w:rPr>
          <w:lang w:val="en-CA"/>
        </w:rPr>
        <w:lastRenderedPageBreak/>
        <w:t>Several commissioners who no longer have children in school do not intend to run again in this new context.</w:t>
      </w:r>
    </w:p>
    <w:p w14:paraId="5A85BD91" w14:textId="67EE993D" w:rsidR="005E45A1" w:rsidRPr="006B7726" w:rsidRDefault="00BF3EAF" w:rsidP="008705B5">
      <w:pPr>
        <w:pStyle w:val="Paragrsimple"/>
        <w:rPr>
          <w:lang w:val="en-CA"/>
        </w:rPr>
      </w:pPr>
      <w:r w:rsidRPr="006B7726">
        <w:rPr>
          <w:lang w:val="en-CA"/>
        </w:rPr>
        <w:t>Ms. Beaulieu testified:</w:t>
      </w:r>
      <w:r w:rsidRPr="006B7726">
        <w:rPr>
          <w:rStyle w:val="Appelnotedebasdep"/>
          <w:rFonts w:cs="Arial"/>
          <w:szCs w:val="24"/>
          <w:lang w:val="en-CA"/>
        </w:rPr>
        <w:footnoteReference w:id="130"/>
      </w:r>
    </w:p>
    <w:p w14:paraId="57C644EE" w14:textId="77777777" w:rsidR="005E45A1" w:rsidRPr="00BA1219" w:rsidRDefault="0096102C" w:rsidP="008705B5">
      <w:pPr>
        <w:pStyle w:val="Citation"/>
        <w:rPr>
          <w:lang w:val="en-CA"/>
        </w:rPr>
      </w:pPr>
      <w:r w:rsidRPr="00BA1219">
        <w:rPr>
          <w:lang w:val="en-CA"/>
        </w:rPr>
        <w:t>9</w:t>
      </w:r>
      <w:r w:rsidRPr="00BA1219">
        <w:rPr>
          <w:lang w:val="en-CA"/>
        </w:rPr>
        <w:tab/>
        <w:t>I would not run to be a commissioner under the Bill 40 model. My children are no longer in school and I cannot run as a parent representative. I would never run in and seek to serve the entire territory of ESSB as a community representative. First, people from the Gaspé do not know me and I don’t know why they would vote for me. Moreover, I would not have the time, energy or money to cover the entire ESSB territory and manage it effectively and I do not think a person from another region could either.</w:t>
      </w:r>
    </w:p>
    <w:p w14:paraId="6C4F55D2" w14:textId="1D856986" w:rsidR="00296369" w:rsidRPr="00BA1219" w:rsidRDefault="00BF3EAF" w:rsidP="008705B5">
      <w:pPr>
        <w:pStyle w:val="Paragrsimple"/>
        <w:rPr>
          <w:rFonts w:cs="Arial"/>
          <w:szCs w:val="24"/>
          <w:lang w:val="en-CA"/>
        </w:rPr>
      </w:pPr>
      <w:r w:rsidRPr="00BA1219">
        <w:rPr>
          <w:rFonts w:cs="Arial"/>
          <w:szCs w:val="24"/>
          <w:lang w:val="en-CA"/>
        </w:rPr>
        <w:t xml:space="preserve">Ms. Beaulieu is from </w:t>
      </w:r>
      <w:proofErr w:type="spellStart"/>
      <w:r w:rsidRPr="00BA1219">
        <w:rPr>
          <w:rFonts w:cs="Arial"/>
          <w:szCs w:val="24"/>
          <w:lang w:val="en-CA"/>
        </w:rPr>
        <w:t>Baie</w:t>
      </w:r>
      <w:proofErr w:type="spellEnd"/>
      <w:r w:rsidRPr="00BA1219">
        <w:rPr>
          <w:rFonts w:cs="Arial"/>
          <w:szCs w:val="24"/>
          <w:lang w:val="en-CA"/>
        </w:rPr>
        <w:t>-Comeau.</w:t>
      </w:r>
      <w:r w:rsidR="0096102C" w:rsidRPr="00BA1219">
        <w:rPr>
          <w:rFonts w:cs="Arial"/>
          <w:szCs w:val="24"/>
          <w:lang w:val="en-CA"/>
        </w:rPr>
        <w:t xml:space="preserve"> </w:t>
      </w:r>
      <w:r w:rsidRPr="00BA1219">
        <w:rPr>
          <w:rFonts w:cs="Arial"/>
          <w:szCs w:val="24"/>
          <w:lang w:val="en-CA"/>
        </w:rPr>
        <w:t>She must travel to New Carlisle for meetings that last two days.</w:t>
      </w:r>
      <w:r w:rsidR="0096102C" w:rsidRPr="00BA1219">
        <w:rPr>
          <w:rFonts w:cs="Arial"/>
          <w:szCs w:val="24"/>
          <w:lang w:val="en-CA"/>
        </w:rPr>
        <w:t xml:space="preserve"> </w:t>
      </w:r>
      <w:r w:rsidRPr="00BA1219">
        <w:rPr>
          <w:rFonts w:cs="Arial"/>
          <w:szCs w:val="24"/>
          <w:lang w:val="en-CA"/>
        </w:rPr>
        <w:t>For her that means being away for four days every month.</w:t>
      </w:r>
      <w:r w:rsidR="0096102C" w:rsidRPr="00BA1219">
        <w:rPr>
          <w:rFonts w:cs="Arial"/>
          <w:szCs w:val="24"/>
          <w:lang w:val="en-CA"/>
        </w:rPr>
        <w:t xml:space="preserve"> </w:t>
      </w:r>
    </w:p>
    <w:p w14:paraId="3A9C40B1" w14:textId="3C186D46" w:rsidR="005E45A1" w:rsidRPr="00BA1219" w:rsidRDefault="00BF3EAF" w:rsidP="008705B5">
      <w:pPr>
        <w:pStyle w:val="Paragrsimple"/>
        <w:rPr>
          <w:rFonts w:cs="Arial"/>
          <w:szCs w:val="24"/>
          <w:lang w:val="en-CA"/>
        </w:rPr>
      </w:pPr>
      <w:r w:rsidRPr="00BA1219">
        <w:rPr>
          <w:rFonts w:cs="Arial"/>
          <w:szCs w:val="24"/>
          <w:lang w:val="en-CA"/>
        </w:rPr>
        <w:t>Ms. Humeniuk, who was vice-chair of the Eastern Townships School Board for over five years after being a commissioner for 27 years, testified:</w:t>
      </w:r>
      <w:r w:rsidR="0096102C" w:rsidRPr="00BA1219">
        <w:rPr>
          <w:rStyle w:val="Appelnotedebasdep"/>
          <w:rFonts w:cs="Arial"/>
          <w:szCs w:val="24"/>
          <w:lang w:val="en-CA"/>
        </w:rPr>
        <w:footnoteReference w:id="131"/>
      </w:r>
    </w:p>
    <w:p w14:paraId="176A9341" w14:textId="77777777" w:rsidR="009A4AFD" w:rsidRPr="00BA1219" w:rsidRDefault="0096102C" w:rsidP="00022EE6">
      <w:pPr>
        <w:pStyle w:val="Citation"/>
        <w:rPr>
          <w:lang w:val="en-CA"/>
        </w:rPr>
      </w:pPr>
      <w:r w:rsidRPr="00BA1219">
        <w:rPr>
          <w:lang w:val="en-CA"/>
        </w:rPr>
        <w:t>11</w:t>
      </w:r>
      <w:r w:rsidRPr="00BA1219">
        <w:rPr>
          <w:lang w:val="en-CA"/>
        </w:rPr>
        <w:tab/>
        <w:t>Because I no longer have children in school, the only positions I am eligible to run for now on the Board of directors of the English-language school service centre are the community representative positions. I would never consider running across the entire territory of the ETSB for such positions. The ETSB covers 13 provincial ridings, in part or in full. It would take me hours by car to simply cover the territory. I have always run at the ward (electoral division) level where I know the people, community and schools, and my position as Commissioner has always involved regular visits of the community and the four schools associated with my ward (made up of around 600 or 700 students).</w:t>
      </w:r>
    </w:p>
    <w:p w14:paraId="6E9FECFE" w14:textId="77777777" w:rsidR="009A4AFD" w:rsidRPr="00BA1219" w:rsidRDefault="0096102C" w:rsidP="00022EE6">
      <w:pPr>
        <w:pStyle w:val="Citation"/>
        <w:rPr>
          <w:lang w:val="en-CA"/>
        </w:rPr>
      </w:pPr>
      <w:r w:rsidRPr="00BA1219">
        <w:rPr>
          <w:lang w:val="en-CA"/>
        </w:rPr>
        <w:t>12</w:t>
      </w:r>
      <w:r w:rsidRPr="00BA1219">
        <w:rPr>
          <w:lang w:val="en-CA"/>
        </w:rPr>
        <w:tab/>
        <w:t>There are 20 elementary schools in the ETSB and three high schools (made up of around 5000 students) which are all very far apart. The level of investment of time and energy it would take to meet the communities, visit the schools and be aware of and respond to the issues in the entire territory would be prohibitive to me, especially with no remuneration. While I have never served as Commissioner because of the remuneration, it represents an acknowledgment of the work and investment that goes into these elected positions.</w:t>
      </w:r>
    </w:p>
    <w:p w14:paraId="0853B7F3" w14:textId="77777777" w:rsidR="009A4AFD" w:rsidRPr="00BA1219" w:rsidRDefault="0096102C" w:rsidP="008705B5">
      <w:pPr>
        <w:pStyle w:val="Citation"/>
        <w:rPr>
          <w:lang w:val="en-CA"/>
        </w:rPr>
      </w:pPr>
      <w:r w:rsidRPr="00BA1219">
        <w:rPr>
          <w:lang w:val="en-CA"/>
        </w:rPr>
        <w:t>13</w:t>
      </w:r>
      <w:r w:rsidRPr="00BA1219">
        <w:rPr>
          <w:lang w:val="en-CA"/>
        </w:rPr>
        <w:tab/>
        <w:t>What’s more, community representatives are not eligible for vice chair-ship and I would not be interested in not exercising the leadership role I have now exercised for more than five years. I would not overcome the important challenges of running territory-wide with no prospect of a leadership role, where those leading the board would have the least experience.</w:t>
      </w:r>
    </w:p>
    <w:p w14:paraId="0EC49981" w14:textId="4779959F" w:rsidR="009A4AFD" w:rsidRPr="00BA1219" w:rsidRDefault="00BF3EAF" w:rsidP="008705B5">
      <w:pPr>
        <w:pStyle w:val="Paragrsimple"/>
        <w:rPr>
          <w:lang w:val="en-CA"/>
        </w:rPr>
      </w:pPr>
      <w:r w:rsidRPr="00BA1219">
        <w:rPr>
          <w:lang w:val="en-CA"/>
        </w:rPr>
        <w:lastRenderedPageBreak/>
        <w:t>The testimony of Olivia Landry</w:t>
      </w:r>
      <w:r w:rsidRPr="00BA1219">
        <w:rPr>
          <w:rStyle w:val="Appelnotedebasdep"/>
          <w:rFonts w:cs="Arial"/>
          <w:szCs w:val="24"/>
          <w:lang w:val="en-CA"/>
        </w:rPr>
        <w:footnoteReference w:id="132"/>
      </w:r>
      <w:r w:rsidRPr="00BA1219">
        <w:rPr>
          <w:lang w:val="en-CA"/>
        </w:rPr>
        <w:t xml:space="preserve"> and Debbie Ford-Caron</w:t>
      </w:r>
      <w:r w:rsidRPr="00BA1219">
        <w:rPr>
          <w:rStyle w:val="Appelnotedebasdep"/>
          <w:lang w:val="en-CA"/>
        </w:rPr>
        <w:footnoteReference w:id="133"/>
      </w:r>
      <w:r w:rsidRPr="00BA1219">
        <w:rPr>
          <w:lang w:val="en-CA"/>
        </w:rPr>
        <w:t xml:space="preserve"> are to the same effect.</w:t>
      </w:r>
    </w:p>
    <w:p w14:paraId="2741B47E" w14:textId="2CB7C3B0" w:rsidR="00E653C7" w:rsidRPr="00BA1219" w:rsidRDefault="00BF3EAF" w:rsidP="008705B5">
      <w:pPr>
        <w:pStyle w:val="Paragrsimple"/>
        <w:rPr>
          <w:rFonts w:cs="Arial"/>
          <w:szCs w:val="24"/>
          <w:lang w:val="en-CA"/>
        </w:rPr>
      </w:pPr>
      <w:r w:rsidRPr="00BA1219">
        <w:rPr>
          <w:lang w:val="en-CA"/>
        </w:rPr>
        <w:t xml:space="preserve">The applicants argue that the restrictions imposed by the </w:t>
      </w:r>
      <w:r w:rsidRPr="00BA1219">
        <w:rPr>
          <w:i/>
          <w:lang w:val="en-CA"/>
        </w:rPr>
        <w:t>Act</w:t>
      </w:r>
      <w:r w:rsidRPr="00BA1219">
        <w:rPr>
          <w:lang w:val="en-CA"/>
        </w:rPr>
        <w:t xml:space="preserve">  run counter to the mission of English-language school boards, which are democratic institutions that must be governed by and for the minority.</w:t>
      </w:r>
      <w:r w:rsidR="00161C6E" w:rsidRPr="00BA1219">
        <w:rPr>
          <w:lang w:val="en-CA"/>
        </w:rPr>
        <w:t xml:space="preserve"> </w:t>
      </w:r>
      <w:r w:rsidRPr="00BA1219">
        <w:rPr>
          <w:lang w:val="en-CA"/>
        </w:rPr>
        <w:t xml:space="preserve">They point out that historically, minority school boards have been used to promote the values of their communities, one of which was the democratic participation of </w:t>
      </w:r>
      <w:r w:rsidR="006E3A82">
        <w:rPr>
          <w:lang w:val="en-CA"/>
        </w:rPr>
        <w:t xml:space="preserve">the </w:t>
      </w:r>
      <w:r w:rsidRPr="00BA1219">
        <w:rPr>
          <w:lang w:val="en-CA"/>
        </w:rPr>
        <w:t>citizens who were members of the group.</w:t>
      </w:r>
      <w:r w:rsidRPr="00BA1219">
        <w:rPr>
          <w:rStyle w:val="Appelnotedebasdep"/>
          <w:lang w:val="en-CA"/>
        </w:rPr>
        <w:footnoteReference w:id="134"/>
      </w:r>
      <w:r w:rsidR="00161C6E" w:rsidRPr="00BA1219">
        <w:rPr>
          <w:lang w:val="en-CA"/>
        </w:rPr>
        <w:t xml:space="preserve"> </w:t>
      </w:r>
      <w:r w:rsidRPr="00BA1219">
        <w:rPr>
          <w:lang w:val="en-CA"/>
        </w:rPr>
        <w:t xml:space="preserve">While this older historical view </w:t>
      </w:r>
      <w:r w:rsidR="006E3A82">
        <w:rPr>
          <w:lang w:val="en-CA"/>
        </w:rPr>
        <w:t>may be</w:t>
      </w:r>
      <w:r w:rsidR="006E3A82" w:rsidRPr="00BA1219">
        <w:rPr>
          <w:lang w:val="en-CA"/>
        </w:rPr>
        <w:t xml:space="preserve"> </w:t>
      </w:r>
      <w:r w:rsidRPr="00BA1219">
        <w:rPr>
          <w:lang w:val="en-CA"/>
        </w:rPr>
        <w:t xml:space="preserve">valid </w:t>
      </w:r>
      <w:r w:rsidR="006E3A82">
        <w:rPr>
          <w:lang w:val="en-CA"/>
        </w:rPr>
        <w:t xml:space="preserve">only in </w:t>
      </w:r>
      <w:r w:rsidRPr="00BA1219">
        <w:rPr>
          <w:lang w:val="en-CA"/>
        </w:rPr>
        <w:t>peripheral regions, it should not be overlooked in the search for inspirational models.</w:t>
      </w:r>
      <w:r w:rsidR="00161C6E" w:rsidRPr="00BA1219">
        <w:rPr>
          <w:lang w:val="en-CA"/>
        </w:rPr>
        <w:t xml:space="preserve"> </w:t>
      </w:r>
    </w:p>
    <w:p w14:paraId="1EB61C51" w14:textId="20DB119A" w:rsidR="001A2825" w:rsidRPr="00BA1219" w:rsidRDefault="00BF3EAF" w:rsidP="008705B5">
      <w:pPr>
        <w:pStyle w:val="Paragrsimple"/>
        <w:rPr>
          <w:rFonts w:cs="Arial"/>
          <w:szCs w:val="24"/>
          <w:lang w:val="en-CA"/>
        </w:rPr>
      </w:pPr>
      <w:r w:rsidRPr="00BA1219">
        <w:rPr>
          <w:lang w:val="en-CA"/>
        </w:rPr>
        <w:t xml:space="preserve">The Privy Council's comments in </w:t>
      </w:r>
      <w:r w:rsidRPr="00BA1219">
        <w:rPr>
          <w:i/>
          <w:lang w:val="en-CA"/>
        </w:rPr>
        <w:t>Hirsch</w:t>
      </w:r>
      <w:r w:rsidRPr="00BA1219">
        <w:rPr>
          <w:lang w:val="en-CA"/>
        </w:rPr>
        <w:t xml:space="preserve"> confirm the minority's right to control its institutions, including through the choice of its representatives:</w:t>
      </w:r>
      <w:r w:rsidRPr="00BA1219">
        <w:rPr>
          <w:rStyle w:val="Appelnotedebasdep"/>
          <w:lang w:val="en-CA"/>
        </w:rPr>
        <w:footnoteReference w:id="135"/>
      </w:r>
    </w:p>
    <w:p w14:paraId="4B692166" w14:textId="0B9271B9" w:rsidR="00BA54A1" w:rsidRPr="00BA1219" w:rsidRDefault="0096102C" w:rsidP="008705B5">
      <w:pPr>
        <w:pStyle w:val="Citation"/>
        <w:rPr>
          <w:lang w:val="en-CA"/>
        </w:rPr>
      </w:pPr>
      <w:r w:rsidRPr="00BA1219">
        <w:rPr>
          <w:lang w:val="en-CA"/>
        </w:rPr>
        <w:t>It is plain also that the dissentient supporters of such a school, who are bound together by a common religious faith, form a "class of persons" having special rights and privileges with respect to the school, including the right to appoint the managing trustees and through those trustees to select the teachers at the school, to control the course of study and to exclude children of another faith”.</w:t>
      </w:r>
    </w:p>
    <w:p w14:paraId="1B3314F5" w14:textId="6BDC79B7" w:rsidR="00BA54A1" w:rsidRPr="00BA1219" w:rsidRDefault="00BF3EAF" w:rsidP="00022EE6">
      <w:pPr>
        <w:pStyle w:val="Paragrsimple"/>
        <w:rPr>
          <w:lang w:val="en-CA"/>
        </w:rPr>
      </w:pPr>
      <w:r w:rsidRPr="00BA1219">
        <w:rPr>
          <w:lang w:val="en-CA"/>
        </w:rPr>
        <w:t xml:space="preserve">It should be noted that the Privy Council states that these principles apply to the </w:t>
      </w:r>
      <w:r w:rsidR="00242542">
        <w:rPr>
          <w:lang w:val="en-CA"/>
        </w:rPr>
        <w:t>c</w:t>
      </w:r>
      <w:r w:rsidR="006E3A82">
        <w:rPr>
          <w:lang w:val="en-CA"/>
        </w:rPr>
        <w:t xml:space="preserve">ommissioners of </w:t>
      </w:r>
      <w:r w:rsidRPr="00BA1219">
        <w:rPr>
          <w:lang w:val="en-CA"/>
        </w:rPr>
        <w:t>Montreal and Québec City</w:t>
      </w:r>
      <w:r w:rsidR="006E3A82">
        <w:rPr>
          <w:lang w:val="en-CA"/>
        </w:rPr>
        <w:t>,</w:t>
      </w:r>
      <w:r w:rsidRPr="00BA1219">
        <w:rPr>
          <w:lang w:val="en-CA"/>
        </w:rPr>
        <w:t xml:space="preserve"> as well as rural districts.</w:t>
      </w:r>
      <w:r w:rsidRPr="00BA1219">
        <w:rPr>
          <w:rStyle w:val="Appelnotedebasdep"/>
          <w:rFonts w:cs="Arial"/>
          <w:szCs w:val="24"/>
          <w:lang w:val="en-CA"/>
        </w:rPr>
        <w:footnoteReference w:id="136"/>
      </w:r>
    </w:p>
    <w:p w14:paraId="11B7B8BF" w14:textId="40F9BCAF" w:rsidR="001E0F27" w:rsidRPr="006B7726" w:rsidRDefault="00BF3EAF" w:rsidP="00022EE6">
      <w:pPr>
        <w:pStyle w:val="Paragrsimple"/>
        <w:rPr>
          <w:lang w:val="en-CA"/>
        </w:rPr>
      </w:pPr>
      <w:r w:rsidRPr="006B7726">
        <w:rPr>
          <w:lang w:val="en-CA"/>
        </w:rPr>
        <w:t>Anglin C.J. wrote</w:t>
      </w:r>
      <w:r w:rsidR="00242542">
        <w:rPr>
          <w:lang w:val="en-CA"/>
        </w:rPr>
        <w:t>, for the Supreme Court</w:t>
      </w:r>
      <w:r w:rsidRPr="006B7726">
        <w:rPr>
          <w:lang w:val="en-CA"/>
        </w:rPr>
        <w:t>:</w:t>
      </w:r>
      <w:r w:rsidRPr="006B7726">
        <w:rPr>
          <w:rStyle w:val="Appelnotedebasdep"/>
          <w:lang w:val="en-CA"/>
        </w:rPr>
        <w:t xml:space="preserve"> </w:t>
      </w:r>
      <w:r w:rsidRPr="006B7726">
        <w:rPr>
          <w:rStyle w:val="Appelnotedebasdep"/>
          <w:lang w:val="en-CA"/>
        </w:rPr>
        <w:footnoteReference w:id="137"/>
      </w:r>
    </w:p>
    <w:p w14:paraId="503744A3" w14:textId="0DD33A4B" w:rsidR="00B52B1D" w:rsidRPr="00BA1219" w:rsidRDefault="0096102C" w:rsidP="00F23F66">
      <w:pPr>
        <w:pStyle w:val="Citation"/>
        <w:rPr>
          <w:lang w:val="en-CA"/>
        </w:rPr>
      </w:pPr>
      <w:r w:rsidRPr="00BA1219">
        <w:rPr>
          <w:lang w:val="en-CA"/>
        </w:rPr>
        <w:t>The Trustees of the dissentient schools, when established, had the same rights, powers and duties of management and control over them as the Commissioners had in regard to common schools (s. 55 (2)): the appointment of teachers, the regulation of courses of study, the erection, maintenance and repair of school houses, the control of school property, the making of general rules for the management of the schools, the fixing of public examinations—all these matters, with their incidents—were in their hands (s. 65); and, what is perhaps most important, the moneys for the support of the schools derived from taxes, fees and Government grants were exclusively at their disposal.</w:t>
      </w:r>
    </w:p>
    <w:p w14:paraId="73510577" w14:textId="7B7014B4" w:rsidR="001E0F27" w:rsidRPr="00BA1219" w:rsidRDefault="0096102C" w:rsidP="00F23F66">
      <w:pPr>
        <w:pStyle w:val="Citation"/>
        <w:rPr>
          <w:lang w:val="en-CA"/>
        </w:rPr>
      </w:pPr>
      <w:r w:rsidRPr="00BA1219">
        <w:rPr>
          <w:rFonts w:cs="Arial"/>
          <w:color w:val="000000"/>
          <w:shd w:val="clear" w:color="auto" w:fill="FFFFFF"/>
          <w:lang w:val="en-CA"/>
        </w:rPr>
        <w:t>From what has been said it is apparent that we should regard legislation designed to impair the right of Protestants, as a class of persons in the Province of Quebec, to the exclusive control, </w:t>
      </w:r>
      <w:r w:rsidRPr="00BA1219">
        <w:rPr>
          <w:rStyle w:val="italic"/>
          <w:rFonts w:cs="Arial"/>
          <w:i/>
          <w:iCs/>
          <w:color w:val="000000"/>
          <w:shd w:val="clear" w:color="auto" w:fill="FFFFFF"/>
          <w:lang w:val="en-CA"/>
        </w:rPr>
        <w:t>financial</w:t>
      </w:r>
      <w:r w:rsidRPr="00BA1219">
        <w:rPr>
          <w:rFonts w:cs="Arial"/>
          <w:color w:val="000000"/>
          <w:shd w:val="clear" w:color="auto" w:fill="FFFFFF"/>
          <w:lang w:val="en-CA"/>
        </w:rPr>
        <w:t> and </w:t>
      </w:r>
      <w:r w:rsidRPr="00BA1219">
        <w:rPr>
          <w:rStyle w:val="italic"/>
          <w:rFonts w:cs="Arial"/>
          <w:i/>
          <w:iCs/>
          <w:color w:val="000000"/>
          <w:shd w:val="clear" w:color="auto" w:fill="FFFFFF"/>
          <w:lang w:val="en-CA"/>
        </w:rPr>
        <w:t>pedagogic</w:t>
      </w:r>
      <w:r w:rsidRPr="00BA1219">
        <w:rPr>
          <w:rFonts w:cs="Arial"/>
          <w:color w:val="000000"/>
          <w:shd w:val="clear" w:color="auto" w:fill="FFFFFF"/>
          <w:lang w:val="en-CA"/>
        </w:rPr>
        <w:t> of their schools, as </w:t>
      </w:r>
      <w:r w:rsidRPr="00BA1219">
        <w:rPr>
          <w:rStyle w:val="italic"/>
          <w:rFonts w:cs="Arial"/>
          <w:i/>
          <w:iCs/>
          <w:color w:val="000000"/>
          <w:shd w:val="clear" w:color="auto" w:fill="FFFFFF"/>
          <w:lang w:val="en-CA"/>
        </w:rPr>
        <w:t>ultra vires</w:t>
      </w:r>
      <w:r w:rsidRPr="00BA1219">
        <w:rPr>
          <w:rFonts w:cs="Arial"/>
          <w:color w:val="000000"/>
          <w:shd w:val="clear" w:color="auto" w:fill="FFFFFF"/>
          <w:lang w:val="en-CA"/>
        </w:rPr>
        <w:t> of the provincial Legislature.</w:t>
      </w:r>
    </w:p>
    <w:p w14:paraId="064BA7C9" w14:textId="03E3D7AF" w:rsidR="00173136" w:rsidRPr="00BA1219" w:rsidRDefault="00BF3EAF" w:rsidP="00022EE6">
      <w:pPr>
        <w:pStyle w:val="Paragrsimple"/>
        <w:rPr>
          <w:lang w:val="en-CA"/>
        </w:rPr>
      </w:pPr>
      <w:r w:rsidRPr="00BA1219">
        <w:rPr>
          <w:lang w:val="en-CA"/>
        </w:rPr>
        <w:lastRenderedPageBreak/>
        <w:t>These excerpts encouraged the Court of Appeal for Ontario to write the following:</w:t>
      </w:r>
      <w:r w:rsidRPr="00BA1219">
        <w:rPr>
          <w:rStyle w:val="Appelnotedebasdep"/>
          <w:rFonts w:cs="Arial"/>
          <w:szCs w:val="24"/>
          <w:lang w:val="en-CA"/>
        </w:rPr>
        <w:footnoteReference w:id="138"/>
      </w:r>
    </w:p>
    <w:p w14:paraId="1F707FBF" w14:textId="0B63E2D9" w:rsidR="00296369" w:rsidRPr="00BA1219" w:rsidRDefault="0096102C" w:rsidP="00B9725D">
      <w:pPr>
        <w:pStyle w:val="Citation"/>
        <w:spacing w:before="120" w:after="120"/>
        <w:ind w:left="862" w:right="862"/>
        <w:rPr>
          <w:lang w:val="en-CA"/>
        </w:rPr>
      </w:pPr>
      <w:r w:rsidRPr="00BA1219">
        <w:rPr>
          <w:lang w:val="en-CA"/>
        </w:rPr>
        <w:t xml:space="preserve">Similarly, in </w:t>
      </w:r>
      <w:r w:rsidRPr="00BA1219">
        <w:rPr>
          <w:i/>
          <w:iCs/>
          <w:lang w:val="en-CA"/>
        </w:rPr>
        <w:t xml:space="preserve">Hirsch v. Protestant Board School </w:t>
      </w:r>
      <w:proofErr w:type="spellStart"/>
      <w:r w:rsidRPr="00BA1219">
        <w:rPr>
          <w:i/>
          <w:iCs/>
          <w:lang w:val="en-CA"/>
        </w:rPr>
        <w:t>Com'rs</w:t>
      </w:r>
      <w:proofErr w:type="spellEnd"/>
      <w:r w:rsidRPr="00BA1219">
        <w:rPr>
          <w:i/>
          <w:iCs/>
          <w:lang w:val="en-CA"/>
        </w:rPr>
        <w:t xml:space="preserve"> of Montreal</w:t>
      </w:r>
      <w:r w:rsidRPr="00BA1219">
        <w:rPr>
          <w:lang w:val="en-CA"/>
        </w:rPr>
        <w:t xml:space="preserve">, </w:t>
      </w:r>
      <w:r w:rsidRPr="00B9725D">
        <w:rPr>
          <w:i/>
          <w:iCs/>
          <w:lang w:val="en-CA"/>
        </w:rPr>
        <w:t>supra</w:t>
      </w:r>
      <w:r w:rsidRPr="00BA1219">
        <w:rPr>
          <w:lang w:val="en-CA"/>
        </w:rPr>
        <w:t>, legislation which diminished the exclusively denominational character of separate schools or their management was found invalid. In that case, the Privy Council struck down a Quebec statute which prejudicially affected the pre-Confederation right of the Protestant minority to establish its own schools under the exclusive management of Protestant trustees for the exclusive use of Protestant children. The right to establish and support denominational schools managed by their own elected trustees is fundamental to the existence of the separate school system.</w:t>
      </w:r>
    </w:p>
    <w:p w14:paraId="39E17EEE" w14:textId="4E80951A" w:rsidR="00296369" w:rsidRPr="00BA1219" w:rsidRDefault="001A2B4B" w:rsidP="00296369">
      <w:pPr>
        <w:pStyle w:val="Paragrdouble"/>
        <w:spacing w:line="240" w:lineRule="auto"/>
        <w:rPr>
          <w:lang w:val="en-CA"/>
        </w:rPr>
      </w:pPr>
      <w:r w:rsidRPr="00BA1219">
        <w:rPr>
          <w:lang w:val="en-CA"/>
        </w:rPr>
        <w:t xml:space="preserve">The distinction the AGQ is attempting to make between the </w:t>
      </w:r>
      <w:r w:rsidR="000520C5">
        <w:rPr>
          <w:lang w:val="en-CA"/>
        </w:rPr>
        <w:t>[</w:t>
      </w:r>
      <w:r w:rsidRPr="000520C5">
        <w:rPr>
          <w:smallCaps/>
          <w:lang w:val="en-CA"/>
        </w:rPr>
        <w:t>translation</w:t>
      </w:r>
      <w:r w:rsidR="000520C5">
        <w:rPr>
          <w:smallCaps/>
          <w:lang w:val="en-CA"/>
        </w:rPr>
        <w:t>]</w:t>
      </w:r>
      <w:r w:rsidRPr="00BA1219">
        <w:rPr>
          <w:lang w:val="en-CA"/>
        </w:rPr>
        <w:t xml:space="preserve"> “appointment” of representatives to which the Privy Council refers and the </w:t>
      </w:r>
      <w:r w:rsidR="000520C5">
        <w:rPr>
          <w:lang w:val="en-CA"/>
        </w:rPr>
        <w:t>[</w:t>
      </w:r>
      <w:r w:rsidR="000520C5" w:rsidRPr="000520C5">
        <w:rPr>
          <w:smallCaps/>
          <w:lang w:val="en-CA"/>
        </w:rPr>
        <w:t>translation</w:t>
      </w:r>
      <w:r w:rsidR="000520C5">
        <w:rPr>
          <w:smallCaps/>
          <w:lang w:val="en-CA"/>
        </w:rPr>
        <w:t>]</w:t>
      </w:r>
      <w:r w:rsidR="000520C5" w:rsidRPr="00BA1219">
        <w:rPr>
          <w:lang w:val="en-CA"/>
        </w:rPr>
        <w:t xml:space="preserve"> </w:t>
      </w:r>
      <w:r w:rsidRPr="00BA1219">
        <w:rPr>
          <w:lang w:val="en-CA"/>
        </w:rPr>
        <w:t xml:space="preserve">“election” </w:t>
      </w:r>
      <w:r w:rsidR="00372312">
        <w:rPr>
          <w:lang w:val="en-CA"/>
        </w:rPr>
        <w:t>referred to</w:t>
      </w:r>
      <w:r w:rsidR="00372312" w:rsidRPr="00BA1219">
        <w:rPr>
          <w:lang w:val="en-CA"/>
        </w:rPr>
        <w:t xml:space="preserve"> </w:t>
      </w:r>
      <w:r w:rsidRPr="00BA1219">
        <w:rPr>
          <w:lang w:val="en-CA"/>
        </w:rPr>
        <w:t>by the applicants amounts to sophism.</w:t>
      </w:r>
      <w:r w:rsidRPr="00BA1219">
        <w:rPr>
          <w:rStyle w:val="Appelnotedebasdep"/>
          <w:lang w:val="en-CA"/>
        </w:rPr>
        <w:footnoteReference w:id="139"/>
      </w:r>
      <w:r w:rsidR="0096102C" w:rsidRPr="00BA1219">
        <w:rPr>
          <w:lang w:val="en-CA"/>
        </w:rPr>
        <w:t xml:space="preserve"> </w:t>
      </w:r>
      <w:r w:rsidRPr="00BA1219">
        <w:rPr>
          <w:lang w:val="en-CA"/>
        </w:rPr>
        <w:t>What is at issue is the identity of the representatives. The most important thing to remember about these rulings is that the community was able to appoint its members without any restrictions other than those in force at the time: male, property owner, member of the clergy, depending on the period.</w:t>
      </w:r>
      <w:r w:rsidR="0096102C" w:rsidRPr="00BA1219">
        <w:rPr>
          <w:lang w:val="en-CA"/>
        </w:rPr>
        <w:t xml:space="preserve"> </w:t>
      </w:r>
    </w:p>
    <w:p w14:paraId="1ACF4150" w14:textId="325A0728" w:rsidR="00161C6E" w:rsidRPr="00BA1219" w:rsidRDefault="001A2B4B" w:rsidP="008705B5">
      <w:pPr>
        <w:pStyle w:val="Paragrsimple"/>
        <w:rPr>
          <w:lang w:val="en-CA"/>
        </w:rPr>
      </w:pPr>
      <w:r w:rsidRPr="00BA1219">
        <w:rPr>
          <w:lang w:val="en-CA"/>
        </w:rPr>
        <w:t xml:space="preserve">The linguistic minority transcends the smaller group of individuals whose children are enrolled in school. It is the transmission of culture that is at stake. The entire community is involved in the school project, which is not limited to the </w:t>
      </w:r>
      <w:r w:rsidR="00CF0529">
        <w:rPr>
          <w:lang w:val="en-CA"/>
        </w:rPr>
        <w:t>classrooms</w:t>
      </w:r>
      <w:r w:rsidRPr="00BA1219">
        <w:rPr>
          <w:lang w:val="en-CA"/>
        </w:rPr>
        <w:t>. The community must recognize itself in its representatives. It has a say in their appointment. These representatives are eminent members of the community, regardless of their status as parents or members of the governing board. The community must be able to participate in defining the programs and identify the issues that are specific to it. It must be able to express itself through the representatives it has chosen.</w:t>
      </w:r>
    </w:p>
    <w:p w14:paraId="1C094D2B" w14:textId="6B1E4260" w:rsidR="00296369" w:rsidRPr="00BA1219" w:rsidRDefault="001A2B4B" w:rsidP="008705B5">
      <w:pPr>
        <w:pStyle w:val="Paragrsimple"/>
        <w:rPr>
          <w:lang w:val="en-CA"/>
        </w:rPr>
      </w:pPr>
      <w:r w:rsidRPr="00BA1219">
        <w:rPr>
          <w:lang w:val="en-CA"/>
        </w:rPr>
        <w:t>Professor Loewen polled the current commissioners.</w:t>
      </w:r>
      <w:r w:rsidR="0096102C" w:rsidRPr="00BA1219">
        <w:rPr>
          <w:lang w:val="en-CA"/>
        </w:rPr>
        <w:t xml:space="preserve"> </w:t>
      </w:r>
      <w:r w:rsidRPr="00BA1219">
        <w:rPr>
          <w:lang w:val="en-CA"/>
        </w:rPr>
        <w:t>Of the 175 polled, 148 stated that they were less likely to run under the new system.</w:t>
      </w:r>
      <w:r w:rsidRPr="00BA1219">
        <w:rPr>
          <w:rStyle w:val="Appelnotedebasdep"/>
          <w:lang w:val="en-CA"/>
        </w:rPr>
        <w:footnoteReference w:id="140"/>
      </w:r>
      <w:r w:rsidR="0096102C" w:rsidRPr="00BA1219">
        <w:rPr>
          <w:lang w:val="en-CA"/>
        </w:rPr>
        <w:t xml:space="preserve"> </w:t>
      </w:r>
      <w:r w:rsidRPr="00BA1219">
        <w:rPr>
          <w:lang w:val="en-CA"/>
        </w:rPr>
        <w:t>The Court is of the view that this report is reliable and that the methodology used is an adequate reflection of the reaction of currently elected representatives.</w:t>
      </w:r>
      <w:r w:rsidRPr="00BA1219">
        <w:rPr>
          <w:rStyle w:val="Appelnotedebasdep"/>
          <w:lang w:val="en-CA"/>
        </w:rPr>
        <w:footnoteReference w:id="141"/>
      </w:r>
    </w:p>
    <w:p w14:paraId="2BE21974" w14:textId="596876E8" w:rsidR="00161C6E" w:rsidRPr="006B7726" w:rsidRDefault="001A2B4B" w:rsidP="008705B5">
      <w:pPr>
        <w:pStyle w:val="Paragrsimple"/>
        <w:rPr>
          <w:lang w:val="en-CA"/>
        </w:rPr>
      </w:pPr>
      <w:r w:rsidRPr="006B7726">
        <w:rPr>
          <w:lang w:val="en-CA"/>
        </w:rPr>
        <w:t xml:space="preserve">The </w:t>
      </w:r>
      <w:r w:rsidRPr="006B7726">
        <w:rPr>
          <w:i/>
          <w:lang w:val="en-CA"/>
        </w:rPr>
        <w:t>Act</w:t>
      </w:r>
      <w:r w:rsidRPr="006B7726">
        <w:rPr>
          <w:lang w:val="en-CA"/>
        </w:rPr>
        <w:t xml:space="preserve"> does not allow Quebec’s English-speaking minority to fully exercise </w:t>
      </w:r>
      <w:r w:rsidR="006D3612">
        <w:rPr>
          <w:lang w:val="en-CA"/>
        </w:rPr>
        <w:t>these</w:t>
      </w:r>
      <w:r w:rsidRPr="006B7726">
        <w:rPr>
          <w:lang w:val="en-CA"/>
        </w:rPr>
        <w:t xml:space="preserve"> rights.</w:t>
      </w:r>
      <w:r w:rsidR="0096102C" w:rsidRPr="006B7726">
        <w:rPr>
          <w:lang w:val="en-CA"/>
        </w:rPr>
        <w:t xml:space="preserve"> </w:t>
      </w:r>
    </w:p>
    <w:p w14:paraId="1BF73EC6" w14:textId="2E8D1C8D" w:rsidR="00161C6E" w:rsidRPr="00BA1219" w:rsidRDefault="001A2B4B" w:rsidP="008705B5">
      <w:pPr>
        <w:pStyle w:val="Paragrsimple"/>
        <w:rPr>
          <w:color w:val="000000"/>
          <w:lang w:val="en-CA"/>
        </w:rPr>
      </w:pPr>
      <w:r w:rsidRPr="00BA1219">
        <w:rPr>
          <w:lang w:val="en-CA"/>
        </w:rPr>
        <w:t xml:space="preserve">The </w:t>
      </w:r>
      <w:r w:rsidR="0013759C" w:rsidRPr="00BA1219">
        <w:rPr>
          <w:lang w:val="en-CA"/>
        </w:rPr>
        <w:t>approach</w:t>
      </w:r>
      <w:r w:rsidRPr="00BA1219">
        <w:rPr>
          <w:lang w:val="en-CA"/>
        </w:rPr>
        <w:t xml:space="preserve"> proposed by the AGQ to analyze the changes made by the </w:t>
      </w:r>
      <w:r w:rsidRPr="00BA1219">
        <w:rPr>
          <w:i/>
          <w:lang w:val="en-CA"/>
        </w:rPr>
        <w:t>Act</w:t>
      </w:r>
      <w:r w:rsidRPr="00BA1219">
        <w:rPr>
          <w:lang w:val="en-CA"/>
        </w:rPr>
        <w:t xml:space="preserve"> to the system for appointing representatives is, to paraphrase the Court of Appeal,</w:t>
      </w:r>
      <w:r w:rsidR="00464DDA">
        <w:rPr>
          <w:lang w:val="en-CA"/>
        </w:rPr>
        <w:t xml:space="preserve"> </w:t>
      </w:r>
      <w:r w:rsidRPr="00BA1219">
        <w:rPr>
          <w:lang w:val="en-CA"/>
        </w:rPr>
        <w:lastRenderedPageBreak/>
        <w:t>[</w:t>
      </w:r>
      <w:r w:rsidRPr="00BA1219">
        <w:rPr>
          <w:smallCaps/>
          <w:lang w:val="en-CA"/>
        </w:rPr>
        <w:t>translation]</w:t>
      </w:r>
      <w:r w:rsidRPr="00BA1219">
        <w:rPr>
          <w:lang w:val="en-CA"/>
        </w:rPr>
        <w:t xml:space="preserve"> "formalistic and unduly simplistic</w:t>
      </w:r>
      <w:r w:rsidR="00AB0029">
        <w:rPr>
          <w:lang w:val="en-CA"/>
        </w:rPr>
        <w:t>”</w:t>
      </w:r>
      <w:r w:rsidRPr="00BA1219">
        <w:rPr>
          <w:lang w:val="en-CA"/>
        </w:rPr>
        <w:t>.</w:t>
      </w:r>
      <w:r w:rsidRPr="00BA1219">
        <w:rPr>
          <w:rStyle w:val="Appelnotedebasdep"/>
          <w:rFonts w:cs="Arial"/>
          <w:color w:val="000000"/>
          <w:szCs w:val="24"/>
          <w:lang w:val="en-CA"/>
        </w:rPr>
        <w:footnoteReference w:id="142"/>
      </w:r>
      <w:r w:rsidR="000520C5">
        <w:rPr>
          <w:rStyle w:val="Marquedecommentaire"/>
          <w:kern w:val="0"/>
          <w:lang w:val="en-CA"/>
        </w:rPr>
        <w:t xml:space="preserve"> </w:t>
      </w:r>
      <w:r w:rsidR="000520C5" w:rsidRPr="000520C5">
        <w:rPr>
          <w:rStyle w:val="Marquedecommentaire"/>
          <w:kern w:val="0"/>
          <w:sz w:val="24"/>
          <w:lang w:val="en-CA"/>
        </w:rPr>
        <w:t xml:space="preserve">The </w:t>
      </w:r>
      <w:r w:rsidRPr="006B7726">
        <w:rPr>
          <w:color w:val="000000"/>
          <w:lang w:val="en-CA"/>
        </w:rPr>
        <w:t>sections must be examined individually, but they must also be read as a whole.</w:t>
      </w:r>
      <w:r w:rsidR="0096102C" w:rsidRPr="00BA1219">
        <w:rPr>
          <w:color w:val="000000"/>
          <w:lang w:val="en-CA"/>
        </w:rPr>
        <w:t xml:space="preserve"> </w:t>
      </w:r>
    </w:p>
    <w:p w14:paraId="772FFE47" w14:textId="01FDF698" w:rsidR="0048624B" w:rsidRPr="00BA1219" w:rsidRDefault="001A2B4B" w:rsidP="0048624B">
      <w:pPr>
        <w:pStyle w:val="Paragrdouble"/>
        <w:spacing w:line="240" w:lineRule="auto"/>
        <w:rPr>
          <w:lang w:val="en-CA"/>
        </w:rPr>
      </w:pPr>
      <w:r w:rsidRPr="00BA1219">
        <w:rPr>
          <w:lang w:val="en-CA"/>
        </w:rPr>
        <w:t xml:space="preserve">Although these provisions appear harmless when examined individually, their cumulative effect is undeniable and leads to an erosion of the control </w:t>
      </w:r>
      <w:r w:rsidR="0013759C" w:rsidRPr="00BA1219">
        <w:rPr>
          <w:lang w:val="en-CA"/>
        </w:rPr>
        <w:t>exercised by</w:t>
      </w:r>
      <w:r w:rsidRPr="00BA1219">
        <w:rPr>
          <w:lang w:val="en-CA"/>
        </w:rPr>
        <w:t xml:space="preserve"> the minority </w:t>
      </w:r>
      <w:r w:rsidR="0013759C" w:rsidRPr="00BA1219">
        <w:rPr>
          <w:lang w:val="en-CA"/>
        </w:rPr>
        <w:t>through</w:t>
      </w:r>
      <w:r w:rsidRPr="00BA1219">
        <w:rPr>
          <w:lang w:val="en-CA"/>
        </w:rPr>
        <w:t xml:space="preserve"> its traditional representatives.</w:t>
      </w:r>
    </w:p>
    <w:p w14:paraId="073AED85" w14:textId="6ED02CF6" w:rsidR="00E56ECB" w:rsidRPr="00BA1219" w:rsidRDefault="00085A9D" w:rsidP="008705B5">
      <w:pPr>
        <w:pStyle w:val="Paragrsimple"/>
        <w:rPr>
          <w:lang w:val="en-CA"/>
        </w:rPr>
      </w:pPr>
      <w:r w:rsidRPr="00BA1219">
        <w:rPr>
          <w:lang w:val="en-CA"/>
        </w:rPr>
        <w:t xml:space="preserve">This reading inevitably leads to the conclusion that the effect of the provisions is to deprive the minority of the contribution of </w:t>
      </w:r>
      <w:r w:rsidR="006D3612">
        <w:rPr>
          <w:lang w:val="en-CA"/>
        </w:rPr>
        <w:t>most</w:t>
      </w:r>
      <w:r w:rsidRPr="00BA1219">
        <w:rPr>
          <w:lang w:val="en-CA"/>
        </w:rPr>
        <w:t xml:space="preserve"> of its members to the democratic life of the minority.</w:t>
      </w:r>
      <w:r w:rsidR="0096102C" w:rsidRPr="00BA1219">
        <w:rPr>
          <w:lang w:val="en-CA"/>
        </w:rPr>
        <w:t xml:space="preserve"> </w:t>
      </w:r>
    </w:p>
    <w:p w14:paraId="7AB6C760" w14:textId="49084416" w:rsidR="00E56ECB" w:rsidRPr="00BA1219" w:rsidRDefault="000520C5" w:rsidP="008705B5">
      <w:pPr>
        <w:pStyle w:val="Paragrsimple"/>
        <w:rPr>
          <w:lang w:val="en-CA"/>
        </w:rPr>
      </w:pPr>
      <w:r w:rsidRPr="00BA1219">
        <w:rPr>
          <w:lang w:val="en-CA"/>
        </w:rPr>
        <w:t>Municipal</w:t>
      </w:r>
      <w:r w:rsidR="00085A9D" w:rsidRPr="00BA1219">
        <w:rPr>
          <w:lang w:val="en-CA"/>
        </w:rPr>
        <w:t xml:space="preserve"> and educational democracy is not guaranteed by section 3 of the </w:t>
      </w:r>
      <w:r w:rsidR="00085A9D" w:rsidRPr="00BA1219">
        <w:rPr>
          <w:i/>
          <w:lang w:val="en-CA"/>
        </w:rPr>
        <w:t xml:space="preserve">Charter </w:t>
      </w:r>
      <w:r w:rsidR="00085A9D" w:rsidRPr="00B9725D">
        <w:rPr>
          <w:i/>
          <w:iCs/>
          <w:lang w:val="en-CA"/>
        </w:rPr>
        <w:t>per se</w:t>
      </w:r>
      <w:r w:rsidR="00085A9D" w:rsidRPr="00BA1219">
        <w:rPr>
          <w:lang w:val="en-CA"/>
        </w:rPr>
        <w:t>,</w:t>
      </w:r>
      <w:r w:rsidR="00085A9D" w:rsidRPr="00BA1219">
        <w:rPr>
          <w:rStyle w:val="Appelnotedebasdep"/>
          <w:lang w:val="en-CA"/>
        </w:rPr>
        <w:footnoteReference w:id="143"/>
      </w:r>
      <w:r w:rsidR="00085A9D" w:rsidRPr="00BA1219">
        <w:rPr>
          <w:lang w:val="en-CA"/>
        </w:rPr>
        <w:t xml:space="preserve"> because, according to the majority of the Supreme Court in </w:t>
      </w:r>
      <w:r w:rsidR="00085A9D" w:rsidRPr="00BA1219">
        <w:rPr>
          <w:i/>
          <w:lang w:val="en-CA"/>
        </w:rPr>
        <w:t>City of Toronto</w:t>
      </w:r>
      <w:r w:rsidR="00085A9D" w:rsidRPr="00BA1219">
        <w:rPr>
          <w:lang w:val="en-CA"/>
        </w:rPr>
        <w:t xml:space="preserve">, section 3 does not refer to it and the unwritten </w:t>
      </w:r>
      <w:r w:rsidRPr="00BA1219">
        <w:rPr>
          <w:lang w:val="en-CA"/>
        </w:rPr>
        <w:t>constitutional</w:t>
      </w:r>
      <w:r w:rsidR="00085A9D" w:rsidRPr="00BA1219">
        <w:rPr>
          <w:lang w:val="en-CA"/>
        </w:rPr>
        <w:t xml:space="preserve"> principles cannot add it to </w:t>
      </w:r>
      <w:r w:rsidR="002A7F5A">
        <w:rPr>
          <w:lang w:val="en-CA"/>
        </w:rPr>
        <w:t>the provision</w:t>
      </w:r>
      <w:r w:rsidR="00085A9D" w:rsidRPr="00BA1219">
        <w:rPr>
          <w:lang w:val="en-CA"/>
        </w:rPr>
        <w:t>.</w:t>
      </w:r>
      <w:r w:rsidR="0096102C" w:rsidRPr="00BA1219">
        <w:rPr>
          <w:lang w:val="en-CA"/>
        </w:rPr>
        <w:t xml:space="preserve"> </w:t>
      </w:r>
      <w:r w:rsidR="00085A9D" w:rsidRPr="006B7726">
        <w:rPr>
          <w:lang w:val="en-CA"/>
        </w:rPr>
        <w:t xml:space="preserve">That is not the case </w:t>
      </w:r>
      <w:r w:rsidR="006D3612">
        <w:rPr>
          <w:lang w:val="en-CA"/>
        </w:rPr>
        <w:t>with</w:t>
      </w:r>
      <w:r w:rsidR="00085A9D" w:rsidRPr="006B7726">
        <w:rPr>
          <w:lang w:val="en-CA"/>
        </w:rPr>
        <w:t xml:space="preserve"> section 23, which is written.</w:t>
      </w:r>
    </w:p>
    <w:p w14:paraId="510BB9B1" w14:textId="22E72C6A" w:rsidR="00D3535F" w:rsidRPr="00BA1219" w:rsidRDefault="00085A9D" w:rsidP="008705B5">
      <w:pPr>
        <w:pStyle w:val="Paragrsimple"/>
        <w:rPr>
          <w:lang w:val="en-CA"/>
        </w:rPr>
      </w:pPr>
      <w:r w:rsidRPr="00BA1219">
        <w:rPr>
          <w:lang w:val="en-CA"/>
        </w:rPr>
        <w:t xml:space="preserve">The Court reiterated the majority ruling in </w:t>
      </w:r>
      <w:r w:rsidRPr="00BA1219">
        <w:rPr>
          <w:i/>
          <w:lang w:val="en-CA"/>
        </w:rPr>
        <w:t>Baier</w:t>
      </w:r>
      <w:r w:rsidRPr="00BA1219">
        <w:rPr>
          <w:lang w:val="en-CA"/>
        </w:rPr>
        <w:t>, which concerned a legislative amendment preventing school board employees from running for election as trustees.</w:t>
      </w:r>
      <w:r w:rsidR="0096102C" w:rsidRPr="00BA1219">
        <w:rPr>
          <w:lang w:val="en-CA"/>
        </w:rPr>
        <w:t xml:space="preserve"> </w:t>
      </w:r>
      <w:r w:rsidRPr="00BA1219">
        <w:rPr>
          <w:lang w:val="en-CA"/>
        </w:rPr>
        <w:t>The appellants argued that the measure infringed their freedom of expression and their democratic rights enshrined in s</w:t>
      </w:r>
      <w:r w:rsidR="00FE493C">
        <w:rPr>
          <w:lang w:val="en-CA"/>
        </w:rPr>
        <w:t>ection</w:t>
      </w:r>
      <w:r w:rsidRPr="00BA1219">
        <w:rPr>
          <w:lang w:val="en-CA"/>
        </w:rPr>
        <w:t xml:space="preserve"> 3 of the </w:t>
      </w:r>
      <w:r w:rsidRPr="00BA1219">
        <w:rPr>
          <w:i/>
          <w:lang w:val="en-CA"/>
        </w:rPr>
        <w:t>Charter</w:t>
      </w:r>
      <w:r w:rsidRPr="00BA1219">
        <w:rPr>
          <w:lang w:val="en-CA"/>
        </w:rPr>
        <w:t>.</w:t>
      </w:r>
      <w:r w:rsidR="0096102C" w:rsidRPr="00BA1219">
        <w:rPr>
          <w:lang w:val="en-CA"/>
        </w:rPr>
        <w:t xml:space="preserve"> </w:t>
      </w:r>
      <w:r w:rsidRPr="006B7726">
        <w:rPr>
          <w:lang w:val="en-CA"/>
        </w:rPr>
        <w:t>Rothstein J., for the majority, stated:</w:t>
      </w:r>
    </w:p>
    <w:p w14:paraId="49DF930B" w14:textId="163F0BF7" w:rsidR="00D3535F" w:rsidRPr="00BA1219" w:rsidRDefault="008705B5" w:rsidP="008705B5">
      <w:pPr>
        <w:pStyle w:val="Citation"/>
        <w:rPr>
          <w:lang w:val="en-CA"/>
        </w:rPr>
      </w:pPr>
      <w:r w:rsidRPr="00BA1219">
        <w:rPr>
          <w:lang w:val="en-CA"/>
        </w:rPr>
        <w:t>36</w:t>
      </w:r>
      <w:r w:rsidRPr="00BA1219">
        <w:rPr>
          <w:lang w:val="en-CA"/>
        </w:rPr>
        <w:tab/>
      </w:r>
      <w:r w:rsidR="00085A9D" w:rsidRPr="006B7726">
        <w:rPr>
          <w:lang w:val="en-CA"/>
        </w:rPr>
        <w:t>The appellants in this case make a claim for the government to legislate to enable expressive activity</w:t>
      </w:r>
      <w:r w:rsidRPr="00BA1219">
        <w:rPr>
          <w:lang w:val="en-CA"/>
        </w:rPr>
        <w:t xml:space="preserve"> </w:t>
      </w:r>
      <w:r w:rsidR="00085A9D" w:rsidRPr="006B7726">
        <w:rPr>
          <w:lang w:val="en-CA"/>
        </w:rPr>
        <w:t>Their claim is thus a positive one.  The appellants seek access to the statutory platform of school trustee candidacy and school trusteeship.  The fact that the appellants had access to this statutory platform prior to the LAEA Amendments cannot convert their claim into a negative one.  There is no meaningful distinction in this case between a hypothetical situation where the government for the first time provides for elected school boards with provisions to disqualify school employees from running and serving as trustees, and the present situation where pre-existing legislation has been amended to that end.  To hold otherwise would mean that once a government had created a statutory platform, it could never change or repeal it without infringing s. 2(b) and justifying such changes under s. 1.</w:t>
      </w:r>
      <w:r w:rsidRPr="00BA1219">
        <w:rPr>
          <w:lang w:val="en-CA"/>
        </w:rPr>
        <w:t xml:space="preserve"> </w:t>
      </w:r>
    </w:p>
    <w:p w14:paraId="2118DB60" w14:textId="579C22C8" w:rsidR="00D3535F" w:rsidRPr="00BA1219" w:rsidRDefault="0096102C" w:rsidP="008705B5">
      <w:pPr>
        <w:pStyle w:val="Citation"/>
        <w:rPr>
          <w:lang w:val="en-CA"/>
        </w:rPr>
      </w:pPr>
      <w:bookmarkStart w:id="37" w:name="par37"/>
      <w:r w:rsidRPr="00BA1219">
        <w:rPr>
          <w:lang w:val="en-CA"/>
        </w:rPr>
        <w:t>37</w:t>
      </w:r>
      <w:bookmarkEnd w:id="37"/>
      <w:r w:rsidR="008705B5" w:rsidRPr="00BA1219">
        <w:rPr>
          <w:lang w:val="en-CA"/>
        </w:rPr>
        <w:tab/>
      </w:r>
      <w:r w:rsidR="00085A9D" w:rsidRPr="006B7726">
        <w:rPr>
          <w:lang w:val="en-CA"/>
        </w:rPr>
        <w:t> In </w:t>
      </w:r>
      <w:r w:rsidR="00085A9D" w:rsidRPr="006B7726">
        <w:rPr>
          <w:i/>
          <w:iCs/>
          <w:lang w:val="en-CA"/>
        </w:rPr>
        <w:t>Dunmore</w:t>
      </w:r>
      <w:r w:rsidR="00085A9D" w:rsidRPr="006B7726">
        <w:rPr>
          <w:lang w:val="en-CA"/>
        </w:rPr>
        <w:t>, the statutory platform at issue had previously been extended to the claimants and had been withdrawn by amending legislation.  The Court in that case nonetheless concluded that the claim presented was one of positive entitlement.  The same is true in this case.  The appellants had previously been included in the statutory scheme in question.  The LAEA Amendments excluded them.  They now seek inclusion in an underinclusive statutory scheme, the hallmark of a positive rights claim.</w:t>
      </w:r>
    </w:p>
    <w:p w14:paraId="51A4A533" w14:textId="3EF25D18" w:rsidR="00D3535F" w:rsidRPr="00BA1219" w:rsidRDefault="0096102C" w:rsidP="008705B5">
      <w:pPr>
        <w:pStyle w:val="Citation"/>
        <w:rPr>
          <w:lang w:val="en-CA"/>
        </w:rPr>
      </w:pPr>
      <w:bookmarkStart w:id="38" w:name="par38"/>
      <w:r w:rsidRPr="00BA1219">
        <w:rPr>
          <w:lang w:val="en-CA"/>
        </w:rPr>
        <w:lastRenderedPageBreak/>
        <w:t>3</w:t>
      </w:r>
      <w:bookmarkEnd w:id="38"/>
      <w:r w:rsidR="008705B5" w:rsidRPr="00BA1219">
        <w:rPr>
          <w:lang w:val="en-CA"/>
        </w:rPr>
        <w:t>8</w:t>
      </w:r>
      <w:r w:rsidR="008705B5" w:rsidRPr="00BA1219">
        <w:rPr>
          <w:lang w:val="en-CA"/>
        </w:rPr>
        <w:tab/>
      </w:r>
      <w:r w:rsidR="00085A9D" w:rsidRPr="006B7726">
        <w:rPr>
          <w:lang w:val="en-CA"/>
        </w:rPr>
        <w:t> The appellants are asking this Court in effect to constitutionalize the prior regime.  Although school boards play an important role in educational governance by carrying out the mandatory and discretionary duties prescribed to them in Alberta by the </w:t>
      </w:r>
      <w:r w:rsidR="00085A9D" w:rsidRPr="006B7726">
        <w:rPr>
          <w:i/>
          <w:iCs/>
          <w:lang w:val="en-CA"/>
        </w:rPr>
        <w:t>School Act</w:t>
      </w:r>
      <w:r w:rsidR="00085A9D" w:rsidRPr="006B7726">
        <w:rPr>
          <w:lang w:val="en-CA"/>
        </w:rPr>
        <w:t>, they are creatures of the provincial government, and their existence is not constitutionally protected.  As this Court held in </w:t>
      </w:r>
      <w:r w:rsidR="00085A9D" w:rsidRPr="006B7726">
        <w:rPr>
          <w:i/>
          <w:iCs/>
          <w:lang w:val="en-CA"/>
        </w:rPr>
        <w:t>Ontario English Catholic Teachers’ Assn. v. Ontario (Attorney General)</w:t>
      </w:r>
      <w:r w:rsidR="00085A9D" w:rsidRPr="006B7726">
        <w:rPr>
          <w:lang w:val="en-CA"/>
        </w:rPr>
        <w:t>, [2001] 1 S.C.R. 470, 2001 SCC 15, at paras. 57-58:</w:t>
      </w:r>
    </w:p>
    <w:p w14:paraId="7150F55E" w14:textId="2BD36F0B" w:rsidR="00085A9D" w:rsidRPr="006B7726" w:rsidRDefault="00085A9D" w:rsidP="008705B5">
      <w:pPr>
        <w:pStyle w:val="Citation"/>
        <w:ind w:left="1462" w:firstLine="2"/>
        <w:rPr>
          <w:u w:val="single"/>
          <w:lang w:val="en-CA"/>
        </w:rPr>
      </w:pPr>
      <w:r w:rsidRPr="006B7726">
        <w:rPr>
          <w:u w:val="single"/>
          <w:lang w:val="en-CA"/>
        </w:rPr>
        <w:t>Subject to s. 93, public school boards as an institution have no constitutional status</w:t>
      </w:r>
      <w:r w:rsidRPr="006B7726">
        <w:rPr>
          <w:lang w:val="en-CA"/>
        </w:rPr>
        <w:t>.</w:t>
      </w:r>
    </w:p>
    <w:p w14:paraId="6DC9F432" w14:textId="77777777" w:rsidR="00085A9D" w:rsidRPr="006B7726" w:rsidRDefault="00085A9D" w:rsidP="008705B5">
      <w:pPr>
        <w:pStyle w:val="Citation"/>
        <w:ind w:left="1462" w:firstLine="2"/>
        <w:rPr>
          <w:lang w:val="en-CA"/>
        </w:rPr>
      </w:pPr>
      <w:r w:rsidRPr="006B7726">
        <w:rPr>
          <w:lang w:val="en-CA"/>
        </w:rPr>
        <w:t>Campbell J. correctly stated the law in this regard in </w:t>
      </w:r>
      <w:r w:rsidRPr="006B7726">
        <w:rPr>
          <w:i/>
          <w:iCs/>
          <w:lang w:val="en-CA"/>
        </w:rPr>
        <w:t>Ontario Public School Boards’ Assn</w:t>
      </w:r>
      <w:r w:rsidRPr="006B7726">
        <w:rPr>
          <w:lang w:val="en-CA"/>
        </w:rPr>
        <w:t>., </w:t>
      </w:r>
      <w:r w:rsidRPr="006B7726">
        <w:rPr>
          <w:i/>
          <w:iCs/>
          <w:lang w:val="en-CA"/>
        </w:rPr>
        <w:t>supra</w:t>
      </w:r>
      <w:r w:rsidRPr="006B7726">
        <w:rPr>
          <w:lang w:val="en-CA"/>
        </w:rPr>
        <w:t>, at p. 361:</w:t>
      </w:r>
    </w:p>
    <w:p w14:paraId="0A2825F5" w14:textId="2C9D0A64" w:rsidR="002E60A3" w:rsidRPr="00BA1219" w:rsidRDefault="00085A9D" w:rsidP="008705B5">
      <w:pPr>
        <w:pStyle w:val="Citation"/>
        <w:ind w:left="1462" w:firstLine="2"/>
        <w:rPr>
          <w:lang w:val="en-CA"/>
        </w:rPr>
      </w:pPr>
      <w:r w:rsidRPr="006B7726">
        <w:rPr>
          <w:lang w:val="en-CA"/>
        </w:rPr>
        <w:t xml:space="preserve">Municipal governments and special purpose municipal institutions such as school boards are creatures of the provincial government. </w:t>
      </w:r>
      <w:r w:rsidRPr="006B7726">
        <w:rPr>
          <w:u w:val="single"/>
          <w:lang w:val="en-CA"/>
        </w:rPr>
        <w:t xml:space="preserve">Subject to the constitutional limits </w:t>
      </w:r>
      <w:r w:rsidRPr="005E1015">
        <w:rPr>
          <w:u w:val="single"/>
          <w:lang w:val="en-CA"/>
        </w:rPr>
        <w:t>in s. 93 of the </w:t>
      </w:r>
      <w:r w:rsidRPr="005E1015">
        <w:rPr>
          <w:i/>
          <w:iCs/>
          <w:u w:val="single"/>
          <w:lang w:val="en-CA"/>
        </w:rPr>
        <w:t>Constitution Act, 1867</w:t>
      </w:r>
      <w:r w:rsidRPr="005E1015">
        <w:rPr>
          <w:u w:val="single"/>
          <w:lang w:val="en-CA"/>
        </w:rPr>
        <w:t> these</w:t>
      </w:r>
      <w:r w:rsidRPr="006B7726">
        <w:rPr>
          <w:u w:val="single"/>
          <w:lang w:val="en-CA"/>
        </w:rPr>
        <w:t xml:space="preserve"> institutions have no constitutional status or independent autonomy</w:t>
      </w:r>
      <w:r w:rsidRPr="006B7726">
        <w:rPr>
          <w:lang w:val="en-CA"/>
        </w:rPr>
        <w:t xml:space="preserve"> and the province has absolute and unfettered legal power to do with them as it wills.</w:t>
      </w:r>
    </w:p>
    <w:p w14:paraId="4144D470" w14:textId="21F12A4E" w:rsidR="002E60A3" w:rsidRPr="006B7726" w:rsidRDefault="00F8060B" w:rsidP="008705B5">
      <w:pPr>
        <w:pStyle w:val="Citation"/>
        <w:jc w:val="right"/>
        <w:rPr>
          <w:sz w:val="24"/>
          <w:szCs w:val="24"/>
          <w:lang w:val="en-CA"/>
        </w:rPr>
      </w:pPr>
      <w:r w:rsidRPr="006B7726">
        <w:rPr>
          <w:sz w:val="24"/>
          <w:szCs w:val="24"/>
          <w:lang w:val="en-CA"/>
        </w:rPr>
        <w:t>[Emphasis added.]</w:t>
      </w:r>
    </w:p>
    <w:p w14:paraId="08969B84" w14:textId="37BFD53B" w:rsidR="00092372" w:rsidRPr="00BA1219" w:rsidRDefault="00FE493C" w:rsidP="00692FED">
      <w:pPr>
        <w:pStyle w:val="Paragrsimple"/>
        <w:rPr>
          <w:lang w:val="en-CA"/>
        </w:rPr>
      </w:pPr>
      <w:r>
        <w:rPr>
          <w:lang w:val="en-CA"/>
        </w:rPr>
        <w:t xml:space="preserve">Therefore, in </w:t>
      </w:r>
      <w:r w:rsidR="00085A9D" w:rsidRPr="00BA1219">
        <w:rPr>
          <w:lang w:val="en-CA"/>
        </w:rPr>
        <w:t xml:space="preserve">the context of protecting the rights of denominational or linguistic minorities, it is possible </w:t>
      </w:r>
      <w:r>
        <w:rPr>
          <w:lang w:val="en-CA"/>
        </w:rPr>
        <w:t xml:space="preserve">that </w:t>
      </w:r>
      <w:r w:rsidR="00085A9D" w:rsidRPr="00BA1219">
        <w:rPr>
          <w:lang w:val="en-CA"/>
        </w:rPr>
        <w:t>the Constitution provide</w:t>
      </w:r>
      <w:r>
        <w:rPr>
          <w:lang w:val="en-CA"/>
        </w:rPr>
        <w:t>s</w:t>
      </w:r>
      <w:r w:rsidR="00085A9D" w:rsidRPr="00BA1219">
        <w:rPr>
          <w:lang w:val="en-CA"/>
        </w:rPr>
        <w:t xml:space="preserve"> for the existence of school boards.</w:t>
      </w:r>
      <w:r w:rsidR="0096102C" w:rsidRPr="00BA1219">
        <w:rPr>
          <w:lang w:val="en-CA"/>
        </w:rPr>
        <w:t xml:space="preserve"> </w:t>
      </w:r>
    </w:p>
    <w:p w14:paraId="14D8CDBB" w14:textId="5563F799" w:rsidR="006A1BC3" w:rsidRPr="00BA1219" w:rsidRDefault="00085A9D" w:rsidP="00692FED">
      <w:pPr>
        <w:pStyle w:val="Paragrsimple"/>
        <w:rPr>
          <w:lang w:val="en-CA"/>
        </w:rPr>
      </w:pPr>
      <w:r w:rsidRPr="00BA1219">
        <w:rPr>
          <w:lang w:val="en-CA"/>
        </w:rPr>
        <w:t>Section 23 does not specifically provide for school boards or commissions.</w:t>
      </w:r>
      <w:r w:rsidR="0096102C" w:rsidRPr="00BA1219">
        <w:rPr>
          <w:lang w:val="en-CA"/>
        </w:rPr>
        <w:t xml:space="preserve"> </w:t>
      </w:r>
      <w:r w:rsidRPr="00BA1219">
        <w:rPr>
          <w:lang w:val="en-CA"/>
        </w:rPr>
        <w:t xml:space="preserve">The Supreme Court </w:t>
      </w:r>
      <w:r w:rsidR="00FE493C">
        <w:rPr>
          <w:lang w:val="en-CA"/>
        </w:rPr>
        <w:t xml:space="preserve">has </w:t>
      </w:r>
      <w:r w:rsidRPr="00BA1219">
        <w:rPr>
          <w:lang w:val="en-CA"/>
        </w:rPr>
        <w:t>held several times, however, that they are warranted if the number of students is great enough.</w:t>
      </w:r>
      <w:r w:rsidR="0096102C" w:rsidRPr="00BA1219">
        <w:rPr>
          <w:lang w:val="en-CA"/>
        </w:rPr>
        <w:t xml:space="preserve"> </w:t>
      </w:r>
    </w:p>
    <w:p w14:paraId="5C5929F1" w14:textId="322AD0CB" w:rsidR="006A1BC3" w:rsidRPr="00BA1219" w:rsidRDefault="00085A9D" w:rsidP="00692FED">
      <w:pPr>
        <w:pStyle w:val="Paragrsimple"/>
        <w:rPr>
          <w:lang w:val="en-CA"/>
        </w:rPr>
      </w:pPr>
      <w:r w:rsidRPr="006B7726">
        <w:rPr>
          <w:lang w:val="en-CA"/>
        </w:rPr>
        <w:t xml:space="preserve">In </w:t>
      </w:r>
      <w:r w:rsidRPr="006B7726">
        <w:rPr>
          <w:i/>
          <w:lang w:val="en-CA"/>
        </w:rPr>
        <w:t>Mahe</w:t>
      </w:r>
      <w:r w:rsidRPr="006B7726">
        <w:rPr>
          <w:lang w:val="en-CA"/>
        </w:rPr>
        <w:t xml:space="preserve">, Dickson C.J. </w:t>
      </w:r>
      <w:r w:rsidR="005E1015" w:rsidRPr="006B7726">
        <w:rPr>
          <w:lang w:val="en-CA"/>
        </w:rPr>
        <w:t>stated, “</w:t>
      </w:r>
      <w:r w:rsidRPr="006B7726">
        <w:rPr>
          <w:lang w:val="en-CA"/>
        </w:rPr>
        <w:t>[i]n some circumstances an independent Francophone school board is necessary to meet the purpose of s. 23”.</w:t>
      </w:r>
      <w:r w:rsidRPr="00BA1219">
        <w:rPr>
          <w:rStyle w:val="Appelnotedebasdep"/>
          <w:color w:val="000000"/>
          <w:spacing w:val="-3"/>
          <w:lang w:val="en-CA"/>
        </w:rPr>
        <w:footnoteReference w:id="144"/>
      </w:r>
    </w:p>
    <w:p w14:paraId="63AAE66E" w14:textId="5FF2E47B" w:rsidR="0048624B" w:rsidRPr="00BA1219" w:rsidRDefault="00085A9D" w:rsidP="0048624B">
      <w:pPr>
        <w:pStyle w:val="Paragrdouble"/>
        <w:spacing w:line="240" w:lineRule="auto"/>
        <w:rPr>
          <w:lang w:val="en-CA"/>
        </w:rPr>
      </w:pPr>
      <w:r w:rsidRPr="00BA1219">
        <w:rPr>
          <w:lang w:val="en-CA"/>
        </w:rPr>
        <w:t xml:space="preserve">This passage inspired Lamer C.J. to write in </w:t>
      </w:r>
      <w:r w:rsidRPr="00BA1219">
        <w:rPr>
          <w:i/>
          <w:color w:val="000000"/>
          <w:lang w:val="en-CA"/>
        </w:rPr>
        <w:t>Reference re Public Schools Act (Man.)</w:t>
      </w:r>
      <w:r w:rsidRPr="00BA1219">
        <w:rPr>
          <w:color w:val="000000"/>
          <w:lang w:val="en-CA"/>
        </w:rPr>
        <w:t xml:space="preserve"> “that the numbers warrant an educational system </w:t>
      </w:r>
      <w:r w:rsidRPr="00BA1219">
        <w:rPr>
          <w:color w:val="000000"/>
          <w:u w:val="single"/>
          <w:lang w:val="en-CA"/>
        </w:rPr>
        <w:t>requiring</w:t>
      </w:r>
      <w:r w:rsidRPr="00BA1219">
        <w:rPr>
          <w:color w:val="000000"/>
          <w:lang w:val="en-CA"/>
        </w:rPr>
        <w:t xml:space="preserve"> the establishment of a minority language school board.”</w:t>
      </w:r>
      <w:r w:rsidR="0096102C" w:rsidRPr="00BA1219">
        <w:rPr>
          <w:rStyle w:val="Appelnotedebasdep"/>
          <w:color w:val="000000"/>
          <w:spacing w:val="-3"/>
          <w:lang w:val="en-CA"/>
        </w:rPr>
        <w:footnoteReference w:id="145"/>
      </w:r>
      <w:r w:rsidR="0096102C" w:rsidRPr="00BA1219">
        <w:rPr>
          <w:color w:val="000000"/>
          <w:spacing w:val="-3"/>
          <w:lang w:val="en-CA"/>
        </w:rPr>
        <w:t> </w:t>
      </w:r>
    </w:p>
    <w:p w14:paraId="2E56E8AC" w14:textId="3715CD9A" w:rsidR="006A1BC3" w:rsidRPr="00BA1219" w:rsidRDefault="00085A9D" w:rsidP="00297FBE">
      <w:pPr>
        <w:pStyle w:val="Paragrsimple"/>
        <w:rPr>
          <w:sz w:val="27"/>
          <w:szCs w:val="27"/>
          <w:lang w:val="en-CA"/>
        </w:rPr>
      </w:pPr>
      <w:r w:rsidRPr="00BA1219">
        <w:rPr>
          <w:lang w:val="en-CA"/>
        </w:rPr>
        <w:t xml:space="preserve">As the Court noted in </w:t>
      </w:r>
      <w:r w:rsidRPr="00BA1219">
        <w:rPr>
          <w:i/>
          <w:lang w:val="en-CA"/>
        </w:rPr>
        <w:t>Arsenault-Cameron</w:t>
      </w:r>
      <w:r w:rsidRPr="00BA1219">
        <w:rPr>
          <w:lang w:val="en-CA"/>
        </w:rPr>
        <w:t>, “the existence of a minority language board ... in effect, is required at the upper end of the sliding scale of rights.”</w:t>
      </w:r>
      <w:r w:rsidRPr="00BA1219">
        <w:rPr>
          <w:rStyle w:val="Appelnotedebasdep"/>
          <w:color w:val="000000"/>
          <w:szCs w:val="24"/>
          <w:lang w:val="en-CA"/>
        </w:rPr>
        <w:footnoteReference w:id="146"/>
      </w:r>
    </w:p>
    <w:p w14:paraId="5728D8BD" w14:textId="11F80FB3" w:rsidR="006A1BC3" w:rsidRPr="00BA1219" w:rsidRDefault="00085A9D" w:rsidP="00297FBE">
      <w:pPr>
        <w:pStyle w:val="Paragrsimple"/>
        <w:rPr>
          <w:lang w:val="en-CA"/>
        </w:rPr>
      </w:pPr>
      <w:r w:rsidRPr="00BA1219">
        <w:rPr>
          <w:lang w:val="en-CA"/>
        </w:rPr>
        <w:lastRenderedPageBreak/>
        <w:t xml:space="preserve">In </w:t>
      </w:r>
      <w:r w:rsidRPr="00BA1219">
        <w:rPr>
          <w:i/>
          <w:lang w:val="en-CA"/>
        </w:rPr>
        <w:t>Rose-des-vents</w:t>
      </w:r>
      <w:r w:rsidRPr="00BA1219">
        <w:rPr>
          <w:lang w:val="en-CA"/>
        </w:rPr>
        <w:t>, the Court repeated that, “[t]he upper threshold of the sliding scale can include separate minority language school boards”.</w:t>
      </w:r>
      <w:r w:rsidRPr="00BA1219">
        <w:rPr>
          <w:rStyle w:val="Appelnotedebasdep"/>
          <w:color w:val="000000"/>
          <w:lang w:val="en-CA"/>
        </w:rPr>
        <w:footnoteReference w:id="147"/>
      </w:r>
    </w:p>
    <w:p w14:paraId="550FA4B9" w14:textId="14F7600F" w:rsidR="006A1BC3" w:rsidRPr="00BA1219" w:rsidRDefault="00085A9D" w:rsidP="00297FBE">
      <w:pPr>
        <w:pStyle w:val="Paragrsimple"/>
        <w:rPr>
          <w:lang w:val="en-CA"/>
        </w:rPr>
      </w:pPr>
      <w:r w:rsidRPr="00BA1219">
        <w:rPr>
          <w:lang w:val="en-CA" w:eastAsia="fr-CA"/>
        </w:rPr>
        <w:t xml:space="preserve">In </w:t>
      </w:r>
      <w:r w:rsidRPr="00BA1219">
        <w:rPr>
          <w:i/>
          <w:lang w:val="en-CA" w:eastAsia="fr-CA"/>
        </w:rPr>
        <w:t xml:space="preserve">Conseil </w:t>
      </w:r>
      <w:proofErr w:type="spellStart"/>
      <w:r w:rsidRPr="00BA1219">
        <w:rPr>
          <w:i/>
          <w:lang w:val="en-CA" w:eastAsia="fr-CA"/>
        </w:rPr>
        <w:t>scolaire</w:t>
      </w:r>
      <w:proofErr w:type="spellEnd"/>
      <w:r w:rsidRPr="00BA1219">
        <w:rPr>
          <w:i/>
          <w:lang w:val="en-CA" w:eastAsia="fr-CA"/>
        </w:rPr>
        <w:t xml:space="preserve"> francophone</w:t>
      </w:r>
      <w:r w:rsidRPr="00BA1219">
        <w:rPr>
          <w:lang w:val="en-CA" w:eastAsia="fr-CA"/>
        </w:rPr>
        <w:t>, Wagner C.J. wrote</w:t>
      </w:r>
      <w:r w:rsidR="00994362">
        <w:rPr>
          <w:lang w:val="en-CA" w:eastAsia="fr-CA"/>
        </w:rPr>
        <w:t>,</w:t>
      </w:r>
      <w:r w:rsidRPr="00BA1219">
        <w:rPr>
          <w:lang w:val="en-CA" w:eastAsia="fr-CA"/>
        </w:rPr>
        <w:t xml:space="preserve"> “School boards are in fact favoured vehicles for the concerns of official language minorities.”</w:t>
      </w:r>
      <w:r w:rsidRPr="00BA1219">
        <w:rPr>
          <w:rStyle w:val="Appelnotedebasdep"/>
          <w:rFonts w:cs="Arial"/>
          <w:color w:val="000000"/>
          <w:szCs w:val="24"/>
          <w:lang w:val="en-CA" w:eastAsia="fr-CA"/>
        </w:rPr>
        <w:footnoteReference w:id="148"/>
      </w:r>
    </w:p>
    <w:p w14:paraId="542F33C8" w14:textId="3A95FDDB" w:rsidR="00D3535F" w:rsidRPr="00BA1219" w:rsidRDefault="00085A9D" w:rsidP="00297FBE">
      <w:pPr>
        <w:pStyle w:val="Paragrsimple"/>
        <w:rPr>
          <w:lang w:val="en-CA"/>
        </w:rPr>
      </w:pPr>
      <w:r w:rsidRPr="00BA1219">
        <w:rPr>
          <w:lang w:val="en-CA"/>
        </w:rPr>
        <w:t>School boards are therefore covered by section 23 when the upper end of the sliding scale is reached, which is the case in Quebec.</w:t>
      </w:r>
    </w:p>
    <w:p w14:paraId="31E2730C" w14:textId="505BD5A6" w:rsidR="001A6F33" w:rsidRPr="00BA1219" w:rsidRDefault="00085A9D" w:rsidP="00297FBE">
      <w:pPr>
        <w:pStyle w:val="Paragrsimple"/>
        <w:rPr>
          <w:lang w:val="en-CA"/>
        </w:rPr>
      </w:pPr>
      <w:r w:rsidRPr="00BA1219">
        <w:rPr>
          <w:lang w:val="en-CA"/>
        </w:rPr>
        <w:t>A broad, generous, and liberal reading of section 23 guarantees the linguistic minority’s right to express itself through its “representatives”.</w:t>
      </w:r>
      <w:r w:rsidR="0096102C" w:rsidRPr="00BA1219">
        <w:rPr>
          <w:lang w:val="en-CA"/>
        </w:rPr>
        <w:t xml:space="preserve"> </w:t>
      </w:r>
      <w:r w:rsidRPr="00BA1219">
        <w:rPr>
          <w:lang w:val="en-CA"/>
        </w:rPr>
        <w:t xml:space="preserve">Historically, these representatives were from the community, with no restrictions other than those based on gender and property value, discriminatory criteria that </w:t>
      </w:r>
      <w:r w:rsidR="00994362">
        <w:rPr>
          <w:lang w:val="en-CA"/>
        </w:rPr>
        <w:t xml:space="preserve">were </w:t>
      </w:r>
      <w:r w:rsidRPr="00BA1219">
        <w:rPr>
          <w:lang w:val="en-CA"/>
        </w:rPr>
        <w:t>accepted</w:t>
      </w:r>
      <w:r w:rsidR="00994362">
        <w:rPr>
          <w:lang w:val="en-CA"/>
        </w:rPr>
        <w:t xml:space="preserve"> in the past</w:t>
      </w:r>
      <w:r w:rsidRPr="00BA1219">
        <w:rPr>
          <w:lang w:val="en-CA"/>
        </w:rPr>
        <w:t>.</w:t>
      </w:r>
    </w:p>
    <w:p w14:paraId="576462B5" w14:textId="52B38B16" w:rsidR="00376197" w:rsidRPr="00BA1219" w:rsidRDefault="00085A9D" w:rsidP="00297FBE">
      <w:pPr>
        <w:pStyle w:val="Paragrsimple"/>
        <w:rPr>
          <w:lang w:val="en-CA"/>
        </w:rPr>
      </w:pPr>
      <w:r w:rsidRPr="00BA1219">
        <w:rPr>
          <w:lang w:val="en-CA"/>
        </w:rPr>
        <w:t xml:space="preserve">More recently, section 143 of the </w:t>
      </w:r>
      <w:r w:rsidRPr="00BA1219">
        <w:rPr>
          <w:i/>
          <w:lang w:val="en-CA"/>
        </w:rPr>
        <w:t>EA</w:t>
      </w:r>
      <w:r w:rsidRPr="00BA1219">
        <w:rPr>
          <w:lang w:val="en-CA"/>
        </w:rPr>
        <w:t xml:space="preserve"> </w:t>
      </w:r>
      <w:r w:rsidR="00994362">
        <w:rPr>
          <w:lang w:val="en-CA"/>
        </w:rPr>
        <w:t>provided</w:t>
      </w:r>
      <w:r w:rsidR="00994362" w:rsidRPr="00BA1219">
        <w:rPr>
          <w:lang w:val="en-CA"/>
        </w:rPr>
        <w:t xml:space="preserve"> </w:t>
      </w:r>
      <w:r w:rsidRPr="00BA1219">
        <w:rPr>
          <w:lang w:val="en-CA"/>
        </w:rPr>
        <w:t>that some of the commissioners had to be representatives of the parents’ committee, but not the majority.</w:t>
      </w:r>
    </w:p>
    <w:p w14:paraId="412BA14E" w14:textId="49A58DCE" w:rsidR="001E0F27" w:rsidRPr="00BA1219" w:rsidRDefault="00085A9D" w:rsidP="00297FBE">
      <w:pPr>
        <w:pStyle w:val="Paragrsimple"/>
        <w:rPr>
          <w:lang w:val="en-CA"/>
        </w:rPr>
      </w:pPr>
      <w:r w:rsidRPr="00BA1219">
        <w:rPr>
          <w:lang w:val="en-CA"/>
        </w:rPr>
        <w:t xml:space="preserve">The Court agrees that the legislature can impose requirements as to the quality of representatives, but not to the point of abolishing the community’s right to </w:t>
      </w:r>
      <w:r w:rsidR="00994362" w:rsidRPr="00BA1219">
        <w:rPr>
          <w:lang w:val="en-CA"/>
        </w:rPr>
        <w:t>adequate</w:t>
      </w:r>
      <w:r w:rsidRPr="00BA1219">
        <w:rPr>
          <w:lang w:val="en-CA"/>
        </w:rPr>
        <w:t xml:space="preserve"> representation.</w:t>
      </w:r>
      <w:r w:rsidR="00CF24F9" w:rsidRPr="00BA1219">
        <w:rPr>
          <w:lang w:val="en-CA"/>
        </w:rPr>
        <w:t xml:space="preserve"> </w:t>
      </w:r>
      <w:r w:rsidRPr="00BA1219">
        <w:rPr>
          <w:lang w:val="en-CA"/>
        </w:rPr>
        <w:t xml:space="preserve">It is not up to the Court to determine the acceptable level of regulation, but it must be noted </w:t>
      </w:r>
      <w:r w:rsidR="00EF22ED">
        <w:rPr>
          <w:lang w:val="en-CA"/>
        </w:rPr>
        <w:t xml:space="preserve">in this case </w:t>
      </w:r>
      <w:r w:rsidRPr="00BA1219">
        <w:rPr>
          <w:lang w:val="en-CA"/>
        </w:rPr>
        <w:t>that the restriction of the right to acceptable and historically accepted representation infringes section 23.</w:t>
      </w:r>
      <w:r w:rsidR="00CF24F9" w:rsidRPr="00BA1219">
        <w:rPr>
          <w:lang w:val="en-CA"/>
        </w:rPr>
        <w:t xml:space="preserve"> </w:t>
      </w:r>
      <w:r w:rsidRPr="00BA1219">
        <w:rPr>
          <w:lang w:val="en-CA"/>
        </w:rPr>
        <w:t>It is up to the legislature to identify the acceptable threshold.</w:t>
      </w:r>
      <w:r w:rsidR="00CF24F9" w:rsidRPr="00BA1219">
        <w:rPr>
          <w:lang w:val="en-CA"/>
        </w:rPr>
        <w:t xml:space="preserve"> </w:t>
      </w:r>
      <w:r w:rsidRPr="00BA1219">
        <w:rPr>
          <w:lang w:val="en-CA"/>
        </w:rPr>
        <w:t xml:space="preserve">It will become clear later that the best way to </w:t>
      </w:r>
      <w:r w:rsidR="00EF22ED" w:rsidRPr="00BA1219">
        <w:rPr>
          <w:lang w:val="en-CA"/>
        </w:rPr>
        <w:t>achieve</w:t>
      </w:r>
      <w:r w:rsidRPr="00BA1219">
        <w:rPr>
          <w:lang w:val="en-CA"/>
        </w:rPr>
        <w:t xml:space="preserve"> this is through dialogue with minority representatives.</w:t>
      </w:r>
      <w:r w:rsidR="00CF24F9" w:rsidRPr="00BA1219">
        <w:rPr>
          <w:lang w:val="en-CA"/>
        </w:rPr>
        <w:t xml:space="preserve"> </w:t>
      </w:r>
    </w:p>
    <w:p w14:paraId="41D80839" w14:textId="064EFC2D" w:rsidR="001340CC" w:rsidRPr="00BA1219" w:rsidRDefault="00EF22ED" w:rsidP="00297FBE">
      <w:pPr>
        <w:pStyle w:val="Paragrsimple"/>
        <w:rPr>
          <w:lang w:val="en-CA"/>
        </w:rPr>
      </w:pPr>
      <w:r>
        <w:rPr>
          <w:lang w:val="en-CA"/>
        </w:rPr>
        <w:t>Directly or indirectly l</w:t>
      </w:r>
      <w:r w:rsidR="00085A9D" w:rsidRPr="00BA1219">
        <w:rPr>
          <w:lang w:val="en-CA"/>
        </w:rPr>
        <w:t>imiting the right of representatives to run in school elections</w:t>
      </w:r>
      <w:r>
        <w:rPr>
          <w:lang w:val="en-CA"/>
        </w:rPr>
        <w:t xml:space="preserve">, as the </w:t>
      </w:r>
      <w:r w:rsidRPr="00F46BCF">
        <w:rPr>
          <w:i/>
          <w:iCs/>
          <w:lang w:val="en-CA"/>
        </w:rPr>
        <w:t>Act</w:t>
      </w:r>
      <w:r>
        <w:rPr>
          <w:lang w:val="en-CA"/>
        </w:rPr>
        <w:t xml:space="preserve"> does, </w:t>
      </w:r>
      <w:r w:rsidR="00085A9D" w:rsidRPr="00BA1219">
        <w:rPr>
          <w:lang w:val="en-CA"/>
        </w:rPr>
        <w:t>restricts the minority's right to manage and control its educational institutions.</w:t>
      </w:r>
      <w:r w:rsidR="005866B5" w:rsidRPr="00BA1219">
        <w:rPr>
          <w:lang w:val="en-CA"/>
        </w:rPr>
        <w:t xml:space="preserve"> </w:t>
      </w:r>
    </w:p>
    <w:p w14:paraId="3C6FEBE4" w14:textId="1F2CFFB3" w:rsidR="005079E4" w:rsidRDefault="00085A9D" w:rsidP="00C26944">
      <w:pPr>
        <w:pStyle w:val="Paragrsimple"/>
        <w:rPr>
          <w:lang w:val="en-CA"/>
        </w:rPr>
      </w:pPr>
      <w:r w:rsidRPr="00BA1219">
        <w:rPr>
          <w:lang w:val="en-CA"/>
        </w:rPr>
        <w:t>The minority has had the majority's vision of who can represent it imposed on it, whereas all members of the community have been eligible to take charge of school management</w:t>
      </w:r>
      <w:r w:rsidR="00EF22ED">
        <w:rPr>
          <w:lang w:val="en-CA"/>
        </w:rPr>
        <w:t xml:space="preserve"> for more than 200 years</w:t>
      </w:r>
      <w:r w:rsidRPr="00BA1219">
        <w:rPr>
          <w:lang w:val="en-CA"/>
        </w:rPr>
        <w:t>, taking into account, of course, the historical evolution of the eligibility criteria.</w:t>
      </w:r>
      <w:r w:rsidR="00C26944" w:rsidRPr="00BA1219">
        <w:rPr>
          <w:lang w:val="en-CA"/>
        </w:rPr>
        <w:t xml:space="preserve"> </w:t>
      </w:r>
      <w:r w:rsidRPr="00BA1219">
        <w:rPr>
          <w:lang w:val="en-CA"/>
        </w:rPr>
        <w:t>The imposition of the majority view is one of the evils that the adoption of section 23 was intended to correct.</w:t>
      </w:r>
      <w:r w:rsidR="00C26944" w:rsidRPr="00BA1219">
        <w:rPr>
          <w:lang w:val="en-CA"/>
        </w:rPr>
        <w:t xml:space="preserve"> </w:t>
      </w:r>
    </w:p>
    <w:p w14:paraId="3F30CE6B" w14:textId="4033D99B" w:rsidR="003B1EC4" w:rsidRPr="008E67A6" w:rsidRDefault="003B1EC4" w:rsidP="003B1EC4">
      <w:pPr>
        <w:pStyle w:val="Titre3"/>
        <w:numPr>
          <w:ilvl w:val="0"/>
          <w:numId w:val="0"/>
        </w:numPr>
        <w:ind w:firstLine="731"/>
        <w:rPr>
          <w:lang w:val="en-CA"/>
        </w:rPr>
      </w:pPr>
      <w:bookmarkStart w:id="39" w:name="_TOC_250014"/>
      <w:r w:rsidRPr="008E67A6">
        <w:rPr>
          <w:lang w:val="en-CA"/>
        </w:rPr>
        <w:t xml:space="preserve">ii. </w:t>
      </w:r>
      <w:bookmarkStart w:id="40" w:name="_Hlk149038548"/>
      <w:r w:rsidR="0032401E">
        <w:rPr>
          <w:lang w:val="en-CA"/>
        </w:rPr>
        <w:t>Lack of remuneration for m</w:t>
      </w:r>
      <w:r w:rsidRPr="008E67A6">
        <w:rPr>
          <w:lang w:val="en-CA"/>
        </w:rPr>
        <w:t>embers of board of directors</w:t>
      </w:r>
      <w:bookmarkEnd w:id="40"/>
    </w:p>
    <w:p w14:paraId="4E6BB30D" w14:textId="77777777" w:rsidR="003B1EC4" w:rsidRPr="00E202F1" w:rsidRDefault="003B1EC4" w:rsidP="003B1EC4">
      <w:pPr>
        <w:pStyle w:val="Paragrdouble"/>
        <w:spacing w:line="240" w:lineRule="auto"/>
        <w:rPr>
          <w:lang w:val="en-CA"/>
        </w:rPr>
      </w:pPr>
      <w:r w:rsidRPr="00081EAB">
        <w:rPr>
          <w:lang w:val="en-CA"/>
        </w:rPr>
        <w:t xml:space="preserve">Section 66 of the </w:t>
      </w:r>
      <w:r w:rsidRPr="00E202F1">
        <w:rPr>
          <w:i/>
          <w:iCs/>
          <w:lang w:val="en-CA"/>
        </w:rPr>
        <w:t>Act</w:t>
      </w:r>
      <w:r w:rsidRPr="00081EAB">
        <w:rPr>
          <w:lang w:val="en-CA"/>
        </w:rPr>
        <w:t xml:space="preserve"> </w:t>
      </w:r>
      <w:r>
        <w:rPr>
          <w:lang w:val="en-CA"/>
        </w:rPr>
        <w:t>sets out</w:t>
      </w:r>
      <w:r w:rsidRPr="00081EAB">
        <w:rPr>
          <w:lang w:val="en-CA"/>
        </w:rPr>
        <w:t xml:space="preserve"> an amendment to section 175 of the </w:t>
      </w:r>
      <w:r w:rsidRPr="00E202F1">
        <w:rPr>
          <w:i/>
          <w:iCs/>
          <w:lang w:val="en-CA"/>
        </w:rPr>
        <w:t>EA</w:t>
      </w:r>
      <w:r w:rsidRPr="00081EAB">
        <w:rPr>
          <w:lang w:val="en-CA"/>
        </w:rPr>
        <w:t xml:space="preserve"> </w:t>
      </w:r>
      <w:r>
        <w:rPr>
          <w:lang w:val="en-CA"/>
        </w:rPr>
        <w:t>providing</w:t>
      </w:r>
      <w:r w:rsidRPr="00081EAB">
        <w:rPr>
          <w:lang w:val="en-CA"/>
        </w:rPr>
        <w:t xml:space="preserve"> that members of the school service centre’s board of directors are not remunerated. </w:t>
      </w:r>
      <w:r w:rsidRPr="00E202F1">
        <w:rPr>
          <w:lang w:val="en-CA"/>
        </w:rPr>
        <w:t xml:space="preserve">They may receive an attendance allowance established by regulation. </w:t>
      </w:r>
    </w:p>
    <w:p w14:paraId="14C0E985" w14:textId="083064C5" w:rsidR="003B1EC4" w:rsidRPr="00081EAB" w:rsidRDefault="003B1EC4" w:rsidP="003B1EC4">
      <w:pPr>
        <w:pStyle w:val="Paragrsimple"/>
        <w:rPr>
          <w:lang w:val="en-CA"/>
        </w:rPr>
      </w:pPr>
      <w:r w:rsidRPr="00081EAB">
        <w:rPr>
          <w:lang w:val="en-CA"/>
        </w:rPr>
        <w:t xml:space="preserve">A school board </w:t>
      </w:r>
      <w:r>
        <w:rPr>
          <w:lang w:val="en-CA"/>
        </w:rPr>
        <w:t>chair</w:t>
      </w:r>
      <w:r w:rsidRPr="00081EAB">
        <w:rPr>
          <w:lang w:val="en-CA"/>
        </w:rPr>
        <w:t xml:space="preserve"> </w:t>
      </w:r>
      <w:r>
        <w:rPr>
          <w:lang w:val="en-CA"/>
        </w:rPr>
        <w:t>used</w:t>
      </w:r>
      <w:r w:rsidRPr="00081EAB">
        <w:rPr>
          <w:lang w:val="en-CA"/>
        </w:rPr>
        <w:t xml:space="preserve"> to receive between $15,000 to $20,000 </w:t>
      </w:r>
      <w:r w:rsidR="00D72FDB">
        <w:rPr>
          <w:lang w:val="en-CA"/>
        </w:rPr>
        <w:t>a</w:t>
      </w:r>
      <w:r w:rsidRPr="00081EAB">
        <w:rPr>
          <w:lang w:val="en-CA"/>
        </w:rPr>
        <w:t xml:space="preserve"> </w:t>
      </w:r>
      <w:r>
        <w:rPr>
          <w:lang w:val="en-CA"/>
        </w:rPr>
        <w:t>year</w:t>
      </w:r>
      <w:r w:rsidRPr="00081EAB">
        <w:rPr>
          <w:lang w:val="en-CA"/>
        </w:rPr>
        <w:t>. A commissioner receive</w:t>
      </w:r>
      <w:r>
        <w:rPr>
          <w:lang w:val="en-CA"/>
        </w:rPr>
        <w:t>d</w:t>
      </w:r>
      <w:r w:rsidRPr="00081EAB">
        <w:rPr>
          <w:lang w:val="en-CA"/>
        </w:rPr>
        <w:t xml:space="preserve"> about half that</w:t>
      </w:r>
      <w:r>
        <w:rPr>
          <w:lang w:val="en-CA"/>
        </w:rPr>
        <w:t xml:space="preserve"> amount</w:t>
      </w:r>
      <w:r w:rsidRPr="00081EAB">
        <w:rPr>
          <w:lang w:val="en-CA"/>
        </w:rPr>
        <w:t>.</w:t>
      </w:r>
      <w:r>
        <w:rPr>
          <w:rStyle w:val="Appelnotedebasdep"/>
        </w:rPr>
        <w:footnoteReference w:id="149"/>
      </w:r>
      <w:r w:rsidRPr="00081EAB">
        <w:rPr>
          <w:lang w:val="en-CA"/>
        </w:rPr>
        <w:t xml:space="preserve"> </w:t>
      </w:r>
    </w:p>
    <w:p w14:paraId="47CB4717" w14:textId="760E18BC" w:rsidR="003B1EC4" w:rsidRPr="00081EAB" w:rsidRDefault="003B1EC4" w:rsidP="003B1EC4">
      <w:pPr>
        <w:pStyle w:val="Paragrsimple"/>
        <w:rPr>
          <w:lang w:val="en-CA"/>
        </w:rPr>
      </w:pPr>
      <w:r w:rsidRPr="00A87FD0">
        <w:rPr>
          <w:i/>
          <w:iCs/>
        </w:rPr>
        <w:lastRenderedPageBreak/>
        <w:t>Décret 1027-2020</w:t>
      </w:r>
      <w:r w:rsidRPr="00E202F1">
        <w:rPr>
          <w:rStyle w:val="Appelnotedebasdep"/>
          <w:rFonts w:cs="Arial"/>
          <w:color w:val="343131"/>
          <w:w w:val="105"/>
        </w:rPr>
        <w:footnoteReference w:id="150"/>
      </w:r>
      <w:r w:rsidRPr="00A87FD0">
        <w:t xml:space="preserve"> </w:t>
      </w:r>
      <w:r w:rsidRPr="00A87FD0">
        <w:rPr>
          <w:i/>
        </w:rPr>
        <w:t>concernant l'allocation de présence et le remboursement des frais des membres des conseils d'administration des centres de services scolaires</w:t>
      </w:r>
      <w:r>
        <w:rPr>
          <w:rStyle w:val="Appelnotedebasdep"/>
          <w:rFonts w:cs="Arial"/>
        </w:rPr>
        <w:footnoteReference w:id="151"/>
      </w:r>
      <w:r w:rsidRPr="00A87FD0">
        <w:t xml:space="preserve"> </w:t>
      </w:r>
      <w:proofErr w:type="spellStart"/>
      <w:r w:rsidRPr="00A87FD0">
        <w:t>provides</w:t>
      </w:r>
      <w:proofErr w:type="spellEnd"/>
      <w:r w:rsidRPr="00A87FD0">
        <w:t xml:space="preserve"> </w:t>
      </w:r>
      <w:proofErr w:type="spellStart"/>
      <w:r w:rsidRPr="00A87FD0">
        <w:t>that</w:t>
      </w:r>
      <w:proofErr w:type="spellEnd"/>
      <w:r w:rsidRPr="00A87FD0">
        <w:t xml:space="preserve"> </w:t>
      </w:r>
      <w:r>
        <w:t>chairs</w:t>
      </w:r>
      <w:r w:rsidR="00D72FDB">
        <w:t xml:space="preserve"> </w:t>
      </w:r>
      <w:proofErr w:type="spellStart"/>
      <w:r w:rsidR="00D72FDB">
        <w:t>will</w:t>
      </w:r>
      <w:proofErr w:type="spellEnd"/>
      <w:r w:rsidRPr="00A87FD0">
        <w:t xml:space="preserve"> </w:t>
      </w:r>
      <w:proofErr w:type="spellStart"/>
      <w:r w:rsidRPr="00A87FD0">
        <w:t>receive</w:t>
      </w:r>
      <w:proofErr w:type="spellEnd"/>
      <w:r w:rsidRPr="00A87FD0">
        <w:t xml:space="preserve"> $200 </w:t>
      </w:r>
      <w:proofErr w:type="spellStart"/>
      <w:r w:rsidRPr="00A87FD0">
        <w:t>every</w:t>
      </w:r>
      <w:proofErr w:type="spellEnd"/>
      <w:r w:rsidRPr="00A87FD0">
        <w:t xml:space="preserve"> time the Council </w:t>
      </w:r>
      <w:proofErr w:type="spellStart"/>
      <w:r w:rsidRPr="00A87FD0">
        <w:t>sits</w:t>
      </w:r>
      <w:proofErr w:type="spellEnd"/>
      <w:r w:rsidRPr="00A87FD0">
        <w:t xml:space="preserve">, </w:t>
      </w:r>
      <w:r>
        <w:t>up to</w:t>
      </w:r>
      <w:r w:rsidRPr="00A87FD0">
        <w:t xml:space="preserve"> </w:t>
      </w:r>
      <w:r>
        <w:t xml:space="preserve">a </w:t>
      </w:r>
      <w:proofErr w:type="spellStart"/>
      <w:r>
        <w:t>yearly</w:t>
      </w:r>
      <w:proofErr w:type="spellEnd"/>
      <w:r>
        <w:t xml:space="preserve"> </w:t>
      </w:r>
      <w:r w:rsidRPr="00A87FD0">
        <w:t xml:space="preserve">maximum of $4,000. </w:t>
      </w:r>
      <w:r>
        <w:rPr>
          <w:lang w:val="en-CA"/>
        </w:rPr>
        <w:t>T</w:t>
      </w:r>
      <w:r w:rsidRPr="00081EAB">
        <w:rPr>
          <w:lang w:val="en-CA"/>
        </w:rPr>
        <w:t>he other members</w:t>
      </w:r>
      <w:r>
        <w:rPr>
          <w:lang w:val="en-CA"/>
        </w:rPr>
        <w:t xml:space="preserve"> receive</w:t>
      </w:r>
      <w:r w:rsidRPr="00081EAB">
        <w:rPr>
          <w:lang w:val="en-CA"/>
        </w:rPr>
        <w:t xml:space="preserve"> </w:t>
      </w:r>
      <w:r w:rsidR="00D72FDB">
        <w:rPr>
          <w:lang w:val="en-CA"/>
        </w:rPr>
        <w:t xml:space="preserve">will </w:t>
      </w:r>
      <w:r w:rsidRPr="00081EAB">
        <w:rPr>
          <w:lang w:val="en-CA"/>
        </w:rPr>
        <w:t xml:space="preserve">compensation </w:t>
      </w:r>
      <w:r>
        <w:rPr>
          <w:lang w:val="en-CA"/>
        </w:rPr>
        <w:t>of</w:t>
      </w:r>
      <w:r w:rsidRPr="00081EAB">
        <w:rPr>
          <w:lang w:val="en-CA"/>
        </w:rPr>
        <w:t xml:space="preserve"> $100 per meeting of the board of directors</w:t>
      </w:r>
      <w:r>
        <w:rPr>
          <w:lang w:val="en-CA"/>
        </w:rPr>
        <w:t>,</w:t>
      </w:r>
      <w:r w:rsidRPr="00081EAB">
        <w:rPr>
          <w:lang w:val="en-CA"/>
        </w:rPr>
        <w:t xml:space="preserve"> </w:t>
      </w:r>
      <w:r>
        <w:rPr>
          <w:lang w:val="en-CA"/>
        </w:rPr>
        <w:t>up to</w:t>
      </w:r>
      <w:r w:rsidRPr="00081EAB">
        <w:rPr>
          <w:lang w:val="en-CA"/>
        </w:rPr>
        <w:t xml:space="preserve"> a </w:t>
      </w:r>
      <w:r>
        <w:rPr>
          <w:lang w:val="en-CA"/>
        </w:rPr>
        <w:t xml:space="preserve">yearly </w:t>
      </w:r>
      <w:r w:rsidRPr="00081EAB">
        <w:rPr>
          <w:lang w:val="en-CA"/>
        </w:rPr>
        <w:t>maximum of $2,000.</w:t>
      </w:r>
    </w:p>
    <w:p w14:paraId="5C732AE6" w14:textId="77777777" w:rsidR="003B1EC4" w:rsidRPr="00A87FD0" w:rsidRDefault="003B1EC4" w:rsidP="003B1EC4">
      <w:pPr>
        <w:pStyle w:val="Paragrsimple"/>
        <w:rPr>
          <w:lang w:val="en-CA"/>
        </w:rPr>
      </w:pPr>
      <w:r w:rsidRPr="00A90B1D">
        <w:rPr>
          <w:lang w:val="en-CA"/>
        </w:rPr>
        <w:t xml:space="preserve">Practically speaking, if we rely on the experience of the French-language school service centres, a </w:t>
      </w:r>
      <w:r>
        <w:rPr>
          <w:lang w:val="en-CA"/>
        </w:rPr>
        <w:t>chair</w:t>
      </w:r>
      <w:r w:rsidRPr="00A90B1D">
        <w:rPr>
          <w:lang w:val="en-CA"/>
        </w:rPr>
        <w:t xml:space="preserve"> </w:t>
      </w:r>
      <w:r>
        <w:rPr>
          <w:lang w:val="en-CA"/>
        </w:rPr>
        <w:t>will</w:t>
      </w:r>
      <w:r w:rsidRPr="00A90B1D">
        <w:rPr>
          <w:lang w:val="en-CA"/>
        </w:rPr>
        <w:t xml:space="preserve"> receive about $1,000 per year, and an ordinary member $500. </w:t>
      </w:r>
      <w:r w:rsidRPr="00A87FD0">
        <w:rPr>
          <w:lang w:val="en-CA"/>
        </w:rPr>
        <w:t xml:space="preserve">This represents a 15-fold reduction of the current income. </w:t>
      </w:r>
    </w:p>
    <w:p w14:paraId="4941A8D3" w14:textId="2BEAD067" w:rsidR="003B1EC4" w:rsidRPr="00A90B1D" w:rsidRDefault="00D72FDB" w:rsidP="003B1EC4">
      <w:pPr>
        <w:pStyle w:val="Paragrsimple"/>
        <w:rPr>
          <w:lang w:val="en-CA"/>
        </w:rPr>
      </w:pPr>
      <w:r>
        <w:rPr>
          <w:lang w:val="en-CA"/>
        </w:rPr>
        <w:t>Based on the</w:t>
      </w:r>
      <w:r w:rsidR="003B1EC4" w:rsidRPr="00A90B1D">
        <w:rPr>
          <w:lang w:val="en-CA"/>
        </w:rPr>
        <w:t xml:space="preserve"> surveys he </w:t>
      </w:r>
      <w:r w:rsidR="003B1EC4">
        <w:rPr>
          <w:lang w:val="en-CA"/>
        </w:rPr>
        <w:t xml:space="preserve">conducted </w:t>
      </w:r>
      <w:r w:rsidR="003B1EC4" w:rsidRPr="00A90B1D">
        <w:rPr>
          <w:lang w:val="en-CA"/>
        </w:rPr>
        <w:t>with rights holders, parents who were members of governing boards, and commissioners,</w:t>
      </w:r>
      <w:r w:rsidR="003B1EC4">
        <w:rPr>
          <w:lang w:val="en-CA"/>
        </w:rPr>
        <w:t xml:space="preserve"> Professor Loewen</w:t>
      </w:r>
      <w:r w:rsidR="003B1EC4" w:rsidRPr="00A90B1D">
        <w:rPr>
          <w:lang w:val="en-CA"/>
        </w:rPr>
        <w:t xml:space="preserve"> concluded that they would all be less likely to </w:t>
      </w:r>
      <w:r w:rsidR="003B1EC4">
        <w:rPr>
          <w:lang w:val="en-CA"/>
        </w:rPr>
        <w:t>run</w:t>
      </w:r>
      <w:r w:rsidR="003B1EC4" w:rsidRPr="00A90B1D">
        <w:rPr>
          <w:lang w:val="en-CA"/>
        </w:rPr>
        <w:t xml:space="preserve"> in an election (-26%, -66%, and -77% respectively). These numbers increased when responders earned an income below the Quebec median.</w:t>
      </w:r>
      <w:r w:rsidR="003B1EC4">
        <w:rPr>
          <w:rStyle w:val="Appelnotedebasdep"/>
          <w:lang w:val="en-CA"/>
        </w:rPr>
        <w:footnoteReference w:id="152"/>
      </w:r>
    </w:p>
    <w:p w14:paraId="76F6765F" w14:textId="77777777" w:rsidR="003B1EC4" w:rsidRPr="00A90B1D" w:rsidRDefault="003B1EC4" w:rsidP="003B1EC4">
      <w:pPr>
        <w:pStyle w:val="Paragrdouble"/>
        <w:spacing w:line="240" w:lineRule="auto"/>
        <w:rPr>
          <w:lang w:val="en-CA"/>
        </w:rPr>
      </w:pPr>
      <w:r w:rsidRPr="00A90B1D">
        <w:rPr>
          <w:lang w:val="en-CA"/>
        </w:rPr>
        <w:t xml:space="preserve">This data is particularly eloquent </w:t>
      </w:r>
      <w:r>
        <w:rPr>
          <w:lang w:val="en-CA"/>
        </w:rPr>
        <w:t xml:space="preserve">on the subject of </w:t>
      </w:r>
      <w:r w:rsidRPr="00A90B1D">
        <w:rPr>
          <w:lang w:val="en-CA"/>
        </w:rPr>
        <w:t>outlying school boards</w:t>
      </w:r>
      <w:r>
        <w:rPr>
          <w:lang w:val="en-CA"/>
        </w:rPr>
        <w:t>,</w:t>
      </w:r>
      <w:r w:rsidRPr="00A90B1D">
        <w:rPr>
          <w:lang w:val="en-CA"/>
        </w:rPr>
        <w:t xml:space="preserve"> where commissioners must cover great distances. </w:t>
      </w:r>
    </w:p>
    <w:p w14:paraId="682824E7" w14:textId="77777777" w:rsidR="003B1EC4" w:rsidRPr="00A90B1D" w:rsidRDefault="003B1EC4" w:rsidP="003B1EC4">
      <w:pPr>
        <w:pStyle w:val="Paragrsimple"/>
        <w:rPr>
          <w:lang w:val="en-CA"/>
        </w:rPr>
      </w:pPr>
      <w:r w:rsidRPr="00A90B1D">
        <w:rPr>
          <w:lang w:val="en-CA"/>
        </w:rPr>
        <w:t xml:space="preserve">This measure impairs the minority’s right to elect the members it chooses.  </w:t>
      </w:r>
    </w:p>
    <w:p w14:paraId="671C9EA3" w14:textId="77777777" w:rsidR="003B1EC4" w:rsidRPr="00A90B1D" w:rsidRDefault="003B1EC4" w:rsidP="003B1EC4">
      <w:pPr>
        <w:pStyle w:val="Paragrsimple"/>
        <w:rPr>
          <w:lang w:val="en-CA"/>
        </w:rPr>
      </w:pPr>
      <w:r w:rsidRPr="00A90B1D">
        <w:rPr>
          <w:lang w:val="en-CA"/>
        </w:rPr>
        <w:t xml:space="preserve">It may also be argued that this reduction of remuneration impairs the right to control the “expenditures of funds provided for such instruction and facilities”, guaranteed by </w:t>
      </w:r>
      <w:r w:rsidRPr="00A90B1D">
        <w:rPr>
          <w:i/>
          <w:color w:val="000000"/>
          <w:lang w:val="en-CA"/>
        </w:rPr>
        <w:t>Mahe</w:t>
      </w:r>
      <w:r w:rsidRPr="00A90B1D">
        <w:rPr>
          <w:color w:val="000000"/>
          <w:lang w:val="en-CA"/>
        </w:rPr>
        <w:t>.</w:t>
      </w:r>
      <w:r w:rsidRPr="00A90B1D">
        <w:rPr>
          <w:rFonts w:cs="Arial"/>
          <w:color w:val="000000"/>
          <w:lang w:val="en-CA"/>
        </w:rPr>
        <w:t xml:space="preserve"> </w:t>
      </w:r>
    </w:p>
    <w:bookmarkEnd w:id="39"/>
    <w:p w14:paraId="4FFEC28F" w14:textId="6D3FACC4" w:rsidR="003B1EC4" w:rsidRPr="003B1EC4" w:rsidRDefault="003B1EC4" w:rsidP="003B1EC4">
      <w:pPr>
        <w:pStyle w:val="Titre3"/>
        <w:numPr>
          <w:ilvl w:val="0"/>
          <w:numId w:val="0"/>
        </w:numPr>
        <w:rPr>
          <w:i/>
          <w:lang w:val="en-CA"/>
        </w:rPr>
      </w:pPr>
      <w:r w:rsidRPr="003B1EC4">
        <w:rPr>
          <w:lang w:val="en-CA"/>
        </w:rPr>
        <w:t xml:space="preserve"> </w:t>
      </w:r>
      <w:r w:rsidRPr="003B1EC4">
        <w:rPr>
          <w:lang w:val="en-CA"/>
        </w:rPr>
        <w:tab/>
        <w:t xml:space="preserve">iii.  </w:t>
      </w:r>
      <w:bookmarkStart w:id="41" w:name="_Hlk149038561"/>
      <w:r w:rsidRPr="003B1EC4">
        <w:rPr>
          <w:lang w:val="en-CA"/>
        </w:rPr>
        <w:t xml:space="preserve">Ineligibility to sit as chair or vice-chair </w:t>
      </w:r>
      <w:r w:rsidR="0032401E">
        <w:rPr>
          <w:lang w:val="en-CA"/>
        </w:rPr>
        <w:t>of</w:t>
      </w:r>
      <w:r w:rsidRPr="003B1EC4">
        <w:rPr>
          <w:lang w:val="en-CA"/>
        </w:rPr>
        <w:t xml:space="preserve"> board of directors </w:t>
      </w:r>
      <w:bookmarkEnd w:id="41"/>
    </w:p>
    <w:p w14:paraId="7B7ABEA3" w14:textId="77777777" w:rsidR="003B1EC4" w:rsidRPr="00A90B1D" w:rsidRDefault="003B1EC4" w:rsidP="003B1EC4">
      <w:pPr>
        <w:pStyle w:val="Paragrsimple"/>
        <w:rPr>
          <w:lang w:val="en-CA"/>
        </w:rPr>
      </w:pPr>
      <w:r w:rsidRPr="00E202F1">
        <w:rPr>
          <w:lang w:val="en-CA"/>
        </w:rPr>
        <w:t xml:space="preserve">Section 50 of the </w:t>
      </w:r>
      <w:r w:rsidRPr="00D56C62">
        <w:rPr>
          <w:i/>
          <w:iCs/>
          <w:lang w:val="en-CA"/>
        </w:rPr>
        <w:t>Act</w:t>
      </w:r>
      <w:r w:rsidRPr="00E202F1">
        <w:rPr>
          <w:lang w:val="en-CA"/>
        </w:rPr>
        <w:t xml:space="preserve"> provides that the chair and vice-chair on the board of directors are elected from the members sitting as parent representatives.</w:t>
      </w:r>
      <w:r w:rsidRPr="00A90B1D">
        <w:rPr>
          <w:lang w:val="en-CA"/>
        </w:rPr>
        <w:t xml:space="preserve"> The </w:t>
      </w:r>
      <w:r>
        <w:rPr>
          <w:lang w:val="en-CA"/>
        </w:rPr>
        <w:t>applicants</w:t>
      </w:r>
      <w:r w:rsidRPr="00A90B1D">
        <w:rPr>
          <w:lang w:val="en-CA"/>
        </w:rPr>
        <w:t xml:space="preserve"> argue that this measure </w:t>
      </w:r>
      <w:r>
        <w:rPr>
          <w:lang w:val="en-CA"/>
        </w:rPr>
        <w:t>contravenes</w:t>
      </w:r>
      <w:r w:rsidRPr="00A90B1D">
        <w:rPr>
          <w:lang w:val="en-CA"/>
        </w:rPr>
        <w:t xml:space="preserve"> the exclusive right to manage and control the educational facilities.</w:t>
      </w:r>
    </w:p>
    <w:p w14:paraId="2EF0797D" w14:textId="1FA705D2" w:rsidR="003B1EC4" w:rsidRPr="00A90B1D" w:rsidRDefault="003B1EC4" w:rsidP="003B1EC4">
      <w:pPr>
        <w:pStyle w:val="Paragrsimple"/>
        <w:rPr>
          <w:lang w:val="en-CA"/>
        </w:rPr>
      </w:pPr>
      <w:r w:rsidRPr="00A90B1D">
        <w:rPr>
          <w:lang w:val="en-CA"/>
        </w:rPr>
        <w:t xml:space="preserve">Joy Humeniuk, who is not the parent of a student attending an institution, </w:t>
      </w:r>
      <w:r w:rsidR="00B8441F">
        <w:rPr>
          <w:lang w:val="en-CA"/>
        </w:rPr>
        <w:t>can</w:t>
      </w:r>
      <w:r w:rsidRPr="00A90B1D">
        <w:rPr>
          <w:lang w:val="en-CA"/>
        </w:rPr>
        <w:t xml:space="preserve"> no longer occupy this position. </w:t>
      </w:r>
      <w:r w:rsidRPr="00E202F1">
        <w:rPr>
          <w:lang w:val="en-CA"/>
        </w:rPr>
        <w:t>She testified:</w:t>
      </w:r>
      <w:r w:rsidRPr="00E202F1">
        <w:rPr>
          <w:rStyle w:val="Appelnotedebasdep"/>
        </w:rPr>
        <w:footnoteReference w:id="153"/>
      </w:r>
    </w:p>
    <w:p w14:paraId="5A717711" w14:textId="77777777" w:rsidR="003B1EC4" w:rsidRPr="00A11EBE" w:rsidRDefault="003B1EC4" w:rsidP="003B1EC4">
      <w:pPr>
        <w:pStyle w:val="Citation"/>
        <w:rPr>
          <w:lang w:val="en-CA"/>
        </w:rPr>
      </w:pPr>
      <w:r>
        <w:rPr>
          <w:lang w:val="en-CA"/>
        </w:rPr>
        <w:t>9</w:t>
      </w:r>
      <w:r w:rsidRPr="00A11EBE">
        <w:rPr>
          <w:lang w:val="en-CA"/>
        </w:rPr>
        <w:tab/>
      </w:r>
      <w:r>
        <w:rPr>
          <w:lang w:val="en-CA"/>
        </w:rPr>
        <w:t>As vice chair of ETSB, I have taken the initiative in leading many projects.</w:t>
      </w:r>
      <w:r w:rsidRPr="00A11EBE">
        <w:rPr>
          <w:lang w:val="en-CA"/>
        </w:rPr>
        <w:t xml:space="preserve"> </w:t>
      </w:r>
      <w:r>
        <w:rPr>
          <w:lang w:val="en-CA"/>
        </w:rPr>
        <w:t>For example, I helped create a student advisory committee at the Board.</w:t>
      </w:r>
      <w:r w:rsidRPr="00A11EBE">
        <w:rPr>
          <w:lang w:val="en-CA"/>
        </w:rPr>
        <w:t xml:space="preserve"> </w:t>
      </w:r>
      <w:r>
        <w:rPr>
          <w:lang w:val="en-CA"/>
        </w:rPr>
        <w:t>The other members of the committee and I visit high schools and share best practices among them.</w:t>
      </w:r>
      <w:r w:rsidRPr="00A11EBE">
        <w:rPr>
          <w:lang w:val="en-CA"/>
        </w:rPr>
        <w:t xml:space="preserve"> </w:t>
      </w:r>
      <w:r>
        <w:rPr>
          <w:lang w:val="en-CA"/>
        </w:rPr>
        <w:t>Two other Commissioners and myself partake in the five meetings per year and organize transportation to and from the high schools for the students.</w:t>
      </w:r>
      <w:r w:rsidRPr="00A11EBE">
        <w:rPr>
          <w:lang w:val="en-CA"/>
        </w:rPr>
        <w:t xml:space="preserve"> </w:t>
      </w:r>
      <w:r>
        <w:rPr>
          <w:lang w:val="en-CA"/>
        </w:rPr>
        <w:t xml:space="preserve">We hold sessions with speakers from the Board, who address issues ranging from technology resources to differences between the programs offered by the high schools, in order to help inform the students of their options and </w:t>
      </w:r>
      <w:r>
        <w:rPr>
          <w:lang w:val="en-CA"/>
        </w:rPr>
        <w:lastRenderedPageBreak/>
        <w:t>hear from them.</w:t>
      </w:r>
      <w:r w:rsidRPr="00A11EBE">
        <w:rPr>
          <w:lang w:val="en-CA"/>
        </w:rPr>
        <w:t xml:space="preserve"> </w:t>
      </w:r>
      <w:r>
        <w:rPr>
          <w:lang w:val="en-CA"/>
        </w:rPr>
        <w:t>These meetings happen during the school day, so Commissioners are dedicating a whole day to each one.</w:t>
      </w:r>
    </w:p>
    <w:p w14:paraId="4DF1AC07" w14:textId="6FD5DCAA" w:rsidR="003B1EC4" w:rsidRPr="00A90B1D" w:rsidRDefault="003B1EC4" w:rsidP="003B1EC4">
      <w:pPr>
        <w:pStyle w:val="Paragrsimple"/>
        <w:rPr>
          <w:lang w:val="en-CA"/>
        </w:rPr>
      </w:pPr>
      <w:r w:rsidRPr="00A90B1D">
        <w:rPr>
          <w:lang w:val="en-CA"/>
        </w:rPr>
        <w:t xml:space="preserve">The </w:t>
      </w:r>
      <w:r w:rsidR="00B40052">
        <w:rPr>
          <w:lang w:val="en-CA"/>
        </w:rPr>
        <w:t xml:space="preserve">situation is similar for </w:t>
      </w:r>
      <w:r w:rsidRPr="00A90B1D">
        <w:rPr>
          <w:lang w:val="en-CA"/>
        </w:rPr>
        <w:t xml:space="preserve">Stephen Burke, who served for 10 years as chair of the Central Quebec School Board and </w:t>
      </w:r>
      <w:r w:rsidR="00B40052">
        <w:rPr>
          <w:lang w:val="en-CA"/>
        </w:rPr>
        <w:t xml:space="preserve">who has become involved to voice the views of </w:t>
      </w:r>
      <w:r w:rsidRPr="00A90B1D">
        <w:rPr>
          <w:lang w:val="en-CA"/>
        </w:rPr>
        <w:t xml:space="preserve">his community, in particular by testifying before a parliamentary committee and writing </w:t>
      </w:r>
      <w:r>
        <w:rPr>
          <w:lang w:val="en-CA"/>
        </w:rPr>
        <w:t>for</w:t>
      </w:r>
      <w:r w:rsidRPr="00A90B1D">
        <w:rPr>
          <w:lang w:val="en-CA"/>
        </w:rPr>
        <w:t xml:space="preserve"> the media,</w:t>
      </w:r>
      <w:r>
        <w:rPr>
          <w:rStyle w:val="Appelnotedebasdep"/>
          <w:spacing w:val="-2"/>
        </w:rPr>
        <w:footnoteReference w:id="154"/>
      </w:r>
      <w:r w:rsidRPr="00A90B1D">
        <w:rPr>
          <w:spacing w:val="-2"/>
          <w:lang w:val="en-CA"/>
        </w:rPr>
        <w:t xml:space="preserve"> and </w:t>
      </w:r>
      <w:r w:rsidR="00B8441F">
        <w:rPr>
          <w:spacing w:val="-2"/>
          <w:lang w:val="en-CA"/>
        </w:rPr>
        <w:t>for</w:t>
      </w:r>
      <w:r w:rsidRPr="00A90B1D">
        <w:rPr>
          <w:spacing w:val="-2"/>
          <w:lang w:val="en-CA"/>
        </w:rPr>
        <w:t xml:space="preserve"> John Ryan, </w:t>
      </w:r>
      <w:r>
        <w:rPr>
          <w:spacing w:val="-2"/>
          <w:lang w:val="en-CA"/>
        </w:rPr>
        <w:t xml:space="preserve">who was the </w:t>
      </w:r>
      <w:r w:rsidRPr="00A90B1D">
        <w:rPr>
          <w:spacing w:val="-2"/>
          <w:lang w:val="en-CA"/>
        </w:rPr>
        <w:t xml:space="preserve">vice-chair </w:t>
      </w:r>
      <w:r>
        <w:rPr>
          <w:spacing w:val="-2"/>
          <w:lang w:val="en-CA"/>
        </w:rPr>
        <w:t>for</w:t>
      </w:r>
      <w:r w:rsidRPr="00A90B1D">
        <w:rPr>
          <w:spacing w:val="-2"/>
          <w:lang w:val="en-CA"/>
        </w:rPr>
        <w:t xml:space="preserve"> the New Frontiers School Board for 10 years </w:t>
      </w:r>
      <w:r>
        <w:rPr>
          <w:spacing w:val="-2"/>
          <w:lang w:val="en-CA"/>
        </w:rPr>
        <w:t xml:space="preserve">and </w:t>
      </w:r>
      <w:r w:rsidRPr="00A90B1D">
        <w:rPr>
          <w:spacing w:val="-2"/>
          <w:lang w:val="en-CA"/>
        </w:rPr>
        <w:t xml:space="preserve">who </w:t>
      </w:r>
      <w:r w:rsidR="00B40052">
        <w:rPr>
          <w:spacing w:val="-2"/>
          <w:lang w:val="en-CA"/>
        </w:rPr>
        <w:t>has</w:t>
      </w:r>
      <w:r w:rsidR="00B40052" w:rsidRPr="00A90B1D">
        <w:rPr>
          <w:spacing w:val="-2"/>
          <w:lang w:val="en-CA"/>
        </w:rPr>
        <w:t xml:space="preserve"> </w:t>
      </w:r>
      <w:r w:rsidRPr="00A90B1D">
        <w:rPr>
          <w:spacing w:val="-2"/>
          <w:lang w:val="en-CA"/>
        </w:rPr>
        <w:t xml:space="preserve">recently </w:t>
      </w:r>
      <w:r w:rsidR="00B40052">
        <w:rPr>
          <w:spacing w:val="-2"/>
          <w:lang w:val="en-CA"/>
        </w:rPr>
        <w:t xml:space="preserve">been </w:t>
      </w:r>
      <w:r w:rsidRPr="00A90B1D">
        <w:rPr>
          <w:spacing w:val="-2"/>
          <w:lang w:val="en-CA"/>
        </w:rPr>
        <w:t>elected to the position of chair.</w:t>
      </w:r>
      <w:r>
        <w:rPr>
          <w:rStyle w:val="Appelnotedebasdep"/>
        </w:rPr>
        <w:footnoteReference w:id="155"/>
      </w:r>
      <w:r w:rsidRPr="00A90B1D">
        <w:rPr>
          <w:lang w:val="en-CA"/>
        </w:rPr>
        <w:t xml:space="preserve"> </w:t>
      </w:r>
    </w:p>
    <w:p w14:paraId="4B61751D" w14:textId="77777777" w:rsidR="003B1EC4" w:rsidRPr="00A90B1D" w:rsidRDefault="003B1EC4" w:rsidP="003B1EC4">
      <w:pPr>
        <w:pStyle w:val="Paragrsimple"/>
        <w:rPr>
          <w:lang w:val="en-CA"/>
        </w:rPr>
      </w:pPr>
      <w:r>
        <w:rPr>
          <w:lang w:val="en-CA"/>
        </w:rPr>
        <w:t>This measure</w:t>
      </w:r>
      <w:r w:rsidRPr="00A90B1D">
        <w:rPr>
          <w:lang w:val="en-CA"/>
        </w:rPr>
        <w:t xml:space="preserve"> restricts the right of elected members to occupy one of the management positions on the board or the school board. </w:t>
      </w:r>
      <w:r>
        <w:rPr>
          <w:lang w:val="en-CA"/>
        </w:rPr>
        <w:t>It</w:t>
      </w:r>
      <w:r w:rsidRPr="00E202F1">
        <w:rPr>
          <w:lang w:val="en-CA"/>
        </w:rPr>
        <w:t xml:space="preserve"> violates the minority’s exclusive right to manage and control. </w:t>
      </w:r>
    </w:p>
    <w:p w14:paraId="74D6BAF0" w14:textId="54F6D265" w:rsidR="003B1EC4" w:rsidRPr="00A90B1D" w:rsidRDefault="00B40052" w:rsidP="00F46BCF">
      <w:pPr>
        <w:pStyle w:val="Titre3"/>
        <w:keepNext/>
        <w:numPr>
          <w:ilvl w:val="0"/>
          <w:numId w:val="0"/>
        </w:numPr>
        <w:ind w:left="1720" w:hanging="360"/>
        <w:rPr>
          <w:lang w:val="en-CA"/>
        </w:rPr>
      </w:pPr>
      <w:r>
        <w:rPr>
          <w:lang w:val="en-CA"/>
        </w:rPr>
        <w:t xml:space="preserve">iv. </w:t>
      </w:r>
      <w:bookmarkStart w:id="42" w:name="_Hlk149038608"/>
      <w:r w:rsidR="00255F50">
        <w:rPr>
          <w:lang w:val="en-CA"/>
        </w:rPr>
        <w:t xml:space="preserve"> </w:t>
      </w:r>
      <w:r w:rsidR="003B1EC4" w:rsidRPr="00A90B1D">
        <w:rPr>
          <w:lang w:val="en-CA"/>
        </w:rPr>
        <w:t>Presence of school staff</w:t>
      </w:r>
      <w:r w:rsidR="003B1EC4">
        <w:rPr>
          <w:lang w:val="en-CA"/>
        </w:rPr>
        <w:t xml:space="preserve"> as</w:t>
      </w:r>
      <w:r w:rsidR="003B1EC4" w:rsidRPr="00A90B1D">
        <w:rPr>
          <w:lang w:val="en-CA"/>
        </w:rPr>
        <w:t xml:space="preserve"> unelected representatives </w:t>
      </w:r>
      <w:bookmarkEnd w:id="42"/>
    </w:p>
    <w:p w14:paraId="6CCE8E7C" w14:textId="77777777" w:rsidR="003B1EC4" w:rsidRPr="00E202F1" w:rsidRDefault="003B1EC4" w:rsidP="00F46BCF">
      <w:pPr>
        <w:pStyle w:val="Paragrsimple"/>
        <w:keepNext/>
        <w:rPr>
          <w:lang w:val="en-CA"/>
        </w:rPr>
      </w:pPr>
      <w:r w:rsidRPr="00E202F1">
        <w:rPr>
          <w:lang w:val="en-CA"/>
        </w:rPr>
        <w:t xml:space="preserve">Section 50 of the </w:t>
      </w:r>
      <w:r w:rsidRPr="005D1BB8">
        <w:rPr>
          <w:i/>
          <w:iCs/>
          <w:lang w:val="en-CA"/>
        </w:rPr>
        <w:t>Act</w:t>
      </w:r>
      <w:r w:rsidRPr="00E202F1">
        <w:rPr>
          <w:lang w:val="en-CA"/>
        </w:rPr>
        <w:t xml:space="preserve"> also provides that the board will include four members of the school service centre’s staff, including one teacher, one non-teaching professional staff member, one support staff member and one principal of an educational institution</w:t>
      </w:r>
      <w:r>
        <w:rPr>
          <w:lang w:val="en-CA"/>
        </w:rPr>
        <w:t>, all</w:t>
      </w:r>
      <w:r w:rsidRPr="00E202F1">
        <w:rPr>
          <w:lang w:val="en-CA"/>
        </w:rPr>
        <w:t xml:space="preserve"> designated by their peers.</w:t>
      </w:r>
    </w:p>
    <w:p w14:paraId="4B3D0A48" w14:textId="53FCFFF1" w:rsidR="003B1EC4" w:rsidRPr="00A90B1D" w:rsidRDefault="003B1EC4" w:rsidP="003B1EC4">
      <w:pPr>
        <w:pStyle w:val="Paragrsimple"/>
        <w:rPr>
          <w:lang w:val="en-CA"/>
        </w:rPr>
      </w:pPr>
      <w:r w:rsidRPr="00A90B1D">
        <w:rPr>
          <w:lang w:val="en-CA"/>
        </w:rPr>
        <w:t xml:space="preserve">The </w:t>
      </w:r>
      <w:r>
        <w:rPr>
          <w:lang w:val="en-CA"/>
        </w:rPr>
        <w:t>applicants</w:t>
      </w:r>
      <w:r w:rsidRPr="00A90B1D">
        <w:rPr>
          <w:lang w:val="en-CA"/>
        </w:rPr>
        <w:t xml:space="preserve"> </w:t>
      </w:r>
      <w:r>
        <w:rPr>
          <w:lang w:val="en-CA"/>
        </w:rPr>
        <w:t>submit</w:t>
      </w:r>
      <w:r w:rsidRPr="00A90B1D">
        <w:rPr>
          <w:lang w:val="en-CA"/>
        </w:rPr>
        <w:t xml:space="preserve"> that these members are not</w:t>
      </w:r>
      <w:r w:rsidR="00366077">
        <w:rPr>
          <w:lang w:val="en-CA"/>
        </w:rPr>
        <w:t xml:space="preserve"> rights holders</w:t>
      </w:r>
      <w:r w:rsidRPr="00A90B1D">
        <w:rPr>
          <w:lang w:val="en-CA"/>
        </w:rPr>
        <w:t xml:space="preserve"> under the law. They are unelected representatives, whose presence dilutes the minority’s exclusive control over its facilities. </w:t>
      </w:r>
    </w:p>
    <w:p w14:paraId="7FC040E6" w14:textId="77777777" w:rsidR="003B1EC4" w:rsidRPr="00A90B1D" w:rsidRDefault="003B1EC4" w:rsidP="003B1EC4">
      <w:pPr>
        <w:pStyle w:val="Paragrsimple"/>
        <w:rPr>
          <w:lang w:val="en-CA"/>
        </w:rPr>
      </w:pPr>
      <w:r w:rsidRPr="00E202F1">
        <w:rPr>
          <w:lang w:val="en-CA"/>
        </w:rPr>
        <w:t>They are correct.</w:t>
      </w:r>
      <w:r w:rsidRPr="00A90B1D">
        <w:rPr>
          <w:lang w:val="en-CA"/>
        </w:rPr>
        <w:t xml:space="preserve"> Not only are the</w:t>
      </w:r>
      <w:r>
        <w:rPr>
          <w:lang w:val="en-CA"/>
        </w:rPr>
        <w:t xml:space="preserve">se members </w:t>
      </w:r>
      <w:r w:rsidRPr="00A90B1D">
        <w:rPr>
          <w:lang w:val="en-CA"/>
        </w:rPr>
        <w:t xml:space="preserve">not necessarily rights holders, but they are designated by persons who have no more rights than they do. </w:t>
      </w:r>
    </w:p>
    <w:p w14:paraId="0D86A21B" w14:textId="77777777" w:rsidR="003B1EC4" w:rsidRPr="00E202F1" w:rsidRDefault="003B1EC4" w:rsidP="003B1EC4">
      <w:pPr>
        <w:pStyle w:val="Paragrsimple"/>
        <w:rPr>
          <w:lang w:val="en-CA"/>
        </w:rPr>
      </w:pPr>
      <w:r w:rsidRPr="00E202F1">
        <w:rPr>
          <w:lang w:val="en-CA"/>
        </w:rPr>
        <w:t>As author Mark Power writes:</w:t>
      </w:r>
      <w:r w:rsidRPr="00E202F1">
        <w:rPr>
          <w:rStyle w:val="Appelnotedebasdep"/>
        </w:rPr>
        <w:footnoteReference w:id="156"/>
      </w:r>
    </w:p>
    <w:p w14:paraId="0105A4AD" w14:textId="77777777" w:rsidR="003B1EC4" w:rsidRDefault="003B1EC4" w:rsidP="003B1EC4">
      <w:pPr>
        <w:pStyle w:val="Citation"/>
        <w:rPr>
          <w:lang w:val="en-CA"/>
        </w:rPr>
      </w:pPr>
      <w:r>
        <w:rPr>
          <w:lang w:val="en-CA"/>
        </w:rPr>
        <w:t>[</w:t>
      </w:r>
      <w:r w:rsidRPr="005D1BB8">
        <w:rPr>
          <w:smallCaps/>
          <w:lang w:val="en-CA"/>
        </w:rPr>
        <w:t>translation</w:t>
      </w:r>
      <w:r>
        <w:rPr>
          <w:lang w:val="en-CA"/>
        </w:rPr>
        <w:t>]</w:t>
      </w:r>
    </w:p>
    <w:p w14:paraId="508B4388" w14:textId="59FF6FEB" w:rsidR="003B1EC4" w:rsidRPr="00A90B1D" w:rsidRDefault="003B1EC4" w:rsidP="003B1EC4">
      <w:pPr>
        <w:pStyle w:val="Citation"/>
        <w:rPr>
          <w:lang w:val="en-CA"/>
        </w:rPr>
      </w:pPr>
      <w:r w:rsidRPr="00A90B1D">
        <w:rPr>
          <w:lang w:val="en-CA"/>
        </w:rPr>
        <w:t xml:space="preserve">The right </w:t>
      </w:r>
      <w:r w:rsidR="00701F75">
        <w:rPr>
          <w:lang w:val="en-CA"/>
        </w:rPr>
        <w:t>of</w:t>
      </w:r>
      <w:r w:rsidRPr="00A90B1D">
        <w:rPr>
          <w:lang w:val="en-CA"/>
        </w:rPr>
        <w:t xml:space="preserve"> manage</w:t>
      </w:r>
      <w:r w:rsidR="00701F75">
        <w:rPr>
          <w:lang w:val="en-CA"/>
        </w:rPr>
        <w:t>ment</w:t>
      </w:r>
      <w:r w:rsidRPr="00A90B1D">
        <w:rPr>
          <w:lang w:val="en-CA"/>
        </w:rPr>
        <w:t xml:space="preserve"> and control guaranteed under section 23 of the </w:t>
      </w:r>
      <w:r w:rsidRPr="005D1BB8">
        <w:rPr>
          <w:i/>
          <w:iCs/>
          <w:lang w:val="en-CA"/>
        </w:rPr>
        <w:t>Charter</w:t>
      </w:r>
      <w:r w:rsidRPr="00A90B1D">
        <w:rPr>
          <w:lang w:val="en-CA"/>
        </w:rPr>
        <w:t xml:space="preserve"> is exclusive in the sense that representatives of the minority official </w:t>
      </w:r>
      <w:r w:rsidR="001A4FE5">
        <w:rPr>
          <w:lang w:val="en-CA"/>
        </w:rPr>
        <w:t>language</w:t>
      </w:r>
      <w:r w:rsidR="001A4FE5" w:rsidRPr="00A90B1D">
        <w:rPr>
          <w:lang w:val="en-CA"/>
        </w:rPr>
        <w:t xml:space="preserve"> </w:t>
      </w:r>
      <w:r w:rsidRPr="00A90B1D">
        <w:rPr>
          <w:lang w:val="en-CA"/>
        </w:rPr>
        <w:t xml:space="preserve">communities are empowered to make decisions within their jurisdiction without those who represent the majority being able to substitute their own perspectives. </w:t>
      </w:r>
      <w:r w:rsidR="00BA48F4">
        <w:rPr>
          <w:lang w:val="en-CA"/>
        </w:rPr>
        <w:t>This type of</w:t>
      </w:r>
      <w:r w:rsidR="00BA48F4" w:rsidRPr="00A90B1D">
        <w:rPr>
          <w:lang w:val="en-CA"/>
        </w:rPr>
        <w:t xml:space="preserve"> </w:t>
      </w:r>
      <w:r w:rsidRPr="00A90B1D">
        <w:rPr>
          <w:lang w:val="en-CA"/>
        </w:rPr>
        <w:t>control over education by those who represent the majority was customary in the past, in particular in areas of the country where standard French-language programs or schools were offered or managed by English</w:t>
      </w:r>
      <w:r w:rsidR="00BA48F4">
        <w:rPr>
          <w:lang w:val="en-CA"/>
        </w:rPr>
        <w:t>-</w:t>
      </w:r>
      <w:r w:rsidRPr="00A90B1D">
        <w:rPr>
          <w:lang w:val="en-CA"/>
        </w:rPr>
        <w:t>language school boards.</w:t>
      </w:r>
    </w:p>
    <w:p w14:paraId="09AAAB93" w14:textId="5B1E9987" w:rsidR="003B1EC4" w:rsidRPr="00255F50" w:rsidRDefault="003B1EC4" w:rsidP="003B1EC4">
      <w:pPr>
        <w:pStyle w:val="Paragrsimple"/>
        <w:rPr>
          <w:lang w:val="en-CA"/>
        </w:rPr>
      </w:pPr>
      <w:r w:rsidRPr="00255F50">
        <w:rPr>
          <w:lang w:val="en-CA"/>
        </w:rPr>
        <w:lastRenderedPageBreak/>
        <w:t xml:space="preserve">The fact that these representatives are in </w:t>
      </w:r>
      <w:r w:rsidRPr="00255F50">
        <w:rPr>
          <w:lang w:val="en-CA"/>
        </w:rPr>
        <w:t xml:space="preserve">the </w:t>
      </w:r>
      <w:r w:rsidRPr="00255F50">
        <w:rPr>
          <w:lang w:val="en-CA"/>
        </w:rPr>
        <w:t xml:space="preserve">minority does not justify their presence on the board of directors. Should the vote be split between </w:t>
      </w:r>
      <w:r w:rsidR="00BA48F4" w:rsidRPr="00255F50">
        <w:rPr>
          <w:lang w:val="en-CA"/>
        </w:rPr>
        <w:t>rights</w:t>
      </w:r>
      <w:r w:rsidR="00255F50">
        <w:rPr>
          <w:lang w:val="en-CA"/>
        </w:rPr>
        <w:t xml:space="preserve"> </w:t>
      </w:r>
      <w:r w:rsidR="00BA48F4" w:rsidRPr="00255F50">
        <w:rPr>
          <w:lang w:val="en-CA"/>
        </w:rPr>
        <w:t xml:space="preserve">holder </w:t>
      </w:r>
      <w:r w:rsidRPr="00255F50">
        <w:rPr>
          <w:lang w:val="en-CA"/>
        </w:rPr>
        <w:t>members</w:t>
      </w:r>
      <w:r w:rsidR="00BA48F4" w:rsidRPr="00255F50">
        <w:rPr>
          <w:lang w:val="en-CA"/>
        </w:rPr>
        <w:t xml:space="preserve">, </w:t>
      </w:r>
      <w:r w:rsidRPr="00255F50">
        <w:rPr>
          <w:lang w:val="en-CA"/>
        </w:rPr>
        <w:t xml:space="preserve">they would </w:t>
      </w:r>
      <w:r w:rsidR="00BA48F4" w:rsidRPr="00255F50">
        <w:rPr>
          <w:lang w:val="en-CA"/>
        </w:rPr>
        <w:t xml:space="preserve">cast </w:t>
      </w:r>
      <w:r w:rsidRPr="00255F50">
        <w:rPr>
          <w:lang w:val="en-CA"/>
        </w:rPr>
        <w:t xml:space="preserve">the deciding vote. This would be contrary to the teachings of the Supreme Court with respect to exclusive control over the management of educational facilities. </w:t>
      </w:r>
    </w:p>
    <w:p w14:paraId="7384EC4F" w14:textId="66EE09B2" w:rsidR="003B1EC4" w:rsidRPr="00255F50" w:rsidRDefault="00346238" w:rsidP="00F46BCF">
      <w:pPr>
        <w:pStyle w:val="Titre3"/>
        <w:keepNext/>
        <w:numPr>
          <w:ilvl w:val="0"/>
          <w:numId w:val="0"/>
        </w:numPr>
        <w:ind w:left="1360"/>
        <w:rPr>
          <w:lang w:val="en-CA"/>
        </w:rPr>
      </w:pPr>
      <w:r w:rsidRPr="00255F50">
        <w:rPr>
          <w:lang w:val="en-CA"/>
        </w:rPr>
        <w:t>v.</w:t>
      </w:r>
      <w:r w:rsidR="00255F50">
        <w:rPr>
          <w:lang w:val="en-CA"/>
        </w:rPr>
        <w:t xml:space="preserve"> </w:t>
      </w:r>
      <w:r w:rsidRPr="00255F50">
        <w:rPr>
          <w:lang w:val="en-CA"/>
        </w:rPr>
        <w:t xml:space="preserve"> </w:t>
      </w:r>
      <w:r w:rsidR="003B1EC4" w:rsidRPr="00255F50">
        <w:rPr>
          <w:lang w:val="en-CA"/>
        </w:rPr>
        <w:t>Role of spokesperson</w:t>
      </w:r>
    </w:p>
    <w:p w14:paraId="4D6A7E98" w14:textId="2EB715D9" w:rsidR="003B1EC4" w:rsidRPr="00A90B1D" w:rsidRDefault="003B1EC4" w:rsidP="00F46BCF">
      <w:pPr>
        <w:pStyle w:val="Paragrsimple"/>
        <w:keepNext/>
        <w:rPr>
          <w:lang w:val="en-CA"/>
        </w:rPr>
      </w:pPr>
      <w:r w:rsidRPr="00A90B1D">
        <w:rPr>
          <w:lang w:val="en-CA"/>
        </w:rPr>
        <w:t xml:space="preserve"> </w:t>
      </w:r>
      <w:r w:rsidR="00BA48F4">
        <w:rPr>
          <w:lang w:val="en-CA"/>
        </w:rPr>
        <w:t xml:space="preserve">Under </w:t>
      </w:r>
      <w:r w:rsidRPr="00A90B1D">
        <w:rPr>
          <w:lang w:val="en-CA"/>
        </w:rPr>
        <w:t>section 93</w:t>
      </w:r>
      <w:r>
        <w:rPr>
          <w:lang w:val="en-CA"/>
        </w:rPr>
        <w:t xml:space="preserve"> of the </w:t>
      </w:r>
      <w:r w:rsidRPr="00807543">
        <w:rPr>
          <w:i/>
          <w:iCs/>
          <w:lang w:val="en-CA"/>
        </w:rPr>
        <w:t>Act</w:t>
      </w:r>
      <w:r w:rsidRPr="00A90B1D">
        <w:rPr>
          <w:lang w:val="en-CA"/>
        </w:rPr>
        <w:t xml:space="preserve">, which adds the </w:t>
      </w:r>
      <w:r w:rsidR="00BA48F4">
        <w:rPr>
          <w:lang w:val="en-CA"/>
        </w:rPr>
        <w:t>final</w:t>
      </w:r>
      <w:r w:rsidR="00BA48F4" w:rsidRPr="00A90B1D">
        <w:rPr>
          <w:lang w:val="en-CA"/>
        </w:rPr>
        <w:t xml:space="preserve"> </w:t>
      </w:r>
      <w:r w:rsidRPr="00A90B1D">
        <w:rPr>
          <w:lang w:val="en-CA"/>
        </w:rPr>
        <w:t>paragraph of section 201</w:t>
      </w:r>
      <w:r>
        <w:rPr>
          <w:lang w:val="en-CA"/>
        </w:rPr>
        <w:t> </w:t>
      </w:r>
      <w:r w:rsidRPr="00807543">
        <w:rPr>
          <w:i/>
          <w:iCs/>
          <w:lang w:val="en-CA"/>
        </w:rPr>
        <w:t>EA</w:t>
      </w:r>
      <w:r w:rsidRPr="00A90B1D">
        <w:rPr>
          <w:lang w:val="en-CA"/>
        </w:rPr>
        <w:t>, the school service centre’s spokesperson becomes the director general, an employee</w:t>
      </w:r>
      <w:r w:rsidR="00BA48F4">
        <w:rPr>
          <w:lang w:val="en-CA"/>
        </w:rPr>
        <w:t>,</w:t>
      </w:r>
      <w:r w:rsidRPr="00A90B1D">
        <w:rPr>
          <w:lang w:val="en-CA"/>
        </w:rPr>
        <w:t xml:space="preserve"> rather than the board chair:</w:t>
      </w:r>
    </w:p>
    <w:p w14:paraId="09877CA4" w14:textId="3A043916" w:rsidR="003B1EC4" w:rsidRPr="00A90B1D" w:rsidRDefault="003B1EC4" w:rsidP="00F46BCF">
      <w:pPr>
        <w:pStyle w:val="Citation"/>
        <w:keepNext/>
        <w:rPr>
          <w:lang w:val="en-CA"/>
        </w:rPr>
      </w:pPr>
      <w:r>
        <w:rPr>
          <w:lang w:val="en-CA"/>
        </w:rPr>
        <w:t xml:space="preserve">The director general is the school service centre’s official spokesperson. </w:t>
      </w:r>
      <w:r w:rsidRPr="00E202F1">
        <w:rPr>
          <w:lang w:val="en-CA"/>
        </w:rPr>
        <w:t>As such, the director general shall publicly state the position of the school service centre on any matter affecting it, such as when the director general is involved, on the school service centre’s behalf, in various organizations devoted to local and regional development.</w:t>
      </w:r>
    </w:p>
    <w:p w14:paraId="2DC556E0" w14:textId="11BFDD39" w:rsidR="003B1EC4" w:rsidRPr="00A90B1D" w:rsidRDefault="003B1EC4" w:rsidP="003B1EC4">
      <w:pPr>
        <w:pStyle w:val="Paragrsimple"/>
        <w:rPr>
          <w:lang w:val="en-CA"/>
        </w:rPr>
      </w:pPr>
      <w:r w:rsidRPr="00A90B1D">
        <w:rPr>
          <w:lang w:val="en-CA"/>
        </w:rPr>
        <w:t xml:space="preserve">According to the </w:t>
      </w:r>
      <w:r>
        <w:rPr>
          <w:lang w:val="en-CA"/>
        </w:rPr>
        <w:t>applicants</w:t>
      </w:r>
      <w:r w:rsidRPr="00A90B1D">
        <w:rPr>
          <w:lang w:val="en-CA"/>
        </w:rPr>
        <w:t>, this new provision reduces the management role of the directors of the school service centre</w:t>
      </w:r>
      <w:r w:rsidRPr="00807543">
        <w:rPr>
          <w:lang w:val="en-CA"/>
        </w:rPr>
        <w:t xml:space="preserve"> </w:t>
      </w:r>
      <w:r w:rsidRPr="00A90B1D">
        <w:rPr>
          <w:lang w:val="en-CA"/>
        </w:rPr>
        <w:t xml:space="preserve">even more. </w:t>
      </w:r>
      <w:r w:rsidR="00BA48F4">
        <w:rPr>
          <w:lang w:val="en-CA"/>
        </w:rPr>
        <w:t xml:space="preserve">In their opinion, it is </w:t>
      </w:r>
      <w:r w:rsidRPr="00A90B1D">
        <w:rPr>
          <w:lang w:val="en-CA"/>
        </w:rPr>
        <w:t xml:space="preserve">important that </w:t>
      </w:r>
      <w:r w:rsidR="00255F50">
        <w:rPr>
          <w:lang w:val="en-CA"/>
        </w:rPr>
        <w:t>minority</w:t>
      </w:r>
      <w:r w:rsidRPr="00A90B1D">
        <w:rPr>
          <w:lang w:val="en-CA"/>
        </w:rPr>
        <w:t xml:space="preserve"> spokespersons, who interact with provincial and local politicians, be elected representatives of the community. This obviously includes</w:t>
      </w:r>
      <w:r>
        <w:rPr>
          <w:lang w:val="en-CA"/>
        </w:rPr>
        <w:t xml:space="preserve"> </w:t>
      </w:r>
      <w:r w:rsidRPr="00A90B1D">
        <w:rPr>
          <w:lang w:val="en-CA"/>
        </w:rPr>
        <w:t xml:space="preserve">the possibility of disagreeing with government policies. </w:t>
      </w:r>
    </w:p>
    <w:p w14:paraId="06A2AB2A" w14:textId="77777777" w:rsidR="003B1EC4" w:rsidRPr="00A90B1D" w:rsidRDefault="003B1EC4" w:rsidP="003B1EC4">
      <w:pPr>
        <w:pStyle w:val="Paragrsimple"/>
        <w:rPr>
          <w:lang w:val="en-CA"/>
        </w:rPr>
      </w:pPr>
      <w:r w:rsidRPr="00A90B1D">
        <w:rPr>
          <w:lang w:val="en-CA"/>
        </w:rPr>
        <w:t xml:space="preserve">It is far from certain, </w:t>
      </w:r>
      <w:r>
        <w:rPr>
          <w:lang w:val="en-CA"/>
        </w:rPr>
        <w:t>to say the least</w:t>
      </w:r>
      <w:r w:rsidRPr="00A90B1D">
        <w:rPr>
          <w:lang w:val="en-CA"/>
        </w:rPr>
        <w:t xml:space="preserve">, that the director general, a public servant, will have this freedom. It would in fact be odd for members of the board to issue a position on behalf of the community and for the director general to take the opposite view. </w:t>
      </w:r>
    </w:p>
    <w:p w14:paraId="298D314B" w14:textId="30A55E8B" w:rsidR="003B1EC4" w:rsidRPr="00A90B1D" w:rsidRDefault="003B1EC4" w:rsidP="003B1EC4">
      <w:pPr>
        <w:pStyle w:val="Paragrsimple"/>
        <w:rPr>
          <w:lang w:val="en-CA"/>
        </w:rPr>
      </w:pPr>
      <w:r w:rsidRPr="00A90B1D">
        <w:rPr>
          <w:lang w:val="en-CA"/>
        </w:rPr>
        <w:t>Michael Murray, chair of the board for the Eastern Townships School</w:t>
      </w:r>
      <w:r>
        <w:rPr>
          <w:lang w:val="en-CA"/>
        </w:rPr>
        <w:t xml:space="preserve"> B</w:t>
      </w:r>
      <w:r w:rsidRPr="00A90B1D">
        <w:rPr>
          <w:lang w:val="en-CA"/>
        </w:rPr>
        <w:t>oard</w:t>
      </w:r>
      <w:r w:rsidR="00DB11EC">
        <w:rPr>
          <w:lang w:val="en-CA"/>
        </w:rPr>
        <w:t>,</w:t>
      </w:r>
      <w:r w:rsidRPr="00A90B1D">
        <w:rPr>
          <w:lang w:val="en-CA"/>
        </w:rPr>
        <w:t xml:space="preserve"> testified on his role as a spokesperson:</w:t>
      </w:r>
      <w:r>
        <w:rPr>
          <w:rStyle w:val="Appelnotedebasdep"/>
          <w:bCs/>
        </w:rPr>
        <w:footnoteReference w:id="157"/>
      </w:r>
    </w:p>
    <w:p w14:paraId="28A8C537" w14:textId="77777777" w:rsidR="003B1EC4" w:rsidRPr="00690375" w:rsidRDefault="003B1EC4" w:rsidP="003B1EC4">
      <w:pPr>
        <w:pStyle w:val="Citation"/>
        <w:rPr>
          <w:lang w:val="en-CA"/>
        </w:rPr>
      </w:pPr>
      <w:r>
        <w:rPr>
          <w:lang w:val="en-CA"/>
        </w:rPr>
        <w:t>1</w:t>
      </w:r>
      <w:r w:rsidRPr="00690375">
        <w:rPr>
          <w:lang w:val="en-CA"/>
        </w:rPr>
        <w:tab/>
      </w:r>
      <w:r>
        <w:rPr>
          <w:lang w:val="en-CA"/>
        </w:rPr>
        <w:t>I have held the office of Chair of Eastern Townships School Board (“ETSB”) since January 1, 2006.</w:t>
      </w:r>
      <w:r w:rsidRPr="00690375">
        <w:rPr>
          <w:lang w:val="en-CA"/>
        </w:rPr>
        <w:t xml:space="preserve"> </w:t>
      </w:r>
      <w:r>
        <w:rPr>
          <w:lang w:val="en-CA"/>
        </w:rPr>
        <w:t>I have been a commissioner at the ETSB since it was formed in 1998.</w:t>
      </w:r>
      <w:r w:rsidRPr="00690375">
        <w:rPr>
          <w:lang w:val="en-CA"/>
        </w:rPr>
        <w:t xml:space="preserve"> </w:t>
      </w:r>
      <w:r>
        <w:rPr>
          <w:lang w:val="en-CA"/>
        </w:rPr>
        <w:t>I was first elected commissioner for the protestant (English) District of Bedford School Board in 1986.</w:t>
      </w:r>
      <w:r w:rsidRPr="00690375">
        <w:rPr>
          <w:lang w:val="en-CA"/>
        </w:rPr>
        <w:t xml:space="preserve"> </w:t>
      </w:r>
    </w:p>
    <w:p w14:paraId="6DA2A6F2" w14:textId="77777777" w:rsidR="003B1EC4" w:rsidRPr="00690375" w:rsidRDefault="003B1EC4" w:rsidP="003B1EC4">
      <w:pPr>
        <w:pStyle w:val="Citation"/>
        <w:rPr>
          <w:lang w:val="en-CA"/>
        </w:rPr>
      </w:pPr>
      <w:r>
        <w:rPr>
          <w:lang w:val="en-CA"/>
        </w:rPr>
        <w:t>5</w:t>
      </w:r>
      <w:r w:rsidRPr="00690375">
        <w:rPr>
          <w:lang w:val="en-CA"/>
        </w:rPr>
        <w:tab/>
      </w:r>
      <w:r>
        <w:rPr>
          <w:lang w:val="en-CA"/>
        </w:rPr>
        <w:t>As the chair of the ETSB, I view my role as requiring me first and foremost to remain in touch with the English-language community that I serve and to hear the needs that are expressed by its various groups.</w:t>
      </w:r>
      <w:r w:rsidRPr="00690375">
        <w:rPr>
          <w:lang w:val="en-CA"/>
        </w:rPr>
        <w:t xml:space="preserve"> </w:t>
      </w:r>
      <w:r>
        <w:rPr>
          <w:lang w:val="en-CA"/>
        </w:rPr>
        <w:t>It is also essential for me to be kept informed of the operations of schools within our territory and whether they are succeeding in meeting the community’s needs.</w:t>
      </w:r>
      <w:r w:rsidRPr="00690375">
        <w:rPr>
          <w:lang w:val="en-CA"/>
        </w:rPr>
        <w:t xml:space="preserve"> </w:t>
      </w:r>
    </w:p>
    <w:p w14:paraId="13EB7532" w14:textId="77777777" w:rsidR="003B1EC4" w:rsidRPr="00690375" w:rsidRDefault="003B1EC4" w:rsidP="003B1EC4">
      <w:pPr>
        <w:pStyle w:val="Citation"/>
        <w:rPr>
          <w:lang w:val="en-CA"/>
        </w:rPr>
      </w:pPr>
      <w:r>
        <w:rPr>
          <w:lang w:val="en-CA"/>
        </w:rPr>
        <w:t>6</w:t>
      </w:r>
      <w:r w:rsidRPr="00690375">
        <w:rPr>
          <w:lang w:val="en-CA"/>
        </w:rPr>
        <w:tab/>
      </w:r>
      <w:r>
        <w:rPr>
          <w:lang w:val="en-CA"/>
        </w:rPr>
        <w:t>Without good knowledge of both the internal workings of the school board and the interests of the broader community, I would not be able to adequately represent either the board or the community in my role as spokesperson.</w:t>
      </w:r>
      <w:r w:rsidRPr="00690375">
        <w:rPr>
          <w:lang w:val="en-CA"/>
        </w:rPr>
        <w:t xml:space="preserve"> </w:t>
      </w:r>
    </w:p>
    <w:p w14:paraId="4AFBCC91" w14:textId="77777777" w:rsidR="003B1EC4" w:rsidRPr="00690375" w:rsidRDefault="003B1EC4" w:rsidP="003B1EC4">
      <w:pPr>
        <w:pStyle w:val="Citation"/>
        <w:rPr>
          <w:lang w:val="en-CA"/>
        </w:rPr>
      </w:pPr>
      <w:r>
        <w:rPr>
          <w:lang w:val="en-CA"/>
        </w:rPr>
        <w:lastRenderedPageBreak/>
        <w:t>12</w:t>
      </w:r>
      <w:r w:rsidRPr="00690375">
        <w:rPr>
          <w:lang w:val="en-CA"/>
        </w:rPr>
        <w:tab/>
      </w:r>
      <w:r>
        <w:rPr>
          <w:lang w:val="en-CA"/>
        </w:rPr>
        <w:t>When the school board must transmit a message regarding an operational issue to the public, the director general and I often discuss the communication strategy and sometimes decide that it is preferable for him to deliver the message given that he is more involved in the day-today operations of the board.</w:t>
      </w:r>
      <w:r w:rsidRPr="00690375">
        <w:rPr>
          <w:lang w:val="en-CA"/>
        </w:rPr>
        <w:t xml:space="preserve"> </w:t>
      </w:r>
    </w:p>
    <w:p w14:paraId="38E3A281" w14:textId="77777777" w:rsidR="003B1EC4" w:rsidRPr="00690375" w:rsidRDefault="003B1EC4" w:rsidP="003B1EC4">
      <w:pPr>
        <w:pStyle w:val="Citation"/>
        <w:rPr>
          <w:lang w:val="en-CA"/>
        </w:rPr>
      </w:pPr>
      <w:r>
        <w:rPr>
          <w:lang w:val="en-CA"/>
        </w:rPr>
        <w:t>13</w:t>
      </w:r>
      <w:r w:rsidRPr="00690375">
        <w:rPr>
          <w:lang w:val="en-CA"/>
        </w:rPr>
        <w:tab/>
      </w:r>
      <w:r>
        <w:rPr>
          <w:lang w:val="en-CA"/>
        </w:rPr>
        <w:t>However, many issues have political implications that require me, as chair, to speak on behalf of the school board.</w:t>
      </w:r>
      <w:r w:rsidRPr="00690375">
        <w:rPr>
          <w:lang w:val="en-CA"/>
        </w:rPr>
        <w:t xml:space="preserve"> </w:t>
      </w:r>
    </w:p>
    <w:p w14:paraId="0FDE01D0" w14:textId="77777777" w:rsidR="003B1EC4" w:rsidRPr="00690375" w:rsidRDefault="003B1EC4" w:rsidP="003B1EC4">
      <w:pPr>
        <w:pStyle w:val="Citation"/>
        <w:rPr>
          <w:lang w:val="en-CA"/>
        </w:rPr>
      </w:pPr>
      <w:r>
        <w:rPr>
          <w:lang w:val="en-CA"/>
        </w:rPr>
        <w:t>19</w:t>
      </w:r>
      <w:r w:rsidRPr="00690375">
        <w:rPr>
          <w:lang w:val="en-CA"/>
        </w:rPr>
        <w:tab/>
      </w:r>
      <w:r>
        <w:rPr>
          <w:lang w:val="en-CA"/>
        </w:rPr>
        <w:t>I also believe that it is my duty as chair of the ETSB to speak out on behalf of the English-language community on issues of importance for our future.</w:t>
      </w:r>
      <w:r w:rsidRPr="00690375">
        <w:rPr>
          <w:lang w:val="en-CA"/>
        </w:rPr>
        <w:t xml:space="preserve"> </w:t>
      </w:r>
      <w:r>
        <w:rPr>
          <w:lang w:val="en-CA"/>
        </w:rPr>
        <w:t>There is an important political component to this role.</w:t>
      </w:r>
      <w:r w:rsidRPr="00690375">
        <w:rPr>
          <w:lang w:val="en-CA"/>
        </w:rPr>
        <w:t xml:space="preserve"> </w:t>
      </w:r>
      <w:r>
        <w:rPr>
          <w:lang w:val="en-CA"/>
        </w:rPr>
        <w:t>When I discuss political issues with local leaders and elected officials, I am confident in my ability to speak for the community because its members elected me and because I do my best to stay informed of the community’s perspectives and needs.</w:t>
      </w:r>
      <w:r w:rsidRPr="00690375">
        <w:rPr>
          <w:lang w:val="en-CA"/>
        </w:rPr>
        <w:t xml:space="preserve"> </w:t>
      </w:r>
    </w:p>
    <w:p w14:paraId="52F83EF6" w14:textId="77777777" w:rsidR="003B1EC4" w:rsidRPr="00690375" w:rsidRDefault="003B1EC4" w:rsidP="003B1EC4">
      <w:pPr>
        <w:pStyle w:val="Citation"/>
        <w:rPr>
          <w:lang w:val="en-CA"/>
        </w:rPr>
      </w:pPr>
      <w:r>
        <w:rPr>
          <w:lang w:val="en-CA"/>
        </w:rPr>
        <w:t>20</w:t>
      </w:r>
      <w:r w:rsidRPr="00690375">
        <w:rPr>
          <w:lang w:val="en-CA"/>
        </w:rPr>
        <w:tab/>
      </w:r>
      <w:r>
        <w:rPr>
          <w:lang w:val="en-CA"/>
        </w:rPr>
        <w:t>There are many instances in which I had to take a stand on the school board’s behalf against governmental decisions.</w:t>
      </w:r>
      <w:r w:rsidRPr="00690375">
        <w:rPr>
          <w:lang w:val="en-CA"/>
        </w:rPr>
        <w:t xml:space="preserve"> </w:t>
      </w:r>
      <w:r>
        <w:rPr>
          <w:lang w:val="en-CA"/>
        </w:rPr>
        <w:t>I have no qualms about expressing the English-language community’s opposition to government decisions when necessary.</w:t>
      </w:r>
      <w:r w:rsidRPr="00690375">
        <w:rPr>
          <w:lang w:val="en-CA"/>
        </w:rPr>
        <w:t xml:space="preserve"> </w:t>
      </w:r>
    </w:p>
    <w:p w14:paraId="18943844" w14:textId="77777777" w:rsidR="003B1EC4" w:rsidRPr="009D7B3C" w:rsidRDefault="003B1EC4" w:rsidP="003B1EC4">
      <w:pPr>
        <w:pStyle w:val="Citation"/>
        <w:rPr>
          <w:lang w:val="en-CA"/>
        </w:rPr>
      </w:pPr>
      <w:r>
        <w:rPr>
          <w:lang w:val="en-CA"/>
        </w:rPr>
        <w:t>21</w:t>
      </w:r>
      <w:r>
        <w:rPr>
          <w:lang w:val="en-CA"/>
        </w:rPr>
        <w:tab/>
        <w:t>For example, I spoke publicly against the Liberal government’s failed attempt to abolish school boards in 2015-2016 through Bill 86. I was also vocal in expressing the ETSB’s opposition to the adoption of the current government’s Bill 40. …</w:t>
      </w:r>
    </w:p>
    <w:p w14:paraId="093F3477" w14:textId="77777777" w:rsidR="003B1EC4" w:rsidRPr="00690375" w:rsidRDefault="003B1EC4" w:rsidP="003B1EC4">
      <w:pPr>
        <w:pStyle w:val="Citation"/>
        <w:rPr>
          <w:lang w:val="en-CA"/>
        </w:rPr>
      </w:pPr>
      <w:r>
        <w:rPr>
          <w:lang w:val="en-CA"/>
        </w:rPr>
        <w:t>22</w:t>
      </w:r>
      <w:r w:rsidRPr="00690375">
        <w:rPr>
          <w:lang w:val="en-CA"/>
        </w:rPr>
        <w:tab/>
      </w:r>
      <w:r>
        <w:rPr>
          <w:lang w:val="en-CA"/>
        </w:rPr>
        <w:t xml:space="preserve">In my spokesperson role, I also helped promote a project called Pour la </w:t>
      </w:r>
      <w:proofErr w:type="spellStart"/>
      <w:r>
        <w:rPr>
          <w:lang w:val="en-CA"/>
        </w:rPr>
        <w:t>réussite</w:t>
      </w:r>
      <w:proofErr w:type="spellEnd"/>
      <w:r>
        <w:rPr>
          <w:lang w:val="en-CA"/>
        </w:rPr>
        <w:t xml:space="preserve"> en </w:t>
      </w:r>
      <w:proofErr w:type="spellStart"/>
      <w:r>
        <w:rPr>
          <w:lang w:val="en-CA"/>
        </w:rPr>
        <w:t>Estrie</w:t>
      </w:r>
      <w:proofErr w:type="spellEnd"/>
      <w:r>
        <w:rPr>
          <w:lang w:val="en-CA"/>
        </w:rPr>
        <w:t xml:space="preserve"> (PREE) with chairs of French school boards, CEGEPS and MRCs in / the region to address the student dropout rates through various strategies.</w:t>
      </w:r>
      <w:r w:rsidRPr="00690375">
        <w:rPr>
          <w:lang w:val="en-CA"/>
        </w:rPr>
        <w:t xml:space="preserve"> </w:t>
      </w:r>
      <w:r>
        <w:rPr>
          <w:lang w:val="en-CA"/>
        </w:rPr>
        <w:t>For instance, one of the initiatives of the PREE that I supported on behalf of the ETSB was to contact municipalities and employer groups to emphasize the importance of limiting total working hours and offering more flexible schedules, to accommodate students who work for them.</w:t>
      </w:r>
      <w:r w:rsidRPr="00690375">
        <w:rPr>
          <w:lang w:val="en-CA"/>
        </w:rPr>
        <w:t xml:space="preserve"> </w:t>
      </w:r>
    </w:p>
    <w:p w14:paraId="58CC6FB4" w14:textId="3FEDB406" w:rsidR="003B1EC4" w:rsidRPr="009D7B3C" w:rsidRDefault="003B1EC4" w:rsidP="003B1EC4">
      <w:pPr>
        <w:pStyle w:val="Paragrsimple"/>
        <w:rPr>
          <w:lang w:val="en-CA"/>
        </w:rPr>
      </w:pPr>
      <w:r w:rsidRPr="00A90B1D">
        <w:rPr>
          <w:spacing w:val="-2"/>
          <w:lang w:val="en-CA"/>
        </w:rPr>
        <w:t>Stephen Burke, chair of the Central Quebec School Board, explains:</w:t>
      </w:r>
      <w:r>
        <w:rPr>
          <w:rStyle w:val="Appelnotedebasdep"/>
          <w:spacing w:val="-2"/>
          <w:lang w:val="en-CA"/>
        </w:rPr>
        <w:footnoteReference w:id="158"/>
      </w:r>
    </w:p>
    <w:p w14:paraId="35E62841" w14:textId="77777777" w:rsidR="003B1EC4" w:rsidRPr="00690375" w:rsidRDefault="003B1EC4" w:rsidP="003B1EC4">
      <w:pPr>
        <w:pStyle w:val="Citation"/>
        <w:rPr>
          <w:lang w:val="en-CA"/>
        </w:rPr>
      </w:pPr>
      <w:r>
        <w:rPr>
          <w:lang w:val="en-CA"/>
        </w:rPr>
        <w:t>7</w:t>
      </w:r>
      <w:r w:rsidRPr="00690375">
        <w:rPr>
          <w:lang w:val="en-CA"/>
        </w:rPr>
        <w:tab/>
      </w:r>
      <w:r>
        <w:rPr>
          <w:lang w:val="en-CA"/>
        </w:rPr>
        <w:t>Because I am elected by the English-language minority, I can speak for the school board and the community it represents with legitimacy and authority, in a way that a staff (non-elected) member of the school board cannot.</w:t>
      </w:r>
      <w:r w:rsidRPr="00690375">
        <w:rPr>
          <w:lang w:val="en-CA"/>
        </w:rPr>
        <w:t xml:space="preserve"> </w:t>
      </w:r>
      <w:r>
        <w:rPr>
          <w:lang w:val="en-CA"/>
        </w:rPr>
        <w:t>I can fulfill this role independently and can be critical of the government if needed, as I know that my position only depends on the support of my electors.</w:t>
      </w:r>
    </w:p>
    <w:p w14:paraId="59A3139D" w14:textId="77777777" w:rsidR="003B1EC4" w:rsidRPr="00690375" w:rsidRDefault="003B1EC4" w:rsidP="003B1EC4">
      <w:pPr>
        <w:pStyle w:val="Citation"/>
        <w:rPr>
          <w:lang w:val="en-CA"/>
        </w:rPr>
      </w:pPr>
      <w:r>
        <w:rPr>
          <w:lang w:val="en-CA"/>
        </w:rPr>
        <w:t>8</w:t>
      </w:r>
      <w:r w:rsidRPr="00690375">
        <w:rPr>
          <w:lang w:val="en-CA"/>
        </w:rPr>
        <w:tab/>
      </w:r>
      <w:r>
        <w:rPr>
          <w:lang w:val="en-CA"/>
        </w:rPr>
        <w:t>As chair, I handle relations with political leaders and government officials and give voice to the community’s concerns.</w:t>
      </w:r>
      <w:r w:rsidRPr="00690375">
        <w:rPr>
          <w:lang w:val="en-CA"/>
        </w:rPr>
        <w:t xml:space="preserve"> </w:t>
      </w:r>
      <w:r>
        <w:rPr>
          <w:lang w:val="en-CA"/>
        </w:rPr>
        <w:t xml:space="preserve">At times, I must also voice the </w:t>
      </w:r>
      <w:r>
        <w:rPr>
          <w:lang w:val="en-CA"/>
        </w:rPr>
        <w:lastRenderedPageBreak/>
        <w:t>community’s opposition to measures proposed by the provincial government.</w:t>
      </w:r>
      <w:r w:rsidRPr="00690375">
        <w:rPr>
          <w:lang w:val="en-CA"/>
        </w:rPr>
        <w:t xml:space="preserve"> </w:t>
      </w:r>
      <w:r>
        <w:rPr>
          <w:lang w:val="en-CA"/>
        </w:rPr>
        <w:t>Despite this, I strive to maintain a good working relationship with the government.</w:t>
      </w:r>
    </w:p>
    <w:p w14:paraId="60344B3F" w14:textId="77777777" w:rsidR="003B1EC4" w:rsidRPr="00690375" w:rsidRDefault="003B1EC4" w:rsidP="003B1EC4">
      <w:pPr>
        <w:pStyle w:val="Citation"/>
        <w:rPr>
          <w:lang w:val="en-CA"/>
        </w:rPr>
      </w:pPr>
      <w:r>
        <w:rPr>
          <w:lang w:val="en-CA"/>
        </w:rPr>
        <w:t>9</w:t>
      </w:r>
      <w:r w:rsidRPr="00690375">
        <w:rPr>
          <w:lang w:val="en-CA"/>
        </w:rPr>
        <w:tab/>
      </w:r>
      <w:r>
        <w:rPr>
          <w:lang w:val="en-CA"/>
        </w:rPr>
        <w:t>For example, I brought our community’s concerns to the attention of the government with regard to its management of the 2020 school board elections in light of the COVID-19 pandemic.</w:t>
      </w:r>
      <w:r w:rsidRPr="00690375">
        <w:rPr>
          <w:lang w:val="en-CA"/>
        </w:rPr>
        <w:t xml:space="preserve"> </w:t>
      </w:r>
      <w:r>
        <w:rPr>
          <w:lang w:val="en-CA"/>
        </w:rPr>
        <w:t>I wrote a critical (though polite) first letter to the Minister of Education on September 22, 2020 asking for the elections to be postponed, as appears from my letter to Jean-François Roberge dated September 22, 2020, exhibit SBU-1.</w:t>
      </w:r>
    </w:p>
    <w:p w14:paraId="5137883A" w14:textId="77777777" w:rsidR="003B1EC4" w:rsidRPr="00690375" w:rsidRDefault="003B1EC4" w:rsidP="003B1EC4">
      <w:pPr>
        <w:pStyle w:val="Citation"/>
        <w:rPr>
          <w:lang w:val="en-CA"/>
        </w:rPr>
      </w:pPr>
      <w:r>
        <w:rPr>
          <w:lang w:val="en-CA"/>
        </w:rPr>
        <w:t>12</w:t>
      </w:r>
      <w:r w:rsidRPr="00690375">
        <w:rPr>
          <w:lang w:val="en-CA"/>
        </w:rPr>
        <w:tab/>
      </w:r>
      <w:r>
        <w:rPr>
          <w:lang w:val="en-CA"/>
        </w:rPr>
        <w:t>Another instance where it was necessary to speak up against the government was in response to the National Assembly’s Bill 14 in 2013.</w:t>
      </w:r>
      <w:r w:rsidRPr="00690375">
        <w:rPr>
          <w:lang w:val="en-CA"/>
        </w:rPr>
        <w:t xml:space="preserve"> </w:t>
      </w:r>
      <w:r>
        <w:rPr>
          <w:lang w:val="en-CA"/>
        </w:rPr>
        <w:t xml:space="preserve">I appeared before a National Assembly committee to voice our school board’s opposition to a measure which would have eliminated an exemption which allows military children to attend English schools, as appears from an excerpt of the debates at the Commission </w:t>
      </w:r>
      <w:proofErr w:type="spellStart"/>
      <w:r>
        <w:rPr>
          <w:lang w:val="en-CA"/>
        </w:rPr>
        <w:t>permanente</w:t>
      </w:r>
      <w:proofErr w:type="spellEnd"/>
      <w:r>
        <w:rPr>
          <w:lang w:val="en-CA"/>
        </w:rPr>
        <w:t xml:space="preserve"> de la culture et de </w:t>
      </w:r>
      <w:proofErr w:type="spellStart"/>
      <w:r>
        <w:rPr>
          <w:lang w:val="en-CA"/>
        </w:rPr>
        <w:t>l’éducation</w:t>
      </w:r>
      <w:proofErr w:type="spellEnd"/>
      <w:r>
        <w:rPr>
          <w:lang w:val="en-CA"/>
        </w:rPr>
        <w:t xml:space="preserve"> on March 20, 2013, exhibit SBU-5.</w:t>
      </w:r>
    </w:p>
    <w:p w14:paraId="5A71F8D4" w14:textId="78BE2923" w:rsidR="003B1EC4" w:rsidRPr="000A2FC3" w:rsidRDefault="003B1EC4" w:rsidP="003B1EC4">
      <w:pPr>
        <w:pStyle w:val="Paragrsimple"/>
        <w:rPr>
          <w:spacing w:val="-2"/>
          <w:lang w:val="en-CA"/>
        </w:rPr>
      </w:pPr>
      <w:r w:rsidRPr="000A2FC3">
        <w:rPr>
          <w:spacing w:val="-2"/>
          <w:lang w:val="en-CA"/>
        </w:rPr>
        <w:t xml:space="preserve">The AGQ suggests that nothing in the </w:t>
      </w:r>
      <w:r w:rsidRPr="00756A24">
        <w:rPr>
          <w:i/>
          <w:iCs/>
          <w:spacing w:val="-2"/>
          <w:lang w:val="en-CA"/>
        </w:rPr>
        <w:t>Act</w:t>
      </w:r>
      <w:r w:rsidRPr="000A2FC3">
        <w:rPr>
          <w:spacing w:val="-2"/>
          <w:lang w:val="en-CA"/>
        </w:rPr>
        <w:t xml:space="preserve"> justifies concluding that the school service centre or one of its members could not communicate directly with the </w:t>
      </w:r>
      <w:proofErr w:type="spellStart"/>
      <w:r w:rsidRPr="000A2FC3">
        <w:rPr>
          <w:spacing w:val="-2"/>
          <w:lang w:val="en-CA"/>
        </w:rPr>
        <w:t>Ministère</w:t>
      </w:r>
      <w:proofErr w:type="spellEnd"/>
      <w:r w:rsidRPr="000A2FC3">
        <w:rPr>
          <w:spacing w:val="-2"/>
          <w:lang w:val="en-CA"/>
        </w:rPr>
        <w:t xml:space="preserve"> de </w:t>
      </w:r>
      <w:proofErr w:type="spellStart"/>
      <w:r w:rsidRPr="000A2FC3">
        <w:rPr>
          <w:spacing w:val="-2"/>
          <w:lang w:val="en-CA"/>
        </w:rPr>
        <w:t>l’Éducation</w:t>
      </w:r>
      <w:proofErr w:type="spellEnd"/>
      <w:r w:rsidRPr="000A2FC3">
        <w:rPr>
          <w:spacing w:val="-2"/>
          <w:lang w:val="en-CA"/>
        </w:rPr>
        <w:t>.</w:t>
      </w:r>
      <w:r>
        <w:rPr>
          <w:rStyle w:val="Appelnotedebasdep"/>
          <w:spacing w:val="-2"/>
        </w:rPr>
        <w:footnoteReference w:id="159"/>
      </w:r>
    </w:p>
    <w:p w14:paraId="6163BC19" w14:textId="3026FC7C" w:rsidR="003B1EC4" w:rsidRPr="000A2FC3" w:rsidRDefault="003B1EC4" w:rsidP="003B1EC4">
      <w:pPr>
        <w:pStyle w:val="Paragrdouble"/>
        <w:spacing w:line="240" w:lineRule="auto"/>
        <w:rPr>
          <w:lang w:val="en-CA"/>
        </w:rPr>
      </w:pPr>
      <w:r w:rsidRPr="000A2FC3">
        <w:rPr>
          <w:lang w:val="en-CA"/>
        </w:rPr>
        <w:t xml:space="preserve">This statement is contradicted by the testimony of Pascal Desjardins, Chair of the Conseil </w:t>
      </w:r>
      <w:proofErr w:type="spellStart"/>
      <w:r w:rsidRPr="000A2FC3">
        <w:rPr>
          <w:lang w:val="en-CA"/>
        </w:rPr>
        <w:t>d’administration</w:t>
      </w:r>
      <w:proofErr w:type="spellEnd"/>
      <w:r w:rsidRPr="000A2FC3">
        <w:rPr>
          <w:lang w:val="en-CA"/>
        </w:rPr>
        <w:t xml:space="preserve"> du </w:t>
      </w:r>
      <w:r w:rsidR="00B96F3F" w:rsidRPr="000A2FC3">
        <w:rPr>
          <w:lang w:val="en-CA"/>
        </w:rPr>
        <w:t>Centre</w:t>
      </w:r>
      <w:r w:rsidRPr="000A2FC3">
        <w:rPr>
          <w:lang w:val="en-CA"/>
        </w:rPr>
        <w:t xml:space="preserve"> de services </w:t>
      </w:r>
      <w:proofErr w:type="spellStart"/>
      <w:r w:rsidRPr="000A2FC3">
        <w:rPr>
          <w:lang w:val="en-CA"/>
        </w:rPr>
        <w:t>scolaire</w:t>
      </w:r>
      <w:proofErr w:type="spellEnd"/>
      <w:r w:rsidRPr="000A2FC3">
        <w:rPr>
          <w:lang w:val="en-CA"/>
        </w:rPr>
        <w:t xml:space="preserve"> Trois Lacs in </w:t>
      </w:r>
      <w:proofErr w:type="spellStart"/>
      <w:r w:rsidRPr="000A2FC3">
        <w:rPr>
          <w:lang w:val="en-CA"/>
        </w:rPr>
        <w:t>Vaudreuil-S</w:t>
      </w:r>
      <w:r>
        <w:rPr>
          <w:lang w:val="en-CA"/>
        </w:rPr>
        <w:t>o</w:t>
      </w:r>
      <w:r w:rsidRPr="000A2FC3">
        <w:rPr>
          <w:lang w:val="en-CA"/>
        </w:rPr>
        <w:t>ulanges</w:t>
      </w:r>
      <w:proofErr w:type="spellEnd"/>
      <w:r w:rsidRPr="000A2FC3">
        <w:rPr>
          <w:lang w:val="en-CA"/>
        </w:rPr>
        <w:t xml:space="preserve">. He conveyed the </w:t>
      </w:r>
      <w:r>
        <w:rPr>
          <w:lang w:val="en-CA"/>
        </w:rPr>
        <w:t>challenges he faced</w:t>
      </w:r>
      <w:r w:rsidRPr="000A2FC3">
        <w:rPr>
          <w:lang w:val="en-CA"/>
        </w:rPr>
        <w:t xml:space="preserve"> </w:t>
      </w:r>
      <w:r w:rsidR="002C458E">
        <w:rPr>
          <w:lang w:val="en-CA"/>
        </w:rPr>
        <w:t>when trying to reach</w:t>
      </w:r>
      <w:r w:rsidRPr="000A2FC3">
        <w:rPr>
          <w:lang w:val="en-CA"/>
        </w:rPr>
        <w:t xml:space="preserve"> the </w:t>
      </w:r>
      <w:proofErr w:type="spellStart"/>
      <w:r w:rsidRPr="000A2FC3">
        <w:rPr>
          <w:lang w:val="en-CA"/>
        </w:rPr>
        <w:t>Ministère</w:t>
      </w:r>
      <w:proofErr w:type="spellEnd"/>
      <w:r w:rsidRPr="000A2FC3">
        <w:rPr>
          <w:lang w:val="en-CA"/>
        </w:rPr>
        <w:t xml:space="preserve"> de </w:t>
      </w:r>
      <w:proofErr w:type="spellStart"/>
      <w:r w:rsidRPr="000A2FC3">
        <w:rPr>
          <w:lang w:val="en-CA"/>
        </w:rPr>
        <w:t>l’Éducation</w:t>
      </w:r>
      <w:proofErr w:type="spellEnd"/>
      <w:r w:rsidRPr="000A2FC3">
        <w:rPr>
          <w:lang w:val="en-CA"/>
        </w:rPr>
        <w:t xml:space="preserve"> to obtain answers to his questions. He testified at length on how he felt devalued</w:t>
      </w:r>
      <w:r w:rsidR="002C458E">
        <w:rPr>
          <w:lang w:val="en-CA"/>
        </w:rPr>
        <w:t xml:space="preserve"> because of </w:t>
      </w:r>
      <w:r w:rsidRPr="000A2FC3">
        <w:rPr>
          <w:lang w:val="en-CA"/>
        </w:rPr>
        <w:t xml:space="preserve">the control exercised over the board by the director general. </w:t>
      </w:r>
    </w:p>
    <w:p w14:paraId="4A33F82D" w14:textId="2EBB48EC" w:rsidR="003B1EC4" w:rsidRPr="000A2FC3" w:rsidRDefault="003B1EC4" w:rsidP="003B1EC4">
      <w:pPr>
        <w:pStyle w:val="Paragrdouble"/>
        <w:spacing w:line="240" w:lineRule="auto"/>
        <w:rPr>
          <w:lang w:val="en-CA"/>
        </w:rPr>
      </w:pPr>
      <w:r w:rsidRPr="000A2FC3">
        <w:rPr>
          <w:lang w:val="en-CA"/>
        </w:rPr>
        <w:t xml:space="preserve">While testimony to the </w:t>
      </w:r>
      <w:r>
        <w:rPr>
          <w:lang w:val="en-CA"/>
        </w:rPr>
        <w:t>contrary</w:t>
      </w:r>
      <w:r w:rsidRPr="000A2FC3">
        <w:rPr>
          <w:lang w:val="en-CA"/>
        </w:rPr>
        <w:t xml:space="preserve"> was heard from</w:t>
      </w:r>
      <w:r w:rsidR="002C458E">
        <w:rPr>
          <w:lang w:val="en-CA"/>
        </w:rPr>
        <w:t xml:space="preserve"> </w:t>
      </w:r>
      <w:r w:rsidRPr="000A2FC3">
        <w:rPr>
          <w:lang w:val="en-CA"/>
        </w:rPr>
        <w:t xml:space="preserve">Charles </w:t>
      </w:r>
      <w:proofErr w:type="spellStart"/>
      <w:r w:rsidRPr="000A2FC3">
        <w:rPr>
          <w:lang w:val="en-CA"/>
        </w:rPr>
        <w:t>Leblond</w:t>
      </w:r>
      <w:proofErr w:type="spellEnd"/>
      <w:r w:rsidRPr="000A2FC3">
        <w:rPr>
          <w:lang w:val="en-CA"/>
        </w:rPr>
        <w:t xml:space="preserve">, Chair of the Conseil de services </w:t>
      </w:r>
      <w:proofErr w:type="spellStart"/>
      <w:r w:rsidRPr="000A2FC3">
        <w:rPr>
          <w:lang w:val="en-CA"/>
        </w:rPr>
        <w:t>scolaires</w:t>
      </w:r>
      <w:proofErr w:type="spellEnd"/>
      <w:r w:rsidRPr="000A2FC3">
        <w:rPr>
          <w:lang w:val="en-CA"/>
        </w:rPr>
        <w:t xml:space="preserve"> de Val-des-</w:t>
      </w:r>
      <w:proofErr w:type="spellStart"/>
      <w:r w:rsidRPr="000A2FC3">
        <w:rPr>
          <w:lang w:val="en-CA"/>
        </w:rPr>
        <w:t>Cerfs</w:t>
      </w:r>
      <w:proofErr w:type="spellEnd"/>
      <w:r w:rsidRPr="000A2FC3">
        <w:rPr>
          <w:lang w:val="en-CA"/>
        </w:rPr>
        <w:t xml:space="preserve">, the effect of these provisions can be inferred from merely reading the </w:t>
      </w:r>
      <w:r w:rsidRPr="0064049E">
        <w:rPr>
          <w:i/>
          <w:iCs/>
          <w:lang w:val="en-CA"/>
        </w:rPr>
        <w:t>Act</w:t>
      </w:r>
      <w:r w:rsidRPr="000A2FC3">
        <w:rPr>
          <w:lang w:val="en-CA"/>
        </w:rPr>
        <w:t xml:space="preserve">. The Court will refrain from making any more remarks about this testimony, which would be tantamount to ruling </w:t>
      </w:r>
      <w:r w:rsidR="002C458E">
        <w:rPr>
          <w:lang w:val="en-CA"/>
        </w:rPr>
        <w:t xml:space="preserve">on </w:t>
      </w:r>
      <w:r w:rsidRPr="000A2FC3">
        <w:rPr>
          <w:lang w:val="en-CA"/>
        </w:rPr>
        <w:t xml:space="preserve">the merits of the reform </w:t>
      </w:r>
      <w:r w:rsidR="002C458E">
        <w:rPr>
          <w:lang w:val="en-CA"/>
        </w:rPr>
        <w:t xml:space="preserve">of </w:t>
      </w:r>
      <w:r w:rsidRPr="000A2FC3">
        <w:rPr>
          <w:lang w:val="en-CA"/>
        </w:rPr>
        <w:t xml:space="preserve">the </w:t>
      </w:r>
      <w:r w:rsidRPr="0064049E">
        <w:rPr>
          <w:i/>
          <w:iCs/>
          <w:lang w:val="en-CA"/>
        </w:rPr>
        <w:t>EA</w:t>
      </w:r>
      <w:r w:rsidRPr="000A2FC3">
        <w:rPr>
          <w:lang w:val="en-CA"/>
        </w:rPr>
        <w:t xml:space="preserve">, which is not its role. </w:t>
      </w:r>
    </w:p>
    <w:p w14:paraId="46C4C22B" w14:textId="61E9420D" w:rsidR="003B1EC4" w:rsidRPr="000A2FC3" w:rsidRDefault="003B1EC4" w:rsidP="003B1EC4">
      <w:pPr>
        <w:pStyle w:val="Paragrsimple"/>
        <w:rPr>
          <w:lang w:val="en-CA"/>
        </w:rPr>
      </w:pPr>
      <w:r>
        <w:rPr>
          <w:lang w:val="en-CA"/>
        </w:rPr>
        <w:t>S</w:t>
      </w:r>
      <w:r w:rsidRPr="000A2FC3">
        <w:rPr>
          <w:lang w:val="en-CA"/>
        </w:rPr>
        <w:t>peaking as spokesperson for a pressure group</w:t>
      </w:r>
      <w:r>
        <w:rPr>
          <w:lang w:val="en-CA"/>
        </w:rPr>
        <w:t xml:space="preserve"> is not the same as</w:t>
      </w:r>
      <w:r w:rsidRPr="000A2FC3">
        <w:rPr>
          <w:lang w:val="en-CA"/>
        </w:rPr>
        <w:t xml:space="preserve"> speaking in an official capacity as </w:t>
      </w:r>
      <w:r>
        <w:rPr>
          <w:lang w:val="en-CA"/>
        </w:rPr>
        <w:t>the</w:t>
      </w:r>
      <w:r w:rsidRPr="000A2FC3">
        <w:rPr>
          <w:lang w:val="en-CA"/>
        </w:rPr>
        <w:t xml:space="preserve"> duly elected representative of a public body.</w:t>
      </w:r>
    </w:p>
    <w:p w14:paraId="0559D413" w14:textId="42D8F34A" w:rsidR="003B1EC4" w:rsidRPr="008C6CD1" w:rsidRDefault="003B1EC4" w:rsidP="003B1EC4">
      <w:pPr>
        <w:pStyle w:val="Paragrdouble"/>
        <w:spacing w:line="240" w:lineRule="auto"/>
        <w:rPr>
          <w:lang w:val="en-CA"/>
        </w:rPr>
      </w:pPr>
      <w:r w:rsidRPr="008C6CD1">
        <w:rPr>
          <w:color w:val="000000"/>
          <w:lang w:val="en-CA"/>
        </w:rPr>
        <w:t>As Patricia Rowbotham J.A. of the Court of Appeal for the Northwest Territories</w:t>
      </w:r>
      <w:r>
        <w:rPr>
          <w:color w:val="000000"/>
          <w:lang w:val="en-CA"/>
        </w:rPr>
        <w:t xml:space="preserve"> stated</w:t>
      </w:r>
      <w:r w:rsidRPr="008C6CD1">
        <w:rPr>
          <w:color w:val="000000"/>
          <w:lang w:val="en-CA"/>
        </w:rPr>
        <w:t>, a school board is “a democratically elected body who speaks on behalf of the minority language community”.</w:t>
      </w:r>
      <w:r>
        <w:rPr>
          <w:rStyle w:val="Appelnotedebasdep"/>
          <w:color w:val="000000"/>
        </w:rPr>
        <w:footnoteReference w:id="160"/>
      </w:r>
      <w:r w:rsidRPr="008C6CD1">
        <w:rPr>
          <w:color w:val="000000"/>
          <w:lang w:val="en-CA"/>
        </w:rPr>
        <w:t> </w:t>
      </w:r>
      <w:r>
        <w:rPr>
          <w:color w:val="000000"/>
          <w:lang w:val="en-CA"/>
        </w:rPr>
        <w:t xml:space="preserve">It is </w:t>
      </w:r>
      <w:r w:rsidR="009829F1">
        <w:rPr>
          <w:color w:val="000000"/>
          <w:lang w:val="en-CA"/>
        </w:rPr>
        <w:t>incongruous</w:t>
      </w:r>
      <w:r>
        <w:rPr>
          <w:color w:val="000000"/>
          <w:lang w:val="en-CA"/>
        </w:rPr>
        <w:t xml:space="preserve"> </w:t>
      </w:r>
      <w:r w:rsidR="002C458E">
        <w:rPr>
          <w:color w:val="000000"/>
          <w:lang w:val="en-CA"/>
        </w:rPr>
        <w:t xml:space="preserve">for </w:t>
      </w:r>
      <w:r>
        <w:rPr>
          <w:color w:val="000000"/>
          <w:lang w:val="en-CA"/>
        </w:rPr>
        <w:t xml:space="preserve">a public servant </w:t>
      </w:r>
      <w:r w:rsidR="002C458E">
        <w:rPr>
          <w:color w:val="000000"/>
          <w:lang w:val="en-CA"/>
        </w:rPr>
        <w:t xml:space="preserve">to </w:t>
      </w:r>
      <w:r>
        <w:rPr>
          <w:color w:val="000000"/>
          <w:lang w:val="en-CA"/>
        </w:rPr>
        <w:t>speak on its behalf.</w:t>
      </w:r>
    </w:p>
    <w:p w14:paraId="62299852" w14:textId="60D7AAAB" w:rsidR="003B1EC4" w:rsidRPr="008C6CD1" w:rsidRDefault="003B1EC4" w:rsidP="003B1EC4">
      <w:pPr>
        <w:pStyle w:val="Paragrsimple"/>
        <w:rPr>
          <w:lang w:val="en-CA"/>
        </w:rPr>
      </w:pPr>
      <w:r w:rsidRPr="008C6CD1">
        <w:rPr>
          <w:lang w:val="en-CA"/>
        </w:rPr>
        <w:lastRenderedPageBreak/>
        <w:t xml:space="preserve">This measure </w:t>
      </w:r>
      <w:r>
        <w:rPr>
          <w:lang w:val="en-CA"/>
        </w:rPr>
        <w:t>is a direct violation</w:t>
      </w:r>
      <w:r w:rsidRPr="008C6CD1">
        <w:rPr>
          <w:lang w:val="en-CA"/>
        </w:rPr>
        <w:t xml:space="preserve"> of the minority’s right </w:t>
      </w:r>
      <w:r w:rsidR="009829F1">
        <w:rPr>
          <w:lang w:val="en-CA"/>
        </w:rPr>
        <w:t>of management and control</w:t>
      </w:r>
      <w:r w:rsidRPr="008C6CD1">
        <w:rPr>
          <w:lang w:val="en-CA"/>
        </w:rPr>
        <w:t xml:space="preserve">. </w:t>
      </w:r>
    </w:p>
    <w:p w14:paraId="70C55D33" w14:textId="1D759F8E" w:rsidR="003B1EC4" w:rsidRPr="00E202F1" w:rsidRDefault="00346238" w:rsidP="00F46BCF">
      <w:pPr>
        <w:pStyle w:val="Titre3"/>
        <w:numPr>
          <w:ilvl w:val="0"/>
          <w:numId w:val="0"/>
        </w:numPr>
        <w:ind w:left="1720" w:hanging="360"/>
        <w:rPr>
          <w:lang w:val="en-CA"/>
        </w:rPr>
      </w:pPr>
      <w:bookmarkStart w:id="43" w:name="_TOC_250004"/>
      <w:r>
        <w:rPr>
          <w:lang w:val="en-CA"/>
        </w:rPr>
        <w:t>vi.</w:t>
      </w:r>
      <w:r w:rsidR="009829F1">
        <w:rPr>
          <w:lang w:val="en-CA"/>
        </w:rPr>
        <w:t xml:space="preserve"> </w:t>
      </w:r>
      <w:bookmarkStart w:id="44" w:name="_Hlk149038632"/>
      <w:r w:rsidR="003B1EC4" w:rsidRPr="00E202F1">
        <w:rPr>
          <w:lang w:val="en-CA"/>
        </w:rPr>
        <w:t xml:space="preserve">Loss of control over the </w:t>
      </w:r>
      <w:r>
        <w:rPr>
          <w:lang w:val="en-CA"/>
        </w:rPr>
        <w:t>c</w:t>
      </w:r>
      <w:r w:rsidR="003B1EC4" w:rsidRPr="00E202F1">
        <w:rPr>
          <w:lang w:val="en-CA"/>
        </w:rPr>
        <w:t>ommitment-to-student-success committee</w:t>
      </w:r>
      <w:bookmarkEnd w:id="44"/>
    </w:p>
    <w:p w14:paraId="5E955E71" w14:textId="183F281E" w:rsidR="003B1EC4" w:rsidRPr="00E202F1" w:rsidRDefault="003B1EC4" w:rsidP="003B1EC4">
      <w:pPr>
        <w:pStyle w:val="Paragrsimple"/>
        <w:rPr>
          <w:lang w:val="en-CA"/>
        </w:rPr>
      </w:pPr>
      <w:r w:rsidRPr="00E202F1">
        <w:rPr>
          <w:lang w:val="en-CA"/>
        </w:rPr>
        <w:t xml:space="preserve">Section 91 of the </w:t>
      </w:r>
      <w:r w:rsidRPr="00E202F1">
        <w:rPr>
          <w:i/>
          <w:lang w:val="en-CA"/>
        </w:rPr>
        <w:t>Act</w:t>
      </w:r>
      <w:r w:rsidRPr="00E202F1">
        <w:rPr>
          <w:lang w:val="en-CA"/>
        </w:rPr>
        <w:t xml:space="preserve"> provides for a commitment-to-student-success committee </w:t>
      </w:r>
      <w:r w:rsidR="00346238">
        <w:rPr>
          <w:lang w:val="en-CA"/>
        </w:rPr>
        <w:t>to be</w:t>
      </w:r>
      <w:r w:rsidR="00346238" w:rsidRPr="00E202F1">
        <w:rPr>
          <w:lang w:val="en-CA"/>
        </w:rPr>
        <w:t xml:space="preserve"> </w:t>
      </w:r>
      <w:r w:rsidRPr="00E202F1">
        <w:rPr>
          <w:lang w:val="en-CA"/>
        </w:rPr>
        <w:t>established in each school service centre</w:t>
      </w:r>
      <w:r w:rsidR="00C25F36">
        <w:rPr>
          <w:lang w:val="en-CA"/>
        </w:rPr>
        <w:t>,</w:t>
      </w:r>
      <w:r w:rsidRPr="00E202F1">
        <w:rPr>
          <w:lang w:val="en-CA"/>
        </w:rPr>
        <w:t xml:space="preserve"> composed of not more than 18 members,</w:t>
      </w:r>
      <w:r w:rsidR="00C25F36">
        <w:rPr>
          <w:lang w:val="en-CA"/>
        </w:rPr>
        <w:t xml:space="preserve"> from the following</w:t>
      </w:r>
      <w:r w:rsidRPr="00E202F1">
        <w:rPr>
          <w:lang w:val="en-CA"/>
        </w:rPr>
        <w:t xml:space="preserve">: </w:t>
      </w:r>
    </w:p>
    <w:p w14:paraId="23550B11" w14:textId="77777777" w:rsidR="003B1EC4" w:rsidRPr="00E202F1" w:rsidRDefault="003B1EC4" w:rsidP="003B1EC4">
      <w:pPr>
        <w:pStyle w:val="Citation"/>
        <w:rPr>
          <w:lang w:val="en-CA"/>
        </w:rPr>
      </w:pPr>
      <w:r w:rsidRPr="00E202F1">
        <w:rPr>
          <w:lang w:val="en-CA"/>
        </w:rPr>
        <w:t xml:space="preserve">(1) the school service centre’s director general or the person the director general designates;  </w:t>
      </w:r>
    </w:p>
    <w:p w14:paraId="109641E0" w14:textId="77777777" w:rsidR="003B1EC4" w:rsidRPr="00E202F1" w:rsidRDefault="003B1EC4" w:rsidP="003B1EC4">
      <w:pPr>
        <w:pStyle w:val="Citation"/>
        <w:rPr>
          <w:lang w:val="en-CA"/>
        </w:rPr>
      </w:pPr>
      <w:r w:rsidRPr="00E202F1">
        <w:rPr>
          <w:lang w:val="en-CA"/>
        </w:rPr>
        <w:t xml:space="preserve">(2) at least two members of a school’s teaching staff;  </w:t>
      </w:r>
    </w:p>
    <w:p w14:paraId="6F69F8C7" w14:textId="77777777" w:rsidR="003B1EC4" w:rsidRPr="00E202F1" w:rsidRDefault="003B1EC4" w:rsidP="003B1EC4">
      <w:pPr>
        <w:pStyle w:val="Citation"/>
        <w:rPr>
          <w:lang w:val="en-CA"/>
        </w:rPr>
      </w:pPr>
      <w:r w:rsidRPr="00E202F1">
        <w:rPr>
          <w:lang w:val="en-CA"/>
        </w:rPr>
        <w:t xml:space="preserve">(3) at least one member of an adult education centre’s teaching staff;  </w:t>
      </w:r>
    </w:p>
    <w:p w14:paraId="4F79D24B" w14:textId="77777777" w:rsidR="003B1EC4" w:rsidRPr="00E202F1" w:rsidRDefault="003B1EC4" w:rsidP="003B1EC4">
      <w:pPr>
        <w:pStyle w:val="Citation"/>
        <w:rPr>
          <w:lang w:val="en-CA"/>
        </w:rPr>
      </w:pPr>
      <w:r w:rsidRPr="00E202F1">
        <w:rPr>
          <w:lang w:val="en-CA"/>
        </w:rPr>
        <w:t xml:space="preserve">(4) at least one member of a vocational training centre’s teaching staff; </w:t>
      </w:r>
    </w:p>
    <w:p w14:paraId="0F856596" w14:textId="77777777" w:rsidR="003B1EC4" w:rsidRPr="00E202F1" w:rsidRDefault="003B1EC4" w:rsidP="003B1EC4">
      <w:pPr>
        <w:pStyle w:val="Citation"/>
        <w:rPr>
          <w:lang w:val="en-CA"/>
        </w:rPr>
      </w:pPr>
      <w:r w:rsidRPr="00E202F1">
        <w:rPr>
          <w:lang w:val="en-CA"/>
        </w:rPr>
        <w:t xml:space="preserve">(5) at least one non-teaching professional staff member;  </w:t>
      </w:r>
    </w:p>
    <w:p w14:paraId="0B96D2E8" w14:textId="77777777" w:rsidR="003B1EC4" w:rsidRPr="00E202F1" w:rsidRDefault="003B1EC4" w:rsidP="003B1EC4">
      <w:pPr>
        <w:pStyle w:val="Citation"/>
        <w:rPr>
          <w:lang w:val="en-CA"/>
        </w:rPr>
      </w:pPr>
      <w:r w:rsidRPr="00E202F1">
        <w:rPr>
          <w:lang w:val="en-CA"/>
        </w:rPr>
        <w:t xml:space="preserve">(6) at least one support staff member;  </w:t>
      </w:r>
    </w:p>
    <w:p w14:paraId="3425D697" w14:textId="77777777" w:rsidR="003B1EC4" w:rsidRPr="00E202F1" w:rsidRDefault="003B1EC4" w:rsidP="003B1EC4">
      <w:pPr>
        <w:pStyle w:val="Citation"/>
        <w:rPr>
          <w:lang w:val="en-CA"/>
        </w:rPr>
      </w:pPr>
      <w:r w:rsidRPr="00E202F1">
        <w:rPr>
          <w:lang w:val="en-CA"/>
        </w:rPr>
        <w:t xml:space="preserve">(7) at least one principal of a school providing preschool education or elementary education;  </w:t>
      </w:r>
    </w:p>
    <w:p w14:paraId="2AA61D33" w14:textId="77777777" w:rsidR="003B1EC4" w:rsidRPr="00E202F1" w:rsidRDefault="003B1EC4" w:rsidP="003B1EC4">
      <w:pPr>
        <w:pStyle w:val="Citation"/>
        <w:rPr>
          <w:lang w:val="en-CA"/>
        </w:rPr>
      </w:pPr>
      <w:r w:rsidRPr="00E202F1">
        <w:rPr>
          <w:lang w:val="en-CA"/>
        </w:rPr>
        <w:t xml:space="preserve">(8)  at least one principal of a school providing secondary education;  </w:t>
      </w:r>
    </w:p>
    <w:p w14:paraId="41BAE5CC" w14:textId="77777777" w:rsidR="003B1EC4" w:rsidRPr="00E202F1" w:rsidRDefault="003B1EC4" w:rsidP="003B1EC4">
      <w:pPr>
        <w:pStyle w:val="Citation"/>
        <w:rPr>
          <w:lang w:val="en-CA"/>
        </w:rPr>
      </w:pPr>
      <w:r w:rsidRPr="00E202F1">
        <w:rPr>
          <w:lang w:val="en-CA"/>
        </w:rPr>
        <w:t xml:space="preserve">(9) at least one principal of a vocational training centre;  </w:t>
      </w:r>
    </w:p>
    <w:p w14:paraId="3A0EACC2" w14:textId="77777777" w:rsidR="003B1EC4" w:rsidRPr="00E202F1" w:rsidRDefault="003B1EC4" w:rsidP="003B1EC4">
      <w:pPr>
        <w:pStyle w:val="Citation"/>
        <w:rPr>
          <w:lang w:val="en-CA"/>
        </w:rPr>
      </w:pPr>
      <w:r w:rsidRPr="00E202F1">
        <w:rPr>
          <w:lang w:val="en-CA"/>
        </w:rPr>
        <w:t xml:space="preserve">(10) at least one principal of an adult education centre;  </w:t>
      </w:r>
    </w:p>
    <w:p w14:paraId="60066CA9" w14:textId="77777777" w:rsidR="003B1EC4" w:rsidRPr="00E202F1" w:rsidRDefault="003B1EC4" w:rsidP="003B1EC4">
      <w:pPr>
        <w:pStyle w:val="Citation"/>
        <w:rPr>
          <w:lang w:val="en-CA"/>
        </w:rPr>
      </w:pPr>
      <w:r w:rsidRPr="00E202F1">
        <w:rPr>
          <w:lang w:val="en-CA"/>
        </w:rPr>
        <w:t>(11) one member of the executive staff responsible for educational services; and</w:t>
      </w:r>
    </w:p>
    <w:p w14:paraId="71837598" w14:textId="77777777" w:rsidR="003B1EC4" w:rsidRPr="00E202F1" w:rsidRDefault="003B1EC4" w:rsidP="003B1EC4">
      <w:pPr>
        <w:pStyle w:val="Citation"/>
        <w:rPr>
          <w:lang w:val="en-CA"/>
        </w:rPr>
      </w:pPr>
      <w:r w:rsidRPr="00E202F1">
        <w:rPr>
          <w:lang w:val="en-CA"/>
        </w:rPr>
        <w:t xml:space="preserve">(12) one member from the education research sector.  </w:t>
      </w:r>
    </w:p>
    <w:p w14:paraId="5B433F21" w14:textId="77777777" w:rsidR="003B1EC4" w:rsidRPr="00E202F1" w:rsidRDefault="003B1EC4" w:rsidP="003B1EC4">
      <w:pPr>
        <w:pStyle w:val="Citation"/>
        <w:rPr>
          <w:lang w:val="en-CA"/>
        </w:rPr>
      </w:pPr>
      <w:r w:rsidRPr="00E202F1">
        <w:rPr>
          <w:lang w:val="en-CA"/>
        </w:rPr>
        <w:t xml:space="preserve">One of the members must have experience working with handicapped students or students with social maladjustments or learning disabilities. </w:t>
      </w:r>
    </w:p>
    <w:p w14:paraId="3DD9B905" w14:textId="77777777" w:rsidR="003B1EC4" w:rsidRPr="00E202F1" w:rsidRDefault="003B1EC4" w:rsidP="003B1EC4">
      <w:pPr>
        <w:pStyle w:val="Paragrsimple"/>
        <w:rPr>
          <w:lang w:val="en-CA"/>
        </w:rPr>
      </w:pPr>
      <w:r w:rsidRPr="00E202F1">
        <w:rPr>
          <w:lang w:val="en-CA"/>
        </w:rPr>
        <w:t xml:space="preserve">The leadership of the commitment-to-student-success committee is entrusted to the school service centre’s director general. </w:t>
      </w:r>
    </w:p>
    <w:p w14:paraId="649BBB19" w14:textId="1340E488" w:rsidR="003B1EC4" w:rsidRPr="0075106D" w:rsidRDefault="003B1EC4" w:rsidP="003B1EC4">
      <w:pPr>
        <w:pStyle w:val="Paragrsimple"/>
        <w:rPr>
          <w:lang w:val="en-CA"/>
        </w:rPr>
      </w:pPr>
      <w:r w:rsidRPr="0075106D">
        <w:rPr>
          <w:lang w:val="en-CA"/>
        </w:rPr>
        <w:t xml:space="preserve">Section 209.1 of the </w:t>
      </w:r>
      <w:r w:rsidRPr="007D04E5">
        <w:rPr>
          <w:i/>
          <w:iCs/>
          <w:lang w:val="en-CA"/>
        </w:rPr>
        <w:t>EA</w:t>
      </w:r>
      <w:r w:rsidRPr="0075106D">
        <w:rPr>
          <w:lang w:val="en-CA"/>
        </w:rPr>
        <w:t xml:space="preserve"> </w:t>
      </w:r>
      <w:r w:rsidR="00346238">
        <w:rPr>
          <w:lang w:val="en-CA"/>
        </w:rPr>
        <w:t>sets out</w:t>
      </w:r>
      <w:r w:rsidR="00346238" w:rsidRPr="0075106D">
        <w:rPr>
          <w:lang w:val="en-CA"/>
        </w:rPr>
        <w:t xml:space="preserve"> </w:t>
      </w:r>
      <w:r w:rsidRPr="0075106D">
        <w:rPr>
          <w:lang w:val="en-CA"/>
        </w:rPr>
        <w:t xml:space="preserve">the content and method </w:t>
      </w:r>
      <w:r>
        <w:rPr>
          <w:lang w:val="en-CA"/>
        </w:rPr>
        <w:t>of</w:t>
      </w:r>
      <w:r w:rsidRPr="0075106D">
        <w:rPr>
          <w:lang w:val="en-CA"/>
        </w:rPr>
        <w:t xml:space="preserve"> prepar</w:t>
      </w:r>
      <w:r>
        <w:rPr>
          <w:lang w:val="en-CA"/>
        </w:rPr>
        <w:t>ing</w:t>
      </w:r>
      <w:r w:rsidRPr="0075106D">
        <w:rPr>
          <w:lang w:val="en-CA"/>
        </w:rPr>
        <w:t xml:space="preserve"> the commitment-to-success plan:</w:t>
      </w:r>
    </w:p>
    <w:p w14:paraId="45659675" w14:textId="77777777" w:rsidR="003B1EC4" w:rsidRPr="0075106D" w:rsidRDefault="003B1EC4" w:rsidP="003B1EC4">
      <w:pPr>
        <w:pStyle w:val="Citation"/>
        <w:rPr>
          <w:lang w:val="en-CA"/>
        </w:rPr>
      </w:pPr>
      <w:r w:rsidRPr="0075106D">
        <w:rPr>
          <w:lang w:val="en-CA"/>
        </w:rPr>
        <w:lastRenderedPageBreak/>
        <w:t>209.1 For the exercise of its functions and powers, every school service centre shall approve, on the proposal of the commitment-to-student-success committee, a commitment-to-success plan that is consistent with the strategic directions and objectives of the department’s strategic plan. The commitment-to-success plan must also meet any expectations communicated under section 459.2. In addition, the period covered by the plan must be harmonized with the period covered by the department’s strategic plan in accordance with any terms prescribed under the first paragraph of section 459.3.</w:t>
      </w:r>
    </w:p>
    <w:p w14:paraId="6549E151" w14:textId="77777777" w:rsidR="003B1EC4" w:rsidRPr="00E202F1" w:rsidRDefault="003B1EC4" w:rsidP="003B1EC4">
      <w:pPr>
        <w:pStyle w:val="Citation"/>
        <w:rPr>
          <w:lang w:val="en-CA"/>
        </w:rPr>
      </w:pPr>
      <w:r w:rsidRPr="00E202F1">
        <w:rPr>
          <w:lang w:val="en-CA"/>
        </w:rPr>
        <w:t>The commitment-to-success plan that the school service centre may update as needed, on the recommendation of the commitment-to-student-success committee, must contain</w:t>
      </w:r>
    </w:p>
    <w:p w14:paraId="5E55BFF5" w14:textId="77777777" w:rsidR="003B1EC4" w:rsidRPr="0075106D" w:rsidRDefault="003B1EC4" w:rsidP="003B1EC4">
      <w:pPr>
        <w:pStyle w:val="Citation"/>
        <w:ind w:left="1462"/>
        <w:rPr>
          <w:lang w:val="en-CA"/>
        </w:rPr>
      </w:pPr>
      <w:r>
        <w:rPr>
          <w:lang w:val="en-CA"/>
        </w:rPr>
        <w:t>(1)</w:t>
      </w:r>
      <w:r w:rsidRPr="0075106D">
        <w:rPr>
          <w:lang w:val="en-CA"/>
        </w:rPr>
        <w:tab/>
      </w:r>
      <w:r w:rsidRPr="00E202F1">
        <w:rPr>
          <w:lang w:val="en-CA"/>
        </w:rPr>
        <w:t>a description of the context in which the school service centre acts, particularly the needs of its institutions, the main challenges it faces, and the characteristics and expectations of the community it serves;</w:t>
      </w:r>
    </w:p>
    <w:p w14:paraId="1AB20A8C" w14:textId="77777777" w:rsidR="003B1EC4" w:rsidRPr="00323372" w:rsidRDefault="003B1EC4" w:rsidP="003B1EC4">
      <w:pPr>
        <w:pStyle w:val="Citation"/>
        <w:rPr>
          <w:lang w:val="en-CA"/>
        </w:rPr>
      </w:pPr>
      <w:r w:rsidRPr="0075106D">
        <w:rPr>
          <w:lang w:val="en-CA"/>
        </w:rPr>
        <w:tab/>
      </w:r>
      <w:r w:rsidRPr="00323372">
        <w:rPr>
          <w:lang w:val="en-CA"/>
        </w:rPr>
        <w:t>(2)</w:t>
      </w:r>
      <w:r w:rsidRPr="00323372">
        <w:rPr>
          <w:lang w:val="en-CA"/>
        </w:rPr>
        <w:tab/>
        <w:t>the directions and objectives selected</w:t>
      </w:r>
    </w:p>
    <w:p w14:paraId="3B4B6FF5" w14:textId="77777777" w:rsidR="003B1EC4" w:rsidRPr="0075106D" w:rsidRDefault="003B1EC4" w:rsidP="003B1EC4">
      <w:pPr>
        <w:pStyle w:val="Citation"/>
        <w:rPr>
          <w:lang w:val="en-CA"/>
        </w:rPr>
      </w:pPr>
      <w:r w:rsidRPr="00323372">
        <w:rPr>
          <w:lang w:val="en-CA"/>
        </w:rPr>
        <w:tab/>
      </w:r>
      <w:r w:rsidRPr="0075106D">
        <w:rPr>
          <w:lang w:val="en-CA"/>
        </w:rPr>
        <w:t>(3)</w:t>
      </w:r>
      <w:r w:rsidRPr="0075106D">
        <w:rPr>
          <w:lang w:val="en-CA"/>
        </w:rPr>
        <w:tab/>
      </w:r>
      <w:r w:rsidRPr="00E202F1">
        <w:rPr>
          <w:lang w:val="en-CA"/>
        </w:rPr>
        <w:t>the targets for the period covered by the plan;</w:t>
      </w:r>
    </w:p>
    <w:p w14:paraId="5812CE56" w14:textId="77777777" w:rsidR="003B1EC4" w:rsidRPr="0075106D" w:rsidRDefault="003B1EC4" w:rsidP="003B1EC4">
      <w:pPr>
        <w:pStyle w:val="Citation"/>
        <w:ind w:left="1462" w:hanging="598"/>
        <w:rPr>
          <w:lang w:val="en-CA"/>
        </w:rPr>
      </w:pPr>
      <w:r w:rsidRPr="0075106D">
        <w:rPr>
          <w:lang w:val="en-CA"/>
        </w:rPr>
        <w:tab/>
        <w:t>(4)</w:t>
      </w:r>
      <w:r w:rsidRPr="0075106D">
        <w:rPr>
          <w:lang w:val="en-CA"/>
        </w:rPr>
        <w:tab/>
      </w:r>
      <w:r w:rsidRPr="00E202F1">
        <w:rPr>
          <w:lang w:val="en-CA"/>
        </w:rPr>
        <w:t>the indicators, particularly Québec-wide indicators, to be used to measure achievement of those objectives and targets;</w:t>
      </w:r>
    </w:p>
    <w:p w14:paraId="6482AC41" w14:textId="77777777" w:rsidR="003B1EC4" w:rsidRPr="0075106D" w:rsidRDefault="003B1EC4" w:rsidP="003B1EC4">
      <w:pPr>
        <w:pStyle w:val="Citation"/>
        <w:ind w:left="1462" w:firstLine="2"/>
        <w:rPr>
          <w:lang w:val="en-CA"/>
        </w:rPr>
      </w:pPr>
      <w:r w:rsidRPr="0075106D">
        <w:rPr>
          <w:lang w:val="en-CA"/>
        </w:rPr>
        <w:t>(5)</w:t>
      </w:r>
      <w:r w:rsidRPr="0075106D">
        <w:rPr>
          <w:lang w:val="en-CA"/>
        </w:rPr>
        <w:tab/>
      </w:r>
      <w:r w:rsidRPr="00E202F1">
        <w:rPr>
          <w:lang w:val="en-CA"/>
        </w:rPr>
        <w:t xml:space="preserve"> a service statement setting out its objectives with regard to the level and quality of the services it provides; and</w:t>
      </w:r>
    </w:p>
    <w:p w14:paraId="041732DA" w14:textId="77777777" w:rsidR="003B1EC4" w:rsidRPr="0075106D" w:rsidRDefault="003B1EC4" w:rsidP="003B1EC4">
      <w:pPr>
        <w:pStyle w:val="Citation"/>
        <w:rPr>
          <w:lang w:val="en-CA"/>
        </w:rPr>
      </w:pPr>
      <w:r w:rsidRPr="0075106D">
        <w:rPr>
          <w:lang w:val="en-CA"/>
        </w:rPr>
        <w:tab/>
        <w:t>(6)</w:t>
      </w:r>
      <w:r w:rsidRPr="0075106D">
        <w:rPr>
          <w:lang w:val="en-CA"/>
        </w:rPr>
        <w:tab/>
      </w:r>
      <w:r w:rsidRPr="00E202F1">
        <w:rPr>
          <w:lang w:val="en-CA"/>
        </w:rPr>
        <w:t>any other element determined by the Minister.</w:t>
      </w:r>
    </w:p>
    <w:p w14:paraId="090684A1" w14:textId="77777777" w:rsidR="003B1EC4" w:rsidRPr="0075106D" w:rsidRDefault="003B1EC4" w:rsidP="003B1EC4">
      <w:pPr>
        <w:pStyle w:val="Citation"/>
        <w:ind w:left="1462"/>
        <w:rPr>
          <w:lang w:val="en-CA"/>
        </w:rPr>
      </w:pPr>
      <w:r w:rsidRPr="00E202F1">
        <w:rPr>
          <w:lang w:val="en-CA"/>
        </w:rPr>
        <w:t>The school service centre shall send its commitment-to-success plan to the Minister and make it public on the expiry of 60 to 90 days after sending it or of another period if the school service centre and the Minister so agree.</w:t>
      </w:r>
      <w:r w:rsidRPr="0075106D">
        <w:rPr>
          <w:lang w:val="en-CA"/>
        </w:rPr>
        <w:t xml:space="preserve"> </w:t>
      </w:r>
      <w:r w:rsidRPr="00E202F1">
        <w:rPr>
          <w:lang w:val="en-CA"/>
        </w:rPr>
        <w:t xml:space="preserve">The commitment-to-success plan takes effect on the date of its publication. </w:t>
      </w:r>
      <w:r w:rsidRPr="0075106D">
        <w:rPr>
          <w:lang w:val="en-CA"/>
        </w:rPr>
        <w:t xml:space="preserve"> The school service centre shall present the content of its commitment-to-success plan to the public at the meeting following the effective date of the plan.  </w:t>
      </w:r>
      <w:r w:rsidRPr="00E202F1">
        <w:rPr>
          <w:lang w:val="en-CA"/>
        </w:rPr>
        <w:t>Public notice specifying the date, time and place of the meeting must be given not less than 10 days before it is held.</w:t>
      </w:r>
    </w:p>
    <w:p w14:paraId="5A1AC723" w14:textId="72E619F4" w:rsidR="003B1EC4" w:rsidRPr="0075106D" w:rsidRDefault="003B1EC4" w:rsidP="003B1EC4">
      <w:pPr>
        <w:pStyle w:val="Paragrsimple"/>
        <w:rPr>
          <w:lang w:val="en-CA"/>
        </w:rPr>
      </w:pPr>
      <w:r w:rsidRPr="0075106D">
        <w:rPr>
          <w:lang w:val="en-CA"/>
        </w:rPr>
        <w:t xml:space="preserve">It is noteworthy that no parents of students </w:t>
      </w:r>
      <w:r w:rsidR="00043624">
        <w:rPr>
          <w:lang w:val="en-CA"/>
        </w:rPr>
        <w:t xml:space="preserve">sit </w:t>
      </w:r>
      <w:r w:rsidRPr="0075106D">
        <w:rPr>
          <w:lang w:val="en-CA"/>
        </w:rPr>
        <w:t xml:space="preserve">on the committee, </w:t>
      </w:r>
      <w:r w:rsidR="00043624">
        <w:rPr>
          <w:lang w:val="en-CA"/>
        </w:rPr>
        <w:t xml:space="preserve">despite </w:t>
      </w:r>
      <w:r w:rsidRPr="0075106D">
        <w:rPr>
          <w:lang w:val="en-CA"/>
        </w:rPr>
        <w:t xml:space="preserve">the government’s desire to </w:t>
      </w:r>
      <w:r>
        <w:rPr>
          <w:lang w:val="en-CA"/>
        </w:rPr>
        <w:t>bring</w:t>
      </w:r>
      <w:r w:rsidRPr="0075106D">
        <w:rPr>
          <w:lang w:val="en-CA"/>
        </w:rPr>
        <w:t xml:space="preserve"> governance closer to the students. </w:t>
      </w:r>
    </w:p>
    <w:p w14:paraId="505681D3" w14:textId="39F371A5" w:rsidR="003B1EC4" w:rsidRPr="0075106D" w:rsidRDefault="003B1EC4" w:rsidP="003B1EC4">
      <w:pPr>
        <w:pStyle w:val="Paragrsimple"/>
        <w:rPr>
          <w:lang w:val="en-CA"/>
        </w:rPr>
      </w:pPr>
      <w:r w:rsidRPr="0075106D">
        <w:rPr>
          <w:lang w:val="en-CA"/>
        </w:rPr>
        <w:t>It is also noteworthy that no members of this committee</w:t>
      </w:r>
      <w:r w:rsidR="00043624">
        <w:rPr>
          <w:lang w:val="en-CA"/>
        </w:rPr>
        <w:t xml:space="preserve"> are elected</w:t>
      </w:r>
      <w:r w:rsidRPr="0075106D">
        <w:rPr>
          <w:lang w:val="en-CA"/>
        </w:rPr>
        <w:t xml:space="preserve">, </w:t>
      </w:r>
      <w:r w:rsidR="00043624">
        <w:rPr>
          <w:lang w:val="en-CA"/>
        </w:rPr>
        <w:t xml:space="preserve">despite the critical importance of the committee </w:t>
      </w:r>
      <w:r w:rsidRPr="0075106D">
        <w:rPr>
          <w:lang w:val="en-CA"/>
        </w:rPr>
        <w:t xml:space="preserve">to the teaching plan. </w:t>
      </w:r>
      <w:r w:rsidRPr="00E202F1">
        <w:rPr>
          <w:lang w:val="en-CA"/>
        </w:rPr>
        <w:t xml:space="preserve">There is no requirement for its members to be </w:t>
      </w:r>
      <w:r w:rsidR="000F5C17">
        <w:rPr>
          <w:lang w:val="en-CA"/>
        </w:rPr>
        <w:t xml:space="preserve">section 23 </w:t>
      </w:r>
      <w:r w:rsidRPr="00E202F1">
        <w:rPr>
          <w:lang w:val="en-CA"/>
        </w:rPr>
        <w:t>rights holders.</w:t>
      </w:r>
      <w:r w:rsidRPr="0075106D">
        <w:rPr>
          <w:lang w:val="en-CA"/>
        </w:rPr>
        <w:t xml:space="preserve"> </w:t>
      </w:r>
    </w:p>
    <w:p w14:paraId="21BF5C03" w14:textId="73662606" w:rsidR="003B1EC4" w:rsidRPr="00F46BCF" w:rsidRDefault="00043624" w:rsidP="003B1EC4">
      <w:pPr>
        <w:pStyle w:val="Paragrsimple"/>
        <w:rPr>
          <w:lang w:val="en-CA"/>
        </w:rPr>
      </w:pPr>
      <w:r>
        <w:rPr>
          <w:lang w:val="en-CA"/>
        </w:rPr>
        <w:lastRenderedPageBreak/>
        <w:t>And y</w:t>
      </w:r>
      <w:r w:rsidR="003B1EC4" w:rsidRPr="0075106D">
        <w:rPr>
          <w:lang w:val="en-CA"/>
        </w:rPr>
        <w:t xml:space="preserve">et that is the very heart of the purpose of exclusive control and management powers over minority education. </w:t>
      </w:r>
      <w:r w:rsidR="003B1EC4" w:rsidRPr="00F46BCF">
        <w:rPr>
          <w:lang w:val="en-CA"/>
        </w:rPr>
        <w:t>The AGQ describes this plan as a “management tool”.</w:t>
      </w:r>
      <w:r w:rsidR="003B1EC4">
        <w:rPr>
          <w:rStyle w:val="Appelnotedebasdep"/>
        </w:rPr>
        <w:footnoteReference w:id="161"/>
      </w:r>
    </w:p>
    <w:p w14:paraId="4539A932" w14:textId="4D0604E0" w:rsidR="003B1EC4" w:rsidRPr="0075106D" w:rsidRDefault="003B1EC4" w:rsidP="003B1EC4">
      <w:pPr>
        <w:pStyle w:val="Paragrsimple"/>
        <w:rPr>
          <w:lang w:val="en-CA"/>
        </w:rPr>
      </w:pPr>
      <w:r w:rsidRPr="0075106D">
        <w:rPr>
          <w:lang w:val="en-CA"/>
        </w:rPr>
        <w:t>Currently, school boards are responsible for achieving these fundamental objectives</w:t>
      </w:r>
      <w:r w:rsidR="00E5050E">
        <w:rPr>
          <w:lang w:val="en-CA"/>
        </w:rPr>
        <w:t>,</w:t>
      </w:r>
      <w:r w:rsidRPr="0075106D">
        <w:rPr>
          <w:lang w:val="en-CA"/>
        </w:rPr>
        <w:t xml:space="preserve"> and</w:t>
      </w:r>
      <w:r w:rsidR="005451D0">
        <w:rPr>
          <w:lang w:val="en-CA"/>
        </w:rPr>
        <w:t xml:space="preserve"> they may</w:t>
      </w:r>
      <w:r w:rsidRPr="0075106D">
        <w:rPr>
          <w:lang w:val="en-CA"/>
        </w:rPr>
        <w:t xml:space="preserve">, </w:t>
      </w:r>
      <w:r w:rsidR="005451D0">
        <w:rPr>
          <w:lang w:val="en-CA"/>
        </w:rPr>
        <w:t xml:space="preserve">through consultation of </w:t>
      </w:r>
      <w:r w:rsidRPr="0075106D">
        <w:rPr>
          <w:lang w:val="en-CA"/>
        </w:rPr>
        <w:t>the teachers, commissioners, parents, and students</w:t>
      </w:r>
      <w:r w:rsidR="005451D0">
        <w:rPr>
          <w:lang w:val="en-CA"/>
        </w:rPr>
        <w:t>,</w:t>
      </w:r>
      <w:r w:rsidRPr="0075106D">
        <w:rPr>
          <w:lang w:val="en-CA"/>
        </w:rPr>
        <w:t xml:space="preserve"> evaluate the</w:t>
      </w:r>
      <w:r>
        <w:rPr>
          <w:lang w:val="en-CA"/>
        </w:rPr>
        <w:t xml:space="preserve"> [</w:t>
      </w:r>
      <w:r w:rsidRPr="00CC77BB">
        <w:rPr>
          <w:smallCaps/>
          <w:lang w:val="en-CA"/>
        </w:rPr>
        <w:t>translation</w:t>
      </w:r>
      <w:r>
        <w:rPr>
          <w:lang w:val="en-CA"/>
        </w:rPr>
        <w:t>]</w:t>
      </w:r>
      <w:r w:rsidRPr="0075106D">
        <w:rPr>
          <w:lang w:val="en-CA"/>
        </w:rPr>
        <w:t xml:space="preserve"> “context in which they are evolving, in</w:t>
      </w:r>
      <w:r w:rsidR="005451D0">
        <w:rPr>
          <w:lang w:val="en-CA"/>
        </w:rPr>
        <w:t>cluding in</w:t>
      </w:r>
      <w:r w:rsidRPr="0075106D">
        <w:rPr>
          <w:lang w:val="en-CA"/>
        </w:rPr>
        <w:t xml:space="preserve"> particular the needs of its facilities, the </w:t>
      </w:r>
      <w:r w:rsidR="005451D0">
        <w:rPr>
          <w:lang w:val="en-CA"/>
        </w:rPr>
        <w:t xml:space="preserve">main </w:t>
      </w:r>
      <w:r w:rsidRPr="0075106D">
        <w:rPr>
          <w:lang w:val="en-CA"/>
        </w:rPr>
        <w:t xml:space="preserve">issues </w:t>
      </w:r>
      <w:r w:rsidR="005451D0">
        <w:rPr>
          <w:lang w:val="en-CA"/>
        </w:rPr>
        <w:t xml:space="preserve">they are </w:t>
      </w:r>
      <w:r w:rsidRPr="0075106D">
        <w:rPr>
          <w:lang w:val="en-CA"/>
        </w:rPr>
        <w:t>facing, and the characteristics and expectations of the area they serve</w:t>
      </w:r>
      <w:r>
        <w:rPr>
          <w:lang w:val="en-CA"/>
        </w:rPr>
        <w:t>”</w:t>
      </w:r>
      <w:r w:rsidRPr="0075106D">
        <w:rPr>
          <w:lang w:val="en-CA"/>
        </w:rPr>
        <w:t>.</w:t>
      </w:r>
    </w:p>
    <w:p w14:paraId="501CAF4A" w14:textId="7E9BB0AA" w:rsidR="003B1EC4" w:rsidRPr="00891FE6" w:rsidRDefault="003B1EC4" w:rsidP="003B1EC4">
      <w:pPr>
        <w:pStyle w:val="Paragrsimple"/>
        <w:rPr>
          <w:lang w:val="en-CA"/>
        </w:rPr>
      </w:pPr>
      <w:r w:rsidRPr="0075106D">
        <w:rPr>
          <w:lang w:val="en-CA"/>
        </w:rPr>
        <w:t xml:space="preserve">Stephen Burke, </w:t>
      </w:r>
      <w:r w:rsidR="00E5050E">
        <w:rPr>
          <w:lang w:val="en-CA"/>
        </w:rPr>
        <w:t>c</w:t>
      </w:r>
      <w:r w:rsidRPr="0075106D">
        <w:rPr>
          <w:lang w:val="en-CA"/>
        </w:rPr>
        <w:t>hair of the Central Quebec School Board</w:t>
      </w:r>
      <w:r w:rsidR="005451D0">
        <w:rPr>
          <w:lang w:val="en-CA"/>
        </w:rPr>
        <w:t>,</w:t>
      </w:r>
      <w:r w:rsidRPr="0075106D">
        <w:rPr>
          <w:lang w:val="en-CA"/>
        </w:rPr>
        <w:t xml:space="preserve"> and Michael Murray, Chair of the Eastern Township School Board, testified about </w:t>
      </w:r>
      <w:r w:rsidR="005451D0">
        <w:rPr>
          <w:lang w:val="en-CA"/>
        </w:rPr>
        <w:t xml:space="preserve">commissioners’ </w:t>
      </w:r>
      <w:r w:rsidRPr="0075106D">
        <w:rPr>
          <w:lang w:val="en-CA"/>
        </w:rPr>
        <w:t xml:space="preserve">personal involvement in the preparation of commitment-to-success plans and how they determine the objectives. </w:t>
      </w:r>
      <w:r w:rsidRPr="00891FE6">
        <w:rPr>
          <w:lang w:val="en-CA"/>
        </w:rPr>
        <w:t xml:space="preserve">Mr. Burke </w:t>
      </w:r>
      <w:r>
        <w:rPr>
          <w:lang w:val="en-CA"/>
        </w:rPr>
        <w:t>state</w:t>
      </w:r>
      <w:r w:rsidR="005451D0">
        <w:rPr>
          <w:lang w:val="en-CA"/>
        </w:rPr>
        <w:t>d</w:t>
      </w:r>
      <w:r w:rsidRPr="00891FE6">
        <w:rPr>
          <w:lang w:val="en-CA"/>
        </w:rPr>
        <w:t>:</w:t>
      </w:r>
    </w:p>
    <w:p w14:paraId="777D98B3" w14:textId="77777777" w:rsidR="003B1EC4" w:rsidRPr="006B0328" w:rsidRDefault="003B1EC4" w:rsidP="003B1EC4">
      <w:pPr>
        <w:pStyle w:val="Citation"/>
        <w:rPr>
          <w:lang w:val="en-CA"/>
        </w:rPr>
      </w:pPr>
      <w:r>
        <w:rPr>
          <w:lang w:val="en-CA"/>
        </w:rPr>
        <w:t>24.</w:t>
      </w:r>
      <w:r w:rsidRPr="006B0328">
        <w:rPr>
          <w:lang w:val="en-CA"/>
        </w:rPr>
        <w:t xml:space="preserve"> </w:t>
      </w:r>
      <w:r w:rsidRPr="0075106D">
        <w:rPr>
          <w:lang w:val="en-CA"/>
        </w:rPr>
        <w:t>Our school board prepared and adopted its current commitment-to-success plan in 2018, as appears from a copy of the CQSB’s commitment-to-success plan (2018-2023), exhibit SBU-9.</w:t>
      </w:r>
      <w:r>
        <w:rPr>
          <w:rStyle w:val="Appelnotedebasdep"/>
          <w:lang w:val="en-CA"/>
        </w:rPr>
        <w:footnoteReference w:id="162"/>
      </w:r>
    </w:p>
    <w:p w14:paraId="2857FDAB" w14:textId="77777777" w:rsidR="003B1EC4" w:rsidRPr="006B0328" w:rsidRDefault="003B1EC4" w:rsidP="003B1EC4">
      <w:pPr>
        <w:pStyle w:val="Citation"/>
        <w:rPr>
          <w:lang w:val="en-CA"/>
        </w:rPr>
      </w:pPr>
      <w:r>
        <w:rPr>
          <w:lang w:val="en-CA"/>
        </w:rPr>
        <w:t>25.</w:t>
      </w:r>
      <w:r w:rsidRPr="006B0328">
        <w:rPr>
          <w:lang w:val="en-CA"/>
        </w:rPr>
        <w:t xml:space="preserve"> </w:t>
      </w:r>
      <w:r>
        <w:rPr>
          <w:lang w:val="en-CA"/>
        </w:rPr>
        <w:t>Our commitment-to-success plan provides a portrait of our school board (mission, values, demographics, etc.).</w:t>
      </w:r>
      <w:r w:rsidRPr="006B0328">
        <w:rPr>
          <w:lang w:val="en-CA"/>
        </w:rPr>
        <w:t xml:space="preserve"> </w:t>
      </w:r>
      <w:r>
        <w:rPr>
          <w:lang w:val="en-CA"/>
        </w:rPr>
        <w:t xml:space="preserve">It sets the objectives and targets of the school board in conformity with the objectives determined by the Ministry of Education according to its Plan </w:t>
      </w:r>
      <w:proofErr w:type="spellStart"/>
      <w:r>
        <w:rPr>
          <w:lang w:val="en-CA"/>
        </w:rPr>
        <w:t>stratégique</w:t>
      </w:r>
      <w:proofErr w:type="spellEnd"/>
      <w:r>
        <w:rPr>
          <w:lang w:val="en-CA"/>
        </w:rPr>
        <w:t xml:space="preserve"> (2017-2022), exhibit SBU-10 and those determined by the school board through consultation of its various groups and committees (such as teachers, the Parents’ Committee, the Special Needs Advisory Committee and the Student Advisory Committee).</w:t>
      </w:r>
      <w:r w:rsidRPr="006B0328">
        <w:rPr>
          <w:lang w:val="en-CA"/>
        </w:rPr>
        <w:t xml:space="preserve"> </w:t>
      </w:r>
      <w:r>
        <w:rPr>
          <w:lang w:val="en-CA"/>
        </w:rPr>
        <w:t>The commitment-to-success plan is used by our school board to further our school board’s mission and vision for the upcoming years.</w:t>
      </w:r>
    </w:p>
    <w:p w14:paraId="52AB5FAA" w14:textId="77777777" w:rsidR="003B1EC4" w:rsidRPr="00090FD0" w:rsidRDefault="003B1EC4" w:rsidP="003B1EC4">
      <w:pPr>
        <w:pStyle w:val="Citation"/>
        <w:rPr>
          <w:lang w:val="en-CA"/>
        </w:rPr>
      </w:pPr>
      <w:r>
        <w:rPr>
          <w:lang w:val="en-CA"/>
        </w:rPr>
        <w:t>29</w:t>
      </w:r>
      <w:r w:rsidRPr="00090FD0">
        <w:rPr>
          <w:lang w:val="en-CA"/>
        </w:rPr>
        <w:tab/>
      </w:r>
      <w:r>
        <w:rPr>
          <w:lang w:val="en-CA"/>
        </w:rPr>
        <w:t>Commissioners (myself included) insisted on making bilingualism a primary objective for the school board when we began working on the commitment-to-success plan with the administration in February 2018.</w:t>
      </w:r>
      <w:r w:rsidRPr="00090FD0">
        <w:rPr>
          <w:lang w:val="en-CA"/>
        </w:rPr>
        <w:t xml:space="preserve"> </w:t>
      </w:r>
      <w:r>
        <w:rPr>
          <w:lang w:val="en-CA"/>
        </w:rPr>
        <w:t>On numerous occasions, commissioners have mentioned that parents would tell them that they decided to send their children to the French sector for high school after elementary school because they are concerned that the CQSB may not provide a strong education in French and they want their children to be properly integrated into Quebec society and find jobs.</w:t>
      </w:r>
      <w:r w:rsidRPr="00090FD0">
        <w:rPr>
          <w:lang w:val="en-CA"/>
        </w:rPr>
        <w:t xml:space="preserve"> </w:t>
      </w:r>
      <w:r>
        <w:rPr>
          <w:lang w:val="en-CA"/>
        </w:rPr>
        <w:t>For the commissioners (myself included), it is crucial to reassure parents that sending their children to our schools will not be an obstacle to their ability to work and succeed in French.</w:t>
      </w:r>
      <w:r w:rsidRPr="00090FD0">
        <w:rPr>
          <w:lang w:val="en-CA"/>
        </w:rPr>
        <w:t xml:space="preserve"> </w:t>
      </w:r>
      <w:r>
        <w:rPr>
          <w:lang w:val="en-CA"/>
        </w:rPr>
        <w:t>Once again, this is a priority for commissioners (myself included) because it helps ensure that our community can continue to thrive on our territory.</w:t>
      </w:r>
    </w:p>
    <w:p w14:paraId="1381CEBB" w14:textId="77777777" w:rsidR="003B1EC4" w:rsidRPr="007E22B7" w:rsidRDefault="003B1EC4" w:rsidP="003B1EC4">
      <w:pPr>
        <w:pStyle w:val="Citation"/>
        <w:rPr>
          <w:lang w:val="en-CA"/>
        </w:rPr>
      </w:pPr>
      <w:r w:rsidRPr="00F46BCF">
        <w:rPr>
          <w:lang w:val="en-CA"/>
        </w:rPr>
        <w:t>30</w:t>
      </w:r>
      <w:r>
        <w:rPr>
          <w:sz w:val="20"/>
          <w:lang w:val="en-CA"/>
        </w:rPr>
        <w:tab/>
      </w:r>
      <w:r>
        <w:rPr>
          <w:lang w:val="en-CA"/>
        </w:rPr>
        <w:t>Since the CQSB’s inception, the council of commissioners has always insisted on this issue being at the top of the school board’s priorities in its educational plans.</w:t>
      </w:r>
      <w:r w:rsidRPr="007E22B7">
        <w:rPr>
          <w:lang w:val="en-CA"/>
        </w:rPr>
        <w:t xml:space="preserve"> </w:t>
      </w:r>
      <w:r>
        <w:rPr>
          <w:lang w:val="en-CA"/>
        </w:rPr>
        <w:t xml:space="preserve">Our bilingualism rates at the school board have been </w:t>
      </w:r>
      <w:r>
        <w:rPr>
          <w:lang w:val="en-CA"/>
        </w:rPr>
        <w:lastRenderedPageBreak/>
        <w:t>increasing, and there are fewer students leaving the school board after elementary school to pursue their high school studies in French.</w:t>
      </w:r>
    </w:p>
    <w:p w14:paraId="75E4AAD5" w14:textId="77777777" w:rsidR="003B1EC4" w:rsidRPr="007E22B7" w:rsidRDefault="003B1EC4" w:rsidP="00F46BCF">
      <w:pPr>
        <w:pStyle w:val="Citation"/>
        <w:keepNext/>
        <w:ind w:left="862" w:right="862"/>
        <w:rPr>
          <w:lang w:val="en-CA"/>
        </w:rPr>
      </w:pPr>
      <w:r>
        <w:rPr>
          <w:lang w:val="en-CA"/>
        </w:rPr>
        <w:t>31</w:t>
      </w:r>
      <w:r w:rsidRPr="007E22B7">
        <w:rPr>
          <w:lang w:val="en-CA"/>
        </w:rPr>
        <w:tab/>
      </w:r>
      <w:r>
        <w:rPr>
          <w:lang w:val="en-CA"/>
        </w:rPr>
        <w:t>Commissioners were the first to emphasize the issue of bilingualism in the early stages of the drafting of the current commitment-to-success plan.</w:t>
      </w:r>
      <w:r w:rsidRPr="007E22B7">
        <w:rPr>
          <w:lang w:val="en-CA"/>
        </w:rPr>
        <w:t xml:space="preserve"> </w:t>
      </w:r>
      <w:r w:rsidRPr="0075106D">
        <w:rPr>
          <w:lang w:val="en-CA"/>
        </w:rPr>
        <w:t>It is in part because of the work of commissioners (including myself) that the issue was retained as a priority for the school board and took on such importance in the commitment-to-success plan, as appears in the commitment-to-success plan (SBU-6, p. 31, “Objective Four: Language Proficiency” and p. 33 “Orientation 1: Cultural Identity of the School Board” (see Objective 3 in particular)).</w:t>
      </w:r>
      <w:r w:rsidRPr="0075106D">
        <w:rPr>
          <w:rStyle w:val="Appelnotedebasdep"/>
          <w:lang w:val="en-CA"/>
        </w:rPr>
        <w:t xml:space="preserve"> </w:t>
      </w:r>
      <w:r>
        <w:rPr>
          <w:rStyle w:val="Appelnotedebasdep"/>
          <w:lang w:val="en-CA"/>
        </w:rPr>
        <w:footnoteReference w:id="163"/>
      </w:r>
    </w:p>
    <w:p w14:paraId="607A917B" w14:textId="47587D71" w:rsidR="003B1EC4" w:rsidRPr="0075106D" w:rsidRDefault="003B1EC4" w:rsidP="003B1EC4">
      <w:pPr>
        <w:pStyle w:val="Paragrdouble"/>
        <w:spacing w:line="240" w:lineRule="auto"/>
        <w:rPr>
          <w:bCs/>
          <w:lang w:val="en-CA"/>
        </w:rPr>
      </w:pPr>
      <w:r w:rsidRPr="0075106D">
        <w:rPr>
          <w:bCs/>
          <w:lang w:val="en-CA"/>
        </w:rPr>
        <w:t xml:space="preserve">Michael Murray, </w:t>
      </w:r>
      <w:r w:rsidR="00E5050E">
        <w:rPr>
          <w:bCs/>
          <w:lang w:val="en-CA"/>
        </w:rPr>
        <w:t>c</w:t>
      </w:r>
      <w:r w:rsidRPr="0075106D">
        <w:rPr>
          <w:bCs/>
          <w:lang w:val="en-CA"/>
        </w:rPr>
        <w:t>hair of the board for the Eastern Townships School Board</w:t>
      </w:r>
      <w:r w:rsidR="005451D0">
        <w:rPr>
          <w:bCs/>
          <w:lang w:val="en-CA"/>
        </w:rPr>
        <w:t>,</w:t>
      </w:r>
      <w:r w:rsidRPr="0075106D">
        <w:rPr>
          <w:bCs/>
          <w:lang w:val="en-CA"/>
        </w:rPr>
        <w:t xml:space="preserve"> testified about the commitment-to-success plan</w:t>
      </w:r>
      <w:r>
        <w:rPr>
          <w:bCs/>
          <w:lang w:val="en-CA"/>
        </w:rPr>
        <w:t>. He</w:t>
      </w:r>
      <w:r w:rsidRPr="0075106D">
        <w:rPr>
          <w:bCs/>
          <w:lang w:val="en-CA"/>
        </w:rPr>
        <w:t xml:space="preserve"> said:</w:t>
      </w:r>
      <w:r>
        <w:rPr>
          <w:rStyle w:val="Appelnotedebasdep"/>
          <w:bCs/>
        </w:rPr>
        <w:footnoteReference w:id="164"/>
      </w:r>
    </w:p>
    <w:p w14:paraId="592C0F4C" w14:textId="77777777" w:rsidR="003B1EC4" w:rsidRPr="004A2CE9" w:rsidRDefault="003B1EC4" w:rsidP="003B1EC4">
      <w:pPr>
        <w:pStyle w:val="Citation"/>
        <w:rPr>
          <w:lang w:val="en-CA"/>
        </w:rPr>
      </w:pPr>
      <w:r>
        <w:rPr>
          <w:lang w:val="en-CA"/>
        </w:rPr>
        <w:t>35</w:t>
      </w:r>
      <w:r w:rsidRPr="004A2CE9">
        <w:rPr>
          <w:lang w:val="en-CA"/>
        </w:rPr>
        <w:tab/>
      </w:r>
      <w:r>
        <w:rPr>
          <w:lang w:val="en-CA"/>
        </w:rPr>
        <w:t>One of our school board’s main objectives, as identified by commissioners, including myself, for the past 10 years has been to address the dropout rate.</w:t>
      </w:r>
      <w:r w:rsidRPr="004A2CE9">
        <w:rPr>
          <w:lang w:val="en-CA"/>
        </w:rPr>
        <w:t xml:space="preserve"> </w:t>
      </w:r>
      <w:r>
        <w:rPr>
          <w:lang w:val="en-CA"/>
        </w:rPr>
        <w:t>This issue was raised by commissioners, including myself, who were concerned that the enrollment of each cohort consistently decreased between secondary 1 and secondary 5.</w:t>
      </w:r>
      <w:r w:rsidRPr="004A2CE9">
        <w:rPr>
          <w:lang w:val="en-CA"/>
        </w:rPr>
        <w:t xml:space="preserve"> </w:t>
      </w:r>
      <w:r>
        <w:rPr>
          <w:lang w:val="en-CA"/>
        </w:rPr>
        <w:t>It is a problem that is especially prevalent in our school board as compared to other English-language school boards.</w:t>
      </w:r>
      <w:r w:rsidRPr="004A2CE9">
        <w:rPr>
          <w:lang w:val="en-CA"/>
        </w:rPr>
        <w:t xml:space="preserve"> </w:t>
      </w:r>
      <w:r>
        <w:rPr>
          <w:lang w:val="en-CA"/>
        </w:rPr>
        <w:t>Administrators originally dismissed the concerns raised by the council (including myself); they claimed that students were leaving the area to go to Ontario or elsewhere outside of Quebec, and that they were incorrectly considered dropouts even if they continued their schooling in other jurisdictions.</w:t>
      </w:r>
      <w:r w:rsidRPr="004A2CE9">
        <w:rPr>
          <w:lang w:val="en-CA"/>
        </w:rPr>
        <w:t xml:space="preserve"> </w:t>
      </w:r>
    </w:p>
    <w:p w14:paraId="0A53BADE" w14:textId="77777777" w:rsidR="003B1EC4" w:rsidRPr="007E22B7" w:rsidRDefault="003B1EC4" w:rsidP="003B1EC4">
      <w:pPr>
        <w:pStyle w:val="Citation"/>
        <w:rPr>
          <w:lang w:val="en-CA"/>
        </w:rPr>
      </w:pPr>
      <w:r>
        <w:rPr>
          <w:lang w:val="en-CA"/>
        </w:rPr>
        <w:t>36</w:t>
      </w:r>
      <w:r w:rsidRPr="004A2CE9">
        <w:rPr>
          <w:lang w:val="en-CA"/>
        </w:rPr>
        <w:tab/>
      </w:r>
      <w:r>
        <w:rPr>
          <w:lang w:val="en-CA"/>
        </w:rPr>
        <w:t>More than a dozen years ago, at the insistence of the council of commissioners (myself included), the administration began to pay more attention to the issue and to propose ways in which the problem may be addressed.</w:t>
      </w:r>
      <w:r w:rsidRPr="004A2CE9">
        <w:rPr>
          <w:lang w:val="en-CA"/>
        </w:rPr>
        <w:t xml:space="preserve"> </w:t>
      </w:r>
      <w:r>
        <w:rPr>
          <w:lang w:val="en-CA"/>
        </w:rPr>
        <w:t>Our director general at the time became particularly concerned about the issue of dropout rates.</w:t>
      </w:r>
      <w:r w:rsidRPr="004A2CE9">
        <w:rPr>
          <w:lang w:val="en-CA"/>
        </w:rPr>
        <w:t xml:space="preserve"> </w:t>
      </w:r>
      <w:r>
        <w:rPr>
          <w:lang w:val="en-CA"/>
        </w:rPr>
        <w:t>She informed the council of commissioners (myself included) that she had directed school staff to identify each student who did not enroll for school the following year and call them asking how they were doing, why they did not enroll, whether they had decided to attend an adult course, whether they were taking a break, etc.</w:t>
      </w:r>
      <w:r w:rsidRPr="004A2CE9">
        <w:rPr>
          <w:lang w:val="en-CA"/>
        </w:rPr>
        <w:t xml:space="preserve"> </w:t>
      </w:r>
      <w:r>
        <w:rPr>
          <w:lang w:val="en-CA"/>
        </w:rPr>
        <w:t>She also informed us that, when appropriate, the staff would encourage the student to return to school.</w:t>
      </w:r>
      <w:r w:rsidRPr="004A2CE9">
        <w:rPr>
          <w:lang w:val="en-CA"/>
        </w:rPr>
        <w:t xml:space="preserve"> </w:t>
      </w:r>
    </w:p>
    <w:p w14:paraId="49348B79" w14:textId="77777777" w:rsidR="003B1EC4" w:rsidRPr="004A2CE9" w:rsidRDefault="003B1EC4" w:rsidP="003B1EC4">
      <w:pPr>
        <w:pStyle w:val="Citation"/>
        <w:rPr>
          <w:lang w:val="en-CA"/>
        </w:rPr>
      </w:pPr>
      <w:r>
        <w:rPr>
          <w:lang w:val="en-CA"/>
        </w:rPr>
        <w:t>38</w:t>
      </w:r>
      <w:r w:rsidRPr="004A2CE9">
        <w:rPr>
          <w:lang w:val="en-CA"/>
        </w:rPr>
        <w:tab/>
      </w:r>
      <w:r>
        <w:rPr>
          <w:lang w:val="en-CA"/>
        </w:rPr>
        <w:t>In 2018, our school board adopted a commitment-to-success plan with a single objective: to improve graduation rates.</w:t>
      </w:r>
      <w:r w:rsidRPr="004A2CE9">
        <w:rPr>
          <w:lang w:val="en-CA"/>
        </w:rPr>
        <w:t xml:space="preserve"> </w:t>
      </w:r>
      <w:r w:rsidRPr="00E202F1">
        <w:rPr>
          <w:lang w:val="en-CA"/>
        </w:rPr>
        <w:t>The plan was submitted to the Ministry of Education.</w:t>
      </w:r>
      <w:r w:rsidRPr="004A2CE9">
        <w:rPr>
          <w:lang w:val="en-CA"/>
        </w:rPr>
        <w:t xml:space="preserve"> </w:t>
      </w:r>
    </w:p>
    <w:p w14:paraId="7FD77CF7" w14:textId="77777777" w:rsidR="003B1EC4" w:rsidRDefault="003B1EC4" w:rsidP="003B1EC4">
      <w:pPr>
        <w:pStyle w:val="Citation"/>
        <w:rPr>
          <w:lang w:val="en-CA"/>
        </w:rPr>
      </w:pPr>
      <w:r>
        <w:rPr>
          <w:lang w:val="en-CA"/>
        </w:rPr>
        <w:t>39.</w:t>
      </w:r>
      <w:r>
        <w:rPr>
          <w:lang w:val="en-CA"/>
        </w:rPr>
        <w:tab/>
        <w:t xml:space="preserve">However, commissioners and I were informed by our staff that the Ministry of Education had requested that our school board amend its commitment-to-success plan, as it did not sufficiently give effect to the objectives identified in the Ministry’s “Plan </w:t>
      </w:r>
      <w:proofErr w:type="spellStart"/>
      <w:r>
        <w:rPr>
          <w:lang w:val="en-CA"/>
        </w:rPr>
        <w:t>stratégique</w:t>
      </w:r>
      <w:proofErr w:type="spellEnd"/>
      <w:r>
        <w:rPr>
          <w:lang w:val="en-CA"/>
        </w:rPr>
        <w:t xml:space="preserve"> 2017-2022”, exhibit MM-7.</w:t>
      </w:r>
    </w:p>
    <w:p w14:paraId="08E21209" w14:textId="77777777" w:rsidR="003B1EC4" w:rsidRPr="004A2CE9" w:rsidRDefault="003B1EC4" w:rsidP="003B1EC4">
      <w:pPr>
        <w:pStyle w:val="Citation"/>
        <w:rPr>
          <w:lang w:val="en-CA"/>
        </w:rPr>
      </w:pPr>
      <w:r>
        <w:rPr>
          <w:lang w:val="en-CA"/>
        </w:rPr>
        <w:lastRenderedPageBreak/>
        <w:t>40</w:t>
      </w:r>
      <w:r w:rsidRPr="004A2CE9">
        <w:rPr>
          <w:lang w:val="en-CA"/>
        </w:rPr>
        <w:tab/>
      </w:r>
      <w:r>
        <w:rPr>
          <w:lang w:val="en-CA"/>
        </w:rPr>
        <w:t xml:space="preserve">The school board redrafted the commitment-to-success plan by preserving the objective to improve graduation rates as its primary focus and by subordinating the Ministry’s other objectives outlined in the “Plan </w:t>
      </w:r>
      <w:proofErr w:type="spellStart"/>
      <w:r>
        <w:rPr>
          <w:lang w:val="en-CA"/>
        </w:rPr>
        <w:t>stratégique</w:t>
      </w:r>
      <w:proofErr w:type="spellEnd"/>
      <w:r>
        <w:rPr>
          <w:lang w:val="en-CA"/>
        </w:rPr>
        <w:t xml:space="preserve"> 2017-2022” to the board’s primary objective.</w:t>
      </w:r>
      <w:r w:rsidRPr="004A2CE9">
        <w:rPr>
          <w:lang w:val="en-CA"/>
        </w:rPr>
        <w:t xml:space="preserve"> </w:t>
      </w:r>
      <w:r>
        <w:rPr>
          <w:lang w:val="en-CA"/>
        </w:rPr>
        <w:t>The Minister approved this second version of the commitment-to-success plan.</w:t>
      </w:r>
      <w:r w:rsidRPr="004A2CE9">
        <w:rPr>
          <w:lang w:val="en-CA"/>
        </w:rPr>
        <w:t xml:space="preserve"> </w:t>
      </w:r>
    </w:p>
    <w:p w14:paraId="63DA91F3" w14:textId="059D2C71" w:rsidR="003B1EC4" w:rsidRPr="0075106D" w:rsidRDefault="003B1EC4" w:rsidP="003B1EC4">
      <w:pPr>
        <w:pStyle w:val="Paragrsimple"/>
        <w:rPr>
          <w:lang w:val="en-CA"/>
        </w:rPr>
      </w:pPr>
      <w:r w:rsidRPr="0075106D">
        <w:rPr>
          <w:lang w:val="en-CA"/>
        </w:rPr>
        <w:t>This testimony illustrates the possibility of marrying government objectives</w:t>
      </w:r>
      <w:r w:rsidR="006A3179">
        <w:rPr>
          <w:lang w:val="en-CA"/>
        </w:rPr>
        <w:t xml:space="preserve"> </w:t>
      </w:r>
      <w:r w:rsidR="00E5050E">
        <w:rPr>
          <w:lang w:val="en-CA"/>
        </w:rPr>
        <w:t>flowing</w:t>
      </w:r>
      <w:r w:rsidRPr="0075106D">
        <w:rPr>
          <w:lang w:val="en-CA"/>
        </w:rPr>
        <w:t xml:space="preserve"> </w:t>
      </w:r>
      <w:r>
        <w:rPr>
          <w:lang w:val="en-CA"/>
        </w:rPr>
        <w:t>from the</w:t>
      </w:r>
      <w:r w:rsidRPr="0075106D">
        <w:rPr>
          <w:lang w:val="en-CA"/>
        </w:rPr>
        <w:t xml:space="preserve"> constitutional responsib</w:t>
      </w:r>
      <w:r>
        <w:rPr>
          <w:lang w:val="en-CA"/>
        </w:rPr>
        <w:t>ility</w:t>
      </w:r>
      <w:r w:rsidRPr="0075106D">
        <w:rPr>
          <w:lang w:val="en-CA"/>
        </w:rPr>
        <w:t xml:space="preserve"> for education with local and community management of educational facilities.</w:t>
      </w:r>
    </w:p>
    <w:p w14:paraId="531DF756" w14:textId="3833B8C3" w:rsidR="003B1EC4" w:rsidRPr="0075106D" w:rsidRDefault="003B1EC4" w:rsidP="003B1EC4">
      <w:pPr>
        <w:pStyle w:val="Paragrsimple"/>
        <w:rPr>
          <w:lang w:val="en-CA"/>
        </w:rPr>
      </w:pPr>
      <w:r w:rsidRPr="0075106D">
        <w:rPr>
          <w:lang w:val="en-CA"/>
        </w:rPr>
        <w:t xml:space="preserve">It is inconceivable </w:t>
      </w:r>
      <w:r w:rsidR="00E5050E">
        <w:rPr>
          <w:lang w:val="en-CA"/>
        </w:rPr>
        <w:t>for</w:t>
      </w:r>
      <w:r w:rsidRPr="0075106D">
        <w:rPr>
          <w:lang w:val="en-CA"/>
        </w:rPr>
        <w:t xml:space="preserve"> a plan </w:t>
      </w:r>
      <w:r>
        <w:rPr>
          <w:lang w:val="en-CA"/>
        </w:rPr>
        <w:t>as</w:t>
      </w:r>
      <w:r w:rsidRPr="0075106D">
        <w:rPr>
          <w:lang w:val="en-CA"/>
        </w:rPr>
        <w:t xml:space="preserve"> fundamental as the commitment-to-success plan not </w:t>
      </w:r>
      <w:r w:rsidR="00E5050E">
        <w:rPr>
          <w:lang w:val="en-CA"/>
        </w:rPr>
        <w:t xml:space="preserve">to be </w:t>
      </w:r>
      <w:r w:rsidRPr="0075106D">
        <w:rPr>
          <w:lang w:val="en-CA"/>
        </w:rPr>
        <w:t xml:space="preserve">the responsibility of </w:t>
      </w:r>
      <w:r w:rsidR="006A3179">
        <w:rPr>
          <w:lang w:val="en-CA"/>
        </w:rPr>
        <w:t xml:space="preserve">the minority’s </w:t>
      </w:r>
      <w:r w:rsidRPr="0075106D">
        <w:rPr>
          <w:lang w:val="en-CA"/>
        </w:rPr>
        <w:t xml:space="preserve">elected representatives. </w:t>
      </w:r>
      <w:r w:rsidRPr="0075106D">
        <w:rPr>
          <w:bCs/>
          <w:lang w:val="en-CA"/>
        </w:rPr>
        <w:t>Regarding the fact that the French-</w:t>
      </w:r>
      <w:r w:rsidR="00E5050E">
        <w:rPr>
          <w:bCs/>
          <w:lang w:val="en-CA"/>
        </w:rPr>
        <w:t>speaking</w:t>
      </w:r>
      <w:r w:rsidRPr="0075106D">
        <w:rPr>
          <w:bCs/>
          <w:lang w:val="en-CA"/>
        </w:rPr>
        <w:t xml:space="preserve"> minority had no voice when it came to developing and delivering the French-language program, the Court of Appeal of Prince Edward Island wrote:</w:t>
      </w:r>
      <w:r>
        <w:rPr>
          <w:rStyle w:val="Appelnotedebasdep"/>
          <w:bCs/>
        </w:rPr>
        <w:footnoteReference w:id="165"/>
      </w:r>
    </w:p>
    <w:p w14:paraId="3FA672D6" w14:textId="77777777" w:rsidR="003B1EC4" w:rsidRDefault="003B1EC4" w:rsidP="003B1EC4">
      <w:pPr>
        <w:pStyle w:val="Citation"/>
        <w:rPr>
          <w:lang w:val="en-CA"/>
        </w:rPr>
      </w:pPr>
      <w:r>
        <w:rPr>
          <w:lang w:val="en-CA"/>
        </w:rPr>
        <w:t>[115]</w:t>
      </w:r>
      <w:r w:rsidRPr="009F791F">
        <w:rPr>
          <w:lang w:val="en-CA"/>
        </w:rPr>
        <w:tab/>
      </w:r>
      <w:r>
        <w:rPr>
          <w:lang w:val="en-CA"/>
        </w:rPr>
        <w:t>Overall, by s. 23, the linguistic minority become entitled to a minority language education.</w:t>
      </w:r>
      <w:r w:rsidRPr="009F791F">
        <w:rPr>
          <w:lang w:val="en-CA"/>
        </w:rPr>
        <w:t xml:space="preserve"> </w:t>
      </w:r>
      <w:r w:rsidRPr="0075106D">
        <w:rPr>
          <w:lang w:val="en-CA"/>
        </w:rPr>
        <w:t xml:space="preserve">Parliament having been so explicit in setting forth this right, it </w:t>
      </w:r>
      <w:r w:rsidRPr="0075106D">
        <w:rPr>
          <w:u w:val="single"/>
          <w:lang w:val="en-CA"/>
        </w:rPr>
        <w:t>is inconceivable that it would not have meant to include the right of the linguistic minority to participate in the programme development and delivery of such a right.</w:t>
      </w:r>
      <w:r w:rsidRPr="003A14E3">
        <w:rPr>
          <w:u w:val="single"/>
          <w:lang w:val="en-CA"/>
        </w:rPr>
        <w:t xml:space="preserve"> </w:t>
      </w:r>
      <w:r>
        <w:rPr>
          <w:u w:val="single"/>
          <w:lang w:val="en-CA"/>
        </w:rPr>
        <w:t>It would be foolhardy to assume that Parliament intended to give the French linguistic minority the right to receive their instruction in French but leave the sole control of the programme development and delivery with the English majority.</w:t>
      </w:r>
      <w:r w:rsidRPr="009F791F">
        <w:rPr>
          <w:lang w:val="en-CA"/>
        </w:rPr>
        <w:t xml:space="preserve"> </w:t>
      </w:r>
      <w:r>
        <w:rPr>
          <w:lang w:val="en-CA"/>
        </w:rPr>
        <w:t>If such were the case, a majority language group could soon wreak havoc upon the rights of the minority and could soon render such a right worthless.</w:t>
      </w:r>
      <w:r w:rsidRPr="009F791F">
        <w:rPr>
          <w:lang w:val="en-CA"/>
        </w:rPr>
        <w:t xml:space="preserve"> </w:t>
      </w:r>
      <w:r>
        <w:rPr>
          <w:lang w:val="en-CA"/>
        </w:rPr>
        <w:t>The words "minority language instruction" in s. 23(3)(a) must imply the right to participate in programme development and delivery thereof.</w:t>
      </w:r>
    </w:p>
    <w:p w14:paraId="6F90585A" w14:textId="77777777" w:rsidR="003B1EC4" w:rsidRPr="00E202F1" w:rsidRDefault="003B1EC4" w:rsidP="003B1EC4">
      <w:pPr>
        <w:pStyle w:val="Default"/>
        <w:ind w:left="1461"/>
        <w:jc w:val="right"/>
        <w:rPr>
          <w:lang w:val="en-CA"/>
        </w:rPr>
      </w:pPr>
      <w:r w:rsidRPr="00E202F1">
        <w:rPr>
          <w:lang w:val="en-CA"/>
        </w:rPr>
        <w:t>[Emphasis added.]</w:t>
      </w:r>
    </w:p>
    <w:p w14:paraId="0F9A6205" w14:textId="48FC1534" w:rsidR="003B1EC4" w:rsidRPr="009773CB" w:rsidRDefault="003B1EC4" w:rsidP="003B1EC4">
      <w:pPr>
        <w:pStyle w:val="Paragrsimple"/>
        <w:rPr>
          <w:lang w:val="en-CA"/>
        </w:rPr>
      </w:pPr>
      <w:r w:rsidRPr="009773CB">
        <w:rPr>
          <w:lang w:val="en-CA"/>
        </w:rPr>
        <w:t xml:space="preserve">It </w:t>
      </w:r>
      <w:r w:rsidR="00416646">
        <w:rPr>
          <w:lang w:val="en-CA"/>
        </w:rPr>
        <w:t>is clear</w:t>
      </w:r>
      <w:r w:rsidRPr="009773CB">
        <w:rPr>
          <w:lang w:val="en-CA"/>
        </w:rPr>
        <w:t xml:space="preserve"> that entrusting the commitment-to-student-success plan to a committee </w:t>
      </w:r>
      <w:r w:rsidR="00416646">
        <w:rPr>
          <w:lang w:val="en-CA"/>
        </w:rPr>
        <w:t xml:space="preserve">on which </w:t>
      </w:r>
      <w:r w:rsidRPr="009773CB">
        <w:rPr>
          <w:lang w:val="en-CA"/>
        </w:rPr>
        <w:t>not a single elected member of the minority sits is a direct violation of section</w:t>
      </w:r>
      <w:r w:rsidR="00D53BF9">
        <w:rPr>
          <w:lang w:val="en-CA"/>
        </w:rPr>
        <w:t> </w:t>
      </w:r>
      <w:r w:rsidRPr="009773CB">
        <w:rPr>
          <w:lang w:val="en-CA"/>
        </w:rPr>
        <w:t xml:space="preserve">23. </w:t>
      </w:r>
      <w:r w:rsidR="00416646">
        <w:rPr>
          <w:lang w:val="en-CA"/>
        </w:rPr>
        <w:t>T</w:t>
      </w:r>
      <w:r w:rsidRPr="009773CB">
        <w:rPr>
          <w:lang w:val="en-CA"/>
        </w:rPr>
        <w:t>his committee</w:t>
      </w:r>
      <w:r w:rsidR="00416646">
        <w:rPr>
          <w:lang w:val="en-CA"/>
        </w:rPr>
        <w:t>’s obligation</w:t>
      </w:r>
      <w:r w:rsidRPr="009773CB">
        <w:rPr>
          <w:lang w:val="en-CA"/>
        </w:rPr>
        <w:t xml:space="preserve"> under the </w:t>
      </w:r>
      <w:r w:rsidRPr="0002643E">
        <w:rPr>
          <w:i/>
          <w:iCs/>
          <w:lang w:val="en-CA"/>
        </w:rPr>
        <w:t>EA</w:t>
      </w:r>
      <w:r w:rsidRPr="009773CB">
        <w:rPr>
          <w:lang w:val="en-CA"/>
        </w:rPr>
        <w:t xml:space="preserve"> to consult </w:t>
      </w:r>
      <w:r w:rsidR="00416646">
        <w:rPr>
          <w:lang w:val="en-CA"/>
        </w:rPr>
        <w:t xml:space="preserve">parent </w:t>
      </w:r>
      <w:r w:rsidRPr="009773CB">
        <w:rPr>
          <w:lang w:val="en-CA"/>
        </w:rPr>
        <w:t xml:space="preserve">representatives does not meet the requirement that </w:t>
      </w:r>
      <w:r w:rsidR="00D53BF9">
        <w:rPr>
          <w:lang w:val="en-CA"/>
        </w:rPr>
        <w:t xml:space="preserve">the </w:t>
      </w:r>
      <w:r w:rsidRPr="009773CB">
        <w:rPr>
          <w:lang w:val="en-CA"/>
        </w:rPr>
        <w:t xml:space="preserve">management and control of educational success </w:t>
      </w:r>
      <w:r w:rsidR="00416646">
        <w:rPr>
          <w:lang w:val="en-CA"/>
        </w:rPr>
        <w:t xml:space="preserve">be under the purview of community </w:t>
      </w:r>
      <w:r w:rsidRPr="009773CB">
        <w:rPr>
          <w:lang w:val="en-CA"/>
        </w:rPr>
        <w:t xml:space="preserve">representatives who alone and exclusively may decide. </w:t>
      </w:r>
    </w:p>
    <w:p w14:paraId="30AF0DE5" w14:textId="4A8FA591" w:rsidR="003B1EC4" w:rsidRPr="00E202F1" w:rsidRDefault="0057791D" w:rsidP="00F46BCF">
      <w:pPr>
        <w:pStyle w:val="Titre3"/>
        <w:numPr>
          <w:ilvl w:val="0"/>
          <w:numId w:val="0"/>
        </w:numPr>
        <w:ind w:left="1720" w:hanging="360"/>
        <w:rPr>
          <w:lang w:val="en-CA"/>
        </w:rPr>
      </w:pPr>
      <w:r>
        <w:rPr>
          <w:lang w:val="en-CA"/>
        </w:rPr>
        <w:t xml:space="preserve">vii. </w:t>
      </w:r>
      <w:bookmarkStart w:id="45" w:name="_Hlk149038646"/>
      <w:r w:rsidR="003B1EC4" w:rsidRPr="00E202F1">
        <w:rPr>
          <w:lang w:val="en-CA"/>
        </w:rPr>
        <w:t>Loss of control over the use of facilities</w:t>
      </w:r>
      <w:bookmarkEnd w:id="45"/>
    </w:p>
    <w:p w14:paraId="46B4C6E2" w14:textId="0A4A3FFD" w:rsidR="003B1EC4" w:rsidRPr="00E202F1" w:rsidRDefault="0057791D" w:rsidP="003B1EC4">
      <w:pPr>
        <w:pStyle w:val="Paragrsimple"/>
        <w:rPr>
          <w:lang w:val="en-CA"/>
        </w:rPr>
      </w:pPr>
      <w:r>
        <w:rPr>
          <w:lang w:val="en-CA"/>
        </w:rPr>
        <w:t xml:space="preserve">Under </w:t>
      </w:r>
      <w:r w:rsidR="003B1EC4" w:rsidRPr="00E202F1">
        <w:rPr>
          <w:lang w:val="en-CA"/>
        </w:rPr>
        <w:t xml:space="preserve">section 105 of the </w:t>
      </w:r>
      <w:r w:rsidR="003B1EC4" w:rsidRPr="0002643E">
        <w:rPr>
          <w:i/>
          <w:iCs/>
          <w:lang w:val="en-CA"/>
        </w:rPr>
        <w:t>Act</w:t>
      </w:r>
      <w:r w:rsidR="003B1EC4" w:rsidRPr="00E202F1">
        <w:rPr>
          <w:lang w:val="en-CA"/>
        </w:rPr>
        <w:t xml:space="preserve">, </w:t>
      </w:r>
      <w:r>
        <w:rPr>
          <w:lang w:val="en-CA"/>
        </w:rPr>
        <w:t xml:space="preserve">which </w:t>
      </w:r>
      <w:r w:rsidR="003B1EC4" w:rsidRPr="00E202F1">
        <w:rPr>
          <w:lang w:val="en-CA"/>
        </w:rPr>
        <w:t>amend</w:t>
      </w:r>
      <w:r>
        <w:rPr>
          <w:lang w:val="en-CA"/>
        </w:rPr>
        <w:t xml:space="preserve">s </w:t>
      </w:r>
      <w:r w:rsidR="003B1EC4" w:rsidRPr="00E202F1">
        <w:rPr>
          <w:lang w:val="en-CA"/>
        </w:rPr>
        <w:t xml:space="preserve">the </w:t>
      </w:r>
      <w:r w:rsidR="003B1EC4" w:rsidRPr="0002643E">
        <w:rPr>
          <w:i/>
          <w:iCs/>
          <w:lang w:val="en-CA"/>
        </w:rPr>
        <w:t>EA</w:t>
      </w:r>
      <w:r w:rsidR="003B1EC4" w:rsidRPr="00E202F1">
        <w:rPr>
          <w:lang w:val="en-CA"/>
        </w:rPr>
        <w:t xml:space="preserve"> by adding section 215.2, the Minister now has the power to “require that measures facilitating the sharing of resources or services be put in place between two school service centres”:</w:t>
      </w:r>
    </w:p>
    <w:p w14:paraId="203EAAE3" w14:textId="77777777" w:rsidR="003B1EC4" w:rsidRPr="009773CB" w:rsidRDefault="003B1EC4" w:rsidP="003B1EC4">
      <w:pPr>
        <w:pStyle w:val="Citation"/>
        <w:rPr>
          <w:lang w:val="en-CA"/>
        </w:rPr>
      </w:pPr>
      <w:r w:rsidRPr="009773CB">
        <w:rPr>
          <w:lang w:val="en-CA"/>
        </w:rPr>
        <w:t>215.2. </w:t>
      </w:r>
      <w:r w:rsidRPr="00E202F1">
        <w:rPr>
          <w:lang w:val="en-CA"/>
        </w:rPr>
        <w:t xml:space="preserve">The school service centres must facilitate the sharing of resources and services, especially administrative resources and services, with each other, with other public bodies, including municipalities, or with educational institutions governed by the Act respecting private education (chapter E-9.1) if sharing </w:t>
      </w:r>
      <w:r w:rsidRPr="00E202F1">
        <w:rPr>
          <w:lang w:val="en-CA"/>
        </w:rPr>
        <w:lastRenderedPageBreak/>
        <w:t>allows them, in pursuing their mission, to fulfill efficiency and cost-benefit requirements in the management of human, financial and physical resources.</w:t>
      </w:r>
    </w:p>
    <w:p w14:paraId="1F2E97B0" w14:textId="77777777" w:rsidR="003B1EC4" w:rsidRPr="00E202F1" w:rsidRDefault="003B1EC4" w:rsidP="003B1EC4">
      <w:pPr>
        <w:pStyle w:val="Citation"/>
        <w:rPr>
          <w:lang w:val="en-CA"/>
        </w:rPr>
      </w:pPr>
      <w:r w:rsidRPr="00E202F1">
        <w:rPr>
          <w:lang w:val="en-CA"/>
        </w:rPr>
        <w:t>For those purposes, the Minister may request a school service centre to produce an analysis evaluating opportunities to share resources and services with another school service centre.</w:t>
      </w:r>
    </w:p>
    <w:p w14:paraId="597E10E1" w14:textId="77777777" w:rsidR="003B1EC4" w:rsidRPr="00E202F1" w:rsidRDefault="003B1EC4" w:rsidP="003B1EC4">
      <w:pPr>
        <w:pStyle w:val="Citation"/>
        <w:rPr>
          <w:lang w:val="en-CA"/>
        </w:rPr>
      </w:pPr>
      <w:r w:rsidRPr="00E202F1">
        <w:rPr>
          <w:lang w:val="en-CA"/>
        </w:rPr>
        <w:t>Following this analysis, the Minister may make recommendations or require that measures facilitating the sharing of resources or services be put in place between two school service centres.</w:t>
      </w:r>
    </w:p>
    <w:p w14:paraId="545A6EB0" w14:textId="4A63AEEC" w:rsidR="003B1EC4" w:rsidRPr="009773CB" w:rsidRDefault="003B1EC4" w:rsidP="003B1EC4">
      <w:pPr>
        <w:pStyle w:val="Paragrdouble"/>
        <w:spacing w:line="240" w:lineRule="auto"/>
        <w:rPr>
          <w:lang w:val="en-CA"/>
        </w:rPr>
      </w:pPr>
      <w:r w:rsidRPr="009773CB">
        <w:rPr>
          <w:lang w:val="en-CA"/>
        </w:rPr>
        <w:t xml:space="preserve">For the applicants, </w:t>
      </w:r>
      <w:r w:rsidR="004B0093">
        <w:rPr>
          <w:lang w:val="en-CA"/>
        </w:rPr>
        <w:t>control of</w:t>
      </w:r>
      <w:r w:rsidRPr="009773CB">
        <w:rPr>
          <w:lang w:val="en-CA"/>
        </w:rPr>
        <w:t xml:space="preserve"> the educational facilities includes the right to </w:t>
      </w:r>
      <w:r w:rsidR="004B0093">
        <w:rPr>
          <w:lang w:val="en-CA"/>
        </w:rPr>
        <w:t>separate</w:t>
      </w:r>
      <w:r w:rsidRPr="009773CB">
        <w:rPr>
          <w:lang w:val="en-CA"/>
        </w:rPr>
        <w:t xml:space="preserve"> physical settings. </w:t>
      </w:r>
      <w:r w:rsidRPr="00E202F1">
        <w:rPr>
          <w:lang w:val="en-CA"/>
        </w:rPr>
        <w:t xml:space="preserve">The Supreme </w:t>
      </w:r>
      <w:r w:rsidR="0057791D">
        <w:rPr>
          <w:lang w:val="en-CA"/>
        </w:rPr>
        <w:t>C</w:t>
      </w:r>
      <w:r w:rsidRPr="00E202F1">
        <w:rPr>
          <w:lang w:val="en-CA"/>
        </w:rPr>
        <w:t xml:space="preserve">ourt considered the issue in </w:t>
      </w:r>
      <w:r w:rsidRPr="00E202F1">
        <w:rPr>
          <w:i/>
          <w:color w:val="212529"/>
          <w:lang w:val="en-CA"/>
        </w:rPr>
        <w:t xml:space="preserve">Reference re Public Schools Act (Man.), s. </w:t>
      </w:r>
      <w:r w:rsidRPr="009773CB">
        <w:rPr>
          <w:rFonts w:cs="Arial"/>
          <w:i/>
          <w:iCs/>
          <w:color w:val="212529"/>
          <w:szCs w:val="24"/>
          <w:lang w:val="en-CA"/>
        </w:rPr>
        <w:t> 79(3), (4) and (7</w:t>
      </w:r>
      <w:r w:rsidRPr="009773CB">
        <w:rPr>
          <w:rFonts w:cs="Arial"/>
          <w:iCs/>
          <w:szCs w:val="24"/>
          <w:lang w:val="en-CA"/>
        </w:rPr>
        <w:t>), and refused to answer the question definitively.</w:t>
      </w:r>
      <w:r w:rsidRPr="009773CB">
        <w:rPr>
          <w:lang w:val="en-CA"/>
        </w:rPr>
        <w:t xml:space="preserve"> </w:t>
      </w:r>
      <w:r w:rsidRPr="00E202F1">
        <w:rPr>
          <w:lang w:val="en-CA"/>
        </w:rPr>
        <w:t>Lamer</w:t>
      </w:r>
      <w:r w:rsidR="0057791D">
        <w:rPr>
          <w:lang w:val="en-CA"/>
        </w:rPr>
        <w:t xml:space="preserve"> C.J. wrote the following</w:t>
      </w:r>
      <w:r w:rsidRPr="00E202F1">
        <w:rPr>
          <w:lang w:val="en-CA"/>
        </w:rPr>
        <w:t>, for the Court:</w:t>
      </w:r>
      <w:r w:rsidRPr="00E202F1">
        <w:rPr>
          <w:rStyle w:val="Appelnotedebasdep"/>
        </w:rPr>
        <w:footnoteReference w:id="166"/>
      </w:r>
    </w:p>
    <w:p w14:paraId="2C5545CF" w14:textId="07927A24" w:rsidR="003B1EC4" w:rsidRPr="009773CB" w:rsidRDefault="003B1EC4" w:rsidP="003B1EC4">
      <w:pPr>
        <w:pStyle w:val="Citation"/>
        <w:rPr>
          <w:lang w:val="en-CA"/>
        </w:rPr>
      </w:pPr>
      <w:r>
        <w:rPr>
          <w:lang w:val="en-CA"/>
        </w:rPr>
        <w:t xml:space="preserve"> ... while I endorse a general right to distinct physical settings as an integral aspect of the provision of educational services, it is not necessary to elaborate at this point what might satisfy this requirement in a given situation.</w:t>
      </w:r>
      <w:r w:rsidRPr="009773CB">
        <w:rPr>
          <w:lang w:val="en-CA"/>
        </w:rPr>
        <w:t xml:space="preserve"> Pedagogical and financial considerations would both play a role in determining what is required. Obviously the financial impact of the provision of specific facilities will vary from region to region. It follows that the assessment of what will constitute appropriate facilities should only be undertaken on the basis of a distinct geographic unit within the province.</w:t>
      </w:r>
    </w:p>
    <w:p w14:paraId="5E63D0F1" w14:textId="3AA3AEEA" w:rsidR="003B1EC4" w:rsidRDefault="003B1EC4" w:rsidP="003B1EC4">
      <w:pPr>
        <w:pStyle w:val="Paragrsimple"/>
      </w:pPr>
      <w:r w:rsidRPr="009773CB">
        <w:rPr>
          <w:lang w:val="en-CA"/>
        </w:rPr>
        <w:t xml:space="preserve">It is easier, however, to answer the question where “numbers warrant” creating distinct schools and school </w:t>
      </w:r>
      <w:r w:rsidR="00B43EF4">
        <w:rPr>
          <w:lang w:val="en-CA"/>
        </w:rPr>
        <w:t>boards</w:t>
      </w:r>
      <w:r w:rsidRPr="009773CB">
        <w:rPr>
          <w:lang w:val="en-CA"/>
        </w:rPr>
        <w:t>, which is the case in Qu</w:t>
      </w:r>
      <w:r w:rsidR="0057791D">
        <w:rPr>
          <w:lang w:val="en-CA"/>
        </w:rPr>
        <w:t>e</w:t>
      </w:r>
      <w:r w:rsidRPr="009773CB">
        <w:rPr>
          <w:lang w:val="en-CA"/>
        </w:rPr>
        <w:t xml:space="preserve">bec. </w:t>
      </w:r>
      <w:r w:rsidRPr="009773CB">
        <w:t xml:space="preserve">Indeed, in </w:t>
      </w:r>
      <w:r w:rsidRPr="009773CB">
        <w:rPr>
          <w:i/>
        </w:rPr>
        <w:t>Conseil scolaire francophone de la Colombie-Britannique</w:t>
      </w:r>
      <w:r w:rsidRPr="009773CB">
        <w:t xml:space="preserve">, the Court </w:t>
      </w:r>
      <w:proofErr w:type="spellStart"/>
      <w:r w:rsidRPr="009773CB">
        <w:t>wrote</w:t>
      </w:r>
      <w:proofErr w:type="spellEnd"/>
      <w:r w:rsidRPr="009773CB">
        <w:t>:</w:t>
      </w:r>
    </w:p>
    <w:p w14:paraId="365396FA" w14:textId="77777777" w:rsidR="003B1EC4" w:rsidRPr="009773CB" w:rsidRDefault="003B1EC4" w:rsidP="003B1EC4">
      <w:pPr>
        <w:pStyle w:val="Citation"/>
        <w:rPr>
          <w:lang w:val="en-CA"/>
        </w:rPr>
      </w:pPr>
      <w:r w:rsidRPr="009773CB">
        <w:rPr>
          <w:lang w:val="en-CA"/>
        </w:rPr>
        <w:t>[84]</w:t>
      </w:r>
      <w:r w:rsidRPr="009773CB">
        <w:rPr>
          <w:lang w:val="en-CA"/>
        </w:rPr>
        <w:tab/>
        <w:t>At the third step, the level of services to be provided to the official language minority must be determined. If the court has found at the second step that the number of students is comparable and that the presumption has not been rebutted, that number is at the high end of the sliding scale and the minority is therefore entitled to have its children receive instruction in a homogeneous school.</w:t>
      </w:r>
      <w:r>
        <w:rPr>
          <w:rStyle w:val="Appelnotedebasdep"/>
          <w:lang w:val="en-CA"/>
        </w:rPr>
        <w:footnoteReference w:id="167"/>
      </w:r>
    </w:p>
    <w:p w14:paraId="3FD3BE1A" w14:textId="2A2A9D44" w:rsidR="003B1EC4" w:rsidRPr="009773CB" w:rsidRDefault="003B1EC4" w:rsidP="003B1EC4">
      <w:pPr>
        <w:pStyle w:val="Paragrsimple"/>
        <w:rPr>
          <w:lang w:val="en-CA"/>
        </w:rPr>
      </w:pPr>
      <w:r w:rsidRPr="009773CB">
        <w:rPr>
          <w:lang w:val="en-CA"/>
        </w:rPr>
        <w:t xml:space="preserve">In </w:t>
      </w:r>
      <w:r w:rsidR="004B0093">
        <w:rPr>
          <w:lang w:val="en-CA"/>
        </w:rPr>
        <w:t>the</w:t>
      </w:r>
      <w:r w:rsidR="0057791D" w:rsidRPr="009773CB">
        <w:rPr>
          <w:lang w:val="en-CA"/>
        </w:rPr>
        <w:t xml:space="preserve"> </w:t>
      </w:r>
      <w:r w:rsidRPr="009773CB">
        <w:rPr>
          <w:lang w:val="en-CA"/>
        </w:rPr>
        <w:t xml:space="preserve">same judgment, the Supreme Court decreed that </w:t>
      </w:r>
      <w:r>
        <w:rPr>
          <w:lang w:val="en-CA"/>
        </w:rPr>
        <w:t>comparisons</w:t>
      </w:r>
      <w:r w:rsidRPr="009773CB">
        <w:rPr>
          <w:lang w:val="en-CA"/>
        </w:rPr>
        <w:t xml:space="preserve"> must be analyzed at a provincial level. </w:t>
      </w:r>
    </w:p>
    <w:p w14:paraId="3930B7A6" w14:textId="278C332C" w:rsidR="003B1EC4" w:rsidRPr="009773CB" w:rsidRDefault="003B1EC4" w:rsidP="003B1EC4">
      <w:pPr>
        <w:pStyle w:val="Paragrsimple"/>
        <w:rPr>
          <w:lang w:val="en-CA"/>
        </w:rPr>
      </w:pPr>
      <w:r w:rsidRPr="009773CB">
        <w:rPr>
          <w:lang w:val="en-CA"/>
        </w:rPr>
        <w:lastRenderedPageBreak/>
        <w:t>Based on this criterion, an analysis of all the French-language and English</w:t>
      </w:r>
      <w:r w:rsidR="0057791D">
        <w:rPr>
          <w:lang w:val="en-CA"/>
        </w:rPr>
        <w:noBreakHyphen/>
      </w:r>
      <w:r w:rsidRPr="009773CB">
        <w:rPr>
          <w:lang w:val="en-CA"/>
        </w:rPr>
        <w:t xml:space="preserve">language schools reveals that </w:t>
      </w:r>
      <w:r w:rsidR="0057791D">
        <w:rPr>
          <w:lang w:val="en-CA"/>
        </w:rPr>
        <w:t xml:space="preserve">it is appropriate </w:t>
      </w:r>
      <w:r w:rsidRPr="009773CB">
        <w:rPr>
          <w:lang w:val="en-CA"/>
        </w:rPr>
        <w:t xml:space="preserve">to have </w:t>
      </w:r>
      <w:r w:rsidR="00801094">
        <w:rPr>
          <w:lang w:val="en-CA"/>
        </w:rPr>
        <w:t>separate</w:t>
      </w:r>
      <w:r w:rsidRPr="009773CB">
        <w:rPr>
          <w:lang w:val="en-CA"/>
        </w:rPr>
        <w:t xml:space="preserve"> schools across Quebec</w:t>
      </w:r>
      <w:r w:rsidR="00216FF3">
        <w:rPr>
          <w:lang w:val="en-CA"/>
        </w:rPr>
        <w:t>,</w:t>
      </w:r>
      <w:r w:rsidRPr="009773CB">
        <w:rPr>
          <w:lang w:val="en-CA"/>
        </w:rPr>
        <w:t xml:space="preserve"> because there are schools of comparable size in both groups.</w:t>
      </w:r>
      <w:r>
        <w:rPr>
          <w:rStyle w:val="Appelnotedebasdep"/>
        </w:rPr>
        <w:footnoteReference w:id="168"/>
      </w:r>
    </w:p>
    <w:p w14:paraId="1D022ABB" w14:textId="2CA8B8A3" w:rsidR="003B1EC4" w:rsidRPr="009773CB" w:rsidRDefault="003B1EC4" w:rsidP="003B1EC4">
      <w:pPr>
        <w:pStyle w:val="Paragrsimple"/>
        <w:rPr>
          <w:lang w:val="en-CA"/>
        </w:rPr>
      </w:pPr>
      <w:r w:rsidRPr="009773CB">
        <w:rPr>
          <w:lang w:val="en-CA"/>
        </w:rPr>
        <w:t>Moreover, there is no overlap between the English-language school boards</w:t>
      </w:r>
      <w:r w:rsidR="00216FF3">
        <w:rPr>
          <w:lang w:val="en-CA"/>
        </w:rPr>
        <w:t xml:space="preserve"> that </w:t>
      </w:r>
      <w:r w:rsidRPr="009773CB">
        <w:rPr>
          <w:lang w:val="en-CA"/>
        </w:rPr>
        <w:t xml:space="preserve">would </w:t>
      </w:r>
      <w:r>
        <w:rPr>
          <w:lang w:val="en-CA"/>
        </w:rPr>
        <w:t>trigger</w:t>
      </w:r>
      <w:r w:rsidRPr="009773CB">
        <w:rPr>
          <w:lang w:val="en-CA"/>
        </w:rPr>
        <w:t xml:space="preserve"> applying such a measure </w:t>
      </w:r>
      <w:r>
        <w:rPr>
          <w:lang w:val="en-CA"/>
        </w:rPr>
        <w:t>to</w:t>
      </w:r>
      <w:r w:rsidRPr="009773CB">
        <w:rPr>
          <w:lang w:val="en-CA"/>
        </w:rPr>
        <w:t xml:space="preserve"> them. </w:t>
      </w:r>
    </w:p>
    <w:p w14:paraId="772E1016" w14:textId="4BEBC394" w:rsidR="003B1EC4" w:rsidRPr="009773CB" w:rsidRDefault="003B1EC4" w:rsidP="003B1EC4">
      <w:pPr>
        <w:pStyle w:val="Paragrdouble"/>
        <w:spacing w:line="240" w:lineRule="auto"/>
        <w:rPr>
          <w:lang w:val="en-CA"/>
        </w:rPr>
      </w:pPr>
      <w:r w:rsidRPr="009773CB">
        <w:rPr>
          <w:lang w:val="en-CA"/>
        </w:rPr>
        <w:t>To that extent,</w:t>
      </w:r>
      <w:r w:rsidR="00801094">
        <w:rPr>
          <w:lang w:val="en-CA"/>
        </w:rPr>
        <w:t xml:space="preserve"> requiring that a school be shared </w:t>
      </w:r>
      <w:r w:rsidRPr="009773CB">
        <w:rPr>
          <w:lang w:val="en-CA"/>
        </w:rPr>
        <w:t xml:space="preserve">would currently violate section 23. </w:t>
      </w:r>
      <w:r w:rsidR="0044389C">
        <w:rPr>
          <w:lang w:val="en-CA"/>
        </w:rPr>
        <w:t>T</w:t>
      </w:r>
      <w:r w:rsidRPr="009773CB">
        <w:rPr>
          <w:lang w:val="en-CA"/>
        </w:rPr>
        <w:t>he provision itself</w:t>
      </w:r>
      <w:r w:rsidR="0044389C">
        <w:rPr>
          <w:lang w:val="en-CA"/>
        </w:rPr>
        <w:t>, however,</w:t>
      </w:r>
      <w:r w:rsidRPr="009773CB">
        <w:rPr>
          <w:lang w:val="en-CA"/>
        </w:rPr>
        <w:t xml:space="preserve"> does not breach section 23. Only its application, highly hypothetical at the moment, would violate it insofar as school registration numbers </w:t>
      </w:r>
      <w:r w:rsidR="00216FF3">
        <w:rPr>
          <w:lang w:val="en-CA"/>
        </w:rPr>
        <w:t>are not expected to</w:t>
      </w:r>
      <w:r w:rsidRPr="009773CB">
        <w:rPr>
          <w:lang w:val="en-CA"/>
        </w:rPr>
        <w:t xml:space="preserve"> vary greatly </w:t>
      </w:r>
      <w:r>
        <w:rPr>
          <w:lang w:val="en-CA"/>
        </w:rPr>
        <w:t>in</w:t>
      </w:r>
      <w:r w:rsidRPr="009773CB">
        <w:rPr>
          <w:lang w:val="en-CA"/>
        </w:rPr>
        <w:t xml:space="preserve"> the foreseeable future.  </w:t>
      </w:r>
    </w:p>
    <w:p w14:paraId="3D2C191F" w14:textId="4D6DE32A" w:rsidR="003B1EC4" w:rsidRPr="009773CB" w:rsidRDefault="003B1EC4" w:rsidP="003B1EC4">
      <w:pPr>
        <w:pStyle w:val="Paragrsimple"/>
        <w:rPr>
          <w:lang w:val="en-CA"/>
        </w:rPr>
      </w:pPr>
      <w:r w:rsidRPr="009773CB">
        <w:rPr>
          <w:lang w:val="en-CA"/>
        </w:rPr>
        <w:t xml:space="preserve">There is no evidence that the Minister was attempting or </w:t>
      </w:r>
      <w:r w:rsidR="0044389C">
        <w:rPr>
          <w:lang w:val="en-CA"/>
        </w:rPr>
        <w:t xml:space="preserve">that he </w:t>
      </w:r>
      <w:r w:rsidRPr="009773CB">
        <w:rPr>
          <w:lang w:val="en-CA"/>
        </w:rPr>
        <w:t xml:space="preserve">would attempt to impose this measure on an English-language school. </w:t>
      </w:r>
    </w:p>
    <w:p w14:paraId="5FCCA149" w14:textId="17CAF026" w:rsidR="003B1EC4" w:rsidRPr="009773CB" w:rsidRDefault="003B1EC4" w:rsidP="003B1EC4">
      <w:pPr>
        <w:pStyle w:val="Paragrsimple"/>
        <w:rPr>
          <w:szCs w:val="24"/>
          <w:lang w:val="en-CA"/>
        </w:rPr>
      </w:pPr>
      <w:r w:rsidRPr="009773CB">
        <w:rPr>
          <w:szCs w:val="24"/>
          <w:lang w:val="en-CA"/>
        </w:rPr>
        <w:t xml:space="preserve">The applicants therefore ask the Court to render a declaratory judgment </w:t>
      </w:r>
      <w:r w:rsidR="00216FF3">
        <w:rPr>
          <w:szCs w:val="24"/>
          <w:lang w:val="en-CA"/>
        </w:rPr>
        <w:t>setting out</w:t>
      </w:r>
      <w:r w:rsidR="00216FF3" w:rsidRPr="009773CB">
        <w:rPr>
          <w:szCs w:val="24"/>
          <w:lang w:val="en-CA"/>
        </w:rPr>
        <w:t xml:space="preserve"> </w:t>
      </w:r>
      <w:r w:rsidRPr="009773CB">
        <w:rPr>
          <w:szCs w:val="24"/>
          <w:lang w:val="en-CA"/>
        </w:rPr>
        <w:t xml:space="preserve">the interpretation this provision should receive, drawing inspiration from the Court of Appeal for British Columbia in </w:t>
      </w:r>
      <w:r w:rsidRPr="009773CB">
        <w:rPr>
          <w:i/>
          <w:szCs w:val="24"/>
          <w:lang w:val="en-CA"/>
        </w:rPr>
        <w:t>British Columbia Civil Liberties Association v. Canada (Attorney General).</w:t>
      </w:r>
      <w:r w:rsidRPr="00C42492">
        <w:rPr>
          <w:rStyle w:val="Appelnotedebasdep"/>
          <w:iCs/>
          <w:szCs w:val="24"/>
        </w:rPr>
        <w:footnoteReference w:id="169"/>
      </w:r>
      <w:r w:rsidRPr="009773CB">
        <w:rPr>
          <w:szCs w:val="24"/>
          <w:lang w:val="en-CA"/>
        </w:rPr>
        <w:t xml:space="preserve"> </w:t>
      </w:r>
    </w:p>
    <w:p w14:paraId="4854645B" w14:textId="7C48AF47" w:rsidR="003B1EC4" w:rsidRPr="00933BE3" w:rsidRDefault="003B1EC4" w:rsidP="003B1EC4">
      <w:pPr>
        <w:pStyle w:val="Paragrsimple"/>
        <w:rPr>
          <w:szCs w:val="24"/>
          <w:lang w:val="en-CA"/>
        </w:rPr>
      </w:pPr>
      <w:r w:rsidRPr="00933BE3">
        <w:rPr>
          <w:szCs w:val="24"/>
          <w:lang w:val="en-CA"/>
        </w:rPr>
        <w:t xml:space="preserve">It is worth recalling that the courts do not </w:t>
      </w:r>
      <w:r w:rsidR="00216FF3">
        <w:rPr>
          <w:szCs w:val="24"/>
          <w:lang w:val="en-CA"/>
        </w:rPr>
        <w:t>provide</w:t>
      </w:r>
      <w:r w:rsidR="00216FF3" w:rsidRPr="00933BE3">
        <w:rPr>
          <w:szCs w:val="24"/>
          <w:lang w:val="en-CA"/>
        </w:rPr>
        <w:t xml:space="preserve"> </w:t>
      </w:r>
      <w:r w:rsidRPr="00933BE3">
        <w:rPr>
          <w:szCs w:val="24"/>
          <w:lang w:val="en-CA"/>
        </w:rPr>
        <w:t xml:space="preserve">opinions: Article 10 </w:t>
      </w:r>
      <w:r w:rsidRPr="00F46BCF">
        <w:rPr>
          <w:szCs w:val="24"/>
          <w:lang w:val="en-CA"/>
        </w:rPr>
        <w:t>CCP</w:t>
      </w:r>
      <w:r w:rsidRPr="00933BE3">
        <w:rPr>
          <w:szCs w:val="24"/>
          <w:lang w:val="en-CA"/>
        </w:rPr>
        <w:t xml:space="preserve">. Proceedings for a declaratory judgment, </w:t>
      </w:r>
      <w:r w:rsidR="00216FF3">
        <w:rPr>
          <w:szCs w:val="24"/>
          <w:lang w:val="en-CA"/>
        </w:rPr>
        <w:t xml:space="preserve">whether </w:t>
      </w:r>
      <w:r w:rsidRPr="00933BE3">
        <w:rPr>
          <w:szCs w:val="24"/>
          <w:lang w:val="en-CA"/>
        </w:rPr>
        <w:t xml:space="preserve">under article 453(a) </w:t>
      </w:r>
      <w:r w:rsidRPr="00F46BCF">
        <w:rPr>
          <w:szCs w:val="24"/>
          <w:lang w:val="en-CA"/>
        </w:rPr>
        <w:t>CCP</w:t>
      </w:r>
      <w:r w:rsidRPr="00933BE3">
        <w:rPr>
          <w:szCs w:val="24"/>
          <w:lang w:val="en-CA"/>
        </w:rPr>
        <w:t xml:space="preserve"> or </w:t>
      </w:r>
      <w:r w:rsidR="00216FF3">
        <w:rPr>
          <w:szCs w:val="24"/>
          <w:lang w:val="en-CA"/>
        </w:rPr>
        <w:t xml:space="preserve">articles </w:t>
      </w:r>
      <w:r w:rsidRPr="00933BE3">
        <w:rPr>
          <w:szCs w:val="24"/>
          <w:lang w:val="en-CA"/>
        </w:rPr>
        <w:t xml:space="preserve">142 and 529 </w:t>
      </w:r>
      <w:r w:rsidRPr="00F46BCF">
        <w:rPr>
          <w:szCs w:val="24"/>
          <w:lang w:val="en-CA"/>
        </w:rPr>
        <w:t>CCP</w:t>
      </w:r>
      <w:r w:rsidRPr="00933BE3">
        <w:rPr>
          <w:szCs w:val="24"/>
          <w:lang w:val="en-CA"/>
        </w:rPr>
        <w:t xml:space="preserve">, should be </w:t>
      </w:r>
      <w:r w:rsidR="00216FF3">
        <w:rPr>
          <w:szCs w:val="24"/>
          <w:lang w:val="en-CA"/>
        </w:rPr>
        <w:t>granted</w:t>
      </w:r>
      <w:r w:rsidR="00216FF3" w:rsidRPr="00933BE3">
        <w:rPr>
          <w:szCs w:val="24"/>
          <w:lang w:val="en-CA"/>
        </w:rPr>
        <w:t xml:space="preserve"> </w:t>
      </w:r>
      <w:r w:rsidRPr="00933BE3">
        <w:rPr>
          <w:szCs w:val="24"/>
          <w:lang w:val="en-CA"/>
        </w:rPr>
        <w:t>only to solve an actual difficulty in a specific factual context:</w:t>
      </w:r>
    </w:p>
    <w:p w14:paraId="689AD40B" w14:textId="77777777" w:rsidR="003B1EC4" w:rsidRDefault="003B1EC4" w:rsidP="00F46BCF">
      <w:pPr>
        <w:pStyle w:val="Citation"/>
        <w:keepNext/>
        <w:ind w:left="862" w:right="862"/>
        <w:rPr>
          <w:lang w:val="en-CA"/>
        </w:rPr>
      </w:pPr>
      <w:r>
        <w:rPr>
          <w:lang w:val="en-CA"/>
        </w:rPr>
        <w:t>[</w:t>
      </w:r>
      <w:r w:rsidRPr="00E127D6">
        <w:rPr>
          <w:smallCaps/>
          <w:lang w:val="en-CA"/>
        </w:rPr>
        <w:t>translation</w:t>
      </w:r>
      <w:r>
        <w:rPr>
          <w:lang w:val="en-CA"/>
        </w:rPr>
        <w:t>]</w:t>
      </w:r>
    </w:p>
    <w:p w14:paraId="16C593CC" w14:textId="32EAE968" w:rsidR="003B1EC4" w:rsidRPr="00933BE3" w:rsidRDefault="003B1EC4" w:rsidP="00F46BCF">
      <w:pPr>
        <w:pStyle w:val="Citation"/>
        <w:keepNext/>
        <w:ind w:left="862" w:right="862"/>
        <w:rPr>
          <w:lang w:val="en-CA"/>
        </w:rPr>
      </w:pPr>
      <w:r w:rsidRPr="00933BE3">
        <w:rPr>
          <w:lang w:val="en-CA"/>
        </w:rPr>
        <w:t xml:space="preserve">Subject to the possibility that the government </w:t>
      </w:r>
      <w:r w:rsidR="00216FF3">
        <w:rPr>
          <w:lang w:val="en-CA"/>
        </w:rPr>
        <w:t>bring a reference</w:t>
      </w:r>
      <w:r w:rsidRPr="00933BE3">
        <w:rPr>
          <w:lang w:val="en-CA"/>
        </w:rPr>
        <w:t xml:space="preserve">, the courts will usually refuse to hear a proceeding that </w:t>
      </w:r>
      <w:r w:rsidR="00216FF3">
        <w:rPr>
          <w:lang w:val="en-CA"/>
        </w:rPr>
        <w:t xml:space="preserve">in practical terms </w:t>
      </w:r>
      <w:r>
        <w:rPr>
          <w:lang w:val="en-CA"/>
        </w:rPr>
        <w:t>amounts</w:t>
      </w:r>
      <w:r w:rsidRPr="00933BE3">
        <w:rPr>
          <w:lang w:val="en-CA"/>
        </w:rPr>
        <w:t xml:space="preserve"> to an abstract request for a legal opinion.</w:t>
      </w:r>
      <w:r>
        <w:rPr>
          <w:rStyle w:val="Appelnotedebasdep"/>
        </w:rPr>
        <w:footnoteReference w:id="170"/>
      </w:r>
    </w:p>
    <w:p w14:paraId="34C3BEDE" w14:textId="79090EEC" w:rsidR="003B1EC4" w:rsidRPr="00E202F1" w:rsidRDefault="003B1EC4" w:rsidP="003B1EC4">
      <w:pPr>
        <w:pStyle w:val="Paragrsimple"/>
        <w:rPr>
          <w:lang w:val="en-CA"/>
        </w:rPr>
      </w:pPr>
      <w:r w:rsidRPr="00E202F1">
        <w:rPr>
          <w:lang w:val="en-CA"/>
        </w:rPr>
        <w:t xml:space="preserve">In fact, the </w:t>
      </w:r>
      <w:r w:rsidR="00152B3C">
        <w:rPr>
          <w:lang w:val="en-CA"/>
        </w:rPr>
        <w:t xml:space="preserve">Court of Appeal for </w:t>
      </w:r>
      <w:r w:rsidRPr="00E202F1">
        <w:rPr>
          <w:lang w:val="en-CA"/>
        </w:rPr>
        <w:t>British Columbia applied this rule in the judgment in question:</w:t>
      </w:r>
    </w:p>
    <w:p w14:paraId="547E289C" w14:textId="77777777" w:rsidR="003B1EC4" w:rsidRPr="0051160F" w:rsidRDefault="003B1EC4" w:rsidP="003B1EC4">
      <w:pPr>
        <w:pStyle w:val="Citation"/>
        <w:rPr>
          <w:lang w:val="en-CA"/>
        </w:rPr>
      </w:pPr>
      <w:r>
        <w:rPr>
          <w:lang w:val="en-CA"/>
        </w:rPr>
        <w:t>[259]</w:t>
      </w:r>
      <w:r w:rsidRPr="00561913">
        <w:rPr>
          <w:lang w:val="en-CA"/>
        </w:rPr>
        <w:tab/>
      </w:r>
      <w:r w:rsidRPr="00933BE3">
        <w:rPr>
          <w:lang w:val="en-CA"/>
        </w:rPr>
        <w:t>Superior courts have inherent jurisdiction to grant declaratory relief (</w:t>
      </w:r>
      <w:r w:rsidRPr="00933BE3">
        <w:rPr>
          <w:i/>
          <w:lang w:val="en-CA"/>
        </w:rPr>
        <w:t>Shuswap Lake Utilities Ltd. v. Mattison</w:t>
      </w:r>
      <w:r w:rsidRPr="00933BE3">
        <w:rPr>
          <w:lang w:val="en-CA"/>
        </w:rPr>
        <w:t>, 2008 BCCA 176 at para.</w:t>
      </w:r>
      <w:r w:rsidRPr="00561913">
        <w:rPr>
          <w:lang w:val="en-CA"/>
        </w:rPr>
        <w:t xml:space="preserve"> </w:t>
      </w:r>
      <w:r>
        <w:rPr>
          <w:lang w:val="en-CA"/>
        </w:rPr>
        <w:t>45).</w:t>
      </w:r>
      <w:r w:rsidRPr="00561913">
        <w:rPr>
          <w:lang w:val="en-CA"/>
        </w:rPr>
        <w:t xml:space="preserve"> </w:t>
      </w:r>
      <w:r w:rsidRPr="00933BE3">
        <w:rPr>
          <w:lang w:val="en-CA"/>
        </w:rPr>
        <w:t>Declaratory relief is a discretionary remedy that is available without a cause of action and whether or not any consequential relief (such as damages) is sought (</w:t>
      </w:r>
      <w:r w:rsidRPr="00933BE3">
        <w:rPr>
          <w:i/>
          <w:lang w:val="en-CA"/>
        </w:rPr>
        <w:t>Ewert v. Canada</w:t>
      </w:r>
      <w:r w:rsidRPr="00933BE3">
        <w:rPr>
          <w:lang w:val="en-CA"/>
        </w:rPr>
        <w:t>, 2018 SCC 30 at para.</w:t>
      </w:r>
      <w:r w:rsidRPr="0051160F">
        <w:rPr>
          <w:lang w:val="en-CA"/>
        </w:rPr>
        <w:t xml:space="preserve"> </w:t>
      </w:r>
      <w:r w:rsidRPr="00E202F1">
        <w:rPr>
          <w:lang w:val="en-CA"/>
        </w:rPr>
        <w:t>81; Supreme Court Civil Rules, R.</w:t>
      </w:r>
      <w:r w:rsidRPr="0051160F">
        <w:rPr>
          <w:lang w:val="en-CA"/>
        </w:rPr>
        <w:t> </w:t>
      </w:r>
      <w:r>
        <w:rPr>
          <w:lang w:val="en-CA"/>
        </w:rPr>
        <w:t>20-4).</w:t>
      </w:r>
      <w:r w:rsidRPr="0051160F">
        <w:rPr>
          <w:lang w:val="en-CA"/>
        </w:rPr>
        <w:t xml:space="preserve"> </w:t>
      </w:r>
      <w:r>
        <w:rPr>
          <w:lang w:val="en-CA"/>
        </w:rPr>
        <w:t>The test for granting declaratory relief was recently summarized in Ewert at para.</w:t>
      </w:r>
      <w:r w:rsidRPr="0051160F">
        <w:rPr>
          <w:lang w:val="en-CA"/>
        </w:rPr>
        <w:t xml:space="preserve"> </w:t>
      </w:r>
      <w:r>
        <w:rPr>
          <w:lang w:val="en-CA"/>
        </w:rPr>
        <w:t>81:</w:t>
      </w:r>
    </w:p>
    <w:p w14:paraId="06E8B9F9" w14:textId="77777777" w:rsidR="003B1EC4" w:rsidRPr="00E202F1" w:rsidRDefault="003B1EC4" w:rsidP="003B1EC4">
      <w:pPr>
        <w:pStyle w:val="Default"/>
        <w:numPr>
          <w:ilvl w:val="0"/>
          <w:numId w:val="12"/>
        </w:numPr>
        <w:spacing w:before="120" w:after="120"/>
        <w:jc w:val="both"/>
        <w:rPr>
          <w:sz w:val="22"/>
          <w:szCs w:val="22"/>
          <w:lang w:val="en-CA"/>
        </w:rPr>
      </w:pPr>
      <w:r w:rsidRPr="00E202F1">
        <w:rPr>
          <w:sz w:val="22"/>
          <w:szCs w:val="22"/>
          <w:lang w:val="en-CA"/>
        </w:rPr>
        <w:lastRenderedPageBreak/>
        <w:t>The court has jurisdiction to hear the issue;</w:t>
      </w:r>
    </w:p>
    <w:p w14:paraId="29333C02" w14:textId="77777777" w:rsidR="003B1EC4" w:rsidRPr="00574FE8" w:rsidRDefault="003B1EC4" w:rsidP="003B1EC4">
      <w:pPr>
        <w:pStyle w:val="Default"/>
        <w:spacing w:before="120" w:after="120"/>
        <w:ind w:left="731" w:firstLine="731"/>
        <w:jc w:val="both"/>
        <w:rPr>
          <w:sz w:val="22"/>
          <w:szCs w:val="22"/>
          <w:lang w:val="en-CA"/>
        </w:rPr>
      </w:pPr>
      <w:r w:rsidRPr="00E202F1">
        <w:rPr>
          <w:sz w:val="22"/>
          <w:szCs w:val="22"/>
          <w:lang w:val="en-CA"/>
        </w:rPr>
        <w:t>(b)</w:t>
      </w:r>
      <w:r>
        <w:rPr>
          <w:sz w:val="22"/>
          <w:szCs w:val="22"/>
          <w:lang w:val="en-CA"/>
        </w:rPr>
        <w:tab/>
      </w:r>
      <w:r w:rsidRPr="00933BE3">
        <w:rPr>
          <w:sz w:val="22"/>
          <w:szCs w:val="22"/>
          <w:u w:val="single"/>
          <w:lang w:val="en-CA"/>
        </w:rPr>
        <w:t>The dispute is real and not theoretical</w:t>
      </w:r>
      <w:r w:rsidRPr="00933BE3">
        <w:rPr>
          <w:sz w:val="22"/>
          <w:szCs w:val="22"/>
          <w:lang w:val="en-CA"/>
        </w:rPr>
        <w:t>;</w:t>
      </w:r>
    </w:p>
    <w:p w14:paraId="2D91D532" w14:textId="77777777" w:rsidR="003B1EC4" w:rsidRPr="00574FE8" w:rsidRDefault="003B1EC4" w:rsidP="003B1EC4">
      <w:pPr>
        <w:pStyle w:val="Default"/>
        <w:spacing w:before="120" w:after="120"/>
        <w:ind w:left="731" w:firstLine="731"/>
        <w:jc w:val="both"/>
        <w:rPr>
          <w:sz w:val="22"/>
          <w:szCs w:val="22"/>
          <w:lang w:val="en-CA"/>
        </w:rPr>
      </w:pPr>
      <w:r>
        <w:rPr>
          <w:sz w:val="22"/>
          <w:szCs w:val="22"/>
          <w:lang w:val="en-CA"/>
        </w:rPr>
        <w:t>(c)</w:t>
      </w:r>
      <w:r w:rsidRPr="00574FE8">
        <w:rPr>
          <w:sz w:val="22"/>
          <w:szCs w:val="22"/>
          <w:lang w:val="en-CA"/>
        </w:rPr>
        <w:tab/>
      </w:r>
      <w:r>
        <w:rPr>
          <w:sz w:val="22"/>
          <w:szCs w:val="22"/>
          <w:lang w:val="en-CA"/>
        </w:rPr>
        <w:t>The party raising the issue has a genuine interest in its resolution; and</w:t>
      </w:r>
    </w:p>
    <w:p w14:paraId="4EACA90B" w14:textId="77777777" w:rsidR="003B1EC4" w:rsidRPr="00561913" w:rsidRDefault="003B1EC4" w:rsidP="003B1EC4">
      <w:pPr>
        <w:pStyle w:val="Default"/>
        <w:spacing w:before="120" w:after="120"/>
        <w:ind w:left="1462"/>
        <w:jc w:val="both"/>
        <w:rPr>
          <w:sz w:val="22"/>
          <w:szCs w:val="22"/>
          <w:u w:val="single"/>
          <w:lang w:val="en-CA"/>
        </w:rPr>
      </w:pPr>
      <w:r w:rsidRPr="00E202F1">
        <w:rPr>
          <w:sz w:val="22"/>
          <w:szCs w:val="22"/>
          <w:lang w:val="en-CA"/>
        </w:rPr>
        <w:t>(d)</w:t>
      </w:r>
      <w:r>
        <w:rPr>
          <w:sz w:val="22"/>
          <w:szCs w:val="22"/>
          <w:lang w:val="en-CA"/>
        </w:rPr>
        <w:tab/>
      </w:r>
      <w:r>
        <w:rPr>
          <w:sz w:val="22"/>
          <w:szCs w:val="22"/>
          <w:u w:val="single"/>
          <w:lang w:val="en-CA"/>
        </w:rPr>
        <w:t>The responding party has an interest in opposing the declaration being sought.</w:t>
      </w:r>
    </w:p>
    <w:p w14:paraId="50DDE895" w14:textId="77777777" w:rsidR="003B1EC4" w:rsidRPr="00E202F1" w:rsidRDefault="003B1EC4" w:rsidP="003B1EC4">
      <w:pPr>
        <w:pStyle w:val="Default"/>
        <w:spacing w:before="120" w:after="120"/>
        <w:ind w:left="1462"/>
        <w:jc w:val="right"/>
      </w:pPr>
      <w:r w:rsidRPr="00E202F1">
        <w:t>[</w:t>
      </w:r>
      <w:proofErr w:type="spellStart"/>
      <w:r w:rsidRPr="00E202F1">
        <w:t>Emphasis</w:t>
      </w:r>
      <w:proofErr w:type="spellEnd"/>
      <w:r w:rsidRPr="00E202F1">
        <w:t xml:space="preserve"> </w:t>
      </w:r>
      <w:proofErr w:type="spellStart"/>
      <w:r w:rsidRPr="00E202F1">
        <w:t>added</w:t>
      </w:r>
      <w:proofErr w:type="spellEnd"/>
      <w:r w:rsidRPr="00E202F1">
        <w:t>.]</w:t>
      </w:r>
    </w:p>
    <w:p w14:paraId="6C3070F2" w14:textId="77777777" w:rsidR="003B1EC4" w:rsidRPr="00933BE3" w:rsidRDefault="003B1EC4" w:rsidP="003B1EC4">
      <w:pPr>
        <w:pStyle w:val="Paragrsimple"/>
        <w:rPr>
          <w:lang w:val="en-CA"/>
        </w:rPr>
      </w:pPr>
      <w:r w:rsidRPr="00933BE3">
        <w:rPr>
          <w:lang w:val="en-CA"/>
        </w:rPr>
        <w:t xml:space="preserve">The </w:t>
      </w:r>
      <w:r>
        <w:rPr>
          <w:lang w:val="en-CA"/>
        </w:rPr>
        <w:t>c</w:t>
      </w:r>
      <w:r w:rsidRPr="00933BE3">
        <w:rPr>
          <w:lang w:val="en-CA"/>
        </w:rPr>
        <w:t xml:space="preserve">ourt clearly indicates that such a judgment is the appropriate remedy “where government action </w:t>
      </w:r>
      <w:r w:rsidRPr="00933BE3">
        <w:rPr>
          <w:u w:val="single"/>
          <w:lang w:val="en-CA"/>
        </w:rPr>
        <w:t>is found</w:t>
      </w:r>
      <w:r w:rsidRPr="00933BE3">
        <w:rPr>
          <w:lang w:val="en-CA"/>
        </w:rPr>
        <w:t xml:space="preserve"> to violate the </w:t>
      </w:r>
      <w:r w:rsidRPr="00933BE3">
        <w:rPr>
          <w:i/>
          <w:lang w:val="en-CA"/>
        </w:rPr>
        <w:t>Charter</w:t>
      </w:r>
      <w:r>
        <w:rPr>
          <w:iCs/>
          <w:lang w:val="en-CA"/>
        </w:rPr>
        <w:t>”</w:t>
      </w:r>
      <w:r w:rsidRPr="00933BE3">
        <w:rPr>
          <w:i/>
          <w:lang w:val="en-CA"/>
        </w:rPr>
        <w:t>.</w:t>
      </w:r>
      <w:r w:rsidRPr="00E127D6">
        <w:rPr>
          <w:rStyle w:val="Appelnotedebasdep"/>
          <w:rFonts w:cs="Arial"/>
        </w:rPr>
        <w:footnoteReference w:id="171"/>
      </w:r>
    </w:p>
    <w:p w14:paraId="1969E56F" w14:textId="03FA1C4A" w:rsidR="003B1EC4" w:rsidRPr="00933BE3" w:rsidRDefault="003B1EC4" w:rsidP="003B1EC4">
      <w:pPr>
        <w:pStyle w:val="Paragrsimple"/>
        <w:rPr>
          <w:lang w:val="en-CA"/>
        </w:rPr>
      </w:pPr>
      <w:r w:rsidRPr="00E202F1">
        <w:rPr>
          <w:lang w:val="en-CA"/>
        </w:rPr>
        <w:t>No evidence was adduced in this regard.</w:t>
      </w:r>
      <w:r w:rsidRPr="00933BE3">
        <w:rPr>
          <w:lang w:val="en-CA"/>
        </w:rPr>
        <w:t xml:space="preserve"> It is necessary to refrain from rendering judgments</w:t>
      </w:r>
      <w:r w:rsidR="0038779C">
        <w:rPr>
          <w:lang w:val="en-CA"/>
        </w:rPr>
        <w:t xml:space="preserve"> that could be </w:t>
      </w:r>
      <w:r w:rsidR="0038779C" w:rsidRPr="0038779C">
        <w:rPr>
          <w:i/>
          <w:iCs/>
          <w:lang w:val="en-CA"/>
        </w:rPr>
        <w:t>res</w:t>
      </w:r>
      <w:r w:rsidR="0038779C">
        <w:rPr>
          <w:lang w:val="en-CA"/>
        </w:rPr>
        <w:t xml:space="preserve"> </w:t>
      </w:r>
      <w:r w:rsidR="0038779C" w:rsidRPr="0038779C">
        <w:rPr>
          <w:i/>
          <w:iCs/>
          <w:lang w:val="en-CA"/>
        </w:rPr>
        <w:t>judicata</w:t>
      </w:r>
      <w:r w:rsidRPr="00933BE3">
        <w:rPr>
          <w:lang w:val="en-CA"/>
        </w:rPr>
        <w:t xml:space="preserve"> </w:t>
      </w:r>
      <w:r w:rsidR="0038779C">
        <w:rPr>
          <w:lang w:val="en-CA"/>
        </w:rPr>
        <w:t>outside</w:t>
      </w:r>
      <w:r w:rsidR="00844E3A">
        <w:rPr>
          <w:lang w:val="en-CA"/>
        </w:rPr>
        <w:t xml:space="preserve"> the appropriate factual context</w:t>
      </w:r>
      <w:r w:rsidRPr="00933BE3">
        <w:rPr>
          <w:lang w:val="en-CA"/>
        </w:rPr>
        <w:t xml:space="preserve">. </w:t>
      </w:r>
    </w:p>
    <w:p w14:paraId="4F38422E" w14:textId="7C9D9B1C" w:rsidR="0059652F" w:rsidRDefault="0038779C" w:rsidP="00ED25B3">
      <w:pPr>
        <w:pStyle w:val="Paragrsimple"/>
        <w:keepNext/>
        <w:rPr>
          <w:lang w:val="en-CA"/>
        </w:rPr>
      </w:pPr>
      <w:r w:rsidRPr="007442C8">
        <w:rPr>
          <w:lang w:val="en-CA"/>
        </w:rPr>
        <w:t>If need be, t</w:t>
      </w:r>
      <w:r w:rsidR="003B1EC4" w:rsidRPr="007442C8">
        <w:rPr>
          <w:lang w:val="en-CA"/>
        </w:rPr>
        <w:t>he Court will exercise its discretion by refraining from ruling on the issue.</w:t>
      </w:r>
    </w:p>
    <w:p w14:paraId="4DBB2BBB" w14:textId="64E0EA75" w:rsidR="003B1EC4" w:rsidRPr="00933BE3" w:rsidRDefault="00844E3A" w:rsidP="00F46BCF">
      <w:pPr>
        <w:pStyle w:val="Titre3"/>
        <w:keepNext/>
        <w:numPr>
          <w:ilvl w:val="0"/>
          <w:numId w:val="0"/>
        </w:numPr>
        <w:ind w:left="1718" w:hanging="357"/>
        <w:rPr>
          <w:lang w:val="en-CA"/>
        </w:rPr>
      </w:pPr>
      <w:r>
        <w:rPr>
          <w:lang w:val="en-CA"/>
        </w:rPr>
        <w:t xml:space="preserve">viii. </w:t>
      </w:r>
      <w:bookmarkStart w:id="46" w:name="_Hlk149038657"/>
      <w:r w:rsidR="003B1EC4" w:rsidRPr="00933BE3">
        <w:rPr>
          <w:lang w:val="en-CA"/>
        </w:rPr>
        <w:t xml:space="preserve">Transfer of powers from school service centres to governing boards </w:t>
      </w:r>
      <w:r w:rsidR="007442C8">
        <w:rPr>
          <w:lang w:val="en-CA"/>
        </w:rPr>
        <w:t xml:space="preserve">through the establishment of </w:t>
      </w:r>
      <w:r w:rsidR="003B1EC4" w:rsidRPr="00933BE3">
        <w:rPr>
          <w:lang w:val="en-CA"/>
        </w:rPr>
        <w:t>budgetary rules</w:t>
      </w:r>
      <w:bookmarkEnd w:id="46"/>
    </w:p>
    <w:p w14:paraId="20897256" w14:textId="4278DC4C" w:rsidR="003B1EC4" w:rsidRPr="00933BE3" w:rsidRDefault="003B1EC4" w:rsidP="003B1EC4">
      <w:pPr>
        <w:pStyle w:val="Paragrsimple"/>
        <w:rPr>
          <w:lang w:val="en-CA"/>
        </w:rPr>
      </w:pPr>
      <w:r w:rsidRPr="00933BE3">
        <w:rPr>
          <w:lang w:val="en-CA"/>
        </w:rPr>
        <w:t xml:space="preserve">The </w:t>
      </w:r>
      <w:r>
        <w:rPr>
          <w:lang w:val="en-CA"/>
        </w:rPr>
        <w:t>applicants</w:t>
      </w:r>
      <w:r w:rsidRPr="00933BE3">
        <w:rPr>
          <w:lang w:val="en-CA"/>
        </w:rPr>
        <w:t xml:space="preserve"> also </w:t>
      </w:r>
      <w:r w:rsidR="00612969">
        <w:rPr>
          <w:lang w:val="en-CA"/>
        </w:rPr>
        <w:t>seek</w:t>
      </w:r>
      <w:r w:rsidR="00CB6647">
        <w:rPr>
          <w:lang w:val="en-CA"/>
        </w:rPr>
        <w:t xml:space="preserve"> a declaration of invalidity of </w:t>
      </w:r>
      <w:r w:rsidRPr="00933BE3">
        <w:rPr>
          <w:lang w:val="en-CA"/>
        </w:rPr>
        <w:t xml:space="preserve">a statutory provision </w:t>
      </w:r>
      <w:r w:rsidR="00BB2F1C">
        <w:rPr>
          <w:lang w:val="en-CA"/>
        </w:rPr>
        <w:t>enacted</w:t>
      </w:r>
      <w:r w:rsidR="00BB2F1C" w:rsidRPr="00933BE3">
        <w:rPr>
          <w:lang w:val="en-CA"/>
        </w:rPr>
        <w:t xml:space="preserve"> </w:t>
      </w:r>
      <w:r w:rsidRPr="00933BE3">
        <w:rPr>
          <w:lang w:val="en-CA"/>
        </w:rPr>
        <w:t>in 2016</w:t>
      </w:r>
      <w:r w:rsidR="00CB6647">
        <w:rPr>
          <w:lang w:val="en-CA"/>
        </w:rPr>
        <w:t>, namely</w:t>
      </w:r>
      <w:r w:rsidRPr="00933BE3">
        <w:rPr>
          <w:lang w:val="en-CA"/>
        </w:rPr>
        <w:t xml:space="preserve"> the </w:t>
      </w:r>
      <w:r w:rsidR="00265BDE">
        <w:rPr>
          <w:lang w:val="en-CA"/>
        </w:rPr>
        <w:t xml:space="preserve">amendment to section 473.1 EA relating to budgetary rules in the </w:t>
      </w:r>
      <w:r w:rsidRPr="00E127D6">
        <w:rPr>
          <w:i/>
          <w:iCs/>
          <w:lang w:val="en-CA"/>
        </w:rPr>
        <w:t>Act to amend the Education Act</w:t>
      </w:r>
      <w:r w:rsidR="00265BDE">
        <w:rPr>
          <w:i/>
          <w:iCs/>
          <w:lang w:val="en-CA"/>
        </w:rPr>
        <w:t>.</w:t>
      </w:r>
      <w:r>
        <w:rPr>
          <w:rStyle w:val="Appelnotedebasdep"/>
          <w:rFonts w:cs="Arial"/>
        </w:rPr>
        <w:footnoteReference w:id="172"/>
      </w:r>
      <w:r w:rsidR="00265BDE">
        <w:rPr>
          <w:i/>
          <w:iCs/>
          <w:lang w:val="en-CA"/>
        </w:rPr>
        <w:t xml:space="preserve"> </w:t>
      </w:r>
      <w:r w:rsidRPr="00933BE3">
        <w:rPr>
          <w:lang w:val="en-CA"/>
        </w:rPr>
        <w:t xml:space="preserve">These rules, </w:t>
      </w:r>
      <w:r w:rsidR="00CB6647">
        <w:rPr>
          <w:lang w:val="en-CA"/>
        </w:rPr>
        <w:t xml:space="preserve">provided in </w:t>
      </w:r>
      <w:r w:rsidRPr="00933BE3">
        <w:rPr>
          <w:lang w:val="en-CA"/>
        </w:rPr>
        <w:t xml:space="preserve">section 472.1 </w:t>
      </w:r>
      <w:r w:rsidRPr="00402240">
        <w:rPr>
          <w:i/>
          <w:iCs/>
          <w:lang w:val="en-CA"/>
        </w:rPr>
        <w:t>EA</w:t>
      </w:r>
      <w:r w:rsidRPr="00933BE3">
        <w:rPr>
          <w:lang w:val="en-CA"/>
        </w:rPr>
        <w:t>, were established for the school service centres</w:t>
      </w:r>
      <w:r w:rsidR="00CB6647">
        <w:rPr>
          <w:lang w:val="en-CA"/>
        </w:rPr>
        <w:t xml:space="preserve"> as follows</w:t>
      </w:r>
      <w:r w:rsidRPr="00933BE3">
        <w:rPr>
          <w:lang w:val="en-CA"/>
        </w:rPr>
        <w:t xml:space="preserve">: </w:t>
      </w:r>
    </w:p>
    <w:p w14:paraId="53F41912" w14:textId="77777777" w:rsidR="003B1EC4" w:rsidRPr="00933BE3" w:rsidRDefault="003B1EC4" w:rsidP="003B1EC4">
      <w:pPr>
        <w:pStyle w:val="Citation"/>
        <w:rPr>
          <w:lang w:val="en-CA"/>
        </w:rPr>
      </w:pPr>
      <w:r w:rsidRPr="00933BE3">
        <w:rPr>
          <w:lang w:val="en-CA"/>
        </w:rPr>
        <w:t xml:space="preserve">472. After consulting with the school service centres, the Minister shall establish annually and submit to the Conseil du </w:t>
      </w:r>
      <w:proofErr w:type="spellStart"/>
      <w:r w:rsidRPr="00933BE3">
        <w:rPr>
          <w:lang w:val="en-CA"/>
        </w:rPr>
        <w:t>trésor</w:t>
      </w:r>
      <w:proofErr w:type="spellEnd"/>
      <w:r w:rsidRPr="00933BE3">
        <w:rPr>
          <w:lang w:val="en-CA"/>
        </w:rPr>
        <w:t xml:space="preserve"> for approval, budgetary rules for the determination of the amount of operating expenses, capital expenditures and debt service expenses allowable for the purpose of subsidies to be allocated to school service centres and the </w:t>
      </w:r>
      <w:proofErr w:type="spellStart"/>
      <w:r w:rsidRPr="00933BE3">
        <w:rPr>
          <w:lang w:val="en-CA"/>
        </w:rPr>
        <w:t>Comité</w:t>
      </w:r>
      <w:proofErr w:type="spellEnd"/>
      <w:r w:rsidRPr="00933BE3">
        <w:rPr>
          <w:lang w:val="en-CA"/>
        </w:rPr>
        <w:t xml:space="preserve"> de gestion de la </w:t>
      </w:r>
      <w:proofErr w:type="spellStart"/>
      <w:r w:rsidRPr="00933BE3">
        <w:rPr>
          <w:lang w:val="en-CA"/>
        </w:rPr>
        <w:t>taxe</w:t>
      </w:r>
      <w:proofErr w:type="spellEnd"/>
      <w:r w:rsidRPr="00933BE3">
        <w:rPr>
          <w:lang w:val="en-CA"/>
        </w:rPr>
        <w:t xml:space="preserve"> </w:t>
      </w:r>
      <w:proofErr w:type="spellStart"/>
      <w:r w:rsidRPr="00933BE3">
        <w:rPr>
          <w:lang w:val="en-CA"/>
        </w:rPr>
        <w:t>scolaire</w:t>
      </w:r>
      <w:proofErr w:type="spellEnd"/>
      <w:r w:rsidRPr="00933BE3">
        <w:rPr>
          <w:lang w:val="en-CA"/>
        </w:rPr>
        <w:t xml:space="preserve"> de </w:t>
      </w:r>
      <w:proofErr w:type="spellStart"/>
      <w:r w:rsidRPr="00933BE3">
        <w:rPr>
          <w:lang w:val="en-CA"/>
        </w:rPr>
        <w:t>l’île</w:t>
      </w:r>
      <w:proofErr w:type="spellEnd"/>
      <w:r w:rsidRPr="00933BE3">
        <w:rPr>
          <w:lang w:val="en-CA"/>
        </w:rPr>
        <w:t xml:space="preserve"> de Montréal. The budgetary rules shall be drafted in such a way as to provide an equitable apportionment with regard to the allocation of subsidies applicable to the operating expenses of school service centres.</w:t>
      </w:r>
    </w:p>
    <w:p w14:paraId="56729A7C" w14:textId="31A821A8" w:rsidR="003B1EC4" w:rsidRPr="00933BE3" w:rsidRDefault="00CB6647" w:rsidP="003B1EC4">
      <w:pPr>
        <w:pStyle w:val="Paragrsimple"/>
        <w:rPr>
          <w:lang w:val="en-CA"/>
        </w:rPr>
      </w:pPr>
      <w:r>
        <w:rPr>
          <w:lang w:val="en-CA"/>
        </w:rPr>
        <w:t>However</w:t>
      </w:r>
      <w:r w:rsidR="003B1EC4" w:rsidRPr="00933BE3">
        <w:rPr>
          <w:lang w:val="en-CA"/>
        </w:rPr>
        <w:t>, section 473.1, as it has been since 2016, allows the Minister to order the transfer of certain amounts budgeted for school service centres to</w:t>
      </w:r>
      <w:r>
        <w:rPr>
          <w:lang w:val="en-CA"/>
        </w:rPr>
        <w:t xml:space="preserve"> the </w:t>
      </w:r>
      <w:r w:rsidR="003B1EC4" w:rsidRPr="00933BE3">
        <w:rPr>
          <w:lang w:val="en-CA"/>
        </w:rPr>
        <w:t>institutions:</w:t>
      </w:r>
    </w:p>
    <w:p w14:paraId="059D63D0" w14:textId="77777777" w:rsidR="003B1EC4" w:rsidRPr="00933BE3" w:rsidRDefault="003B1EC4" w:rsidP="003B1EC4">
      <w:pPr>
        <w:pStyle w:val="Citation"/>
        <w:rPr>
          <w:u w:val="single"/>
          <w:lang w:val="en-CA"/>
        </w:rPr>
      </w:pPr>
      <w:r w:rsidRPr="00933BE3">
        <w:rPr>
          <w:lang w:val="en-CA"/>
        </w:rPr>
        <w:t xml:space="preserve">473.1 The budgetary rules may, subject to the conditions or according to the criteria prescribed therein or determined by the Minister, provide for the granting of subsidies or authorize the Minister to grant subsidies to school service centres or to the </w:t>
      </w:r>
      <w:proofErr w:type="spellStart"/>
      <w:r w:rsidRPr="00933BE3">
        <w:rPr>
          <w:lang w:val="en-CA"/>
        </w:rPr>
        <w:t>Comité</w:t>
      </w:r>
      <w:proofErr w:type="spellEnd"/>
      <w:r w:rsidRPr="00933BE3">
        <w:rPr>
          <w:lang w:val="en-CA"/>
        </w:rPr>
        <w:t xml:space="preserve"> de gestion de la </w:t>
      </w:r>
      <w:proofErr w:type="spellStart"/>
      <w:r w:rsidRPr="00933BE3">
        <w:rPr>
          <w:lang w:val="en-CA"/>
        </w:rPr>
        <w:t>taxe</w:t>
      </w:r>
      <w:proofErr w:type="spellEnd"/>
      <w:r w:rsidRPr="00933BE3">
        <w:rPr>
          <w:lang w:val="en-CA"/>
        </w:rPr>
        <w:t xml:space="preserve"> </w:t>
      </w:r>
      <w:proofErr w:type="spellStart"/>
      <w:r w:rsidRPr="00933BE3">
        <w:rPr>
          <w:lang w:val="en-CA"/>
        </w:rPr>
        <w:t>scolaire</w:t>
      </w:r>
      <w:proofErr w:type="spellEnd"/>
      <w:r w:rsidRPr="00933BE3">
        <w:rPr>
          <w:lang w:val="en-CA"/>
        </w:rPr>
        <w:t xml:space="preserve"> de </w:t>
      </w:r>
      <w:proofErr w:type="spellStart"/>
      <w:r w:rsidRPr="00933BE3">
        <w:rPr>
          <w:lang w:val="en-CA"/>
        </w:rPr>
        <w:t>l’île</w:t>
      </w:r>
      <w:proofErr w:type="spellEnd"/>
      <w:r w:rsidRPr="00933BE3">
        <w:rPr>
          <w:lang w:val="en-CA"/>
        </w:rPr>
        <w:t xml:space="preserve"> de Montréal, in order to take into account special situations or to carry out certain projects or activities. </w:t>
      </w:r>
      <w:r w:rsidRPr="00933BE3">
        <w:rPr>
          <w:u w:val="single"/>
          <w:lang w:val="en-CA"/>
        </w:rPr>
        <w:t xml:space="preserve">The budgetary rules may also, subject to the conditions or in accordance with the criteria prescribed in them or determined by the Minister, </w:t>
      </w:r>
      <w:r w:rsidRPr="00933BE3">
        <w:rPr>
          <w:u w:val="single"/>
          <w:lang w:val="en-CA"/>
        </w:rPr>
        <w:lastRenderedPageBreak/>
        <w:t>stipulate that certain budgetary measures are intended for a transfer to the budget of educational institutions.</w:t>
      </w:r>
    </w:p>
    <w:p w14:paraId="020AD119" w14:textId="5C7449CE" w:rsidR="003B1EC4" w:rsidRPr="00E202F1" w:rsidRDefault="00265BDE" w:rsidP="00265BDE">
      <w:pPr>
        <w:pStyle w:val="Default"/>
        <w:spacing w:before="120" w:after="120"/>
        <w:ind w:left="2193" w:firstLine="731"/>
        <w:jc w:val="center"/>
        <w:rPr>
          <w:lang w:val="en-CA"/>
        </w:rPr>
      </w:pPr>
      <w:r>
        <w:rPr>
          <w:lang w:val="en-CA"/>
        </w:rPr>
        <w:t xml:space="preserve">       </w:t>
      </w:r>
      <w:r w:rsidR="003B1EC4" w:rsidRPr="00E202F1">
        <w:rPr>
          <w:lang w:val="en-CA"/>
        </w:rPr>
        <w:t>[Emphasis added to the 2016</w:t>
      </w:r>
      <w:r>
        <w:rPr>
          <w:lang w:val="en-CA"/>
        </w:rPr>
        <w:t xml:space="preserve"> addition</w:t>
      </w:r>
      <w:r w:rsidR="003B1EC4" w:rsidRPr="00E202F1">
        <w:rPr>
          <w:lang w:val="en-CA"/>
        </w:rPr>
        <w:t>]</w:t>
      </w:r>
    </w:p>
    <w:p w14:paraId="740457D6" w14:textId="0681AEAD" w:rsidR="003B1EC4" w:rsidRPr="00E202F1" w:rsidRDefault="003B1EC4" w:rsidP="003B1EC4">
      <w:pPr>
        <w:pStyle w:val="Paragrsimple"/>
        <w:rPr>
          <w:lang w:val="en-CA"/>
        </w:rPr>
      </w:pPr>
      <w:r w:rsidRPr="00E202F1">
        <w:rPr>
          <w:lang w:val="en-CA"/>
        </w:rPr>
        <w:t xml:space="preserve">The explanatory notes for the bill </w:t>
      </w:r>
      <w:r w:rsidR="00B3471B">
        <w:rPr>
          <w:lang w:val="en-CA"/>
        </w:rPr>
        <w:t>explain</w:t>
      </w:r>
      <w:r w:rsidRPr="00E202F1">
        <w:rPr>
          <w:lang w:val="en-CA"/>
        </w:rPr>
        <w:t xml:space="preserve"> the purpose of this addition:</w:t>
      </w:r>
    </w:p>
    <w:p w14:paraId="65AAAFF1" w14:textId="77777777" w:rsidR="003B1EC4" w:rsidRPr="00933BE3" w:rsidRDefault="003B1EC4" w:rsidP="003B1EC4">
      <w:pPr>
        <w:pStyle w:val="Citation"/>
        <w:rPr>
          <w:lang w:val="en-CA" w:eastAsia="fr-CA"/>
        </w:rPr>
      </w:pPr>
      <w:r w:rsidRPr="00933BE3">
        <w:rPr>
          <w:lang w:val="en-CA" w:eastAsia="fr-CA"/>
        </w:rPr>
        <w:t>The Act also introduces certain measures to ensure the participation of school, vocational training centre and adult education centre principals in certain school board decisions concerning the allocation of school board resources. It also specifies that school boards must fulfil their mission with due respect for the principle of subsidiarity and with a view to providing support to educational institutions in the exercise of their responsibilities.</w:t>
      </w:r>
    </w:p>
    <w:p w14:paraId="602CA36A" w14:textId="5E1BF848" w:rsidR="003B1EC4" w:rsidRPr="00933BE3" w:rsidRDefault="003B1EC4" w:rsidP="003B1EC4">
      <w:pPr>
        <w:pStyle w:val="Paragrsimple"/>
        <w:rPr>
          <w:lang w:val="en-CA"/>
        </w:rPr>
      </w:pPr>
      <w:r w:rsidRPr="00933BE3">
        <w:rPr>
          <w:lang w:val="en-CA"/>
        </w:rPr>
        <w:t xml:space="preserve">The </w:t>
      </w:r>
      <w:r>
        <w:rPr>
          <w:lang w:val="en-CA"/>
        </w:rPr>
        <w:t>applicants</w:t>
      </w:r>
      <w:r w:rsidRPr="00933BE3">
        <w:rPr>
          <w:lang w:val="en-CA"/>
        </w:rPr>
        <w:t xml:space="preserve"> argue that the purpose of section 473.1 is to short-circuit the </w:t>
      </w:r>
      <w:r w:rsidR="0093736A">
        <w:rPr>
          <w:lang w:val="en-CA"/>
        </w:rPr>
        <w:t xml:space="preserve">school board’s </w:t>
      </w:r>
      <w:r w:rsidRPr="00933BE3">
        <w:rPr>
          <w:lang w:val="en-CA"/>
        </w:rPr>
        <w:t xml:space="preserve">control and </w:t>
      </w:r>
      <w:r w:rsidR="00B3471B">
        <w:rPr>
          <w:lang w:val="en-CA"/>
        </w:rPr>
        <w:t xml:space="preserve">funding </w:t>
      </w:r>
      <w:r w:rsidRPr="00933BE3">
        <w:rPr>
          <w:lang w:val="en-CA"/>
        </w:rPr>
        <w:t>allocation</w:t>
      </w:r>
      <w:r w:rsidR="00B3471B">
        <w:rPr>
          <w:lang w:val="en-CA"/>
        </w:rPr>
        <w:t>s</w:t>
      </w:r>
      <w:r w:rsidRPr="00933BE3">
        <w:rPr>
          <w:lang w:val="en-CA"/>
        </w:rPr>
        <w:t xml:space="preserve"> by sending the money directly to the institutions.</w:t>
      </w:r>
    </w:p>
    <w:p w14:paraId="2B8604CF" w14:textId="2FFEE7FD" w:rsidR="003B1EC4" w:rsidRPr="00933BE3" w:rsidRDefault="003B1EC4" w:rsidP="003B1EC4">
      <w:pPr>
        <w:pStyle w:val="Paragrsimple"/>
        <w:rPr>
          <w:lang w:val="en-CA"/>
        </w:rPr>
      </w:pPr>
      <w:r w:rsidRPr="00933BE3">
        <w:rPr>
          <w:lang w:val="en-CA"/>
        </w:rPr>
        <w:t>The way these budgetary rules work and the instructions given by the Minister are explained in the sworn statement of</w:t>
      </w:r>
      <w:r w:rsidR="0093736A">
        <w:rPr>
          <w:lang w:val="en-CA"/>
        </w:rPr>
        <w:t xml:space="preserve"> </w:t>
      </w:r>
      <w:r w:rsidRPr="00933BE3">
        <w:rPr>
          <w:lang w:val="en-CA"/>
        </w:rPr>
        <w:t xml:space="preserve">Livia </w:t>
      </w:r>
      <w:proofErr w:type="spellStart"/>
      <w:r w:rsidRPr="00933BE3">
        <w:rPr>
          <w:lang w:val="en-CA"/>
        </w:rPr>
        <w:t>Nassivera</w:t>
      </w:r>
      <w:proofErr w:type="spellEnd"/>
      <w:r w:rsidRPr="00933BE3">
        <w:rPr>
          <w:lang w:val="en-CA"/>
        </w:rPr>
        <w:t>, director of finance for the English Montreal School Board:</w:t>
      </w:r>
      <w:r>
        <w:rPr>
          <w:rStyle w:val="Appelnotedebasdep"/>
          <w:szCs w:val="24"/>
        </w:rPr>
        <w:footnoteReference w:id="173"/>
      </w:r>
      <w:r w:rsidRPr="00933BE3">
        <w:rPr>
          <w:lang w:val="en-CA"/>
        </w:rPr>
        <w:t xml:space="preserve"> </w:t>
      </w:r>
    </w:p>
    <w:p w14:paraId="4F7330DF" w14:textId="77777777" w:rsidR="003B1EC4" w:rsidRPr="0051160F" w:rsidRDefault="003B1EC4" w:rsidP="003B1EC4">
      <w:pPr>
        <w:pStyle w:val="Citation"/>
        <w:rPr>
          <w:lang w:val="en-CA" w:eastAsia="fr-CA"/>
        </w:rPr>
      </w:pPr>
      <w:r>
        <w:rPr>
          <w:lang w:val="en-CA" w:eastAsia="fr-CA"/>
        </w:rPr>
        <w:t>3.</w:t>
      </w:r>
      <w:r w:rsidRPr="0051160F">
        <w:rPr>
          <w:lang w:val="en-CA" w:eastAsia="fr-CA"/>
        </w:rPr>
        <w:t xml:space="preserve"> </w:t>
      </w:r>
      <w:r>
        <w:rPr>
          <w:lang w:val="en-CA" w:eastAsia="fr-CA"/>
        </w:rPr>
        <w:t>Every year, the Ministry publishes the budgetary rules which determine the amount of subsidies to be granted to school boards for the year.</w:t>
      </w:r>
      <w:r w:rsidRPr="0051160F">
        <w:rPr>
          <w:lang w:val="en-CA" w:eastAsia="fr-CA"/>
        </w:rPr>
        <w:t xml:space="preserve"> </w:t>
      </w:r>
    </w:p>
    <w:p w14:paraId="1126B348" w14:textId="77777777" w:rsidR="003B1EC4" w:rsidRPr="0051160F" w:rsidRDefault="003B1EC4" w:rsidP="003B1EC4">
      <w:pPr>
        <w:pStyle w:val="Citation"/>
        <w:rPr>
          <w:lang w:val="en-CA" w:eastAsia="fr-CA"/>
        </w:rPr>
      </w:pPr>
      <w:r>
        <w:rPr>
          <w:lang w:val="en-CA" w:eastAsia="fr-CA"/>
        </w:rPr>
        <w:t>4.</w:t>
      </w:r>
      <w:r w:rsidRPr="0051160F">
        <w:rPr>
          <w:lang w:val="en-CA" w:eastAsia="fr-CA"/>
        </w:rPr>
        <w:t xml:space="preserve"> </w:t>
      </w:r>
      <w:r>
        <w:rPr>
          <w:lang w:val="en-CA" w:eastAsia="fr-CA"/>
        </w:rPr>
        <w:t>Since 2016, the budgetary rules of the Ministry have stipulated that certain budgetary measures are intended for transfer to the budget of educational institutions, that is schools and adult education and vocational training centres (hereinafter, “protected or dedicated budgetary measures”), as appears from the budgetary rules of 2016-2017 attached as exhibit LN-1, the budgetary rules of 2017-2018, attached as exhibit LN-2, the budgetary rules of 2018-2019 attached as exhibit LN-3, the budgetary rules of 2019-2020 attached as exhibit LN-4, and the budgetary rules of 2020-2021 as amended in August 2020, attached as exhibit LN-5.</w:t>
      </w:r>
      <w:r w:rsidRPr="0051160F">
        <w:rPr>
          <w:lang w:val="en-CA" w:eastAsia="fr-CA"/>
        </w:rPr>
        <w:t xml:space="preserve"> </w:t>
      </w:r>
    </w:p>
    <w:p w14:paraId="14B88396" w14:textId="77777777" w:rsidR="003B1EC4" w:rsidRPr="0051160F" w:rsidRDefault="003B1EC4" w:rsidP="003B1EC4">
      <w:pPr>
        <w:pStyle w:val="Citation"/>
        <w:rPr>
          <w:lang w:val="en-CA"/>
        </w:rPr>
      </w:pPr>
      <w:r>
        <w:rPr>
          <w:lang w:val="en-CA"/>
        </w:rPr>
        <w:t>5.</w:t>
      </w:r>
      <w:r w:rsidRPr="0051160F">
        <w:rPr>
          <w:lang w:val="en-CA"/>
        </w:rPr>
        <w:t> </w:t>
      </w:r>
      <w:r>
        <w:rPr>
          <w:lang w:val="en-CA"/>
        </w:rPr>
        <w:t>As explained in exhibits LN-1 to LN-5, unlike funds obtained through other budgetary measures, which leave the school board with flexibility to determine the use to which the funds will be dedicated, the funds obtained through protected or dedicated budgetary measures have restrictions on their transferability that limit the school board’s ability to determine how it will use and allocate those funds.</w:t>
      </w:r>
      <w:r w:rsidRPr="0051160F">
        <w:rPr>
          <w:lang w:val="en-CA"/>
        </w:rPr>
        <w:t xml:space="preserve"> </w:t>
      </w:r>
    </w:p>
    <w:p w14:paraId="059CCE56" w14:textId="77777777" w:rsidR="003B1EC4" w:rsidRPr="0051160F" w:rsidRDefault="003B1EC4" w:rsidP="003B1EC4">
      <w:pPr>
        <w:pStyle w:val="Citation"/>
        <w:rPr>
          <w:lang w:val="en-CA"/>
        </w:rPr>
      </w:pPr>
      <w:r>
        <w:rPr>
          <w:lang w:val="en-CA"/>
        </w:rPr>
        <w:t>6.</w:t>
      </w:r>
      <w:r w:rsidRPr="0051160F">
        <w:rPr>
          <w:lang w:val="en-CA"/>
        </w:rPr>
        <w:t> </w:t>
      </w:r>
      <w:r>
        <w:rPr>
          <w:lang w:val="en-CA"/>
        </w:rPr>
        <w:t>As explained in exhibits LN-1 to LN-5, there are two types of such measures: protected measures (“</w:t>
      </w:r>
      <w:proofErr w:type="spellStart"/>
      <w:r>
        <w:rPr>
          <w:lang w:val="en-CA"/>
        </w:rPr>
        <w:t>mesures</w:t>
      </w:r>
      <w:proofErr w:type="spellEnd"/>
      <w:r>
        <w:rPr>
          <w:lang w:val="en-CA"/>
        </w:rPr>
        <w:t xml:space="preserve"> protégées”) and dedicated measures (“</w:t>
      </w:r>
      <w:proofErr w:type="spellStart"/>
      <w:r>
        <w:rPr>
          <w:lang w:val="en-CA"/>
        </w:rPr>
        <w:t>mesures</w:t>
      </w:r>
      <w:proofErr w:type="spellEnd"/>
      <w:r>
        <w:rPr>
          <w:lang w:val="en-CA"/>
        </w:rPr>
        <w:t xml:space="preserve"> </w:t>
      </w:r>
      <w:proofErr w:type="spellStart"/>
      <w:r>
        <w:rPr>
          <w:lang w:val="en-CA"/>
        </w:rPr>
        <w:t>dédiées</w:t>
      </w:r>
      <w:proofErr w:type="spellEnd"/>
      <w:r>
        <w:rPr>
          <w:lang w:val="en-CA"/>
        </w:rPr>
        <w:t>”).</w:t>
      </w:r>
    </w:p>
    <w:p w14:paraId="6BA47F99" w14:textId="77777777" w:rsidR="003B1EC4" w:rsidRPr="0051160F" w:rsidRDefault="003B1EC4" w:rsidP="003B1EC4">
      <w:pPr>
        <w:pStyle w:val="Citation"/>
        <w:rPr>
          <w:lang w:val="en-CA"/>
        </w:rPr>
      </w:pPr>
      <w:r>
        <w:rPr>
          <w:lang w:val="en-CA"/>
        </w:rPr>
        <w:lastRenderedPageBreak/>
        <w:t>7.</w:t>
      </w:r>
      <w:r w:rsidRPr="0051160F">
        <w:rPr>
          <w:lang w:val="en-CA"/>
        </w:rPr>
        <w:t> </w:t>
      </w:r>
      <w:r>
        <w:rPr>
          <w:lang w:val="en-CA"/>
        </w:rPr>
        <w:t>As explained in exhibits LN-1 to LN-5, the funds obtained under a protected measure must be transferred to schools and adult education and vocational training centres and must be used solely for the purpose identified by the Ministry for that measure (see for instance LN-5, p. XVII).</w:t>
      </w:r>
      <w:r w:rsidRPr="0051160F">
        <w:rPr>
          <w:lang w:val="en-CA"/>
        </w:rPr>
        <w:t xml:space="preserve"> </w:t>
      </w:r>
      <w:r>
        <w:rPr>
          <w:lang w:val="en-CA"/>
        </w:rPr>
        <w:t>The school board may decide the proportion of the subsidy that is allocated to each school but cannot decide to use any of the funds for any other purpose.</w:t>
      </w:r>
      <w:r w:rsidRPr="0051160F">
        <w:rPr>
          <w:lang w:val="en-CA"/>
        </w:rPr>
        <w:t xml:space="preserve"> </w:t>
      </w:r>
    </w:p>
    <w:p w14:paraId="20BFFFED" w14:textId="77777777" w:rsidR="003B1EC4" w:rsidRPr="00933BE3" w:rsidRDefault="003B1EC4" w:rsidP="003B1EC4">
      <w:pPr>
        <w:pStyle w:val="Citation"/>
        <w:rPr>
          <w:lang w:val="en-CA"/>
        </w:rPr>
      </w:pPr>
      <w:r w:rsidRPr="00933BE3">
        <w:rPr>
          <w:lang w:val="en-CA"/>
        </w:rPr>
        <w:t>8. For example, measure 15026 (</w:t>
      </w:r>
      <w:proofErr w:type="spellStart"/>
      <w:r w:rsidRPr="00933BE3">
        <w:rPr>
          <w:i/>
          <w:lang w:val="en-CA"/>
        </w:rPr>
        <w:t>Ajout</w:t>
      </w:r>
      <w:proofErr w:type="spellEnd"/>
      <w:r w:rsidRPr="00933BE3">
        <w:rPr>
          <w:i/>
          <w:lang w:val="en-CA"/>
        </w:rPr>
        <w:t xml:space="preserve"> </w:t>
      </w:r>
      <w:proofErr w:type="spellStart"/>
      <w:r w:rsidRPr="00933BE3">
        <w:rPr>
          <w:i/>
          <w:lang w:val="en-CA"/>
        </w:rPr>
        <w:t>d’enseignants</w:t>
      </w:r>
      <w:proofErr w:type="spellEnd"/>
      <w:r w:rsidRPr="00933BE3">
        <w:rPr>
          <w:i/>
          <w:lang w:val="en-CA"/>
        </w:rPr>
        <w:t xml:space="preserve"> </w:t>
      </w:r>
      <w:proofErr w:type="spellStart"/>
      <w:r w:rsidRPr="00933BE3">
        <w:rPr>
          <w:i/>
          <w:lang w:val="en-CA"/>
        </w:rPr>
        <w:t>spécialistes</w:t>
      </w:r>
      <w:proofErr w:type="spellEnd"/>
      <w:r w:rsidRPr="00933BE3">
        <w:rPr>
          <w:i/>
          <w:lang w:val="en-CA"/>
        </w:rPr>
        <w:t xml:space="preserve"> au </w:t>
      </w:r>
      <w:proofErr w:type="spellStart"/>
      <w:r w:rsidRPr="00933BE3">
        <w:rPr>
          <w:i/>
          <w:lang w:val="en-CA"/>
        </w:rPr>
        <w:t>préscolaire</w:t>
      </w:r>
      <w:proofErr w:type="spellEnd"/>
      <w:r w:rsidRPr="00933BE3">
        <w:rPr>
          <w:lang w:val="en-CA"/>
        </w:rPr>
        <w:t>) in the budgetary rules of 2020-2021 is a protected measure that may only be used for the purpose of providing preschoolers with a 30-minute segment per week with a teacher specialized in physical education, health or arts, as appears from exhibit LN-5</w:t>
      </w:r>
      <w:r w:rsidRPr="00933BE3">
        <w:rPr>
          <w:b/>
          <w:lang w:val="en-CA"/>
        </w:rPr>
        <w:t xml:space="preserve"> </w:t>
      </w:r>
      <w:r w:rsidRPr="00933BE3">
        <w:rPr>
          <w:lang w:val="en-CA"/>
        </w:rPr>
        <w:t xml:space="preserve">(at p. 79). </w:t>
      </w:r>
    </w:p>
    <w:p w14:paraId="00C9FDF2" w14:textId="77777777" w:rsidR="003B1EC4" w:rsidRPr="0051160F" w:rsidRDefault="003B1EC4" w:rsidP="003B1EC4">
      <w:pPr>
        <w:pStyle w:val="Citation"/>
        <w:rPr>
          <w:lang w:val="en-CA"/>
        </w:rPr>
      </w:pPr>
      <w:r>
        <w:rPr>
          <w:lang w:val="en-CA"/>
        </w:rPr>
        <w:t>9.</w:t>
      </w:r>
      <w:r w:rsidRPr="0051160F">
        <w:rPr>
          <w:lang w:val="en-CA"/>
        </w:rPr>
        <w:t> </w:t>
      </w:r>
      <w:r>
        <w:rPr>
          <w:lang w:val="en-CA"/>
        </w:rPr>
        <w:t>The funds obtained under a dedicated measure must be transferred to schools and adult education and vocational training centres; the school board or the school can transfer the funds to another measure but only within the same grouping of budgetary measure (see for instance exhibit LN-5, at p. XVII).</w:t>
      </w:r>
      <w:r w:rsidRPr="0051160F">
        <w:rPr>
          <w:lang w:val="en-CA"/>
        </w:rPr>
        <w:t xml:space="preserve"> </w:t>
      </w:r>
    </w:p>
    <w:p w14:paraId="601FCE08" w14:textId="77777777" w:rsidR="003B1EC4" w:rsidRPr="0051160F" w:rsidRDefault="003B1EC4" w:rsidP="003B1EC4">
      <w:pPr>
        <w:pStyle w:val="Citation"/>
        <w:rPr>
          <w:lang w:val="en-CA"/>
        </w:rPr>
      </w:pPr>
      <w:r>
        <w:rPr>
          <w:lang w:val="en-CA"/>
        </w:rPr>
        <w:t>12.</w:t>
      </w:r>
      <w:r w:rsidRPr="0051160F">
        <w:rPr>
          <w:lang w:val="en-CA"/>
        </w:rPr>
        <w:t> </w:t>
      </w:r>
      <w:r>
        <w:rPr>
          <w:lang w:val="en-CA"/>
        </w:rPr>
        <w:t>Since 2016-2017, the number of protected and dedicated measures have significantly increased.</w:t>
      </w:r>
      <w:r w:rsidRPr="0051160F">
        <w:rPr>
          <w:lang w:val="en-CA"/>
        </w:rPr>
        <w:t xml:space="preserve"> </w:t>
      </w:r>
      <w:r>
        <w:rPr>
          <w:lang w:val="en-CA"/>
        </w:rPr>
        <w:t>In 2016-2017, there were 14 dedicated measures and no protected measures in the budgetary rules, as appears from exhibit LN-1, at pp. 1-2.</w:t>
      </w:r>
      <w:r w:rsidRPr="0051160F">
        <w:rPr>
          <w:lang w:val="en-CA"/>
        </w:rPr>
        <w:t xml:space="preserve"> </w:t>
      </w:r>
      <w:r>
        <w:rPr>
          <w:lang w:val="en-CA"/>
        </w:rPr>
        <w:t>There are 37 protected and dedicated measures in the budgetary rules for 2020-2021, as appears from exhibit LN-5, at p. 267-269.</w:t>
      </w:r>
      <w:r w:rsidRPr="0051160F">
        <w:rPr>
          <w:lang w:val="en-CA"/>
        </w:rPr>
        <w:t xml:space="preserve"> </w:t>
      </w:r>
      <w:r>
        <w:rPr>
          <w:lang w:val="en-CA"/>
        </w:rPr>
        <w:t>…</w:t>
      </w:r>
      <w:r w:rsidRPr="0051160F">
        <w:rPr>
          <w:lang w:val="en-CA"/>
        </w:rPr>
        <w:t xml:space="preserve"> </w:t>
      </w:r>
    </w:p>
    <w:p w14:paraId="3F2FEDB0" w14:textId="77777777" w:rsidR="003B1EC4" w:rsidRPr="00A90B1D" w:rsidRDefault="003B1EC4" w:rsidP="003B1EC4">
      <w:pPr>
        <w:pStyle w:val="Citation"/>
        <w:rPr>
          <w:lang w:val="en-CA"/>
        </w:rPr>
      </w:pPr>
      <w:r>
        <w:rPr>
          <w:lang w:val="en-CA"/>
        </w:rPr>
        <w:t>13. </w:t>
      </w:r>
      <w:r w:rsidRPr="00E202F1">
        <w:rPr>
          <w:lang w:val="en-CA"/>
        </w:rPr>
        <w:t>Since protected and dedicated measures have significant limitations on transferability, the money may go unspent depending on changes in schools’ needs and availability of human resources.</w:t>
      </w:r>
      <w:r>
        <w:rPr>
          <w:lang w:val="en-CA"/>
        </w:rPr>
        <w:t xml:space="preserve"> For example, in light of the significant changes in schools’ operations in the last year due to COVID-19, an important amount on funds received through dedicated and protected measures for 2019-2020 remained unspent and cannot be used to meet the school board’s other current needs.</w:t>
      </w:r>
    </w:p>
    <w:p w14:paraId="2CBE43A4" w14:textId="74F383F6" w:rsidR="003B1EC4" w:rsidRPr="00933BE3" w:rsidRDefault="009E4992" w:rsidP="003B1EC4">
      <w:pPr>
        <w:pStyle w:val="Paragrsimple"/>
        <w:rPr>
          <w:rFonts w:cs="Arial"/>
          <w:szCs w:val="24"/>
          <w:lang w:val="en-CA" w:eastAsia="fr-CA"/>
        </w:rPr>
      </w:pPr>
      <w:r>
        <w:rPr>
          <w:lang w:val="en-CA"/>
        </w:rPr>
        <w:t xml:space="preserve">In his sworn statement, </w:t>
      </w:r>
      <w:r w:rsidR="003B1EC4" w:rsidRPr="00933BE3">
        <w:rPr>
          <w:lang w:val="en-CA"/>
        </w:rPr>
        <w:t xml:space="preserve">Pierre-Luc Pouliot, director general of the network support and </w:t>
      </w:r>
      <w:r w:rsidR="00280158">
        <w:rPr>
          <w:lang w:val="en-CA"/>
        </w:rPr>
        <w:t>funding</w:t>
      </w:r>
      <w:r w:rsidR="00280158" w:rsidRPr="00933BE3">
        <w:rPr>
          <w:lang w:val="en-CA"/>
        </w:rPr>
        <w:t xml:space="preserve"> </w:t>
      </w:r>
      <w:r w:rsidR="003B1EC4" w:rsidRPr="00933BE3">
        <w:rPr>
          <w:lang w:val="en-CA"/>
        </w:rPr>
        <w:t>division at the Department of Education, confirmed the change to the decision-making body:</w:t>
      </w:r>
    </w:p>
    <w:p w14:paraId="1A35C817" w14:textId="77777777" w:rsidR="003B1EC4" w:rsidRDefault="003B1EC4" w:rsidP="003B1EC4">
      <w:pPr>
        <w:pStyle w:val="Citation"/>
        <w:rPr>
          <w:lang w:val="en-CA"/>
        </w:rPr>
      </w:pPr>
      <w:r>
        <w:rPr>
          <w:lang w:val="en-CA"/>
        </w:rPr>
        <w:t>[</w:t>
      </w:r>
      <w:r w:rsidRPr="008B1D18">
        <w:rPr>
          <w:smallCaps/>
          <w:lang w:val="en-CA"/>
        </w:rPr>
        <w:t>translation</w:t>
      </w:r>
      <w:r>
        <w:rPr>
          <w:lang w:val="en-CA"/>
        </w:rPr>
        <w:t>]</w:t>
      </w:r>
    </w:p>
    <w:p w14:paraId="1C49E835" w14:textId="070B53ED" w:rsidR="003B1EC4" w:rsidRPr="00933BE3" w:rsidRDefault="003B1EC4" w:rsidP="003B1EC4">
      <w:pPr>
        <w:pStyle w:val="Citation"/>
        <w:rPr>
          <w:lang w:val="en-CA"/>
        </w:rPr>
      </w:pPr>
      <w:r w:rsidRPr="00933BE3">
        <w:rPr>
          <w:lang w:val="en-CA"/>
        </w:rPr>
        <w:t xml:space="preserve">15. Section 473.1 </w:t>
      </w:r>
      <w:r w:rsidRPr="00E405EC">
        <w:rPr>
          <w:i/>
          <w:iCs/>
          <w:lang w:val="en-CA"/>
        </w:rPr>
        <w:t>EA</w:t>
      </w:r>
      <w:r w:rsidRPr="00933BE3">
        <w:rPr>
          <w:lang w:val="en-CA"/>
        </w:rPr>
        <w:t xml:space="preserve"> aims </w:t>
      </w:r>
      <w:r>
        <w:rPr>
          <w:lang w:val="en-CA"/>
        </w:rPr>
        <w:t>to</w:t>
      </w:r>
      <w:r w:rsidRPr="00933BE3">
        <w:rPr>
          <w:lang w:val="en-CA"/>
        </w:rPr>
        <w:t xml:space="preserve"> decentralize</w:t>
      </w:r>
      <w:r>
        <w:rPr>
          <w:lang w:val="en-CA"/>
        </w:rPr>
        <w:t xml:space="preserve"> the</w:t>
      </w:r>
      <w:r w:rsidRPr="00933BE3">
        <w:rPr>
          <w:lang w:val="en-CA"/>
        </w:rPr>
        <w:t xml:space="preserve"> management of part of the </w:t>
      </w:r>
      <w:r w:rsidR="00280158">
        <w:rPr>
          <w:lang w:val="en-CA"/>
        </w:rPr>
        <w:t>funding</w:t>
      </w:r>
      <w:r>
        <w:rPr>
          <w:lang w:val="en-CA"/>
        </w:rPr>
        <w:t>,</w:t>
      </w:r>
      <w:r w:rsidRPr="00933BE3">
        <w:rPr>
          <w:lang w:val="en-CA"/>
        </w:rPr>
        <w:t xml:space="preserve"> </w:t>
      </w:r>
      <w:r w:rsidR="00280158">
        <w:rPr>
          <w:lang w:val="en-CA"/>
        </w:rPr>
        <w:t xml:space="preserve">so that </w:t>
      </w:r>
      <w:r w:rsidRPr="00933BE3">
        <w:rPr>
          <w:lang w:val="en-CA"/>
        </w:rPr>
        <w:t xml:space="preserve">decision-making </w:t>
      </w:r>
      <w:r w:rsidR="00280158">
        <w:rPr>
          <w:lang w:val="en-CA"/>
        </w:rPr>
        <w:t xml:space="preserve">takes place </w:t>
      </w:r>
      <w:r w:rsidRPr="00933BE3">
        <w:rPr>
          <w:lang w:val="en-CA"/>
        </w:rPr>
        <w:t>as close to those concerned as possible (perspective of subsidiarity).</w:t>
      </w:r>
    </w:p>
    <w:p w14:paraId="5A5E0887" w14:textId="2E9C6C74" w:rsidR="003B1EC4" w:rsidRPr="00933BE3" w:rsidRDefault="003B1EC4" w:rsidP="003B1EC4">
      <w:pPr>
        <w:pStyle w:val="Citation"/>
        <w:rPr>
          <w:lang w:val="en-CA"/>
        </w:rPr>
      </w:pPr>
      <w:r w:rsidRPr="00933BE3">
        <w:rPr>
          <w:lang w:val="en-CA"/>
        </w:rPr>
        <w:t>16. </w:t>
      </w:r>
      <w:r w:rsidR="00F22104">
        <w:rPr>
          <w:lang w:val="en-CA"/>
        </w:rPr>
        <w:t>B</w:t>
      </w:r>
      <w:r w:rsidRPr="00933BE3">
        <w:rPr>
          <w:lang w:val="en-CA"/>
        </w:rPr>
        <w:t xml:space="preserve">ased on this approach, some amounts </w:t>
      </w:r>
      <w:r w:rsidR="00CD0F4F">
        <w:rPr>
          <w:lang w:val="en-CA"/>
        </w:rPr>
        <w:t>for</w:t>
      </w:r>
      <w:r w:rsidR="00CD0F4F" w:rsidRPr="00933BE3">
        <w:rPr>
          <w:lang w:val="en-CA"/>
        </w:rPr>
        <w:t xml:space="preserve"> </w:t>
      </w:r>
      <w:r w:rsidRPr="00933BE3">
        <w:rPr>
          <w:lang w:val="en-CA"/>
        </w:rPr>
        <w:t>direct services to students must be specifically granted to the schools. This guarant</w:t>
      </w:r>
      <w:r w:rsidR="00CD0F4F">
        <w:rPr>
          <w:lang w:val="en-CA"/>
        </w:rPr>
        <w:t>ees</w:t>
      </w:r>
      <w:r w:rsidRPr="00933BE3">
        <w:rPr>
          <w:lang w:val="en-CA"/>
        </w:rPr>
        <w:t xml:space="preserve"> that the institutions </w:t>
      </w:r>
      <w:r w:rsidR="00CD0F4F">
        <w:rPr>
          <w:lang w:val="en-CA"/>
        </w:rPr>
        <w:t xml:space="preserve">can </w:t>
      </w:r>
      <w:r w:rsidRPr="00933BE3">
        <w:rPr>
          <w:lang w:val="en-CA"/>
        </w:rPr>
        <w:t xml:space="preserve">choose how to </w:t>
      </w:r>
      <w:r w:rsidR="00CD0F4F">
        <w:rPr>
          <w:lang w:val="en-CA"/>
        </w:rPr>
        <w:t>implement those measures</w:t>
      </w:r>
      <w:r w:rsidRPr="00933BE3">
        <w:rPr>
          <w:lang w:val="en-CA"/>
        </w:rPr>
        <w:t>.</w:t>
      </w:r>
    </w:p>
    <w:p w14:paraId="647A03A0" w14:textId="66C07D5F" w:rsidR="003B1EC4" w:rsidRPr="00933BE3" w:rsidRDefault="003B1EC4" w:rsidP="003B1EC4">
      <w:pPr>
        <w:pStyle w:val="Citation"/>
        <w:rPr>
          <w:lang w:val="en-CA"/>
        </w:rPr>
      </w:pPr>
      <w:r w:rsidRPr="00933BE3">
        <w:rPr>
          <w:lang w:val="en-CA"/>
        </w:rPr>
        <w:lastRenderedPageBreak/>
        <w:t xml:space="preserve">18. This </w:t>
      </w:r>
      <w:r w:rsidR="00CD0F4F">
        <w:rPr>
          <w:lang w:val="en-CA"/>
        </w:rPr>
        <w:t>funding</w:t>
      </w:r>
      <w:r w:rsidR="00CD0F4F" w:rsidRPr="00933BE3">
        <w:rPr>
          <w:lang w:val="en-CA"/>
        </w:rPr>
        <w:t xml:space="preserve"> </w:t>
      </w:r>
      <w:r w:rsidR="00CD0F4F">
        <w:rPr>
          <w:lang w:val="en-CA"/>
        </w:rPr>
        <w:t xml:space="preserve">method </w:t>
      </w:r>
      <w:r w:rsidRPr="00933BE3">
        <w:rPr>
          <w:lang w:val="en-CA"/>
        </w:rPr>
        <w:t>better target</w:t>
      </w:r>
      <w:r w:rsidR="00CD0F4F">
        <w:rPr>
          <w:lang w:val="en-CA"/>
        </w:rPr>
        <w:t>s</w:t>
      </w:r>
      <w:r w:rsidRPr="00933BE3">
        <w:rPr>
          <w:lang w:val="en-CA"/>
        </w:rPr>
        <w:t xml:space="preserve"> the </w:t>
      </w:r>
      <w:r w:rsidR="00CD0F4F">
        <w:rPr>
          <w:lang w:val="en-CA"/>
        </w:rPr>
        <w:t xml:space="preserve">specific </w:t>
      </w:r>
      <w:r w:rsidRPr="00933BE3">
        <w:rPr>
          <w:lang w:val="en-CA"/>
        </w:rPr>
        <w:t xml:space="preserve">needs of the preschool, primary, and secondary school educational </w:t>
      </w:r>
      <w:r>
        <w:rPr>
          <w:lang w:val="en-CA"/>
        </w:rPr>
        <w:t>systems</w:t>
      </w:r>
      <w:r w:rsidRPr="00933BE3">
        <w:rPr>
          <w:lang w:val="en-CA"/>
        </w:rPr>
        <w:t xml:space="preserve">, which benefits the students. Because every school in Quebec has a student population </w:t>
      </w:r>
      <w:r w:rsidR="00CD0F4F">
        <w:rPr>
          <w:lang w:val="en-CA"/>
        </w:rPr>
        <w:t xml:space="preserve">with </w:t>
      </w:r>
      <w:r w:rsidRPr="00933BE3">
        <w:rPr>
          <w:lang w:val="en-CA"/>
        </w:rPr>
        <w:t xml:space="preserve">unique needs, it is </w:t>
      </w:r>
      <w:r w:rsidR="00CD0F4F">
        <w:rPr>
          <w:lang w:val="en-CA"/>
        </w:rPr>
        <w:t xml:space="preserve">preferable for all schools to </w:t>
      </w:r>
      <w:r w:rsidRPr="00933BE3">
        <w:rPr>
          <w:lang w:val="en-CA"/>
        </w:rPr>
        <w:t xml:space="preserve">have greater latitude in choosing </w:t>
      </w:r>
      <w:r w:rsidR="003B269B">
        <w:rPr>
          <w:lang w:val="en-CA"/>
        </w:rPr>
        <w:t xml:space="preserve">the means to </w:t>
      </w:r>
      <w:r w:rsidRPr="00933BE3">
        <w:rPr>
          <w:lang w:val="en-CA"/>
        </w:rPr>
        <w:t>contribute to educational success (exhibit PGQ-45 at 9).</w:t>
      </w:r>
    </w:p>
    <w:p w14:paraId="37E9F023" w14:textId="77777777" w:rsidR="003B1EC4" w:rsidRPr="00933BE3" w:rsidRDefault="003B1EC4" w:rsidP="003B1EC4">
      <w:pPr>
        <w:pStyle w:val="Paragrsimple"/>
        <w:rPr>
          <w:lang w:val="en-CA"/>
        </w:rPr>
      </w:pPr>
      <w:r w:rsidRPr="00933BE3">
        <w:rPr>
          <w:lang w:val="en-CA"/>
        </w:rPr>
        <w:t xml:space="preserve">He also confirmed that school boards do not have the leeway to spend these subsidies </w:t>
      </w:r>
      <w:r>
        <w:rPr>
          <w:lang w:val="en-CA"/>
        </w:rPr>
        <w:t>based on</w:t>
      </w:r>
      <w:r w:rsidRPr="00933BE3">
        <w:rPr>
          <w:lang w:val="en-CA"/>
        </w:rPr>
        <w:t xml:space="preserve"> the needs they have identified:</w:t>
      </w:r>
    </w:p>
    <w:p w14:paraId="24AE2E7B" w14:textId="77777777" w:rsidR="003B1EC4" w:rsidRDefault="003B1EC4" w:rsidP="003B1EC4">
      <w:pPr>
        <w:pStyle w:val="Citation"/>
        <w:rPr>
          <w:lang w:val="en-CA"/>
        </w:rPr>
      </w:pPr>
      <w:r>
        <w:rPr>
          <w:lang w:val="en-CA"/>
        </w:rPr>
        <w:t>[</w:t>
      </w:r>
      <w:r w:rsidRPr="00E405EC">
        <w:rPr>
          <w:smallCaps/>
          <w:lang w:val="en-CA"/>
        </w:rPr>
        <w:t>translation</w:t>
      </w:r>
      <w:r>
        <w:rPr>
          <w:lang w:val="en-CA"/>
        </w:rPr>
        <w:t>]</w:t>
      </w:r>
    </w:p>
    <w:p w14:paraId="4939EE43" w14:textId="32FACD21" w:rsidR="003B1EC4" w:rsidRPr="00933BE3" w:rsidRDefault="003B1EC4" w:rsidP="003B1EC4">
      <w:pPr>
        <w:pStyle w:val="Citation"/>
        <w:rPr>
          <w:lang w:val="en-CA"/>
        </w:rPr>
      </w:pPr>
      <w:r w:rsidRPr="00933BE3">
        <w:rPr>
          <w:lang w:val="en-CA"/>
        </w:rPr>
        <w:t>19. </w:t>
      </w:r>
      <w:r>
        <w:rPr>
          <w:lang w:val="en-CA"/>
        </w:rPr>
        <w:t>M</w:t>
      </w:r>
      <w:r w:rsidRPr="00933BE3">
        <w:rPr>
          <w:lang w:val="en-CA"/>
        </w:rPr>
        <w:t xml:space="preserve">easures </w:t>
      </w:r>
      <w:r w:rsidR="00013A43">
        <w:rPr>
          <w:lang w:val="en-CA"/>
        </w:rPr>
        <w:t xml:space="preserve">intended for </w:t>
      </w:r>
      <w:r w:rsidRPr="00933BE3">
        <w:rPr>
          <w:lang w:val="en-CA"/>
        </w:rPr>
        <w:t>transfer</w:t>
      </w:r>
      <w:r>
        <w:rPr>
          <w:lang w:val="en-CA"/>
        </w:rPr>
        <w:t xml:space="preserve"> </w:t>
      </w:r>
      <w:r w:rsidRPr="00933BE3">
        <w:rPr>
          <w:lang w:val="en-CA"/>
        </w:rPr>
        <w:t>to the budgets of institutions are identified in the operating budgetary rules of the SSC</w:t>
      </w:r>
      <w:r w:rsidR="00013A43">
        <w:rPr>
          <w:lang w:val="en-CA"/>
        </w:rPr>
        <w:t>s</w:t>
      </w:r>
      <w:r w:rsidRPr="00933BE3">
        <w:rPr>
          <w:lang w:val="en-CA"/>
        </w:rPr>
        <w:t xml:space="preserve"> and SB</w:t>
      </w:r>
      <w:r w:rsidR="00013A43">
        <w:rPr>
          <w:lang w:val="en-CA"/>
        </w:rPr>
        <w:t>s</w:t>
      </w:r>
      <w:r w:rsidRPr="00933BE3">
        <w:rPr>
          <w:lang w:val="en-CA"/>
        </w:rPr>
        <w:t xml:space="preserve"> as “dedicated” or “protected”.</w:t>
      </w:r>
    </w:p>
    <w:p w14:paraId="4E76686A" w14:textId="5A9C4520" w:rsidR="003B1EC4" w:rsidRPr="00933BE3" w:rsidRDefault="003B1EC4" w:rsidP="003B1EC4">
      <w:pPr>
        <w:pStyle w:val="Citation"/>
        <w:rPr>
          <w:lang w:val="en-CA"/>
        </w:rPr>
      </w:pPr>
      <w:r w:rsidRPr="00933BE3">
        <w:rPr>
          <w:lang w:val="en-CA"/>
        </w:rPr>
        <w:t xml:space="preserve">20. The allocation of dedicated measures are transferable to other measures within the </w:t>
      </w:r>
      <w:r w:rsidR="00013A43">
        <w:rPr>
          <w:lang w:val="en-CA"/>
        </w:rPr>
        <w:t xml:space="preserve">same </w:t>
      </w:r>
      <w:r w:rsidRPr="00933BE3">
        <w:rPr>
          <w:lang w:val="en-CA"/>
        </w:rPr>
        <w:t>group of measures, unless otherwise indicated. It is up to the institution to determine whether</w:t>
      </w:r>
      <w:r>
        <w:rPr>
          <w:lang w:val="en-CA"/>
        </w:rPr>
        <w:t xml:space="preserve"> or not</w:t>
      </w:r>
      <w:r w:rsidRPr="00933BE3">
        <w:rPr>
          <w:lang w:val="en-CA"/>
        </w:rPr>
        <w:t xml:space="preserve"> these amounts are transferred.</w:t>
      </w:r>
    </w:p>
    <w:p w14:paraId="2F908FD0" w14:textId="1B093FA6" w:rsidR="003B1EC4" w:rsidRPr="00933BE3" w:rsidRDefault="003B1EC4" w:rsidP="003B1EC4">
      <w:pPr>
        <w:pStyle w:val="Citation"/>
        <w:rPr>
          <w:lang w:val="en-CA"/>
        </w:rPr>
      </w:pPr>
      <w:r w:rsidRPr="00933BE3">
        <w:rPr>
          <w:lang w:val="en-CA"/>
        </w:rPr>
        <w:t>21. Some dedicated measures cannot be transferred, however. These are “protected” measures. They must be used specific</w:t>
      </w:r>
      <w:r>
        <w:rPr>
          <w:lang w:val="en-CA"/>
        </w:rPr>
        <w:t>ally for the</w:t>
      </w:r>
      <w:r w:rsidRPr="00933BE3">
        <w:rPr>
          <w:lang w:val="en-CA"/>
        </w:rPr>
        <w:t xml:space="preserve"> intended measure. </w:t>
      </w:r>
      <w:r w:rsidR="00433D02">
        <w:rPr>
          <w:lang w:val="en-CA"/>
        </w:rPr>
        <w:t>T</w:t>
      </w:r>
      <w:r>
        <w:rPr>
          <w:lang w:val="en-CA"/>
        </w:rPr>
        <w:t xml:space="preserve">he amounts </w:t>
      </w:r>
      <w:r w:rsidR="00433D02">
        <w:rPr>
          <w:lang w:val="en-CA"/>
        </w:rPr>
        <w:t xml:space="preserve">that </w:t>
      </w:r>
      <w:r>
        <w:rPr>
          <w:lang w:val="en-CA"/>
        </w:rPr>
        <w:t>must be used for the</w:t>
      </w:r>
      <w:r w:rsidR="00433D02">
        <w:rPr>
          <w:lang w:val="en-CA"/>
        </w:rPr>
        <w:t>ir</w:t>
      </w:r>
      <w:r>
        <w:rPr>
          <w:lang w:val="en-CA"/>
        </w:rPr>
        <w:t xml:space="preserve"> intended purposes </w:t>
      </w:r>
      <w:r w:rsidR="00433D02">
        <w:rPr>
          <w:lang w:val="en-CA"/>
        </w:rPr>
        <w:t xml:space="preserve">are specified so that </w:t>
      </w:r>
      <w:r>
        <w:rPr>
          <w:lang w:val="en-CA"/>
        </w:rPr>
        <w:t xml:space="preserve">all students in all public school </w:t>
      </w:r>
      <w:r w:rsidR="008D0996">
        <w:rPr>
          <w:lang w:val="en-CA"/>
        </w:rPr>
        <w:t xml:space="preserve">bodies </w:t>
      </w:r>
      <w:r w:rsidR="00433D02">
        <w:rPr>
          <w:lang w:val="en-CA"/>
        </w:rPr>
        <w:t xml:space="preserve">can </w:t>
      </w:r>
      <w:r>
        <w:rPr>
          <w:lang w:val="en-CA"/>
        </w:rPr>
        <w:t xml:space="preserve">benefit from the elements </w:t>
      </w:r>
      <w:r w:rsidR="008D0996">
        <w:rPr>
          <w:lang w:val="en-CA"/>
        </w:rPr>
        <w:t xml:space="preserve">provided </w:t>
      </w:r>
      <w:r>
        <w:rPr>
          <w:lang w:val="en-CA"/>
        </w:rPr>
        <w:t xml:space="preserve">under each of these measures, regardless of the </w:t>
      </w:r>
      <w:r w:rsidR="00EB0302">
        <w:rPr>
          <w:lang w:val="en-CA"/>
        </w:rPr>
        <w:t xml:space="preserve">governance of the </w:t>
      </w:r>
      <w:r>
        <w:rPr>
          <w:lang w:val="en-CA"/>
        </w:rPr>
        <w:t>school (</w:t>
      </w:r>
      <w:r w:rsidR="008D0996">
        <w:rPr>
          <w:lang w:val="en-CA"/>
        </w:rPr>
        <w:t xml:space="preserve">senior </w:t>
      </w:r>
      <w:r>
        <w:rPr>
          <w:lang w:val="en-CA"/>
        </w:rPr>
        <w:t>school</w:t>
      </w:r>
      <w:r w:rsidR="008D0996">
        <w:rPr>
          <w:lang w:val="en-CA"/>
        </w:rPr>
        <w:t xml:space="preserve"> staff</w:t>
      </w:r>
      <w:r>
        <w:rPr>
          <w:lang w:val="en-CA"/>
        </w:rPr>
        <w:t xml:space="preserve">, governing board, </w:t>
      </w:r>
      <w:r w:rsidR="00EB0302">
        <w:rPr>
          <w:lang w:val="en-CA"/>
        </w:rPr>
        <w:t xml:space="preserve">SSC and SB </w:t>
      </w:r>
      <w:r>
        <w:rPr>
          <w:lang w:val="en-CA"/>
        </w:rPr>
        <w:t>committees and governance, etc.)</w:t>
      </w:r>
      <w:r w:rsidR="00EB0302">
        <w:rPr>
          <w:lang w:val="en-CA"/>
        </w:rPr>
        <w:t>,</w:t>
      </w:r>
      <w:r>
        <w:rPr>
          <w:lang w:val="en-CA"/>
        </w:rPr>
        <w:t xml:space="preserve"> to </w:t>
      </w:r>
      <w:r w:rsidR="00EB0302">
        <w:rPr>
          <w:lang w:val="en-CA"/>
        </w:rPr>
        <w:t xml:space="preserve">ensure </w:t>
      </w:r>
      <w:r>
        <w:rPr>
          <w:lang w:val="en-CA"/>
        </w:rPr>
        <w:t>protect</w:t>
      </w:r>
      <w:r w:rsidR="00EB0302">
        <w:rPr>
          <w:lang w:val="en-CA"/>
        </w:rPr>
        <w:t>ion of</w:t>
      </w:r>
      <w:r>
        <w:rPr>
          <w:lang w:val="en-CA"/>
        </w:rPr>
        <w:t xml:space="preserve"> the importance of these direct services for students and </w:t>
      </w:r>
      <w:r w:rsidR="00EB0302">
        <w:rPr>
          <w:lang w:val="en-CA"/>
        </w:rPr>
        <w:t xml:space="preserve">to </w:t>
      </w:r>
      <w:r>
        <w:rPr>
          <w:lang w:val="en-CA"/>
        </w:rPr>
        <w:t>avoid jeopardizing their educational success.</w:t>
      </w:r>
      <w:r w:rsidRPr="00933BE3">
        <w:rPr>
          <w:lang w:val="en-CA"/>
        </w:rPr>
        <w:t xml:space="preserve"> </w:t>
      </w:r>
      <w:r w:rsidR="00EB0302">
        <w:rPr>
          <w:lang w:val="en-CA"/>
        </w:rPr>
        <w:t>In concrete terms</w:t>
      </w:r>
      <w:r w:rsidRPr="00933BE3">
        <w:rPr>
          <w:lang w:val="en-CA"/>
        </w:rPr>
        <w:t>, like SB and SSC budgets, most dedicated and protected measures concern remuneration expenses</w:t>
      </w:r>
      <w:r w:rsidRPr="00C715B0">
        <w:rPr>
          <w:lang w:val="en-CA"/>
        </w:rPr>
        <w:t xml:space="preserve">, </w:t>
      </w:r>
      <w:r w:rsidR="00EB0302" w:rsidRPr="00C715B0">
        <w:rPr>
          <w:lang w:val="en-CA"/>
        </w:rPr>
        <w:t>i.e.</w:t>
      </w:r>
      <w:r w:rsidRPr="00C715B0">
        <w:rPr>
          <w:lang w:val="en-CA"/>
        </w:rPr>
        <w:t>,</w:t>
      </w:r>
      <w:r w:rsidRPr="00933BE3">
        <w:rPr>
          <w:lang w:val="en-CA"/>
        </w:rPr>
        <w:t xml:space="preserve"> </w:t>
      </w:r>
      <w:r w:rsidR="00EB0302">
        <w:rPr>
          <w:lang w:val="en-CA"/>
        </w:rPr>
        <w:t xml:space="preserve">the </w:t>
      </w:r>
      <w:r w:rsidRPr="00933BE3">
        <w:rPr>
          <w:lang w:val="en-CA"/>
        </w:rPr>
        <w:t xml:space="preserve">hiring </w:t>
      </w:r>
      <w:r w:rsidR="00EB0302">
        <w:rPr>
          <w:lang w:val="en-CA"/>
        </w:rPr>
        <w:t xml:space="preserve">of </w:t>
      </w:r>
      <w:r w:rsidRPr="00933BE3">
        <w:rPr>
          <w:lang w:val="en-CA"/>
        </w:rPr>
        <w:t xml:space="preserve">resources that </w:t>
      </w:r>
      <w:r w:rsidR="00EB0302">
        <w:rPr>
          <w:lang w:val="en-CA"/>
        </w:rPr>
        <w:t xml:space="preserve">provide direct support for </w:t>
      </w:r>
      <w:r w:rsidRPr="00933BE3">
        <w:rPr>
          <w:lang w:val="en-CA"/>
        </w:rPr>
        <w:t>the students.</w:t>
      </w:r>
    </w:p>
    <w:p w14:paraId="57E9E837" w14:textId="3F6773E9" w:rsidR="003B1EC4" w:rsidRPr="00933BE3" w:rsidRDefault="003B1EC4" w:rsidP="003B1EC4">
      <w:pPr>
        <w:pStyle w:val="Paragrsimple"/>
        <w:rPr>
          <w:lang w:val="en-CA"/>
        </w:rPr>
      </w:pPr>
      <w:r w:rsidRPr="00933BE3">
        <w:rPr>
          <w:lang w:val="en-CA"/>
        </w:rPr>
        <w:t xml:space="preserve">The result of these imposed budgetary constraints </w:t>
      </w:r>
      <w:r>
        <w:rPr>
          <w:lang w:val="en-CA"/>
        </w:rPr>
        <w:t xml:space="preserve">is </w:t>
      </w:r>
      <w:r w:rsidRPr="00933BE3">
        <w:rPr>
          <w:lang w:val="en-CA"/>
        </w:rPr>
        <w:t xml:space="preserve">that substantial amounts </w:t>
      </w:r>
      <w:r w:rsidR="00C26686">
        <w:rPr>
          <w:lang w:val="en-CA"/>
        </w:rPr>
        <w:t xml:space="preserve">remain </w:t>
      </w:r>
      <w:r>
        <w:rPr>
          <w:lang w:val="en-CA"/>
        </w:rPr>
        <w:t>unspent</w:t>
      </w:r>
      <w:r w:rsidRPr="00933BE3">
        <w:rPr>
          <w:lang w:val="en-CA"/>
        </w:rPr>
        <w:t xml:space="preserve"> because they are dedicated and cannot be used for purposes other than those determined by the Minister:</w:t>
      </w:r>
    </w:p>
    <w:p w14:paraId="437E7506" w14:textId="77777777" w:rsidR="003B1EC4" w:rsidRPr="00551785" w:rsidRDefault="003B1EC4" w:rsidP="003B1EC4">
      <w:pPr>
        <w:pStyle w:val="Citation"/>
        <w:rPr>
          <w:lang w:eastAsia="fr-CA"/>
        </w:rPr>
      </w:pPr>
      <w:r>
        <w:rPr>
          <w:lang w:val="en-CA" w:eastAsia="fr-CA"/>
        </w:rPr>
        <w:t>7. </w:t>
      </w:r>
      <w:r w:rsidRPr="00E202F1">
        <w:rPr>
          <w:lang w:val="en-CA" w:eastAsia="fr-CA"/>
        </w:rPr>
        <w:t>Since protected and dedicated measures have significant limitations on transferability, the money may go unspent depending on changes in schools’ needs and availability of human resources.</w:t>
      </w:r>
      <w:r>
        <w:rPr>
          <w:lang w:val="en-CA" w:eastAsia="fr-CA"/>
        </w:rPr>
        <w:t xml:space="preserve"> For example, in light of the significant changes in schools’ operations in the last year due to COVID-19, approximately $6,308,773 received through dedicated and protected measures for 2019-2020 remained unspent and could not be used to meet the school board’s other needs in 2019-2020. The budgetary rules indicate that the use of dedicated or protected measures for other purposes than those provided for may result in the funds being recuperated by the Ministry, as appears from </w:t>
      </w:r>
      <w:r>
        <w:rPr>
          <w:lang w:val="en-CA" w:eastAsia="fr-CA"/>
        </w:rPr>
        <w:lastRenderedPageBreak/>
        <w:t xml:space="preserve">exhibit LN-5, at page XVIII. </w:t>
      </w:r>
      <w:r>
        <w:rPr>
          <w:lang w:eastAsia="fr-CA"/>
        </w:rPr>
        <w:t xml:space="preserve">In 2016-2017, </w:t>
      </w:r>
      <w:proofErr w:type="spellStart"/>
      <w:r>
        <w:rPr>
          <w:lang w:eastAsia="fr-CA"/>
        </w:rPr>
        <w:t>approximately</w:t>
      </w:r>
      <w:proofErr w:type="spellEnd"/>
      <w:r>
        <w:rPr>
          <w:lang w:eastAsia="fr-CA"/>
        </w:rPr>
        <w:t xml:space="preserve"> $315,034 </w:t>
      </w:r>
      <w:proofErr w:type="spellStart"/>
      <w:r>
        <w:rPr>
          <w:lang w:eastAsia="fr-CA"/>
        </w:rPr>
        <w:t>received</w:t>
      </w:r>
      <w:proofErr w:type="spellEnd"/>
      <w:r>
        <w:rPr>
          <w:lang w:eastAsia="fr-CA"/>
        </w:rPr>
        <w:t xml:space="preserve"> </w:t>
      </w:r>
      <w:proofErr w:type="spellStart"/>
      <w:r>
        <w:rPr>
          <w:lang w:eastAsia="fr-CA"/>
        </w:rPr>
        <w:t>through</w:t>
      </w:r>
      <w:proofErr w:type="spellEnd"/>
      <w:r>
        <w:rPr>
          <w:lang w:eastAsia="fr-CA"/>
        </w:rPr>
        <w:t xml:space="preserve"> </w:t>
      </w:r>
      <w:proofErr w:type="spellStart"/>
      <w:r>
        <w:rPr>
          <w:lang w:eastAsia="fr-CA"/>
        </w:rPr>
        <w:t>dedicated</w:t>
      </w:r>
      <w:proofErr w:type="spellEnd"/>
      <w:r>
        <w:rPr>
          <w:lang w:eastAsia="fr-CA"/>
        </w:rPr>
        <w:t xml:space="preserve"> </w:t>
      </w:r>
      <w:proofErr w:type="spellStart"/>
      <w:r>
        <w:rPr>
          <w:lang w:eastAsia="fr-CA"/>
        </w:rPr>
        <w:t>measures</w:t>
      </w:r>
      <w:proofErr w:type="spellEnd"/>
      <w:r>
        <w:rPr>
          <w:lang w:eastAsia="fr-CA"/>
        </w:rPr>
        <w:t xml:space="preserve"> </w:t>
      </w:r>
      <w:proofErr w:type="spellStart"/>
      <w:r>
        <w:rPr>
          <w:lang w:eastAsia="fr-CA"/>
        </w:rPr>
        <w:t>remained</w:t>
      </w:r>
      <w:proofErr w:type="spellEnd"/>
      <w:r>
        <w:rPr>
          <w:lang w:eastAsia="fr-CA"/>
        </w:rPr>
        <w:t xml:space="preserve"> </w:t>
      </w:r>
      <w:proofErr w:type="spellStart"/>
      <w:r>
        <w:rPr>
          <w:lang w:eastAsia="fr-CA"/>
        </w:rPr>
        <w:t>unspent</w:t>
      </w:r>
      <w:proofErr w:type="spellEnd"/>
      <w:r>
        <w:rPr>
          <w:lang w:eastAsia="fr-CA"/>
        </w:rPr>
        <w:t>.</w:t>
      </w:r>
      <w:r>
        <w:rPr>
          <w:rStyle w:val="Appelnotedebasdep"/>
          <w:rFonts w:cs="Arial"/>
          <w:lang w:val="en-CA" w:eastAsia="fr-CA"/>
        </w:rPr>
        <w:footnoteReference w:id="174"/>
      </w:r>
      <w:r w:rsidRPr="00551785">
        <w:t xml:space="preserve"> </w:t>
      </w:r>
    </w:p>
    <w:p w14:paraId="655C485C" w14:textId="07616958" w:rsidR="003B1EC4" w:rsidRPr="00A37C5C" w:rsidRDefault="003B1EC4" w:rsidP="003B1EC4">
      <w:pPr>
        <w:pStyle w:val="Paragrsimple"/>
        <w:rPr>
          <w:lang w:val="en-CA"/>
        </w:rPr>
      </w:pPr>
      <w:r w:rsidRPr="00A37C5C">
        <w:rPr>
          <w:lang w:val="en-CA"/>
        </w:rPr>
        <w:t xml:space="preserve">The English-language school boards obviously do not have the power to determine what amounts </w:t>
      </w:r>
      <w:r w:rsidR="00EE2208">
        <w:rPr>
          <w:lang w:val="en-CA"/>
        </w:rPr>
        <w:t xml:space="preserve">they </w:t>
      </w:r>
      <w:r w:rsidRPr="00A37C5C">
        <w:rPr>
          <w:lang w:val="en-CA"/>
        </w:rPr>
        <w:t xml:space="preserve">will be allocated by the National Assembly. They must receive at least the equivalent of what is awarded </w:t>
      </w:r>
      <w:r w:rsidR="00EE2208">
        <w:rPr>
          <w:lang w:val="en-CA"/>
        </w:rPr>
        <w:t xml:space="preserve">for </w:t>
      </w:r>
      <w:r w:rsidRPr="00A37C5C">
        <w:rPr>
          <w:lang w:val="en-CA"/>
        </w:rPr>
        <w:t xml:space="preserve">students </w:t>
      </w:r>
      <w:r>
        <w:rPr>
          <w:lang w:val="en-CA"/>
        </w:rPr>
        <w:t>in</w:t>
      </w:r>
      <w:r w:rsidRPr="00A37C5C">
        <w:rPr>
          <w:lang w:val="en-CA"/>
        </w:rPr>
        <w:t xml:space="preserve"> the French-language sector. </w:t>
      </w:r>
      <w:r>
        <w:rPr>
          <w:lang w:val="en-CA"/>
        </w:rPr>
        <w:t>Similarly, the Minister can determine the content and quality standards of the educational programs.</w:t>
      </w:r>
    </w:p>
    <w:p w14:paraId="2050E1D1" w14:textId="77777777" w:rsidR="003B1EC4" w:rsidRPr="00E202F1" w:rsidRDefault="003B1EC4" w:rsidP="003B1EC4">
      <w:pPr>
        <w:pStyle w:val="Paragrsimple"/>
        <w:rPr>
          <w:sz w:val="22"/>
          <w:szCs w:val="22"/>
          <w:lang w:val="en-CA"/>
        </w:rPr>
      </w:pPr>
      <w:r w:rsidRPr="00E202F1">
        <w:rPr>
          <w:szCs w:val="24"/>
          <w:lang w:val="en-CA"/>
        </w:rPr>
        <w:t xml:space="preserve">However, the provisions that restrict the use of funds allocated to school boards </w:t>
      </w:r>
      <w:r>
        <w:rPr>
          <w:szCs w:val="24"/>
          <w:lang w:val="en-CA"/>
        </w:rPr>
        <w:t>directly violate</w:t>
      </w:r>
      <w:r w:rsidRPr="00E202F1">
        <w:rPr>
          <w:szCs w:val="24"/>
          <w:lang w:val="en-CA"/>
        </w:rPr>
        <w:t xml:space="preserve"> the “exclusive authority to make decisions relating to the minority language instruction and facilities, including: (a) expenditures of funds provided for such instruction and facilities”.</w:t>
      </w:r>
    </w:p>
    <w:p w14:paraId="59F3D415" w14:textId="5EB12BE1" w:rsidR="003B1EC4" w:rsidRPr="00A37C5C" w:rsidRDefault="00EE2208" w:rsidP="003B1EC4">
      <w:pPr>
        <w:pStyle w:val="Paragrsimple"/>
        <w:rPr>
          <w:lang w:val="en-CA"/>
        </w:rPr>
      </w:pPr>
      <w:r>
        <w:rPr>
          <w:lang w:val="en-CA"/>
        </w:rPr>
        <w:t>Shifting</w:t>
      </w:r>
      <w:r w:rsidRPr="00A37C5C">
        <w:rPr>
          <w:lang w:val="en-CA"/>
        </w:rPr>
        <w:t xml:space="preserve"> </w:t>
      </w:r>
      <w:r w:rsidR="00C715B0">
        <w:rPr>
          <w:lang w:val="en-CA"/>
        </w:rPr>
        <w:t xml:space="preserve">decision-making </w:t>
      </w:r>
      <w:r w:rsidR="00281ADF">
        <w:rPr>
          <w:lang w:val="en-CA"/>
        </w:rPr>
        <w:t>authority</w:t>
      </w:r>
      <w:r w:rsidR="00281ADF" w:rsidRPr="00A37C5C">
        <w:rPr>
          <w:lang w:val="en-CA"/>
        </w:rPr>
        <w:t xml:space="preserve"> </w:t>
      </w:r>
      <w:r w:rsidR="003B1EC4" w:rsidRPr="00A37C5C">
        <w:rPr>
          <w:lang w:val="en-CA"/>
        </w:rPr>
        <w:t xml:space="preserve">from school boards to institutions </w:t>
      </w:r>
      <w:r>
        <w:rPr>
          <w:lang w:val="en-CA"/>
        </w:rPr>
        <w:t xml:space="preserve">conflicts with the principles respecting minority institutions established by </w:t>
      </w:r>
      <w:r w:rsidR="003B1EC4" w:rsidRPr="00A37C5C">
        <w:rPr>
          <w:lang w:val="en-CA"/>
        </w:rPr>
        <w:t xml:space="preserve">the Supreme Court. Indeed, the Court has often stated that, </w:t>
      </w:r>
      <w:r w:rsidR="003B1EC4">
        <w:rPr>
          <w:lang w:val="en-CA"/>
        </w:rPr>
        <w:t>where</w:t>
      </w:r>
      <w:r w:rsidR="003B1EC4" w:rsidRPr="00A37C5C">
        <w:rPr>
          <w:lang w:val="en-CA"/>
        </w:rPr>
        <w:t xml:space="preserve"> numbers warrant, the minority’s exclusive </w:t>
      </w:r>
      <w:r w:rsidR="00281ADF">
        <w:rPr>
          <w:lang w:val="en-CA"/>
        </w:rPr>
        <w:t>authority</w:t>
      </w:r>
      <w:r w:rsidR="00281ADF" w:rsidRPr="00A37C5C">
        <w:rPr>
          <w:lang w:val="en-CA"/>
        </w:rPr>
        <w:t xml:space="preserve"> </w:t>
      </w:r>
      <w:r w:rsidR="003B1EC4" w:rsidRPr="00A37C5C">
        <w:rPr>
          <w:lang w:val="en-CA"/>
        </w:rPr>
        <w:t xml:space="preserve">to manage and control required </w:t>
      </w:r>
      <w:r w:rsidR="00C715B0">
        <w:rPr>
          <w:lang w:val="en-CA"/>
        </w:rPr>
        <w:t xml:space="preserve">that </w:t>
      </w:r>
      <w:r w:rsidR="003B1EC4" w:rsidRPr="00A37C5C">
        <w:rPr>
          <w:lang w:val="en-CA"/>
        </w:rPr>
        <w:t xml:space="preserve">school </w:t>
      </w:r>
      <w:r w:rsidR="00B43EF4">
        <w:rPr>
          <w:lang w:val="en-CA"/>
        </w:rPr>
        <w:t>boards</w:t>
      </w:r>
      <w:r w:rsidR="00C715B0">
        <w:rPr>
          <w:lang w:val="en-CA"/>
        </w:rPr>
        <w:t xml:space="preserve"> be created</w:t>
      </w:r>
      <w:r w:rsidR="003B1EC4" w:rsidRPr="00A37C5C">
        <w:rPr>
          <w:lang w:val="en-CA"/>
        </w:rPr>
        <w:t>.</w:t>
      </w:r>
      <w:r w:rsidR="00B43EF4">
        <w:rPr>
          <w:lang w:val="en-CA"/>
        </w:rPr>
        <w:t xml:space="preserve"> And</w:t>
      </w:r>
      <w:r w:rsidR="003B1EC4" w:rsidRPr="00A37C5C">
        <w:rPr>
          <w:lang w:val="en-CA"/>
        </w:rPr>
        <w:t xml:space="preserve"> it is up to the school board to decide:</w:t>
      </w:r>
    </w:p>
    <w:p w14:paraId="7A1C1C91" w14:textId="63738C6D" w:rsidR="003B1EC4" w:rsidRPr="00A37C5C" w:rsidRDefault="003B1EC4" w:rsidP="003B1EC4">
      <w:pPr>
        <w:pStyle w:val="Citation"/>
        <w:rPr>
          <w:lang w:val="en-CA" w:eastAsia="fr-CA"/>
        </w:rPr>
      </w:pPr>
      <w:r w:rsidRPr="00323372">
        <w:rPr>
          <w:lang w:val="en-CA" w:eastAsia="fr-CA"/>
        </w:rPr>
        <w:t>43</w:t>
      </w:r>
      <w:r w:rsidRPr="00323372">
        <w:rPr>
          <w:lang w:val="en-CA" w:eastAsia="fr-CA"/>
        </w:rPr>
        <w:tab/>
      </w:r>
      <w:r w:rsidRPr="00323372">
        <w:rPr>
          <w:lang w:val="en-CA"/>
        </w:rPr>
        <w:t xml:space="preserve">... </w:t>
      </w:r>
      <w:r w:rsidRPr="00E202F1">
        <w:rPr>
          <w:lang w:val="en-CA"/>
        </w:rPr>
        <w:t xml:space="preserve">Where a minority language board has been established in furtherance of s. </w:t>
      </w:r>
      <w:r w:rsidRPr="00A37C5C">
        <w:rPr>
          <w:lang w:val="en-CA" w:eastAsia="fr-CA"/>
        </w:rPr>
        <w:t xml:space="preserve"> </w:t>
      </w:r>
      <w:r w:rsidRPr="00E202F1">
        <w:rPr>
          <w:lang w:val="en-CA" w:eastAsia="fr-CA"/>
        </w:rPr>
        <w:t>23, it is up to the board, as it represents the minority official language community, to decide what is more appropriate from a cultural and linguistic perspective. The principal role of the Minister is to develop institutional structures and specific regulations and policies to deal with the unique blend of linguistic dynamics that has developed in the province.</w:t>
      </w:r>
      <w:r w:rsidRPr="00E202F1">
        <w:rPr>
          <w:rStyle w:val="Appelnotedebasdep"/>
          <w:rFonts w:cs="Arial"/>
          <w:lang w:val="en-CA" w:eastAsia="fr-CA"/>
        </w:rPr>
        <w:t xml:space="preserve"> </w:t>
      </w:r>
      <w:r w:rsidRPr="00E202F1">
        <w:rPr>
          <w:rStyle w:val="Appelnotedebasdep"/>
          <w:rFonts w:cs="Arial"/>
          <w:lang w:eastAsia="fr-CA"/>
        </w:rPr>
        <w:footnoteReference w:id="175"/>
      </w:r>
    </w:p>
    <w:p w14:paraId="2380D8F2" w14:textId="62DF2D27" w:rsidR="003B1EC4" w:rsidRPr="00234344" w:rsidRDefault="003B1EC4" w:rsidP="003B1EC4">
      <w:pPr>
        <w:pStyle w:val="Paragrsimple"/>
        <w:rPr>
          <w:lang w:val="en-CA"/>
        </w:rPr>
      </w:pPr>
      <w:r w:rsidRPr="00234344">
        <w:rPr>
          <w:lang w:val="en-CA"/>
        </w:rPr>
        <w:t xml:space="preserve">Depriving the </w:t>
      </w:r>
      <w:r>
        <w:rPr>
          <w:lang w:val="en-CA"/>
        </w:rPr>
        <w:t>boards</w:t>
      </w:r>
      <w:r w:rsidRPr="00234344">
        <w:rPr>
          <w:lang w:val="en-CA"/>
        </w:rPr>
        <w:t xml:space="preserve"> or school boards of the powers they should </w:t>
      </w:r>
      <w:r w:rsidR="00D763BD">
        <w:rPr>
          <w:lang w:val="en-CA"/>
        </w:rPr>
        <w:t>have</w:t>
      </w:r>
      <w:r w:rsidR="00D763BD" w:rsidRPr="00234344">
        <w:rPr>
          <w:lang w:val="en-CA"/>
        </w:rPr>
        <w:t xml:space="preserve"> </w:t>
      </w:r>
      <w:r w:rsidRPr="00234344">
        <w:rPr>
          <w:lang w:val="en-CA"/>
        </w:rPr>
        <w:t>to fulfil their role is not consistent with this imperative.</w:t>
      </w:r>
    </w:p>
    <w:p w14:paraId="210F6F8B" w14:textId="62C1492E" w:rsidR="003B1EC4" w:rsidRPr="00234344" w:rsidRDefault="003B1EC4" w:rsidP="003B1EC4">
      <w:pPr>
        <w:pStyle w:val="Paragrdouble"/>
        <w:spacing w:line="240" w:lineRule="auto"/>
        <w:rPr>
          <w:lang w:val="en-CA"/>
        </w:rPr>
      </w:pPr>
      <w:r w:rsidRPr="00234344">
        <w:rPr>
          <w:lang w:val="en-CA"/>
        </w:rPr>
        <w:t>In the words of Vickers J. of the</w:t>
      </w:r>
      <w:r w:rsidR="00152B3C">
        <w:rPr>
          <w:lang w:val="en-CA"/>
        </w:rPr>
        <w:t xml:space="preserve"> Supreme Court of</w:t>
      </w:r>
      <w:r w:rsidRPr="00234344">
        <w:rPr>
          <w:lang w:val="en-CA"/>
        </w:rPr>
        <w:t xml:space="preserve"> British Columbia </w:t>
      </w:r>
      <w:r w:rsidR="00021072">
        <w:rPr>
          <w:lang w:val="en-CA"/>
        </w:rPr>
        <w:t xml:space="preserve">on </w:t>
      </w:r>
      <w:r w:rsidRPr="00234344">
        <w:rPr>
          <w:lang w:val="en-CA"/>
        </w:rPr>
        <w:t xml:space="preserve">the restrictions imposed on the French-language school </w:t>
      </w:r>
      <w:r w:rsidR="00B43EF4">
        <w:rPr>
          <w:lang w:val="en-CA"/>
        </w:rPr>
        <w:t>board</w:t>
      </w:r>
      <w:r w:rsidR="00B43EF4" w:rsidRPr="00234344">
        <w:rPr>
          <w:lang w:val="en-CA"/>
        </w:rPr>
        <w:t xml:space="preserve"> </w:t>
      </w:r>
      <w:r w:rsidR="00021072">
        <w:rPr>
          <w:lang w:val="en-CA"/>
        </w:rPr>
        <w:t>against</w:t>
      </w:r>
      <w:r w:rsidR="00021072" w:rsidRPr="00234344">
        <w:rPr>
          <w:lang w:val="en-CA"/>
        </w:rPr>
        <w:t xml:space="preserve"> </w:t>
      </w:r>
      <w:r w:rsidRPr="00234344">
        <w:rPr>
          <w:lang w:val="en-CA"/>
        </w:rPr>
        <w:t>using funds towards capital expenditures:</w:t>
      </w:r>
      <w:r>
        <w:rPr>
          <w:rStyle w:val="Appelnotedebasdep"/>
        </w:rPr>
        <w:footnoteReference w:id="176"/>
      </w:r>
    </w:p>
    <w:p w14:paraId="6836E0BD" w14:textId="2C2167AB" w:rsidR="003B1EC4" w:rsidRPr="00376197" w:rsidRDefault="003B1EC4" w:rsidP="003B1EC4">
      <w:pPr>
        <w:pStyle w:val="Citation"/>
        <w:rPr>
          <w:lang w:val="en-CA" w:eastAsia="fr-CA"/>
        </w:rPr>
      </w:pPr>
      <w:r>
        <w:rPr>
          <w:lang w:val="en-CA" w:eastAsia="fr-CA"/>
        </w:rPr>
        <w:t>37 …It seems to me that this lack of flexibility goes to the heart of management and control.</w:t>
      </w:r>
      <w:r w:rsidRPr="00376197">
        <w:rPr>
          <w:lang w:val="en-CA" w:eastAsia="fr-CA"/>
        </w:rPr>
        <w:t> </w:t>
      </w:r>
      <w:r>
        <w:rPr>
          <w:lang w:val="en-CA" w:eastAsia="fr-CA"/>
        </w:rPr>
        <w:t>Restricting the measure of management and control of the minority fails to meet the obligation of equivalency and equality mandated by s. 23.</w:t>
      </w:r>
    </w:p>
    <w:p w14:paraId="1C58AA2C" w14:textId="77777777" w:rsidR="003B1EC4" w:rsidRPr="00E202F1" w:rsidRDefault="003B1EC4" w:rsidP="003B1EC4">
      <w:pPr>
        <w:pStyle w:val="Paragrsimple"/>
      </w:pPr>
      <w:r w:rsidRPr="00E202F1">
        <w:t xml:space="preserve">Section 473.1 </w:t>
      </w:r>
      <w:r w:rsidRPr="00ED6AA6">
        <w:rPr>
          <w:i/>
          <w:iCs/>
        </w:rPr>
        <w:t>EA</w:t>
      </w:r>
      <w:r w:rsidRPr="00E202F1">
        <w:t xml:space="preserve"> </w:t>
      </w:r>
      <w:r w:rsidRPr="00ED6AA6">
        <w:rPr>
          <w:lang w:val="en-CA"/>
        </w:rPr>
        <w:t>violates</w:t>
      </w:r>
      <w:r w:rsidRPr="00E202F1">
        <w:t xml:space="preserve"> section 23.</w:t>
      </w:r>
    </w:p>
    <w:bookmarkEnd w:id="43"/>
    <w:p w14:paraId="108528F6" w14:textId="75A60566" w:rsidR="003B1EC4" w:rsidRPr="00E202F1" w:rsidRDefault="00021072" w:rsidP="008E67A6">
      <w:pPr>
        <w:pStyle w:val="Titre3"/>
        <w:keepNext/>
        <w:numPr>
          <w:ilvl w:val="0"/>
          <w:numId w:val="0"/>
        </w:numPr>
        <w:ind w:left="731" w:firstLine="731"/>
        <w:rPr>
          <w:lang w:val="en-CA"/>
        </w:rPr>
      </w:pPr>
      <w:r>
        <w:rPr>
          <w:lang w:val="en-CA"/>
        </w:rPr>
        <w:lastRenderedPageBreak/>
        <w:t xml:space="preserve">ix. </w:t>
      </w:r>
      <w:bookmarkStart w:id="47" w:name="_Hlk149038728"/>
      <w:r w:rsidR="003B1EC4" w:rsidRPr="00E202F1">
        <w:rPr>
          <w:lang w:val="en-CA"/>
        </w:rPr>
        <w:t>Minister’s power to determine objectives or targets</w:t>
      </w:r>
      <w:bookmarkEnd w:id="47"/>
    </w:p>
    <w:p w14:paraId="5F812A13" w14:textId="52980EE1" w:rsidR="003B1EC4" w:rsidRPr="00E202F1" w:rsidRDefault="003B1EC4" w:rsidP="008E67A6">
      <w:pPr>
        <w:pStyle w:val="Paragrdouble"/>
        <w:keepNext/>
        <w:spacing w:line="240" w:lineRule="auto"/>
        <w:rPr>
          <w:szCs w:val="24"/>
          <w:lang w:val="en-CA"/>
        </w:rPr>
      </w:pPr>
      <w:r w:rsidRPr="00E202F1">
        <w:rPr>
          <w:lang w:val="en-CA"/>
        </w:rPr>
        <w:t xml:space="preserve">The </w:t>
      </w:r>
      <w:r>
        <w:rPr>
          <w:lang w:val="en-CA"/>
        </w:rPr>
        <w:t>applicants</w:t>
      </w:r>
      <w:r w:rsidRPr="00E202F1">
        <w:rPr>
          <w:lang w:val="en-CA"/>
        </w:rPr>
        <w:t xml:space="preserve"> contest the power conferred </w:t>
      </w:r>
      <w:r w:rsidR="00021072">
        <w:rPr>
          <w:lang w:val="en-CA"/>
        </w:rPr>
        <w:t>on</w:t>
      </w:r>
      <w:r w:rsidRPr="00E202F1">
        <w:rPr>
          <w:lang w:val="en-CA"/>
        </w:rPr>
        <w:t xml:space="preserve"> the Minister </w:t>
      </w:r>
      <w:r w:rsidR="00021072">
        <w:rPr>
          <w:lang w:val="en-CA"/>
        </w:rPr>
        <w:t xml:space="preserve">by </w:t>
      </w:r>
      <w:r w:rsidRPr="00E202F1">
        <w:rPr>
          <w:lang w:val="en-CA"/>
        </w:rPr>
        <w:t xml:space="preserve">section 142 of the </w:t>
      </w:r>
      <w:r w:rsidRPr="00471D93">
        <w:rPr>
          <w:i/>
          <w:iCs/>
          <w:lang w:val="en-CA"/>
        </w:rPr>
        <w:t>Act</w:t>
      </w:r>
      <w:r w:rsidRPr="00E202F1">
        <w:rPr>
          <w:lang w:val="en-CA"/>
        </w:rPr>
        <w:t xml:space="preserve">, which adds section 459.5.4 to the </w:t>
      </w:r>
      <w:r w:rsidRPr="00471D93">
        <w:rPr>
          <w:i/>
          <w:iCs/>
          <w:lang w:val="en-CA"/>
        </w:rPr>
        <w:t>EA</w:t>
      </w:r>
      <w:r w:rsidRPr="00E202F1">
        <w:rPr>
          <w:lang w:val="en-CA"/>
        </w:rPr>
        <w:t xml:space="preserve">, to “determine, for all the school service centres or in light of the situation of one or certain centres, objectives or targets relating to their administration, organization or operation”. </w:t>
      </w:r>
    </w:p>
    <w:p w14:paraId="79380A64" w14:textId="749FAFAA" w:rsidR="003B1EC4" w:rsidRPr="00234344" w:rsidRDefault="003B1EC4" w:rsidP="008E67A6">
      <w:pPr>
        <w:pStyle w:val="Paragrdouble"/>
        <w:keepNext/>
        <w:spacing w:line="240" w:lineRule="auto"/>
        <w:rPr>
          <w:szCs w:val="24"/>
          <w:lang w:val="en-CA"/>
        </w:rPr>
      </w:pPr>
      <w:r w:rsidRPr="00234344">
        <w:rPr>
          <w:szCs w:val="24"/>
          <w:lang w:val="en-CA"/>
        </w:rPr>
        <w:t>They argue that this provision</w:t>
      </w:r>
      <w:r w:rsidR="00021072">
        <w:rPr>
          <w:szCs w:val="24"/>
          <w:lang w:val="en-CA"/>
        </w:rPr>
        <w:t xml:space="preserve"> adding</w:t>
      </w:r>
      <w:r w:rsidRPr="00234344">
        <w:rPr>
          <w:szCs w:val="24"/>
          <w:lang w:val="en-CA"/>
        </w:rPr>
        <w:t xml:space="preserve"> to section 459.3 </w:t>
      </w:r>
      <w:r w:rsidRPr="00471D93">
        <w:rPr>
          <w:i/>
          <w:iCs/>
          <w:szCs w:val="24"/>
          <w:lang w:val="en-CA"/>
        </w:rPr>
        <w:t>EA</w:t>
      </w:r>
      <w:r w:rsidRPr="00234344">
        <w:rPr>
          <w:szCs w:val="24"/>
          <w:lang w:val="en-CA"/>
        </w:rPr>
        <w:t>, which already provide</w:t>
      </w:r>
      <w:r>
        <w:rPr>
          <w:szCs w:val="24"/>
          <w:lang w:val="en-CA"/>
        </w:rPr>
        <w:t>s</w:t>
      </w:r>
      <w:r w:rsidRPr="00234344">
        <w:rPr>
          <w:szCs w:val="24"/>
          <w:lang w:val="en-CA"/>
        </w:rPr>
        <w:t xml:space="preserve"> that the Minister may, for any school service centre, prescribe terms governing the coordination of the entire strategic planning process between the educational institutions, the school service centre and the department, infringes on the minority’s exclusive power </w:t>
      </w:r>
      <w:r w:rsidR="00152B3C">
        <w:rPr>
          <w:szCs w:val="24"/>
          <w:lang w:val="en-CA"/>
        </w:rPr>
        <w:t>of</w:t>
      </w:r>
      <w:r w:rsidR="00152B3C" w:rsidRPr="00234344">
        <w:rPr>
          <w:szCs w:val="24"/>
          <w:lang w:val="en-CA"/>
        </w:rPr>
        <w:t xml:space="preserve"> </w:t>
      </w:r>
      <w:r w:rsidRPr="00234344">
        <w:rPr>
          <w:szCs w:val="24"/>
          <w:lang w:val="en-CA"/>
        </w:rPr>
        <w:t>manage</w:t>
      </w:r>
      <w:r w:rsidR="00152B3C">
        <w:rPr>
          <w:szCs w:val="24"/>
          <w:lang w:val="en-CA"/>
        </w:rPr>
        <w:t>ment</w:t>
      </w:r>
      <w:r w:rsidRPr="00234344">
        <w:rPr>
          <w:szCs w:val="24"/>
          <w:lang w:val="en-CA"/>
        </w:rPr>
        <w:t xml:space="preserve"> and control.</w:t>
      </w:r>
    </w:p>
    <w:p w14:paraId="75F3A951" w14:textId="77777777" w:rsidR="003B1EC4" w:rsidRPr="00234344" w:rsidRDefault="003B1EC4" w:rsidP="003B1EC4">
      <w:pPr>
        <w:pStyle w:val="Paragrdouble"/>
        <w:spacing w:line="240" w:lineRule="auto"/>
        <w:rPr>
          <w:szCs w:val="24"/>
          <w:lang w:val="en-CA"/>
        </w:rPr>
      </w:pPr>
      <w:r w:rsidRPr="00234344">
        <w:rPr>
          <w:rFonts w:cs="Arial"/>
          <w:szCs w:val="24"/>
          <w:lang w:val="en-CA"/>
        </w:rPr>
        <w:t>In this respect, they cite the sworn statement of Stephen Burke, Chair of the Central Quebec School Board:</w:t>
      </w:r>
      <w:r>
        <w:rPr>
          <w:rStyle w:val="Appelnotedebasdep"/>
          <w:rFonts w:cs="Arial"/>
          <w:color w:val="000000"/>
          <w:szCs w:val="24"/>
        </w:rPr>
        <w:footnoteReference w:id="177"/>
      </w:r>
    </w:p>
    <w:p w14:paraId="1FB38688" w14:textId="77777777" w:rsidR="003B1EC4" w:rsidRPr="00586C37" w:rsidRDefault="003B1EC4" w:rsidP="005352DE">
      <w:pPr>
        <w:pStyle w:val="Citation"/>
        <w:spacing w:before="120" w:after="120"/>
        <w:ind w:left="862" w:right="862"/>
        <w:rPr>
          <w:lang w:val="en-CA"/>
        </w:rPr>
      </w:pPr>
      <w:r>
        <w:rPr>
          <w:lang w:val="en-CA"/>
        </w:rPr>
        <w:t>37.</w:t>
      </w:r>
      <w:r w:rsidRPr="00586C37">
        <w:rPr>
          <w:lang w:val="en-CA"/>
        </w:rPr>
        <w:t xml:space="preserve"> </w:t>
      </w:r>
      <w:r>
        <w:rPr>
          <w:lang w:val="en-CA"/>
        </w:rPr>
        <w:t>The council of commissioners formulates, modifies, and adapts various objectives throughout the year.</w:t>
      </w:r>
      <w:r w:rsidRPr="00586C37">
        <w:rPr>
          <w:lang w:val="en-CA"/>
        </w:rPr>
        <w:t xml:space="preserve"> </w:t>
      </w:r>
      <w:r>
        <w:rPr>
          <w:lang w:val="en-CA"/>
        </w:rPr>
        <w:t>It does so in response to the needs that are expressed by constituents in the various communities.</w:t>
      </w:r>
      <w:r w:rsidRPr="00586C37">
        <w:rPr>
          <w:lang w:val="en-CA"/>
        </w:rPr>
        <w:t xml:space="preserve"> </w:t>
      </w:r>
      <w:r>
        <w:rPr>
          <w:lang w:val="en-CA"/>
        </w:rPr>
        <w:t>I am confident that the needs of the various communities are heard because we have commissioners that represent various wards.</w:t>
      </w:r>
    </w:p>
    <w:p w14:paraId="453CDDDB" w14:textId="77777777" w:rsidR="003B1EC4" w:rsidRPr="00586C37" w:rsidRDefault="003B1EC4" w:rsidP="003B1EC4">
      <w:pPr>
        <w:pStyle w:val="Citation"/>
        <w:rPr>
          <w:sz w:val="20"/>
          <w:lang w:val="en-CA"/>
        </w:rPr>
      </w:pPr>
      <w:r>
        <w:rPr>
          <w:spacing w:val="-5"/>
          <w:sz w:val="20"/>
          <w:lang w:val="en-CA"/>
        </w:rPr>
        <w:t>…</w:t>
      </w:r>
    </w:p>
    <w:p w14:paraId="4B17FB37" w14:textId="77777777" w:rsidR="003B1EC4" w:rsidRPr="00586C37" w:rsidRDefault="003B1EC4" w:rsidP="005352DE">
      <w:pPr>
        <w:pStyle w:val="Citation"/>
        <w:spacing w:before="120"/>
        <w:ind w:left="862" w:right="862"/>
        <w:rPr>
          <w:lang w:val="en-CA"/>
        </w:rPr>
      </w:pPr>
      <w:r>
        <w:rPr>
          <w:lang w:val="en-CA"/>
        </w:rPr>
        <w:t>39</w:t>
      </w:r>
      <w:r w:rsidRPr="00586C37">
        <w:rPr>
          <w:lang w:val="en-CA"/>
        </w:rPr>
        <w:tab/>
      </w:r>
      <w:r>
        <w:rPr>
          <w:lang w:val="en-CA"/>
        </w:rPr>
        <w:t>For a school board like ours that covers a very large territory, I am particularly worried that this provision will enable the Minister to force the board to progressively abandon a goal that is at the heart of our community: to provide services to all our communities, even in remote areas.</w:t>
      </w:r>
    </w:p>
    <w:p w14:paraId="720D52F5" w14:textId="77777777" w:rsidR="003B1EC4" w:rsidRPr="00586C37" w:rsidRDefault="003B1EC4" w:rsidP="003B1EC4">
      <w:pPr>
        <w:pStyle w:val="Citation"/>
        <w:rPr>
          <w:lang w:val="en-CA"/>
        </w:rPr>
      </w:pPr>
      <w:r>
        <w:rPr>
          <w:lang w:val="en-CA"/>
        </w:rPr>
        <w:t>40</w:t>
      </w:r>
      <w:r w:rsidRPr="00586C37">
        <w:rPr>
          <w:lang w:val="en-CA"/>
        </w:rPr>
        <w:tab/>
      </w:r>
      <w:r>
        <w:rPr>
          <w:lang w:val="en-CA"/>
        </w:rPr>
        <w:t>For example, commissioners (myself included) have made a conscious decision to continue operating the Valcartier Elementary School in Saint-Gabriel-de-Valcartier despite an enrollment of 70 students.</w:t>
      </w:r>
      <w:r w:rsidRPr="00586C37">
        <w:rPr>
          <w:lang w:val="en-CA"/>
        </w:rPr>
        <w:t xml:space="preserve"> </w:t>
      </w:r>
      <w:r>
        <w:rPr>
          <w:lang w:val="en-CA"/>
        </w:rPr>
        <w:t>From a practical perspective, the Ministry of Education may wish that we close this type of facility on the basis of cost alone, with no consideration for the community it serves.</w:t>
      </w:r>
      <w:r w:rsidRPr="00586C37">
        <w:rPr>
          <w:lang w:val="en-CA"/>
        </w:rPr>
        <w:t xml:space="preserve"> </w:t>
      </w:r>
      <w:r>
        <w:rPr>
          <w:lang w:val="en-CA"/>
        </w:rPr>
        <w:t>Our community is adamant about keeping this facility open.</w:t>
      </w:r>
    </w:p>
    <w:p w14:paraId="04346304" w14:textId="77777777" w:rsidR="003B1EC4" w:rsidRPr="00586C37" w:rsidRDefault="003B1EC4" w:rsidP="003B1EC4">
      <w:pPr>
        <w:pStyle w:val="Citation"/>
        <w:rPr>
          <w:lang w:val="en-CA"/>
        </w:rPr>
      </w:pPr>
      <w:r>
        <w:rPr>
          <w:lang w:val="en-CA"/>
        </w:rPr>
        <w:t>41</w:t>
      </w:r>
      <w:r w:rsidRPr="00586C37">
        <w:rPr>
          <w:lang w:val="en-CA"/>
        </w:rPr>
        <w:tab/>
      </w:r>
      <w:r>
        <w:rPr>
          <w:lang w:val="en-CA"/>
        </w:rPr>
        <w:t>Our schools do not just provide educational services.</w:t>
      </w:r>
      <w:r w:rsidRPr="00586C37">
        <w:rPr>
          <w:lang w:val="en-CA"/>
        </w:rPr>
        <w:t xml:space="preserve"> </w:t>
      </w:r>
      <w:r>
        <w:rPr>
          <w:lang w:val="en-CA"/>
        </w:rPr>
        <w:t>They are community centres where parents can and do in fact gather and where community members can and do get involved.</w:t>
      </w:r>
      <w:r w:rsidRPr="00586C37">
        <w:rPr>
          <w:lang w:val="en-CA"/>
        </w:rPr>
        <w:t xml:space="preserve"> </w:t>
      </w:r>
      <w:r>
        <w:rPr>
          <w:lang w:val="en-CA"/>
        </w:rPr>
        <w:t>To close a small school like the one in Saint-Gabriel-de-Valcartier would seriously threaten the future of that community.</w:t>
      </w:r>
    </w:p>
    <w:p w14:paraId="68C7340B" w14:textId="77C8D233" w:rsidR="003B1EC4" w:rsidRPr="006529E5" w:rsidRDefault="003B1EC4" w:rsidP="003B1EC4">
      <w:pPr>
        <w:pStyle w:val="Paragrsimple"/>
        <w:rPr>
          <w:lang w:val="en-CA"/>
        </w:rPr>
      </w:pPr>
      <w:r w:rsidRPr="001617E1">
        <w:rPr>
          <w:lang w:val="en-CA"/>
        </w:rPr>
        <w:t>The Court does not see in this new provision the</w:t>
      </w:r>
      <w:r w:rsidRPr="006529E5">
        <w:rPr>
          <w:lang w:val="en-CA"/>
        </w:rPr>
        <w:t xml:space="preserve"> addition of a power that will necessarily </w:t>
      </w:r>
      <w:r w:rsidR="00152B3C">
        <w:rPr>
          <w:lang w:val="en-CA"/>
        </w:rPr>
        <w:t xml:space="preserve">set </w:t>
      </w:r>
      <w:r w:rsidRPr="006529E5">
        <w:rPr>
          <w:lang w:val="en-CA"/>
        </w:rPr>
        <w:t xml:space="preserve">the Minister’s priorities </w:t>
      </w:r>
      <w:r w:rsidR="00332669">
        <w:rPr>
          <w:lang w:val="en-CA"/>
        </w:rPr>
        <w:t>in opposition</w:t>
      </w:r>
      <w:r w:rsidR="00152B3C">
        <w:rPr>
          <w:lang w:val="en-CA"/>
        </w:rPr>
        <w:t xml:space="preserve"> </w:t>
      </w:r>
      <w:r w:rsidRPr="006529E5">
        <w:rPr>
          <w:lang w:val="en-CA"/>
        </w:rPr>
        <w:t xml:space="preserve">to those of English-language school service centres. </w:t>
      </w:r>
      <w:r w:rsidR="00097746">
        <w:rPr>
          <w:lang w:val="en-CA"/>
        </w:rPr>
        <w:t>Instead, t</w:t>
      </w:r>
      <w:r w:rsidRPr="006529E5">
        <w:rPr>
          <w:lang w:val="en-CA"/>
        </w:rPr>
        <w:t xml:space="preserve">he Court </w:t>
      </w:r>
      <w:r w:rsidR="00332669">
        <w:rPr>
          <w:lang w:val="en-CA"/>
        </w:rPr>
        <w:t>hopes</w:t>
      </w:r>
      <w:r w:rsidR="00332669" w:rsidRPr="006529E5">
        <w:rPr>
          <w:lang w:val="en-CA"/>
        </w:rPr>
        <w:t xml:space="preserve"> </w:t>
      </w:r>
      <w:r w:rsidRPr="006529E5">
        <w:rPr>
          <w:lang w:val="en-CA"/>
        </w:rPr>
        <w:t>that</w:t>
      </w:r>
      <w:r w:rsidR="00332669">
        <w:rPr>
          <w:lang w:val="en-CA"/>
        </w:rPr>
        <w:t>,</w:t>
      </w:r>
      <w:r w:rsidRPr="006529E5">
        <w:rPr>
          <w:lang w:val="en-CA"/>
        </w:rPr>
        <w:t xml:space="preserve"> if the Minister decides to set such </w:t>
      </w:r>
      <w:r w:rsidRPr="006529E5">
        <w:rPr>
          <w:lang w:val="en-CA"/>
        </w:rPr>
        <w:lastRenderedPageBreak/>
        <w:t>objectives, he will do so</w:t>
      </w:r>
      <w:r w:rsidR="00B157E0">
        <w:rPr>
          <w:lang w:val="en-CA"/>
        </w:rPr>
        <w:t>,</w:t>
      </w:r>
      <w:r w:rsidRPr="006529E5">
        <w:rPr>
          <w:lang w:val="en-CA"/>
        </w:rPr>
        <w:t xml:space="preserve"> </w:t>
      </w:r>
      <w:r w:rsidR="00332669">
        <w:rPr>
          <w:lang w:val="en-CA"/>
        </w:rPr>
        <w:t xml:space="preserve">bearing in mind </w:t>
      </w:r>
      <w:r w:rsidRPr="006529E5">
        <w:rPr>
          <w:lang w:val="en-CA"/>
        </w:rPr>
        <w:t xml:space="preserve">the needs of the English-language community concerned, as he </w:t>
      </w:r>
      <w:r w:rsidR="00097746">
        <w:rPr>
          <w:lang w:val="en-CA"/>
        </w:rPr>
        <w:t>is required to do under</w:t>
      </w:r>
      <w:r w:rsidRPr="006529E5">
        <w:rPr>
          <w:lang w:val="en-CA"/>
        </w:rPr>
        <w:t xml:space="preserve"> section 23. </w:t>
      </w:r>
    </w:p>
    <w:p w14:paraId="3D246E8D" w14:textId="741E05BE" w:rsidR="003B1EC4" w:rsidRPr="001617E1" w:rsidRDefault="003B1EC4" w:rsidP="003B1EC4">
      <w:pPr>
        <w:pStyle w:val="Paragrsimple"/>
        <w:rPr>
          <w:lang w:val="en-CA"/>
        </w:rPr>
      </w:pPr>
      <w:r w:rsidRPr="006529E5">
        <w:rPr>
          <w:lang w:val="en-CA"/>
        </w:rPr>
        <w:t xml:space="preserve">The Court finds that, as drafted, and in the absence of evidence that it </w:t>
      </w:r>
      <w:r>
        <w:rPr>
          <w:lang w:val="en-CA"/>
        </w:rPr>
        <w:t>violates</w:t>
      </w:r>
      <w:r w:rsidRPr="006529E5">
        <w:rPr>
          <w:lang w:val="en-CA"/>
        </w:rPr>
        <w:t xml:space="preserve"> the requirements of section 23, this power is part of the National Assembly’s right to legislate </w:t>
      </w:r>
      <w:r w:rsidR="00332669">
        <w:rPr>
          <w:lang w:val="en-CA"/>
        </w:rPr>
        <w:t xml:space="preserve">in relation to </w:t>
      </w:r>
      <w:r w:rsidRPr="006529E5">
        <w:rPr>
          <w:lang w:val="en-CA"/>
        </w:rPr>
        <w:t xml:space="preserve">education. </w:t>
      </w:r>
      <w:r w:rsidRPr="001617E1">
        <w:rPr>
          <w:lang w:val="en-CA"/>
        </w:rPr>
        <w:t xml:space="preserve">As Bastarache J. wrote in </w:t>
      </w:r>
      <w:r w:rsidRPr="001617E1">
        <w:rPr>
          <w:i/>
          <w:lang w:val="en-CA"/>
        </w:rPr>
        <w:t>Arsenault-Cameron</w:t>
      </w:r>
      <w:r w:rsidRPr="001617E1">
        <w:rPr>
          <w:lang w:val="en-CA"/>
        </w:rPr>
        <w:t>:</w:t>
      </w:r>
      <w:r w:rsidRPr="00E202F1">
        <w:rPr>
          <w:rStyle w:val="Appelnotedebasdep"/>
        </w:rPr>
        <w:footnoteReference w:id="178"/>
      </w:r>
    </w:p>
    <w:p w14:paraId="39B1E7EC" w14:textId="77777777" w:rsidR="003B1EC4" w:rsidRPr="006529E5" w:rsidRDefault="003B1EC4" w:rsidP="003B1EC4">
      <w:pPr>
        <w:pStyle w:val="Citation"/>
        <w:rPr>
          <w:lang w:val="en-CA"/>
        </w:rPr>
      </w:pPr>
      <w:r w:rsidRPr="006529E5">
        <w:rPr>
          <w:lang w:val="en-CA"/>
        </w:rPr>
        <w:t>The province can also regulate this area, as previously mentioned, by fixing legitimate parameters to the exercise of the right of management by the Board.  </w:t>
      </w:r>
    </w:p>
    <w:p w14:paraId="791B1442" w14:textId="3ECF4B80" w:rsidR="003B1EC4" w:rsidRPr="00E202F1" w:rsidRDefault="003B1EC4" w:rsidP="003B1EC4">
      <w:pPr>
        <w:pStyle w:val="Paragrsimple"/>
        <w:rPr>
          <w:lang w:val="en-CA"/>
        </w:rPr>
      </w:pPr>
      <w:r w:rsidRPr="00E202F1">
        <w:rPr>
          <w:lang w:val="en-CA"/>
        </w:rPr>
        <w:t xml:space="preserve">These remarks </w:t>
      </w:r>
      <w:r w:rsidR="00332669">
        <w:rPr>
          <w:lang w:val="en-CA"/>
        </w:rPr>
        <w:t>echoed</w:t>
      </w:r>
      <w:r w:rsidR="00332669" w:rsidRPr="00E202F1">
        <w:rPr>
          <w:lang w:val="en-CA"/>
        </w:rPr>
        <w:t xml:space="preserve"> </w:t>
      </w:r>
      <w:r w:rsidRPr="00E202F1">
        <w:rPr>
          <w:lang w:val="en-CA"/>
        </w:rPr>
        <w:t xml:space="preserve">those of Dickson C.J. in </w:t>
      </w:r>
      <w:r w:rsidRPr="00E202F1">
        <w:rPr>
          <w:i/>
          <w:lang w:val="en-CA"/>
        </w:rPr>
        <w:t>Mahe</w:t>
      </w:r>
      <w:r w:rsidRPr="00E202F1">
        <w:rPr>
          <w:lang w:val="en-CA"/>
        </w:rPr>
        <w:t>:</w:t>
      </w:r>
      <w:r w:rsidRPr="00E202F1">
        <w:rPr>
          <w:rStyle w:val="Appelnotedebasdep"/>
          <w:szCs w:val="24"/>
        </w:rPr>
        <w:footnoteReference w:id="179"/>
      </w:r>
    </w:p>
    <w:p w14:paraId="1EE52BC7" w14:textId="3190428B" w:rsidR="003B1EC4" w:rsidRPr="00D669E0" w:rsidRDefault="003B1EC4" w:rsidP="003B1EC4">
      <w:pPr>
        <w:pStyle w:val="Citation"/>
        <w:rPr>
          <w:lang w:val="en-CA"/>
        </w:rPr>
      </w:pPr>
      <w:r>
        <w:rPr>
          <w:spacing w:val="-3"/>
          <w:lang w:val="en-CA"/>
        </w:rPr>
        <w:t>Finally, it should be noted that the management and control accorded to s.</w:t>
      </w:r>
      <w:r w:rsidRPr="00DA7FEE">
        <w:rPr>
          <w:iCs/>
          <w:lang w:val="en-CA"/>
        </w:rPr>
        <w:t xml:space="preserve"> </w:t>
      </w:r>
      <w:r w:rsidRPr="00D669E0">
        <w:rPr>
          <w:iCs/>
          <w:lang w:val="en-CA"/>
        </w:rPr>
        <w:t xml:space="preserve">23 parents does not preclude provincial regulation. </w:t>
      </w:r>
      <w:r w:rsidRPr="00E202F1">
        <w:rPr>
          <w:iCs/>
          <w:lang w:val="en-CA"/>
        </w:rPr>
        <w:t>The province has an interest both in the content and the qualitative standards of educational programmes.</w:t>
      </w:r>
      <w:r w:rsidRPr="00DA7FEE">
        <w:rPr>
          <w:iCs/>
          <w:lang w:val="en-CA"/>
        </w:rPr>
        <w:t xml:space="preserve"> Such programmes can be imposed without infringing s. 23, in so far as they do not interfere with the linguistic and cultural concerns of the minority. </w:t>
      </w:r>
    </w:p>
    <w:p w14:paraId="58CD3840" w14:textId="3FD05DF1" w:rsidR="003B1EC4" w:rsidRPr="00D669E0" w:rsidRDefault="003B1EC4" w:rsidP="00EC0EC3">
      <w:pPr>
        <w:pStyle w:val="Paragrsimple"/>
        <w:rPr>
          <w:lang w:val="en-CA"/>
        </w:rPr>
      </w:pPr>
      <w:r w:rsidRPr="00DA7FEE">
        <w:rPr>
          <w:lang w:val="en-CA"/>
        </w:rPr>
        <w:t>Giving the M</w:t>
      </w:r>
      <w:r>
        <w:rPr>
          <w:lang w:val="en-CA"/>
        </w:rPr>
        <w:t>i</w:t>
      </w:r>
      <w:r w:rsidRPr="00DA7FEE">
        <w:rPr>
          <w:lang w:val="en-CA"/>
        </w:rPr>
        <w:t xml:space="preserve">nister discretion </w:t>
      </w:r>
      <w:r w:rsidR="00EC0EC3">
        <w:rPr>
          <w:lang w:val="en-CA"/>
        </w:rPr>
        <w:t xml:space="preserve">does </w:t>
      </w:r>
      <w:r w:rsidRPr="00DA7FEE">
        <w:rPr>
          <w:lang w:val="en-CA"/>
        </w:rPr>
        <w:t>not</w:t>
      </w:r>
      <w:r w:rsidRPr="00DA7FEE">
        <w:rPr>
          <w:rFonts w:cs="Arial"/>
          <w:szCs w:val="24"/>
          <w:lang w:val="en-CA"/>
        </w:rPr>
        <w:t xml:space="preserve"> </w:t>
      </w:r>
      <w:r w:rsidR="00822021">
        <w:rPr>
          <w:rFonts w:cs="Arial"/>
          <w:szCs w:val="24"/>
          <w:lang w:val="en-CA"/>
        </w:rPr>
        <w:t>confer</w:t>
      </w:r>
      <w:r w:rsidR="00822021" w:rsidRPr="00DA7FEE">
        <w:rPr>
          <w:rFonts w:cs="Arial"/>
          <w:szCs w:val="24"/>
          <w:lang w:val="en-CA"/>
        </w:rPr>
        <w:t xml:space="preserve"> </w:t>
      </w:r>
      <w:r w:rsidRPr="00DA7FEE">
        <w:rPr>
          <w:rFonts w:cs="Arial"/>
          <w:szCs w:val="24"/>
          <w:lang w:val="en-CA"/>
        </w:rPr>
        <w:t xml:space="preserve">a discretion that visibly </w:t>
      </w:r>
      <w:r>
        <w:rPr>
          <w:rFonts w:cs="Arial"/>
          <w:szCs w:val="24"/>
          <w:lang w:val="en-CA"/>
        </w:rPr>
        <w:t>violates</w:t>
      </w:r>
      <w:r w:rsidRPr="00DA7FEE">
        <w:rPr>
          <w:rFonts w:cs="Arial"/>
          <w:szCs w:val="24"/>
          <w:lang w:val="en-CA"/>
        </w:rPr>
        <w:t xml:space="preserve"> the exclusive power of control</w:t>
      </w:r>
      <w:r w:rsidR="00EC0EC3">
        <w:rPr>
          <w:rFonts w:cs="Arial"/>
          <w:szCs w:val="24"/>
          <w:lang w:val="en-CA"/>
        </w:rPr>
        <w:t xml:space="preserve">, as it did in </w:t>
      </w:r>
      <w:r w:rsidR="00EC0EC3" w:rsidRPr="005352DE">
        <w:rPr>
          <w:rFonts w:cs="Arial"/>
          <w:i/>
          <w:iCs/>
          <w:szCs w:val="24"/>
          <w:lang w:val="en-CA"/>
        </w:rPr>
        <w:t>La Federation Des</w:t>
      </w:r>
      <w:r w:rsidR="00EC0EC3" w:rsidRPr="00EC0EC3">
        <w:rPr>
          <w:rFonts w:cs="Arial"/>
          <w:szCs w:val="24"/>
          <w:lang w:val="en-CA"/>
        </w:rPr>
        <w:t xml:space="preserve"> </w:t>
      </w:r>
      <w:r w:rsidR="00EC0EC3" w:rsidRPr="005352DE">
        <w:rPr>
          <w:rFonts w:cs="Arial"/>
          <w:i/>
          <w:iCs/>
          <w:szCs w:val="24"/>
          <w:lang w:val="en-CA"/>
        </w:rPr>
        <w:t xml:space="preserve">Francophones De La </w:t>
      </w:r>
      <w:proofErr w:type="spellStart"/>
      <w:r w:rsidR="00EC0EC3" w:rsidRPr="005352DE">
        <w:rPr>
          <w:rFonts w:cs="Arial"/>
          <w:i/>
          <w:iCs/>
          <w:szCs w:val="24"/>
          <w:lang w:val="en-CA"/>
        </w:rPr>
        <w:t>Colombie-Britannique</w:t>
      </w:r>
      <w:proofErr w:type="spellEnd"/>
      <w:r w:rsidR="00EC0EC3" w:rsidRPr="005352DE">
        <w:rPr>
          <w:rFonts w:cs="Arial"/>
          <w:i/>
          <w:iCs/>
          <w:szCs w:val="24"/>
          <w:lang w:val="en-CA"/>
        </w:rPr>
        <w:t xml:space="preserve"> v. Woods</w:t>
      </w:r>
      <w:r w:rsidR="00EC0EC3">
        <w:rPr>
          <w:rFonts w:cs="Arial"/>
          <w:i/>
          <w:iCs/>
          <w:szCs w:val="24"/>
          <w:lang w:val="en-CA"/>
        </w:rPr>
        <w:t>.</w:t>
      </w:r>
      <w:r w:rsidR="00EC0EC3">
        <w:rPr>
          <w:rStyle w:val="Appelnotedebasdep"/>
          <w:rFonts w:cs="Arial"/>
          <w:szCs w:val="24"/>
          <w:lang w:val="en-CA"/>
        </w:rPr>
        <w:footnoteReference w:id="180"/>
      </w:r>
      <w:r w:rsidR="000F285B">
        <w:rPr>
          <w:rFonts w:cs="Arial"/>
          <w:i/>
          <w:iCs/>
          <w:szCs w:val="24"/>
          <w:lang w:val="en-CA"/>
        </w:rPr>
        <w:t xml:space="preserve"> </w:t>
      </w:r>
      <w:r w:rsidRPr="00D669E0">
        <w:rPr>
          <w:lang w:val="en-CA"/>
        </w:rPr>
        <w:t>In that case, Vickers J. wrote:</w:t>
      </w:r>
    </w:p>
    <w:p w14:paraId="53F3C99D" w14:textId="77777777" w:rsidR="003B1EC4" w:rsidRPr="00586C37" w:rsidRDefault="003B1EC4" w:rsidP="003B1EC4">
      <w:pPr>
        <w:pStyle w:val="Citation"/>
        <w:rPr>
          <w:lang w:val="en-CA"/>
        </w:rPr>
      </w:pPr>
      <w:r>
        <w:rPr>
          <w:lang w:val="en-CA"/>
        </w:rPr>
        <w:t>32</w:t>
      </w:r>
      <w:r w:rsidRPr="00586C37">
        <w:rPr>
          <w:lang w:val="en-CA"/>
        </w:rPr>
        <w:tab/>
      </w:r>
      <w:r>
        <w:rPr>
          <w:lang w:val="en-CA"/>
        </w:rPr>
        <w:t>It is the use of the word "may", the discretion by itself, and not the manner in which the discretion is exercised which makes the choice of words inappropriate.</w:t>
      </w:r>
      <w:r w:rsidRPr="00586C37">
        <w:rPr>
          <w:lang w:val="en-CA"/>
        </w:rPr>
        <w:t xml:space="preserve"> </w:t>
      </w:r>
      <w:r>
        <w:rPr>
          <w:lang w:val="en-CA"/>
        </w:rPr>
        <w:t>I do not assume the minister would exercise his discretion in an unconstitutional manner.</w:t>
      </w:r>
      <w:r w:rsidRPr="00586C37">
        <w:rPr>
          <w:lang w:val="en-CA"/>
        </w:rPr>
        <w:t xml:space="preserve"> </w:t>
      </w:r>
      <w:r>
        <w:rPr>
          <w:lang w:val="en-CA"/>
        </w:rPr>
        <w:t>The applicants do not complain that he has done so.</w:t>
      </w:r>
      <w:r w:rsidRPr="00586C37">
        <w:rPr>
          <w:lang w:val="en-CA"/>
        </w:rPr>
        <w:t xml:space="preserve"> </w:t>
      </w:r>
      <w:r>
        <w:rPr>
          <w:lang w:val="en-CA"/>
        </w:rPr>
        <w:t>However they should not have to wait for an inappropriate use of ministerial discretion to challenge a word that in and of itself makes the provision unconstitutional.</w:t>
      </w:r>
      <w:r w:rsidRPr="00586C37">
        <w:rPr>
          <w:lang w:val="en-CA"/>
        </w:rPr>
        <w:t xml:space="preserve"> </w:t>
      </w:r>
      <w:r>
        <w:rPr>
          <w:lang w:val="en-CA"/>
        </w:rPr>
        <w:t>In my view the use of the word "may" does not meet the constitutional obligation of the Province to provide funding to meet its s. 23 obligations.</w:t>
      </w:r>
    </w:p>
    <w:p w14:paraId="4A8A681F" w14:textId="2EE32A89" w:rsidR="003B1EC4" w:rsidRPr="00DA7FEE" w:rsidRDefault="003B1EC4" w:rsidP="003B1EC4">
      <w:pPr>
        <w:pStyle w:val="Paragrsimple"/>
        <w:rPr>
          <w:lang w:val="en-CA"/>
        </w:rPr>
      </w:pPr>
      <w:r w:rsidRPr="00DA7FEE">
        <w:rPr>
          <w:lang w:val="en-CA"/>
        </w:rPr>
        <w:t xml:space="preserve">If </w:t>
      </w:r>
      <w:r w:rsidR="00EC0EC3">
        <w:rPr>
          <w:lang w:val="en-CA"/>
        </w:rPr>
        <w:t xml:space="preserve">the Minister issues </w:t>
      </w:r>
      <w:r w:rsidRPr="00DA7FEE">
        <w:rPr>
          <w:lang w:val="en-CA"/>
        </w:rPr>
        <w:t xml:space="preserve">objectives or targets that are </w:t>
      </w:r>
      <w:r>
        <w:rPr>
          <w:lang w:val="en-CA"/>
        </w:rPr>
        <w:t>inconsistent</w:t>
      </w:r>
      <w:r w:rsidRPr="00DA7FEE">
        <w:rPr>
          <w:lang w:val="en-CA"/>
        </w:rPr>
        <w:t xml:space="preserve"> with the needs or wants of the English-language community, they </w:t>
      </w:r>
      <w:r>
        <w:rPr>
          <w:lang w:val="en-CA"/>
        </w:rPr>
        <w:t>may</w:t>
      </w:r>
      <w:r w:rsidRPr="00DA7FEE">
        <w:rPr>
          <w:lang w:val="en-CA"/>
        </w:rPr>
        <w:t xml:space="preserve"> be contested, as Dickson C.J. stated in </w:t>
      </w:r>
      <w:r w:rsidRPr="00DA7FEE">
        <w:rPr>
          <w:i/>
          <w:lang w:val="en-CA"/>
        </w:rPr>
        <w:t>Mahe</w:t>
      </w:r>
      <w:r w:rsidRPr="00DA7FEE">
        <w:rPr>
          <w:lang w:val="en-CA"/>
        </w:rPr>
        <w:t>.</w:t>
      </w:r>
      <w:r>
        <w:rPr>
          <w:rStyle w:val="Appelnotedebasdep"/>
          <w:szCs w:val="24"/>
        </w:rPr>
        <w:footnoteReference w:id="181"/>
      </w:r>
    </w:p>
    <w:p w14:paraId="3AC9502B" w14:textId="00B4EABA" w:rsidR="003B1EC4" w:rsidRPr="00E202F1" w:rsidRDefault="00EC0EC3" w:rsidP="005352DE">
      <w:pPr>
        <w:pStyle w:val="Titre3"/>
        <w:numPr>
          <w:ilvl w:val="0"/>
          <w:numId w:val="0"/>
        </w:numPr>
        <w:ind w:firstLine="731"/>
      </w:pPr>
      <w:r>
        <w:t xml:space="preserve">x.  </w:t>
      </w:r>
      <w:r w:rsidR="003B1EC4" w:rsidRPr="00E202F1">
        <w:t>Conclusion on management and control</w:t>
      </w:r>
    </w:p>
    <w:p w14:paraId="58155278" w14:textId="5798C52A" w:rsidR="003B1EC4" w:rsidRPr="00DA7FEE" w:rsidRDefault="003B1EC4" w:rsidP="003B1EC4">
      <w:pPr>
        <w:pStyle w:val="Paragrsimple"/>
        <w:rPr>
          <w:lang w:val="en-CA"/>
        </w:rPr>
      </w:pPr>
      <w:r w:rsidRPr="00DA7FEE">
        <w:rPr>
          <w:lang w:val="en-CA"/>
        </w:rPr>
        <w:t>To summarize the Court’s conclusions on the designation and roles of the members of English-language school boards, it is appropriate to quote the Court of Appeal</w:t>
      </w:r>
      <w:r w:rsidR="008D5CBC">
        <w:rPr>
          <w:lang w:val="en-CA"/>
        </w:rPr>
        <w:t xml:space="preserve"> when it ruled</w:t>
      </w:r>
      <w:r w:rsidR="0030528C">
        <w:rPr>
          <w:lang w:val="en-CA"/>
        </w:rPr>
        <w:t xml:space="preserve"> </w:t>
      </w:r>
      <w:r w:rsidRPr="00DA7FEE">
        <w:rPr>
          <w:lang w:val="en-CA"/>
        </w:rPr>
        <w:t xml:space="preserve">that the </w:t>
      </w:r>
      <w:r w:rsidR="00FB1504">
        <w:rPr>
          <w:lang w:val="en-CA"/>
        </w:rPr>
        <w:t xml:space="preserve">first impression </w:t>
      </w:r>
      <w:r w:rsidRPr="00DA7FEE">
        <w:rPr>
          <w:lang w:val="en-CA"/>
        </w:rPr>
        <w:t>was confirmed by the evidence:</w:t>
      </w:r>
      <w:r>
        <w:rPr>
          <w:rStyle w:val="Appelnotedebasdep"/>
          <w:bCs/>
        </w:rPr>
        <w:footnoteReference w:id="182"/>
      </w:r>
    </w:p>
    <w:p w14:paraId="45099F0F" w14:textId="77777777" w:rsidR="003B1EC4" w:rsidRDefault="003B1EC4" w:rsidP="003B1EC4">
      <w:pPr>
        <w:pStyle w:val="Citation"/>
        <w:ind w:left="1462" w:firstLine="2"/>
        <w:rPr>
          <w:lang w:val="en-CA"/>
        </w:rPr>
      </w:pPr>
      <w:r>
        <w:rPr>
          <w:lang w:val="en-CA"/>
        </w:rPr>
        <w:lastRenderedPageBreak/>
        <w:t>[</w:t>
      </w:r>
      <w:r w:rsidRPr="00535BCE">
        <w:rPr>
          <w:smallCaps/>
          <w:lang w:val="en-CA"/>
        </w:rPr>
        <w:t>translation</w:t>
      </w:r>
      <w:r>
        <w:rPr>
          <w:lang w:val="en-CA"/>
        </w:rPr>
        <w:t>]</w:t>
      </w:r>
    </w:p>
    <w:p w14:paraId="1D27D7A5" w14:textId="734A4F54" w:rsidR="003B1EC4" w:rsidRPr="00DA7FEE" w:rsidRDefault="003B1EC4" w:rsidP="003B1EC4">
      <w:pPr>
        <w:pStyle w:val="Citation"/>
        <w:ind w:left="1462" w:firstLine="2"/>
        <w:rPr>
          <w:kern w:val="28"/>
          <w:sz w:val="24"/>
          <w:szCs w:val="20"/>
          <w:lang w:val="en-CA"/>
        </w:rPr>
      </w:pPr>
      <w:r w:rsidRPr="00DA7FEE">
        <w:rPr>
          <w:lang w:val="en-CA"/>
        </w:rPr>
        <w:t>[50]</w:t>
      </w:r>
      <w:r w:rsidRPr="00DA7FEE">
        <w:rPr>
          <w:lang w:val="en-CA"/>
        </w:rPr>
        <w:tab/>
      </w:r>
      <w:r w:rsidRPr="00E202F1">
        <w:rPr>
          <w:lang w:val="en-CA"/>
        </w:rPr>
        <w:t xml:space="preserve">The replacement of English school boards by the school service centres forms part of what, at first glance at least, constitutes (a) a significant transfer of the power of management and control over the English language minority’s educational system to the Minister and to the employees of the future school service centres, and (b) major restrictions on the candidacy of a significant segment of </w:t>
      </w:r>
      <w:r w:rsidR="000F5C17">
        <w:rPr>
          <w:lang w:val="en-CA"/>
        </w:rPr>
        <w:t>s.</w:t>
      </w:r>
      <w:r w:rsidRPr="00E202F1">
        <w:rPr>
          <w:lang w:val="en-CA"/>
        </w:rPr>
        <w:t xml:space="preserve"> 23 rights holders for election to the boards of directors of the new school service centres.</w:t>
      </w:r>
    </w:p>
    <w:p w14:paraId="1C889C93" w14:textId="5677471D" w:rsidR="003B1EC4" w:rsidRPr="00DA7FEE" w:rsidRDefault="003B1EC4" w:rsidP="003B1EC4">
      <w:pPr>
        <w:pStyle w:val="Paragrsimple"/>
        <w:rPr>
          <w:lang w:val="en-CA"/>
        </w:rPr>
      </w:pPr>
      <w:r w:rsidRPr="00DA7FEE">
        <w:rPr>
          <w:lang w:val="en-CA"/>
        </w:rPr>
        <w:t xml:space="preserve">All the restrictions and requirements set out in the </w:t>
      </w:r>
      <w:r w:rsidRPr="00535BCE">
        <w:rPr>
          <w:i/>
          <w:iCs/>
          <w:lang w:val="en-CA"/>
        </w:rPr>
        <w:t>Act</w:t>
      </w:r>
      <w:r w:rsidRPr="00DA7FEE">
        <w:rPr>
          <w:lang w:val="en-CA"/>
        </w:rPr>
        <w:t xml:space="preserve"> lead to the conclusion that the English-language community will lose </w:t>
      </w:r>
      <w:r w:rsidR="0030528C">
        <w:rPr>
          <w:lang w:val="en-CA"/>
        </w:rPr>
        <w:t xml:space="preserve">the </w:t>
      </w:r>
      <w:r w:rsidRPr="00DA7FEE">
        <w:rPr>
          <w:lang w:val="en-CA"/>
        </w:rPr>
        <w:t>control and management of its institutions to the Minister or to a small group of persons who will have the time and</w:t>
      </w:r>
      <w:r w:rsidR="0030528C">
        <w:rPr>
          <w:lang w:val="en-CA"/>
        </w:rPr>
        <w:t xml:space="preserve"> above all</w:t>
      </w:r>
      <w:r w:rsidRPr="00DA7FEE">
        <w:rPr>
          <w:lang w:val="en-CA"/>
        </w:rPr>
        <w:t xml:space="preserve"> the means to </w:t>
      </w:r>
      <w:r w:rsidR="0030528C">
        <w:rPr>
          <w:lang w:val="en-CA"/>
        </w:rPr>
        <w:t>over</w:t>
      </w:r>
      <w:r>
        <w:rPr>
          <w:lang w:val="en-CA"/>
        </w:rPr>
        <w:t xml:space="preserve">see </w:t>
      </w:r>
      <w:r w:rsidRPr="00DA7FEE">
        <w:rPr>
          <w:lang w:val="en-CA"/>
        </w:rPr>
        <w:t xml:space="preserve">school governance, while those who are currently interested will be dissuaded or outright prevented from continuing to serve. </w:t>
      </w:r>
    </w:p>
    <w:p w14:paraId="3FEB7FC1" w14:textId="39A33E03" w:rsidR="003B1EC4" w:rsidRPr="00DA7FEE" w:rsidRDefault="003B1EC4" w:rsidP="003B1EC4">
      <w:pPr>
        <w:pStyle w:val="Paragrdouble"/>
        <w:spacing w:line="240" w:lineRule="auto"/>
        <w:rPr>
          <w:lang w:val="en-CA"/>
        </w:rPr>
      </w:pPr>
      <w:r w:rsidRPr="00DA7FEE">
        <w:rPr>
          <w:lang w:val="en-CA"/>
        </w:rPr>
        <w:t>Mr. Eustace, intervenor, deplore</w:t>
      </w:r>
      <w:r w:rsidR="0030528C">
        <w:rPr>
          <w:lang w:val="en-CA"/>
        </w:rPr>
        <w:t>s</w:t>
      </w:r>
      <w:r>
        <w:rPr>
          <w:lang w:val="en-CA"/>
        </w:rPr>
        <w:t xml:space="preserve"> </w:t>
      </w:r>
      <w:r w:rsidRPr="00DA7FEE">
        <w:rPr>
          <w:lang w:val="en-CA"/>
        </w:rPr>
        <w:t>that</w:t>
      </w:r>
      <w:r>
        <w:rPr>
          <w:lang w:val="en-CA"/>
        </w:rPr>
        <w:t xml:space="preserve"> management of</w:t>
      </w:r>
      <w:r w:rsidRPr="00DA7FEE">
        <w:rPr>
          <w:lang w:val="en-CA"/>
        </w:rPr>
        <w:t xml:space="preserve"> the school system</w:t>
      </w:r>
      <w:r>
        <w:rPr>
          <w:lang w:val="en-CA"/>
        </w:rPr>
        <w:t xml:space="preserve"> will</w:t>
      </w:r>
      <w:r w:rsidRPr="00DA7FEE">
        <w:rPr>
          <w:lang w:val="en-CA"/>
        </w:rPr>
        <w:t xml:space="preserve"> </w:t>
      </w:r>
      <w:r w:rsidR="0030528C">
        <w:rPr>
          <w:lang w:val="en-CA"/>
        </w:rPr>
        <w:t xml:space="preserve">be </w:t>
      </w:r>
      <w:r w:rsidRPr="00DA7FEE">
        <w:rPr>
          <w:lang w:val="en-CA"/>
        </w:rPr>
        <w:t>in the hands of a clique that the Court take</w:t>
      </w:r>
      <w:r w:rsidR="00F52361">
        <w:rPr>
          <w:lang w:val="en-CA"/>
        </w:rPr>
        <w:t>s</w:t>
      </w:r>
      <w:r w:rsidRPr="00DA7FEE">
        <w:rPr>
          <w:lang w:val="en-CA"/>
        </w:rPr>
        <w:t xml:space="preserve"> the liberty of characterizing as an “</w:t>
      </w:r>
      <w:r w:rsidR="0030528C">
        <w:rPr>
          <w:lang w:val="en-CA"/>
        </w:rPr>
        <w:t>o</w:t>
      </w:r>
      <w:r w:rsidRPr="00DA7FEE">
        <w:rPr>
          <w:lang w:val="en-CA"/>
        </w:rPr>
        <w:t>ld boys’ club”. The Court does not see how a restriction that eliminates over 90% of potential candidates to the positions of councillors</w:t>
      </w:r>
      <w:r>
        <w:rPr>
          <w:lang w:val="en-CA"/>
        </w:rPr>
        <w:t xml:space="preserve"> could</w:t>
      </w:r>
      <w:r w:rsidRPr="00DA7FEE">
        <w:rPr>
          <w:lang w:val="en-CA"/>
        </w:rPr>
        <w:t xml:space="preserve"> improve the situation. </w:t>
      </w:r>
    </w:p>
    <w:p w14:paraId="4890EC79" w14:textId="1AD0AF81" w:rsidR="003B1EC4" w:rsidRPr="00DA7FEE" w:rsidRDefault="008E67A6" w:rsidP="008E67A6">
      <w:pPr>
        <w:pStyle w:val="Titre2"/>
        <w:numPr>
          <w:ilvl w:val="0"/>
          <w:numId w:val="0"/>
        </w:numPr>
        <w:ind w:left="720"/>
        <w:rPr>
          <w:lang w:val="en-CA"/>
        </w:rPr>
      </w:pPr>
      <w:r>
        <w:rPr>
          <w:lang w:val="en-CA"/>
        </w:rPr>
        <w:t xml:space="preserve">(g) </w:t>
      </w:r>
      <w:bookmarkStart w:id="48" w:name="_Hlk149038940"/>
      <w:r w:rsidR="008D5CBC">
        <w:rPr>
          <w:lang w:val="en-CA"/>
        </w:rPr>
        <w:t xml:space="preserve"> </w:t>
      </w:r>
      <w:r w:rsidR="003B1EC4">
        <w:rPr>
          <w:lang w:val="en-CA"/>
        </w:rPr>
        <w:t>Power of Minister to annul school board decisions</w:t>
      </w:r>
    </w:p>
    <w:bookmarkEnd w:id="48"/>
    <w:p w14:paraId="7ACCC43B" w14:textId="194D8550" w:rsidR="003B1EC4" w:rsidRPr="00E202F1" w:rsidRDefault="00787230" w:rsidP="003B1EC4">
      <w:pPr>
        <w:pStyle w:val="Paragrsimple"/>
        <w:rPr>
          <w:lang w:val="en-CA"/>
        </w:rPr>
      </w:pPr>
      <w:r>
        <w:rPr>
          <w:lang w:val="en-CA"/>
        </w:rPr>
        <w:t xml:space="preserve">Under </w:t>
      </w:r>
      <w:r w:rsidR="003B1EC4" w:rsidRPr="00E202F1">
        <w:rPr>
          <w:lang w:val="en-CA"/>
        </w:rPr>
        <w:t xml:space="preserve">section 329 of the </w:t>
      </w:r>
      <w:r w:rsidR="003B1EC4" w:rsidRPr="007355F9">
        <w:rPr>
          <w:i/>
          <w:iCs/>
          <w:lang w:val="en-CA"/>
        </w:rPr>
        <w:t>Act</w:t>
      </w:r>
      <w:r w:rsidR="003B1EC4" w:rsidRPr="00E202F1">
        <w:rPr>
          <w:lang w:val="en-CA"/>
        </w:rPr>
        <w:t xml:space="preserve">, the Minister may, after an inquiry under section 478.3 of the </w:t>
      </w:r>
      <w:r w:rsidR="003B1EC4" w:rsidRPr="00E202F1">
        <w:rPr>
          <w:i/>
          <w:lang w:val="en-CA"/>
        </w:rPr>
        <w:t>Education Act</w:t>
      </w:r>
      <w:r w:rsidR="003B1EC4" w:rsidRPr="00E202F1">
        <w:rPr>
          <w:lang w:val="en-CA"/>
        </w:rPr>
        <w:t xml:space="preserve">, on the Minister’s own initiative or following a disclosure from a school board commissioner or staff member, annul any decision made by a school board between October 1, 2019, and November 5, 2020, </w:t>
      </w:r>
      <w:r w:rsidR="00E35E52">
        <w:rPr>
          <w:lang w:val="en-CA"/>
        </w:rPr>
        <w:t xml:space="preserve">in the case of </w:t>
      </w:r>
      <w:r w:rsidR="003B1EC4" w:rsidRPr="00E202F1">
        <w:rPr>
          <w:lang w:val="en-CA"/>
        </w:rPr>
        <w:t xml:space="preserve">English-language school boards. </w:t>
      </w:r>
    </w:p>
    <w:p w14:paraId="1C910951" w14:textId="468EC85D" w:rsidR="003B1EC4" w:rsidRPr="00264F6E" w:rsidRDefault="003B1EC4" w:rsidP="003B1EC4">
      <w:pPr>
        <w:pStyle w:val="Paragrsimple"/>
        <w:rPr>
          <w:lang w:val="en-CA"/>
        </w:rPr>
      </w:pPr>
      <w:r w:rsidRPr="00264F6E">
        <w:rPr>
          <w:lang w:val="en-CA"/>
        </w:rPr>
        <w:t>However, the annul</w:t>
      </w:r>
      <w:r w:rsidR="00787230" w:rsidRPr="00264F6E">
        <w:rPr>
          <w:lang w:val="en-CA"/>
        </w:rPr>
        <w:t>ment</w:t>
      </w:r>
      <w:r w:rsidRPr="00264F6E">
        <w:rPr>
          <w:lang w:val="en-CA"/>
        </w:rPr>
        <w:t xml:space="preserve"> must be </w:t>
      </w:r>
      <w:r w:rsidR="00264F6E">
        <w:rPr>
          <w:lang w:val="en-CA"/>
        </w:rPr>
        <w:t>rendered</w:t>
      </w:r>
      <w:r w:rsidR="00787230" w:rsidRPr="00264F6E">
        <w:rPr>
          <w:lang w:val="en-CA"/>
        </w:rPr>
        <w:t xml:space="preserve"> </w:t>
      </w:r>
      <w:r w:rsidRPr="00264F6E">
        <w:rPr>
          <w:lang w:val="en-CA"/>
        </w:rPr>
        <w:t xml:space="preserve">within 60 days of the decision and </w:t>
      </w:r>
      <w:r w:rsidR="00E35E52" w:rsidRPr="00264F6E">
        <w:rPr>
          <w:lang w:val="en-CA"/>
        </w:rPr>
        <w:t>takes effect on the</w:t>
      </w:r>
      <w:r w:rsidR="00F52361">
        <w:rPr>
          <w:lang w:val="en-CA"/>
        </w:rPr>
        <w:t xml:space="preserve"> day</w:t>
      </w:r>
      <w:r w:rsidR="00E35E52" w:rsidRPr="00264F6E">
        <w:rPr>
          <w:lang w:val="en-CA"/>
        </w:rPr>
        <w:t xml:space="preserve"> it is </w:t>
      </w:r>
      <w:r w:rsidR="00264F6E">
        <w:rPr>
          <w:lang w:val="en-CA"/>
        </w:rPr>
        <w:t>rendered</w:t>
      </w:r>
      <w:r w:rsidRPr="00264F6E">
        <w:rPr>
          <w:lang w:val="en-CA"/>
        </w:rPr>
        <w:t>.</w:t>
      </w:r>
    </w:p>
    <w:p w14:paraId="031F21E6" w14:textId="2109F33B" w:rsidR="003B1EC4" w:rsidRPr="007355F9" w:rsidRDefault="003B1EC4" w:rsidP="003B1EC4">
      <w:pPr>
        <w:pStyle w:val="Paragrsimple"/>
        <w:rPr>
          <w:lang w:val="en-CA"/>
        </w:rPr>
      </w:pPr>
      <w:r w:rsidRPr="00272CDD">
        <w:rPr>
          <w:lang w:val="en-CA"/>
        </w:rPr>
        <w:t>The evidence</w:t>
      </w:r>
      <w:r w:rsidR="00787230">
        <w:rPr>
          <w:lang w:val="en-CA"/>
        </w:rPr>
        <w:t xml:space="preserve"> does not show </w:t>
      </w:r>
      <w:r w:rsidRPr="00272CDD">
        <w:rPr>
          <w:lang w:val="en-CA"/>
        </w:rPr>
        <w:t xml:space="preserve">that the Minister has used this power. Obviously, the time limits </w:t>
      </w:r>
      <w:r w:rsidR="00787230">
        <w:rPr>
          <w:lang w:val="en-CA"/>
        </w:rPr>
        <w:t xml:space="preserve">on the application of </w:t>
      </w:r>
      <w:r w:rsidRPr="00272CDD">
        <w:rPr>
          <w:lang w:val="en-CA"/>
        </w:rPr>
        <w:t>this measure have</w:t>
      </w:r>
      <w:r w:rsidR="00787230">
        <w:rPr>
          <w:lang w:val="en-CA"/>
        </w:rPr>
        <w:t xml:space="preserve"> expired</w:t>
      </w:r>
      <w:r w:rsidRPr="00272CDD">
        <w:rPr>
          <w:lang w:val="en-CA"/>
        </w:rPr>
        <w:t xml:space="preserve">. </w:t>
      </w:r>
      <w:r w:rsidRPr="007355F9">
        <w:rPr>
          <w:lang w:val="en-CA"/>
        </w:rPr>
        <w:t xml:space="preserve">The issue </w:t>
      </w:r>
      <w:r w:rsidR="00787230">
        <w:rPr>
          <w:lang w:val="en-CA"/>
        </w:rPr>
        <w:t xml:space="preserve">has </w:t>
      </w:r>
      <w:r w:rsidRPr="007355F9">
        <w:rPr>
          <w:lang w:val="en-CA"/>
        </w:rPr>
        <w:t>therefore become moot.</w:t>
      </w:r>
    </w:p>
    <w:p w14:paraId="5C64343E" w14:textId="77777777" w:rsidR="003B1EC4" w:rsidRPr="00272CDD" w:rsidRDefault="003B1EC4" w:rsidP="003B1EC4">
      <w:pPr>
        <w:pStyle w:val="Paragrsimple"/>
        <w:rPr>
          <w:lang w:val="en-CA"/>
        </w:rPr>
      </w:pPr>
      <w:r w:rsidRPr="00272CDD">
        <w:rPr>
          <w:spacing w:val="-2"/>
          <w:lang w:val="en-CA"/>
        </w:rPr>
        <w:t xml:space="preserve">Under article 10 </w:t>
      </w:r>
      <w:r w:rsidRPr="008D5CBC">
        <w:rPr>
          <w:spacing w:val="-2"/>
          <w:lang w:val="en-CA"/>
        </w:rPr>
        <w:t>CCP</w:t>
      </w:r>
      <w:r w:rsidRPr="00272CDD">
        <w:rPr>
          <w:spacing w:val="-2"/>
          <w:lang w:val="en-CA"/>
        </w:rPr>
        <w:t>, the Court is not required to decide theoretical questions.</w:t>
      </w:r>
      <w:r>
        <w:rPr>
          <w:rStyle w:val="Appelnotedebasdep"/>
          <w:spacing w:val="-2"/>
        </w:rPr>
        <w:footnoteReference w:id="183"/>
      </w:r>
      <w:r w:rsidRPr="00272CDD">
        <w:rPr>
          <w:lang w:val="en-CA"/>
        </w:rPr>
        <w:t xml:space="preserve"> </w:t>
      </w:r>
    </w:p>
    <w:p w14:paraId="0B351781" w14:textId="117A5882" w:rsidR="003B1EC4" w:rsidRPr="00272CDD" w:rsidRDefault="003B1EC4" w:rsidP="003B1EC4">
      <w:pPr>
        <w:pStyle w:val="Paragrsimple"/>
        <w:rPr>
          <w:lang w:val="en-CA" w:eastAsia="fr-CA"/>
        </w:rPr>
      </w:pPr>
      <w:r w:rsidRPr="00272CDD">
        <w:rPr>
          <w:lang w:val="en-CA" w:eastAsia="fr-CA"/>
        </w:rPr>
        <w:t xml:space="preserve">Authors Ferland and Emery wrote about this </w:t>
      </w:r>
      <w:r w:rsidR="00787230">
        <w:rPr>
          <w:lang w:val="en-CA" w:eastAsia="fr-CA"/>
        </w:rPr>
        <w:t xml:space="preserve">subject </w:t>
      </w:r>
      <w:r w:rsidRPr="00272CDD">
        <w:rPr>
          <w:lang w:val="en-CA" w:eastAsia="fr-CA"/>
        </w:rPr>
        <w:t xml:space="preserve">in their </w:t>
      </w:r>
      <w:r w:rsidR="00D00775">
        <w:rPr>
          <w:lang w:val="en-CA" w:eastAsia="fr-CA"/>
        </w:rPr>
        <w:t>analysis</w:t>
      </w:r>
      <w:r w:rsidR="00787230">
        <w:rPr>
          <w:lang w:val="en-CA" w:eastAsia="fr-CA"/>
        </w:rPr>
        <w:t xml:space="preserve"> </w:t>
      </w:r>
      <w:r w:rsidRPr="00272CDD">
        <w:rPr>
          <w:lang w:val="en-CA" w:eastAsia="fr-CA"/>
        </w:rPr>
        <w:t>of application</w:t>
      </w:r>
      <w:r w:rsidR="00D00775">
        <w:rPr>
          <w:lang w:val="en-CA" w:eastAsia="fr-CA"/>
        </w:rPr>
        <w:t>s</w:t>
      </w:r>
      <w:r w:rsidRPr="00272CDD">
        <w:rPr>
          <w:lang w:val="en-CA" w:eastAsia="fr-CA"/>
        </w:rPr>
        <w:t xml:space="preserve"> for declaratory judgment:</w:t>
      </w:r>
      <w:r>
        <w:rPr>
          <w:rStyle w:val="Appelnotedebasdep"/>
          <w:lang w:eastAsia="fr-CA"/>
        </w:rPr>
        <w:footnoteReference w:id="184"/>
      </w:r>
    </w:p>
    <w:p w14:paraId="0ED36657" w14:textId="77777777" w:rsidR="003B1EC4" w:rsidRDefault="003B1EC4" w:rsidP="003B1EC4">
      <w:pPr>
        <w:pStyle w:val="Citation"/>
        <w:ind w:left="1462" w:firstLine="2"/>
        <w:rPr>
          <w:lang w:val="en-CA"/>
        </w:rPr>
      </w:pPr>
      <w:r>
        <w:rPr>
          <w:lang w:val="en-CA"/>
        </w:rPr>
        <w:lastRenderedPageBreak/>
        <w:t>[</w:t>
      </w:r>
      <w:r w:rsidRPr="007355F9">
        <w:rPr>
          <w:smallCaps/>
          <w:lang w:val="en-CA"/>
        </w:rPr>
        <w:t>translation</w:t>
      </w:r>
      <w:r>
        <w:rPr>
          <w:lang w:val="en-CA"/>
        </w:rPr>
        <w:t>]</w:t>
      </w:r>
    </w:p>
    <w:p w14:paraId="5F09CD1A" w14:textId="7986C504" w:rsidR="003B1EC4" w:rsidRPr="00272CDD" w:rsidRDefault="003B1EC4" w:rsidP="003B1EC4">
      <w:pPr>
        <w:pStyle w:val="Citation"/>
        <w:ind w:left="1462" w:firstLine="2"/>
        <w:rPr>
          <w:lang w:val="en-CA"/>
        </w:rPr>
      </w:pPr>
      <w:r w:rsidRPr="00A629BD">
        <w:rPr>
          <w:lang w:val="en-CA"/>
        </w:rPr>
        <w:t>1-1157 – The plaintiff must seek to “resolve” a “genuine problem”</w:t>
      </w:r>
      <w:r w:rsidR="00D00775" w:rsidRPr="00A629BD">
        <w:rPr>
          <w:lang w:val="en-CA"/>
        </w:rPr>
        <w:t>,</w:t>
      </w:r>
      <w:r w:rsidRPr="00A629BD">
        <w:rPr>
          <w:lang w:val="en-CA"/>
        </w:rPr>
        <w:t xml:space="preserve"> not in the sense of a proceeding that has already been brought, according to the Supreme Court </w:t>
      </w:r>
      <w:r w:rsidR="00D00775" w:rsidRPr="00A629BD">
        <w:rPr>
          <w:lang w:val="en-CA"/>
        </w:rPr>
        <w:t xml:space="preserve">– as </w:t>
      </w:r>
      <w:r w:rsidRPr="00A629BD">
        <w:rPr>
          <w:lang w:val="en-CA"/>
        </w:rPr>
        <w:t xml:space="preserve">there would then be a “kind of </w:t>
      </w:r>
      <w:proofErr w:type="spellStart"/>
      <w:r w:rsidRPr="00A629BD">
        <w:rPr>
          <w:i/>
          <w:iCs/>
          <w:lang w:val="en-CA"/>
        </w:rPr>
        <w:t>lis</w:t>
      </w:r>
      <w:proofErr w:type="spellEnd"/>
      <w:r w:rsidRPr="00A629BD">
        <w:rPr>
          <w:i/>
          <w:iCs/>
          <w:lang w:val="en-CA"/>
        </w:rPr>
        <w:t xml:space="preserve"> pendens</w:t>
      </w:r>
      <w:r w:rsidRPr="00A629BD">
        <w:rPr>
          <w:lang w:val="en-CA"/>
        </w:rPr>
        <w:t xml:space="preserve">” – but in the sense of a controversy between two parties, other than a dispute or a purely political controversy, </w:t>
      </w:r>
      <w:r w:rsidR="003E0859">
        <w:rPr>
          <w:lang w:val="en-CA"/>
        </w:rPr>
        <w:t xml:space="preserve">and </w:t>
      </w:r>
      <w:r w:rsidRPr="00A629BD">
        <w:rPr>
          <w:lang w:val="en-CA"/>
        </w:rPr>
        <w:t>not a merely hypothetical issue or fictitious difficulty of interpretation, but a genuine difficulty of interpretation, and not mere difficulties relating to the execution, in particular, of certificates</w:t>
      </w:r>
      <w:r w:rsidR="00264F6E">
        <w:rPr>
          <w:lang w:val="en-CA"/>
        </w:rPr>
        <w:t xml:space="preserve"> of authorization</w:t>
      </w:r>
      <w:r w:rsidRPr="00A629BD">
        <w:rPr>
          <w:lang w:val="en-CA"/>
        </w:rPr>
        <w:t>.</w:t>
      </w:r>
    </w:p>
    <w:p w14:paraId="160E52D0" w14:textId="77777777" w:rsidR="003B1EC4" w:rsidRPr="0031069C" w:rsidRDefault="003B1EC4" w:rsidP="003B1EC4">
      <w:pPr>
        <w:pStyle w:val="Citation"/>
        <w:ind w:left="1462" w:firstLine="2"/>
        <w:rPr>
          <w:lang w:val="en-CA"/>
        </w:rPr>
      </w:pPr>
      <w:r w:rsidRPr="00272CDD">
        <w:rPr>
          <w:lang w:val="en-CA"/>
        </w:rPr>
        <w:t xml:space="preserve">1-1158 – </w:t>
      </w:r>
      <w:r>
        <w:rPr>
          <w:lang w:val="en-CA"/>
        </w:rPr>
        <w:t>B</w:t>
      </w:r>
      <w:r w:rsidRPr="00272CDD">
        <w:rPr>
          <w:lang w:val="en-CA"/>
        </w:rPr>
        <w:t xml:space="preserve">efore the court, </w:t>
      </w:r>
      <w:r>
        <w:rPr>
          <w:lang w:val="en-CA"/>
        </w:rPr>
        <w:t>t</w:t>
      </w:r>
      <w:r w:rsidRPr="00272CDD">
        <w:rPr>
          <w:lang w:val="en-CA"/>
        </w:rPr>
        <w:t>he plaintiff must seek a judgment likely to put an end to uncertainty or controversy between the parties, not a mere opinion</w:t>
      </w:r>
      <w:r>
        <w:rPr>
          <w:lang w:val="en-CA"/>
        </w:rPr>
        <w:t>,</w:t>
      </w:r>
      <w:r w:rsidRPr="00272CDD">
        <w:rPr>
          <w:lang w:val="en-CA"/>
        </w:rPr>
        <w:t xml:space="preserve"> failing which the court could refuse to rule (art. 10 para. </w:t>
      </w:r>
      <w:r w:rsidRPr="0031069C">
        <w:rPr>
          <w:lang w:val="en-CA"/>
        </w:rPr>
        <w:t>3).</w:t>
      </w:r>
    </w:p>
    <w:p w14:paraId="3E8BAC69" w14:textId="77777777" w:rsidR="003B1EC4" w:rsidRPr="00272CDD" w:rsidRDefault="003B1EC4" w:rsidP="003B1EC4">
      <w:pPr>
        <w:pStyle w:val="Paragrsimple"/>
        <w:rPr>
          <w:lang w:val="en-CA"/>
        </w:rPr>
      </w:pPr>
      <w:r w:rsidRPr="00272CDD">
        <w:rPr>
          <w:lang w:val="en-CA"/>
        </w:rPr>
        <w:t xml:space="preserve">Here, the Court finds that there is no reason to </w:t>
      </w:r>
      <w:r>
        <w:rPr>
          <w:lang w:val="en-CA"/>
        </w:rPr>
        <w:t>rule on</w:t>
      </w:r>
      <w:r w:rsidRPr="00272CDD">
        <w:rPr>
          <w:lang w:val="en-CA"/>
        </w:rPr>
        <w:t xml:space="preserve"> the validity of section 329 of the </w:t>
      </w:r>
      <w:r w:rsidRPr="00B42214">
        <w:rPr>
          <w:i/>
          <w:iCs/>
          <w:lang w:val="en-CA"/>
        </w:rPr>
        <w:t>Act</w:t>
      </w:r>
      <w:r w:rsidRPr="00272CDD">
        <w:rPr>
          <w:lang w:val="en-CA"/>
        </w:rPr>
        <w:t xml:space="preserve">. </w:t>
      </w:r>
      <w:r w:rsidRPr="00E202F1">
        <w:rPr>
          <w:lang w:val="en-CA"/>
        </w:rPr>
        <w:t xml:space="preserve">Accordingly, it will not be necessary to rule on section 330 of the </w:t>
      </w:r>
      <w:r w:rsidRPr="00B42214">
        <w:rPr>
          <w:i/>
          <w:iCs/>
          <w:lang w:val="en-CA"/>
        </w:rPr>
        <w:t>Act</w:t>
      </w:r>
      <w:r w:rsidRPr="00E202F1">
        <w:rPr>
          <w:lang w:val="en-CA"/>
        </w:rPr>
        <w:t>.</w:t>
      </w:r>
      <w:r w:rsidRPr="00272CDD">
        <w:rPr>
          <w:lang w:val="en-CA"/>
        </w:rPr>
        <w:t xml:space="preserve"> </w:t>
      </w:r>
    </w:p>
    <w:p w14:paraId="0F62107D" w14:textId="71A3EAF5" w:rsidR="003B1EC4" w:rsidRPr="00272CDD" w:rsidRDefault="00995788" w:rsidP="005352DE">
      <w:pPr>
        <w:pStyle w:val="Titre2"/>
        <w:numPr>
          <w:ilvl w:val="0"/>
          <w:numId w:val="0"/>
        </w:numPr>
        <w:ind w:left="360"/>
        <w:rPr>
          <w:lang w:val="en-CA"/>
        </w:rPr>
      </w:pPr>
      <w:r>
        <w:rPr>
          <w:lang w:val="en-CA"/>
        </w:rPr>
        <w:t xml:space="preserve">(h) </w:t>
      </w:r>
      <w:bookmarkStart w:id="49" w:name="_Hlk149038966"/>
      <w:r w:rsidR="003B1EC4" w:rsidRPr="00272CDD">
        <w:rPr>
          <w:lang w:val="en-CA"/>
        </w:rPr>
        <w:t xml:space="preserve">Lack of status of rights holders </w:t>
      </w:r>
      <w:r w:rsidR="008E67A6">
        <w:rPr>
          <w:lang w:val="en-CA"/>
        </w:rPr>
        <w:t>in</w:t>
      </w:r>
      <w:r w:rsidR="003B1EC4" w:rsidRPr="00272CDD">
        <w:rPr>
          <w:lang w:val="en-CA"/>
        </w:rPr>
        <w:t xml:space="preserve"> school elections </w:t>
      </w:r>
      <w:bookmarkEnd w:id="49"/>
    </w:p>
    <w:p w14:paraId="401F44CE" w14:textId="77777777" w:rsidR="003B1EC4" w:rsidRPr="00272CDD" w:rsidRDefault="003B1EC4" w:rsidP="003B1EC4">
      <w:pPr>
        <w:pStyle w:val="Paragrsimple"/>
        <w:rPr>
          <w:lang w:val="en-CA"/>
        </w:rPr>
      </w:pPr>
      <w:r w:rsidRPr="00272CDD">
        <w:rPr>
          <w:lang w:val="en-CA"/>
        </w:rPr>
        <w:t xml:space="preserve">Under sections 14 and 15 of the </w:t>
      </w:r>
      <w:r w:rsidRPr="00272CDD">
        <w:rPr>
          <w:i/>
          <w:lang w:val="en-CA"/>
        </w:rPr>
        <w:t>Act respecting school elections to elect certain members of the boards of directors of English-language school service centres</w:t>
      </w:r>
      <w:r w:rsidRPr="00272CDD">
        <w:rPr>
          <w:lang w:val="en-CA"/>
        </w:rPr>
        <w:t xml:space="preserve">, which was amended by section 212 of the </w:t>
      </w:r>
      <w:r w:rsidRPr="009D0864">
        <w:rPr>
          <w:i/>
          <w:iCs/>
          <w:lang w:val="en-CA"/>
        </w:rPr>
        <w:t>Act</w:t>
      </w:r>
      <w:r w:rsidRPr="00272CDD">
        <w:rPr>
          <w:lang w:val="en-CA"/>
        </w:rPr>
        <w:t>, an elector for a</w:t>
      </w:r>
      <w:r>
        <w:rPr>
          <w:lang w:val="en-CA"/>
        </w:rPr>
        <w:t>n</w:t>
      </w:r>
      <w:r w:rsidRPr="00272CDD">
        <w:rPr>
          <w:lang w:val="en-CA"/>
        </w:rPr>
        <w:t xml:space="preserve"> English-language school service centre need not be a rights holder under section 23:</w:t>
      </w:r>
    </w:p>
    <w:p w14:paraId="0A9F71EC" w14:textId="77777777" w:rsidR="003B1EC4" w:rsidRPr="00272CDD" w:rsidRDefault="003B1EC4" w:rsidP="003B1EC4">
      <w:pPr>
        <w:pStyle w:val="Citation"/>
        <w:ind w:left="1462" w:firstLine="2"/>
        <w:rPr>
          <w:lang w:val="en-CA"/>
        </w:rPr>
      </w:pPr>
      <w:r w:rsidRPr="00272CDD">
        <w:rPr>
          <w:lang w:val="en-CA"/>
        </w:rPr>
        <w:t>14. </w:t>
      </w:r>
      <w:r w:rsidRPr="00E202F1">
        <w:rPr>
          <w:lang w:val="en-CA"/>
        </w:rPr>
        <w:t>Every elector shall be entered on the list of electors of the division in which his domicile is situated.</w:t>
      </w:r>
    </w:p>
    <w:p w14:paraId="21E23178" w14:textId="77777777" w:rsidR="003B1EC4" w:rsidRPr="00272CDD" w:rsidRDefault="003B1EC4" w:rsidP="003B1EC4">
      <w:pPr>
        <w:pStyle w:val="Citation"/>
        <w:ind w:left="1462"/>
        <w:rPr>
          <w:lang w:val="en-CA"/>
        </w:rPr>
      </w:pPr>
      <w:bookmarkStart w:id="50" w:name="art15"/>
      <w:bookmarkEnd w:id="50"/>
      <w:r w:rsidRPr="00272CDD">
        <w:rPr>
          <w:lang w:val="en-CA"/>
        </w:rPr>
        <w:t>15. </w:t>
      </w:r>
      <w:r w:rsidRPr="00E202F1">
        <w:rPr>
          <w:lang w:val="en-CA"/>
        </w:rPr>
        <w:t>Any elector who has a child to whom section 1 of the Education Act (chapter I</w:t>
      </w:r>
      <w:r w:rsidRPr="00E202F1">
        <w:rPr>
          <w:rFonts w:ascii="Cambria Math" w:hAnsi="Cambria Math" w:cs="Cambria Math"/>
          <w:lang w:val="en-CA"/>
        </w:rPr>
        <w:t>‐</w:t>
      </w:r>
      <w:r w:rsidRPr="00E202F1">
        <w:rPr>
          <w:lang w:val="en-CA"/>
        </w:rPr>
        <w:t>13.3) applies who is admitted to educational services provided by an English-language school service centre having jurisdiction over the territory in which the elector is domiciled may vote at the election of the members of that centre’s board of directors.</w:t>
      </w:r>
    </w:p>
    <w:p w14:paraId="7D908E0D" w14:textId="77777777" w:rsidR="003B1EC4" w:rsidRPr="00E202F1" w:rsidRDefault="003B1EC4" w:rsidP="003B1EC4">
      <w:pPr>
        <w:pStyle w:val="Citation"/>
        <w:ind w:left="1462" w:firstLine="2"/>
        <w:rPr>
          <w:lang w:val="en-CA"/>
        </w:rPr>
      </w:pPr>
      <w:r w:rsidRPr="00E202F1">
        <w:rPr>
          <w:lang w:val="en-CA"/>
        </w:rPr>
        <w:t>Any elector who does not have a child to whom section 1 of the Education Act applies who is admitted to educational services provided by an English- or French-language school service centre having jurisdiction over the territory in which the elector is domiciled may vote at the election of the members of the English-language school service centre’s board of directors, if the elector so chooses.</w:t>
      </w:r>
    </w:p>
    <w:p w14:paraId="2DA6712D" w14:textId="77777777" w:rsidR="003B1EC4" w:rsidRPr="00272CDD" w:rsidRDefault="003B1EC4" w:rsidP="003B1EC4">
      <w:pPr>
        <w:pStyle w:val="Citation"/>
        <w:ind w:left="1462" w:firstLine="2"/>
        <w:rPr>
          <w:lang w:val="en-CA"/>
        </w:rPr>
      </w:pPr>
      <w:r w:rsidRPr="00272CDD">
        <w:rPr>
          <w:lang w:val="en-CA"/>
        </w:rPr>
        <w:t>However, an elector whose child was enrolled in an English-language school service centre when he or she finished school is deemed to have chosen to be registered on the list of electors of that English-language school service centre and to vote in its elections.</w:t>
      </w:r>
    </w:p>
    <w:p w14:paraId="655086EA" w14:textId="77777777" w:rsidR="003B1EC4" w:rsidRPr="00272CDD" w:rsidRDefault="003B1EC4" w:rsidP="003B1EC4">
      <w:pPr>
        <w:pStyle w:val="Citation"/>
        <w:ind w:left="1462" w:firstLine="2"/>
        <w:rPr>
          <w:lang w:val="en-CA"/>
        </w:rPr>
      </w:pPr>
      <w:r w:rsidRPr="00272CDD">
        <w:rPr>
          <w:lang w:val="en-CA"/>
        </w:rPr>
        <w:lastRenderedPageBreak/>
        <w:t>The elector may exercise the voting option described in the second paragraph, outside election proceedings, if, on the date the option is exercised, the elector does not have a child to whom section 1 of the Education Act applies who is admitted to educational services provided by either of the school service centres having jurisdiction over the territory in which the elector is domiciled.</w:t>
      </w:r>
    </w:p>
    <w:p w14:paraId="5D54A85B" w14:textId="6A8235CB" w:rsidR="003B1EC4" w:rsidRPr="00272CDD" w:rsidRDefault="003B1EC4" w:rsidP="003B1EC4">
      <w:pPr>
        <w:pStyle w:val="Paragrsimple"/>
        <w:rPr>
          <w:lang w:val="en-CA"/>
        </w:rPr>
      </w:pPr>
      <w:r w:rsidRPr="00272CDD">
        <w:rPr>
          <w:lang w:val="en-CA"/>
        </w:rPr>
        <w:t xml:space="preserve">According to the </w:t>
      </w:r>
      <w:r>
        <w:rPr>
          <w:lang w:val="en-CA"/>
        </w:rPr>
        <w:t>applicants</w:t>
      </w:r>
      <w:r w:rsidRPr="00272CDD">
        <w:rPr>
          <w:lang w:val="en-CA"/>
        </w:rPr>
        <w:t xml:space="preserve">, the </w:t>
      </w:r>
      <w:r w:rsidR="000E2522">
        <w:rPr>
          <w:lang w:val="en-CA"/>
        </w:rPr>
        <w:t xml:space="preserve">lack </w:t>
      </w:r>
      <w:r w:rsidRPr="00272CDD">
        <w:rPr>
          <w:lang w:val="en-CA"/>
        </w:rPr>
        <w:t xml:space="preserve">of </w:t>
      </w:r>
      <w:r w:rsidR="000E2522">
        <w:rPr>
          <w:lang w:val="en-CA"/>
        </w:rPr>
        <w:t xml:space="preserve">a </w:t>
      </w:r>
      <w:r w:rsidRPr="00272CDD">
        <w:rPr>
          <w:lang w:val="en-CA"/>
        </w:rPr>
        <w:t xml:space="preserve">requirement </w:t>
      </w:r>
      <w:r w:rsidR="000E2522">
        <w:rPr>
          <w:lang w:val="en-CA"/>
        </w:rPr>
        <w:t>for</w:t>
      </w:r>
      <w:r w:rsidR="000E2522" w:rsidRPr="00272CDD">
        <w:rPr>
          <w:lang w:val="en-CA"/>
        </w:rPr>
        <w:t xml:space="preserve"> </w:t>
      </w:r>
      <w:r w:rsidRPr="00272CDD">
        <w:rPr>
          <w:lang w:val="en-CA"/>
        </w:rPr>
        <w:t>the elector be a rights holder violates section 23. Any Quebec</w:t>
      </w:r>
      <w:r w:rsidR="000E2522">
        <w:rPr>
          <w:lang w:val="en-CA"/>
        </w:rPr>
        <w:t>ker and</w:t>
      </w:r>
      <w:r w:rsidRPr="00272CDD">
        <w:rPr>
          <w:lang w:val="en-CA"/>
        </w:rPr>
        <w:t xml:space="preserve"> Canadian citizen </w:t>
      </w:r>
      <w:r w:rsidR="000E2522">
        <w:rPr>
          <w:lang w:val="en-CA"/>
        </w:rPr>
        <w:t xml:space="preserve">can </w:t>
      </w:r>
      <w:r w:rsidRPr="00272CDD">
        <w:rPr>
          <w:lang w:val="en-CA"/>
        </w:rPr>
        <w:t>decide to become an elector of a</w:t>
      </w:r>
      <w:r w:rsidR="000E2522">
        <w:rPr>
          <w:lang w:val="en-CA"/>
        </w:rPr>
        <w:t>n</w:t>
      </w:r>
      <w:r w:rsidRPr="00272CDD">
        <w:rPr>
          <w:lang w:val="en-CA"/>
        </w:rPr>
        <w:t xml:space="preserve"> English-language school service centre. It seems logical that </w:t>
      </w:r>
      <w:r w:rsidR="000E2522">
        <w:rPr>
          <w:lang w:val="en-CA"/>
        </w:rPr>
        <w:t xml:space="preserve">protection of the </w:t>
      </w:r>
      <w:r w:rsidRPr="00272CDD">
        <w:rPr>
          <w:lang w:val="en-CA"/>
        </w:rPr>
        <w:t xml:space="preserve">minority and its right to control its educational facilities </w:t>
      </w:r>
      <w:r w:rsidR="000E2522">
        <w:rPr>
          <w:lang w:val="en-CA"/>
        </w:rPr>
        <w:t xml:space="preserve"> </w:t>
      </w:r>
      <w:r w:rsidRPr="00272CDD">
        <w:rPr>
          <w:lang w:val="en-CA"/>
        </w:rPr>
        <w:t xml:space="preserve">requires that only those who are part of this minority </w:t>
      </w:r>
      <w:r w:rsidR="0002151E">
        <w:rPr>
          <w:lang w:val="en-CA"/>
        </w:rPr>
        <w:t xml:space="preserve">may </w:t>
      </w:r>
      <w:r w:rsidRPr="00272CDD">
        <w:rPr>
          <w:lang w:val="en-CA"/>
        </w:rPr>
        <w:t>have a voice in the matter.</w:t>
      </w:r>
    </w:p>
    <w:p w14:paraId="13CB93BD" w14:textId="787C7706" w:rsidR="003B1EC4" w:rsidRPr="00272CDD" w:rsidRDefault="000E2522" w:rsidP="003B1EC4">
      <w:pPr>
        <w:pStyle w:val="Paragrsimple"/>
        <w:rPr>
          <w:lang w:val="en-CA"/>
        </w:rPr>
      </w:pPr>
      <w:r>
        <w:rPr>
          <w:lang w:val="en-CA"/>
        </w:rPr>
        <w:t xml:space="preserve">Although </w:t>
      </w:r>
      <w:r w:rsidR="003B1EC4" w:rsidRPr="00272CDD">
        <w:rPr>
          <w:lang w:val="en-CA"/>
        </w:rPr>
        <w:t xml:space="preserve">the Court </w:t>
      </w:r>
      <w:r>
        <w:rPr>
          <w:lang w:val="en-CA"/>
        </w:rPr>
        <w:t xml:space="preserve">is not </w:t>
      </w:r>
      <w:r w:rsidR="003B1EC4" w:rsidRPr="00272CDD">
        <w:rPr>
          <w:lang w:val="en-CA"/>
        </w:rPr>
        <w:t>bound by the provisions</w:t>
      </w:r>
      <w:r w:rsidR="00163B63">
        <w:rPr>
          <w:lang w:val="en-CA"/>
        </w:rPr>
        <w:t xml:space="preserve"> respecting French-language minority school elections</w:t>
      </w:r>
      <w:r w:rsidR="00F52361">
        <w:rPr>
          <w:lang w:val="en-CA"/>
        </w:rPr>
        <w:t xml:space="preserve"> in other provinces or territories</w:t>
      </w:r>
      <w:r w:rsidR="003B1EC4" w:rsidRPr="00272CDD">
        <w:rPr>
          <w:lang w:val="en-CA"/>
        </w:rPr>
        <w:t>, it is clear that provincial and territorial legislation require</w:t>
      </w:r>
      <w:r>
        <w:rPr>
          <w:lang w:val="en-CA"/>
        </w:rPr>
        <w:t>s</w:t>
      </w:r>
      <w:r w:rsidR="003B1EC4" w:rsidRPr="00272CDD">
        <w:rPr>
          <w:lang w:val="en-CA"/>
        </w:rPr>
        <w:t xml:space="preserve"> </w:t>
      </w:r>
      <w:r>
        <w:rPr>
          <w:lang w:val="en-CA"/>
        </w:rPr>
        <w:t xml:space="preserve">the </w:t>
      </w:r>
      <w:r w:rsidR="003B1EC4" w:rsidRPr="00272CDD">
        <w:rPr>
          <w:lang w:val="en-CA"/>
        </w:rPr>
        <w:t>status of rights holder to vote</w:t>
      </w:r>
      <w:r w:rsidR="00163B63">
        <w:rPr>
          <w:lang w:val="en-CA"/>
        </w:rPr>
        <w:t xml:space="preserve"> in them</w:t>
      </w:r>
      <w:r w:rsidR="003B1EC4" w:rsidRPr="00272CDD">
        <w:rPr>
          <w:lang w:val="en-CA"/>
        </w:rPr>
        <w:t>.</w:t>
      </w:r>
      <w:r w:rsidR="003B1EC4">
        <w:rPr>
          <w:rStyle w:val="Appelnotedebasdep"/>
          <w:rFonts w:cs="Arial"/>
          <w:szCs w:val="24"/>
        </w:rPr>
        <w:footnoteReference w:id="185"/>
      </w:r>
      <w:r w:rsidR="003B1EC4" w:rsidRPr="00272CDD">
        <w:rPr>
          <w:lang w:val="en-CA"/>
        </w:rPr>
        <w:t xml:space="preserve"> </w:t>
      </w:r>
      <w:r>
        <w:rPr>
          <w:lang w:val="en-CA"/>
        </w:rPr>
        <w:t xml:space="preserve">Here is a non-exhaustive list of </w:t>
      </w:r>
      <w:r w:rsidR="003B1EC4" w:rsidRPr="00272CDD">
        <w:rPr>
          <w:lang w:val="en-CA"/>
        </w:rPr>
        <w:t xml:space="preserve">examples of </w:t>
      </w:r>
      <w:r>
        <w:rPr>
          <w:lang w:val="en-CA"/>
        </w:rPr>
        <w:t xml:space="preserve">such </w:t>
      </w:r>
      <w:r w:rsidR="003B1EC4" w:rsidRPr="00272CDD">
        <w:rPr>
          <w:lang w:val="en-CA"/>
        </w:rPr>
        <w:t>legislation:</w:t>
      </w:r>
    </w:p>
    <w:p w14:paraId="03EF63A0" w14:textId="77777777" w:rsidR="003B1EC4" w:rsidRPr="00582BDF" w:rsidRDefault="003B1EC4" w:rsidP="003B1EC4">
      <w:pPr>
        <w:pStyle w:val="Citation"/>
        <w:numPr>
          <w:ilvl w:val="0"/>
          <w:numId w:val="16"/>
        </w:numPr>
      </w:pPr>
      <w:r w:rsidRPr="00272CDD">
        <w:t xml:space="preserve">Ontario: </w:t>
      </w:r>
      <w:proofErr w:type="spellStart"/>
      <w:r w:rsidRPr="00272CDD">
        <w:rPr>
          <w:i/>
        </w:rPr>
        <w:t>Education</w:t>
      </w:r>
      <w:proofErr w:type="spellEnd"/>
      <w:r w:rsidRPr="00272CDD">
        <w:rPr>
          <w:i/>
        </w:rPr>
        <w:t xml:space="preserve"> </w:t>
      </w:r>
      <w:proofErr w:type="spellStart"/>
      <w:r w:rsidRPr="00272CDD">
        <w:rPr>
          <w:i/>
        </w:rPr>
        <w:t>Act</w:t>
      </w:r>
      <w:proofErr w:type="spellEnd"/>
      <w:r w:rsidRPr="00272CDD">
        <w:t>:</w:t>
      </w:r>
      <w:r w:rsidRPr="00582BDF">
        <w:t xml:space="preserve"> </w:t>
      </w:r>
    </w:p>
    <w:p w14:paraId="11CD99D0" w14:textId="77777777" w:rsidR="003B1EC4" w:rsidRPr="00272CDD" w:rsidRDefault="003B1EC4" w:rsidP="003B1EC4">
      <w:pPr>
        <w:pStyle w:val="Citation"/>
        <w:ind w:left="1440" w:firstLine="24"/>
        <w:rPr>
          <w:lang w:val="en-CA"/>
        </w:rPr>
      </w:pPr>
      <w:r w:rsidRPr="00272CDD">
        <w:rPr>
          <w:lang w:val="en-CA"/>
        </w:rPr>
        <w:t xml:space="preserve">“French-speaking person” means a child of a person who has the right under subsection 23 (1) or (2), without regard to subsection 23 (3), of the </w:t>
      </w:r>
      <w:r w:rsidRPr="00272CDD">
        <w:rPr>
          <w:i/>
          <w:lang w:val="en-CA"/>
        </w:rPr>
        <w:t>Canadian Charter of Rights and Freedoms</w:t>
      </w:r>
      <w:r w:rsidRPr="00272CDD">
        <w:rPr>
          <w:lang w:val="en-CA"/>
        </w:rPr>
        <w:t xml:space="preserve"> to have his or her children receive their primary and secondary school instruction in the French-language in Ontario;</w:t>
      </w:r>
    </w:p>
    <w:p w14:paraId="17928C3E" w14:textId="77777777" w:rsidR="003B1EC4" w:rsidRPr="00272CDD" w:rsidRDefault="003B1EC4" w:rsidP="003B1EC4">
      <w:pPr>
        <w:pStyle w:val="Citation"/>
        <w:ind w:left="1440" w:firstLine="24"/>
        <w:rPr>
          <w:lang w:val="en-CA"/>
        </w:rPr>
      </w:pPr>
      <w:r w:rsidRPr="00272CDD">
        <w:rPr>
          <w:u w:val="single"/>
          <w:lang w:val="en-CA"/>
        </w:rPr>
        <w:t>“French-language rights holder” means a person who has the right under subsection 23 (1) or (2), without regard to</w:t>
      </w:r>
      <w:r w:rsidRPr="00272CDD">
        <w:rPr>
          <w:lang w:val="en-CA"/>
        </w:rPr>
        <w:t xml:space="preserve"> subsection 23 (3), </w:t>
      </w:r>
      <w:r w:rsidRPr="00272CDD">
        <w:rPr>
          <w:u w:val="single"/>
          <w:lang w:val="en-CA"/>
        </w:rPr>
        <w:t>of the</w:t>
      </w:r>
      <w:r w:rsidRPr="00272CDD">
        <w:rPr>
          <w:lang w:val="en-CA"/>
        </w:rPr>
        <w:t xml:space="preserve"> </w:t>
      </w:r>
      <w:r w:rsidRPr="00272CDD">
        <w:rPr>
          <w:i/>
          <w:lang w:val="en-CA"/>
        </w:rPr>
        <w:t>Canadian Charter of Rights and Freedoms</w:t>
      </w:r>
      <w:r w:rsidRPr="00272CDD">
        <w:rPr>
          <w:lang w:val="en-CA"/>
        </w:rPr>
        <w:t xml:space="preserve"> </w:t>
      </w:r>
      <w:r w:rsidRPr="00272CDD">
        <w:rPr>
          <w:u w:val="single"/>
          <w:lang w:val="en-CA"/>
        </w:rPr>
        <w:t xml:space="preserve">to have his or her children </w:t>
      </w:r>
      <w:r w:rsidRPr="00272CDD">
        <w:rPr>
          <w:u w:val="single"/>
          <w:lang w:val="en-CA"/>
        </w:rPr>
        <w:lastRenderedPageBreak/>
        <w:t>receive their primary and secondary school instruction in the French language in Ontario</w:t>
      </w:r>
      <w:r w:rsidRPr="00272CDD">
        <w:rPr>
          <w:lang w:val="en-CA"/>
        </w:rPr>
        <w:t xml:space="preserve">;  </w:t>
      </w:r>
      <w:r>
        <w:rPr>
          <w:lang w:val="en-CA"/>
        </w:rPr>
        <w:t>(“</w:t>
      </w:r>
      <w:proofErr w:type="spellStart"/>
      <w:r>
        <w:rPr>
          <w:lang w:val="en-CA"/>
        </w:rPr>
        <w:t>titulaire</w:t>
      </w:r>
      <w:proofErr w:type="spellEnd"/>
      <w:r>
        <w:rPr>
          <w:lang w:val="en-CA"/>
        </w:rPr>
        <w:t xml:space="preserve"> des droits </w:t>
      </w:r>
      <w:proofErr w:type="spellStart"/>
      <w:r>
        <w:rPr>
          <w:lang w:val="en-CA"/>
        </w:rPr>
        <w:t>liés</w:t>
      </w:r>
      <w:proofErr w:type="spellEnd"/>
      <w:r>
        <w:rPr>
          <w:lang w:val="en-CA"/>
        </w:rPr>
        <w:t xml:space="preserve"> au </w:t>
      </w:r>
      <w:proofErr w:type="spellStart"/>
      <w:r>
        <w:rPr>
          <w:lang w:val="en-CA"/>
        </w:rPr>
        <w:t>français</w:t>
      </w:r>
      <w:proofErr w:type="spellEnd"/>
      <w:r>
        <w:rPr>
          <w:lang w:val="en-CA"/>
        </w:rPr>
        <w:t>”)</w:t>
      </w:r>
    </w:p>
    <w:p w14:paraId="6C1AEB88" w14:textId="77777777" w:rsidR="003B1EC4" w:rsidRPr="00272CDD" w:rsidRDefault="003B1EC4" w:rsidP="003B1EC4">
      <w:pPr>
        <w:pStyle w:val="Citation"/>
        <w:rPr>
          <w:lang w:val="en-CA"/>
        </w:rPr>
      </w:pPr>
      <w:r w:rsidRPr="00272CDD">
        <w:rPr>
          <w:lang w:val="en-CA"/>
        </w:rPr>
        <w:tab/>
      </w:r>
      <w:r w:rsidRPr="00272CDD">
        <w:rPr>
          <w:lang w:val="en-CA"/>
        </w:rPr>
        <w:tab/>
        <w:t>Residents other than supporters entitled to vote</w:t>
      </w:r>
    </w:p>
    <w:p w14:paraId="5FCAA568" w14:textId="77777777" w:rsidR="003B1EC4" w:rsidRPr="00272CDD" w:rsidRDefault="003B1EC4" w:rsidP="003B1EC4">
      <w:pPr>
        <w:pStyle w:val="Citation"/>
        <w:ind w:left="1462"/>
        <w:rPr>
          <w:lang w:val="en-CA"/>
        </w:rPr>
      </w:pPr>
      <w:bookmarkStart w:id="51" w:name="BK68"/>
      <w:bookmarkStart w:id="52" w:name="art50.1par1"/>
      <w:bookmarkStart w:id="53" w:name="art50.1"/>
      <w:bookmarkEnd w:id="51"/>
      <w:bookmarkEnd w:id="52"/>
      <w:bookmarkEnd w:id="53"/>
      <w:r w:rsidRPr="00272CDD">
        <w:rPr>
          <w:lang w:val="en-CA"/>
        </w:rPr>
        <w:t>50.1 (1) Despite the provisions of this or any other Act but subject to subsection (2), a person who is not a supporter of any board who is entitled under subsection 1 (10) to vote in the area of jurisdiction of a public board and who wishes to be an elector for the public board at an election is entitled,</w:t>
      </w:r>
    </w:p>
    <w:p w14:paraId="7C388149" w14:textId="77777777" w:rsidR="003B1EC4" w:rsidRPr="00272CDD" w:rsidRDefault="003B1EC4" w:rsidP="003B1EC4">
      <w:pPr>
        <w:pStyle w:val="Citation"/>
        <w:ind w:left="2193" w:firstLine="3"/>
        <w:rPr>
          <w:lang w:val="en-CA"/>
        </w:rPr>
      </w:pPr>
      <w:r w:rsidRPr="00272CDD">
        <w:rPr>
          <w:lang w:val="en-CA"/>
        </w:rPr>
        <w:t>(a) to cause his or her name to be entered on the preliminary list for the voting subdivision in which he or she resides, as an elector for the public board; and</w:t>
      </w:r>
    </w:p>
    <w:p w14:paraId="1EC4CD0D" w14:textId="57122C5B" w:rsidR="003B1EC4" w:rsidRPr="00272CDD" w:rsidRDefault="003B1EC4" w:rsidP="005352DE">
      <w:pPr>
        <w:pStyle w:val="Citation"/>
        <w:ind w:left="2193" w:firstLine="3"/>
        <w:rPr>
          <w:lang w:val="en-CA"/>
        </w:rPr>
      </w:pPr>
      <w:r w:rsidRPr="00272CDD">
        <w:rPr>
          <w:lang w:val="en-CA"/>
        </w:rPr>
        <w:t>(b) to be enumerated as an elector for the public board. 1997, c. 31, s. 27. </w:t>
      </w:r>
    </w:p>
    <w:p w14:paraId="7EFB2530" w14:textId="77777777" w:rsidR="003B1EC4" w:rsidRPr="00272CDD" w:rsidRDefault="003B1EC4" w:rsidP="003B1EC4">
      <w:pPr>
        <w:pStyle w:val="Citation"/>
        <w:rPr>
          <w:lang w:val="en-CA"/>
        </w:rPr>
      </w:pPr>
      <w:bookmarkStart w:id="54" w:name="art50.1par2"/>
      <w:bookmarkEnd w:id="54"/>
      <w:r w:rsidRPr="00272CDD">
        <w:rPr>
          <w:lang w:val="en-CA"/>
        </w:rPr>
        <w:tab/>
      </w:r>
      <w:r w:rsidRPr="00272CDD">
        <w:rPr>
          <w:lang w:val="en-CA"/>
        </w:rPr>
        <w:tab/>
        <w:t>French-language rights</w:t>
      </w:r>
    </w:p>
    <w:p w14:paraId="03CEAEDB" w14:textId="77777777" w:rsidR="003B1EC4" w:rsidRPr="00272CDD" w:rsidRDefault="003B1EC4" w:rsidP="003B1EC4">
      <w:pPr>
        <w:pStyle w:val="Citation"/>
        <w:ind w:left="1440"/>
        <w:rPr>
          <w:lang w:val="en-CA"/>
        </w:rPr>
      </w:pPr>
      <w:r w:rsidRPr="00272CDD">
        <w:rPr>
          <w:lang w:val="en-CA"/>
        </w:rPr>
        <w:t xml:space="preserve">50.1(2) </w:t>
      </w:r>
      <w:r w:rsidRPr="00272CDD">
        <w:rPr>
          <w:u w:val="single"/>
          <w:lang w:val="en-CA"/>
        </w:rPr>
        <w:t>Only a person who is a French-language rights holder has entitlements under subsection (1) in respect of a French-language public district school board</w:t>
      </w:r>
      <w:r w:rsidRPr="00272CDD">
        <w:rPr>
          <w:lang w:val="en-CA"/>
        </w:rPr>
        <w:t>.</w:t>
      </w:r>
    </w:p>
    <w:p w14:paraId="2B16CA52" w14:textId="77777777" w:rsidR="003B1EC4" w:rsidRPr="00272CDD" w:rsidRDefault="003B1EC4" w:rsidP="003B1EC4">
      <w:pPr>
        <w:pStyle w:val="Citation"/>
        <w:numPr>
          <w:ilvl w:val="0"/>
          <w:numId w:val="16"/>
        </w:numPr>
        <w:rPr>
          <w:lang w:val="en-CA"/>
        </w:rPr>
      </w:pPr>
      <w:r w:rsidRPr="00E202F1">
        <w:rPr>
          <w:lang w:val="en-CA"/>
        </w:rPr>
        <w:t xml:space="preserve">Manitoba: </w:t>
      </w:r>
      <w:r w:rsidRPr="00E202F1">
        <w:rPr>
          <w:i/>
          <w:lang w:val="en-CA"/>
        </w:rPr>
        <w:t>The Public Schools Act</w:t>
      </w:r>
      <w:r w:rsidRPr="00E202F1">
        <w:rPr>
          <w:lang w:val="en-CA"/>
        </w:rPr>
        <w:t>:</w:t>
      </w:r>
    </w:p>
    <w:p w14:paraId="245C7F90" w14:textId="77777777" w:rsidR="003B1EC4" w:rsidRPr="00272CDD" w:rsidRDefault="003B1EC4" w:rsidP="003B1EC4">
      <w:pPr>
        <w:pStyle w:val="Citation"/>
        <w:rPr>
          <w:lang w:val="en-CA"/>
        </w:rPr>
      </w:pPr>
      <w:r w:rsidRPr="00272CDD">
        <w:rPr>
          <w:lang w:val="en-CA"/>
        </w:rPr>
        <w:tab/>
        <w:t>21.1 </w:t>
      </w:r>
      <w:r w:rsidRPr="00E202F1">
        <w:rPr>
          <w:lang w:val="en-CA"/>
        </w:rPr>
        <w:t>In this Part,</w:t>
      </w:r>
    </w:p>
    <w:p w14:paraId="0B966DA4" w14:textId="77777777" w:rsidR="003B1EC4" w:rsidRPr="00323372" w:rsidRDefault="003B1EC4" w:rsidP="003B1EC4">
      <w:pPr>
        <w:pStyle w:val="Citation"/>
        <w:rPr>
          <w:lang w:val="en-CA"/>
        </w:rPr>
      </w:pPr>
      <w:r w:rsidRPr="00272CDD">
        <w:rPr>
          <w:lang w:val="en-CA"/>
        </w:rPr>
        <w:tab/>
      </w:r>
      <w:r w:rsidRPr="00323372">
        <w:rPr>
          <w:lang w:val="en-CA"/>
        </w:rPr>
        <w:t>"entitled person" means</w:t>
      </w:r>
    </w:p>
    <w:p w14:paraId="24F8D424" w14:textId="77777777" w:rsidR="003B1EC4" w:rsidRPr="00272CDD" w:rsidRDefault="003B1EC4" w:rsidP="003B1EC4">
      <w:pPr>
        <w:pStyle w:val="Citation"/>
        <w:ind w:left="1462"/>
        <w:rPr>
          <w:lang w:val="en-CA"/>
        </w:rPr>
      </w:pPr>
      <w:r w:rsidRPr="00E202F1">
        <w:rPr>
          <w:lang w:val="en-CA"/>
        </w:rPr>
        <w:t xml:space="preserve">(a) </w:t>
      </w:r>
      <w:r w:rsidRPr="00272CDD">
        <w:rPr>
          <w:lang w:val="en-CA"/>
        </w:rPr>
        <w:t> a resident of Manitoba whose first language learned and still understood is French,</w:t>
      </w:r>
    </w:p>
    <w:p w14:paraId="78EF3F51" w14:textId="77777777" w:rsidR="003B1EC4" w:rsidRPr="00272CDD" w:rsidRDefault="003B1EC4" w:rsidP="003B1EC4">
      <w:pPr>
        <w:pStyle w:val="Citation"/>
        <w:ind w:left="1462"/>
        <w:rPr>
          <w:lang w:val="en-CA"/>
        </w:rPr>
      </w:pPr>
      <w:r w:rsidRPr="00272CDD">
        <w:rPr>
          <w:lang w:val="en-CA"/>
        </w:rPr>
        <w:t>(b) a Canadian citizen resident in Manitoba who has received at least four years of primary school instruction in a francophone program in Canada, or</w:t>
      </w:r>
    </w:p>
    <w:p w14:paraId="0D5D0941" w14:textId="77777777" w:rsidR="003B1EC4" w:rsidRPr="00272CDD" w:rsidRDefault="003B1EC4" w:rsidP="003B1EC4">
      <w:pPr>
        <w:pStyle w:val="Citation"/>
        <w:ind w:left="1462"/>
        <w:rPr>
          <w:rFonts w:cs="Arial"/>
          <w:color w:val="000000"/>
          <w:lang w:val="en-CA" w:eastAsia="fr-CA"/>
        </w:rPr>
      </w:pPr>
      <w:r>
        <w:rPr>
          <w:rFonts w:cs="Arial"/>
          <w:color w:val="000000"/>
          <w:lang w:val="en-CA" w:eastAsia="fr-CA"/>
        </w:rPr>
        <w:t xml:space="preserve">(c) a Canadian citizen resident in Manitoba who is the parent of a child who is receiving primary or secondary school instruction in a francophone program in Canada or who has received not less than four years of such instruction; </w:t>
      </w:r>
      <w:r w:rsidRPr="00272CDD">
        <w:rPr>
          <w:rFonts w:cs="Arial"/>
          <w:color w:val="000000"/>
          <w:lang w:val="en-CA" w:eastAsia="fr-CA"/>
        </w:rPr>
        <w:t> </w:t>
      </w:r>
      <w:r w:rsidRPr="00E202F1">
        <w:rPr>
          <w:rFonts w:cs="Arial"/>
          <w:color w:val="000000"/>
          <w:lang w:val="en-CA" w:eastAsia="fr-CA"/>
        </w:rPr>
        <w:t xml:space="preserve">(« </w:t>
      </w:r>
      <w:proofErr w:type="spellStart"/>
      <w:r w:rsidRPr="00E202F1">
        <w:rPr>
          <w:rFonts w:cs="Arial"/>
          <w:color w:val="000000"/>
          <w:lang w:val="en-CA" w:eastAsia="fr-CA"/>
        </w:rPr>
        <w:t>ayant</w:t>
      </w:r>
      <w:proofErr w:type="spellEnd"/>
      <w:r w:rsidRPr="00E202F1">
        <w:rPr>
          <w:rFonts w:cs="Arial"/>
          <w:color w:val="000000"/>
          <w:lang w:val="en-CA" w:eastAsia="fr-CA"/>
        </w:rPr>
        <w:t xml:space="preserve"> droit »)</w:t>
      </w:r>
    </w:p>
    <w:p w14:paraId="4538BBC9" w14:textId="77777777" w:rsidR="003B1EC4" w:rsidRPr="00E202F1" w:rsidRDefault="003B1EC4" w:rsidP="003B1EC4">
      <w:pPr>
        <w:pStyle w:val="Citation"/>
        <w:ind w:firstLine="598"/>
        <w:rPr>
          <w:color w:val="000000"/>
          <w:lang w:val="en-CA" w:eastAsia="fr-CA"/>
        </w:rPr>
      </w:pPr>
      <w:r w:rsidRPr="00E202F1">
        <w:rPr>
          <w:color w:val="000000"/>
          <w:lang w:val="en-CA" w:eastAsia="fr-CA"/>
        </w:rPr>
        <w:t>Francophone school board</w:t>
      </w:r>
    </w:p>
    <w:p w14:paraId="2C88D833" w14:textId="77777777" w:rsidR="003B1EC4" w:rsidRPr="00272CDD" w:rsidRDefault="003B1EC4" w:rsidP="003B1EC4">
      <w:pPr>
        <w:pStyle w:val="Citation"/>
        <w:ind w:left="1462"/>
        <w:rPr>
          <w:color w:val="000000"/>
          <w:lang w:val="en-CA" w:eastAsia="fr-CA"/>
        </w:rPr>
      </w:pPr>
      <w:r w:rsidRPr="00272CDD">
        <w:rPr>
          <w:lang w:val="en-CA" w:eastAsia="fr-CA"/>
        </w:rPr>
        <w:lastRenderedPageBreak/>
        <w:t>21.4(1)  The francophone school board, consisting of trustees elected in accordance with sections 21.35 to 21.38, is responsible for the administration of the francophone school division.</w:t>
      </w:r>
    </w:p>
    <w:p w14:paraId="18DAEFA0" w14:textId="77777777" w:rsidR="003B1EC4" w:rsidRPr="00E202F1" w:rsidRDefault="003B1EC4" w:rsidP="003B1EC4">
      <w:pPr>
        <w:pStyle w:val="Citation"/>
        <w:ind w:firstLine="598"/>
        <w:rPr>
          <w:color w:val="000000"/>
          <w:lang w:val="en-CA" w:eastAsia="fr-CA"/>
        </w:rPr>
      </w:pPr>
      <w:bookmarkStart w:id="55" w:name="art21.4par2"/>
      <w:bookmarkEnd w:id="55"/>
      <w:r w:rsidRPr="00E202F1">
        <w:rPr>
          <w:color w:val="000000"/>
          <w:lang w:val="en-CA" w:eastAsia="fr-CA"/>
        </w:rPr>
        <w:t>Number of trustees</w:t>
      </w:r>
    </w:p>
    <w:p w14:paraId="22279176" w14:textId="77777777" w:rsidR="003B1EC4" w:rsidRPr="00272CDD" w:rsidRDefault="003B1EC4" w:rsidP="003B1EC4">
      <w:pPr>
        <w:pStyle w:val="Citation"/>
        <w:ind w:left="1462"/>
        <w:rPr>
          <w:color w:val="000000"/>
          <w:lang w:val="en-CA" w:eastAsia="fr-CA"/>
        </w:rPr>
      </w:pPr>
      <w:r w:rsidRPr="00272CDD">
        <w:rPr>
          <w:lang w:val="en-CA" w:eastAsia="fr-CA"/>
        </w:rPr>
        <w:t>21.4(2)  The number of trustees of the francophone school board may not be less than five or more than 11.</w:t>
      </w:r>
    </w:p>
    <w:p w14:paraId="63042884" w14:textId="77777777" w:rsidR="003B1EC4" w:rsidRPr="00E202F1" w:rsidRDefault="003B1EC4" w:rsidP="003B1EC4">
      <w:pPr>
        <w:pStyle w:val="Citation"/>
        <w:ind w:left="1462"/>
        <w:rPr>
          <w:color w:val="000000"/>
          <w:lang w:val="en-CA" w:eastAsia="fr-CA"/>
        </w:rPr>
      </w:pPr>
      <w:r w:rsidRPr="00E202F1">
        <w:rPr>
          <w:lang w:val="en-CA" w:eastAsia="fr-CA"/>
        </w:rPr>
        <w:t>21.36.1(1)  The francophone school board may, by by-law,</w:t>
      </w:r>
    </w:p>
    <w:p w14:paraId="31934930" w14:textId="77777777" w:rsidR="003B1EC4" w:rsidRPr="00272CDD" w:rsidRDefault="003B1EC4" w:rsidP="003B1EC4">
      <w:pPr>
        <w:pStyle w:val="Citation"/>
        <w:ind w:left="2193"/>
        <w:rPr>
          <w:color w:val="000000"/>
          <w:lang w:val="en-CA" w:eastAsia="fr-CA"/>
        </w:rPr>
      </w:pPr>
      <w:r w:rsidRPr="00272CDD">
        <w:rPr>
          <w:lang w:val="en-CA" w:eastAsia="fr-CA"/>
        </w:rPr>
        <w:t>(a) alter the area of an electoral division, or dissolve the electoral divisions established under subsection (1) and create new electoral divisions; and</w:t>
      </w:r>
    </w:p>
    <w:p w14:paraId="7A6B8C3A" w14:textId="77777777" w:rsidR="003B1EC4" w:rsidRPr="00272CDD" w:rsidRDefault="003B1EC4" w:rsidP="003B1EC4">
      <w:pPr>
        <w:pStyle w:val="Citation"/>
        <w:ind w:left="2193"/>
        <w:rPr>
          <w:color w:val="000000"/>
          <w:lang w:val="en-CA" w:eastAsia="fr-CA"/>
        </w:rPr>
      </w:pPr>
      <w:r w:rsidRPr="00272CDD">
        <w:rPr>
          <w:lang w:val="en-CA" w:eastAsia="fr-CA"/>
        </w:rPr>
        <w:t>(b) subject to subsection 21.4(2), increase or decrease the total number of trustees to be elected, or the number of trustees to be elected in an electoral division.</w:t>
      </w:r>
    </w:p>
    <w:p w14:paraId="0AEF8C74" w14:textId="77777777" w:rsidR="003B1EC4" w:rsidRPr="00E202F1" w:rsidRDefault="003B1EC4" w:rsidP="003B1EC4">
      <w:pPr>
        <w:pStyle w:val="Citation"/>
        <w:ind w:firstLine="598"/>
        <w:rPr>
          <w:color w:val="000000"/>
          <w:lang w:val="en-CA" w:eastAsia="fr-CA"/>
        </w:rPr>
      </w:pPr>
      <w:r w:rsidRPr="00E202F1">
        <w:rPr>
          <w:color w:val="000000"/>
          <w:lang w:val="en-CA" w:eastAsia="fr-CA"/>
        </w:rPr>
        <w:t>21.36.1(2)  A by-law passed under subsection (1)</w:t>
      </w:r>
    </w:p>
    <w:p w14:paraId="22EBE987" w14:textId="77777777" w:rsidR="003B1EC4" w:rsidRPr="00272CDD" w:rsidRDefault="003B1EC4" w:rsidP="003B1EC4">
      <w:pPr>
        <w:pStyle w:val="Citation"/>
        <w:ind w:firstLine="576"/>
        <w:rPr>
          <w:color w:val="000000"/>
          <w:lang w:val="en-CA" w:eastAsia="fr-CA"/>
        </w:rPr>
      </w:pPr>
      <w:r w:rsidRPr="00272CDD">
        <w:rPr>
          <w:color w:val="000000"/>
          <w:lang w:val="en-CA" w:eastAsia="fr-CA"/>
        </w:rPr>
        <w:t>(a) has no effect until it is approved by the Lieutenant Governor in Council;</w:t>
      </w:r>
    </w:p>
    <w:p w14:paraId="4F6A9A09" w14:textId="77777777" w:rsidR="003B1EC4" w:rsidRPr="007313F2" w:rsidRDefault="003B1EC4" w:rsidP="003B1EC4">
      <w:pPr>
        <w:pStyle w:val="Citation"/>
        <w:numPr>
          <w:ilvl w:val="3"/>
          <w:numId w:val="11"/>
        </w:numPr>
        <w:ind w:left="1134" w:hanging="283"/>
        <w:rPr>
          <w:color w:val="000000"/>
          <w:szCs w:val="24"/>
          <w:lang w:val="en-CA" w:eastAsia="fr-CA"/>
        </w:rPr>
      </w:pPr>
      <w:r w:rsidRPr="00272CDD">
        <w:t xml:space="preserve">Nova Scotia: </w:t>
      </w:r>
      <w:proofErr w:type="spellStart"/>
      <w:r w:rsidRPr="00272CDD">
        <w:rPr>
          <w:i/>
          <w:color w:val="000000"/>
        </w:rPr>
        <w:t>Education</w:t>
      </w:r>
      <w:proofErr w:type="spellEnd"/>
      <w:r w:rsidRPr="00272CDD">
        <w:rPr>
          <w:color w:val="000000"/>
        </w:rPr>
        <w:t xml:space="preserve"> </w:t>
      </w:r>
      <w:proofErr w:type="spellStart"/>
      <w:r w:rsidRPr="00272CDD">
        <w:rPr>
          <w:i/>
          <w:color w:val="000000"/>
        </w:rPr>
        <w:t>Act</w:t>
      </w:r>
      <w:proofErr w:type="spellEnd"/>
      <w:r w:rsidRPr="00272CDD">
        <w:rPr>
          <w:color w:val="000000"/>
        </w:rPr>
        <w:t>:</w:t>
      </w:r>
      <w:r w:rsidRPr="007313F2">
        <w:rPr>
          <w:color w:val="000000"/>
          <w:szCs w:val="24"/>
          <w:lang w:val="en-CA" w:eastAsia="fr-CA"/>
        </w:rPr>
        <w:t xml:space="preserve"> </w:t>
      </w:r>
    </w:p>
    <w:p w14:paraId="47A43BBD" w14:textId="77777777" w:rsidR="003B1EC4" w:rsidRPr="00054076" w:rsidRDefault="003B1EC4" w:rsidP="003B1EC4">
      <w:pPr>
        <w:pStyle w:val="Citation"/>
        <w:ind w:left="1080"/>
        <w:rPr>
          <w:color w:val="000000"/>
          <w:lang w:val="en-CA" w:eastAsia="fr-CA"/>
        </w:rPr>
      </w:pPr>
      <w:r>
        <w:rPr>
          <w:color w:val="000000"/>
          <w:lang w:val="en-CA" w:eastAsia="fr-CA"/>
        </w:rPr>
        <w:t>3 (h)</w:t>
      </w:r>
      <w:r w:rsidRPr="00054076">
        <w:rPr>
          <w:color w:val="000000"/>
          <w:lang w:val="en-CA" w:eastAsia="fr-CA"/>
        </w:rPr>
        <w:tab/>
      </w:r>
      <w:r>
        <w:rPr>
          <w:color w:val="000000"/>
          <w:lang w:val="en-CA" w:eastAsia="fr-CA"/>
        </w:rPr>
        <w:t>“entitled parent” means a parent who is a citizen of Canada and (i) whose first language learned and still under­stood is French, (ii) who received his or her primary school instruc­tion in Canada in a French-first-language program, or (iii) of whom any child has received or is receiving primary or secondary school instruction in Canada in a French-first-language program;</w:t>
      </w:r>
      <w:r w:rsidRPr="00054076">
        <w:rPr>
          <w:color w:val="000000"/>
          <w:lang w:val="en-CA" w:eastAsia="fr-CA"/>
        </w:rPr>
        <w:t xml:space="preserve"> </w:t>
      </w:r>
    </w:p>
    <w:p w14:paraId="02948DCB" w14:textId="77777777" w:rsidR="003B1EC4" w:rsidRPr="00054076" w:rsidRDefault="003B1EC4" w:rsidP="003B1EC4">
      <w:pPr>
        <w:pStyle w:val="Citation"/>
        <w:ind w:left="1080"/>
        <w:rPr>
          <w:color w:val="000000"/>
          <w:lang w:val="en-CA" w:eastAsia="fr-CA"/>
        </w:rPr>
      </w:pPr>
      <w:r>
        <w:rPr>
          <w:color w:val="000000"/>
          <w:lang w:val="en-CA" w:eastAsia="fr-CA"/>
        </w:rPr>
        <w:t>(i) “entitled person” means an entitled parent or a person who, not being an entitled parent, would be an entitled parent if the person were a parent;</w:t>
      </w:r>
    </w:p>
    <w:p w14:paraId="181046D7" w14:textId="77777777" w:rsidR="003B1EC4" w:rsidRPr="00E202F1" w:rsidRDefault="003B1EC4" w:rsidP="003B1EC4">
      <w:pPr>
        <w:pStyle w:val="Citation"/>
        <w:ind w:firstLine="216"/>
        <w:rPr>
          <w:color w:val="000000"/>
          <w:lang w:val="en-CA" w:eastAsia="fr-CA"/>
        </w:rPr>
      </w:pPr>
      <w:r w:rsidRPr="00E202F1">
        <w:rPr>
          <w:color w:val="000000"/>
          <w:lang w:val="en-CA" w:eastAsia="fr-CA"/>
        </w:rPr>
        <w:t xml:space="preserve">Election of Conseil </w:t>
      </w:r>
    </w:p>
    <w:p w14:paraId="437A7263" w14:textId="77777777" w:rsidR="003B1EC4" w:rsidRDefault="003B1EC4" w:rsidP="003B1EC4">
      <w:pPr>
        <w:pStyle w:val="Citation"/>
        <w:ind w:left="1080"/>
        <w:rPr>
          <w:color w:val="000000"/>
          <w:lang w:val="en-CA" w:eastAsia="fr-CA"/>
        </w:rPr>
      </w:pPr>
      <w:r w:rsidRPr="00272CDD">
        <w:rPr>
          <w:color w:val="000000"/>
          <w:lang w:val="en-CA" w:eastAsia="fr-CA"/>
        </w:rPr>
        <w:t xml:space="preserve">13 (1) The Conseil </w:t>
      </w:r>
      <w:proofErr w:type="spellStart"/>
      <w:r w:rsidRPr="00272CDD">
        <w:rPr>
          <w:color w:val="000000"/>
          <w:lang w:val="en-CA" w:eastAsia="fr-CA"/>
        </w:rPr>
        <w:t>acadien</w:t>
      </w:r>
      <w:proofErr w:type="spellEnd"/>
      <w:r w:rsidRPr="00272CDD">
        <w:rPr>
          <w:color w:val="000000"/>
          <w:lang w:val="en-CA" w:eastAsia="fr-CA"/>
        </w:rPr>
        <w:t xml:space="preserve"> </w:t>
      </w:r>
      <w:r w:rsidRPr="00272CDD">
        <w:rPr>
          <w:color w:val="000000"/>
          <w:u w:val="single"/>
          <w:lang w:val="en-CA" w:eastAsia="fr-CA"/>
        </w:rPr>
        <w:t>shall be elected by entitled persons</w:t>
      </w:r>
      <w:r w:rsidRPr="00272CDD">
        <w:rPr>
          <w:color w:val="000000"/>
          <w:lang w:val="en-CA" w:eastAsia="fr-CA"/>
        </w:rPr>
        <w:t>, at the same time as the regularly scheduled elections for school boards.</w:t>
      </w:r>
      <w:r w:rsidRPr="00054076">
        <w:rPr>
          <w:color w:val="000000"/>
          <w:lang w:val="en-CA" w:eastAsia="fr-CA"/>
        </w:rPr>
        <w:t xml:space="preserve"> </w:t>
      </w:r>
    </w:p>
    <w:p w14:paraId="4B8306FF" w14:textId="77777777" w:rsidR="003B1EC4" w:rsidRDefault="003B1EC4" w:rsidP="003B1EC4">
      <w:pPr>
        <w:pStyle w:val="Citation"/>
        <w:ind w:left="1080"/>
        <w:rPr>
          <w:color w:val="000000"/>
          <w:lang w:val="en-CA" w:eastAsia="fr-CA"/>
        </w:rPr>
      </w:pPr>
      <w:r>
        <w:rPr>
          <w:color w:val="000000"/>
          <w:lang w:val="en-CA" w:eastAsia="fr-CA"/>
        </w:rPr>
        <w:t>(2)</w:t>
      </w:r>
      <w:r w:rsidRPr="00054076">
        <w:rPr>
          <w:color w:val="000000"/>
          <w:lang w:val="en-CA" w:eastAsia="fr-CA"/>
        </w:rPr>
        <w:t xml:space="preserve"> </w:t>
      </w:r>
      <w:r>
        <w:rPr>
          <w:color w:val="000000"/>
          <w:lang w:val="en-CA" w:eastAsia="fr-CA"/>
        </w:rPr>
        <w:t xml:space="preserve">An entitled person may vote in an election for the Conseil </w:t>
      </w:r>
      <w:proofErr w:type="spellStart"/>
      <w:r>
        <w:rPr>
          <w:color w:val="000000"/>
          <w:lang w:val="en-CA" w:eastAsia="fr-CA"/>
        </w:rPr>
        <w:t>acadien</w:t>
      </w:r>
      <w:proofErr w:type="spellEnd"/>
      <w:r>
        <w:rPr>
          <w:color w:val="000000"/>
          <w:lang w:val="en-CA" w:eastAsia="fr-CA"/>
        </w:rPr>
        <w:t xml:space="preserve"> or for another school board if that person is otherwise entitled to vote in an election for a school board but that person is not entitled to and shall not vote in the same election for both.</w:t>
      </w:r>
      <w:r w:rsidRPr="00054076">
        <w:rPr>
          <w:color w:val="000000"/>
          <w:lang w:val="en-CA" w:eastAsia="fr-CA"/>
        </w:rPr>
        <w:t xml:space="preserve"> </w:t>
      </w:r>
    </w:p>
    <w:p w14:paraId="7CB045F7" w14:textId="77777777" w:rsidR="003B1EC4" w:rsidRDefault="003B1EC4" w:rsidP="003B1EC4">
      <w:pPr>
        <w:pStyle w:val="Citation"/>
        <w:ind w:left="1080"/>
        <w:rPr>
          <w:color w:val="000000"/>
          <w:lang w:val="en-CA" w:eastAsia="fr-CA"/>
        </w:rPr>
      </w:pPr>
      <w:r>
        <w:rPr>
          <w:color w:val="000000"/>
          <w:lang w:val="en-CA" w:eastAsia="fr-CA"/>
        </w:rPr>
        <w:lastRenderedPageBreak/>
        <w:t xml:space="preserve">(2A) For greater certainty, an entitled person who votes in an elec­tion for either the Conseil </w:t>
      </w:r>
      <w:proofErr w:type="spellStart"/>
      <w:r>
        <w:rPr>
          <w:color w:val="000000"/>
          <w:lang w:val="en-CA" w:eastAsia="fr-CA"/>
        </w:rPr>
        <w:t>acadien</w:t>
      </w:r>
      <w:proofErr w:type="spellEnd"/>
      <w:r>
        <w:rPr>
          <w:color w:val="000000"/>
          <w:lang w:val="en-CA" w:eastAsia="fr-CA"/>
        </w:rPr>
        <w:t xml:space="preserve"> or for another school board may vote for either the Conseil </w:t>
      </w:r>
      <w:proofErr w:type="spellStart"/>
      <w:r>
        <w:rPr>
          <w:color w:val="000000"/>
          <w:lang w:val="en-CA" w:eastAsia="fr-CA"/>
        </w:rPr>
        <w:t>acadien</w:t>
      </w:r>
      <w:proofErr w:type="spellEnd"/>
      <w:r>
        <w:rPr>
          <w:color w:val="000000"/>
          <w:lang w:val="en-CA" w:eastAsia="fr-CA"/>
        </w:rPr>
        <w:t xml:space="preserve"> or for another school board in a special election that follows the election.</w:t>
      </w:r>
      <w:r w:rsidRPr="00054076">
        <w:rPr>
          <w:color w:val="000000"/>
          <w:lang w:val="en-CA" w:eastAsia="fr-CA"/>
        </w:rPr>
        <w:t xml:space="preserve"> </w:t>
      </w:r>
    </w:p>
    <w:p w14:paraId="11791310" w14:textId="77777777" w:rsidR="003B1EC4" w:rsidRDefault="003B1EC4" w:rsidP="003B1EC4">
      <w:pPr>
        <w:pStyle w:val="Citation"/>
        <w:ind w:left="1080"/>
        <w:rPr>
          <w:color w:val="000000"/>
          <w:lang w:val="en-CA" w:eastAsia="fr-CA"/>
        </w:rPr>
      </w:pPr>
      <w:r>
        <w:rPr>
          <w:color w:val="000000"/>
          <w:lang w:val="en-CA" w:eastAsia="fr-CA"/>
        </w:rPr>
        <w:t>(3)</w:t>
      </w:r>
      <w:r w:rsidRPr="00054076">
        <w:rPr>
          <w:color w:val="000000"/>
          <w:lang w:val="en-CA" w:eastAsia="fr-CA"/>
        </w:rPr>
        <w:t xml:space="preserve"> </w:t>
      </w:r>
      <w:r w:rsidRPr="00272CDD">
        <w:rPr>
          <w:color w:val="000000"/>
          <w:lang w:val="en-CA" w:eastAsia="fr-CA"/>
        </w:rPr>
        <w:t xml:space="preserve">Notwithstanding the Municipal Elections Act, (a) </w:t>
      </w:r>
      <w:r w:rsidRPr="00272CDD">
        <w:rPr>
          <w:color w:val="000000"/>
          <w:u w:val="single"/>
          <w:lang w:val="en-CA" w:eastAsia="fr-CA"/>
        </w:rPr>
        <w:t xml:space="preserve">for greater certainty, only entitled persons may be members of the Conseil </w:t>
      </w:r>
      <w:proofErr w:type="spellStart"/>
      <w:r w:rsidRPr="00272CDD">
        <w:rPr>
          <w:color w:val="000000"/>
          <w:u w:val="single"/>
          <w:lang w:val="en-CA" w:eastAsia="fr-CA"/>
        </w:rPr>
        <w:t>acadien</w:t>
      </w:r>
      <w:proofErr w:type="spellEnd"/>
      <w:r w:rsidRPr="00272CDD">
        <w:rPr>
          <w:color w:val="000000"/>
          <w:u w:val="single"/>
          <w:lang w:val="en-CA" w:eastAsia="fr-CA"/>
        </w:rPr>
        <w:t xml:space="preserve">; (b) only an entitled person may nominate a candidate for election as a member of the Conseil </w:t>
      </w:r>
      <w:proofErr w:type="spellStart"/>
      <w:r w:rsidRPr="00272CDD">
        <w:rPr>
          <w:color w:val="000000"/>
          <w:u w:val="single"/>
          <w:lang w:val="en-CA" w:eastAsia="fr-CA"/>
        </w:rPr>
        <w:t>acadien</w:t>
      </w:r>
      <w:proofErr w:type="spellEnd"/>
      <w:r w:rsidRPr="00272CDD">
        <w:rPr>
          <w:color w:val="000000"/>
          <w:lang w:val="en-CA" w:eastAsia="fr-CA"/>
        </w:rPr>
        <w:t xml:space="preserve"> and a person nominating such a candidate shall be required to sign a statement stating that per­son’s status as an entitled person, in a form prescribed pursuant to the Municipal Elections Act;</w:t>
      </w:r>
    </w:p>
    <w:p w14:paraId="6CDD09E0" w14:textId="77777777" w:rsidR="003B1EC4" w:rsidRPr="00E202F1" w:rsidRDefault="003B1EC4" w:rsidP="003B1EC4">
      <w:pPr>
        <w:shd w:val="clear" w:color="auto" w:fill="FDFEFE"/>
        <w:spacing w:before="120" w:after="120"/>
        <w:ind w:left="1342" w:right="120"/>
        <w:jc w:val="right"/>
        <w:rPr>
          <w:rFonts w:cs="Arial"/>
          <w:color w:val="000000"/>
          <w:szCs w:val="24"/>
          <w:lang w:val="en-CA" w:eastAsia="fr-CA"/>
        </w:rPr>
      </w:pPr>
      <w:r w:rsidRPr="00E202F1">
        <w:rPr>
          <w:rFonts w:cs="Arial"/>
          <w:color w:val="000000"/>
          <w:szCs w:val="24"/>
          <w:lang w:val="en-CA" w:eastAsia="fr-CA"/>
        </w:rPr>
        <w:t>[Emphasis added.]</w:t>
      </w:r>
    </w:p>
    <w:p w14:paraId="76D0D7FF" w14:textId="4245F234" w:rsidR="003B1EC4" w:rsidRPr="00837C3F" w:rsidRDefault="003B1EC4" w:rsidP="003B1EC4">
      <w:pPr>
        <w:pStyle w:val="Paragrsimple"/>
        <w:rPr>
          <w:lang w:val="en-CA"/>
        </w:rPr>
      </w:pPr>
      <w:r w:rsidRPr="00E202F1">
        <w:rPr>
          <w:lang w:val="en-CA"/>
        </w:rPr>
        <w:t>The</w:t>
      </w:r>
      <w:r w:rsidR="00343C12">
        <w:rPr>
          <w:lang w:val="en-CA"/>
        </w:rPr>
        <w:t>refore,</w:t>
      </w:r>
      <w:r w:rsidRPr="00E202F1">
        <w:rPr>
          <w:lang w:val="en-CA"/>
        </w:rPr>
        <w:t xml:space="preserve"> last paragraph of section 15 of the </w:t>
      </w:r>
      <w:r w:rsidRPr="00E202F1">
        <w:rPr>
          <w:i/>
          <w:lang w:val="en-CA"/>
        </w:rPr>
        <w:t>Act respecting school elections</w:t>
      </w:r>
      <w:r w:rsidRPr="00E202F1">
        <w:rPr>
          <w:lang w:val="en-CA"/>
        </w:rPr>
        <w:t xml:space="preserve"> </w:t>
      </w:r>
      <w:r w:rsidR="00343C12">
        <w:rPr>
          <w:lang w:val="en-CA"/>
        </w:rPr>
        <w:t>that concerns</w:t>
      </w:r>
      <w:r w:rsidRPr="00E202F1">
        <w:rPr>
          <w:lang w:val="en-CA"/>
        </w:rPr>
        <w:t xml:space="preserve"> </w:t>
      </w:r>
      <w:r w:rsidR="00343C12">
        <w:rPr>
          <w:lang w:val="en-CA"/>
        </w:rPr>
        <w:t>certain</w:t>
      </w:r>
      <w:r w:rsidRPr="00E202F1">
        <w:rPr>
          <w:lang w:val="en-CA"/>
        </w:rPr>
        <w:t xml:space="preserve"> members of the board of directors of English-language school service centres does not comply with the requirements of section 23. </w:t>
      </w:r>
      <w:r w:rsidRPr="00837C3F">
        <w:rPr>
          <w:lang w:val="en-CA"/>
        </w:rPr>
        <w:t xml:space="preserve"> It allows an individual who is not a rights holder under that provision to </w:t>
      </w:r>
      <w:r>
        <w:rPr>
          <w:lang w:val="en-CA"/>
        </w:rPr>
        <w:t>participate</w:t>
      </w:r>
      <w:r w:rsidRPr="00837C3F">
        <w:rPr>
          <w:lang w:val="en-CA"/>
        </w:rPr>
        <w:t xml:space="preserve"> in electing representatives for the minority. </w:t>
      </w:r>
    </w:p>
    <w:p w14:paraId="44FB5B21" w14:textId="6F3C8D93" w:rsidR="003B1EC4" w:rsidRPr="00E202F1" w:rsidRDefault="00D429EF" w:rsidP="005352DE">
      <w:pPr>
        <w:pStyle w:val="Titre2"/>
        <w:numPr>
          <w:ilvl w:val="0"/>
          <w:numId w:val="0"/>
        </w:numPr>
        <w:ind w:left="360"/>
        <w:rPr>
          <w:lang w:val="en-CA"/>
        </w:rPr>
      </w:pPr>
      <w:r>
        <w:rPr>
          <w:lang w:val="en-CA"/>
        </w:rPr>
        <w:t xml:space="preserve">(i) </w:t>
      </w:r>
      <w:r w:rsidR="003B1EC4" w:rsidRPr="00E202F1">
        <w:rPr>
          <w:lang w:val="en-CA"/>
        </w:rPr>
        <w:t xml:space="preserve">Obligation to take the minority’s concerns </w:t>
      </w:r>
      <w:r>
        <w:rPr>
          <w:lang w:val="en-CA"/>
        </w:rPr>
        <w:t>into account</w:t>
      </w:r>
    </w:p>
    <w:p w14:paraId="79E3E6D0" w14:textId="6EA9785D" w:rsidR="003B1EC4" w:rsidRPr="00837C3F" w:rsidRDefault="003B1EC4" w:rsidP="003B1EC4">
      <w:pPr>
        <w:pStyle w:val="Paragrsimple"/>
        <w:rPr>
          <w:lang w:val="en-CA"/>
        </w:rPr>
      </w:pPr>
      <w:r w:rsidRPr="00837C3F">
        <w:rPr>
          <w:lang w:val="en-CA"/>
        </w:rPr>
        <w:t>Governments</w:t>
      </w:r>
      <w:r w:rsidR="00F52361">
        <w:rPr>
          <w:lang w:val="en-CA"/>
        </w:rPr>
        <w:t xml:space="preserve"> </w:t>
      </w:r>
      <w:r w:rsidRPr="00837C3F">
        <w:rPr>
          <w:lang w:val="en-CA"/>
        </w:rPr>
        <w:t>must take into account the needs and concerns of the linguistic minority when adopting statutes and imposing decisions.</w:t>
      </w:r>
    </w:p>
    <w:p w14:paraId="371AB3FF" w14:textId="6715716E" w:rsidR="003B1EC4" w:rsidRPr="00837C3F" w:rsidRDefault="003B1EC4" w:rsidP="003B1EC4">
      <w:pPr>
        <w:pStyle w:val="Paragrsimple"/>
        <w:rPr>
          <w:lang w:val="en-CA"/>
        </w:rPr>
      </w:pPr>
      <w:r w:rsidRPr="00837C3F">
        <w:rPr>
          <w:lang w:val="en-CA"/>
        </w:rPr>
        <w:t xml:space="preserve">As Marc-André Blanchard J. summarized in his judgment on the merits in </w:t>
      </w:r>
      <w:r w:rsidRPr="00837C3F">
        <w:rPr>
          <w:i/>
          <w:lang w:val="en-CA"/>
        </w:rPr>
        <w:t>Hak</w:t>
      </w:r>
      <w:r>
        <w:rPr>
          <w:rStyle w:val="Appelnotedebasdep"/>
        </w:rPr>
        <w:footnoteReference w:id="186"/>
      </w:r>
      <w:r w:rsidRPr="00837C3F">
        <w:rPr>
          <w:lang w:val="en-CA"/>
        </w:rPr>
        <w:t xml:space="preserve"> </w:t>
      </w:r>
      <w:r w:rsidR="00433B37">
        <w:rPr>
          <w:lang w:val="en-CA"/>
        </w:rPr>
        <w:t xml:space="preserve">concerning </w:t>
      </w:r>
      <w:r w:rsidRPr="00837C3F">
        <w:rPr>
          <w:lang w:val="en-CA"/>
        </w:rPr>
        <w:t>section 23:</w:t>
      </w:r>
    </w:p>
    <w:p w14:paraId="16780FFC" w14:textId="77777777" w:rsidR="003B1EC4" w:rsidRDefault="003B1EC4" w:rsidP="005352DE">
      <w:pPr>
        <w:pStyle w:val="Citation"/>
        <w:keepNext/>
        <w:ind w:left="862" w:right="862"/>
        <w:rPr>
          <w:lang w:val="en-CA"/>
        </w:rPr>
      </w:pPr>
      <w:r>
        <w:rPr>
          <w:lang w:val="en-CA"/>
        </w:rPr>
        <w:t>[</w:t>
      </w:r>
      <w:r w:rsidRPr="00C22701">
        <w:rPr>
          <w:smallCaps/>
          <w:lang w:val="en-CA"/>
        </w:rPr>
        <w:t>translation</w:t>
      </w:r>
      <w:r>
        <w:rPr>
          <w:lang w:val="en-CA"/>
        </w:rPr>
        <w:t>]</w:t>
      </w:r>
    </w:p>
    <w:p w14:paraId="170A01ED" w14:textId="7B7CD509" w:rsidR="003B1EC4" w:rsidRPr="00837C3F" w:rsidRDefault="003B1EC4" w:rsidP="005352DE">
      <w:pPr>
        <w:pStyle w:val="Citation"/>
        <w:keepNext/>
        <w:ind w:left="862" w:right="862"/>
        <w:rPr>
          <w:lang w:val="en-CA"/>
        </w:rPr>
      </w:pPr>
      <w:r w:rsidRPr="00837C3F">
        <w:rPr>
          <w:lang w:val="en-CA"/>
        </w:rPr>
        <w:t>[971]</w:t>
      </w:r>
      <w:r w:rsidRPr="00837C3F">
        <w:rPr>
          <w:lang w:val="en-CA"/>
        </w:rPr>
        <w:tab/>
        <w:t xml:space="preserve">According to the Supreme Court, the rights set out under section 23 of the </w:t>
      </w:r>
      <w:r w:rsidRPr="00C22701">
        <w:rPr>
          <w:i/>
          <w:iCs/>
          <w:lang w:val="en-CA"/>
        </w:rPr>
        <w:t>Charter</w:t>
      </w:r>
      <w:r w:rsidRPr="00837C3F">
        <w:rPr>
          <w:lang w:val="en-CA"/>
        </w:rPr>
        <w:t xml:space="preserve"> contribute to the preservation and enhancement of minority language education and culture while ensuring that the </w:t>
      </w:r>
      <w:r w:rsidRPr="00837C3F">
        <w:rPr>
          <w:u w:val="single"/>
          <w:lang w:val="en-CA"/>
        </w:rPr>
        <w:t>specific needs of the</w:t>
      </w:r>
      <w:r w:rsidRPr="00837C3F">
        <w:rPr>
          <w:lang w:val="en-CA"/>
        </w:rPr>
        <w:t xml:space="preserve"> minority </w:t>
      </w:r>
      <w:r w:rsidRPr="00837C3F">
        <w:rPr>
          <w:u w:val="single"/>
          <w:lang w:val="en-CA"/>
        </w:rPr>
        <w:t xml:space="preserve">language community </w:t>
      </w:r>
      <w:r w:rsidR="004826B9">
        <w:rPr>
          <w:u w:val="single"/>
          <w:lang w:val="en-CA"/>
        </w:rPr>
        <w:t>are</w:t>
      </w:r>
      <w:r w:rsidR="004826B9" w:rsidRPr="00837C3F">
        <w:rPr>
          <w:u w:val="single"/>
          <w:lang w:val="en-CA"/>
        </w:rPr>
        <w:t xml:space="preserve"> </w:t>
      </w:r>
      <w:r w:rsidRPr="00837C3F">
        <w:rPr>
          <w:u w:val="single"/>
          <w:lang w:val="en-CA"/>
        </w:rPr>
        <w:t xml:space="preserve">the </w:t>
      </w:r>
      <w:r w:rsidR="004826B9">
        <w:rPr>
          <w:u w:val="single"/>
          <w:lang w:val="en-CA"/>
        </w:rPr>
        <w:t>first</w:t>
      </w:r>
      <w:r w:rsidR="004826B9" w:rsidRPr="00837C3F">
        <w:rPr>
          <w:u w:val="single"/>
          <w:lang w:val="en-CA"/>
        </w:rPr>
        <w:t xml:space="preserve"> </w:t>
      </w:r>
      <w:r w:rsidRPr="00837C3F">
        <w:rPr>
          <w:u w:val="single"/>
          <w:lang w:val="en-CA"/>
        </w:rPr>
        <w:t xml:space="preserve">consideration in any </w:t>
      </w:r>
      <w:r w:rsidR="004826B9">
        <w:rPr>
          <w:u w:val="single"/>
          <w:lang w:val="en-CA"/>
        </w:rPr>
        <w:t xml:space="preserve">given </w:t>
      </w:r>
      <w:r w:rsidRPr="00837C3F">
        <w:rPr>
          <w:u w:val="single"/>
          <w:lang w:val="en-CA"/>
        </w:rPr>
        <w:t xml:space="preserve">decision affecting </w:t>
      </w:r>
      <w:r w:rsidR="004826B9">
        <w:rPr>
          <w:u w:val="single"/>
          <w:lang w:val="en-CA"/>
        </w:rPr>
        <w:t>language</w:t>
      </w:r>
      <w:r w:rsidR="004826B9" w:rsidRPr="00837C3F">
        <w:rPr>
          <w:lang w:val="en-CA"/>
        </w:rPr>
        <w:t xml:space="preserve"> </w:t>
      </w:r>
      <w:r w:rsidR="004826B9">
        <w:rPr>
          <w:lang w:val="en-CA"/>
        </w:rPr>
        <w:t xml:space="preserve">and </w:t>
      </w:r>
      <w:r w:rsidRPr="00837C3F">
        <w:rPr>
          <w:lang w:val="en-CA"/>
        </w:rPr>
        <w:t xml:space="preserve">cultural </w:t>
      </w:r>
      <w:r w:rsidR="004826B9">
        <w:rPr>
          <w:u w:val="single"/>
          <w:lang w:val="en-CA"/>
        </w:rPr>
        <w:t>concerns</w:t>
      </w:r>
      <w:r w:rsidRPr="00837C3F">
        <w:rPr>
          <w:lang w:val="en-CA"/>
        </w:rPr>
        <w:t>.</w:t>
      </w:r>
      <w:r>
        <w:rPr>
          <w:rStyle w:val="Appelnotedebasdep"/>
        </w:rPr>
        <w:footnoteReference w:id="187"/>
      </w:r>
    </w:p>
    <w:p w14:paraId="75F8B098" w14:textId="77777777" w:rsidR="003B1EC4" w:rsidRPr="00E202F1" w:rsidRDefault="003B1EC4" w:rsidP="003B1EC4">
      <w:pPr>
        <w:pStyle w:val="Paragrdouble"/>
        <w:numPr>
          <w:ilvl w:val="0"/>
          <w:numId w:val="0"/>
        </w:numPr>
        <w:spacing w:line="240" w:lineRule="auto"/>
        <w:ind w:left="720"/>
        <w:jc w:val="right"/>
        <w:rPr>
          <w:kern w:val="0"/>
          <w:szCs w:val="24"/>
        </w:rPr>
      </w:pPr>
      <w:r w:rsidRPr="00E202F1">
        <w:rPr>
          <w:kern w:val="0"/>
          <w:szCs w:val="24"/>
        </w:rPr>
        <w:t>[</w:t>
      </w:r>
      <w:proofErr w:type="spellStart"/>
      <w:r w:rsidRPr="00E202F1">
        <w:rPr>
          <w:kern w:val="0"/>
          <w:szCs w:val="24"/>
        </w:rPr>
        <w:t>Emphasis</w:t>
      </w:r>
      <w:proofErr w:type="spellEnd"/>
      <w:r w:rsidRPr="00E202F1">
        <w:rPr>
          <w:kern w:val="0"/>
          <w:szCs w:val="24"/>
        </w:rPr>
        <w:t xml:space="preserve"> </w:t>
      </w:r>
      <w:proofErr w:type="spellStart"/>
      <w:r w:rsidRPr="00E202F1">
        <w:rPr>
          <w:kern w:val="0"/>
          <w:szCs w:val="24"/>
        </w:rPr>
        <w:t>added</w:t>
      </w:r>
      <w:proofErr w:type="spellEnd"/>
      <w:r w:rsidRPr="00E202F1">
        <w:rPr>
          <w:kern w:val="0"/>
          <w:szCs w:val="24"/>
        </w:rPr>
        <w:t>.]</w:t>
      </w:r>
    </w:p>
    <w:p w14:paraId="609BACB4" w14:textId="4CBE007C" w:rsidR="003B1EC4" w:rsidRPr="00837C3F" w:rsidRDefault="003B1EC4" w:rsidP="003B1EC4">
      <w:pPr>
        <w:pStyle w:val="Paragrsimple"/>
        <w:rPr>
          <w:lang w:val="en-CA"/>
        </w:rPr>
      </w:pPr>
      <w:r w:rsidRPr="00837C3F">
        <w:rPr>
          <w:lang w:val="en-CA"/>
        </w:rPr>
        <w:t xml:space="preserve">Indeed, </w:t>
      </w:r>
      <w:r w:rsidR="004826B9">
        <w:rPr>
          <w:lang w:val="en-CA"/>
        </w:rPr>
        <w:t xml:space="preserve">on numerous occasions, </w:t>
      </w:r>
      <w:r w:rsidRPr="00837C3F">
        <w:rPr>
          <w:lang w:val="en-CA"/>
        </w:rPr>
        <w:t xml:space="preserve">the Supreme Court has </w:t>
      </w:r>
      <w:r w:rsidR="004826B9">
        <w:rPr>
          <w:lang w:val="en-CA"/>
        </w:rPr>
        <w:t xml:space="preserve">emphasized </w:t>
      </w:r>
      <w:r w:rsidRPr="00837C3F">
        <w:rPr>
          <w:lang w:val="en-CA"/>
        </w:rPr>
        <w:t xml:space="preserve">that decisions </w:t>
      </w:r>
      <w:r w:rsidR="004826B9">
        <w:rPr>
          <w:lang w:val="en-CA"/>
        </w:rPr>
        <w:t xml:space="preserve">that </w:t>
      </w:r>
      <w:r w:rsidRPr="00837C3F">
        <w:rPr>
          <w:lang w:val="en-CA"/>
        </w:rPr>
        <w:t>affect linguistic minorities must be made in their interest</w:t>
      </w:r>
      <w:r w:rsidR="004826B9">
        <w:rPr>
          <w:lang w:val="en-CA"/>
        </w:rPr>
        <w:t xml:space="preserve"> and </w:t>
      </w:r>
      <w:r w:rsidR="004826B9" w:rsidRPr="005352DE">
        <w:rPr>
          <w:u w:val="single"/>
          <w:lang w:val="en-CA"/>
        </w:rPr>
        <w:t>respond</w:t>
      </w:r>
      <w:r w:rsidR="004826B9">
        <w:rPr>
          <w:lang w:val="en-CA"/>
        </w:rPr>
        <w:t xml:space="preserve"> </w:t>
      </w:r>
      <w:r w:rsidRPr="00837C3F">
        <w:rPr>
          <w:lang w:val="en-CA"/>
        </w:rPr>
        <w:t>to their needs:</w:t>
      </w:r>
    </w:p>
    <w:p w14:paraId="4F3D6E66" w14:textId="258977DF" w:rsidR="003B1EC4" w:rsidRPr="00E202F1" w:rsidRDefault="00ED4E85" w:rsidP="003B1EC4">
      <w:pPr>
        <w:pStyle w:val="Citation"/>
        <w:numPr>
          <w:ilvl w:val="3"/>
          <w:numId w:val="11"/>
        </w:numPr>
        <w:ind w:left="851" w:hanging="425"/>
        <w:rPr>
          <w:lang w:val="en-CA" w:eastAsia="fr-CA"/>
        </w:rPr>
      </w:pPr>
      <w:r>
        <w:rPr>
          <w:lang w:val="en-CA" w:eastAsia="fr-CA"/>
        </w:rPr>
        <w:t>“</w:t>
      </w:r>
      <w:r w:rsidR="003B1EC4" w:rsidRPr="00E202F1">
        <w:rPr>
          <w:lang w:val="en-CA" w:eastAsia="fr-CA"/>
        </w:rPr>
        <w:t xml:space="preserve">These are particularly important in setting overall priorities and </w:t>
      </w:r>
      <w:r w:rsidR="003B1EC4" w:rsidRPr="005352DE">
        <w:rPr>
          <w:u w:val="single"/>
          <w:lang w:val="en-CA" w:eastAsia="fr-CA"/>
        </w:rPr>
        <w:t>responding</w:t>
      </w:r>
      <w:r w:rsidR="003B1EC4" w:rsidRPr="00E202F1">
        <w:rPr>
          <w:lang w:val="en-CA" w:eastAsia="fr-CA"/>
        </w:rPr>
        <w:t xml:space="preserve"> to the special educational needs of the minority.</w:t>
      </w:r>
    </w:p>
    <w:p w14:paraId="02C1264F" w14:textId="0E55CF1A" w:rsidR="003B1EC4" w:rsidRPr="00837C3F" w:rsidRDefault="003B1EC4" w:rsidP="003B1EC4">
      <w:pPr>
        <w:pStyle w:val="Citation"/>
        <w:rPr>
          <w:lang w:val="en-CA" w:eastAsia="fr-CA"/>
        </w:rPr>
      </w:pPr>
      <w:r w:rsidRPr="00E202F1">
        <w:rPr>
          <w:lang w:val="en-CA"/>
        </w:rPr>
        <w:lastRenderedPageBreak/>
        <w:t xml:space="preserve">Furthermore, as the historical context in which s. 23 was enacted suggests, minority language groups cannot always rely upon the majority to </w:t>
      </w:r>
      <w:r w:rsidRPr="00E202F1">
        <w:rPr>
          <w:u w:val="single"/>
          <w:lang w:val="en-CA"/>
        </w:rPr>
        <w:t>take account of all of their linguistic and cultural concerns</w:t>
      </w:r>
      <w:r w:rsidRPr="00E202F1">
        <w:rPr>
          <w:lang w:val="en-CA"/>
        </w:rPr>
        <w:t>.</w:t>
      </w:r>
      <w:r w:rsidRPr="00837C3F">
        <w:rPr>
          <w:lang w:val="en-CA"/>
        </w:rPr>
        <w:t xml:space="preserve"> </w:t>
      </w:r>
      <w:r w:rsidRPr="00E202F1">
        <w:rPr>
          <w:lang w:val="en-CA"/>
        </w:rPr>
        <w:t>Such neglect is not necessarily intentional: the majority cannot be expected to understand and appreciate all of the diverse ways in which educational practices may influence the language and culture of the minority.</w:t>
      </w:r>
      <w:r w:rsidR="00ED4E85">
        <w:rPr>
          <w:lang w:val="en-CA"/>
        </w:rPr>
        <w:t>”</w:t>
      </w:r>
      <w:r w:rsidRPr="00E202F1">
        <w:rPr>
          <w:rStyle w:val="Appelnotedebasdep"/>
        </w:rPr>
        <w:footnoteReference w:id="188"/>
      </w:r>
      <w:r w:rsidRPr="00837C3F">
        <w:rPr>
          <w:lang w:val="en-CA"/>
        </w:rPr>
        <w:t xml:space="preserve"> </w:t>
      </w:r>
    </w:p>
    <w:p w14:paraId="46E763B7" w14:textId="298E497F" w:rsidR="003B1EC4" w:rsidRDefault="00ED4E85" w:rsidP="003B1EC4">
      <w:pPr>
        <w:pStyle w:val="Citation"/>
        <w:numPr>
          <w:ilvl w:val="3"/>
          <w:numId w:val="11"/>
        </w:numPr>
        <w:ind w:left="851" w:hanging="425"/>
        <w:rPr>
          <w:lang w:val="en-CA"/>
        </w:rPr>
      </w:pPr>
      <w:r>
        <w:rPr>
          <w:lang w:val="en-CA"/>
        </w:rPr>
        <w:t>“</w:t>
      </w:r>
      <w:r w:rsidR="003B1EC4" w:rsidRPr="00837C3F">
        <w:rPr>
          <w:lang w:val="en-CA"/>
        </w:rPr>
        <w:t>43</w:t>
      </w:r>
      <w:r w:rsidR="003B1EC4" w:rsidRPr="00837C3F">
        <w:rPr>
          <w:lang w:val="en-CA"/>
        </w:rPr>
        <w:tab/>
      </w:r>
      <w:r w:rsidR="003B1EC4" w:rsidRPr="00E202F1">
        <w:rPr>
          <w:lang w:val="en-CA"/>
        </w:rPr>
        <w:t xml:space="preserve">... The principal role of the Minister is to </w:t>
      </w:r>
      <w:r w:rsidR="003B1EC4" w:rsidRPr="00E202F1">
        <w:rPr>
          <w:u w:val="single"/>
          <w:lang w:val="en-CA"/>
        </w:rPr>
        <w:t>develop institutional structures and specific regulations and policies to deal</w:t>
      </w:r>
      <w:r w:rsidR="003B1EC4" w:rsidRPr="00E202F1">
        <w:rPr>
          <w:lang w:val="en-CA"/>
        </w:rPr>
        <w:t xml:space="preserve"> with the unique blend of linguistic dynamics that has developed in the province (for example, see </w:t>
      </w:r>
      <w:r w:rsidR="003B1EC4" w:rsidRPr="005352DE">
        <w:rPr>
          <w:i/>
          <w:iCs/>
          <w:lang w:val="en-CA"/>
        </w:rPr>
        <w:t>Reference re Public Schools Act (Man.)</w:t>
      </w:r>
      <w:r w:rsidR="003B1EC4" w:rsidRPr="00E202F1">
        <w:rPr>
          <w:lang w:val="en-CA"/>
        </w:rPr>
        <w:t xml:space="preserve">, </w:t>
      </w:r>
      <w:r w:rsidR="003B1EC4" w:rsidRPr="005352DE">
        <w:rPr>
          <w:i/>
          <w:iCs/>
          <w:lang w:val="en-CA"/>
        </w:rPr>
        <w:t>supra</w:t>
      </w:r>
      <w:r w:rsidR="003B1EC4" w:rsidRPr="00E202F1">
        <w:rPr>
          <w:lang w:val="en-CA"/>
        </w:rPr>
        <w:t>, at p. 863).</w:t>
      </w:r>
    </w:p>
    <w:p w14:paraId="35E9341B" w14:textId="77777777" w:rsidR="003B1EC4" w:rsidRPr="00837C3F" w:rsidRDefault="003B1EC4" w:rsidP="003B1EC4">
      <w:pPr>
        <w:pStyle w:val="Citation"/>
        <w:rPr>
          <w:lang w:val="en-CA"/>
        </w:rPr>
      </w:pPr>
      <w:r w:rsidRPr="00837C3F">
        <w:rPr>
          <w:lang w:val="en-CA"/>
        </w:rPr>
        <w:t>49</w:t>
      </w:r>
      <w:r w:rsidRPr="00837C3F">
        <w:rPr>
          <w:lang w:val="en-CA"/>
        </w:rPr>
        <w:tab/>
        <w:t xml:space="preserve">What made sense to the minority language community and its Board did not make sense to the Minister because pedagogical needs were not understood in the same way. The fact that the </w:t>
      </w:r>
      <w:r w:rsidRPr="00837C3F">
        <w:rPr>
          <w:u w:val="single"/>
          <w:lang w:val="en-CA"/>
        </w:rPr>
        <w:t xml:space="preserve">pedagogical requirements </w:t>
      </w:r>
      <w:r w:rsidRPr="00837C3F">
        <w:rPr>
          <w:lang w:val="en-CA"/>
        </w:rPr>
        <w:t>of the minority</w:t>
      </w:r>
      <w:r w:rsidRPr="005352DE">
        <w:rPr>
          <w:lang w:val="en-CA"/>
        </w:rPr>
        <w:t xml:space="preserve"> </w:t>
      </w:r>
      <w:r w:rsidRPr="00837C3F">
        <w:rPr>
          <w:u w:val="single"/>
          <w:lang w:val="en-CA"/>
        </w:rPr>
        <w:t>need not be met</w:t>
      </w:r>
      <w:r w:rsidRPr="00837C3F">
        <w:rPr>
          <w:lang w:val="en-CA"/>
        </w:rPr>
        <w:t xml:space="preserve"> in an identical way to those of the majority did not appear to be a factor in the decision of the Minister.</w:t>
      </w:r>
    </w:p>
    <w:p w14:paraId="4E80CB5F" w14:textId="2857FDEA" w:rsidR="003B1EC4" w:rsidRPr="00837C3F" w:rsidRDefault="003B1EC4" w:rsidP="003B1EC4">
      <w:pPr>
        <w:pStyle w:val="Citation"/>
        <w:rPr>
          <w:lang w:val="en-CA"/>
        </w:rPr>
      </w:pPr>
      <w:r w:rsidRPr="00837C3F">
        <w:rPr>
          <w:lang w:val="en-CA"/>
        </w:rPr>
        <w:t>51</w:t>
      </w:r>
      <w:r w:rsidRPr="00837C3F">
        <w:rPr>
          <w:lang w:val="en-CA"/>
        </w:rPr>
        <w:tab/>
        <w:t xml:space="preserve">The question is also, whose priorities? Obviously, it has to be the priorities of the minority community because the determination of such priorities lies at the core of the management and control conferred on the minority language rights holders and their legitimate representatives by s. </w:t>
      </w:r>
      <w:r>
        <w:rPr>
          <w:lang w:val="en-CA"/>
        </w:rPr>
        <w:t>23.</w:t>
      </w:r>
      <w:r w:rsidRPr="00837C3F">
        <w:rPr>
          <w:lang w:val="en-CA"/>
        </w:rPr>
        <w:t>  Of course, these priorities must be determined and exercised in light of the role of the Minister.</w:t>
      </w:r>
    </w:p>
    <w:p w14:paraId="3E06D401" w14:textId="38A73689" w:rsidR="003B1EC4" w:rsidRPr="00837C3F" w:rsidRDefault="003B1EC4" w:rsidP="003B1EC4">
      <w:pPr>
        <w:pStyle w:val="Citation"/>
        <w:rPr>
          <w:lang w:val="en-CA" w:eastAsia="fr-CA"/>
        </w:rPr>
      </w:pPr>
      <w:r w:rsidRPr="00837C3F">
        <w:rPr>
          <w:lang w:val="en-CA"/>
        </w:rPr>
        <w:t>53</w:t>
      </w:r>
      <w:r w:rsidRPr="00837C3F">
        <w:rPr>
          <w:lang w:val="en-CA"/>
        </w:rPr>
        <w:tab/>
      </w:r>
      <w:r w:rsidRPr="00E202F1">
        <w:rPr>
          <w:lang w:val="en-CA" w:eastAsia="fr-CA"/>
        </w:rPr>
        <w:t xml:space="preserve">School size, facilities, transportation and assembly of students can be regulated, but all have an effect on language and culture and must be regulated </w:t>
      </w:r>
      <w:r w:rsidRPr="00E202F1">
        <w:rPr>
          <w:u w:val="single"/>
          <w:lang w:val="en-CA" w:eastAsia="fr-CA"/>
        </w:rPr>
        <w:t>with regard to the specific circumstances of the minority</w:t>
      </w:r>
      <w:r w:rsidRPr="00E202F1">
        <w:rPr>
          <w:lang w:val="en-CA" w:eastAsia="fr-CA"/>
        </w:rPr>
        <w:t xml:space="preserve"> and the purposes of s.</w:t>
      </w:r>
      <w:r w:rsidR="006D12BC">
        <w:rPr>
          <w:lang w:val="en-CA" w:eastAsia="fr-CA"/>
        </w:rPr>
        <w:t> </w:t>
      </w:r>
      <w:r w:rsidRPr="00837C3F">
        <w:rPr>
          <w:lang w:val="en-CA" w:eastAsia="fr-CA"/>
        </w:rPr>
        <w:t xml:space="preserve"> 23.</w:t>
      </w:r>
      <w:r w:rsidR="00ED4E85">
        <w:rPr>
          <w:lang w:val="en-CA" w:eastAsia="fr-CA"/>
        </w:rPr>
        <w:t>”</w:t>
      </w:r>
      <w:r w:rsidRPr="00837C3F">
        <w:rPr>
          <w:rStyle w:val="Appelnotedebasdep"/>
          <w:lang w:val="en-CA" w:eastAsia="fr-CA"/>
        </w:rPr>
        <w:t xml:space="preserve"> </w:t>
      </w:r>
      <w:r>
        <w:rPr>
          <w:rStyle w:val="Appelnotedebasdep"/>
          <w:lang w:eastAsia="fr-CA"/>
        </w:rPr>
        <w:footnoteReference w:id="189"/>
      </w:r>
    </w:p>
    <w:p w14:paraId="26FFF1B2" w14:textId="1A192B85" w:rsidR="003B1EC4" w:rsidRPr="00BB1710" w:rsidRDefault="00ED4E85" w:rsidP="003B1EC4">
      <w:pPr>
        <w:pStyle w:val="Citation"/>
        <w:numPr>
          <w:ilvl w:val="3"/>
          <w:numId w:val="11"/>
        </w:numPr>
        <w:ind w:left="851" w:hanging="425"/>
        <w:rPr>
          <w:lang w:val="en-CA"/>
        </w:rPr>
      </w:pPr>
      <w:r>
        <w:rPr>
          <w:lang w:val="en-CA"/>
        </w:rPr>
        <w:t>“</w:t>
      </w:r>
      <w:r w:rsidR="003B1EC4" w:rsidRPr="00BB1710">
        <w:rPr>
          <w:lang w:val="en-CA"/>
        </w:rPr>
        <w:t xml:space="preserve">I do wish to emphasize, however, that in implementing such a scheme of minority language education, the province must expressly address a number of issues in order to satisfy its constitutional obligations and remain true to the purposive, remedial nature of s. 23. A proper implementation will </w:t>
      </w:r>
      <w:r w:rsidR="003B1EC4" w:rsidRPr="00BB1710">
        <w:rPr>
          <w:u w:val="single"/>
          <w:lang w:val="en-CA"/>
        </w:rPr>
        <w:t>require the fullest understanding of the needs of the French-language minority</w:t>
      </w:r>
      <w:r w:rsidR="003B1EC4" w:rsidRPr="00BB1710">
        <w:rPr>
          <w:lang w:val="en-CA"/>
        </w:rPr>
        <w:t xml:space="preserve">.  </w:t>
      </w:r>
    </w:p>
    <w:p w14:paraId="43E81082" w14:textId="77777777" w:rsidR="003B1EC4" w:rsidRPr="00BB1710" w:rsidRDefault="003B1EC4" w:rsidP="003B1EC4">
      <w:pPr>
        <w:pStyle w:val="Citation"/>
        <w:rPr>
          <w:lang w:val="en-CA"/>
        </w:rPr>
      </w:pPr>
      <w:r w:rsidRPr="00BB1710">
        <w:rPr>
          <w:lang w:val="en-CA"/>
        </w:rPr>
        <w:t xml:space="preserve">The participation of minority language parents </w:t>
      </w:r>
      <w:r w:rsidRPr="00BB1710">
        <w:rPr>
          <w:u w:val="single"/>
          <w:lang w:val="en-CA"/>
        </w:rPr>
        <w:t>or their representatives in the assessment of educational needs</w:t>
      </w:r>
      <w:r w:rsidRPr="00BB1710">
        <w:rPr>
          <w:lang w:val="en-CA"/>
        </w:rPr>
        <w:t xml:space="preserve"> and the setting up of structures and services which best respond to them is most important.</w:t>
      </w:r>
    </w:p>
    <w:p w14:paraId="38CE12B5" w14:textId="7E01F06D" w:rsidR="003B1EC4" w:rsidRPr="00BB1710" w:rsidRDefault="003B1EC4" w:rsidP="003B1EC4">
      <w:pPr>
        <w:pStyle w:val="Citation"/>
        <w:rPr>
          <w:lang w:val="en-CA"/>
        </w:rPr>
      </w:pPr>
      <w:r w:rsidRPr="00BB1710">
        <w:rPr>
          <w:lang w:val="en-CA"/>
        </w:rPr>
        <w:t xml:space="preserve">Arrangements and structures which are prejudicial, hamper, or </w:t>
      </w:r>
      <w:r w:rsidRPr="00BB1710">
        <w:rPr>
          <w:u w:val="single"/>
          <w:lang w:val="en-CA"/>
        </w:rPr>
        <w:t>simply are not responsive to the needs of the minority</w:t>
      </w:r>
      <w:r w:rsidRPr="00BB1710">
        <w:rPr>
          <w:lang w:val="en-CA"/>
        </w:rPr>
        <w:t xml:space="preserve">, are to be avoided and measures which </w:t>
      </w:r>
      <w:r w:rsidRPr="00BB1710">
        <w:rPr>
          <w:lang w:val="en-CA"/>
        </w:rPr>
        <w:lastRenderedPageBreak/>
        <w:t>encourage the development and use of minority language facilities should be considered and implemented.</w:t>
      </w:r>
      <w:r w:rsidR="00ED4E85">
        <w:rPr>
          <w:lang w:val="en-CA"/>
        </w:rPr>
        <w:t>”</w:t>
      </w:r>
      <w:r>
        <w:rPr>
          <w:rStyle w:val="Appelnotedebasdep"/>
        </w:rPr>
        <w:footnoteReference w:id="190"/>
      </w:r>
    </w:p>
    <w:p w14:paraId="54B08E88" w14:textId="32E8E55D" w:rsidR="003B1EC4" w:rsidRPr="00BB1710" w:rsidRDefault="003B1EC4" w:rsidP="003B1EC4">
      <w:pPr>
        <w:pStyle w:val="Citation"/>
        <w:numPr>
          <w:ilvl w:val="3"/>
          <w:numId w:val="11"/>
        </w:numPr>
        <w:ind w:left="851" w:hanging="425"/>
        <w:rPr>
          <w:lang w:val="en-CA"/>
        </w:rPr>
      </w:pPr>
      <w:r>
        <w:rPr>
          <w:lang w:val="en-CA"/>
        </w:rPr>
        <w:t>[</w:t>
      </w:r>
      <w:r w:rsidRPr="007C3BB3">
        <w:rPr>
          <w:smallCaps/>
          <w:lang w:val="en-CA"/>
        </w:rPr>
        <w:t>translation</w:t>
      </w:r>
      <w:r>
        <w:rPr>
          <w:lang w:val="en-CA"/>
        </w:rPr>
        <w:t xml:space="preserve">] </w:t>
      </w:r>
      <w:r w:rsidR="00ED4E85">
        <w:rPr>
          <w:lang w:val="en-CA"/>
        </w:rPr>
        <w:t>“</w:t>
      </w:r>
      <w:r w:rsidRPr="00BB1710">
        <w:rPr>
          <w:lang w:val="en-CA"/>
        </w:rPr>
        <w:t>[23]</w:t>
      </w:r>
      <w:r w:rsidR="00ED4E85">
        <w:rPr>
          <w:lang w:val="en-CA"/>
        </w:rPr>
        <w:t xml:space="preserve"> O</w:t>
      </w:r>
      <w:r w:rsidRPr="00E202F1">
        <w:rPr>
          <w:lang w:val="en-CA"/>
        </w:rPr>
        <w:t xml:space="preserve">f course, the exclusive control does not preclude the application of provincial laws and regulations governing the content and the qualitative standards of educational programs, but the Supreme Court specified that these must not interfere “with the linguistic and cultural concerns of the minority”: </w:t>
      </w:r>
      <w:r w:rsidRPr="005352DE">
        <w:rPr>
          <w:i/>
          <w:iCs/>
          <w:lang w:val="en-CA"/>
        </w:rPr>
        <w:t>Mahe</w:t>
      </w:r>
      <w:r w:rsidRPr="00E202F1">
        <w:rPr>
          <w:lang w:val="en-CA"/>
        </w:rPr>
        <w:t>, p. 380.</w:t>
      </w:r>
      <w:r w:rsidRPr="00BB1710">
        <w:rPr>
          <w:lang w:val="en-CA"/>
        </w:rPr>
        <w:t xml:space="preserve"> </w:t>
      </w:r>
      <w:r w:rsidRPr="00E202F1">
        <w:rPr>
          <w:lang w:val="en-CA"/>
        </w:rPr>
        <w:t>It provided a good summary of the limits imposed by s.</w:t>
      </w:r>
      <w:r w:rsidR="006D12BC">
        <w:rPr>
          <w:lang w:val="en-CA"/>
        </w:rPr>
        <w:t> </w:t>
      </w:r>
      <w:r w:rsidRPr="00E202F1">
        <w:rPr>
          <w:lang w:val="en-CA"/>
        </w:rPr>
        <w:t xml:space="preserve">23 on legislative discretion in </w:t>
      </w:r>
      <w:r w:rsidRPr="00E202F1">
        <w:rPr>
          <w:i/>
          <w:lang w:val="en-CA"/>
        </w:rPr>
        <w:t>Arsenault-Cameron v. Prince Edward Island</w:t>
      </w:r>
      <w:r w:rsidRPr="00E202F1">
        <w:rPr>
          <w:lang w:val="en-CA"/>
        </w:rPr>
        <w:t xml:space="preserve">, 2000 SCC 1, [2000] 1 S.C.R. 3, para. </w:t>
      </w:r>
      <w:r w:rsidRPr="00BB1710">
        <w:rPr>
          <w:lang w:val="en-CA"/>
        </w:rPr>
        <w:t xml:space="preserve"> </w:t>
      </w:r>
      <w:r>
        <w:rPr>
          <w:rStyle w:val="Hyperlien"/>
          <w:rFonts w:cs="Arial"/>
          <w:color w:val="auto"/>
          <w:u w:val="none"/>
          <w:lang w:val="en-CA"/>
        </w:rPr>
        <w:t>53:</w:t>
      </w:r>
    </w:p>
    <w:p w14:paraId="1458DD03" w14:textId="11F1FB80" w:rsidR="003B1EC4" w:rsidRPr="00BB1710" w:rsidRDefault="003B1EC4" w:rsidP="003B1EC4">
      <w:pPr>
        <w:pStyle w:val="Citation"/>
        <w:rPr>
          <w:lang w:val="en-CA"/>
        </w:rPr>
      </w:pPr>
      <w:r w:rsidRPr="00E202F1">
        <w:rPr>
          <w:lang w:val="en-CA"/>
        </w:rPr>
        <w:t>The province has a legitimate interest in the content and qualitative standards of educational programs for the official language communities and it can impose appropriate programs in so far as they do not interfere with the legitimate linguistic and cultural concerns of the minority.</w:t>
      </w:r>
      <w:r w:rsidRPr="00BB1710">
        <w:rPr>
          <w:lang w:val="en-CA"/>
        </w:rPr>
        <w:t> </w:t>
      </w:r>
      <w:r w:rsidRPr="00E202F1">
        <w:rPr>
          <w:lang w:val="en-CA"/>
        </w:rPr>
        <w:t xml:space="preserve">School size, facilities, transportation and assembly of students can be regulated, but all have an effect on language and culture and must be regulated </w:t>
      </w:r>
      <w:r w:rsidRPr="00E202F1">
        <w:rPr>
          <w:u w:val="single"/>
          <w:lang w:val="en-CA"/>
        </w:rPr>
        <w:t>with regard to the specific circumstances of the minority</w:t>
      </w:r>
      <w:r w:rsidRPr="00E202F1">
        <w:rPr>
          <w:lang w:val="en-CA"/>
        </w:rPr>
        <w:t xml:space="preserve"> and the purposes of s. </w:t>
      </w:r>
      <w:r w:rsidRPr="00BB1710">
        <w:rPr>
          <w:lang w:val="en-CA"/>
        </w:rPr>
        <w:t>23.</w:t>
      </w:r>
      <w:r w:rsidR="00ED4E85">
        <w:rPr>
          <w:lang w:val="en-CA"/>
        </w:rPr>
        <w:t>”</w:t>
      </w:r>
      <w:r>
        <w:rPr>
          <w:rStyle w:val="Appelnotedebasdep"/>
        </w:rPr>
        <w:footnoteReference w:id="191"/>
      </w:r>
    </w:p>
    <w:p w14:paraId="30237B41" w14:textId="77777777" w:rsidR="003B1EC4" w:rsidRPr="00E202F1" w:rsidRDefault="003B1EC4" w:rsidP="003B1EC4">
      <w:pPr>
        <w:pStyle w:val="Citation"/>
        <w:ind w:left="2193"/>
        <w:jc w:val="right"/>
        <w:rPr>
          <w:sz w:val="24"/>
          <w:szCs w:val="24"/>
          <w:lang w:val="en-CA"/>
        </w:rPr>
      </w:pPr>
      <w:r w:rsidRPr="00E202F1">
        <w:rPr>
          <w:sz w:val="24"/>
          <w:szCs w:val="24"/>
          <w:lang w:val="en-CA"/>
        </w:rPr>
        <w:t>[Emphasis added.]</w:t>
      </w:r>
    </w:p>
    <w:p w14:paraId="5C3C4B2C" w14:textId="2C6FBD5A" w:rsidR="003B1EC4" w:rsidRPr="000375DF" w:rsidRDefault="003B1EC4" w:rsidP="003B1EC4">
      <w:pPr>
        <w:pStyle w:val="Paragrsimple"/>
        <w:rPr>
          <w:lang w:val="en-CA"/>
        </w:rPr>
      </w:pPr>
      <w:r w:rsidRPr="000375DF">
        <w:rPr>
          <w:lang w:val="en-CA"/>
        </w:rPr>
        <w:t xml:space="preserve">It appears from these </w:t>
      </w:r>
      <w:r w:rsidR="000B2865">
        <w:rPr>
          <w:lang w:val="en-CA"/>
        </w:rPr>
        <w:t>quotations</w:t>
      </w:r>
      <w:r w:rsidR="000B2865" w:rsidRPr="000375DF">
        <w:rPr>
          <w:lang w:val="en-CA"/>
        </w:rPr>
        <w:t xml:space="preserve"> </w:t>
      </w:r>
      <w:r w:rsidRPr="000375DF">
        <w:rPr>
          <w:lang w:val="en-CA"/>
        </w:rPr>
        <w:t xml:space="preserve">that governments must not only </w:t>
      </w:r>
      <w:r w:rsidR="00324A7E">
        <w:rPr>
          <w:lang w:val="en-CA"/>
        </w:rPr>
        <w:t>make efforts to identify</w:t>
      </w:r>
      <w:r w:rsidRPr="000375DF">
        <w:rPr>
          <w:lang w:val="en-CA"/>
        </w:rPr>
        <w:t xml:space="preserve"> the needs and concerns of linguistic minorities, but also take them into account when adopting measures and respond to the expectations of the minority. </w:t>
      </w:r>
    </w:p>
    <w:p w14:paraId="101CB9AB" w14:textId="47BB9660" w:rsidR="003B1EC4" w:rsidRPr="000375DF" w:rsidRDefault="003B1EC4" w:rsidP="003B1EC4">
      <w:pPr>
        <w:pStyle w:val="Paragrsimple"/>
        <w:rPr>
          <w:lang w:val="en-CA"/>
        </w:rPr>
      </w:pPr>
      <w:r w:rsidRPr="000375DF">
        <w:rPr>
          <w:lang w:val="en-CA"/>
        </w:rPr>
        <w:t xml:space="preserve">By acting without trying to </w:t>
      </w:r>
      <w:r w:rsidR="00175DBE">
        <w:rPr>
          <w:lang w:val="en-CA"/>
        </w:rPr>
        <w:t>discover</w:t>
      </w:r>
      <w:r w:rsidRPr="000375DF">
        <w:rPr>
          <w:lang w:val="en-CA"/>
        </w:rPr>
        <w:t xml:space="preserve"> what these needs are, and without taking them into account when </w:t>
      </w:r>
      <w:r>
        <w:rPr>
          <w:lang w:val="en-CA"/>
        </w:rPr>
        <w:t>informed</w:t>
      </w:r>
      <w:r w:rsidRPr="000375DF">
        <w:rPr>
          <w:lang w:val="en-CA"/>
        </w:rPr>
        <w:t xml:space="preserve"> of them, the government </w:t>
      </w:r>
      <w:r>
        <w:rPr>
          <w:lang w:val="en-CA"/>
        </w:rPr>
        <w:t>runs the risk of</w:t>
      </w:r>
      <w:r w:rsidRPr="000375DF">
        <w:rPr>
          <w:lang w:val="en-CA"/>
        </w:rPr>
        <w:t xml:space="preserve"> </w:t>
      </w:r>
      <w:r w:rsidR="00ED4E85">
        <w:rPr>
          <w:lang w:val="en-CA"/>
        </w:rPr>
        <w:t>seeing</w:t>
      </w:r>
      <w:r w:rsidR="00175DBE">
        <w:rPr>
          <w:lang w:val="en-CA"/>
        </w:rPr>
        <w:t xml:space="preserve"> </w:t>
      </w:r>
      <w:r w:rsidRPr="000375DF">
        <w:rPr>
          <w:lang w:val="en-CA"/>
        </w:rPr>
        <w:t xml:space="preserve">its measures invalidated. </w:t>
      </w:r>
    </w:p>
    <w:p w14:paraId="390B9111" w14:textId="1647ADC7" w:rsidR="003B1EC4" w:rsidRPr="000375DF" w:rsidRDefault="003B1EC4" w:rsidP="003B1EC4">
      <w:pPr>
        <w:pStyle w:val="Paragrsimple"/>
        <w:rPr>
          <w:lang w:val="en-CA"/>
        </w:rPr>
      </w:pPr>
      <w:r w:rsidRPr="000375DF">
        <w:rPr>
          <w:lang w:val="en-CA"/>
        </w:rPr>
        <w:t>The government</w:t>
      </w:r>
      <w:r w:rsidR="00175DBE">
        <w:rPr>
          <w:lang w:val="en-CA"/>
        </w:rPr>
        <w:t>’</w:t>
      </w:r>
      <w:r w:rsidRPr="000375DF">
        <w:rPr>
          <w:lang w:val="en-CA"/>
        </w:rPr>
        <w:t xml:space="preserve">s </w:t>
      </w:r>
      <w:r w:rsidR="00ED4E85">
        <w:rPr>
          <w:lang w:val="en-CA"/>
        </w:rPr>
        <w:t xml:space="preserve">obligation </w:t>
      </w:r>
      <w:r>
        <w:rPr>
          <w:lang w:val="en-CA"/>
        </w:rPr>
        <w:t>goes</w:t>
      </w:r>
      <w:r w:rsidRPr="000375DF">
        <w:rPr>
          <w:lang w:val="en-CA"/>
        </w:rPr>
        <w:t xml:space="preserve"> </w:t>
      </w:r>
      <w:r w:rsidR="00175DBE">
        <w:rPr>
          <w:lang w:val="en-CA"/>
        </w:rPr>
        <w:t xml:space="preserve">beyond </w:t>
      </w:r>
      <w:r w:rsidRPr="000375DF">
        <w:rPr>
          <w:lang w:val="en-CA"/>
        </w:rPr>
        <w:t xml:space="preserve">the </w:t>
      </w:r>
      <w:r w:rsidR="00ED4E85">
        <w:rPr>
          <w:lang w:val="en-CA"/>
        </w:rPr>
        <w:t xml:space="preserve">duty </w:t>
      </w:r>
      <w:r w:rsidRPr="000375DF">
        <w:rPr>
          <w:lang w:val="en-CA"/>
        </w:rPr>
        <w:t>to consult, which we will examine.</w:t>
      </w:r>
      <w:r w:rsidR="00175DBE">
        <w:rPr>
          <w:lang w:val="en-CA"/>
        </w:rPr>
        <w:t xml:space="preserve"> T</w:t>
      </w:r>
      <w:r w:rsidRPr="00E202F1">
        <w:rPr>
          <w:lang w:val="en-CA"/>
        </w:rPr>
        <w:t xml:space="preserve">he obligation to consult does not </w:t>
      </w:r>
      <w:r w:rsidR="00175DBE">
        <w:rPr>
          <w:lang w:val="en-CA"/>
        </w:rPr>
        <w:t>produce</w:t>
      </w:r>
      <w:r w:rsidR="00175DBE" w:rsidRPr="00E202F1">
        <w:rPr>
          <w:lang w:val="en-CA"/>
        </w:rPr>
        <w:t xml:space="preserve"> </w:t>
      </w:r>
      <w:r w:rsidRPr="00E202F1">
        <w:rPr>
          <w:lang w:val="en-CA"/>
        </w:rPr>
        <w:t>a veto right for the consulted party.</w:t>
      </w:r>
      <w:r w:rsidRPr="00E202F1">
        <w:rPr>
          <w:rStyle w:val="Appelnotedebasdep"/>
          <w:szCs w:val="24"/>
        </w:rPr>
        <w:footnoteReference w:id="192"/>
      </w:r>
      <w:r w:rsidRPr="000375DF">
        <w:rPr>
          <w:lang w:val="en-CA"/>
        </w:rPr>
        <w:t xml:space="preserve"> </w:t>
      </w:r>
      <w:r w:rsidR="00175DBE">
        <w:rPr>
          <w:lang w:val="en-CA"/>
        </w:rPr>
        <w:t xml:space="preserve">In the case of </w:t>
      </w:r>
      <w:r w:rsidRPr="000375DF">
        <w:rPr>
          <w:lang w:val="en-CA"/>
        </w:rPr>
        <w:t xml:space="preserve">section 23 rights, the measures </w:t>
      </w:r>
      <w:r w:rsidRPr="000375DF">
        <w:rPr>
          <w:u w:val="single"/>
          <w:lang w:val="en-CA"/>
        </w:rPr>
        <w:t>must</w:t>
      </w:r>
      <w:r w:rsidRPr="000375DF">
        <w:rPr>
          <w:lang w:val="en-CA"/>
        </w:rPr>
        <w:t xml:space="preserve"> respond to the needs of the minority. Consultation is not necessarily </w:t>
      </w:r>
      <w:r w:rsidR="00175DBE">
        <w:rPr>
          <w:lang w:val="en-CA"/>
        </w:rPr>
        <w:t>how those needs must be identified</w:t>
      </w:r>
      <w:r w:rsidRPr="000375DF">
        <w:rPr>
          <w:lang w:val="en-CA"/>
        </w:rPr>
        <w:t xml:space="preserve">, but </w:t>
      </w:r>
      <w:r w:rsidR="00175DBE">
        <w:rPr>
          <w:lang w:val="en-CA"/>
        </w:rPr>
        <w:t xml:space="preserve">it is undoubtedly </w:t>
      </w:r>
      <w:r w:rsidRPr="000375DF">
        <w:rPr>
          <w:lang w:val="en-CA"/>
        </w:rPr>
        <w:t xml:space="preserve">an effective way of doing so. </w:t>
      </w:r>
    </w:p>
    <w:p w14:paraId="0BC8F8A5" w14:textId="4ADFA8A8" w:rsidR="003B1EC4" w:rsidRPr="000375DF" w:rsidRDefault="003B1EC4" w:rsidP="003B1EC4">
      <w:pPr>
        <w:pStyle w:val="Paragrsimple"/>
        <w:rPr>
          <w:lang w:val="en-CA"/>
        </w:rPr>
      </w:pPr>
      <w:r w:rsidRPr="000375DF">
        <w:rPr>
          <w:lang w:val="en-CA"/>
        </w:rPr>
        <w:t xml:space="preserve">The </w:t>
      </w:r>
      <w:r w:rsidR="00A71B8F">
        <w:rPr>
          <w:lang w:val="en-CA"/>
        </w:rPr>
        <w:t xml:space="preserve">record shows </w:t>
      </w:r>
      <w:r w:rsidRPr="000375DF">
        <w:rPr>
          <w:lang w:val="en-CA"/>
        </w:rPr>
        <w:t xml:space="preserve"> that the Quebec legislator did not take </w:t>
      </w:r>
      <w:r w:rsidR="00A71B8F">
        <w:rPr>
          <w:lang w:val="en-CA"/>
        </w:rPr>
        <w:t xml:space="preserve">sufficient </w:t>
      </w:r>
      <w:r w:rsidRPr="000375DF">
        <w:rPr>
          <w:lang w:val="en-CA"/>
        </w:rPr>
        <w:t xml:space="preserve"> account </w:t>
      </w:r>
      <w:r w:rsidR="00A71B8F">
        <w:rPr>
          <w:lang w:val="en-CA"/>
        </w:rPr>
        <w:t xml:space="preserve">of </w:t>
      </w:r>
      <w:r w:rsidRPr="000375DF">
        <w:rPr>
          <w:lang w:val="en-CA"/>
        </w:rPr>
        <w:t>the needs, demands</w:t>
      </w:r>
      <w:r>
        <w:rPr>
          <w:lang w:val="en-CA"/>
        </w:rPr>
        <w:t>,</w:t>
      </w:r>
      <w:r w:rsidRPr="000375DF">
        <w:rPr>
          <w:lang w:val="en-CA"/>
        </w:rPr>
        <w:t xml:space="preserve"> </w:t>
      </w:r>
      <w:r w:rsidR="00A71B8F">
        <w:rPr>
          <w:lang w:val="en-CA"/>
        </w:rPr>
        <w:t xml:space="preserve">and </w:t>
      </w:r>
      <w:r w:rsidRPr="000375DF">
        <w:rPr>
          <w:lang w:val="en-CA"/>
        </w:rPr>
        <w:t>concerns of the English-language minority and its representatives. The evidence establishes</w:t>
      </w:r>
      <w:r w:rsidR="0097521C">
        <w:rPr>
          <w:lang w:val="en-CA"/>
        </w:rPr>
        <w:t xml:space="preserve"> instead</w:t>
      </w:r>
      <w:r w:rsidRPr="000375DF">
        <w:rPr>
          <w:lang w:val="en-CA"/>
        </w:rPr>
        <w:t xml:space="preserve"> that it </w:t>
      </w:r>
      <w:r w:rsidR="00A71B8F">
        <w:rPr>
          <w:lang w:val="en-CA"/>
        </w:rPr>
        <w:t xml:space="preserve">made no </w:t>
      </w:r>
      <w:r w:rsidRPr="000375DF">
        <w:rPr>
          <w:lang w:val="en-CA"/>
        </w:rPr>
        <w:t xml:space="preserve">attempt to identify what </w:t>
      </w:r>
      <w:r w:rsidR="0097521C">
        <w:rPr>
          <w:lang w:val="en-CA"/>
        </w:rPr>
        <w:t xml:space="preserve">those </w:t>
      </w:r>
      <w:r w:rsidRPr="000375DF">
        <w:rPr>
          <w:lang w:val="en-CA"/>
        </w:rPr>
        <w:t xml:space="preserve">needs might be, did not seriously </w:t>
      </w:r>
      <w:r>
        <w:rPr>
          <w:lang w:val="en-CA"/>
        </w:rPr>
        <w:t>seek</w:t>
      </w:r>
      <w:r w:rsidRPr="000375DF">
        <w:rPr>
          <w:lang w:val="en-CA"/>
        </w:rPr>
        <w:t xml:space="preserve"> </w:t>
      </w:r>
      <w:r w:rsidR="0097521C">
        <w:rPr>
          <w:lang w:val="en-CA"/>
        </w:rPr>
        <w:t xml:space="preserve">out </w:t>
      </w:r>
      <w:r>
        <w:rPr>
          <w:lang w:val="en-CA"/>
        </w:rPr>
        <w:t>the</w:t>
      </w:r>
      <w:r w:rsidRPr="000375DF">
        <w:rPr>
          <w:lang w:val="en-CA"/>
        </w:rPr>
        <w:t xml:space="preserve"> opinion</w:t>
      </w:r>
      <w:r>
        <w:rPr>
          <w:lang w:val="en-CA"/>
        </w:rPr>
        <w:t xml:space="preserve"> of minority representatives</w:t>
      </w:r>
      <w:r w:rsidRPr="000375DF">
        <w:rPr>
          <w:lang w:val="en-CA"/>
        </w:rPr>
        <w:t>, did not take</w:t>
      </w:r>
      <w:r>
        <w:rPr>
          <w:lang w:val="en-CA"/>
        </w:rPr>
        <w:t xml:space="preserve"> </w:t>
      </w:r>
      <w:r w:rsidR="0097521C">
        <w:rPr>
          <w:lang w:val="en-CA"/>
        </w:rPr>
        <w:lastRenderedPageBreak/>
        <w:t xml:space="preserve">those </w:t>
      </w:r>
      <w:r>
        <w:rPr>
          <w:lang w:val="en-CA"/>
        </w:rPr>
        <w:t>opinions</w:t>
      </w:r>
      <w:r w:rsidRPr="000375DF">
        <w:rPr>
          <w:lang w:val="en-CA"/>
        </w:rPr>
        <w:t xml:space="preserve"> into account when </w:t>
      </w:r>
      <w:r>
        <w:rPr>
          <w:lang w:val="en-CA"/>
        </w:rPr>
        <w:t>they were given</w:t>
      </w:r>
      <w:r w:rsidRPr="000375DF">
        <w:rPr>
          <w:lang w:val="en-CA"/>
        </w:rPr>
        <w:t xml:space="preserve">, and considerably limited the possibilities of asserting them. </w:t>
      </w:r>
    </w:p>
    <w:p w14:paraId="37F77FA6" w14:textId="77777777" w:rsidR="003B1EC4" w:rsidRPr="00E202F1" w:rsidRDefault="003B1EC4" w:rsidP="003B1EC4">
      <w:pPr>
        <w:pStyle w:val="Paragrdouble"/>
        <w:spacing w:line="240" w:lineRule="auto"/>
        <w:rPr>
          <w:szCs w:val="24"/>
        </w:rPr>
      </w:pPr>
      <w:r w:rsidRPr="00E202F1">
        <w:rPr>
          <w:szCs w:val="24"/>
        </w:rPr>
        <w:t xml:space="preserve">Let us see. </w:t>
      </w:r>
    </w:p>
    <w:p w14:paraId="2CE8D581" w14:textId="155C9200" w:rsidR="003B1EC4" w:rsidRPr="0053204C" w:rsidRDefault="003B1EC4" w:rsidP="003B1EC4">
      <w:pPr>
        <w:pStyle w:val="Paragrdouble"/>
        <w:spacing w:line="240" w:lineRule="auto"/>
        <w:rPr>
          <w:szCs w:val="24"/>
          <w:lang w:val="en-CA"/>
        </w:rPr>
      </w:pPr>
      <w:r w:rsidRPr="00E26C7E">
        <w:rPr>
          <w:szCs w:val="24"/>
          <w:lang w:val="en-CA"/>
        </w:rPr>
        <w:t>The government</w:t>
      </w:r>
      <w:r>
        <w:rPr>
          <w:szCs w:val="24"/>
          <w:lang w:val="en-CA"/>
        </w:rPr>
        <w:t>’s</w:t>
      </w:r>
      <w:r w:rsidRPr="00E26C7E">
        <w:rPr>
          <w:szCs w:val="24"/>
          <w:lang w:val="en-CA"/>
        </w:rPr>
        <w:t xml:space="preserve"> initial project, which corresponded </w:t>
      </w:r>
      <w:r w:rsidR="00F52361">
        <w:rPr>
          <w:szCs w:val="24"/>
          <w:lang w:val="en-CA"/>
        </w:rPr>
        <w:t>to</w:t>
      </w:r>
      <w:r w:rsidR="00F52361" w:rsidRPr="00E26C7E">
        <w:rPr>
          <w:szCs w:val="24"/>
          <w:lang w:val="en-CA"/>
        </w:rPr>
        <w:t xml:space="preserve"> </w:t>
      </w:r>
      <w:r w:rsidRPr="00E26C7E">
        <w:rPr>
          <w:szCs w:val="24"/>
          <w:lang w:val="en-CA"/>
        </w:rPr>
        <w:t xml:space="preserve">the Coalition Avenir Québec’s </w:t>
      </w:r>
      <w:r w:rsidR="0097521C">
        <w:rPr>
          <w:szCs w:val="24"/>
          <w:lang w:val="en-CA"/>
        </w:rPr>
        <w:t>platform</w:t>
      </w:r>
      <w:r w:rsidRPr="00E26C7E">
        <w:rPr>
          <w:szCs w:val="24"/>
          <w:lang w:val="en-CA"/>
        </w:rPr>
        <w:t xml:space="preserve">, was to abolish all the school boards and their elections. </w:t>
      </w:r>
      <w:r w:rsidRPr="0053204C">
        <w:rPr>
          <w:szCs w:val="24"/>
          <w:lang w:val="en-CA"/>
        </w:rPr>
        <w:t>The “</w:t>
      </w:r>
      <w:r w:rsidR="0097521C">
        <w:rPr>
          <w:szCs w:val="24"/>
          <w:lang w:val="en-CA"/>
        </w:rPr>
        <w:t>s</w:t>
      </w:r>
      <w:r w:rsidRPr="0053204C">
        <w:rPr>
          <w:szCs w:val="24"/>
          <w:lang w:val="en-CA"/>
        </w:rPr>
        <w:t>chool governance plan” published in January 2018</w:t>
      </w:r>
      <w:r w:rsidRPr="00E202F1">
        <w:rPr>
          <w:rStyle w:val="Appelnotedebasdep"/>
          <w:szCs w:val="24"/>
        </w:rPr>
        <w:footnoteReference w:id="193"/>
      </w:r>
      <w:r w:rsidRPr="0053204C">
        <w:rPr>
          <w:szCs w:val="24"/>
          <w:lang w:val="en-CA"/>
        </w:rPr>
        <w:t xml:space="preserve"> stated:</w:t>
      </w:r>
    </w:p>
    <w:p w14:paraId="7B53734D" w14:textId="77777777" w:rsidR="003B1EC4" w:rsidRDefault="003B1EC4" w:rsidP="003B1EC4">
      <w:pPr>
        <w:pStyle w:val="Citation"/>
        <w:rPr>
          <w:lang w:val="en-CA"/>
        </w:rPr>
      </w:pPr>
      <w:r>
        <w:rPr>
          <w:lang w:val="en-CA"/>
        </w:rPr>
        <w:t>[</w:t>
      </w:r>
      <w:r w:rsidRPr="0053204C">
        <w:rPr>
          <w:smallCaps/>
          <w:lang w:val="en-CA"/>
        </w:rPr>
        <w:t>translation</w:t>
      </w:r>
      <w:r>
        <w:rPr>
          <w:lang w:val="en-CA"/>
        </w:rPr>
        <w:t>]</w:t>
      </w:r>
    </w:p>
    <w:p w14:paraId="4B7B4F14" w14:textId="24F294C0" w:rsidR="003B1EC4" w:rsidRPr="00E26C7E" w:rsidRDefault="003B1EC4" w:rsidP="003B1EC4">
      <w:pPr>
        <w:pStyle w:val="Citation"/>
        <w:rPr>
          <w:lang w:val="en-CA"/>
        </w:rPr>
      </w:pPr>
      <w:r w:rsidRPr="009B5373">
        <w:rPr>
          <w:lang w:val="en-CA"/>
        </w:rPr>
        <w:t>The transformation proposed herein will significant</w:t>
      </w:r>
      <w:r w:rsidR="00C33C8A" w:rsidRPr="009B5373">
        <w:rPr>
          <w:lang w:val="en-CA"/>
        </w:rPr>
        <w:t>ly</w:t>
      </w:r>
      <w:r w:rsidRPr="009B5373">
        <w:rPr>
          <w:lang w:val="en-CA"/>
        </w:rPr>
        <w:t xml:space="preserve"> </w:t>
      </w:r>
      <w:r w:rsidR="00C33C8A" w:rsidRPr="009B5373">
        <w:rPr>
          <w:lang w:val="en-CA"/>
        </w:rPr>
        <w:t xml:space="preserve">alter the </w:t>
      </w:r>
      <w:r w:rsidRPr="009B5373">
        <w:rPr>
          <w:lang w:val="en-CA"/>
        </w:rPr>
        <w:t xml:space="preserve">mission </w:t>
      </w:r>
      <w:r w:rsidR="00C33C8A" w:rsidRPr="009B5373">
        <w:rPr>
          <w:lang w:val="en-CA"/>
        </w:rPr>
        <w:t xml:space="preserve">at </w:t>
      </w:r>
      <w:r w:rsidRPr="009B5373">
        <w:rPr>
          <w:lang w:val="en-CA"/>
        </w:rPr>
        <w:t xml:space="preserve">various levels of the system’s governance and definitively eliminate the position of school commissioner. It will signal the end of school elections, which are costly and </w:t>
      </w:r>
      <w:r w:rsidR="009B5373">
        <w:rPr>
          <w:lang w:val="en-CA"/>
        </w:rPr>
        <w:t>lacking in genuine</w:t>
      </w:r>
      <w:r w:rsidRPr="009B5373">
        <w:rPr>
          <w:lang w:val="en-CA"/>
        </w:rPr>
        <w:t xml:space="preserve"> democratic legitimacy</w:t>
      </w:r>
      <w:r w:rsidR="00C33C8A" w:rsidRPr="009B5373">
        <w:rPr>
          <w:lang w:val="en-CA"/>
        </w:rPr>
        <w:t>,</w:t>
      </w:r>
      <w:r w:rsidRPr="009B5373">
        <w:rPr>
          <w:lang w:val="en-CA"/>
        </w:rPr>
        <w:t xml:space="preserve"> given their </w:t>
      </w:r>
      <w:r w:rsidR="00EC76E0" w:rsidRPr="009B5373">
        <w:rPr>
          <w:lang w:val="en-CA"/>
        </w:rPr>
        <w:t>insignificant voter turnout</w:t>
      </w:r>
      <w:r w:rsidRPr="009B5373">
        <w:rPr>
          <w:lang w:val="en-CA"/>
        </w:rPr>
        <w:t>.</w:t>
      </w:r>
    </w:p>
    <w:p w14:paraId="549580B7" w14:textId="21489747" w:rsidR="003B1EC4" w:rsidRPr="00E26C7E" w:rsidRDefault="00EC76E0" w:rsidP="003B1EC4">
      <w:pPr>
        <w:pStyle w:val="Citation"/>
        <w:rPr>
          <w:lang w:val="en-CA"/>
        </w:rPr>
      </w:pPr>
      <w:r>
        <w:rPr>
          <w:lang w:val="en-CA"/>
        </w:rPr>
        <w:t>T</w:t>
      </w:r>
      <w:r w:rsidR="003B1EC4" w:rsidRPr="00E26C7E">
        <w:rPr>
          <w:lang w:val="en-CA"/>
        </w:rPr>
        <w:t xml:space="preserve">his transformation will apply to </w:t>
      </w:r>
      <w:r>
        <w:rPr>
          <w:lang w:val="en-CA"/>
        </w:rPr>
        <w:t xml:space="preserve">and benefit </w:t>
      </w:r>
      <w:r w:rsidR="003B1EC4" w:rsidRPr="00E26C7E">
        <w:rPr>
          <w:lang w:val="en-CA"/>
        </w:rPr>
        <w:t xml:space="preserve">both language school systems in Quebec. In this new model, parents who belong to the English-language community will </w:t>
      </w:r>
      <w:r>
        <w:rPr>
          <w:lang w:val="en-CA"/>
        </w:rPr>
        <w:t>preserve</w:t>
      </w:r>
      <w:r w:rsidRPr="00E26C7E">
        <w:rPr>
          <w:lang w:val="en-CA"/>
        </w:rPr>
        <w:t xml:space="preserve"> </w:t>
      </w:r>
      <w:r w:rsidR="003B1EC4" w:rsidRPr="00E26C7E">
        <w:rPr>
          <w:lang w:val="en-CA"/>
        </w:rPr>
        <w:t>their right</w:t>
      </w:r>
      <w:r>
        <w:rPr>
          <w:lang w:val="en-CA"/>
        </w:rPr>
        <w:t xml:space="preserve">s of management </w:t>
      </w:r>
      <w:r w:rsidR="003B1EC4" w:rsidRPr="00E26C7E">
        <w:rPr>
          <w:lang w:val="en-CA"/>
        </w:rPr>
        <w:t xml:space="preserve">and control </w:t>
      </w:r>
      <w:r w:rsidR="003B1EC4">
        <w:rPr>
          <w:lang w:val="en-CA"/>
        </w:rPr>
        <w:t xml:space="preserve">over </w:t>
      </w:r>
      <w:r w:rsidR="003B1EC4" w:rsidRPr="00E26C7E">
        <w:rPr>
          <w:lang w:val="en-CA"/>
        </w:rPr>
        <w:t xml:space="preserve">the educational </w:t>
      </w:r>
      <w:r>
        <w:rPr>
          <w:lang w:val="en-CA"/>
        </w:rPr>
        <w:t>institutions</w:t>
      </w:r>
      <w:r w:rsidRPr="00E26C7E">
        <w:rPr>
          <w:lang w:val="en-CA"/>
        </w:rPr>
        <w:t xml:space="preserve"> </w:t>
      </w:r>
      <w:r w:rsidR="003B1EC4" w:rsidRPr="00E26C7E">
        <w:rPr>
          <w:lang w:val="en-CA"/>
        </w:rPr>
        <w:t xml:space="preserve">their children </w:t>
      </w:r>
      <w:r>
        <w:rPr>
          <w:lang w:val="en-CA"/>
        </w:rPr>
        <w:t>attend</w:t>
      </w:r>
      <w:r w:rsidR="003B1EC4" w:rsidRPr="00E26C7E">
        <w:rPr>
          <w:lang w:val="en-CA"/>
        </w:rPr>
        <w:t>.</w:t>
      </w:r>
      <w:r w:rsidR="003B1EC4">
        <w:rPr>
          <w:rStyle w:val="Appelnotedebasdep"/>
        </w:rPr>
        <w:footnoteReference w:id="194"/>
      </w:r>
    </w:p>
    <w:p w14:paraId="0677CD24" w14:textId="390EC4EE" w:rsidR="003B1EC4" w:rsidRPr="00E26C7E" w:rsidRDefault="003B1EC4" w:rsidP="003B1EC4">
      <w:pPr>
        <w:pStyle w:val="Paragrsimple"/>
        <w:rPr>
          <w:lang w:val="en-CA"/>
        </w:rPr>
      </w:pPr>
      <w:r>
        <w:rPr>
          <w:lang w:val="en-CA"/>
        </w:rPr>
        <w:t>T</w:t>
      </w:r>
      <w:r w:rsidRPr="00E26C7E">
        <w:rPr>
          <w:lang w:val="en-CA"/>
        </w:rPr>
        <w:t>his project</w:t>
      </w:r>
      <w:r>
        <w:rPr>
          <w:lang w:val="en-CA"/>
        </w:rPr>
        <w:t xml:space="preserve"> </w:t>
      </w:r>
      <w:r w:rsidR="00EC76E0">
        <w:rPr>
          <w:lang w:val="en-CA"/>
        </w:rPr>
        <w:t xml:space="preserve">abolishes </w:t>
      </w:r>
      <w:r w:rsidRPr="00E26C7E">
        <w:rPr>
          <w:lang w:val="en-CA"/>
        </w:rPr>
        <w:t>school boards despite</w:t>
      </w:r>
      <w:r w:rsidR="00EC76E0">
        <w:rPr>
          <w:lang w:val="en-CA"/>
        </w:rPr>
        <w:t xml:space="preserve"> the requirement </w:t>
      </w:r>
      <w:r w:rsidR="00EF7FE9">
        <w:rPr>
          <w:lang w:val="en-CA"/>
        </w:rPr>
        <w:t xml:space="preserve">determined by </w:t>
      </w:r>
      <w:r w:rsidRPr="00E26C7E">
        <w:rPr>
          <w:lang w:val="en-CA"/>
        </w:rPr>
        <w:t>the Supreme Court</w:t>
      </w:r>
      <w:r w:rsidR="00EC76E0">
        <w:rPr>
          <w:lang w:val="en-CA"/>
        </w:rPr>
        <w:t xml:space="preserve"> that such boards </w:t>
      </w:r>
      <w:r w:rsidRPr="00E26C7E">
        <w:rPr>
          <w:lang w:val="en-CA"/>
        </w:rPr>
        <w:t xml:space="preserve">be </w:t>
      </w:r>
      <w:r w:rsidR="00EC76E0">
        <w:rPr>
          <w:lang w:val="en-CA"/>
        </w:rPr>
        <w:t xml:space="preserve">established </w:t>
      </w:r>
      <w:r w:rsidRPr="00E26C7E">
        <w:rPr>
          <w:lang w:val="en-CA"/>
        </w:rPr>
        <w:t xml:space="preserve">for the benefit of the linguistic minority where numbers warrant. </w:t>
      </w:r>
      <w:r w:rsidR="000B7262">
        <w:rPr>
          <w:lang w:val="en-CA"/>
        </w:rPr>
        <w:t>Further,</w:t>
      </w:r>
      <w:r w:rsidR="000B7262" w:rsidRPr="00E26C7E">
        <w:rPr>
          <w:lang w:val="en-CA"/>
        </w:rPr>
        <w:t xml:space="preserve"> </w:t>
      </w:r>
      <w:r w:rsidRPr="00E26C7E">
        <w:rPr>
          <w:lang w:val="en-CA"/>
        </w:rPr>
        <w:t>the minority must be able to control and manage these school boards. On January 18, 2018, the QESB</w:t>
      </w:r>
      <w:r>
        <w:rPr>
          <w:lang w:val="en-CA"/>
        </w:rPr>
        <w:t>A</w:t>
      </w:r>
      <w:r w:rsidRPr="00E26C7E">
        <w:rPr>
          <w:lang w:val="en-CA"/>
        </w:rPr>
        <w:t xml:space="preserve"> </w:t>
      </w:r>
      <w:r w:rsidR="000B7262">
        <w:rPr>
          <w:lang w:val="en-CA"/>
        </w:rPr>
        <w:t>objected to</w:t>
      </w:r>
      <w:r w:rsidR="000B7262" w:rsidRPr="00E26C7E">
        <w:rPr>
          <w:lang w:val="en-CA"/>
        </w:rPr>
        <w:t xml:space="preserve"> </w:t>
      </w:r>
      <w:r w:rsidRPr="00E26C7E">
        <w:rPr>
          <w:lang w:val="en-CA"/>
        </w:rPr>
        <w:t>the project.</w:t>
      </w:r>
      <w:r>
        <w:rPr>
          <w:rStyle w:val="Appelnotedebasdep"/>
          <w:szCs w:val="24"/>
        </w:rPr>
        <w:footnoteReference w:id="195"/>
      </w:r>
    </w:p>
    <w:p w14:paraId="3D059DB1" w14:textId="6E42E514" w:rsidR="003B1EC4" w:rsidRPr="0038256B" w:rsidRDefault="003B1EC4" w:rsidP="003B1EC4">
      <w:pPr>
        <w:pStyle w:val="Paragrsimple"/>
        <w:rPr>
          <w:lang w:val="en-CA"/>
        </w:rPr>
      </w:pPr>
      <w:r w:rsidRPr="00E26C7E">
        <w:rPr>
          <w:lang w:val="en-CA"/>
        </w:rPr>
        <w:t xml:space="preserve">A meeting with Minister Roberge </w:t>
      </w:r>
      <w:r w:rsidR="000B7262">
        <w:rPr>
          <w:lang w:val="en-CA"/>
        </w:rPr>
        <w:t xml:space="preserve">did not take </w:t>
      </w:r>
      <w:r w:rsidRPr="00E26C7E">
        <w:rPr>
          <w:lang w:val="en-CA"/>
        </w:rPr>
        <w:t xml:space="preserve">place </w:t>
      </w:r>
      <w:r w:rsidR="000B7262">
        <w:rPr>
          <w:lang w:val="en-CA"/>
        </w:rPr>
        <w:t xml:space="preserve">until </w:t>
      </w:r>
      <w:r w:rsidRPr="00E26C7E">
        <w:rPr>
          <w:lang w:val="en-CA"/>
        </w:rPr>
        <w:t xml:space="preserve">December 2018. </w:t>
      </w:r>
      <w:r w:rsidRPr="00E26C7E">
        <w:rPr>
          <w:spacing w:val="-2"/>
          <w:lang w:val="en-CA"/>
        </w:rPr>
        <w:t>Ms.</w:t>
      </w:r>
      <w:r w:rsidR="000B7262">
        <w:rPr>
          <w:spacing w:val="-2"/>
          <w:lang w:val="en-CA"/>
        </w:rPr>
        <w:t> </w:t>
      </w:r>
      <w:r w:rsidRPr="00E26C7E">
        <w:rPr>
          <w:spacing w:val="-2"/>
          <w:lang w:val="en-CA"/>
        </w:rPr>
        <w:t>Hamilton add</w:t>
      </w:r>
      <w:r w:rsidR="000B7262">
        <w:rPr>
          <w:spacing w:val="-2"/>
          <w:lang w:val="en-CA"/>
        </w:rPr>
        <w:t>s</w:t>
      </w:r>
      <w:r w:rsidRPr="00E26C7E">
        <w:rPr>
          <w:spacing w:val="-2"/>
          <w:lang w:val="en-CA"/>
        </w:rPr>
        <w:t xml:space="preserve"> that</w:t>
      </w:r>
      <w:r w:rsidR="000B7262">
        <w:rPr>
          <w:spacing w:val="-2"/>
          <w:lang w:val="en-CA"/>
        </w:rPr>
        <w:t>,</w:t>
      </w:r>
      <w:r w:rsidRPr="00E26C7E">
        <w:rPr>
          <w:spacing w:val="-2"/>
          <w:lang w:val="en-CA"/>
        </w:rPr>
        <w:t xml:space="preserve"> on that occasion</w:t>
      </w:r>
      <w:r w:rsidR="000B7262">
        <w:rPr>
          <w:spacing w:val="-2"/>
          <w:lang w:val="en-CA"/>
        </w:rPr>
        <w:t>,</w:t>
      </w:r>
      <w:r w:rsidRPr="00E26C7E">
        <w:rPr>
          <w:spacing w:val="-2"/>
          <w:lang w:val="en-CA"/>
        </w:rPr>
        <w:t xml:space="preserve"> “there was a brief discussion on the CAQ’s electoral plan to abolish school boards, during which Minister Roberge neither confirmed nor denied whether he intended to go forward with this plan”.</w:t>
      </w:r>
      <w:r>
        <w:rPr>
          <w:rStyle w:val="Appelnotedebasdep"/>
          <w:spacing w:val="-2"/>
          <w:lang w:val="en-CA"/>
        </w:rPr>
        <w:footnoteReference w:id="196"/>
      </w:r>
    </w:p>
    <w:p w14:paraId="1B7F714F" w14:textId="1CBBE73F" w:rsidR="003B1EC4" w:rsidRPr="00E26C7E" w:rsidRDefault="003B1EC4" w:rsidP="003B1EC4">
      <w:pPr>
        <w:pStyle w:val="Paragrsimple"/>
        <w:rPr>
          <w:lang w:val="en-CA"/>
        </w:rPr>
      </w:pPr>
      <w:r w:rsidRPr="00E26C7E">
        <w:rPr>
          <w:lang w:val="en-CA"/>
        </w:rPr>
        <w:t xml:space="preserve">Ms. Hamilton describes the QESBA’s other attempts to present its point of view to the Minister and </w:t>
      </w:r>
      <w:r w:rsidR="000B7262">
        <w:rPr>
          <w:lang w:val="en-CA"/>
        </w:rPr>
        <w:t xml:space="preserve">discover </w:t>
      </w:r>
      <w:r w:rsidRPr="00E26C7E">
        <w:rPr>
          <w:lang w:val="en-CA"/>
        </w:rPr>
        <w:t xml:space="preserve">his intentions. </w:t>
      </w:r>
      <w:r w:rsidRPr="00E202F1">
        <w:rPr>
          <w:lang w:val="en-CA"/>
        </w:rPr>
        <w:t>From her sworn statement, we note:</w:t>
      </w:r>
    </w:p>
    <w:p w14:paraId="032AADA8" w14:textId="77777777" w:rsidR="003B1EC4" w:rsidRDefault="003B1EC4" w:rsidP="003B1EC4">
      <w:pPr>
        <w:pStyle w:val="Citation"/>
        <w:rPr>
          <w:lang w:val="en-CA"/>
        </w:rPr>
      </w:pPr>
      <w:r>
        <w:rPr>
          <w:lang w:val="en-CA"/>
        </w:rPr>
        <w:t>[9]</w:t>
      </w:r>
      <w:r w:rsidRPr="0038256B">
        <w:rPr>
          <w:lang w:val="en-CA"/>
        </w:rPr>
        <w:tab/>
      </w:r>
      <w:r w:rsidRPr="00E202F1">
        <w:rPr>
          <w:lang w:val="en-CA"/>
        </w:rPr>
        <w:t>On January 29, 2019, Mr.</w:t>
      </w:r>
      <w:r w:rsidRPr="0038256B">
        <w:rPr>
          <w:lang w:val="en-CA"/>
        </w:rPr>
        <w:t xml:space="preserve"> </w:t>
      </w:r>
      <w:r>
        <w:rPr>
          <w:lang w:val="en-CA"/>
        </w:rPr>
        <w:t>Dan Lamoureux, president of the QESBA, sent a letter addressed to Mr.</w:t>
      </w:r>
      <w:r w:rsidRPr="0038256B">
        <w:rPr>
          <w:lang w:val="en-CA"/>
        </w:rPr>
        <w:t xml:space="preserve"> </w:t>
      </w:r>
      <w:r w:rsidRPr="00E26C7E">
        <w:rPr>
          <w:lang w:val="en-CA"/>
        </w:rPr>
        <w:t xml:space="preserve">Roberge, Minister of Education and Higher Education, expressing the concerns of the QESBA and the English-speaking community </w:t>
      </w:r>
      <w:r w:rsidRPr="00E26C7E">
        <w:rPr>
          <w:lang w:val="en-CA"/>
        </w:rPr>
        <w:lastRenderedPageBreak/>
        <w:t>regarding the government’s plan for school board governance reform</w:t>
      </w:r>
      <w:r>
        <w:rPr>
          <w:rStyle w:val="Appelnotedebasdep"/>
          <w:lang w:val="en-CA"/>
        </w:rPr>
        <w:footnoteReference w:id="197"/>
      </w:r>
      <w:r w:rsidRPr="00E26C7E">
        <w:rPr>
          <w:lang w:val="en-CA"/>
        </w:rPr>
        <w:t>.</w:t>
      </w:r>
      <w:r w:rsidRPr="0038256B">
        <w:rPr>
          <w:lang w:val="en-CA"/>
        </w:rPr>
        <w:t xml:space="preserve"> </w:t>
      </w:r>
      <w:r w:rsidRPr="00E202F1">
        <w:rPr>
          <w:lang w:val="en-CA"/>
        </w:rPr>
        <w:t>… The QESBA did not receive a response to this letter.</w:t>
      </w:r>
    </w:p>
    <w:p w14:paraId="1754C439" w14:textId="77777777" w:rsidR="003B1EC4" w:rsidRPr="0038256B" w:rsidRDefault="003B1EC4" w:rsidP="003B1EC4">
      <w:pPr>
        <w:pStyle w:val="Citation"/>
        <w:rPr>
          <w:lang w:val="en-CA"/>
        </w:rPr>
      </w:pPr>
      <w:r>
        <w:rPr>
          <w:lang w:val="en-CA"/>
        </w:rPr>
        <w:t>[10]</w:t>
      </w:r>
      <w:r w:rsidRPr="0038256B">
        <w:rPr>
          <w:lang w:val="en-CA"/>
        </w:rPr>
        <w:tab/>
      </w:r>
      <w:r w:rsidRPr="00E202F1">
        <w:rPr>
          <w:lang w:val="en-CA"/>
        </w:rPr>
        <w:t>On June 18, 2019, Mr.</w:t>
      </w:r>
      <w:r w:rsidRPr="0038256B">
        <w:rPr>
          <w:spacing w:val="-6"/>
          <w:lang w:val="en-CA"/>
        </w:rPr>
        <w:t xml:space="preserve"> </w:t>
      </w:r>
      <w:r w:rsidRPr="00E202F1">
        <w:rPr>
          <w:lang w:val="en-CA"/>
        </w:rPr>
        <w:t>Lamoureux, Mr.</w:t>
      </w:r>
      <w:r w:rsidRPr="0038256B">
        <w:rPr>
          <w:spacing w:val="-3"/>
          <w:lang w:val="en-CA"/>
        </w:rPr>
        <w:t xml:space="preserve"> </w:t>
      </w:r>
      <w:proofErr w:type="spellStart"/>
      <w:r>
        <w:rPr>
          <w:lang w:val="en-CA"/>
        </w:rPr>
        <w:t>Copeman</w:t>
      </w:r>
      <w:proofErr w:type="spellEnd"/>
      <w:r>
        <w:rPr>
          <w:lang w:val="en-CA"/>
        </w:rPr>
        <w:t xml:space="preserve">, and myself attended a meeting with Minister Roberge, Julie Lussier, Chief of Staff of the Office of the Minister, Claudia Landry, Political Advisor for the Office of the Minister and Christopher </w:t>
      </w:r>
      <w:proofErr w:type="spellStart"/>
      <w:r>
        <w:rPr>
          <w:lang w:val="en-CA"/>
        </w:rPr>
        <w:t>Skeete</w:t>
      </w:r>
      <w:proofErr w:type="spellEnd"/>
      <w:r>
        <w:rPr>
          <w:lang w:val="en-CA"/>
        </w:rPr>
        <w:t>, Member of the National Assembly for Sainte-Rose and Parliamentary Assistant to the Premier for Relations with English-Speaking Quebecers.</w:t>
      </w:r>
    </w:p>
    <w:p w14:paraId="29F88F69" w14:textId="77777777" w:rsidR="003B1EC4" w:rsidRPr="00FE53EB" w:rsidRDefault="003B1EC4" w:rsidP="003B1EC4">
      <w:pPr>
        <w:pStyle w:val="Citation"/>
        <w:rPr>
          <w:lang w:val="en-CA"/>
        </w:rPr>
      </w:pPr>
      <w:r>
        <w:rPr>
          <w:lang w:val="en-CA"/>
        </w:rPr>
        <w:t>[11]</w:t>
      </w:r>
      <w:r w:rsidRPr="00FE53EB">
        <w:rPr>
          <w:lang w:val="en-CA"/>
        </w:rPr>
        <w:tab/>
      </w:r>
      <w:r>
        <w:rPr>
          <w:lang w:val="en-CA"/>
        </w:rPr>
        <w:t>The June 18, 2019, meeting lasted approximately one hour.</w:t>
      </w:r>
      <w:r w:rsidRPr="00FE53EB">
        <w:rPr>
          <w:spacing w:val="-6"/>
          <w:lang w:val="en-CA"/>
        </w:rPr>
        <w:t xml:space="preserve"> </w:t>
      </w:r>
      <w:r>
        <w:rPr>
          <w:lang w:val="en-CA"/>
        </w:rPr>
        <w:t>A number of items were on the agenda, one of which was school board governance reform.</w:t>
      </w:r>
      <w:r w:rsidRPr="00FE53EB">
        <w:rPr>
          <w:lang w:val="en-CA"/>
        </w:rPr>
        <w:t xml:space="preserve"> </w:t>
      </w:r>
      <w:r w:rsidRPr="00E202F1">
        <w:rPr>
          <w:lang w:val="en-CA"/>
        </w:rPr>
        <w:t>Mr.</w:t>
      </w:r>
      <w:r w:rsidRPr="00FE53EB">
        <w:rPr>
          <w:lang w:val="en-CA"/>
        </w:rPr>
        <w:t xml:space="preserve"> </w:t>
      </w:r>
      <w:proofErr w:type="spellStart"/>
      <w:r>
        <w:rPr>
          <w:lang w:val="en-CA"/>
        </w:rPr>
        <w:t>Copeman</w:t>
      </w:r>
      <w:proofErr w:type="spellEnd"/>
      <w:r>
        <w:rPr>
          <w:lang w:val="en-CA"/>
        </w:rPr>
        <w:t xml:space="preserve"> expressed the QESBA’s position that the government plan for school board governance reform would violate the community’s section 23 rights.</w:t>
      </w:r>
      <w:r w:rsidRPr="00FE53EB">
        <w:rPr>
          <w:lang w:val="en-CA"/>
        </w:rPr>
        <w:t xml:space="preserve"> </w:t>
      </w:r>
      <w:r w:rsidRPr="00E202F1">
        <w:rPr>
          <w:lang w:val="en-CA"/>
        </w:rPr>
        <w:t>Mr.</w:t>
      </w:r>
      <w:r w:rsidRPr="00FE53EB">
        <w:rPr>
          <w:spacing w:val="-3"/>
          <w:lang w:val="en-CA"/>
        </w:rPr>
        <w:t xml:space="preserve"> </w:t>
      </w:r>
      <w:proofErr w:type="spellStart"/>
      <w:r>
        <w:rPr>
          <w:lang w:val="en-CA"/>
        </w:rPr>
        <w:t>Skeete</w:t>
      </w:r>
      <w:proofErr w:type="spellEnd"/>
      <w:r>
        <w:rPr>
          <w:lang w:val="en-CA"/>
        </w:rPr>
        <w:t xml:space="preserve"> became confrontational and argued that the CAQ’s plan respected section 23 rights.</w:t>
      </w:r>
      <w:r w:rsidRPr="00FE53EB">
        <w:rPr>
          <w:lang w:val="en-CA"/>
        </w:rPr>
        <w:t xml:space="preserve"> </w:t>
      </w:r>
      <w:r>
        <w:rPr>
          <w:lang w:val="en-CA"/>
        </w:rPr>
        <w:t>Minister Roberge did not respond to the QESBA’s concerns, other than to say that he would reflect on them and that he would meet with the QESBA before a bill was tabled.</w:t>
      </w:r>
    </w:p>
    <w:p w14:paraId="3FA26B50" w14:textId="77777777" w:rsidR="003B1EC4" w:rsidRPr="0038256B" w:rsidRDefault="003B1EC4" w:rsidP="003B1EC4">
      <w:pPr>
        <w:pStyle w:val="Citation"/>
        <w:rPr>
          <w:lang w:val="en-CA"/>
        </w:rPr>
      </w:pPr>
      <w:r>
        <w:rPr>
          <w:lang w:val="en-CA"/>
        </w:rPr>
        <w:t>[13]</w:t>
      </w:r>
      <w:r w:rsidRPr="0038256B">
        <w:rPr>
          <w:lang w:val="en-CA"/>
        </w:rPr>
        <w:tab/>
      </w:r>
      <w:r w:rsidRPr="00E202F1">
        <w:rPr>
          <w:lang w:val="en-CA"/>
        </w:rPr>
        <w:t>On September 23, 2019, Mr.</w:t>
      </w:r>
      <w:r w:rsidRPr="0038256B">
        <w:rPr>
          <w:lang w:val="en-CA"/>
        </w:rPr>
        <w:t xml:space="preserve"> </w:t>
      </w:r>
      <w:proofErr w:type="spellStart"/>
      <w:r>
        <w:rPr>
          <w:lang w:val="en-CA"/>
        </w:rPr>
        <w:t>Copeman</w:t>
      </w:r>
      <w:proofErr w:type="spellEnd"/>
      <w:r>
        <w:rPr>
          <w:lang w:val="en-CA"/>
        </w:rPr>
        <w:t xml:space="preserve"> wrote to Ms.</w:t>
      </w:r>
      <w:r w:rsidRPr="0038256B">
        <w:rPr>
          <w:lang w:val="en-CA"/>
        </w:rPr>
        <w:t xml:space="preserve"> </w:t>
      </w:r>
      <w:r>
        <w:rPr>
          <w:lang w:val="en-CA"/>
        </w:rPr>
        <w:t>Lussier, Chief of Staff of the Office of the Minister, on behalf of the QESBA to remind the Minister’s office of his June 18, 2019 commitment to meet with the QESBA prior to tabling the bill, and to request a meeting.</w:t>
      </w:r>
      <w:r w:rsidRPr="0038256B">
        <w:rPr>
          <w:spacing w:val="-5"/>
          <w:lang w:val="en-CA"/>
        </w:rPr>
        <w:t xml:space="preserve"> </w:t>
      </w:r>
      <w:r w:rsidRPr="00E202F1">
        <w:rPr>
          <w:lang w:val="en-CA"/>
        </w:rPr>
        <w:t>On September 26, 2019, Ms.</w:t>
      </w:r>
      <w:r w:rsidRPr="0038256B">
        <w:rPr>
          <w:lang w:val="en-CA"/>
        </w:rPr>
        <w:t xml:space="preserve"> </w:t>
      </w:r>
      <w:r>
        <w:rPr>
          <w:lang w:val="en-CA"/>
        </w:rPr>
        <w:t>Lussier responded that organizing a meeting with the Minister would be “complex” and offered to meet Mr.</w:t>
      </w:r>
      <w:r w:rsidRPr="0038256B">
        <w:rPr>
          <w:lang w:val="en-CA"/>
        </w:rPr>
        <w:t xml:space="preserve"> </w:t>
      </w:r>
      <w:proofErr w:type="spellStart"/>
      <w:r w:rsidRPr="00E26C7E">
        <w:rPr>
          <w:lang w:val="en-CA"/>
        </w:rPr>
        <w:t>Copeman</w:t>
      </w:r>
      <w:proofErr w:type="spellEnd"/>
      <w:r w:rsidRPr="00E26C7E">
        <w:rPr>
          <w:lang w:val="en-CA"/>
        </w:rPr>
        <w:t xml:space="preserve"> herself briefly but only after the tabling of the bill</w:t>
      </w:r>
      <w:r>
        <w:rPr>
          <w:lang w:val="en-CA"/>
        </w:rPr>
        <w:t>.</w:t>
      </w:r>
      <w:r>
        <w:rPr>
          <w:rStyle w:val="Appelnotedebasdep"/>
          <w:lang w:val="en-CA"/>
        </w:rPr>
        <w:footnoteReference w:id="198"/>
      </w:r>
    </w:p>
    <w:p w14:paraId="54FBB06E" w14:textId="5E8A8EB2" w:rsidR="003B1EC4" w:rsidRPr="00E26C7E" w:rsidRDefault="003B1EC4" w:rsidP="003B1EC4">
      <w:pPr>
        <w:pStyle w:val="Paragrsimple"/>
        <w:rPr>
          <w:lang w:val="en-CA"/>
        </w:rPr>
      </w:pPr>
      <w:r w:rsidRPr="00E26C7E">
        <w:rPr>
          <w:lang w:val="en-CA"/>
        </w:rPr>
        <w:t xml:space="preserve">The bill was tabled without </w:t>
      </w:r>
      <w:r w:rsidR="000B7262">
        <w:rPr>
          <w:lang w:val="en-CA"/>
        </w:rPr>
        <w:t>any further meeting</w:t>
      </w:r>
      <w:r w:rsidR="00161447">
        <w:rPr>
          <w:lang w:val="en-CA"/>
        </w:rPr>
        <w:t>s</w:t>
      </w:r>
      <w:r w:rsidR="000B7262">
        <w:rPr>
          <w:lang w:val="en-CA"/>
        </w:rPr>
        <w:t xml:space="preserve"> between </w:t>
      </w:r>
      <w:r w:rsidRPr="00E26C7E">
        <w:rPr>
          <w:lang w:val="en-CA"/>
        </w:rPr>
        <w:t xml:space="preserve">the Minister </w:t>
      </w:r>
      <w:r w:rsidR="000B7262">
        <w:rPr>
          <w:lang w:val="en-CA"/>
        </w:rPr>
        <w:t xml:space="preserve">and QESBA </w:t>
      </w:r>
      <w:r w:rsidRPr="00E26C7E">
        <w:rPr>
          <w:lang w:val="en-CA"/>
        </w:rPr>
        <w:t xml:space="preserve">representatives. The bill amended the government’s initial </w:t>
      </w:r>
      <w:r w:rsidR="00762696">
        <w:rPr>
          <w:lang w:val="en-CA"/>
        </w:rPr>
        <w:t>plan</w:t>
      </w:r>
      <w:r w:rsidR="00161447">
        <w:rPr>
          <w:lang w:val="en-CA"/>
        </w:rPr>
        <w:t>,</w:t>
      </w:r>
      <w:r w:rsidRPr="00E26C7E">
        <w:rPr>
          <w:lang w:val="en-CA"/>
        </w:rPr>
        <w:t xml:space="preserve"> in that the English-language school service centres would have elected representatives </w:t>
      </w:r>
      <w:r>
        <w:rPr>
          <w:lang w:val="en-CA"/>
        </w:rPr>
        <w:t>according to</w:t>
      </w:r>
      <w:r w:rsidRPr="00E26C7E">
        <w:rPr>
          <w:lang w:val="en-CA"/>
        </w:rPr>
        <w:t xml:space="preserve"> the </w:t>
      </w:r>
      <w:r w:rsidR="00161447">
        <w:rPr>
          <w:lang w:val="en-CA"/>
        </w:rPr>
        <w:t xml:space="preserve">conditions </w:t>
      </w:r>
      <w:r w:rsidRPr="00E26C7E">
        <w:rPr>
          <w:lang w:val="en-CA"/>
        </w:rPr>
        <w:t xml:space="preserve">contested by the </w:t>
      </w:r>
      <w:r>
        <w:rPr>
          <w:lang w:val="en-CA"/>
        </w:rPr>
        <w:t>applicants</w:t>
      </w:r>
      <w:r w:rsidRPr="00E26C7E">
        <w:rPr>
          <w:lang w:val="en-CA"/>
        </w:rPr>
        <w:t xml:space="preserve">. </w:t>
      </w:r>
      <w:r w:rsidR="006073CF">
        <w:rPr>
          <w:lang w:val="en-CA"/>
        </w:rPr>
        <w:t>T</w:t>
      </w:r>
      <w:r w:rsidR="00161447">
        <w:rPr>
          <w:lang w:val="en-CA"/>
        </w:rPr>
        <w:t>he foregoing evidence</w:t>
      </w:r>
      <w:r w:rsidR="006073CF">
        <w:rPr>
          <w:lang w:val="en-CA"/>
        </w:rPr>
        <w:t xml:space="preserve"> indicates </w:t>
      </w:r>
      <w:r w:rsidRPr="00E26C7E">
        <w:rPr>
          <w:lang w:val="en-CA"/>
        </w:rPr>
        <w:t xml:space="preserve">that the electoral </w:t>
      </w:r>
      <w:r>
        <w:rPr>
          <w:lang w:val="en-CA"/>
        </w:rPr>
        <w:t>conditions</w:t>
      </w:r>
      <w:r w:rsidRPr="00E26C7E">
        <w:rPr>
          <w:lang w:val="en-CA"/>
        </w:rPr>
        <w:t xml:space="preserve"> inserted in the bill were not requested by the English-</w:t>
      </w:r>
      <w:r>
        <w:rPr>
          <w:lang w:val="en-CA"/>
        </w:rPr>
        <w:t>language</w:t>
      </w:r>
      <w:r w:rsidRPr="00E26C7E">
        <w:rPr>
          <w:lang w:val="en-CA"/>
        </w:rPr>
        <w:t xml:space="preserve"> community. </w:t>
      </w:r>
    </w:p>
    <w:p w14:paraId="56AC5A08" w14:textId="5FFFE012" w:rsidR="003B1EC4" w:rsidRPr="00E26C7E" w:rsidRDefault="00161447" w:rsidP="003B1EC4">
      <w:pPr>
        <w:pStyle w:val="Paragrsimple"/>
        <w:rPr>
          <w:lang w:val="en-CA"/>
        </w:rPr>
      </w:pPr>
      <w:r>
        <w:rPr>
          <w:lang w:val="en-CA"/>
        </w:rPr>
        <w:t>T</w:t>
      </w:r>
      <w:r w:rsidR="003B1EC4" w:rsidRPr="00E26C7E">
        <w:rPr>
          <w:lang w:val="en-CA"/>
        </w:rPr>
        <w:t xml:space="preserve">he </w:t>
      </w:r>
      <w:r>
        <w:rPr>
          <w:lang w:val="en-CA"/>
        </w:rPr>
        <w:t xml:space="preserve">QESBA </w:t>
      </w:r>
      <w:r w:rsidR="003B1EC4" w:rsidRPr="00E26C7E">
        <w:rPr>
          <w:lang w:val="en-CA"/>
        </w:rPr>
        <w:t xml:space="preserve">representatives </w:t>
      </w:r>
      <w:r w:rsidR="00762696">
        <w:rPr>
          <w:lang w:val="en-CA"/>
        </w:rPr>
        <w:t>are of the view</w:t>
      </w:r>
      <w:r>
        <w:rPr>
          <w:lang w:val="en-CA"/>
        </w:rPr>
        <w:t xml:space="preserve"> </w:t>
      </w:r>
      <w:r w:rsidR="003B1EC4" w:rsidRPr="00E26C7E">
        <w:rPr>
          <w:lang w:val="en-CA"/>
        </w:rPr>
        <w:t xml:space="preserve">that they </w:t>
      </w:r>
      <w:r>
        <w:rPr>
          <w:lang w:val="en-CA"/>
        </w:rPr>
        <w:t>were</w:t>
      </w:r>
      <w:r w:rsidR="003B1EC4" w:rsidRPr="00E26C7E">
        <w:rPr>
          <w:lang w:val="en-CA"/>
        </w:rPr>
        <w:t xml:space="preserve"> </w:t>
      </w:r>
      <w:r>
        <w:rPr>
          <w:lang w:val="en-CA"/>
        </w:rPr>
        <w:t xml:space="preserve">not </w:t>
      </w:r>
      <w:r w:rsidR="003B1EC4" w:rsidRPr="00E26C7E">
        <w:rPr>
          <w:lang w:val="en-CA"/>
        </w:rPr>
        <w:t>given the chan</w:t>
      </w:r>
      <w:r w:rsidR="003B1EC4">
        <w:rPr>
          <w:lang w:val="en-CA"/>
        </w:rPr>
        <w:t>c</w:t>
      </w:r>
      <w:r w:rsidR="003B1EC4" w:rsidRPr="00E26C7E">
        <w:rPr>
          <w:lang w:val="en-CA"/>
        </w:rPr>
        <w:t xml:space="preserve">e to present their particular concerns </w:t>
      </w:r>
      <w:r>
        <w:rPr>
          <w:lang w:val="en-CA"/>
        </w:rPr>
        <w:t xml:space="preserve">at a meeting with the Minister on October 18, 2019, </w:t>
      </w:r>
      <w:r w:rsidR="003B1EC4" w:rsidRPr="00E26C7E">
        <w:rPr>
          <w:lang w:val="en-CA"/>
        </w:rPr>
        <w:t xml:space="preserve">because </w:t>
      </w:r>
      <w:r>
        <w:rPr>
          <w:lang w:val="en-CA"/>
        </w:rPr>
        <w:t>there were</w:t>
      </w:r>
      <w:r w:rsidR="003B1EC4" w:rsidRPr="00E26C7E">
        <w:rPr>
          <w:lang w:val="en-CA"/>
        </w:rPr>
        <w:t xml:space="preserve"> </w:t>
      </w:r>
      <w:r w:rsidR="006073CF">
        <w:rPr>
          <w:lang w:val="en-CA"/>
        </w:rPr>
        <w:t xml:space="preserve">also </w:t>
      </w:r>
      <w:r w:rsidR="003B1EC4" w:rsidRPr="00E26C7E">
        <w:rPr>
          <w:lang w:val="en-CA"/>
        </w:rPr>
        <w:t xml:space="preserve">representatives </w:t>
      </w:r>
      <w:r w:rsidR="006073CF">
        <w:rPr>
          <w:lang w:val="en-CA"/>
        </w:rPr>
        <w:t xml:space="preserve">in attendance </w:t>
      </w:r>
      <w:r w:rsidR="003B1EC4" w:rsidRPr="00E26C7E">
        <w:rPr>
          <w:lang w:val="en-CA"/>
        </w:rPr>
        <w:t xml:space="preserve">from the Fédération des commissions scolaires francophones, </w:t>
      </w:r>
      <w:r w:rsidR="003B1EC4">
        <w:rPr>
          <w:lang w:val="en-CA"/>
        </w:rPr>
        <w:t>who</w:t>
      </w:r>
      <w:r w:rsidR="003B1EC4" w:rsidRPr="00E26C7E">
        <w:rPr>
          <w:lang w:val="en-CA"/>
        </w:rPr>
        <w:t xml:space="preserve"> had their own concerns. The </w:t>
      </w:r>
      <w:r w:rsidR="00626BBD">
        <w:rPr>
          <w:lang w:val="en-CA"/>
        </w:rPr>
        <w:t xml:space="preserve">QESBA </w:t>
      </w:r>
      <w:r w:rsidR="003B1EC4" w:rsidRPr="00E26C7E">
        <w:rPr>
          <w:lang w:val="en-CA"/>
        </w:rPr>
        <w:t>representatives asked the Minister to hold Estates</w:t>
      </w:r>
      <w:r w:rsidR="00626BBD">
        <w:rPr>
          <w:lang w:val="en-CA"/>
        </w:rPr>
        <w:t xml:space="preserve"> </w:t>
      </w:r>
      <w:r w:rsidR="003B1EC4" w:rsidRPr="00E26C7E">
        <w:rPr>
          <w:lang w:val="en-CA"/>
        </w:rPr>
        <w:t xml:space="preserve">General on </w:t>
      </w:r>
      <w:r w:rsidR="00626BBD">
        <w:rPr>
          <w:lang w:val="en-CA"/>
        </w:rPr>
        <w:t>E</w:t>
      </w:r>
      <w:r w:rsidR="003B1EC4" w:rsidRPr="00E26C7E">
        <w:rPr>
          <w:lang w:val="en-CA"/>
        </w:rPr>
        <w:t>ducation, to which he did not respond.</w:t>
      </w:r>
      <w:r w:rsidR="003B1EC4">
        <w:rPr>
          <w:rStyle w:val="Appelnotedebasdep"/>
          <w:szCs w:val="24"/>
        </w:rPr>
        <w:footnoteReference w:id="199"/>
      </w:r>
    </w:p>
    <w:p w14:paraId="2D06B83A" w14:textId="77777777" w:rsidR="003B1EC4" w:rsidRPr="00E26C7E" w:rsidRDefault="003B1EC4" w:rsidP="003B1EC4">
      <w:pPr>
        <w:pStyle w:val="Paragrsimple"/>
        <w:rPr>
          <w:lang w:val="en-CA"/>
        </w:rPr>
      </w:pPr>
      <w:r>
        <w:rPr>
          <w:lang w:val="en-CA"/>
        </w:rPr>
        <w:t xml:space="preserve">The </w:t>
      </w:r>
      <w:r w:rsidRPr="00E26C7E">
        <w:rPr>
          <w:lang w:val="en-CA"/>
        </w:rPr>
        <w:t>QESBA appeared before a parliamentary committee on November 4, 2019.</w:t>
      </w:r>
    </w:p>
    <w:p w14:paraId="75D6624F" w14:textId="4AD20A8D" w:rsidR="003B1EC4" w:rsidRPr="00E26C7E" w:rsidRDefault="003B1EC4" w:rsidP="003B1EC4">
      <w:pPr>
        <w:pStyle w:val="Paragrsimple"/>
        <w:rPr>
          <w:lang w:val="en-CA"/>
        </w:rPr>
      </w:pPr>
      <w:r w:rsidRPr="00E26C7E">
        <w:rPr>
          <w:lang w:val="en-CA"/>
        </w:rPr>
        <w:lastRenderedPageBreak/>
        <w:t>One last meeting took place before the government</w:t>
      </w:r>
      <w:r w:rsidR="00C314C4">
        <w:rPr>
          <w:lang w:val="en-CA"/>
        </w:rPr>
        <w:t xml:space="preserve"> invoked closure</w:t>
      </w:r>
      <w:r w:rsidRPr="00E26C7E">
        <w:rPr>
          <w:lang w:val="en-CA"/>
        </w:rPr>
        <w:t xml:space="preserve">. </w:t>
      </w:r>
      <w:r>
        <w:rPr>
          <w:lang w:val="en-CA"/>
        </w:rPr>
        <w:t>Ms.</w:t>
      </w:r>
      <w:r w:rsidR="00D04F1A">
        <w:rPr>
          <w:lang w:val="en-CA"/>
        </w:rPr>
        <w:t> </w:t>
      </w:r>
      <w:r>
        <w:rPr>
          <w:lang w:val="en-CA"/>
        </w:rPr>
        <w:t>Hamilton described</w:t>
      </w:r>
      <w:r w:rsidR="00D04F1A">
        <w:rPr>
          <w:lang w:val="en-CA"/>
        </w:rPr>
        <w:t xml:space="preserve"> the meeting</w:t>
      </w:r>
      <w:r>
        <w:rPr>
          <w:lang w:val="en-CA"/>
        </w:rPr>
        <w:t>:</w:t>
      </w:r>
    </w:p>
    <w:p w14:paraId="3C86575A" w14:textId="77777777" w:rsidR="003B1EC4" w:rsidRPr="00FE53EB" w:rsidRDefault="003B1EC4" w:rsidP="003B1EC4">
      <w:pPr>
        <w:pStyle w:val="Citation"/>
        <w:rPr>
          <w:lang w:val="en-CA"/>
        </w:rPr>
      </w:pPr>
      <w:bookmarkStart w:id="56" w:name="_Hlk139197564"/>
      <w:r>
        <w:rPr>
          <w:lang w:val="en-CA"/>
        </w:rPr>
        <w:t>[19]</w:t>
      </w:r>
      <w:r w:rsidRPr="008C0354">
        <w:rPr>
          <w:lang w:val="en-CA"/>
        </w:rPr>
        <w:tab/>
      </w:r>
      <w:r>
        <w:rPr>
          <w:lang w:val="en-CA"/>
        </w:rPr>
        <w:t>On December 5, 2019, Minister Roberge convened a meeting with QESBA for December 17, 2019 on Bill 40.</w:t>
      </w:r>
      <w:r w:rsidRPr="008C0354">
        <w:rPr>
          <w:lang w:val="en-CA"/>
        </w:rPr>
        <w:t xml:space="preserve"> </w:t>
      </w:r>
      <w:r w:rsidRPr="00E202F1">
        <w:rPr>
          <w:lang w:val="en-CA"/>
        </w:rPr>
        <w:t>Mr.</w:t>
      </w:r>
      <w:r w:rsidRPr="008C0354">
        <w:rPr>
          <w:lang w:val="en-CA"/>
        </w:rPr>
        <w:t xml:space="preserve"> </w:t>
      </w:r>
      <w:r w:rsidRPr="00E202F1">
        <w:rPr>
          <w:lang w:val="en-CA"/>
        </w:rPr>
        <w:t>Lamoureux, Mr.</w:t>
      </w:r>
      <w:r w:rsidRPr="008C0354">
        <w:rPr>
          <w:lang w:val="en-CA"/>
        </w:rPr>
        <w:t xml:space="preserve"> </w:t>
      </w:r>
      <w:proofErr w:type="spellStart"/>
      <w:r w:rsidRPr="00E202F1">
        <w:rPr>
          <w:lang w:val="en-CA"/>
        </w:rPr>
        <w:t>Copeman</w:t>
      </w:r>
      <w:proofErr w:type="spellEnd"/>
      <w:r w:rsidRPr="00E202F1">
        <w:rPr>
          <w:lang w:val="en-CA"/>
        </w:rPr>
        <w:t>, Mr.</w:t>
      </w:r>
      <w:r w:rsidRPr="008C0354">
        <w:rPr>
          <w:lang w:val="en-CA"/>
        </w:rPr>
        <w:t xml:space="preserve"> </w:t>
      </w:r>
      <w:r w:rsidRPr="00E202F1">
        <w:rPr>
          <w:lang w:val="en-CA"/>
        </w:rPr>
        <w:t>Burke, Mr.</w:t>
      </w:r>
      <w:r w:rsidRPr="008C0354">
        <w:rPr>
          <w:lang w:val="en-CA"/>
        </w:rPr>
        <w:t xml:space="preserve"> </w:t>
      </w:r>
      <w:r>
        <w:rPr>
          <w:lang w:val="en-CA"/>
        </w:rPr>
        <w:t>Michael Murray, Chairman of the Eastern Townships School Board, and myself, were present on behalf of QESBA.</w:t>
      </w:r>
      <w:r w:rsidRPr="008C0354">
        <w:rPr>
          <w:lang w:val="en-CA"/>
        </w:rPr>
        <w:t xml:space="preserve"> </w:t>
      </w:r>
      <w:r>
        <w:rPr>
          <w:lang w:val="en-CA"/>
        </w:rPr>
        <w:t>Minister Roberge attended along with Ms.</w:t>
      </w:r>
      <w:r w:rsidRPr="008C0354">
        <w:rPr>
          <w:lang w:val="en-CA"/>
        </w:rPr>
        <w:t xml:space="preserve"> </w:t>
      </w:r>
      <w:r w:rsidRPr="00E202F1">
        <w:rPr>
          <w:lang w:val="en-CA"/>
        </w:rPr>
        <w:t>Lussier, Ms.</w:t>
      </w:r>
      <w:r w:rsidRPr="008C0354">
        <w:rPr>
          <w:lang w:val="en-CA"/>
        </w:rPr>
        <w:t xml:space="preserve"> </w:t>
      </w:r>
      <w:r w:rsidRPr="00E202F1">
        <w:rPr>
          <w:lang w:val="en-CA"/>
        </w:rPr>
        <w:t>Landry and Mr.</w:t>
      </w:r>
      <w:r w:rsidRPr="008C0354">
        <w:rPr>
          <w:lang w:val="en-CA"/>
        </w:rPr>
        <w:t xml:space="preserve"> </w:t>
      </w:r>
      <w:r w:rsidRPr="00E202F1">
        <w:rPr>
          <w:lang w:val="en-CA"/>
        </w:rPr>
        <w:t xml:space="preserve">Di </w:t>
      </w:r>
      <w:proofErr w:type="spellStart"/>
      <w:r w:rsidRPr="00E202F1">
        <w:rPr>
          <w:lang w:val="en-CA"/>
        </w:rPr>
        <w:t>Domizio</w:t>
      </w:r>
      <w:proofErr w:type="spellEnd"/>
      <w:r w:rsidRPr="00E202F1">
        <w:rPr>
          <w:lang w:val="en-CA"/>
        </w:rPr>
        <w:t>.</w:t>
      </w:r>
      <w:r w:rsidRPr="008C0354">
        <w:rPr>
          <w:lang w:val="en-CA"/>
        </w:rPr>
        <w:t xml:space="preserve"> </w:t>
      </w:r>
      <w:r>
        <w:rPr>
          <w:lang w:val="en-CA"/>
        </w:rPr>
        <w:t xml:space="preserve">Minister Roberge opened the meeting with an aggressive tone, angrily stating “Je </w:t>
      </w:r>
      <w:proofErr w:type="spellStart"/>
      <w:r>
        <w:rPr>
          <w:lang w:val="en-CA"/>
        </w:rPr>
        <w:t>vous</w:t>
      </w:r>
      <w:proofErr w:type="spellEnd"/>
      <w:r>
        <w:rPr>
          <w:lang w:val="en-CA"/>
        </w:rPr>
        <w:t xml:space="preserve"> ai </w:t>
      </w:r>
      <w:proofErr w:type="spellStart"/>
      <w:r>
        <w:rPr>
          <w:lang w:val="en-CA"/>
        </w:rPr>
        <w:t>donné</w:t>
      </w:r>
      <w:proofErr w:type="spellEnd"/>
      <w:r>
        <w:rPr>
          <w:lang w:val="en-CA"/>
        </w:rPr>
        <w:t xml:space="preserve"> tout </w:t>
      </w:r>
      <w:proofErr w:type="spellStart"/>
      <w:r>
        <w:rPr>
          <w:lang w:val="en-CA"/>
        </w:rPr>
        <w:t>ce</w:t>
      </w:r>
      <w:proofErr w:type="spellEnd"/>
      <w:r>
        <w:rPr>
          <w:lang w:val="en-CA"/>
        </w:rPr>
        <w:t xml:space="preserve"> que </w:t>
      </w:r>
      <w:proofErr w:type="spellStart"/>
      <w:r>
        <w:rPr>
          <w:lang w:val="en-CA"/>
        </w:rPr>
        <w:t>vous</w:t>
      </w:r>
      <w:proofErr w:type="spellEnd"/>
      <w:r>
        <w:rPr>
          <w:lang w:val="en-CA"/>
        </w:rPr>
        <w:t xml:space="preserve"> </w:t>
      </w:r>
      <w:proofErr w:type="spellStart"/>
      <w:r>
        <w:rPr>
          <w:lang w:val="en-CA"/>
        </w:rPr>
        <w:t>voulez</w:t>
      </w:r>
      <w:proofErr w:type="spellEnd"/>
      <w:r>
        <w:rPr>
          <w:lang w:val="en-CA"/>
        </w:rPr>
        <w:t xml:space="preserve">, </w:t>
      </w:r>
      <w:proofErr w:type="spellStart"/>
      <w:r>
        <w:rPr>
          <w:lang w:val="en-CA"/>
        </w:rPr>
        <w:t>qu’est-ce</w:t>
      </w:r>
      <w:proofErr w:type="spellEnd"/>
      <w:r>
        <w:rPr>
          <w:lang w:val="en-CA"/>
        </w:rPr>
        <w:t xml:space="preserve"> que </w:t>
      </w:r>
      <w:proofErr w:type="spellStart"/>
      <w:r>
        <w:rPr>
          <w:lang w:val="en-CA"/>
        </w:rPr>
        <w:t>vous</w:t>
      </w:r>
      <w:proofErr w:type="spellEnd"/>
      <w:r>
        <w:rPr>
          <w:lang w:val="en-CA"/>
        </w:rPr>
        <w:t xml:space="preserve"> </w:t>
      </w:r>
      <w:proofErr w:type="spellStart"/>
      <w:r>
        <w:rPr>
          <w:lang w:val="en-CA"/>
        </w:rPr>
        <w:t>voulez</w:t>
      </w:r>
      <w:proofErr w:type="spellEnd"/>
      <w:r>
        <w:rPr>
          <w:lang w:val="en-CA"/>
        </w:rPr>
        <w:t xml:space="preserve"> de plus !” and throwing his phone down on the table.</w:t>
      </w:r>
      <w:r w:rsidRPr="008C0354">
        <w:rPr>
          <w:lang w:val="en-CA"/>
        </w:rPr>
        <w:t xml:space="preserve"> </w:t>
      </w:r>
      <w:r w:rsidRPr="00E202F1">
        <w:rPr>
          <w:lang w:val="en-CA"/>
        </w:rPr>
        <w:t>Mr.</w:t>
      </w:r>
      <w:r w:rsidRPr="008C0354">
        <w:rPr>
          <w:lang w:val="en-CA"/>
        </w:rPr>
        <w:t xml:space="preserve"> </w:t>
      </w:r>
      <w:proofErr w:type="spellStart"/>
      <w:r>
        <w:rPr>
          <w:lang w:val="en-CA"/>
        </w:rPr>
        <w:t>Copeman</w:t>
      </w:r>
      <w:proofErr w:type="spellEnd"/>
      <w:r>
        <w:rPr>
          <w:lang w:val="en-CA"/>
        </w:rPr>
        <w:t xml:space="preserve"> reiterated the QESBA’s position that there was a firm case that section 23 was violated by Bill 40, raising in particular the bill’s addition of non-elected staff members on the board of directors of school service centres.</w:t>
      </w:r>
      <w:r w:rsidRPr="008C0354">
        <w:rPr>
          <w:lang w:val="en-CA"/>
        </w:rPr>
        <w:t xml:space="preserve"> </w:t>
      </w:r>
      <w:bookmarkEnd w:id="56"/>
      <w:r w:rsidRPr="00E202F1">
        <w:rPr>
          <w:lang w:val="en-CA"/>
        </w:rPr>
        <w:t>Minister Roberge did not respond to these concerns.</w:t>
      </w:r>
    </w:p>
    <w:p w14:paraId="08D1EBD8" w14:textId="7FB84DD3" w:rsidR="003B1EC4" w:rsidRPr="00E26C7E" w:rsidRDefault="003B1EC4" w:rsidP="003B1EC4">
      <w:pPr>
        <w:pStyle w:val="Paragrdouble"/>
        <w:spacing w:line="240" w:lineRule="auto"/>
        <w:rPr>
          <w:szCs w:val="24"/>
          <w:lang w:val="en-CA"/>
        </w:rPr>
      </w:pPr>
      <w:r w:rsidRPr="00E26C7E">
        <w:rPr>
          <w:szCs w:val="24"/>
          <w:lang w:val="en-CA"/>
        </w:rPr>
        <w:t>One of the actors involved in representing the interest</w:t>
      </w:r>
      <w:r>
        <w:rPr>
          <w:szCs w:val="24"/>
          <w:lang w:val="en-CA"/>
        </w:rPr>
        <w:t>s</w:t>
      </w:r>
      <w:r w:rsidRPr="00E26C7E">
        <w:rPr>
          <w:szCs w:val="24"/>
          <w:lang w:val="en-CA"/>
        </w:rPr>
        <w:t xml:space="preserve"> of the English-language minority is the Alliance for the Promotion of Public English-Language Education in Quebec.</w:t>
      </w:r>
      <w:r>
        <w:rPr>
          <w:rStyle w:val="Appelnotedebasdep"/>
          <w:szCs w:val="24"/>
        </w:rPr>
        <w:footnoteReference w:id="200"/>
      </w:r>
      <w:r w:rsidRPr="00E26C7E">
        <w:rPr>
          <w:szCs w:val="24"/>
          <w:lang w:val="en-CA"/>
        </w:rPr>
        <w:t xml:space="preserve"> Its president at the time of the </w:t>
      </w:r>
      <w:r w:rsidR="00D04F1A">
        <w:rPr>
          <w:szCs w:val="24"/>
          <w:lang w:val="en-CA"/>
        </w:rPr>
        <w:t>enactment</w:t>
      </w:r>
      <w:r w:rsidR="00D04F1A" w:rsidRPr="00E26C7E">
        <w:rPr>
          <w:szCs w:val="24"/>
          <w:lang w:val="en-CA"/>
        </w:rPr>
        <w:t xml:space="preserve"> </w:t>
      </w:r>
      <w:r w:rsidRPr="00E26C7E">
        <w:rPr>
          <w:szCs w:val="24"/>
          <w:lang w:val="en-CA"/>
        </w:rPr>
        <w:t xml:space="preserve">of the </w:t>
      </w:r>
      <w:r w:rsidRPr="00AB2C55">
        <w:rPr>
          <w:i/>
          <w:iCs/>
          <w:szCs w:val="24"/>
          <w:lang w:val="en-CA"/>
        </w:rPr>
        <w:t>Act</w:t>
      </w:r>
      <w:r w:rsidRPr="00E26C7E">
        <w:rPr>
          <w:szCs w:val="24"/>
          <w:lang w:val="en-CA"/>
        </w:rPr>
        <w:t xml:space="preserve"> was Geoffrey Kelley, former </w:t>
      </w:r>
      <w:r w:rsidR="006404B9">
        <w:rPr>
          <w:szCs w:val="24"/>
          <w:lang w:val="en-CA"/>
        </w:rPr>
        <w:t xml:space="preserve">National Assembly </w:t>
      </w:r>
      <w:r w:rsidRPr="00E26C7E">
        <w:rPr>
          <w:szCs w:val="24"/>
          <w:lang w:val="en-CA"/>
        </w:rPr>
        <w:t>member for the riding of Jacques Cartier and Minister of Indigenous Affairs from 2014 to 2018. His sworn statement</w:t>
      </w:r>
      <w:r>
        <w:rPr>
          <w:rStyle w:val="Appelnotedebasdep"/>
          <w:szCs w:val="24"/>
        </w:rPr>
        <w:footnoteReference w:id="201"/>
      </w:r>
      <w:r w:rsidRPr="00E26C7E">
        <w:rPr>
          <w:szCs w:val="24"/>
          <w:lang w:val="en-CA"/>
        </w:rPr>
        <w:t xml:space="preserve"> </w:t>
      </w:r>
      <w:r w:rsidR="00D04F1A">
        <w:rPr>
          <w:szCs w:val="24"/>
          <w:lang w:val="en-CA"/>
        </w:rPr>
        <w:t xml:space="preserve">outlines </w:t>
      </w:r>
      <w:r w:rsidRPr="00E26C7E">
        <w:rPr>
          <w:szCs w:val="24"/>
          <w:lang w:val="en-CA"/>
        </w:rPr>
        <w:t xml:space="preserve">the steps taken by APPELE-Quebec and other organizations to assert the </w:t>
      </w:r>
      <w:r>
        <w:rPr>
          <w:szCs w:val="24"/>
          <w:lang w:val="en-CA"/>
        </w:rPr>
        <w:t>view</w:t>
      </w:r>
      <w:r w:rsidRPr="00E26C7E">
        <w:rPr>
          <w:szCs w:val="24"/>
          <w:lang w:val="en-CA"/>
        </w:rPr>
        <w:t xml:space="preserve">point of English-speaking persons with the government and the Minister of Education and Higher Education. </w:t>
      </w:r>
    </w:p>
    <w:p w14:paraId="78517044" w14:textId="77777777" w:rsidR="003B1EC4" w:rsidRPr="008743F6" w:rsidRDefault="003B1EC4" w:rsidP="003B1EC4">
      <w:pPr>
        <w:pStyle w:val="Citation"/>
        <w:rPr>
          <w:lang w:val="en-CA"/>
        </w:rPr>
      </w:pPr>
      <w:r>
        <w:rPr>
          <w:lang w:val="en-CA"/>
        </w:rPr>
        <w:t>[9]</w:t>
      </w:r>
      <w:r w:rsidRPr="008743F6">
        <w:rPr>
          <w:lang w:val="en-CA"/>
        </w:rPr>
        <w:tab/>
      </w:r>
      <w:r w:rsidRPr="00E202F1">
        <w:rPr>
          <w:lang w:val="en-CA"/>
        </w:rPr>
        <w:t>On May 2, 2019, I wrote to Mr.</w:t>
      </w:r>
      <w:r w:rsidRPr="008743F6">
        <w:rPr>
          <w:lang w:val="en-CA"/>
        </w:rPr>
        <w:t xml:space="preserve"> </w:t>
      </w:r>
      <w:r w:rsidRPr="00E26C7E">
        <w:rPr>
          <w:lang w:val="en-CA"/>
        </w:rPr>
        <w:t>Jean-François Roberge, Minister of Education and Higher Education on behalf of APPELE-Quebec, to express the English-speaking community’s concerns about the government’s plans to replace school boards with school service centres, emphasize the importance of holding consultations with the community, and request a meeting with the Minister prior to the tabling of a bill</w:t>
      </w:r>
      <w:r>
        <w:rPr>
          <w:rStyle w:val="Appelnotedebasdep"/>
          <w:lang w:val="en-CA"/>
        </w:rPr>
        <w:footnoteReference w:id="202"/>
      </w:r>
      <w:r w:rsidRPr="00E26C7E">
        <w:rPr>
          <w:lang w:val="en-CA"/>
        </w:rPr>
        <w:t>.</w:t>
      </w:r>
      <w:r w:rsidRPr="009E3F9D">
        <w:rPr>
          <w:lang w:val="en-CA"/>
        </w:rPr>
        <w:t xml:space="preserve"> </w:t>
      </w:r>
      <w:r w:rsidRPr="00E202F1">
        <w:rPr>
          <w:lang w:val="en-CA"/>
        </w:rPr>
        <w:t>… APPELE-Quebec received an acknowledgment of receipt in which a staff member of the Minister’s office indicated this letter would be brought to the attention of the relevant persons for follow-up</w:t>
      </w:r>
      <w:r w:rsidRPr="00E202F1">
        <w:rPr>
          <w:rStyle w:val="Appelnotedebasdep"/>
          <w:lang w:val="en-CA"/>
        </w:rPr>
        <w:footnoteReference w:id="203"/>
      </w:r>
      <w:r w:rsidRPr="00E202F1">
        <w:rPr>
          <w:lang w:val="en-CA"/>
        </w:rPr>
        <w:t>.</w:t>
      </w:r>
      <w:r w:rsidRPr="008743F6">
        <w:rPr>
          <w:lang w:val="en-CA"/>
        </w:rPr>
        <w:t xml:space="preserve"> </w:t>
      </w:r>
      <w:r w:rsidRPr="00E202F1">
        <w:rPr>
          <w:lang w:val="en-CA"/>
        </w:rPr>
        <w:t>(…) APPELE-Quebec received no further response.</w:t>
      </w:r>
    </w:p>
    <w:p w14:paraId="674CE6BF" w14:textId="77777777" w:rsidR="003B1EC4" w:rsidRPr="008743F6" w:rsidRDefault="003B1EC4" w:rsidP="003B1EC4">
      <w:pPr>
        <w:pStyle w:val="Citation"/>
        <w:rPr>
          <w:lang w:val="en-CA"/>
        </w:rPr>
      </w:pPr>
      <w:r>
        <w:rPr>
          <w:lang w:val="en-CA"/>
        </w:rPr>
        <w:t>[10]</w:t>
      </w:r>
      <w:r w:rsidRPr="008743F6">
        <w:rPr>
          <w:lang w:val="en-CA"/>
        </w:rPr>
        <w:tab/>
      </w:r>
      <w:r>
        <w:rPr>
          <w:lang w:val="en-CA"/>
        </w:rPr>
        <w:t>On June 11, 2019, I wrote to Minister Roberge to provide additional information on our community’s concerns and, in particular, the results of a survey of the English-speaking community of Quebec, as appears from the letter of June 11, 2019, attached as exhibit GK-4.</w:t>
      </w:r>
    </w:p>
    <w:p w14:paraId="0C3D2BF2" w14:textId="77777777" w:rsidR="003B1EC4" w:rsidRPr="004812F6" w:rsidRDefault="003B1EC4" w:rsidP="003B1EC4">
      <w:pPr>
        <w:pStyle w:val="Citation"/>
        <w:rPr>
          <w:lang w:val="en-CA"/>
        </w:rPr>
      </w:pPr>
      <w:r>
        <w:rPr>
          <w:lang w:val="en-CA"/>
        </w:rPr>
        <w:t>[11]</w:t>
      </w:r>
      <w:r w:rsidRPr="004812F6">
        <w:rPr>
          <w:lang w:val="en-CA"/>
        </w:rPr>
        <w:tab/>
      </w:r>
      <w:r>
        <w:rPr>
          <w:lang w:val="en-CA"/>
        </w:rPr>
        <w:t>On August 12th, 2019, a meeting took place between representatives of APPELE-Quebec, QESBA and the Minister of Education and Higher Education at the Minister’s riding office in Chambly, QC.</w:t>
      </w:r>
      <w:r w:rsidRPr="004812F6">
        <w:rPr>
          <w:lang w:val="en-CA"/>
        </w:rPr>
        <w:t xml:space="preserve"> </w:t>
      </w:r>
      <w:r>
        <w:rPr>
          <w:lang w:val="en-CA"/>
        </w:rPr>
        <w:t>I attended the meeting on behalf of APPELE-Quebec, and was accompanied by the Hon. Joan Fraser, Vice-</w:t>
      </w:r>
      <w:r>
        <w:rPr>
          <w:lang w:val="en-CA"/>
        </w:rPr>
        <w:lastRenderedPageBreak/>
        <w:t xml:space="preserve">Chair of APPELE-Quebec, Kevin </w:t>
      </w:r>
      <w:proofErr w:type="spellStart"/>
      <w:r>
        <w:rPr>
          <w:lang w:val="en-CA"/>
        </w:rPr>
        <w:t>Shaar</w:t>
      </w:r>
      <w:proofErr w:type="spellEnd"/>
      <w:r>
        <w:rPr>
          <w:lang w:val="en-CA"/>
        </w:rPr>
        <w:t>, Vice- Chair of APPELE-Quebec, and myself, attended on behalf of APPELE-Quebec.</w:t>
      </w:r>
      <w:r w:rsidRPr="004812F6">
        <w:rPr>
          <w:lang w:val="en-CA"/>
        </w:rPr>
        <w:t xml:space="preserve"> </w:t>
      </w:r>
      <w:r>
        <w:rPr>
          <w:lang w:val="en-CA"/>
        </w:rPr>
        <w:t xml:space="preserve">Dan Lamoureux, president of QESBA and Russell </w:t>
      </w:r>
      <w:proofErr w:type="spellStart"/>
      <w:r>
        <w:rPr>
          <w:lang w:val="en-CA"/>
        </w:rPr>
        <w:t>Copeman</w:t>
      </w:r>
      <w:proofErr w:type="spellEnd"/>
      <w:r>
        <w:rPr>
          <w:lang w:val="en-CA"/>
        </w:rPr>
        <w:t>, Director General of QESBA, attended on behalf of QESBA.</w:t>
      </w:r>
      <w:r w:rsidRPr="004812F6">
        <w:rPr>
          <w:lang w:val="en-CA"/>
        </w:rPr>
        <w:t xml:space="preserve"> </w:t>
      </w:r>
      <w:r w:rsidRPr="00E202F1">
        <w:rPr>
          <w:lang w:val="en-CA"/>
        </w:rPr>
        <w:t>Mr.</w:t>
      </w:r>
      <w:r w:rsidRPr="004812F6">
        <w:rPr>
          <w:lang w:val="en-CA"/>
        </w:rPr>
        <w:t xml:space="preserve"> </w:t>
      </w:r>
      <w:r>
        <w:rPr>
          <w:lang w:val="en-CA"/>
        </w:rPr>
        <w:t>Geoffrey Chambers, President of the QCGN and Ms.</w:t>
      </w:r>
      <w:r w:rsidRPr="004812F6">
        <w:rPr>
          <w:lang w:val="en-CA"/>
        </w:rPr>
        <w:t xml:space="preserve"> </w:t>
      </w:r>
      <w:r>
        <w:rPr>
          <w:lang w:val="en-CA"/>
        </w:rPr>
        <w:t>Sylvia Martin-</w:t>
      </w:r>
      <w:proofErr w:type="spellStart"/>
      <w:r>
        <w:rPr>
          <w:lang w:val="en-CA"/>
        </w:rPr>
        <w:t>Laforge</w:t>
      </w:r>
      <w:proofErr w:type="spellEnd"/>
      <w:r>
        <w:rPr>
          <w:lang w:val="en-CA"/>
        </w:rPr>
        <w:t>, Director General of the QCGN, attended on behalf of QCGN.</w:t>
      </w:r>
      <w:r w:rsidRPr="004812F6">
        <w:rPr>
          <w:lang w:val="en-CA"/>
        </w:rPr>
        <w:t xml:space="preserve"> </w:t>
      </w:r>
      <w:r>
        <w:rPr>
          <w:lang w:val="en-CA"/>
        </w:rPr>
        <w:t>Minister Roberge attended with Ms.</w:t>
      </w:r>
      <w:r w:rsidRPr="004812F6">
        <w:rPr>
          <w:lang w:val="en-CA"/>
        </w:rPr>
        <w:t xml:space="preserve"> </w:t>
      </w:r>
      <w:r>
        <w:rPr>
          <w:lang w:val="en-CA"/>
        </w:rPr>
        <w:t>Claudia Landry, Political Advisor, and other Ministry staff.</w:t>
      </w:r>
    </w:p>
    <w:p w14:paraId="21CB8E60" w14:textId="77777777" w:rsidR="003B1EC4" w:rsidRPr="004812F6" w:rsidRDefault="003B1EC4" w:rsidP="003B1EC4">
      <w:pPr>
        <w:pStyle w:val="Citation"/>
        <w:rPr>
          <w:lang w:val="en-CA"/>
        </w:rPr>
      </w:pPr>
      <w:r>
        <w:rPr>
          <w:lang w:val="en-CA"/>
        </w:rPr>
        <w:t>[12]</w:t>
      </w:r>
      <w:r w:rsidRPr="004812F6">
        <w:rPr>
          <w:lang w:val="en-CA"/>
        </w:rPr>
        <w:tab/>
      </w:r>
      <w:r>
        <w:rPr>
          <w:lang w:val="en-CA"/>
        </w:rPr>
        <w:t>During the meeting, Minister Roberge expressed his broad vision for a reform that would eliminate the costs of school board elections and give more voice to parents.</w:t>
      </w:r>
      <w:r w:rsidRPr="004812F6">
        <w:rPr>
          <w:lang w:val="en-CA"/>
        </w:rPr>
        <w:t xml:space="preserve"> </w:t>
      </w:r>
      <w:r>
        <w:rPr>
          <w:lang w:val="en-CA"/>
        </w:rPr>
        <w:t>I expressed the community’s concerns regarding the proposal, and emphasized the importance of maintaining the right to management and control of all members of our community, not just parents who currently have children in school.</w:t>
      </w:r>
      <w:r w:rsidRPr="004812F6">
        <w:rPr>
          <w:lang w:val="en-CA"/>
        </w:rPr>
        <w:t xml:space="preserve"> </w:t>
      </w:r>
      <w:r>
        <w:rPr>
          <w:lang w:val="en-CA"/>
        </w:rPr>
        <w:t>As an example, I presented my own situation as an engaged grandparent to children in English schools.</w:t>
      </w:r>
      <w:r w:rsidRPr="004812F6">
        <w:rPr>
          <w:lang w:val="en-CA"/>
        </w:rPr>
        <w:t xml:space="preserve"> </w:t>
      </w:r>
      <w:r>
        <w:rPr>
          <w:lang w:val="en-CA"/>
        </w:rPr>
        <w:t>Minister Roberge did not provide a response to these concerns whether at the meeting or after, but did commit to meeting with us again before tabling a bill.</w:t>
      </w:r>
    </w:p>
    <w:p w14:paraId="1921B9D7" w14:textId="77777777" w:rsidR="003B1EC4" w:rsidRPr="008743F6" w:rsidRDefault="003B1EC4" w:rsidP="003B1EC4">
      <w:pPr>
        <w:pStyle w:val="Citation"/>
        <w:rPr>
          <w:lang w:val="en-CA"/>
        </w:rPr>
      </w:pPr>
      <w:r>
        <w:rPr>
          <w:lang w:val="en-CA"/>
        </w:rPr>
        <w:t>[13]</w:t>
      </w:r>
      <w:r w:rsidRPr="008743F6">
        <w:rPr>
          <w:lang w:val="en-CA"/>
        </w:rPr>
        <w:tab/>
      </w:r>
      <w:r>
        <w:rPr>
          <w:lang w:val="en-CA"/>
        </w:rPr>
        <w:t>On September 19, 2019, I wrote to Minister Roberge and Mr.</w:t>
      </w:r>
      <w:r w:rsidRPr="008743F6">
        <w:rPr>
          <w:lang w:val="en-CA"/>
        </w:rPr>
        <w:t xml:space="preserve"> </w:t>
      </w:r>
      <w:r w:rsidRPr="00E26C7E">
        <w:rPr>
          <w:lang w:val="en-CA"/>
        </w:rPr>
        <w:t>Simon Jolin-Barrette in his capacity as Government House Leader to request that the National Assembly hold general consultations on the upcoming bill so that all stakeholders in the community could be heard</w:t>
      </w:r>
      <w:r>
        <w:rPr>
          <w:rStyle w:val="Appelnotedebasdep"/>
          <w:lang w:val="en-CA"/>
        </w:rPr>
        <w:footnoteReference w:id="204"/>
      </w:r>
      <w:r w:rsidRPr="00E26C7E">
        <w:rPr>
          <w:lang w:val="en-CA"/>
        </w:rPr>
        <w:t>.</w:t>
      </w:r>
      <w:r w:rsidRPr="009E3F9D">
        <w:rPr>
          <w:lang w:val="en-CA"/>
        </w:rPr>
        <w:t xml:space="preserve"> </w:t>
      </w:r>
      <w:r w:rsidRPr="00E202F1">
        <w:rPr>
          <w:lang w:val="en-CA"/>
        </w:rPr>
        <w:t>… APPELE-Quebec received an acknowledgment of receipt in which a staff member of the Minister’s office indicated this letter would be brought to the attention of the relevant persons for follow-up</w:t>
      </w:r>
      <w:r w:rsidRPr="00E202F1">
        <w:rPr>
          <w:rStyle w:val="Appelnotedebasdep"/>
          <w:lang w:val="en-CA"/>
        </w:rPr>
        <w:footnoteReference w:id="205"/>
      </w:r>
      <w:r w:rsidRPr="00E202F1">
        <w:rPr>
          <w:lang w:val="en-CA"/>
        </w:rPr>
        <w:t>.</w:t>
      </w:r>
      <w:r w:rsidRPr="008743F6">
        <w:rPr>
          <w:lang w:val="en-CA"/>
        </w:rPr>
        <w:t xml:space="preserve"> </w:t>
      </w:r>
      <w:r w:rsidRPr="00E202F1">
        <w:rPr>
          <w:lang w:val="en-CA"/>
        </w:rPr>
        <w:t>APPELE-Quebec received no further response.</w:t>
      </w:r>
    </w:p>
    <w:p w14:paraId="3DE33317" w14:textId="77777777" w:rsidR="003B1EC4" w:rsidRPr="008743F6" w:rsidRDefault="003B1EC4" w:rsidP="003B1EC4">
      <w:pPr>
        <w:pStyle w:val="Citation"/>
        <w:rPr>
          <w:lang w:val="en-CA"/>
        </w:rPr>
      </w:pPr>
      <w:r>
        <w:rPr>
          <w:lang w:val="en-CA"/>
        </w:rPr>
        <w:t>[14]</w:t>
      </w:r>
      <w:r w:rsidRPr="008743F6">
        <w:rPr>
          <w:lang w:val="en-CA"/>
        </w:rPr>
        <w:tab/>
      </w:r>
      <w:r w:rsidRPr="00E202F1">
        <w:rPr>
          <w:lang w:val="en-CA"/>
        </w:rPr>
        <w:t>On September 19, 2020, I also wrote to Ms.</w:t>
      </w:r>
      <w:r w:rsidRPr="008743F6">
        <w:rPr>
          <w:lang w:val="en-CA"/>
        </w:rPr>
        <w:t xml:space="preserve"> </w:t>
      </w:r>
      <w:r w:rsidRPr="00E26C7E">
        <w:rPr>
          <w:lang w:val="en-CA"/>
        </w:rPr>
        <w:t>Sonia LeBel, Minister of Justice and Attorney General and Minister responsible for the Canadian Francophonie, expressing our concerns about the impact of Bill 40 on the minority language education rights of official language minorities across the country, as appears from the letter of September 19, 2020</w:t>
      </w:r>
      <w:r>
        <w:rPr>
          <w:rStyle w:val="Appelnotedebasdep"/>
          <w:lang w:val="en-CA"/>
        </w:rPr>
        <w:footnoteReference w:id="206"/>
      </w:r>
      <w:r w:rsidRPr="00E26C7E">
        <w:rPr>
          <w:lang w:val="en-CA"/>
        </w:rPr>
        <w:t>.</w:t>
      </w:r>
      <w:r w:rsidRPr="008743F6">
        <w:rPr>
          <w:lang w:val="en-CA"/>
        </w:rPr>
        <w:t xml:space="preserve"> </w:t>
      </w:r>
      <w:r w:rsidRPr="00E202F1">
        <w:rPr>
          <w:lang w:val="en-CA"/>
        </w:rPr>
        <w:t>APPELE-Quebec received no response.</w:t>
      </w:r>
    </w:p>
    <w:p w14:paraId="502BC5DB" w14:textId="77777777" w:rsidR="003B1EC4" w:rsidRDefault="003B1EC4" w:rsidP="003B1EC4">
      <w:pPr>
        <w:pStyle w:val="Citation"/>
        <w:rPr>
          <w:lang w:val="en-CA"/>
        </w:rPr>
      </w:pPr>
      <w:r>
        <w:rPr>
          <w:lang w:val="en-CA"/>
        </w:rPr>
        <w:t>[15]</w:t>
      </w:r>
      <w:r w:rsidRPr="008743F6">
        <w:rPr>
          <w:lang w:val="en-CA"/>
        </w:rPr>
        <w:tab/>
      </w:r>
      <w:r>
        <w:rPr>
          <w:lang w:val="en-CA"/>
        </w:rPr>
        <w:t>Despite Minister Roberge’s commitment to meeting with us again before tabling a bill, there were no further communications from Minister Roberge’s office prior to the bill being tabled on October 1, 2019.</w:t>
      </w:r>
    </w:p>
    <w:p w14:paraId="3A524DDB" w14:textId="77777777" w:rsidR="003B1EC4" w:rsidRDefault="003B1EC4" w:rsidP="003B1EC4">
      <w:pPr>
        <w:pStyle w:val="Citation"/>
        <w:rPr>
          <w:lang w:val="en-CA"/>
        </w:rPr>
      </w:pPr>
      <w:r>
        <w:rPr>
          <w:lang w:val="en-CA"/>
        </w:rPr>
        <w:t>[16]</w:t>
      </w:r>
      <w:r w:rsidRPr="008743F6">
        <w:rPr>
          <w:lang w:val="en-CA"/>
        </w:rPr>
        <w:tab/>
      </w:r>
      <w:r>
        <w:rPr>
          <w:lang w:val="en-CA"/>
        </w:rPr>
        <w:t>Despite APPELE-Quebec's earlier request on the letter of September 19, 2019 (exhibit GK-5), the National Assembly proceeded by private consultations rather than general consultations, which prevented many organizations and members of the community from participating.</w:t>
      </w:r>
    </w:p>
    <w:p w14:paraId="0281A899" w14:textId="77777777" w:rsidR="003B1EC4" w:rsidRPr="008743F6" w:rsidRDefault="003B1EC4" w:rsidP="003B1EC4">
      <w:pPr>
        <w:pStyle w:val="Citation"/>
        <w:rPr>
          <w:lang w:val="en-CA"/>
        </w:rPr>
      </w:pPr>
      <w:r>
        <w:rPr>
          <w:lang w:val="en-CA"/>
        </w:rPr>
        <w:lastRenderedPageBreak/>
        <w:t>[17]</w:t>
      </w:r>
      <w:r w:rsidRPr="008743F6">
        <w:rPr>
          <w:lang w:val="en-CA"/>
        </w:rPr>
        <w:tab/>
      </w:r>
      <w:r>
        <w:rPr>
          <w:lang w:val="en-CA"/>
        </w:rPr>
        <w:t>ln response to this, APPELE-Quebec held its own public hearings on November 19, 2019, to collect the views of members of the community.</w:t>
      </w:r>
      <w:r w:rsidRPr="008743F6">
        <w:rPr>
          <w:lang w:val="en-CA"/>
        </w:rPr>
        <w:t xml:space="preserve"> </w:t>
      </w:r>
      <w:r>
        <w:rPr>
          <w:lang w:val="en-CA"/>
        </w:rPr>
        <w:t>During the public hearings, APPELE-Quebec heard from 18 groups and individuals over the course of a full day and received 19 briefs.</w:t>
      </w:r>
    </w:p>
    <w:p w14:paraId="432DA77C" w14:textId="77777777" w:rsidR="003B1EC4" w:rsidRPr="008743F6" w:rsidRDefault="003B1EC4" w:rsidP="003B1EC4">
      <w:pPr>
        <w:pStyle w:val="Citation"/>
        <w:rPr>
          <w:lang w:val="en-CA"/>
        </w:rPr>
      </w:pPr>
      <w:r>
        <w:rPr>
          <w:lang w:val="en-CA"/>
        </w:rPr>
        <w:t>[18]</w:t>
      </w:r>
      <w:r w:rsidRPr="008743F6">
        <w:rPr>
          <w:lang w:val="en-CA"/>
        </w:rPr>
        <w:tab/>
      </w:r>
      <w:r>
        <w:rPr>
          <w:lang w:val="en-CA"/>
        </w:rPr>
        <w:t>On October 4, 2019, I wrote to Minister Roberge and Mr.</w:t>
      </w:r>
      <w:r w:rsidRPr="008743F6">
        <w:rPr>
          <w:lang w:val="en-CA"/>
        </w:rPr>
        <w:t xml:space="preserve"> </w:t>
      </w:r>
      <w:r w:rsidRPr="00E26C7E">
        <w:rPr>
          <w:lang w:val="en-CA"/>
        </w:rPr>
        <w:t>Jolin-Barrette to request that APPELE-Quebec be heard during particular consultations on Bill 40</w:t>
      </w:r>
      <w:r>
        <w:rPr>
          <w:rStyle w:val="Appelnotedebasdep"/>
          <w:lang w:val="en-CA"/>
        </w:rPr>
        <w:footnoteReference w:id="207"/>
      </w:r>
      <w:r w:rsidRPr="00E26C7E">
        <w:rPr>
          <w:lang w:val="en-CA"/>
        </w:rPr>
        <w:t>.</w:t>
      </w:r>
      <w:r w:rsidRPr="008743F6">
        <w:rPr>
          <w:lang w:val="en-CA"/>
        </w:rPr>
        <w:t xml:space="preserve"> </w:t>
      </w:r>
    </w:p>
    <w:p w14:paraId="497F18D7" w14:textId="77777777" w:rsidR="003B1EC4" w:rsidRPr="008743F6" w:rsidRDefault="003B1EC4" w:rsidP="003B1EC4">
      <w:pPr>
        <w:pStyle w:val="Citation"/>
        <w:rPr>
          <w:lang w:val="en-CA"/>
        </w:rPr>
      </w:pPr>
      <w:r>
        <w:rPr>
          <w:lang w:val="en-CA"/>
        </w:rPr>
        <w:t>[19]</w:t>
      </w:r>
      <w:r w:rsidRPr="008743F6">
        <w:rPr>
          <w:lang w:val="en-CA"/>
        </w:rPr>
        <w:tab/>
      </w:r>
      <w:r w:rsidRPr="00E202F1">
        <w:rPr>
          <w:lang w:val="en-CA"/>
        </w:rPr>
        <w:t>On November 6, 2019, Ms.</w:t>
      </w:r>
      <w:r w:rsidRPr="008743F6">
        <w:rPr>
          <w:lang w:val="en-CA"/>
        </w:rPr>
        <w:t xml:space="preserve"> </w:t>
      </w:r>
      <w:r w:rsidRPr="00E202F1">
        <w:rPr>
          <w:lang w:val="en-CA"/>
        </w:rPr>
        <w:t>Fraser, Mr.</w:t>
      </w:r>
      <w:r w:rsidRPr="008743F6">
        <w:rPr>
          <w:lang w:val="en-CA"/>
        </w:rPr>
        <w:t xml:space="preserve"> </w:t>
      </w:r>
      <w:proofErr w:type="spellStart"/>
      <w:r w:rsidRPr="00E26C7E">
        <w:rPr>
          <w:lang w:val="en-CA"/>
        </w:rPr>
        <w:t>Shaar</w:t>
      </w:r>
      <w:proofErr w:type="spellEnd"/>
      <w:r w:rsidRPr="00E26C7E">
        <w:rPr>
          <w:lang w:val="en-CA"/>
        </w:rPr>
        <w:t xml:space="preserve"> and myself appeared on behalf of APPELE-Quebec before the Committee on Culture and Education in its study of Bill 40; we presented APPELE-Quebec's brief</w:t>
      </w:r>
      <w:r>
        <w:rPr>
          <w:rStyle w:val="Appelnotedebasdep"/>
          <w:lang w:val="en-CA"/>
        </w:rPr>
        <w:footnoteReference w:id="208"/>
      </w:r>
      <w:r w:rsidRPr="00E26C7E">
        <w:rPr>
          <w:lang w:val="en-CA"/>
        </w:rPr>
        <w:t>.</w:t>
      </w:r>
      <w:r w:rsidRPr="008743F6">
        <w:rPr>
          <w:lang w:val="en-CA"/>
        </w:rPr>
        <w:t xml:space="preserve"> </w:t>
      </w:r>
    </w:p>
    <w:p w14:paraId="2BE8C3F4" w14:textId="77777777" w:rsidR="003B1EC4" w:rsidRPr="008743F6" w:rsidRDefault="003B1EC4" w:rsidP="003B1EC4">
      <w:pPr>
        <w:pStyle w:val="Citation"/>
        <w:rPr>
          <w:lang w:val="en-CA"/>
        </w:rPr>
      </w:pPr>
      <w:r>
        <w:rPr>
          <w:lang w:val="en-CA"/>
        </w:rPr>
        <w:t>[16]</w:t>
      </w:r>
      <w:r w:rsidRPr="008743F6">
        <w:rPr>
          <w:lang w:val="en-CA"/>
        </w:rPr>
        <w:tab/>
      </w:r>
      <w:r w:rsidRPr="00E26C7E">
        <w:rPr>
          <w:lang w:val="en-CA"/>
        </w:rPr>
        <w:t>On November 25, 2019, I wrote to Minister Roberge to communicate the consensus that arose from the public hearings held by APPELE-Quebec, namely that the enactment of Bill 40 should be postponed until an in­ depth study had been conducted or, in the alternative, that English­ language school boards should be entirely exempted from the bill</w:t>
      </w:r>
      <w:r>
        <w:rPr>
          <w:rStyle w:val="Appelnotedebasdep"/>
          <w:lang w:val="en-CA"/>
        </w:rPr>
        <w:footnoteReference w:id="209"/>
      </w:r>
      <w:r w:rsidRPr="00E26C7E">
        <w:rPr>
          <w:lang w:val="en-CA"/>
        </w:rPr>
        <w:t>.</w:t>
      </w:r>
      <w:r w:rsidRPr="008743F6">
        <w:rPr>
          <w:lang w:val="en-CA"/>
        </w:rPr>
        <w:t xml:space="preserve"> </w:t>
      </w:r>
      <w:r>
        <w:rPr>
          <w:lang w:val="en-CA"/>
        </w:rPr>
        <w:t>[…] APPELE-Quebec received no feedback or response to our concerns.</w:t>
      </w:r>
    </w:p>
    <w:p w14:paraId="1BB224EF" w14:textId="77777777" w:rsidR="003B1EC4" w:rsidRPr="008743F6" w:rsidRDefault="003B1EC4" w:rsidP="003B1EC4">
      <w:pPr>
        <w:pStyle w:val="Citation"/>
        <w:rPr>
          <w:lang w:val="en-CA"/>
        </w:rPr>
      </w:pPr>
      <w:r>
        <w:rPr>
          <w:lang w:val="en-CA"/>
        </w:rPr>
        <w:t>[20]</w:t>
      </w:r>
      <w:r>
        <w:rPr>
          <w:lang w:val="en-CA"/>
        </w:rPr>
        <w:tab/>
        <w:t>On February 7, 2020, the government invoked closure to pass Bill 40. The amendments put forward during the legislative process were not responsive to the concerns expressed by APPELE-Quebec on behalf of the English-speaking community.</w:t>
      </w:r>
    </w:p>
    <w:p w14:paraId="1C3FAEA2" w14:textId="64C1E923" w:rsidR="003B1EC4" w:rsidRPr="00DB5C72" w:rsidRDefault="003B1EC4" w:rsidP="003B1EC4">
      <w:pPr>
        <w:pStyle w:val="Paragrsimple"/>
        <w:rPr>
          <w:lang w:val="en-CA"/>
        </w:rPr>
      </w:pPr>
      <w:r w:rsidRPr="00DB5C72">
        <w:rPr>
          <w:lang w:val="en-CA"/>
        </w:rPr>
        <w:t xml:space="preserve">Finally, </w:t>
      </w:r>
      <w:r w:rsidR="004C48B1">
        <w:rPr>
          <w:lang w:val="en-CA"/>
        </w:rPr>
        <w:t xml:space="preserve">it is worth noting </w:t>
      </w:r>
      <w:r w:rsidRPr="00DB5C72">
        <w:rPr>
          <w:lang w:val="en-CA"/>
        </w:rPr>
        <w:t xml:space="preserve">the intervention of the </w:t>
      </w:r>
      <w:r>
        <w:rPr>
          <w:lang w:val="en-CA"/>
        </w:rPr>
        <w:t>English Parents’ Committee Association</w:t>
      </w:r>
      <w:r w:rsidRPr="00DB5C72">
        <w:rPr>
          <w:lang w:val="en-CA"/>
        </w:rPr>
        <w:t xml:space="preserve">, </w:t>
      </w:r>
      <w:r>
        <w:rPr>
          <w:lang w:val="en-CA"/>
        </w:rPr>
        <w:t>whose support t</w:t>
      </w:r>
      <w:r w:rsidRPr="00DB5C72">
        <w:rPr>
          <w:lang w:val="en-CA"/>
        </w:rPr>
        <w:t xml:space="preserve">he AGQ was </w:t>
      </w:r>
      <w:r w:rsidR="004C48B1">
        <w:rPr>
          <w:lang w:val="en-CA"/>
        </w:rPr>
        <w:t>claiming</w:t>
      </w:r>
      <w:r w:rsidRPr="00DB5C72">
        <w:rPr>
          <w:lang w:val="en-CA"/>
        </w:rPr>
        <w:t xml:space="preserve">, </w:t>
      </w:r>
      <w:r w:rsidR="00372087">
        <w:rPr>
          <w:lang w:val="en-CA"/>
        </w:rPr>
        <w:t xml:space="preserve">especially since </w:t>
      </w:r>
      <w:r>
        <w:rPr>
          <w:lang w:val="en-CA"/>
        </w:rPr>
        <w:t>its</w:t>
      </w:r>
      <w:r w:rsidRPr="00DB5C72">
        <w:rPr>
          <w:lang w:val="en-CA"/>
        </w:rPr>
        <w:t xml:space="preserve"> spokesperson declared:</w:t>
      </w:r>
      <w:r>
        <w:rPr>
          <w:rStyle w:val="Appelnotedebasdep"/>
        </w:rPr>
        <w:footnoteReference w:id="210"/>
      </w:r>
    </w:p>
    <w:p w14:paraId="521B2D1B" w14:textId="77777777" w:rsidR="003B1EC4" w:rsidRPr="00E202F1" w:rsidRDefault="003B1EC4" w:rsidP="003B1EC4">
      <w:pPr>
        <w:pStyle w:val="Citation"/>
        <w:rPr>
          <w:lang w:val="en-CA"/>
        </w:rPr>
      </w:pPr>
      <w:r w:rsidRPr="00E202F1">
        <w:rPr>
          <w:lang w:val="en-CA"/>
        </w:rPr>
        <w:t>Regarding the government’s goal of providing autonomy for schools and proximity in decision-making: we appreciate and applaud the minister in wanting to bring the parents closer to the decision-making process.</w:t>
      </w:r>
    </w:p>
    <w:p w14:paraId="779E3DBF" w14:textId="77777777" w:rsidR="003B1EC4" w:rsidRPr="00E202F1" w:rsidRDefault="003B1EC4" w:rsidP="003B1EC4">
      <w:pPr>
        <w:pStyle w:val="Citation"/>
        <w:rPr>
          <w:lang w:val="en-CA"/>
        </w:rPr>
      </w:pPr>
      <w:r w:rsidRPr="00E202F1">
        <w:rPr>
          <w:lang w:val="en-CA"/>
        </w:rPr>
        <w:t xml:space="preserve">However, there are several aspects of the new model that raise concern and problem for us, and may indeed undermine the stated intention of proximity to the community. </w:t>
      </w:r>
    </w:p>
    <w:p w14:paraId="0CB3B988" w14:textId="77777777" w:rsidR="003B1EC4" w:rsidRPr="00151ABD" w:rsidRDefault="003B1EC4" w:rsidP="003B1EC4">
      <w:pPr>
        <w:pStyle w:val="Citation"/>
        <w:rPr>
          <w:lang w:val="en-CA"/>
        </w:rPr>
      </w:pPr>
      <w:r w:rsidRPr="00E202F1">
        <w:rPr>
          <w:lang w:val="en-CA"/>
        </w:rPr>
        <w:t>The new model … provides very specific criteria for the community representatives who will replace the existing elected commissioners (i.e. one each from the financial sector, sports and leisure, human resources, etc.).</w:t>
      </w:r>
      <w:r w:rsidRPr="00151ABD">
        <w:rPr>
          <w:lang w:val="en-CA"/>
        </w:rPr>
        <w:t xml:space="preserve"> </w:t>
      </w:r>
      <w:r w:rsidRPr="00E202F1">
        <w:rPr>
          <w:lang w:val="en-CA"/>
        </w:rPr>
        <w:t xml:space="preserve">We </w:t>
      </w:r>
      <w:r w:rsidRPr="00E202F1">
        <w:rPr>
          <w:lang w:val="en-CA"/>
        </w:rPr>
        <w:lastRenderedPageBreak/>
        <w:t>see it as highly unlikely that the people with these backgrounds are likely to step forward spontaneously to run for these positions, particularly in rural areas.</w:t>
      </w:r>
    </w:p>
    <w:p w14:paraId="65E154AB" w14:textId="77777777" w:rsidR="003B1EC4" w:rsidRPr="00DB5C72" w:rsidRDefault="003B1EC4" w:rsidP="003B1EC4">
      <w:pPr>
        <w:pStyle w:val="Citation"/>
        <w:rPr>
          <w:lang w:val="en-CA"/>
        </w:rPr>
      </w:pPr>
      <w:r w:rsidRPr="00DB5C72">
        <w:rPr>
          <w:lang w:val="en-CA"/>
        </w:rPr>
        <w:t>…</w:t>
      </w:r>
    </w:p>
    <w:p w14:paraId="107A2227" w14:textId="5E119668" w:rsidR="003B1EC4" w:rsidRPr="00E202F1" w:rsidRDefault="003B1EC4" w:rsidP="003B1EC4">
      <w:pPr>
        <w:pStyle w:val="Citation"/>
        <w:rPr>
          <w:lang w:val="en-CA"/>
        </w:rPr>
      </w:pPr>
      <w:r w:rsidRPr="00E202F1">
        <w:rPr>
          <w:lang w:val="en-CA"/>
        </w:rPr>
        <w:t>[</w:t>
      </w:r>
      <w:r w:rsidRPr="00703800">
        <w:rPr>
          <w:smallCaps/>
          <w:lang w:val="en-CA"/>
        </w:rPr>
        <w:t>translation</w:t>
      </w:r>
      <w:r w:rsidRPr="00E202F1">
        <w:rPr>
          <w:lang w:val="en-CA"/>
        </w:rPr>
        <w:t xml:space="preserve">] </w:t>
      </w:r>
      <w:r w:rsidR="008332AA">
        <w:rPr>
          <w:lang w:val="en-CA"/>
        </w:rPr>
        <w:t>Regarding</w:t>
      </w:r>
      <w:r w:rsidRPr="00E202F1">
        <w:rPr>
          <w:lang w:val="en-CA"/>
        </w:rPr>
        <w:t xml:space="preserve"> the government’s intention to depoliticize education, we believe that this bill will </w:t>
      </w:r>
      <w:r w:rsidR="00372087">
        <w:rPr>
          <w:lang w:val="en-CA"/>
        </w:rPr>
        <w:t>on the contrary</w:t>
      </w:r>
      <w:r w:rsidRPr="00E202F1">
        <w:rPr>
          <w:lang w:val="en-CA"/>
        </w:rPr>
        <w:t xml:space="preserve"> have a negative effect on democracy within the system.</w:t>
      </w:r>
    </w:p>
    <w:p w14:paraId="387CF993" w14:textId="77777777" w:rsidR="003B1EC4" w:rsidRPr="00151ABD" w:rsidRDefault="003B1EC4" w:rsidP="003B1EC4">
      <w:pPr>
        <w:pStyle w:val="Citation"/>
        <w:rPr>
          <w:lang w:val="en-CA"/>
        </w:rPr>
      </w:pPr>
      <w:r>
        <w:rPr>
          <w:lang w:val="en-CA"/>
        </w:rPr>
        <w:t>…</w:t>
      </w:r>
    </w:p>
    <w:p w14:paraId="2D7F5A37" w14:textId="77777777" w:rsidR="003B1EC4" w:rsidRPr="00151ABD" w:rsidRDefault="003B1EC4" w:rsidP="003B1EC4">
      <w:pPr>
        <w:pStyle w:val="Citation"/>
        <w:rPr>
          <w:lang w:val="en-CA"/>
        </w:rPr>
      </w:pPr>
      <w:r w:rsidRPr="00E202F1">
        <w:rPr>
          <w:lang w:val="en-CA"/>
        </w:rPr>
        <w:t>To conclude, we note that this bill has not emerged from any white paper or clear intention to improve education in Quebec.</w:t>
      </w:r>
      <w:r w:rsidRPr="00151ABD">
        <w:rPr>
          <w:lang w:val="en-CA"/>
        </w:rPr>
        <w:t xml:space="preserve"> </w:t>
      </w:r>
      <w:r w:rsidRPr="00E202F1">
        <w:rPr>
          <w:lang w:val="en-CA"/>
        </w:rPr>
        <w:t>It offers no metrics that matter to us, such as improving the graduation rate and the quality of education.</w:t>
      </w:r>
      <w:r w:rsidRPr="00151ABD">
        <w:rPr>
          <w:lang w:val="en-CA"/>
        </w:rPr>
        <w:t xml:space="preserve"> </w:t>
      </w:r>
      <w:r w:rsidRPr="00E202F1">
        <w:rPr>
          <w:lang w:val="en-CA"/>
        </w:rPr>
        <w:t>The government needs to stop focusing on structural changes that will not help our students, and instead loom at the excellent success rates of the 9 Anglophone school boards.</w:t>
      </w:r>
      <w:r w:rsidRPr="00151ABD">
        <w:rPr>
          <w:lang w:val="en-CA"/>
        </w:rPr>
        <w:t xml:space="preserve"> </w:t>
      </w:r>
      <w:r w:rsidRPr="00E202F1">
        <w:rPr>
          <w:lang w:val="en-CA"/>
        </w:rPr>
        <w:t>School boards are the one element of the public system that the English-speaking minority can call its own, thus giving it a degree of democratic legitimacy that is absent for English speakers dealing with other public services.</w:t>
      </w:r>
    </w:p>
    <w:p w14:paraId="09B4B358" w14:textId="77777777" w:rsidR="003B1EC4" w:rsidRPr="00151ABD" w:rsidRDefault="003B1EC4" w:rsidP="003B1EC4">
      <w:pPr>
        <w:pStyle w:val="Citation"/>
        <w:rPr>
          <w:lang w:val="en-CA"/>
        </w:rPr>
      </w:pPr>
      <w:r w:rsidRPr="00E202F1">
        <w:rPr>
          <w:lang w:val="en-CA"/>
        </w:rPr>
        <w:t>The existing School Board system is a community-based intermediary between the school and the Education Ministry, and an important institutional support to parents; and we see the new service centres proposed to replace them as having uncertain legal status, with leadership clearly answerable to the ministry before parents, teachers or administrators.</w:t>
      </w:r>
      <w:r w:rsidRPr="00151ABD">
        <w:rPr>
          <w:lang w:val="en-CA"/>
        </w:rPr>
        <w:t xml:space="preserve"> </w:t>
      </w:r>
      <w:r w:rsidRPr="00E202F1">
        <w:rPr>
          <w:lang w:val="en-CA"/>
        </w:rPr>
        <w:t>Without amendment, this bill is a disaster for our schools and the communities they support.</w:t>
      </w:r>
      <w:r w:rsidRPr="00151ABD">
        <w:rPr>
          <w:lang w:val="en-CA"/>
        </w:rPr>
        <w:t xml:space="preserve"> </w:t>
      </w:r>
      <w:r w:rsidRPr="00E202F1">
        <w:rPr>
          <w:lang w:val="en-CA"/>
        </w:rPr>
        <w:t>We encourage this Assembly to look long and hard at this bill, and to be ready to amend it in the interest of the quality of education in Quebec.”</w:t>
      </w:r>
      <w:r w:rsidRPr="00151ABD">
        <w:rPr>
          <w:lang w:val="en-CA"/>
        </w:rPr>
        <w:t xml:space="preserve"> </w:t>
      </w:r>
    </w:p>
    <w:p w14:paraId="7450F5C1" w14:textId="489F4D3F" w:rsidR="003B1EC4" w:rsidRPr="00DB5C72" w:rsidRDefault="003B1EC4" w:rsidP="003B1EC4">
      <w:pPr>
        <w:pStyle w:val="Paragrsimple"/>
        <w:rPr>
          <w:lang w:val="en-CA"/>
        </w:rPr>
      </w:pPr>
      <w:r w:rsidRPr="00DB5C72">
        <w:rPr>
          <w:lang w:val="en-CA"/>
        </w:rPr>
        <w:t xml:space="preserve">On February 7, 2020, a few days after tabling some 80 amendments to the bill, and </w:t>
      </w:r>
      <w:r w:rsidR="00686D2D">
        <w:rPr>
          <w:lang w:val="en-CA"/>
        </w:rPr>
        <w:t>while</w:t>
      </w:r>
      <w:r w:rsidR="00686D2D" w:rsidRPr="00DB5C72">
        <w:rPr>
          <w:lang w:val="en-CA"/>
        </w:rPr>
        <w:t xml:space="preserve"> </w:t>
      </w:r>
      <w:r w:rsidRPr="00DB5C72">
        <w:rPr>
          <w:lang w:val="en-CA"/>
        </w:rPr>
        <w:t xml:space="preserve">there </w:t>
      </w:r>
      <w:r w:rsidR="00686D2D">
        <w:rPr>
          <w:lang w:val="en-CA"/>
        </w:rPr>
        <w:t xml:space="preserve">still remained </w:t>
      </w:r>
      <w:r w:rsidRPr="00DB5C72">
        <w:rPr>
          <w:lang w:val="en-CA"/>
        </w:rPr>
        <w:t xml:space="preserve">about 300 provisions to debate, the government </w:t>
      </w:r>
      <w:r w:rsidR="00C314C4">
        <w:rPr>
          <w:lang w:val="en-CA"/>
        </w:rPr>
        <w:t>invoked closure</w:t>
      </w:r>
      <w:r w:rsidRPr="00DB5C72">
        <w:rPr>
          <w:lang w:val="en-CA"/>
        </w:rPr>
        <w:t xml:space="preserve"> to force </w:t>
      </w:r>
      <w:r w:rsidR="00686D2D">
        <w:rPr>
          <w:lang w:val="en-CA"/>
        </w:rPr>
        <w:t>the bill through</w:t>
      </w:r>
      <w:r w:rsidRPr="00DB5C72">
        <w:rPr>
          <w:lang w:val="en-CA"/>
        </w:rPr>
        <w:t xml:space="preserve"> on division.</w:t>
      </w:r>
    </w:p>
    <w:p w14:paraId="60F0F58E" w14:textId="5D0FB52D" w:rsidR="003B1EC4" w:rsidRPr="00DB5C72" w:rsidRDefault="003B1EC4" w:rsidP="003B1EC4">
      <w:pPr>
        <w:pStyle w:val="Paragrsimple"/>
        <w:rPr>
          <w:lang w:val="en-CA"/>
        </w:rPr>
      </w:pPr>
      <w:r w:rsidRPr="00E202F1">
        <w:rPr>
          <w:lang w:val="en-CA"/>
        </w:rPr>
        <w:t xml:space="preserve">The AGQ </w:t>
      </w:r>
      <w:r w:rsidR="00686D2D">
        <w:rPr>
          <w:lang w:val="en-CA"/>
        </w:rPr>
        <w:t>submits</w:t>
      </w:r>
      <w:r w:rsidRPr="00E202F1">
        <w:rPr>
          <w:lang w:val="en-CA"/>
        </w:rPr>
        <w:t xml:space="preserve"> that the Supreme Court decided in </w:t>
      </w:r>
      <w:proofErr w:type="spellStart"/>
      <w:r w:rsidRPr="00E202F1">
        <w:rPr>
          <w:i/>
          <w:lang w:val="en-CA"/>
        </w:rPr>
        <w:t>Mikisew</w:t>
      </w:r>
      <w:proofErr w:type="spellEnd"/>
      <w:r w:rsidRPr="00703800">
        <w:rPr>
          <w:rStyle w:val="Appelnotedebasdep"/>
          <w:iCs/>
        </w:rPr>
        <w:footnoteReference w:id="211"/>
      </w:r>
      <w:r w:rsidRPr="00E202F1">
        <w:rPr>
          <w:lang w:val="en-CA"/>
        </w:rPr>
        <w:t xml:space="preserve"> that the law-making process could not be subject to consultation because of the constitutional principle of the separation of powers.</w:t>
      </w:r>
      <w:r w:rsidR="00822668">
        <w:rPr>
          <w:lang w:val="en-CA"/>
        </w:rPr>
        <w:t xml:space="preserve"> </w:t>
      </w:r>
      <w:r w:rsidRPr="00E202F1">
        <w:rPr>
          <w:lang w:val="en-CA"/>
        </w:rPr>
        <w:t>Karakatsanis</w:t>
      </w:r>
      <w:r w:rsidR="00F21AA6">
        <w:rPr>
          <w:lang w:val="en-CA"/>
        </w:rPr>
        <w:t xml:space="preserve"> </w:t>
      </w:r>
      <w:r w:rsidRPr="00E202F1">
        <w:rPr>
          <w:lang w:val="en-CA"/>
        </w:rPr>
        <w:t>J. stated the following on behalf of three judges:</w:t>
      </w:r>
      <w:r w:rsidRPr="00DB5C72">
        <w:rPr>
          <w:lang w:val="en-CA"/>
        </w:rPr>
        <w:t xml:space="preserve">  </w:t>
      </w:r>
    </w:p>
    <w:p w14:paraId="17093FF3" w14:textId="77777777" w:rsidR="003B1EC4" w:rsidRPr="00DB5C72" w:rsidRDefault="003B1EC4" w:rsidP="003B1EC4">
      <w:pPr>
        <w:pStyle w:val="Citation"/>
        <w:rPr>
          <w:lang w:val="en-CA"/>
        </w:rPr>
      </w:pPr>
      <w:r w:rsidRPr="00DB5C72">
        <w:rPr>
          <w:lang w:val="en-CA"/>
        </w:rPr>
        <w:t>[32]</w:t>
      </w:r>
      <w:r w:rsidRPr="00DB5C72">
        <w:rPr>
          <w:lang w:val="en-CA"/>
        </w:rPr>
        <w:tab/>
      </w:r>
      <w:r w:rsidRPr="00E202F1">
        <w:rPr>
          <w:lang w:val="en-CA"/>
        </w:rPr>
        <w:t>... I conclude that the law-making process—that is, the development, passage, and enactment of legislation—does not trigger the duty to consult.</w:t>
      </w:r>
      <w:r w:rsidRPr="00DB5C72">
        <w:rPr>
          <w:lang w:val="en-CA"/>
        </w:rPr>
        <w:t xml:space="preserve"> </w:t>
      </w:r>
      <w:r w:rsidRPr="00E202F1">
        <w:rPr>
          <w:lang w:val="en-CA"/>
        </w:rPr>
        <w:t>The separation of powers and parliamentary sovereignty dictate that courts should forebear from intervening in the law-making process.</w:t>
      </w:r>
      <w:r w:rsidRPr="00DB5C72">
        <w:rPr>
          <w:lang w:val="en-CA"/>
        </w:rPr>
        <w:t xml:space="preserve"> </w:t>
      </w:r>
      <w:r w:rsidRPr="00E202F1">
        <w:rPr>
          <w:lang w:val="en-CA"/>
        </w:rPr>
        <w:t>Therefore, the duty to consult doctrine is ill-suited for legislative action.</w:t>
      </w:r>
      <w:r w:rsidRPr="00DB5C72">
        <w:rPr>
          <w:lang w:val="en-CA"/>
        </w:rPr>
        <w:t xml:space="preserve"> </w:t>
      </w:r>
    </w:p>
    <w:p w14:paraId="58E70E50" w14:textId="77777777" w:rsidR="003B1EC4" w:rsidRPr="00DB5C72" w:rsidRDefault="003B1EC4" w:rsidP="003B1EC4">
      <w:pPr>
        <w:pStyle w:val="Citation"/>
        <w:rPr>
          <w:lang w:val="en-CA"/>
        </w:rPr>
      </w:pPr>
      <w:r w:rsidRPr="00DB5C72">
        <w:rPr>
          <w:lang w:val="en-CA"/>
        </w:rPr>
        <w:lastRenderedPageBreak/>
        <w:t>[34]</w:t>
      </w:r>
      <w:r w:rsidRPr="00DB5C72">
        <w:rPr>
          <w:lang w:val="en-CA"/>
        </w:rPr>
        <w:tab/>
      </w:r>
      <w:r w:rsidRPr="00E202F1">
        <w:rPr>
          <w:lang w:val="en-CA"/>
        </w:rPr>
        <w:t>The development of legislation by ministers is part of the law-making process, and this process is generally protected from judicial oversight.</w:t>
      </w:r>
    </w:p>
    <w:p w14:paraId="331D0661" w14:textId="126CED6F" w:rsidR="003B1EC4" w:rsidRPr="00E202F1" w:rsidRDefault="003B1EC4" w:rsidP="003B1EC4">
      <w:pPr>
        <w:pStyle w:val="Paragrsimple"/>
        <w:rPr>
          <w:lang w:val="en-CA"/>
        </w:rPr>
      </w:pPr>
      <w:r w:rsidRPr="00E202F1">
        <w:rPr>
          <w:lang w:val="en-CA"/>
        </w:rPr>
        <w:t xml:space="preserve">Brown J., also </w:t>
      </w:r>
      <w:r w:rsidR="00F21AA6">
        <w:rPr>
          <w:lang w:val="en-CA"/>
        </w:rPr>
        <w:t xml:space="preserve">for </w:t>
      </w:r>
      <w:r w:rsidRPr="00E202F1">
        <w:rPr>
          <w:lang w:val="en-CA"/>
        </w:rPr>
        <w:t>three judges, was of a similar opinion:</w:t>
      </w:r>
    </w:p>
    <w:p w14:paraId="7B8A7F9E" w14:textId="77777777" w:rsidR="003B1EC4" w:rsidRPr="00DB5C72" w:rsidRDefault="003B1EC4" w:rsidP="003B1EC4">
      <w:pPr>
        <w:pStyle w:val="Citation"/>
        <w:rPr>
          <w:lang w:val="en-CA"/>
        </w:rPr>
      </w:pPr>
      <w:r w:rsidRPr="00DB5C72">
        <w:rPr>
          <w:lang w:val="en-CA"/>
        </w:rPr>
        <w:t>[117]</w:t>
      </w:r>
      <w:r w:rsidRPr="00DB5C72">
        <w:rPr>
          <w:lang w:val="en-CA"/>
        </w:rPr>
        <w:tab/>
      </w:r>
      <w:r w:rsidRPr="00E202F1">
        <w:rPr>
          <w:lang w:val="en-CA"/>
        </w:rPr>
        <w:t>I agree with the majority of the Court of Appeal that the entire law-making process—from initial policy development to and including royal assent—is an exercise of legislative power which is immune from judicial interference.</w:t>
      </w:r>
      <w:r w:rsidRPr="00DB5C72">
        <w:rPr>
          <w:lang w:val="en-CA"/>
        </w:rPr>
        <w:t xml:space="preserve"> </w:t>
      </w:r>
      <w:r w:rsidRPr="00E202F1">
        <w:rPr>
          <w:lang w:val="en-CA"/>
        </w:rPr>
        <w:t xml:space="preserve">As this Court explained in </w:t>
      </w:r>
      <w:r w:rsidRPr="00E202F1">
        <w:rPr>
          <w:i/>
          <w:lang w:val="en-CA"/>
        </w:rPr>
        <w:t>Ontario v. Criminal Lawyers’ Association of Ontario</w:t>
      </w:r>
      <w:r w:rsidRPr="00E202F1">
        <w:rPr>
          <w:lang w:val="en-CA"/>
        </w:rPr>
        <w:t xml:space="preserve">, 2013 SCC 43, [2013] 3 S.C.R. </w:t>
      </w:r>
      <w:r w:rsidRPr="00DB5C72">
        <w:rPr>
          <w:lang w:val="en-CA"/>
        </w:rPr>
        <w:t xml:space="preserve"> </w:t>
      </w:r>
      <w:r w:rsidRPr="00323372">
        <w:rPr>
          <w:lang w:val="en-CA"/>
        </w:rPr>
        <w:t>3 at para.  </w:t>
      </w:r>
      <w:r w:rsidRPr="00E202F1">
        <w:rPr>
          <w:lang w:val="en-CA"/>
        </w:rPr>
        <w:t>28, the making of “policy choices” is a legislative function, while the implementation and administration of those choices is an executive function.</w:t>
      </w:r>
      <w:r w:rsidRPr="00DB5C72">
        <w:rPr>
          <w:lang w:val="en-CA"/>
        </w:rPr>
        <w:t xml:space="preserve"> </w:t>
      </w:r>
      <w:r w:rsidRPr="00E202F1">
        <w:rPr>
          <w:lang w:val="en-CA"/>
        </w:rPr>
        <w:t>This precludes judicial imposition of a duty to consult in the course of the law-making process.</w:t>
      </w:r>
      <w:r w:rsidRPr="00DB5C72">
        <w:rPr>
          <w:lang w:val="en-CA"/>
        </w:rPr>
        <w:t xml:space="preserve"> </w:t>
      </w:r>
    </w:p>
    <w:p w14:paraId="0B4EBC13" w14:textId="77777777" w:rsidR="003B1EC4" w:rsidRPr="00DB5C72" w:rsidRDefault="003B1EC4" w:rsidP="003B1EC4">
      <w:pPr>
        <w:pStyle w:val="Citation"/>
        <w:rPr>
          <w:lang w:val="en-CA"/>
        </w:rPr>
      </w:pPr>
      <w:r w:rsidRPr="00DB5C72">
        <w:rPr>
          <w:lang w:val="en-CA"/>
        </w:rPr>
        <w:t>[118]</w:t>
      </w:r>
      <w:r w:rsidRPr="00DB5C72">
        <w:rPr>
          <w:lang w:val="en-CA"/>
        </w:rPr>
        <w:tab/>
      </w:r>
      <w:r w:rsidRPr="00E202F1">
        <w:rPr>
          <w:lang w:val="en-CA"/>
        </w:rPr>
        <w:t>The separation of powers protects the process of legislative policy-making by Cabinet and the preparation and introduction of bills for consideration by Parliament (and provincial legislatures) from judicial review.</w:t>
      </w:r>
      <w:r w:rsidRPr="00DB5C72">
        <w:rPr>
          <w:lang w:val="en-CA"/>
        </w:rPr>
        <w:t xml:space="preserve"> </w:t>
      </w:r>
    </w:p>
    <w:p w14:paraId="6691D920" w14:textId="77DD837A" w:rsidR="003B1EC4" w:rsidRPr="00E202F1" w:rsidRDefault="00F21AA6" w:rsidP="003B1EC4">
      <w:pPr>
        <w:pStyle w:val="Paragrsimple"/>
        <w:rPr>
          <w:lang w:val="en-CA"/>
        </w:rPr>
      </w:pPr>
      <w:r>
        <w:rPr>
          <w:lang w:val="en-CA"/>
        </w:rPr>
        <w:t>T</w:t>
      </w:r>
      <w:r w:rsidR="003B1EC4" w:rsidRPr="00E202F1">
        <w:rPr>
          <w:lang w:val="en-CA"/>
        </w:rPr>
        <w:t xml:space="preserve">he judges </w:t>
      </w:r>
      <w:r>
        <w:rPr>
          <w:lang w:val="en-CA"/>
        </w:rPr>
        <w:t xml:space="preserve">nevertheless </w:t>
      </w:r>
      <w:r w:rsidR="003B1EC4" w:rsidRPr="00E202F1">
        <w:rPr>
          <w:lang w:val="en-CA"/>
        </w:rPr>
        <w:t>agreed in that case that if the legislation infringe</w:t>
      </w:r>
      <w:r w:rsidR="003B1EC4">
        <w:rPr>
          <w:lang w:val="en-CA"/>
        </w:rPr>
        <w:t>d</w:t>
      </w:r>
      <w:r w:rsidR="003B1EC4" w:rsidRPr="00E202F1">
        <w:rPr>
          <w:lang w:val="en-CA"/>
        </w:rPr>
        <w:t xml:space="preserve"> rights protected </w:t>
      </w:r>
      <w:r w:rsidR="003B1EC4">
        <w:rPr>
          <w:lang w:val="en-CA"/>
        </w:rPr>
        <w:t>under</w:t>
      </w:r>
      <w:r w:rsidR="003B1EC4" w:rsidRPr="00E202F1">
        <w:rPr>
          <w:lang w:val="en-CA"/>
        </w:rPr>
        <w:t xml:space="preserve"> section 35 of </w:t>
      </w:r>
      <w:r w:rsidR="003B1EC4" w:rsidRPr="00E202F1">
        <w:rPr>
          <w:i/>
          <w:lang w:val="en-CA"/>
        </w:rPr>
        <w:t>The Constitution Act, 1982</w:t>
      </w:r>
      <w:r w:rsidR="003B1EC4" w:rsidRPr="00E202F1">
        <w:rPr>
          <w:lang w:val="en-CA"/>
        </w:rPr>
        <w:t xml:space="preserve">, the courts could invalidate it. </w:t>
      </w:r>
    </w:p>
    <w:p w14:paraId="0443919F" w14:textId="73605BF9" w:rsidR="003B1EC4" w:rsidRPr="0021443C" w:rsidRDefault="003B1EC4" w:rsidP="003B1EC4">
      <w:pPr>
        <w:pStyle w:val="Paragrsimple"/>
        <w:rPr>
          <w:lang w:val="en-CA"/>
        </w:rPr>
      </w:pPr>
      <w:r w:rsidRPr="009205B3">
        <w:rPr>
          <w:lang w:val="en-CA"/>
        </w:rPr>
        <w:t xml:space="preserve">The </w:t>
      </w:r>
      <w:r>
        <w:rPr>
          <w:lang w:val="en-CA"/>
        </w:rPr>
        <w:t>applicants</w:t>
      </w:r>
      <w:r w:rsidRPr="009205B3">
        <w:rPr>
          <w:lang w:val="en-CA"/>
        </w:rPr>
        <w:t xml:space="preserve"> </w:t>
      </w:r>
      <w:r w:rsidR="00F21AA6">
        <w:rPr>
          <w:lang w:val="en-CA"/>
        </w:rPr>
        <w:t>submit</w:t>
      </w:r>
      <w:r w:rsidR="00F21AA6" w:rsidRPr="009205B3">
        <w:rPr>
          <w:lang w:val="en-CA"/>
        </w:rPr>
        <w:t xml:space="preserve"> </w:t>
      </w:r>
      <w:r w:rsidRPr="009205B3">
        <w:rPr>
          <w:lang w:val="en-CA"/>
        </w:rPr>
        <w:t xml:space="preserve">that in </w:t>
      </w:r>
      <w:r w:rsidRPr="009205B3">
        <w:rPr>
          <w:i/>
          <w:lang w:val="en-CA"/>
        </w:rPr>
        <w:t>British Columbia Teachers’ Federation</w:t>
      </w:r>
      <w:r w:rsidRPr="009205B3">
        <w:rPr>
          <w:lang w:val="en-CA"/>
        </w:rPr>
        <w:t>,</w:t>
      </w:r>
      <w:r w:rsidRPr="00703800">
        <w:rPr>
          <w:rStyle w:val="Appelnotedebasdep"/>
          <w:iCs/>
          <w:lang w:val="en-CA"/>
        </w:rPr>
        <w:footnoteReference w:id="212"/>
      </w:r>
      <w:r w:rsidRPr="00703800">
        <w:rPr>
          <w:iCs/>
          <w:lang w:val="en-CA"/>
        </w:rPr>
        <w:t xml:space="preserve"> </w:t>
      </w:r>
      <w:r w:rsidRPr="009205B3">
        <w:rPr>
          <w:lang w:val="en-CA"/>
        </w:rPr>
        <w:t xml:space="preserve">Donald J.A., whose reasons were adopted by the majority of the Supreme Court, </w:t>
      </w:r>
      <w:r w:rsidR="00F21AA6">
        <w:rPr>
          <w:lang w:val="en-CA"/>
        </w:rPr>
        <w:t>found</w:t>
      </w:r>
      <w:r w:rsidR="00F21AA6" w:rsidRPr="009205B3">
        <w:rPr>
          <w:lang w:val="en-CA"/>
        </w:rPr>
        <w:t xml:space="preserve"> </w:t>
      </w:r>
      <w:r w:rsidRPr="009205B3">
        <w:rPr>
          <w:lang w:val="en-CA"/>
        </w:rPr>
        <w:t xml:space="preserve">that </w:t>
      </w:r>
      <w:r w:rsidR="00BA2112">
        <w:rPr>
          <w:lang w:val="en-CA"/>
        </w:rPr>
        <w:t xml:space="preserve">the government’s </w:t>
      </w:r>
      <w:r w:rsidRPr="009205B3">
        <w:rPr>
          <w:lang w:val="en-CA"/>
        </w:rPr>
        <w:t xml:space="preserve">prior good faith consultation </w:t>
      </w:r>
      <w:r w:rsidR="00BA2112">
        <w:rPr>
          <w:lang w:val="en-CA"/>
        </w:rPr>
        <w:t>with</w:t>
      </w:r>
      <w:r w:rsidR="00BA2112" w:rsidRPr="009205B3">
        <w:rPr>
          <w:lang w:val="en-CA"/>
        </w:rPr>
        <w:t xml:space="preserve"> </w:t>
      </w:r>
      <w:r w:rsidRPr="009205B3">
        <w:rPr>
          <w:lang w:val="en-CA"/>
        </w:rPr>
        <w:t xml:space="preserve">the unions could legitimize a statute </w:t>
      </w:r>
      <w:r w:rsidR="00BA2112">
        <w:rPr>
          <w:lang w:val="en-CA"/>
        </w:rPr>
        <w:t xml:space="preserve">in relation </w:t>
      </w:r>
      <w:r w:rsidRPr="009205B3">
        <w:rPr>
          <w:lang w:val="en-CA"/>
        </w:rPr>
        <w:t xml:space="preserve">to any infringement of the right to free collective bargaining, a derivative of the right to freedom of association. </w:t>
      </w:r>
      <w:r w:rsidRPr="0021443C">
        <w:rPr>
          <w:lang w:val="en-CA"/>
        </w:rPr>
        <w:t>He wrote:</w:t>
      </w:r>
      <w:r w:rsidRPr="00E202F1">
        <w:rPr>
          <w:rStyle w:val="Appelnotedebasdep"/>
        </w:rPr>
        <w:footnoteReference w:id="213"/>
      </w:r>
    </w:p>
    <w:p w14:paraId="2F3630F1" w14:textId="77777777" w:rsidR="003B1EC4" w:rsidRPr="00C80106" w:rsidRDefault="003B1EC4" w:rsidP="003B1EC4">
      <w:pPr>
        <w:pStyle w:val="Citation"/>
        <w:rPr>
          <w:lang w:val="en-CA"/>
        </w:rPr>
      </w:pPr>
      <w:r>
        <w:rPr>
          <w:lang w:val="en-CA"/>
        </w:rPr>
        <w:t>[287]</w:t>
      </w:r>
      <w:r w:rsidRPr="00C80106">
        <w:rPr>
          <w:lang w:val="en-CA"/>
        </w:rPr>
        <w:tab/>
      </w:r>
      <w:r>
        <w:rPr>
          <w:lang w:val="en-CA"/>
        </w:rPr>
        <w:t>If the act of associating in order to collectively negotiate to achieve workplace goals is not substantially interfered with, the government has not breached s. 2(d).</w:t>
      </w:r>
      <w:r w:rsidRPr="00C80106">
        <w:rPr>
          <w:lang w:val="en-CA"/>
        </w:rPr>
        <w:t xml:space="preserve"> </w:t>
      </w:r>
      <w:r>
        <w:rPr>
          <w:lang w:val="en-CA"/>
        </w:rPr>
        <w:t>The mere act of passing the terms of employment through legislation rather than a traditional collective agreement makes no difference to whether the employees were given the opportunity to associate and effectively pursue workplace goals.</w:t>
      </w:r>
      <w:r w:rsidRPr="00C80106">
        <w:rPr>
          <w:lang w:val="en-CA"/>
        </w:rPr>
        <w:t xml:space="preserve"> </w:t>
      </w:r>
      <w:r>
        <w:rPr>
          <w:lang w:val="en-CA"/>
        </w:rPr>
        <w:t>If the government, prior to unilaterally changing terms of employment, gives a union the opportunity to meaningfully influence the changes made, on bargaining terms of approximate equality, it will likely lead to a finding that the union was not rendered feckless and the employees’ attempts at associating to pursue workplace goals were not pointless or futile: see SFL at para.</w:t>
      </w:r>
      <w:r w:rsidRPr="00C80106">
        <w:rPr>
          <w:lang w:val="en-CA"/>
        </w:rPr>
        <w:t xml:space="preserve"> </w:t>
      </w:r>
      <w:r>
        <w:rPr>
          <w:lang w:val="en-CA"/>
        </w:rPr>
        <w:t>55.</w:t>
      </w:r>
      <w:r w:rsidRPr="00C80106">
        <w:rPr>
          <w:lang w:val="en-CA"/>
        </w:rPr>
        <w:t xml:space="preserve"> </w:t>
      </w:r>
      <w:r>
        <w:rPr>
          <w:lang w:val="en-CA"/>
        </w:rPr>
        <w:t>Thus, the employees’ freedom of association would likely not therefore be breached.</w:t>
      </w:r>
    </w:p>
    <w:p w14:paraId="4D005F86" w14:textId="77777777" w:rsidR="003B1EC4" w:rsidRPr="00840E04" w:rsidRDefault="003B1EC4" w:rsidP="003B1EC4">
      <w:pPr>
        <w:pStyle w:val="Citation"/>
        <w:rPr>
          <w:u w:val="single"/>
          <w:lang w:val="en-CA"/>
        </w:rPr>
      </w:pPr>
      <w:r>
        <w:rPr>
          <w:lang w:val="en-CA"/>
        </w:rPr>
        <w:t>[288]</w:t>
      </w:r>
      <w:r>
        <w:rPr>
          <w:lang w:val="en-CA"/>
        </w:rPr>
        <w:tab/>
      </w:r>
      <w:r w:rsidRPr="009205B3">
        <w:rPr>
          <w:lang w:val="en-CA"/>
        </w:rPr>
        <w:t xml:space="preserve">In this context, a </w:t>
      </w:r>
      <w:r w:rsidRPr="009205B3">
        <w:rPr>
          <w:i/>
          <w:lang w:val="en-CA"/>
        </w:rPr>
        <w:t>Charter</w:t>
      </w:r>
      <w:r w:rsidRPr="009205B3">
        <w:rPr>
          <w:lang w:val="en-CA"/>
        </w:rPr>
        <w:t xml:space="preserve"> breach cannot always be seen within the four corners of legislation, but must sometimes be found to occur prior to the passage of the legislation, when the government failed to consult a union in good faith or give it an opportunity to bargain collectively.</w:t>
      </w:r>
      <w:r w:rsidRPr="00C80106">
        <w:rPr>
          <w:lang w:val="en-CA"/>
        </w:rPr>
        <w:t xml:space="preserve"> </w:t>
      </w:r>
      <w:r>
        <w:rPr>
          <w:u w:val="single"/>
          <w:lang w:val="en-CA"/>
        </w:rPr>
        <w:t xml:space="preserve">If the breach is the </w:t>
      </w:r>
      <w:r>
        <w:rPr>
          <w:u w:val="single"/>
          <w:lang w:val="en-CA"/>
        </w:rPr>
        <w:lastRenderedPageBreak/>
        <w:t>lack of consultation, then surely this Court must consider such a lack of consultation when determining whether a breach occurred.</w:t>
      </w:r>
    </w:p>
    <w:p w14:paraId="225D6695" w14:textId="77777777" w:rsidR="003B1EC4" w:rsidRDefault="003B1EC4" w:rsidP="003B1EC4">
      <w:pPr>
        <w:pStyle w:val="Citation"/>
        <w:rPr>
          <w:lang w:val="en-CA"/>
        </w:rPr>
      </w:pPr>
      <w:r>
        <w:rPr>
          <w:lang w:val="en-CA"/>
        </w:rPr>
        <w:t>[289]</w:t>
      </w:r>
      <w:r w:rsidRPr="00C80106">
        <w:rPr>
          <w:lang w:val="en-CA"/>
        </w:rPr>
        <w:tab/>
      </w:r>
      <w:r>
        <w:rPr>
          <w:lang w:val="en-CA"/>
        </w:rPr>
        <w:t>It is true that any pre-legislative consultation in this context would inevitably be done by the executive, rather than the legislative, branch of government.</w:t>
      </w:r>
      <w:r w:rsidRPr="00C80106">
        <w:rPr>
          <w:lang w:val="en-CA"/>
        </w:rPr>
        <w:t xml:space="preserve"> </w:t>
      </w:r>
      <w:r>
        <w:rPr>
          <w:lang w:val="en-CA"/>
        </w:rPr>
        <w:t>I do not believe this creates any practical difficulty in the analysis.</w:t>
      </w:r>
      <w:r w:rsidRPr="00C80106">
        <w:rPr>
          <w:lang w:val="en-CA"/>
        </w:rPr>
        <w:t> </w:t>
      </w:r>
    </w:p>
    <w:p w14:paraId="74351FDE" w14:textId="77777777" w:rsidR="003B1EC4" w:rsidRPr="00E202F1" w:rsidRDefault="003B1EC4" w:rsidP="003B1EC4">
      <w:pPr>
        <w:pStyle w:val="Citationenretrait"/>
        <w:jc w:val="right"/>
        <w:rPr>
          <w:sz w:val="24"/>
          <w:szCs w:val="24"/>
          <w:lang w:val="en-CA"/>
        </w:rPr>
      </w:pPr>
      <w:r w:rsidRPr="00E202F1">
        <w:rPr>
          <w:sz w:val="24"/>
          <w:szCs w:val="24"/>
          <w:lang w:val="en-CA"/>
        </w:rPr>
        <w:t>[Emphasis added.]</w:t>
      </w:r>
    </w:p>
    <w:p w14:paraId="35147B44" w14:textId="2C131D16" w:rsidR="003B1EC4" w:rsidRPr="007A0169" w:rsidRDefault="003B1EC4" w:rsidP="003B1EC4">
      <w:pPr>
        <w:pStyle w:val="Paragrsimple"/>
        <w:rPr>
          <w:lang w:val="en-CA"/>
        </w:rPr>
      </w:pPr>
      <w:r w:rsidRPr="007A0169">
        <w:rPr>
          <w:lang w:val="en-CA"/>
        </w:rPr>
        <w:t xml:space="preserve">The </w:t>
      </w:r>
      <w:r>
        <w:rPr>
          <w:lang w:val="en-CA"/>
        </w:rPr>
        <w:t>applicants</w:t>
      </w:r>
      <w:r w:rsidRPr="007A0169">
        <w:rPr>
          <w:lang w:val="en-CA"/>
        </w:rPr>
        <w:t xml:space="preserve"> consider this approach is also justified </w:t>
      </w:r>
      <w:r>
        <w:rPr>
          <w:lang w:val="en-CA"/>
        </w:rPr>
        <w:t>where</w:t>
      </w:r>
      <w:r w:rsidRPr="007A0169">
        <w:rPr>
          <w:lang w:val="en-CA"/>
        </w:rPr>
        <w:t xml:space="preserve"> </w:t>
      </w:r>
      <w:r w:rsidR="00BA2112">
        <w:rPr>
          <w:lang w:val="en-CA"/>
        </w:rPr>
        <w:t xml:space="preserve">section 23 </w:t>
      </w:r>
      <w:r w:rsidRPr="007A0169">
        <w:rPr>
          <w:lang w:val="en-CA"/>
        </w:rPr>
        <w:t xml:space="preserve">rights </w:t>
      </w:r>
      <w:r>
        <w:rPr>
          <w:lang w:val="en-CA"/>
        </w:rPr>
        <w:t>are impaired</w:t>
      </w:r>
      <w:r w:rsidRPr="007A0169">
        <w:rPr>
          <w:lang w:val="en-CA"/>
        </w:rPr>
        <w:t>, because section 2(</w:t>
      </w:r>
      <w:r w:rsidRPr="00216139">
        <w:rPr>
          <w:i/>
          <w:iCs/>
          <w:lang w:val="en-CA"/>
        </w:rPr>
        <w:t>d</w:t>
      </w:r>
      <w:r w:rsidRPr="007A0169">
        <w:rPr>
          <w:lang w:val="en-CA"/>
        </w:rPr>
        <w:t xml:space="preserve">) and section 23 of the </w:t>
      </w:r>
      <w:r w:rsidRPr="00216139">
        <w:rPr>
          <w:i/>
          <w:iCs/>
          <w:lang w:val="en-CA"/>
        </w:rPr>
        <w:t>Charter</w:t>
      </w:r>
      <w:r w:rsidRPr="007A0169">
        <w:rPr>
          <w:lang w:val="en-CA"/>
        </w:rPr>
        <w:t xml:space="preserve"> guarant</w:t>
      </w:r>
      <w:r w:rsidR="00BA2112">
        <w:rPr>
          <w:lang w:val="en-CA"/>
        </w:rPr>
        <w:t>ee</w:t>
      </w:r>
      <w:r w:rsidRPr="007A0169">
        <w:rPr>
          <w:lang w:val="en-CA"/>
        </w:rPr>
        <w:t xml:space="preserve"> a </w:t>
      </w:r>
      <w:r>
        <w:rPr>
          <w:lang w:val="en-CA"/>
        </w:rPr>
        <w:t>[</w:t>
      </w:r>
      <w:r w:rsidRPr="00216139">
        <w:rPr>
          <w:smallCaps/>
          <w:lang w:val="en-CA"/>
        </w:rPr>
        <w:t>translation</w:t>
      </w:r>
      <w:r>
        <w:rPr>
          <w:lang w:val="en-CA"/>
        </w:rPr>
        <w:t xml:space="preserve">] </w:t>
      </w:r>
      <w:r w:rsidRPr="007A0169">
        <w:rPr>
          <w:lang w:val="en-CA"/>
        </w:rPr>
        <w:t xml:space="preserve">“process”. It is their opinion that </w:t>
      </w:r>
      <w:r w:rsidR="00BA2112">
        <w:rPr>
          <w:lang w:val="en-CA"/>
        </w:rPr>
        <w:t xml:space="preserve">the fact that the </w:t>
      </w:r>
      <w:r w:rsidRPr="007A0169">
        <w:rPr>
          <w:lang w:val="en-CA"/>
        </w:rPr>
        <w:t>government must take their needs</w:t>
      </w:r>
      <w:r w:rsidR="00BA2112">
        <w:rPr>
          <w:lang w:val="en-CA"/>
        </w:rPr>
        <w:t xml:space="preserve"> into account </w:t>
      </w:r>
      <w:r w:rsidRPr="007A0169">
        <w:rPr>
          <w:lang w:val="en-CA"/>
        </w:rPr>
        <w:t>guarant</w:t>
      </w:r>
      <w:r w:rsidR="00BA2112">
        <w:rPr>
          <w:lang w:val="en-CA"/>
        </w:rPr>
        <w:t>e</w:t>
      </w:r>
      <w:r w:rsidRPr="007A0169">
        <w:rPr>
          <w:lang w:val="en-CA"/>
        </w:rPr>
        <w:t xml:space="preserve">es a prior consultation. </w:t>
      </w:r>
      <w:r w:rsidRPr="007A0169">
        <w:rPr>
          <w:rFonts w:cs="Arial"/>
          <w:szCs w:val="24"/>
          <w:lang w:val="en-CA"/>
        </w:rPr>
        <w:t xml:space="preserve">They also </w:t>
      </w:r>
      <w:r w:rsidR="00BA2112">
        <w:rPr>
          <w:rFonts w:cs="Arial"/>
          <w:szCs w:val="24"/>
          <w:lang w:val="en-CA"/>
        </w:rPr>
        <w:t>invoke</w:t>
      </w:r>
      <w:r w:rsidR="00BA2112" w:rsidRPr="007A0169">
        <w:rPr>
          <w:rFonts w:cs="Arial"/>
          <w:szCs w:val="24"/>
          <w:lang w:val="en-CA"/>
        </w:rPr>
        <w:t xml:space="preserve"> </w:t>
      </w:r>
      <w:r w:rsidRPr="007A0169">
        <w:rPr>
          <w:rFonts w:cs="Arial"/>
          <w:i/>
          <w:szCs w:val="24"/>
          <w:lang w:val="en-CA"/>
        </w:rPr>
        <w:t>Ontario (Attorney General)</w:t>
      </w:r>
      <w:r w:rsidR="002C63E9">
        <w:rPr>
          <w:rFonts w:cs="Arial"/>
          <w:i/>
          <w:szCs w:val="24"/>
          <w:lang w:val="en-CA"/>
        </w:rPr>
        <w:t xml:space="preserve"> v. </w:t>
      </w:r>
      <w:r w:rsidRPr="007A0169">
        <w:rPr>
          <w:rFonts w:cs="Arial"/>
          <w:i/>
          <w:szCs w:val="24"/>
          <w:lang w:val="en-CA"/>
        </w:rPr>
        <w:t>Fraser</w:t>
      </w:r>
      <w:r>
        <w:rPr>
          <w:rStyle w:val="Appelnotedebasdep"/>
          <w:iCs/>
          <w:szCs w:val="24"/>
        </w:rPr>
        <w:footnoteReference w:id="214"/>
      </w:r>
      <w:r w:rsidRPr="007A0169">
        <w:rPr>
          <w:rFonts w:cs="Arial"/>
          <w:szCs w:val="24"/>
          <w:lang w:val="en-CA"/>
        </w:rPr>
        <w:t xml:space="preserve"> and </w:t>
      </w:r>
      <w:r w:rsidRPr="007A0169">
        <w:rPr>
          <w:rFonts w:cs="Arial"/>
          <w:i/>
          <w:szCs w:val="24"/>
          <w:lang w:val="en-CA"/>
        </w:rPr>
        <w:t>Mounted Police Association of Ontario v. Canada (Attorney General).</w:t>
      </w:r>
      <w:r>
        <w:rPr>
          <w:rStyle w:val="Appelnotedebasdep"/>
          <w:rFonts w:cs="Arial"/>
          <w:color w:val="212529"/>
          <w:szCs w:val="24"/>
        </w:rPr>
        <w:footnoteReference w:id="215"/>
      </w:r>
    </w:p>
    <w:p w14:paraId="6DC99DAB" w14:textId="4D5DDEFA" w:rsidR="003B1EC4" w:rsidRPr="007A0169" w:rsidRDefault="003B1EC4" w:rsidP="003B1EC4">
      <w:pPr>
        <w:pStyle w:val="Paragrsimple"/>
        <w:rPr>
          <w:lang w:val="en-CA"/>
        </w:rPr>
      </w:pPr>
      <w:r w:rsidRPr="007A0169">
        <w:rPr>
          <w:lang w:val="en-CA"/>
        </w:rPr>
        <w:t xml:space="preserve">The Court </w:t>
      </w:r>
      <w:r w:rsidR="00BA2112">
        <w:rPr>
          <w:lang w:val="en-CA"/>
        </w:rPr>
        <w:t>finds</w:t>
      </w:r>
      <w:r w:rsidR="00BA2112" w:rsidRPr="007A0169">
        <w:rPr>
          <w:lang w:val="en-CA"/>
        </w:rPr>
        <w:t xml:space="preserve"> </w:t>
      </w:r>
      <w:r w:rsidRPr="007A0169">
        <w:rPr>
          <w:lang w:val="en-CA"/>
        </w:rPr>
        <w:t xml:space="preserve">that the right to </w:t>
      </w:r>
      <w:r w:rsidR="00270318">
        <w:rPr>
          <w:lang w:val="en-CA"/>
        </w:rPr>
        <w:t xml:space="preserve">consultation </w:t>
      </w:r>
      <w:r w:rsidRPr="007A0169">
        <w:rPr>
          <w:lang w:val="en-CA"/>
        </w:rPr>
        <w:t xml:space="preserve">may differ </w:t>
      </w:r>
      <w:r w:rsidR="00270318">
        <w:rPr>
          <w:lang w:val="en-CA"/>
        </w:rPr>
        <w:t>depending on whether the</w:t>
      </w:r>
      <w:r w:rsidR="00270318" w:rsidRPr="007A0169">
        <w:rPr>
          <w:lang w:val="en-CA"/>
        </w:rPr>
        <w:t xml:space="preserve"> </w:t>
      </w:r>
      <w:r w:rsidRPr="007A0169">
        <w:rPr>
          <w:lang w:val="en-CA"/>
        </w:rPr>
        <w:t>matter concern</w:t>
      </w:r>
      <w:r w:rsidR="00270318">
        <w:rPr>
          <w:lang w:val="en-CA"/>
        </w:rPr>
        <w:t>s</w:t>
      </w:r>
      <w:r w:rsidRPr="007A0169">
        <w:rPr>
          <w:lang w:val="en-CA"/>
        </w:rPr>
        <w:t xml:space="preserve"> the right to collective bargaining, the rights of Indigenous people</w:t>
      </w:r>
      <w:r>
        <w:rPr>
          <w:lang w:val="en-CA"/>
        </w:rPr>
        <w:t>s</w:t>
      </w:r>
      <w:r w:rsidRPr="007A0169">
        <w:rPr>
          <w:lang w:val="en-CA"/>
        </w:rPr>
        <w:t xml:space="preserve">, </w:t>
      </w:r>
      <w:r w:rsidR="008423B4">
        <w:rPr>
          <w:lang w:val="en-CA"/>
        </w:rPr>
        <w:t>or</w:t>
      </w:r>
      <w:r w:rsidRPr="007A0169">
        <w:rPr>
          <w:lang w:val="en-CA"/>
        </w:rPr>
        <w:t xml:space="preserve"> the right to education in the minority</w:t>
      </w:r>
      <w:r w:rsidR="00E82448">
        <w:rPr>
          <w:lang w:val="en-CA"/>
        </w:rPr>
        <w:t xml:space="preserve"> </w:t>
      </w:r>
      <w:r w:rsidRPr="007A0169">
        <w:rPr>
          <w:lang w:val="en-CA"/>
        </w:rPr>
        <w:t xml:space="preserve">language. </w:t>
      </w:r>
    </w:p>
    <w:p w14:paraId="6AB28B46" w14:textId="37646B20" w:rsidR="003B1EC4" w:rsidRPr="007A0169" w:rsidRDefault="003B1EC4" w:rsidP="003B1EC4">
      <w:pPr>
        <w:pStyle w:val="Paragrsimple"/>
        <w:rPr>
          <w:lang w:val="en-CA"/>
        </w:rPr>
      </w:pPr>
      <w:r w:rsidRPr="007A0169">
        <w:rPr>
          <w:lang w:val="en-CA"/>
        </w:rPr>
        <w:t>The</w:t>
      </w:r>
      <w:r w:rsidR="00E82448">
        <w:rPr>
          <w:lang w:val="en-CA"/>
        </w:rPr>
        <w:t>y</w:t>
      </w:r>
      <w:r w:rsidRPr="007A0169">
        <w:rPr>
          <w:lang w:val="en-CA"/>
        </w:rPr>
        <w:t xml:space="preserve"> are different rights</w:t>
      </w:r>
      <w:r w:rsidR="00E82448">
        <w:rPr>
          <w:lang w:val="en-CA"/>
        </w:rPr>
        <w:t>,</w:t>
      </w:r>
      <w:r w:rsidRPr="007A0169">
        <w:rPr>
          <w:lang w:val="en-CA"/>
        </w:rPr>
        <w:t xml:space="preserve"> even if they all have a collective component. </w:t>
      </w:r>
      <w:r w:rsidRPr="00E202F1">
        <w:rPr>
          <w:lang w:val="en-CA"/>
        </w:rPr>
        <w:t>They do not fulfill the same purposes.</w:t>
      </w:r>
      <w:r w:rsidRPr="007A0169">
        <w:rPr>
          <w:lang w:val="en-CA"/>
        </w:rPr>
        <w:t xml:space="preserve"> The right </w:t>
      </w:r>
      <w:r w:rsidR="00E82448">
        <w:rPr>
          <w:lang w:val="en-CA"/>
        </w:rPr>
        <w:t xml:space="preserve">of association </w:t>
      </w:r>
      <w:r w:rsidRPr="007A0169">
        <w:rPr>
          <w:lang w:val="en-CA"/>
        </w:rPr>
        <w:t>is broader than the right to collective bargaining and</w:t>
      </w:r>
      <w:r w:rsidR="008423B4">
        <w:rPr>
          <w:lang w:val="en-CA"/>
        </w:rPr>
        <w:t>,</w:t>
      </w:r>
      <w:r w:rsidRPr="007A0169">
        <w:rPr>
          <w:lang w:val="en-CA"/>
        </w:rPr>
        <w:t xml:space="preserve"> moreover, </w:t>
      </w:r>
      <w:r w:rsidR="008423B4">
        <w:rPr>
          <w:lang w:val="en-CA"/>
        </w:rPr>
        <w:t xml:space="preserve">it </w:t>
      </w:r>
      <w:r w:rsidR="006404B9">
        <w:rPr>
          <w:lang w:val="en-CA"/>
        </w:rPr>
        <w:t>is subject to the notwithstanding clause of</w:t>
      </w:r>
      <w:r w:rsidR="00E47E49" w:rsidRPr="007A0169">
        <w:rPr>
          <w:lang w:val="en-CA"/>
        </w:rPr>
        <w:t xml:space="preserve"> </w:t>
      </w:r>
      <w:r w:rsidRPr="007A0169">
        <w:rPr>
          <w:lang w:val="en-CA"/>
        </w:rPr>
        <w:t xml:space="preserve">section 33 of the </w:t>
      </w:r>
      <w:r w:rsidRPr="00216139">
        <w:rPr>
          <w:i/>
          <w:iCs/>
          <w:lang w:val="en-CA"/>
        </w:rPr>
        <w:t>Charter</w:t>
      </w:r>
      <w:r w:rsidRPr="007A0169">
        <w:rPr>
          <w:lang w:val="en-CA"/>
        </w:rPr>
        <w:t xml:space="preserve">, which is not the case with the other two. </w:t>
      </w:r>
    </w:p>
    <w:p w14:paraId="5E95FAD5" w14:textId="1AEAC672" w:rsidR="003B1EC4" w:rsidRPr="007A0169" w:rsidRDefault="00E47E49" w:rsidP="003B1EC4">
      <w:pPr>
        <w:pStyle w:val="Paragrsimple"/>
        <w:rPr>
          <w:lang w:val="en-CA"/>
        </w:rPr>
      </w:pPr>
      <w:r>
        <w:rPr>
          <w:lang w:val="en-CA"/>
        </w:rPr>
        <w:t>Respect for</w:t>
      </w:r>
      <w:r w:rsidRPr="007A0169">
        <w:rPr>
          <w:lang w:val="en-CA"/>
        </w:rPr>
        <w:t xml:space="preserve"> </w:t>
      </w:r>
      <w:r w:rsidR="003B1EC4" w:rsidRPr="007A0169">
        <w:rPr>
          <w:lang w:val="en-CA"/>
        </w:rPr>
        <w:t xml:space="preserve">existing rights or </w:t>
      </w:r>
      <w:r>
        <w:rPr>
          <w:lang w:val="en-CA"/>
        </w:rPr>
        <w:t xml:space="preserve">Indigenous treaty rights engages </w:t>
      </w:r>
      <w:r w:rsidR="003B1EC4" w:rsidRPr="007A0169">
        <w:rPr>
          <w:lang w:val="en-CA"/>
        </w:rPr>
        <w:t xml:space="preserve">the </w:t>
      </w:r>
      <w:r>
        <w:rPr>
          <w:lang w:val="en-CA"/>
        </w:rPr>
        <w:t xml:space="preserve">honour of the </w:t>
      </w:r>
      <w:r w:rsidR="003B1EC4" w:rsidRPr="007A0169">
        <w:rPr>
          <w:lang w:val="en-CA"/>
        </w:rPr>
        <w:t xml:space="preserve">Crown and </w:t>
      </w:r>
      <w:r w:rsidR="00187CA8">
        <w:rPr>
          <w:lang w:val="en-CA"/>
        </w:rPr>
        <w:t xml:space="preserve">is governed by </w:t>
      </w:r>
      <w:r w:rsidR="003B1EC4" w:rsidRPr="007A0169">
        <w:rPr>
          <w:i/>
          <w:lang w:val="en-CA"/>
        </w:rPr>
        <w:t>sui generis</w:t>
      </w:r>
      <w:r w:rsidR="003B1EC4" w:rsidRPr="007A0169">
        <w:rPr>
          <w:lang w:val="en-CA"/>
        </w:rPr>
        <w:t xml:space="preserve"> rules.  </w:t>
      </w:r>
    </w:p>
    <w:p w14:paraId="3AC4A7A1" w14:textId="4CA13ABD" w:rsidR="003B1EC4" w:rsidRPr="00216139" w:rsidRDefault="003B1EC4" w:rsidP="003B1EC4">
      <w:pPr>
        <w:pStyle w:val="Paragrsimple"/>
        <w:rPr>
          <w:lang w:val="en-CA"/>
        </w:rPr>
      </w:pPr>
      <w:r w:rsidRPr="00AA6EEE">
        <w:rPr>
          <w:lang w:val="en-CA"/>
        </w:rPr>
        <w:t xml:space="preserve">The right to minority language education is also the subject of a </w:t>
      </w:r>
      <w:r w:rsidR="00187CA8">
        <w:rPr>
          <w:lang w:val="en-CA"/>
        </w:rPr>
        <w:t>body</w:t>
      </w:r>
      <w:r w:rsidR="00187CA8" w:rsidRPr="00AA6EEE">
        <w:rPr>
          <w:lang w:val="en-CA"/>
        </w:rPr>
        <w:t xml:space="preserve"> </w:t>
      </w:r>
      <w:r w:rsidRPr="00AA6EEE">
        <w:rPr>
          <w:lang w:val="en-CA"/>
        </w:rPr>
        <w:t xml:space="preserve">of case law from which </w:t>
      </w:r>
      <w:r w:rsidR="006844E0">
        <w:rPr>
          <w:lang w:val="en-CA"/>
        </w:rPr>
        <w:t>its own</w:t>
      </w:r>
      <w:r w:rsidR="004958C1">
        <w:rPr>
          <w:lang w:val="en-CA"/>
        </w:rPr>
        <w:t xml:space="preserve"> principles emerge</w:t>
      </w:r>
      <w:r w:rsidRPr="00AA6EEE">
        <w:rPr>
          <w:lang w:val="en-CA"/>
        </w:rPr>
        <w:t xml:space="preserve">. </w:t>
      </w:r>
      <w:r w:rsidRPr="00216139">
        <w:rPr>
          <w:lang w:val="en-CA"/>
        </w:rPr>
        <w:t xml:space="preserve">As Dickson C.J. wrote in </w:t>
      </w:r>
      <w:r w:rsidRPr="00216139">
        <w:rPr>
          <w:i/>
          <w:lang w:val="en-CA"/>
        </w:rPr>
        <w:t>Mahe</w:t>
      </w:r>
      <w:r w:rsidRPr="00216139">
        <w:rPr>
          <w:lang w:val="en-CA"/>
        </w:rPr>
        <w:t>:</w:t>
      </w:r>
      <w:r w:rsidRPr="00E202F1">
        <w:rPr>
          <w:rStyle w:val="Appelnotedebasdep"/>
        </w:rPr>
        <w:footnoteReference w:id="216"/>
      </w:r>
      <w:r w:rsidRPr="00216139">
        <w:rPr>
          <w:lang w:val="en-CA"/>
        </w:rPr>
        <w:t xml:space="preserve"> </w:t>
      </w:r>
    </w:p>
    <w:p w14:paraId="255F94B2" w14:textId="10AE9214" w:rsidR="003B1EC4" w:rsidRPr="00216139" w:rsidRDefault="003B1EC4" w:rsidP="003B1EC4">
      <w:pPr>
        <w:pStyle w:val="Citation"/>
        <w:rPr>
          <w:lang w:val="en-CA"/>
        </w:rPr>
      </w:pPr>
      <w:r w:rsidRPr="00E202F1">
        <w:rPr>
          <w:lang w:val="en-CA"/>
        </w:rPr>
        <w:t xml:space="preserve">Section 23 provides a comprehensive code for minority language educational rights; </w:t>
      </w:r>
      <w:r w:rsidRPr="00AA6EEE">
        <w:rPr>
          <w:lang w:val="en-CA"/>
        </w:rPr>
        <w:t>it has its own internal qualifications and its own method of internal balancing.</w:t>
      </w:r>
    </w:p>
    <w:p w14:paraId="5ED835E5" w14:textId="330BE175" w:rsidR="003B1EC4" w:rsidRPr="00AA6EEE" w:rsidRDefault="003B1EC4" w:rsidP="003B1EC4">
      <w:pPr>
        <w:pStyle w:val="Paragrsimple"/>
        <w:rPr>
          <w:lang w:val="en-CA"/>
        </w:rPr>
      </w:pPr>
      <w:r w:rsidRPr="00AA6EEE">
        <w:rPr>
          <w:lang w:val="en-CA"/>
        </w:rPr>
        <w:t xml:space="preserve">As we have seen, governments have </w:t>
      </w:r>
      <w:r w:rsidR="004958C1">
        <w:rPr>
          <w:lang w:val="en-CA"/>
        </w:rPr>
        <w:t>a duty</w:t>
      </w:r>
      <w:r w:rsidRPr="00AA6EEE">
        <w:rPr>
          <w:lang w:val="en-CA"/>
        </w:rPr>
        <w:t xml:space="preserve"> to take the needs and concerns of the minority</w:t>
      </w:r>
      <w:r w:rsidR="004958C1">
        <w:rPr>
          <w:lang w:val="en-CA"/>
        </w:rPr>
        <w:t xml:space="preserve"> into account</w:t>
      </w:r>
      <w:r w:rsidRPr="00AA6EEE">
        <w:rPr>
          <w:lang w:val="en-CA"/>
        </w:rPr>
        <w:t xml:space="preserve">. While </w:t>
      </w:r>
      <w:r w:rsidR="004958C1">
        <w:rPr>
          <w:lang w:val="en-CA"/>
        </w:rPr>
        <w:t xml:space="preserve">they retain </w:t>
      </w:r>
      <w:r w:rsidRPr="00AA6EEE">
        <w:rPr>
          <w:lang w:val="en-CA"/>
        </w:rPr>
        <w:t xml:space="preserve">control over several aspects of education, they must </w:t>
      </w:r>
      <w:r w:rsidR="003E55E0">
        <w:rPr>
          <w:lang w:val="en-CA"/>
        </w:rPr>
        <w:t xml:space="preserve">also </w:t>
      </w:r>
      <w:r w:rsidR="004958C1">
        <w:rPr>
          <w:lang w:val="en-CA"/>
        </w:rPr>
        <w:t xml:space="preserve">consider </w:t>
      </w:r>
      <w:r w:rsidRPr="00AA6EEE">
        <w:rPr>
          <w:lang w:val="en-CA"/>
        </w:rPr>
        <w:t>minority</w:t>
      </w:r>
      <w:r w:rsidR="004958C1">
        <w:rPr>
          <w:lang w:val="en-CA"/>
        </w:rPr>
        <w:t xml:space="preserve"> needs</w:t>
      </w:r>
      <w:r w:rsidRPr="00AA6EEE">
        <w:rPr>
          <w:lang w:val="en-CA"/>
        </w:rPr>
        <w:t xml:space="preserve">. They cannot be exempted from doing so, even </w:t>
      </w:r>
      <w:r w:rsidR="004958C1">
        <w:rPr>
          <w:lang w:val="en-CA"/>
        </w:rPr>
        <w:t>after</w:t>
      </w:r>
      <w:r w:rsidR="004958C1" w:rsidRPr="00AA6EEE">
        <w:rPr>
          <w:lang w:val="en-CA"/>
        </w:rPr>
        <w:t xml:space="preserve"> </w:t>
      </w:r>
      <w:r w:rsidRPr="00AA6EEE">
        <w:rPr>
          <w:lang w:val="en-CA"/>
        </w:rPr>
        <w:t xml:space="preserve">a consultation </w:t>
      </w:r>
      <w:r>
        <w:rPr>
          <w:lang w:val="en-CA"/>
        </w:rPr>
        <w:t>yields</w:t>
      </w:r>
      <w:r w:rsidRPr="00AA6EEE">
        <w:rPr>
          <w:lang w:val="en-CA"/>
        </w:rPr>
        <w:t xml:space="preserve"> results they d</w:t>
      </w:r>
      <w:r>
        <w:rPr>
          <w:lang w:val="en-CA"/>
        </w:rPr>
        <w:t>o</w:t>
      </w:r>
      <w:r w:rsidRPr="00AA6EEE">
        <w:rPr>
          <w:lang w:val="en-CA"/>
        </w:rPr>
        <w:t xml:space="preserve"> not like.</w:t>
      </w:r>
    </w:p>
    <w:p w14:paraId="27988C1A" w14:textId="7E938E5A" w:rsidR="003B1EC4" w:rsidRPr="00AA6EEE" w:rsidRDefault="003B1EC4" w:rsidP="003B1EC4">
      <w:pPr>
        <w:pStyle w:val="Paragrsimple"/>
        <w:rPr>
          <w:lang w:val="en-CA"/>
        </w:rPr>
      </w:pPr>
      <w:r w:rsidRPr="00AA6EEE">
        <w:rPr>
          <w:lang w:val="en-CA"/>
        </w:rPr>
        <w:t xml:space="preserve">While the linguistic minority </w:t>
      </w:r>
      <w:r w:rsidR="006E4989">
        <w:rPr>
          <w:lang w:val="en-CA"/>
        </w:rPr>
        <w:t>does</w:t>
      </w:r>
      <w:r w:rsidR="006E4989" w:rsidRPr="00AA6EEE">
        <w:rPr>
          <w:lang w:val="en-CA"/>
        </w:rPr>
        <w:t xml:space="preserve"> </w:t>
      </w:r>
      <w:r w:rsidRPr="00AA6EEE">
        <w:rPr>
          <w:lang w:val="en-CA"/>
        </w:rPr>
        <w:t xml:space="preserve">not </w:t>
      </w:r>
      <w:r w:rsidR="006E4989">
        <w:rPr>
          <w:lang w:val="en-CA"/>
        </w:rPr>
        <w:t xml:space="preserve">have a </w:t>
      </w:r>
      <w:r w:rsidRPr="00AA6EEE">
        <w:rPr>
          <w:lang w:val="en-CA"/>
        </w:rPr>
        <w:t xml:space="preserve">veto </w:t>
      </w:r>
      <w:r w:rsidR="006E4989">
        <w:rPr>
          <w:lang w:val="en-CA"/>
        </w:rPr>
        <w:t xml:space="preserve">on </w:t>
      </w:r>
      <w:r w:rsidRPr="00AA6EEE">
        <w:rPr>
          <w:lang w:val="en-CA"/>
        </w:rPr>
        <w:t xml:space="preserve">legislation, it is entitled to ensure that the legislation respects </w:t>
      </w:r>
      <w:r w:rsidR="006E4989">
        <w:rPr>
          <w:lang w:val="en-CA"/>
        </w:rPr>
        <w:t xml:space="preserve">its needs </w:t>
      </w:r>
      <w:r w:rsidRPr="00AA6EEE">
        <w:rPr>
          <w:lang w:val="en-CA"/>
        </w:rPr>
        <w:t xml:space="preserve">and takes </w:t>
      </w:r>
      <w:r w:rsidR="006E4989">
        <w:rPr>
          <w:lang w:val="en-CA"/>
        </w:rPr>
        <w:t xml:space="preserve">them </w:t>
      </w:r>
      <w:r w:rsidRPr="00AA6EEE">
        <w:rPr>
          <w:lang w:val="en-CA"/>
        </w:rPr>
        <w:t xml:space="preserve">into account. The majority cannot avoid this, even by legislating to this end, unless it can justify doing so. </w:t>
      </w:r>
    </w:p>
    <w:p w14:paraId="2243893B" w14:textId="44931F59" w:rsidR="003B1EC4" w:rsidRPr="00AA6EEE" w:rsidRDefault="003B1EC4" w:rsidP="003B1EC4">
      <w:pPr>
        <w:pStyle w:val="Paragrsimple"/>
        <w:rPr>
          <w:lang w:val="en-CA"/>
        </w:rPr>
      </w:pPr>
      <w:r w:rsidRPr="00AA6EEE">
        <w:rPr>
          <w:lang w:val="en-CA"/>
        </w:rPr>
        <w:lastRenderedPageBreak/>
        <w:t xml:space="preserve">Consultation is one of the ways to obtain information </w:t>
      </w:r>
      <w:r w:rsidR="006E4989">
        <w:rPr>
          <w:lang w:val="en-CA"/>
        </w:rPr>
        <w:t>about</w:t>
      </w:r>
      <w:r w:rsidR="006E4989" w:rsidRPr="00AA6EEE">
        <w:rPr>
          <w:lang w:val="en-CA"/>
        </w:rPr>
        <w:t xml:space="preserve"> </w:t>
      </w:r>
      <w:r w:rsidRPr="00AA6EEE">
        <w:rPr>
          <w:lang w:val="en-CA"/>
        </w:rPr>
        <w:t xml:space="preserve">the needs of the minority. It is probably the </w:t>
      </w:r>
      <w:r w:rsidR="006E4989">
        <w:rPr>
          <w:lang w:val="en-CA"/>
        </w:rPr>
        <w:t>preferable</w:t>
      </w:r>
      <w:r w:rsidR="006E4989" w:rsidRPr="00AA6EEE">
        <w:rPr>
          <w:lang w:val="en-CA"/>
        </w:rPr>
        <w:t xml:space="preserve"> </w:t>
      </w:r>
      <w:r w:rsidRPr="00AA6EEE">
        <w:rPr>
          <w:lang w:val="en-CA"/>
        </w:rPr>
        <w:t xml:space="preserve">choice, </w:t>
      </w:r>
      <w:r>
        <w:rPr>
          <w:lang w:val="en-CA"/>
        </w:rPr>
        <w:t xml:space="preserve">though it is not </w:t>
      </w:r>
      <w:r w:rsidRPr="00AA6EEE">
        <w:rPr>
          <w:lang w:val="en-CA"/>
        </w:rPr>
        <w:t xml:space="preserve">the only one. Scientific and </w:t>
      </w:r>
      <w:r w:rsidR="006E4989">
        <w:rPr>
          <w:lang w:val="en-CA"/>
        </w:rPr>
        <w:t>academic</w:t>
      </w:r>
      <w:r w:rsidR="006E4989" w:rsidRPr="00AA6EEE">
        <w:rPr>
          <w:lang w:val="en-CA"/>
        </w:rPr>
        <w:t xml:space="preserve"> </w:t>
      </w:r>
      <w:r w:rsidRPr="00AA6EEE">
        <w:rPr>
          <w:lang w:val="en-CA"/>
        </w:rPr>
        <w:t>research is another. The work of experts consulted on all sides of the issue testif</w:t>
      </w:r>
      <w:r>
        <w:rPr>
          <w:lang w:val="en-CA"/>
        </w:rPr>
        <w:t>ies</w:t>
      </w:r>
      <w:r w:rsidRPr="00AA6EEE">
        <w:rPr>
          <w:lang w:val="en-CA"/>
        </w:rPr>
        <w:t xml:space="preserve"> to this. </w:t>
      </w:r>
    </w:p>
    <w:p w14:paraId="13F4505D" w14:textId="5B266682" w:rsidR="003B1EC4" w:rsidRPr="00AA6EEE" w:rsidRDefault="003B1EC4" w:rsidP="003B1EC4">
      <w:pPr>
        <w:pStyle w:val="Paragrsimple"/>
        <w:rPr>
          <w:lang w:val="en-CA"/>
        </w:rPr>
      </w:pPr>
      <w:r w:rsidRPr="00AA6EEE">
        <w:rPr>
          <w:lang w:val="en-CA"/>
        </w:rPr>
        <w:t xml:space="preserve">Commissions of inquiry may also </w:t>
      </w:r>
      <w:r w:rsidR="006E4989">
        <w:rPr>
          <w:lang w:val="en-CA"/>
        </w:rPr>
        <w:t>provide</w:t>
      </w:r>
      <w:r w:rsidR="006E4989" w:rsidRPr="00AA6EEE">
        <w:rPr>
          <w:lang w:val="en-CA"/>
        </w:rPr>
        <w:t xml:space="preserve"> </w:t>
      </w:r>
      <w:r w:rsidRPr="00AA6EEE">
        <w:rPr>
          <w:lang w:val="en-CA"/>
        </w:rPr>
        <w:t xml:space="preserve">another source of information. The experts’ references to the work of the Parent and Laurendeau-Dunton commissions are proof of this. </w:t>
      </w:r>
    </w:p>
    <w:p w14:paraId="1EBBAE8B" w14:textId="626DE51F" w:rsidR="003B1EC4" w:rsidRPr="00702CCF" w:rsidRDefault="006E4989" w:rsidP="003B1EC4">
      <w:pPr>
        <w:pStyle w:val="Paragrsimple"/>
        <w:rPr>
          <w:lang w:val="en-CA"/>
        </w:rPr>
      </w:pPr>
      <w:r>
        <w:rPr>
          <w:lang w:val="en-CA"/>
        </w:rPr>
        <w:t>In this case</w:t>
      </w:r>
      <w:r w:rsidR="003B1EC4" w:rsidRPr="00702CCF">
        <w:rPr>
          <w:lang w:val="en-CA"/>
        </w:rPr>
        <w:t xml:space="preserve">, </w:t>
      </w:r>
      <w:r w:rsidR="006404B9">
        <w:rPr>
          <w:lang w:val="en-CA"/>
        </w:rPr>
        <w:t xml:space="preserve">while </w:t>
      </w:r>
      <w:r w:rsidR="003B1EC4" w:rsidRPr="00702CCF">
        <w:rPr>
          <w:lang w:val="en-CA"/>
        </w:rPr>
        <w:t>the AGQ refer</w:t>
      </w:r>
      <w:r w:rsidR="006404B9">
        <w:rPr>
          <w:lang w:val="en-CA"/>
        </w:rPr>
        <w:t>s</w:t>
      </w:r>
      <w:r w:rsidR="003B1EC4" w:rsidRPr="00702CCF">
        <w:rPr>
          <w:lang w:val="en-CA"/>
        </w:rPr>
        <w:t xml:space="preserve"> to</w:t>
      </w:r>
      <w:r w:rsidR="003B1EC4">
        <w:rPr>
          <w:lang w:val="en-CA"/>
        </w:rPr>
        <w:t xml:space="preserve"> </w:t>
      </w:r>
      <w:r w:rsidR="003B1EC4" w:rsidRPr="00702CCF">
        <w:rPr>
          <w:lang w:val="en-CA"/>
        </w:rPr>
        <w:t xml:space="preserve">the work of the Parent Commission, </w:t>
      </w:r>
      <w:r w:rsidR="001F20CB">
        <w:rPr>
          <w:lang w:val="en-CA"/>
        </w:rPr>
        <w:t xml:space="preserve">he </w:t>
      </w:r>
      <w:r w:rsidR="003B1EC4" w:rsidRPr="00702CCF">
        <w:rPr>
          <w:lang w:val="en-CA"/>
        </w:rPr>
        <w:t xml:space="preserve">does not </w:t>
      </w:r>
      <w:r w:rsidR="001F20CB">
        <w:rPr>
          <w:lang w:val="en-CA"/>
        </w:rPr>
        <w:t xml:space="preserve">rely on it to identify </w:t>
      </w:r>
      <w:r w:rsidR="006844E0">
        <w:rPr>
          <w:lang w:val="en-CA"/>
        </w:rPr>
        <w:t xml:space="preserve">the </w:t>
      </w:r>
      <w:r w:rsidR="003B1EC4" w:rsidRPr="00702CCF">
        <w:rPr>
          <w:lang w:val="en-CA"/>
        </w:rPr>
        <w:t>needs</w:t>
      </w:r>
      <w:r w:rsidR="006844E0">
        <w:rPr>
          <w:lang w:val="en-CA"/>
        </w:rPr>
        <w:t xml:space="preserve"> of the minority</w:t>
      </w:r>
      <w:r w:rsidR="003B1EC4" w:rsidRPr="00702CCF">
        <w:rPr>
          <w:lang w:val="en-CA"/>
        </w:rPr>
        <w:t xml:space="preserve">. The AGQ justifies his legislative reform by explaining how it is justified overall and </w:t>
      </w:r>
      <w:r w:rsidR="006844E0">
        <w:rPr>
          <w:lang w:val="en-CA"/>
        </w:rPr>
        <w:t xml:space="preserve">by providing </w:t>
      </w:r>
      <w:r w:rsidR="003B1EC4" w:rsidRPr="00702CCF">
        <w:rPr>
          <w:lang w:val="en-CA"/>
        </w:rPr>
        <w:t xml:space="preserve">its historical </w:t>
      </w:r>
      <w:r w:rsidR="001F20CB">
        <w:rPr>
          <w:lang w:val="en-CA"/>
        </w:rPr>
        <w:t>background</w:t>
      </w:r>
      <w:r w:rsidR="003B1EC4" w:rsidRPr="00702CCF">
        <w:rPr>
          <w:lang w:val="en-CA"/>
        </w:rPr>
        <w:t xml:space="preserve">. This justifies adopting the </w:t>
      </w:r>
      <w:r w:rsidR="003B1EC4" w:rsidRPr="000A0A81">
        <w:rPr>
          <w:i/>
          <w:iCs/>
          <w:lang w:val="en-CA"/>
        </w:rPr>
        <w:t>Act</w:t>
      </w:r>
      <w:r w:rsidR="003B1EC4" w:rsidRPr="00702CCF">
        <w:rPr>
          <w:lang w:val="en-CA"/>
        </w:rPr>
        <w:t xml:space="preserve"> with respect to French</w:t>
      </w:r>
      <w:r w:rsidR="003B1EC4">
        <w:rPr>
          <w:lang w:val="en-CA"/>
        </w:rPr>
        <w:t>-</w:t>
      </w:r>
      <w:r w:rsidR="003B1EC4" w:rsidRPr="00702CCF">
        <w:rPr>
          <w:lang w:val="en-CA"/>
        </w:rPr>
        <w:t xml:space="preserve">language institutions, an issue the Court cannot and must not rule on. It does not explain how the </w:t>
      </w:r>
      <w:r w:rsidR="003B1EC4" w:rsidRPr="000A0A81">
        <w:rPr>
          <w:i/>
          <w:iCs/>
          <w:lang w:val="en-CA"/>
        </w:rPr>
        <w:t>Act</w:t>
      </w:r>
      <w:r w:rsidR="003B1EC4" w:rsidRPr="00702CCF">
        <w:rPr>
          <w:lang w:val="en-CA"/>
        </w:rPr>
        <w:t xml:space="preserve"> responds to the needs of the minority. </w:t>
      </w:r>
    </w:p>
    <w:p w14:paraId="2123CB29" w14:textId="1C79C1F1" w:rsidR="003B1EC4" w:rsidRPr="00702CCF" w:rsidRDefault="003B1EC4" w:rsidP="003B1EC4">
      <w:pPr>
        <w:pStyle w:val="Paragrsimple"/>
        <w:rPr>
          <w:lang w:val="en-CA"/>
        </w:rPr>
      </w:pPr>
      <w:r w:rsidRPr="00702CCF">
        <w:rPr>
          <w:lang w:val="en-CA"/>
        </w:rPr>
        <w:t xml:space="preserve">Another way of gathering information is </w:t>
      </w:r>
      <w:r w:rsidR="001F20CB">
        <w:rPr>
          <w:lang w:val="en-CA"/>
        </w:rPr>
        <w:t xml:space="preserve">to </w:t>
      </w:r>
      <w:r w:rsidRPr="00702CCF">
        <w:rPr>
          <w:lang w:val="en-CA"/>
        </w:rPr>
        <w:t>implement a “task force” or “work</w:t>
      </w:r>
      <w:r w:rsidR="001F20CB">
        <w:rPr>
          <w:lang w:val="en-CA"/>
        </w:rPr>
        <w:t>ing</w:t>
      </w:r>
      <w:r w:rsidRPr="00702CCF">
        <w:rPr>
          <w:lang w:val="en-CA"/>
        </w:rPr>
        <w:t xml:space="preserve"> group” as was done in British Columbia after </w:t>
      </w:r>
      <w:r w:rsidRPr="000A0A81">
        <w:rPr>
          <w:i/>
          <w:iCs/>
          <w:lang w:val="en-CA"/>
        </w:rPr>
        <w:t>Mahe</w:t>
      </w:r>
      <w:r w:rsidRPr="00702CCF">
        <w:rPr>
          <w:lang w:val="en-CA"/>
        </w:rPr>
        <w:t>.</w:t>
      </w:r>
      <w:r>
        <w:rPr>
          <w:rStyle w:val="Appelnotedebasdep"/>
        </w:rPr>
        <w:footnoteReference w:id="217"/>
      </w:r>
      <w:r w:rsidRPr="00702CCF">
        <w:rPr>
          <w:lang w:val="en-CA"/>
        </w:rPr>
        <w:t xml:space="preserve">  </w:t>
      </w:r>
    </w:p>
    <w:p w14:paraId="7535B45D" w14:textId="2400A11E" w:rsidR="003B1EC4" w:rsidRPr="00702CCF" w:rsidRDefault="001F20CB" w:rsidP="003B1EC4">
      <w:pPr>
        <w:pStyle w:val="Paragrdouble"/>
        <w:spacing w:line="240" w:lineRule="auto"/>
        <w:rPr>
          <w:lang w:val="en-CA"/>
        </w:rPr>
      </w:pPr>
      <w:r>
        <w:rPr>
          <w:lang w:val="en-CA"/>
        </w:rPr>
        <w:t>T</w:t>
      </w:r>
      <w:r w:rsidR="003B1EC4" w:rsidRPr="00702CCF">
        <w:rPr>
          <w:lang w:val="en-CA"/>
        </w:rPr>
        <w:t xml:space="preserve">he AGQ </w:t>
      </w:r>
      <w:r>
        <w:rPr>
          <w:lang w:val="en-CA"/>
        </w:rPr>
        <w:t xml:space="preserve">provides another example, when he </w:t>
      </w:r>
      <w:r w:rsidR="003B1EC4" w:rsidRPr="00702CCF">
        <w:rPr>
          <w:lang w:val="en-CA"/>
        </w:rPr>
        <w:t xml:space="preserve">refers to studies ordered from Professors </w:t>
      </w:r>
      <w:proofErr w:type="spellStart"/>
      <w:r w:rsidR="003B1EC4" w:rsidRPr="00702CCF">
        <w:rPr>
          <w:lang w:val="en-CA"/>
        </w:rPr>
        <w:t>Kenniff</w:t>
      </w:r>
      <w:proofErr w:type="spellEnd"/>
      <w:r w:rsidR="003B1EC4" w:rsidRPr="00702CCF">
        <w:rPr>
          <w:lang w:val="en-CA"/>
        </w:rPr>
        <w:t xml:space="preserve">, Proulx, and </w:t>
      </w:r>
      <w:proofErr w:type="spellStart"/>
      <w:r w:rsidR="003B1EC4" w:rsidRPr="00702CCF">
        <w:rPr>
          <w:lang w:val="en-CA"/>
        </w:rPr>
        <w:t>Woehrling</w:t>
      </w:r>
      <w:proofErr w:type="spellEnd"/>
      <w:r w:rsidR="003B1EC4" w:rsidRPr="00702CCF">
        <w:rPr>
          <w:lang w:val="en-CA"/>
        </w:rPr>
        <w:t xml:space="preserve"> before </w:t>
      </w:r>
      <w:r>
        <w:rPr>
          <w:lang w:val="en-CA"/>
        </w:rPr>
        <w:t xml:space="preserve">the amendment of </w:t>
      </w:r>
      <w:r w:rsidR="003B1EC4" w:rsidRPr="00702CCF">
        <w:rPr>
          <w:lang w:val="en-CA"/>
        </w:rPr>
        <w:t xml:space="preserve">section 93 of the </w:t>
      </w:r>
      <w:r w:rsidR="003B1EC4" w:rsidRPr="00702CCF">
        <w:rPr>
          <w:i/>
          <w:lang w:val="en-CA"/>
        </w:rPr>
        <w:t>Constitution Act, 1867</w:t>
      </w:r>
      <w:r w:rsidR="003B1EC4" w:rsidRPr="00702CCF">
        <w:rPr>
          <w:lang w:val="en-CA"/>
        </w:rPr>
        <w:t>.</w:t>
      </w:r>
      <w:r w:rsidR="003B1EC4">
        <w:rPr>
          <w:rStyle w:val="Appelnotedebasdep"/>
        </w:rPr>
        <w:footnoteReference w:id="218"/>
      </w:r>
      <w:r w:rsidR="003B1EC4" w:rsidRPr="00702CCF">
        <w:rPr>
          <w:lang w:val="en-CA"/>
        </w:rPr>
        <w:t xml:space="preserve"> </w:t>
      </w:r>
    </w:p>
    <w:p w14:paraId="28555723" w14:textId="6785647E" w:rsidR="003B1EC4" w:rsidRPr="00702CCF" w:rsidRDefault="003B1EC4" w:rsidP="003B1EC4">
      <w:pPr>
        <w:pStyle w:val="Paragrsimple"/>
        <w:rPr>
          <w:lang w:val="en-CA"/>
        </w:rPr>
      </w:pPr>
      <w:r w:rsidRPr="00702CCF">
        <w:rPr>
          <w:lang w:val="en-CA"/>
        </w:rPr>
        <w:t xml:space="preserve">In Nova Scotia, the task of increasing the number of school trustees for the provincial Conseil </w:t>
      </w:r>
      <w:proofErr w:type="spellStart"/>
      <w:r w:rsidRPr="00702CCF">
        <w:rPr>
          <w:lang w:val="en-CA"/>
        </w:rPr>
        <w:t>scolaire</w:t>
      </w:r>
      <w:proofErr w:type="spellEnd"/>
      <w:r w:rsidRPr="00702CCF">
        <w:rPr>
          <w:lang w:val="en-CA"/>
        </w:rPr>
        <w:t xml:space="preserve"> </w:t>
      </w:r>
      <w:proofErr w:type="spellStart"/>
      <w:r w:rsidRPr="00702CCF">
        <w:rPr>
          <w:lang w:val="en-CA"/>
        </w:rPr>
        <w:t>acadien</w:t>
      </w:r>
      <w:proofErr w:type="spellEnd"/>
      <w:r w:rsidRPr="00702CCF">
        <w:rPr>
          <w:lang w:val="en-CA"/>
        </w:rPr>
        <w:t xml:space="preserve"> based on changing needs </w:t>
      </w:r>
      <w:r w:rsidR="001F20CB">
        <w:rPr>
          <w:lang w:val="en-CA"/>
        </w:rPr>
        <w:t xml:space="preserve">fell </w:t>
      </w:r>
      <w:r w:rsidRPr="00702CCF">
        <w:rPr>
          <w:lang w:val="en-CA"/>
        </w:rPr>
        <w:t xml:space="preserve">to the Commission des services publics et de </w:t>
      </w:r>
      <w:proofErr w:type="spellStart"/>
      <w:r w:rsidRPr="00702CCF">
        <w:rPr>
          <w:lang w:val="en-CA"/>
        </w:rPr>
        <w:t>révision</w:t>
      </w:r>
      <w:proofErr w:type="spellEnd"/>
      <w:r w:rsidRPr="00702CCF">
        <w:rPr>
          <w:lang w:val="en-CA"/>
        </w:rPr>
        <w:t>.</w:t>
      </w:r>
      <w:r>
        <w:rPr>
          <w:rStyle w:val="Appelnotedebasdep"/>
        </w:rPr>
        <w:footnoteReference w:id="219"/>
      </w:r>
      <w:r w:rsidRPr="00702CCF">
        <w:rPr>
          <w:lang w:val="en-CA"/>
        </w:rPr>
        <w:t xml:space="preserve"> </w:t>
      </w:r>
      <w:r w:rsidR="001F20CB">
        <w:rPr>
          <w:lang w:val="en-CA"/>
        </w:rPr>
        <w:t xml:space="preserve">That Commission </w:t>
      </w:r>
      <w:r w:rsidRPr="00702CCF">
        <w:rPr>
          <w:lang w:val="en-CA"/>
        </w:rPr>
        <w:t xml:space="preserve">also set the </w:t>
      </w:r>
      <w:r w:rsidR="001F20CB">
        <w:rPr>
          <w:lang w:val="en-CA"/>
        </w:rPr>
        <w:t xml:space="preserve">boundaries </w:t>
      </w:r>
      <w:r w:rsidRPr="00702CCF">
        <w:rPr>
          <w:lang w:val="en-CA"/>
        </w:rPr>
        <w:t xml:space="preserve">of the </w:t>
      </w:r>
      <w:r w:rsidR="001F20CB">
        <w:rPr>
          <w:lang w:val="en-CA"/>
        </w:rPr>
        <w:t xml:space="preserve">school </w:t>
      </w:r>
      <w:r w:rsidRPr="00702CCF">
        <w:rPr>
          <w:lang w:val="en-CA"/>
        </w:rPr>
        <w:t>electoral districts.</w:t>
      </w:r>
      <w:r w:rsidRPr="00702CCF">
        <w:rPr>
          <w:rFonts w:cs="Arial"/>
          <w:color w:val="000000"/>
          <w:lang w:val="en-CA"/>
        </w:rPr>
        <w:t xml:space="preserve"> </w:t>
      </w:r>
    </w:p>
    <w:p w14:paraId="6CFC9D39" w14:textId="4AA98029" w:rsidR="003B1EC4" w:rsidRPr="00702CCF" w:rsidRDefault="001F20CB" w:rsidP="003B1EC4">
      <w:pPr>
        <w:pStyle w:val="Paragrsimple"/>
        <w:rPr>
          <w:lang w:val="en-CA"/>
        </w:rPr>
      </w:pPr>
      <w:r>
        <w:rPr>
          <w:rFonts w:cs="Arial"/>
          <w:color w:val="000000"/>
          <w:lang w:val="en-CA"/>
        </w:rPr>
        <w:t>As t</w:t>
      </w:r>
      <w:r w:rsidR="003B1EC4" w:rsidRPr="00702CCF">
        <w:rPr>
          <w:rFonts w:cs="Arial"/>
          <w:color w:val="000000"/>
          <w:lang w:val="en-CA"/>
        </w:rPr>
        <w:t>hese other tools do not appear to have been used</w:t>
      </w:r>
      <w:r w:rsidR="006844E0">
        <w:rPr>
          <w:rFonts w:cs="Arial"/>
          <w:color w:val="000000"/>
          <w:lang w:val="en-CA"/>
        </w:rPr>
        <w:t>,</w:t>
      </w:r>
      <w:r w:rsidR="003B1EC4" w:rsidRPr="00702CCF">
        <w:rPr>
          <w:rFonts w:cs="Arial"/>
          <w:color w:val="000000"/>
          <w:lang w:val="en-CA"/>
        </w:rPr>
        <w:t xml:space="preserve"> </w:t>
      </w:r>
      <w:r>
        <w:rPr>
          <w:rFonts w:cs="Arial"/>
          <w:color w:val="000000"/>
          <w:lang w:val="en-CA"/>
        </w:rPr>
        <w:t xml:space="preserve">all that </w:t>
      </w:r>
      <w:r w:rsidR="003B1EC4" w:rsidRPr="00702CCF">
        <w:rPr>
          <w:rFonts w:cs="Arial"/>
          <w:color w:val="000000"/>
          <w:lang w:val="en-CA"/>
        </w:rPr>
        <w:t xml:space="preserve">remains </w:t>
      </w:r>
      <w:r>
        <w:rPr>
          <w:rFonts w:cs="Arial"/>
          <w:color w:val="000000"/>
          <w:lang w:val="en-CA"/>
        </w:rPr>
        <w:t xml:space="preserve">is </w:t>
      </w:r>
      <w:r w:rsidR="003B1EC4" w:rsidRPr="00702CCF">
        <w:rPr>
          <w:rFonts w:cs="Arial"/>
          <w:color w:val="000000"/>
          <w:lang w:val="en-CA"/>
        </w:rPr>
        <w:t xml:space="preserve">the consultation the government could have </w:t>
      </w:r>
      <w:r>
        <w:rPr>
          <w:rFonts w:cs="Arial"/>
          <w:color w:val="000000"/>
          <w:lang w:val="en-CA"/>
        </w:rPr>
        <w:t>performed</w:t>
      </w:r>
      <w:r w:rsidRPr="00702CCF">
        <w:rPr>
          <w:rFonts w:cs="Arial"/>
          <w:color w:val="000000"/>
          <w:lang w:val="en-CA"/>
        </w:rPr>
        <w:t xml:space="preserve"> </w:t>
      </w:r>
      <w:r w:rsidR="003B1EC4" w:rsidRPr="00702CCF">
        <w:rPr>
          <w:rFonts w:cs="Arial"/>
          <w:color w:val="000000"/>
          <w:lang w:val="en-CA"/>
        </w:rPr>
        <w:t xml:space="preserve">before adopting the </w:t>
      </w:r>
      <w:r w:rsidR="003B1EC4" w:rsidRPr="00944360">
        <w:rPr>
          <w:rFonts w:cs="Arial"/>
          <w:i/>
          <w:iCs/>
          <w:color w:val="000000"/>
          <w:lang w:val="en-CA"/>
        </w:rPr>
        <w:t>Act</w:t>
      </w:r>
      <w:r w:rsidR="003B1EC4" w:rsidRPr="00702CCF">
        <w:rPr>
          <w:rFonts w:cs="Arial"/>
          <w:color w:val="000000"/>
          <w:lang w:val="en-CA"/>
        </w:rPr>
        <w:t>.</w:t>
      </w:r>
      <w:r w:rsidR="003B1EC4" w:rsidRPr="00702CCF">
        <w:rPr>
          <w:lang w:val="en-CA"/>
        </w:rPr>
        <w:t xml:space="preserve"> </w:t>
      </w:r>
    </w:p>
    <w:p w14:paraId="322886CC" w14:textId="25F3001F" w:rsidR="003B1EC4" w:rsidRPr="00702CCF" w:rsidRDefault="001F20CB" w:rsidP="003B1EC4">
      <w:pPr>
        <w:pStyle w:val="Paragrsimple"/>
        <w:rPr>
          <w:szCs w:val="24"/>
          <w:lang w:val="en-CA"/>
        </w:rPr>
      </w:pPr>
      <w:r>
        <w:rPr>
          <w:lang w:val="en-CA"/>
        </w:rPr>
        <w:t>T</w:t>
      </w:r>
      <w:r w:rsidR="003B1EC4" w:rsidRPr="00702CCF">
        <w:rPr>
          <w:lang w:val="en-CA"/>
        </w:rPr>
        <w:t xml:space="preserve">he Court has </w:t>
      </w:r>
      <w:r>
        <w:rPr>
          <w:lang w:val="en-CA"/>
        </w:rPr>
        <w:t xml:space="preserve">before it </w:t>
      </w:r>
      <w:r w:rsidR="003B1EC4" w:rsidRPr="00702CCF">
        <w:rPr>
          <w:lang w:val="en-CA"/>
        </w:rPr>
        <w:t xml:space="preserve">no scientific sociological evidence justifying the measures </w:t>
      </w:r>
      <w:r w:rsidR="006844E0">
        <w:rPr>
          <w:lang w:val="en-CA"/>
        </w:rPr>
        <w:t xml:space="preserve">enacted </w:t>
      </w:r>
      <w:r w:rsidR="003B1EC4" w:rsidRPr="00702CCF">
        <w:rPr>
          <w:lang w:val="en-CA"/>
        </w:rPr>
        <w:t>concerning the English-speaking minority</w:t>
      </w:r>
      <w:r w:rsidR="006844E0">
        <w:rPr>
          <w:lang w:val="en-CA"/>
        </w:rPr>
        <w:t xml:space="preserve">. </w:t>
      </w:r>
      <w:r w:rsidR="003B1EC4" w:rsidRPr="00702CCF">
        <w:rPr>
          <w:lang w:val="en-CA"/>
        </w:rPr>
        <w:t xml:space="preserve">Nor is there a report by a commission of inquiry like the Consultation Commission on Accommodation Practices Related to Cultural Differences (the Bouchard-Taylor Commission) that </w:t>
      </w:r>
      <w:r w:rsidR="005B13FD">
        <w:rPr>
          <w:lang w:val="en-CA"/>
        </w:rPr>
        <w:t>could</w:t>
      </w:r>
      <w:r w:rsidR="005B13FD" w:rsidRPr="00702CCF">
        <w:rPr>
          <w:lang w:val="en-CA"/>
        </w:rPr>
        <w:t xml:space="preserve"> </w:t>
      </w:r>
      <w:r w:rsidR="003B1EC4" w:rsidRPr="00702CCF">
        <w:rPr>
          <w:lang w:val="en-CA"/>
        </w:rPr>
        <w:t xml:space="preserve">have </w:t>
      </w:r>
      <w:r w:rsidR="005B13FD">
        <w:rPr>
          <w:lang w:val="en-CA"/>
        </w:rPr>
        <w:t xml:space="preserve">delivered findings </w:t>
      </w:r>
      <w:r w:rsidR="003B1EC4" w:rsidRPr="00702CCF">
        <w:rPr>
          <w:lang w:val="en-CA"/>
        </w:rPr>
        <w:t>on how the English-language school system is being managed and ma</w:t>
      </w:r>
      <w:r w:rsidR="003B1EC4">
        <w:rPr>
          <w:lang w:val="en-CA"/>
        </w:rPr>
        <w:t>d</w:t>
      </w:r>
      <w:r w:rsidR="003B1EC4" w:rsidRPr="00702CCF">
        <w:rPr>
          <w:lang w:val="en-CA"/>
        </w:rPr>
        <w:t>e recommendations.</w:t>
      </w:r>
      <w:r w:rsidR="003B1EC4" w:rsidRPr="00702CCF">
        <w:rPr>
          <w:szCs w:val="24"/>
          <w:lang w:val="en-CA"/>
        </w:rPr>
        <w:t xml:space="preserve"> </w:t>
      </w:r>
    </w:p>
    <w:p w14:paraId="57C819F3" w14:textId="1541A935" w:rsidR="003B1EC4" w:rsidRPr="00702CCF" w:rsidRDefault="003B1EC4" w:rsidP="003B1EC4">
      <w:pPr>
        <w:pStyle w:val="Paragrsimple"/>
        <w:rPr>
          <w:lang w:val="en-CA"/>
        </w:rPr>
      </w:pPr>
      <w:r w:rsidRPr="00702CCF">
        <w:rPr>
          <w:lang w:val="en-CA"/>
        </w:rPr>
        <w:lastRenderedPageBreak/>
        <w:t xml:space="preserve">The AGQ </w:t>
      </w:r>
      <w:r w:rsidR="002544DE">
        <w:rPr>
          <w:lang w:val="en-CA"/>
        </w:rPr>
        <w:t>submits</w:t>
      </w:r>
      <w:r w:rsidR="002544DE" w:rsidRPr="00702CCF">
        <w:rPr>
          <w:lang w:val="en-CA"/>
        </w:rPr>
        <w:t xml:space="preserve"> </w:t>
      </w:r>
      <w:r w:rsidRPr="00702CCF">
        <w:rPr>
          <w:lang w:val="en-CA"/>
        </w:rPr>
        <w:t>that</w:t>
      </w:r>
      <w:r w:rsidR="002544DE">
        <w:rPr>
          <w:lang w:val="en-CA"/>
        </w:rPr>
        <w:t xml:space="preserve">, if there is </w:t>
      </w:r>
      <w:r w:rsidRPr="00702CCF">
        <w:rPr>
          <w:lang w:val="en-CA"/>
        </w:rPr>
        <w:t xml:space="preserve">an obligation to consult, it was respected. </w:t>
      </w:r>
      <w:r w:rsidR="002544DE">
        <w:rPr>
          <w:lang w:val="en-CA"/>
        </w:rPr>
        <w:t xml:space="preserve">Invoking </w:t>
      </w:r>
      <w:r w:rsidRPr="00702CCF">
        <w:rPr>
          <w:lang w:val="en-CA"/>
        </w:rPr>
        <w:t xml:space="preserve">the meetings </w:t>
      </w:r>
      <w:r w:rsidR="002544DE">
        <w:rPr>
          <w:lang w:val="en-CA"/>
        </w:rPr>
        <w:t xml:space="preserve">referred to </w:t>
      </w:r>
      <w:r w:rsidRPr="00702CCF">
        <w:rPr>
          <w:lang w:val="en-CA"/>
        </w:rPr>
        <w:t xml:space="preserve">above, he adds that specific consultations took place in the National Assembly </w:t>
      </w:r>
      <w:r>
        <w:rPr>
          <w:lang w:val="en-CA"/>
        </w:rPr>
        <w:t>before</w:t>
      </w:r>
      <w:r w:rsidRPr="00702CCF">
        <w:rPr>
          <w:lang w:val="en-CA"/>
        </w:rPr>
        <w:t xml:space="preserve"> the Parliamentary </w:t>
      </w:r>
      <w:r w:rsidR="002544DE">
        <w:rPr>
          <w:lang w:val="en-CA"/>
        </w:rPr>
        <w:t>C</w:t>
      </w:r>
      <w:r w:rsidRPr="00702CCF">
        <w:rPr>
          <w:lang w:val="en-CA"/>
        </w:rPr>
        <w:t xml:space="preserve">ommittee on </w:t>
      </w:r>
      <w:r w:rsidR="002544DE">
        <w:rPr>
          <w:lang w:val="en-CA"/>
        </w:rPr>
        <w:t>C</w:t>
      </w:r>
      <w:r w:rsidRPr="00702CCF">
        <w:rPr>
          <w:lang w:val="en-CA"/>
        </w:rPr>
        <w:t xml:space="preserve">ulture and </w:t>
      </w:r>
      <w:r w:rsidR="002544DE">
        <w:rPr>
          <w:lang w:val="en-CA"/>
        </w:rPr>
        <w:t>E</w:t>
      </w:r>
      <w:r w:rsidRPr="00702CCF">
        <w:rPr>
          <w:lang w:val="en-CA"/>
        </w:rPr>
        <w:t>ducation.</w:t>
      </w:r>
      <w:r>
        <w:rPr>
          <w:rStyle w:val="Appelnotedebasdep"/>
        </w:rPr>
        <w:footnoteReference w:id="220"/>
      </w:r>
      <w:r w:rsidRPr="00702CCF">
        <w:rPr>
          <w:lang w:val="en-CA"/>
        </w:rPr>
        <w:t xml:space="preserve"> </w:t>
      </w:r>
    </w:p>
    <w:p w14:paraId="329850F3" w14:textId="0E18A77B" w:rsidR="003B1EC4" w:rsidRPr="00702CCF" w:rsidRDefault="003B1EC4" w:rsidP="003B1EC4">
      <w:pPr>
        <w:pStyle w:val="Paragrsimple"/>
        <w:rPr>
          <w:lang w:val="en-CA"/>
        </w:rPr>
      </w:pPr>
      <w:r>
        <w:rPr>
          <w:lang w:val="en-CA"/>
        </w:rPr>
        <w:t xml:space="preserve">During that consultation, which lasted seven (7) days, the Parliamentary </w:t>
      </w:r>
      <w:r w:rsidR="00A36FB9">
        <w:rPr>
          <w:lang w:val="en-CA"/>
        </w:rPr>
        <w:t>C</w:t>
      </w:r>
      <w:r>
        <w:rPr>
          <w:lang w:val="en-CA"/>
        </w:rPr>
        <w:t xml:space="preserve">ommittee on </w:t>
      </w:r>
      <w:r w:rsidR="00A36FB9">
        <w:rPr>
          <w:lang w:val="en-CA"/>
        </w:rPr>
        <w:t>C</w:t>
      </w:r>
      <w:r>
        <w:rPr>
          <w:lang w:val="en-CA"/>
        </w:rPr>
        <w:t xml:space="preserve">ulture and </w:t>
      </w:r>
      <w:r w:rsidR="00A36FB9">
        <w:rPr>
          <w:lang w:val="en-CA"/>
        </w:rPr>
        <w:t>E</w:t>
      </w:r>
      <w:r>
        <w:rPr>
          <w:lang w:val="en-CA"/>
        </w:rPr>
        <w:t xml:space="preserve">ducation heard remarks concerning Bill 40 from the QESBA, which had submitted a written brief </w:t>
      </w:r>
      <w:r w:rsidR="00A36FB9">
        <w:rPr>
          <w:lang w:val="en-CA"/>
        </w:rPr>
        <w:t xml:space="preserve">to </w:t>
      </w:r>
      <w:r>
        <w:rPr>
          <w:lang w:val="en-CA"/>
        </w:rPr>
        <w:t>the Committee.</w:t>
      </w:r>
    </w:p>
    <w:p w14:paraId="186653AB" w14:textId="62DDD2DA" w:rsidR="003B1EC4" w:rsidRPr="00E202F1" w:rsidRDefault="003B1EC4" w:rsidP="003B1EC4">
      <w:pPr>
        <w:pStyle w:val="Paragrsimple"/>
        <w:rPr>
          <w:lang w:val="en-CA"/>
        </w:rPr>
      </w:pPr>
      <w:r w:rsidRPr="00E202F1">
        <w:rPr>
          <w:lang w:val="en-CA"/>
        </w:rPr>
        <w:t xml:space="preserve">The Committee also heard the </w:t>
      </w:r>
      <w:r>
        <w:rPr>
          <w:lang w:val="en-CA"/>
        </w:rPr>
        <w:t>English Parents’ Committee Association</w:t>
      </w:r>
      <w:r w:rsidRPr="00E202F1">
        <w:rPr>
          <w:lang w:val="en-CA"/>
        </w:rPr>
        <w:t xml:space="preserve">, the Association of </w:t>
      </w:r>
      <w:r w:rsidR="00A36FB9">
        <w:rPr>
          <w:lang w:val="en-CA"/>
        </w:rPr>
        <w:t>A</w:t>
      </w:r>
      <w:r w:rsidRPr="00E202F1">
        <w:rPr>
          <w:lang w:val="en-CA"/>
        </w:rPr>
        <w:t>dministrators of English Schools of Québec</w:t>
      </w:r>
      <w:r w:rsidR="00A36FB9">
        <w:rPr>
          <w:lang w:val="en-CA"/>
        </w:rPr>
        <w:t>,</w:t>
      </w:r>
      <w:r w:rsidRPr="00E202F1">
        <w:rPr>
          <w:lang w:val="en-CA"/>
        </w:rPr>
        <w:t xml:space="preserve"> and APPELE-Quebec, which had submitted a brief.</w:t>
      </w:r>
    </w:p>
    <w:p w14:paraId="28A49559" w14:textId="59E24792" w:rsidR="003B1EC4" w:rsidRPr="00702CCF" w:rsidRDefault="003B1EC4" w:rsidP="003B1EC4">
      <w:pPr>
        <w:pStyle w:val="Paragrsimple"/>
        <w:rPr>
          <w:lang w:val="en-CA"/>
        </w:rPr>
      </w:pPr>
      <w:r w:rsidRPr="00702CCF">
        <w:rPr>
          <w:lang w:val="en-CA"/>
        </w:rPr>
        <w:t>Also, for the purpose of the consultation</w:t>
      </w:r>
      <w:r>
        <w:rPr>
          <w:lang w:val="en-CA"/>
        </w:rPr>
        <w:t>,</w:t>
      </w:r>
      <w:r w:rsidRPr="00702CCF">
        <w:rPr>
          <w:lang w:val="en-CA"/>
        </w:rPr>
        <w:t xml:space="preserve"> anyone could send their remark</w:t>
      </w:r>
      <w:r>
        <w:rPr>
          <w:lang w:val="en-CA"/>
        </w:rPr>
        <w:t>s</w:t>
      </w:r>
      <w:r w:rsidRPr="00702CCF">
        <w:rPr>
          <w:lang w:val="en-CA"/>
        </w:rPr>
        <w:t xml:space="preserve"> in writing in the form of a brief, even if they had not been invited to take part in the public hearings.</w:t>
      </w:r>
    </w:p>
    <w:p w14:paraId="4D024316" w14:textId="77777777" w:rsidR="003B1EC4" w:rsidRPr="00702CCF" w:rsidRDefault="003B1EC4" w:rsidP="003B1EC4">
      <w:pPr>
        <w:pStyle w:val="Paragrsimple"/>
        <w:rPr>
          <w:lang w:val="en-CA"/>
        </w:rPr>
      </w:pPr>
      <w:r w:rsidRPr="00702CCF">
        <w:rPr>
          <w:lang w:val="en-CA"/>
        </w:rPr>
        <w:t>Several organizations representing the interests of the English-language community in Quebec submitted briefs, including:</w:t>
      </w:r>
    </w:p>
    <w:p w14:paraId="6AD46EF8" w14:textId="77777777" w:rsidR="003B1EC4" w:rsidRDefault="003B1EC4" w:rsidP="003B1EC4">
      <w:pPr>
        <w:pStyle w:val="Sous-paragraphe"/>
        <w:numPr>
          <w:ilvl w:val="0"/>
          <w:numId w:val="7"/>
        </w:numPr>
        <w:ind w:left="1434" w:hanging="357"/>
      </w:pPr>
      <w:r>
        <w:t xml:space="preserve">The </w:t>
      </w:r>
      <w:proofErr w:type="spellStart"/>
      <w:r>
        <w:t>Townshippers</w:t>
      </w:r>
      <w:proofErr w:type="spellEnd"/>
      <w:r>
        <w:t xml:space="preserve"> Association;</w:t>
      </w:r>
    </w:p>
    <w:p w14:paraId="72B200F9" w14:textId="77777777" w:rsidR="003B1EC4" w:rsidRPr="00702CCF" w:rsidRDefault="003B1EC4" w:rsidP="003B1EC4">
      <w:pPr>
        <w:pStyle w:val="Sous-paragraphe"/>
        <w:numPr>
          <w:ilvl w:val="0"/>
          <w:numId w:val="7"/>
        </w:numPr>
        <w:ind w:left="1434" w:hanging="357"/>
        <w:rPr>
          <w:lang w:val="en-CA"/>
        </w:rPr>
      </w:pPr>
      <w:r w:rsidRPr="00E202F1">
        <w:rPr>
          <w:lang w:val="en-CA"/>
        </w:rPr>
        <w:t>The Advisory Board on English Education;</w:t>
      </w:r>
    </w:p>
    <w:p w14:paraId="31DC4B6A" w14:textId="5AB76FA6" w:rsidR="003B1EC4" w:rsidRDefault="001D5ED2" w:rsidP="003B1EC4">
      <w:pPr>
        <w:pStyle w:val="Sous-paragraphe"/>
        <w:numPr>
          <w:ilvl w:val="0"/>
          <w:numId w:val="7"/>
        </w:numPr>
        <w:ind w:left="1434" w:hanging="357"/>
      </w:pPr>
      <w:r>
        <w:t xml:space="preserve">The </w:t>
      </w:r>
      <w:proofErr w:type="spellStart"/>
      <w:r w:rsidR="003B1EC4">
        <w:t>Greater</w:t>
      </w:r>
      <w:proofErr w:type="spellEnd"/>
      <w:r w:rsidR="003B1EC4">
        <w:t xml:space="preserve"> </w:t>
      </w:r>
      <w:proofErr w:type="spellStart"/>
      <w:r w:rsidR="003B1EC4">
        <w:t>Montreal</w:t>
      </w:r>
      <w:proofErr w:type="spellEnd"/>
      <w:r w:rsidR="003B1EC4">
        <w:t xml:space="preserve"> Forum;</w:t>
      </w:r>
    </w:p>
    <w:p w14:paraId="6B45FE31" w14:textId="0117511B" w:rsidR="003B1EC4" w:rsidRPr="001D5ED2" w:rsidRDefault="001D5ED2" w:rsidP="003B1EC4">
      <w:pPr>
        <w:pStyle w:val="Sous-paragraphe"/>
        <w:numPr>
          <w:ilvl w:val="0"/>
          <w:numId w:val="7"/>
        </w:numPr>
        <w:ind w:left="1434" w:hanging="357"/>
        <w:rPr>
          <w:lang w:val="en-CA"/>
        </w:rPr>
      </w:pPr>
      <w:r w:rsidRPr="001D5ED2">
        <w:rPr>
          <w:lang w:val="en-CA"/>
        </w:rPr>
        <w:t xml:space="preserve">The </w:t>
      </w:r>
      <w:r w:rsidR="003B1EC4" w:rsidRPr="001D5ED2">
        <w:rPr>
          <w:lang w:val="en-CA"/>
        </w:rPr>
        <w:t>Quebec Community Groups Network.</w:t>
      </w:r>
    </w:p>
    <w:p w14:paraId="77359216" w14:textId="2EAEE128" w:rsidR="003B1EC4" w:rsidRPr="005352DE" w:rsidRDefault="00C50FD2" w:rsidP="003B1EC4">
      <w:pPr>
        <w:pStyle w:val="Paragrsimple"/>
        <w:rPr>
          <w:lang w:val="en-CA"/>
        </w:rPr>
      </w:pPr>
      <w:r>
        <w:rPr>
          <w:lang w:val="en-CA"/>
        </w:rPr>
        <w:t>However, t</w:t>
      </w:r>
      <w:r w:rsidR="003B1EC4" w:rsidRPr="00702CCF">
        <w:rPr>
          <w:lang w:val="en-CA"/>
        </w:rPr>
        <w:t xml:space="preserve">he AGQ does not indicate what needs </w:t>
      </w:r>
      <w:r w:rsidR="005070AD">
        <w:rPr>
          <w:lang w:val="en-CA"/>
        </w:rPr>
        <w:t xml:space="preserve">those interveners </w:t>
      </w:r>
      <w:r>
        <w:rPr>
          <w:lang w:val="en-CA"/>
        </w:rPr>
        <w:t>identified</w:t>
      </w:r>
      <w:r w:rsidR="005070AD">
        <w:rPr>
          <w:lang w:val="en-CA"/>
        </w:rPr>
        <w:t xml:space="preserve">, and which ones were </w:t>
      </w:r>
      <w:r w:rsidR="003B1EC4" w:rsidRPr="00702CCF">
        <w:rPr>
          <w:lang w:val="en-CA"/>
        </w:rPr>
        <w:t xml:space="preserve">integrated into the provisions of the </w:t>
      </w:r>
      <w:r w:rsidR="003B1EC4" w:rsidRPr="002D06D0">
        <w:rPr>
          <w:i/>
          <w:iCs/>
          <w:lang w:val="en-CA"/>
        </w:rPr>
        <w:t>Act</w:t>
      </w:r>
      <w:r w:rsidR="003B1EC4" w:rsidRPr="00702CCF">
        <w:rPr>
          <w:lang w:val="en-CA"/>
        </w:rPr>
        <w:t>. The AGQ also fail</w:t>
      </w:r>
      <w:r>
        <w:rPr>
          <w:lang w:val="en-CA"/>
        </w:rPr>
        <w:t>s</w:t>
      </w:r>
      <w:r w:rsidR="003B1EC4" w:rsidRPr="00702CCF">
        <w:rPr>
          <w:lang w:val="en-CA"/>
        </w:rPr>
        <w:t xml:space="preserve"> to indicate the relative weight of </w:t>
      </w:r>
      <w:r w:rsidR="005070AD">
        <w:rPr>
          <w:lang w:val="en-CA"/>
        </w:rPr>
        <w:t>the</w:t>
      </w:r>
      <w:r w:rsidR="003B1EC4" w:rsidRPr="00702CCF">
        <w:rPr>
          <w:lang w:val="en-CA"/>
        </w:rPr>
        <w:t xml:space="preserve"> intervenors: their total speaking time over </w:t>
      </w:r>
      <w:r w:rsidR="001D5ED2">
        <w:rPr>
          <w:lang w:val="en-CA"/>
        </w:rPr>
        <w:t xml:space="preserve">the </w:t>
      </w:r>
      <w:r w:rsidR="003B1EC4" w:rsidRPr="00702CCF">
        <w:rPr>
          <w:lang w:val="en-CA"/>
        </w:rPr>
        <w:t xml:space="preserve">seven (7) days of hearing </w:t>
      </w:r>
      <w:r w:rsidR="003B1EC4">
        <w:rPr>
          <w:lang w:val="en-CA"/>
        </w:rPr>
        <w:t>before</w:t>
      </w:r>
      <w:r w:rsidR="003B1EC4" w:rsidRPr="00702CCF">
        <w:rPr>
          <w:lang w:val="en-CA"/>
        </w:rPr>
        <w:t xml:space="preserve"> the Parliamentary committee was 2 hours and 15 minutes. </w:t>
      </w:r>
      <w:r w:rsidR="003B1EC4" w:rsidRPr="00323372">
        <w:rPr>
          <w:lang w:val="en-CA"/>
        </w:rPr>
        <w:t>The total number of interveners was 47.</w:t>
      </w:r>
      <w:r w:rsidR="003B1EC4" w:rsidRPr="005352DE">
        <w:rPr>
          <w:lang w:val="en-CA"/>
        </w:rPr>
        <w:t xml:space="preserve"> </w:t>
      </w:r>
    </w:p>
    <w:p w14:paraId="5D325299" w14:textId="77777777" w:rsidR="003B1EC4" w:rsidRPr="00702CCF" w:rsidRDefault="003B1EC4" w:rsidP="003B1EC4">
      <w:pPr>
        <w:pStyle w:val="Paragrsimple"/>
        <w:rPr>
          <w:lang w:val="en-CA"/>
        </w:rPr>
      </w:pPr>
      <w:r w:rsidRPr="00702CCF">
        <w:rPr>
          <w:lang w:val="en-CA"/>
        </w:rPr>
        <w:t xml:space="preserve">The AGQ also does not list all the groups that asked to be heard and were not: </w:t>
      </w:r>
    </w:p>
    <w:p w14:paraId="6E97941E" w14:textId="59EFBD31" w:rsidR="003B1EC4" w:rsidRPr="0029279A" w:rsidRDefault="00C50FD2" w:rsidP="003B1EC4">
      <w:pPr>
        <w:pStyle w:val="Sous-paragraphe"/>
        <w:numPr>
          <w:ilvl w:val="0"/>
          <w:numId w:val="8"/>
        </w:numPr>
        <w:rPr>
          <w:lang w:val="en-CA"/>
        </w:rPr>
      </w:pPr>
      <w:r>
        <w:rPr>
          <w:lang w:val="en-CA"/>
        </w:rPr>
        <w:t xml:space="preserve">The </w:t>
      </w:r>
      <w:r w:rsidR="003B1EC4" w:rsidRPr="00702CCF">
        <w:rPr>
          <w:lang w:val="en-CA"/>
        </w:rPr>
        <w:t xml:space="preserve">Black Community Resource Center, </w:t>
      </w:r>
      <w:r>
        <w:rPr>
          <w:lang w:val="en-CA"/>
        </w:rPr>
        <w:t>the</w:t>
      </w:r>
      <w:r w:rsidRPr="00702CCF">
        <w:rPr>
          <w:lang w:val="en-CA"/>
        </w:rPr>
        <w:t xml:space="preserve"> </w:t>
      </w:r>
      <w:r w:rsidR="003B1EC4" w:rsidRPr="00702CCF">
        <w:rPr>
          <w:lang w:val="en-CA"/>
        </w:rPr>
        <w:t>Quebec Board of Black Educators</w:t>
      </w:r>
      <w:r>
        <w:rPr>
          <w:lang w:val="en-CA"/>
        </w:rPr>
        <w:t xml:space="preserve">, and the </w:t>
      </w:r>
      <w:r w:rsidR="003B1EC4" w:rsidRPr="00702CCF">
        <w:rPr>
          <w:lang w:val="en-CA"/>
        </w:rPr>
        <w:t>Black Community Forum;</w:t>
      </w:r>
      <w:r w:rsidR="003B1EC4">
        <w:rPr>
          <w:rStyle w:val="Appelnotedebasdep"/>
          <w:lang w:val="en-CA"/>
        </w:rPr>
        <w:footnoteReference w:id="221"/>
      </w:r>
      <w:r w:rsidR="003B1EC4" w:rsidRPr="0029279A">
        <w:rPr>
          <w:spacing w:val="-5"/>
          <w:lang w:val="en-CA"/>
        </w:rPr>
        <w:t xml:space="preserve"> </w:t>
      </w:r>
    </w:p>
    <w:p w14:paraId="481A2940" w14:textId="3EBEF482" w:rsidR="003B1EC4" w:rsidRPr="00702CCF" w:rsidRDefault="003B1EC4" w:rsidP="003B1EC4">
      <w:pPr>
        <w:pStyle w:val="Sous-paragraphe"/>
        <w:numPr>
          <w:ilvl w:val="0"/>
          <w:numId w:val="8"/>
        </w:numPr>
        <w:rPr>
          <w:lang w:val="en-CA"/>
        </w:rPr>
      </w:pPr>
      <w:r w:rsidRPr="00702CCF">
        <w:rPr>
          <w:lang w:val="en-CA"/>
        </w:rPr>
        <w:t>Beverly Prudhomme</w:t>
      </w:r>
      <w:r w:rsidR="00C50FD2">
        <w:rPr>
          <w:lang w:val="en-CA"/>
        </w:rPr>
        <w:t>,</w:t>
      </w:r>
      <w:r w:rsidRPr="00702CCF">
        <w:rPr>
          <w:lang w:val="en-CA"/>
        </w:rPr>
        <w:t xml:space="preserve"> requesting public consultations;</w:t>
      </w:r>
      <w:r>
        <w:rPr>
          <w:rStyle w:val="Appelnotedebasdep"/>
        </w:rPr>
        <w:footnoteReference w:id="222"/>
      </w:r>
      <w:r w:rsidRPr="00702CCF">
        <w:rPr>
          <w:lang w:val="en-CA"/>
        </w:rPr>
        <w:t xml:space="preserve"> </w:t>
      </w:r>
    </w:p>
    <w:p w14:paraId="2EAD5AE3" w14:textId="77777777" w:rsidR="003B1EC4" w:rsidRPr="0029279A" w:rsidRDefault="003B1EC4" w:rsidP="003B1EC4">
      <w:pPr>
        <w:pStyle w:val="Sous-paragraphe"/>
        <w:numPr>
          <w:ilvl w:val="0"/>
          <w:numId w:val="8"/>
        </w:numPr>
        <w:rPr>
          <w:lang w:val="en-CA"/>
        </w:rPr>
      </w:pPr>
      <w:r w:rsidRPr="00702CCF">
        <w:rPr>
          <w:lang w:val="en-CA"/>
        </w:rPr>
        <w:t>Canadian Parents for French;</w:t>
      </w:r>
      <w:r>
        <w:rPr>
          <w:rStyle w:val="Appelnotedebasdep"/>
          <w:lang w:val="en-CA"/>
        </w:rPr>
        <w:footnoteReference w:id="223"/>
      </w:r>
    </w:p>
    <w:p w14:paraId="4B8479C0" w14:textId="77777777" w:rsidR="003B1EC4" w:rsidRPr="0029279A" w:rsidRDefault="003B1EC4" w:rsidP="003B1EC4">
      <w:pPr>
        <w:pStyle w:val="Sous-paragraphe"/>
        <w:numPr>
          <w:ilvl w:val="0"/>
          <w:numId w:val="8"/>
        </w:numPr>
        <w:rPr>
          <w:lang w:val="en-CA"/>
        </w:rPr>
      </w:pPr>
      <w:r>
        <w:rPr>
          <w:lang w:val="en-CA"/>
        </w:rPr>
        <w:lastRenderedPageBreak/>
        <w:t>English Community Organization of Lanaudière;</w:t>
      </w:r>
      <w:r>
        <w:rPr>
          <w:rStyle w:val="Appelnotedebasdep"/>
          <w:lang w:val="en-CA"/>
        </w:rPr>
        <w:footnoteReference w:id="224"/>
      </w:r>
    </w:p>
    <w:p w14:paraId="343F98F0" w14:textId="77777777" w:rsidR="003B1EC4" w:rsidRPr="0029279A" w:rsidRDefault="003B1EC4" w:rsidP="003B1EC4">
      <w:pPr>
        <w:pStyle w:val="Sous-paragraphe"/>
        <w:numPr>
          <w:ilvl w:val="0"/>
          <w:numId w:val="8"/>
        </w:numPr>
        <w:rPr>
          <w:lang w:val="en-CA"/>
        </w:rPr>
      </w:pPr>
      <w:r>
        <w:rPr>
          <w:lang w:val="en-CA"/>
        </w:rPr>
        <w:t>Quebec Federation of Home and School Associations Inc.;</w:t>
      </w:r>
      <w:r>
        <w:rPr>
          <w:rStyle w:val="Appelnotedebasdep"/>
          <w:lang w:val="en-CA"/>
        </w:rPr>
        <w:footnoteReference w:id="225"/>
      </w:r>
      <w:r w:rsidRPr="0029279A">
        <w:rPr>
          <w:lang w:val="en-CA"/>
        </w:rPr>
        <w:t xml:space="preserve"> </w:t>
      </w:r>
    </w:p>
    <w:p w14:paraId="06DAEF08" w14:textId="77777777" w:rsidR="003B1EC4" w:rsidRPr="0029279A" w:rsidRDefault="003B1EC4" w:rsidP="003B1EC4">
      <w:pPr>
        <w:pStyle w:val="Sous-paragraphe"/>
        <w:numPr>
          <w:ilvl w:val="0"/>
          <w:numId w:val="8"/>
        </w:numPr>
        <w:rPr>
          <w:lang w:val="en-CA"/>
        </w:rPr>
      </w:pPr>
      <w:r w:rsidRPr="00702CCF">
        <w:rPr>
          <w:lang w:val="en-CA"/>
        </w:rPr>
        <w:t>Quebec Community Groups Network;</w:t>
      </w:r>
      <w:r>
        <w:rPr>
          <w:rStyle w:val="Appelnotedebasdep"/>
          <w:lang w:val="en-CA"/>
        </w:rPr>
        <w:footnoteReference w:id="226"/>
      </w:r>
      <w:r w:rsidRPr="0029279A">
        <w:rPr>
          <w:lang w:val="en-CA"/>
        </w:rPr>
        <w:t xml:space="preserve"> </w:t>
      </w:r>
    </w:p>
    <w:p w14:paraId="1810B018" w14:textId="77777777" w:rsidR="003B1EC4" w:rsidRPr="00E202F1" w:rsidRDefault="003B1EC4" w:rsidP="003B1EC4">
      <w:pPr>
        <w:pStyle w:val="Sous-paragraphe"/>
        <w:numPr>
          <w:ilvl w:val="0"/>
          <w:numId w:val="8"/>
        </w:numPr>
        <w:rPr>
          <w:lang w:val="en-CA"/>
        </w:rPr>
      </w:pPr>
      <w:r w:rsidRPr="00E202F1">
        <w:rPr>
          <w:lang w:val="en-CA"/>
        </w:rPr>
        <w:t>Riverside School Board;</w:t>
      </w:r>
      <w:r w:rsidRPr="00E202F1">
        <w:rPr>
          <w:rStyle w:val="Appelnotedebasdep"/>
          <w:lang w:val="en-CA"/>
        </w:rPr>
        <w:footnoteReference w:id="227"/>
      </w:r>
      <w:r w:rsidRPr="00E202F1">
        <w:rPr>
          <w:lang w:val="en-CA"/>
        </w:rPr>
        <w:t xml:space="preserve"> </w:t>
      </w:r>
    </w:p>
    <w:p w14:paraId="5340464F" w14:textId="77777777" w:rsidR="003B1EC4" w:rsidRPr="00E202F1" w:rsidRDefault="003B1EC4" w:rsidP="003B1EC4">
      <w:pPr>
        <w:pStyle w:val="Sous-paragraphe"/>
        <w:numPr>
          <w:ilvl w:val="0"/>
          <w:numId w:val="8"/>
        </w:numPr>
        <w:rPr>
          <w:lang w:val="en-CA"/>
        </w:rPr>
      </w:pPr>
      <w:r w:rsidRPr="00E202F1">
        <w:rPr>
          <w:lang w:val="en-CA"/>
        </w:rPr>
        <w:t>Western Quebec School Board;</w:t>
      </w:r>
      <w:r w:rsidRPr="00E202F1">
        <w:rPr>
          <w:rStyle w:val="Appelnotedebasdep"/>
          <w:lang w:val="en-CA"/>
        </w:rPr>
        <w:footnoteReference w:id="228"/>
      </w:r>
      <w:r w:rsidRPr="00E202F1">
        <w:rPr>
          <w:lang w:val="en-CA"/>
        </w:rPr>
        <w:t xml:space="preserve"> </w:t>
      </w:r>
    </w:p>
    <w:p w14:paraId="63D62A60" w14:textId="77777777" w:rsidR="003B1EC4" w:rsidRPr="00E202F1" w:rsidRDefault="003B1EC4" w:rsidP="003B1EC4">
      <w:pPr>
        <w:pStyle w:val="Sous-paragraphe"/>
        <w:numPr>
          <w:ilvl w:val="0"/>
          <w:numId w:val="8"/>
        </w:numPr>
        <w:rPr>
          <w:lang w:val="en-CA"/>
        </w:rPr>
      </w:pPr>
      <w:r w:rsidRPr="00E202F1">
        <w:rPr>
          <w:lang w:val="en-CA"/>
        </w:rPr>
        <w:t>Sir Wilfrid Laurier School Board.</w:t>
      </w:r>
      <w:r w:rsidRPr="00E202F1">
        <w:rPr>
          <w:rStyle w:val="Appelnotedebasdep"/>
          <w:lang w:val="en-CA"/>
        </w:rPr>
        <w:footnoteReference w:id="229"/>
      </w:r>
      <w:r w:rsidRPr="00E202F1">
        <w:rPr>
          <w:lang w:val="en-CA"/>
        </w:rPr>
        <w:t xml:space="preserve"> </w:t>
      </w:r>
    </w:p>
    <w:p w14:paraId="2A24915F" w14:textId="1D3ED942" w:rsidR="003B1EC4" w:rsidRPr="00702CCF" w:rsidRDefault="003B1EC4" w:rsidP="003B1EC4">
      <w:pPr>
        <w:pStyle w:val="Paragrsimple"/>
        <w:rPr>
          <w:lang w:val="en-CA"/>
        </w:rPr>
      </w:pPr>
      <w:r w:rsidRPr="00E202F1">
        <w:rPr>
          <w:lang w:val="en-CA"/>
        </w:rPr>
        <w:t xml:space="preserve">The AGQ also </w:t>
      </w:r>
      <w:r w:rsidR="00694A21">
        <w:rPr>
          <w:lang w:val="en-CA"/>
        </w:rPr>
        <w:t>submits</w:t>
      </w:r>
      <w:r w:rsidRPr="00E202F1">
        <w:rPr>
          <w:lang w:val="en-CA"/>
        </w:rPr>
        <w:t xml:space="preserve"> that a similar bill had been tabled before the National Assembly on December 4, 2015.</w:t>
      </w:r>
      <w:r w:rsidRPr="00E202F1">
        <w:rPr>
          <w:rStyle w:val="Appelnotedebasdep"/>
        </w:rPr>
        <w:footnoteReference w:id="230"/>
      </w:r>
      <w:r w:rsidRPr="00702CCF">
        <w:rPr>
          <w:lang w:val="en-CA"/>
        </w:rPr>
        <w:t xml:space="preserve"> During the </w:t>
      </w:r>
      <w:r w:rsidR="009B21DD">
        <w:rPr>
          <w:lang w:val="en-CA"/>
        </w:rPr>
        <w:t xml:space="preserve">special </w:t>
      </w:r>
      <w:r>
        <w:rPr>
          <w:lang w:val="en-CA"/>
        </w:rPr>
        <w:t>consultations</w:t>
      </w:r>
      <w:r w:rsidRPr="00702CCF">
        <w:rPr>
          <w:lang w:val="en-CA"/>
        </w:rPr>
        <w:t xml:space="preserve"> </w:t>
      </w:r>
      <w:r w:rsidR="009B21DD">
        <w:rPr>
          <w:lang w:val="en-CA"/>
        </w:rPr>
        <w:t>on</w:t>
      </w:r>
      <w:r w:rsidR="009B21DD" w:rsidRPr="00702CCF">
        <w:rPr>
          <w:lang w:val="en-CA"/>
        </w:rPr>
        <w:t xml:space="preserve"> </w:t>
      </w:r>
      <w:r w:rsidRPr="00702CCF">
        <w:rPr>
          <w:lang w:val="en-CA"/>
        </w:rPr>
        <w:t xml:space="preserve">that bill, the Committee on </w:t>
      </w:r>
      <w:r w:rsidR="00F87D16">
        <w:rPr>
          <w:lang w:val="en-CA"/>
        </w:rPr>
        <w:t>C</w:t>
      </w:r>
      <w:r w:rsidRPr="00702CCF">
        <w:rPr>
          <w:lang w:val="en-CA"/>
        </w:rPr>
        <w:t xml:space="preserve">ulture and </w:t>
      </w:r>
      <w:r w:rsidR="00F87D16">
        <w:rPr>
          <w:lang w:val="en-CA"/>
        </w:rPr>
        <w:t>E</w:t>
      </w:r>
      <w:r w:rsidRPr="00702CCF">
        <w:rPr>
          <w:lang w:val="en-CA"/>
        </w:rPr>
        <w:t>ducation heard the Quebec English School Boards Association, the English Montreal School Board, the Lester B. Pearson School Board, the English Parents</w:t>
      </w:r>
      <w:r>
        <w:rPr>
          <w:lang w:val="en-CA"/>
        </w:rPr>
        <w:t>’</w:t>
      </w:r>
      <w:r w:rsidRPr="00702CCF">
        <w:rPr>
          <w:lang w:val="en-CA"/>
        </w:rPr>
        <w:t xml:space="preserve"> Committee Association, the Quebec Community Groups Network, the Regi</w:t>
      </w:r>
      <w:r>
        <w:rPr>
          <w:lang w:val="en-CA"/>
        </w:rPr>
        <w:t>o</w:t>
      </w:r>
      <w:r w:rsidRPr="00702CCF">
        <w:rPr>
          <w:lang w:val="en-CA"/>
        </w:rPr>
        <w:t xml:space="preserve">nal Association of West Quebecers, the Coalition for the </w:t>
      </w:r>
      <w:r w:rsidR="00F87D16">
        <w:rPr>
          <w:lang w:val="en-CA"/>
        </w:rPr>
        <w:t>F</w:t>
      </w:r>
      <w:r w:rsidRPr="00702CCF">
        <w:rPr>
          <w:lang w:val="en-CA"/>
        </w:rPr>
        <w:t>uture of English</w:t>
      </w:r>
      <w:r w:rsidR="00F87D16">
        <w:rPr>
          <w:lang w:val="en-CA"/>
        </w:rPr>
        <w:t xml:space="preserve"> Education in Quebec</w:t>
      </w:r>
      <w:r w:rsidRPr="00702CCF">
        <w:rPr>
          <w:lang w:val="en-CA"/>
        </w:rPr>
        <w:t xml:space="preserve">, and the Association of </w:t>
      </w:r>
      <w:r w:rsidR="009534BE">
        <w:rPr>
          <w:lang w:val="en-CA"/>
        </w:rPr>
        <w:t>A</w:t>
      </w:r>
      <w:r w:rsidRPr="00702CCF">
        <w:rPr>
          <w:lang w:val="en-CA"/>
        </w:rPr>
        <w:t>dministrators of English Schools of Québec.</w:t>
      </w:r>
    </w:p>
    <w:p w14:paraId="57E9C3F3" w14:textId="3F9D44EF" w:rsidR="003B1EC4" w:rsidRPr="00702CCF" w:rsidRDefault="003B1EC4" w:rsidP="003B1EC4">
      <w:pPr>
        <w:pStyle w:val="Paragrsimple"/>
        <w:rPr>
          <w:lang w:val="en-CA"/>
        </w:rPr>
      </w:pPr>
      <w:r>
        <w:rPr>
          <w:lang w:val="en-CA"/>
        </w:rPr>
        <w:t xml:space="preserve">The Court finds it very difficult to see how submissions on a bill </w:t>
      </w:r>
      <w:r w:rsidR="00D57B1F">
        <w:rPr>
          <w:lang w:val="en-CA"/>
        </w:rPr>
        <w:t xml:space="preserve">other </w:t>
      </w:r>
      <w:r>
        <w:rPr>
          <w:lang w:val="en-CA"/>
        </w:rPr>
        <w:t xml:space="preserve">than the one under consideration </w:t>
      </w:r>
      <w:r w:rsidR="00D57B1F">
        <w:rPr>
          <w:lang w:val="en-CA"/>
        </w:rPr>
        <w:t xml:space="preserve">can </w:t>
      </w:r>
      <w:r>
        <w:rPr>
          <w:lang w:val="en-CA"/>
        </w:rPr>
        <w:t>constitute “meaningful” consultation.</w:t>
      </w:r>
    </w:p>
    <w:p w14:paraId="3E0F2455" w14:textId="3A4C83D1" w:rsidR="003B1EC4" w:rsidRPr="00702CCF" w:rsidRDefault="003B1EC4" w:rsidP="003B1EC4">
      <w:pPr>
        <w:pStyle w:val="Paragrsimple"/>
        <w:rPr>
          <w:lang w:val="en-CA"/>
        </w:rPr>
      </w:pPr>
      <w:r>
        <w:rPr>
          <w:lang w:val="en-CA"/>
        </w:rPr>
        <w:t>It is not enough for the representatives of the English-language community to have been heard out of politeness.</w:t>
      </w:r>
      <w:r w:rsidRPr="00702CCF">
        <w:rPr>
          <w:lang w:val="en-CA"/>
        </w:rPr>
        <w:t xml:space="preserve"> </w:t>
      </w:r>
      <w:r w:rsidR="004E0BAA">
        <w:rPr>
          <w:lang w:val="en-CA"/>
        </w:rPr>
        <w:t xml:space="preserve">A </w:t>
      </w:r>
      <w:r>
        <w:rPr>
          <w:lang w:val="en-CA"/>
        </w:rPr>
        <w:t>genuine consultation</w:t>
      </w:r>
      <w:r w:rsidR="004E0BAA">
        <w:rPr>
          <w:lang w:val="en-CA"/>
        </w:rPr>
        <w:t xml:space="preserve"> has requirements</w:t>
      </w:r>
      <w:r>
        <w:rPr>
          <w:lang w:val="en-CA"/>
        </w:rPr>
        <w:t>.</w:t>
      </w:r>
      <w:r w:rsidRPr="00702CCF">
        <w:rPr>
          <w:lang w:val="en-CA"/>
        </w:rPr>
        <w:t xml:space="preserve"> </w:t>
      </w:r>
    </w:p>
    <w:p w14:paraId="65F1AFA9" w14:textId="1856B61B" w:rsidR="003B1EC4" w:rsidRPr="00702CCF" w:rsidRDefault="003B1EC4" w:rsidP="003B1EC4">
      <w:pPr>
        <w:pStyle w:val="Paragrsimple"/>
        <w:rPr>
          <w:lang w:val="en-CA"/>
        </w:rPr>
      </w:pPr>
      <w:r w:rsidRPr="00702CCF">
        <w:rPr>
          <w:lang w:val="en-CA"/>
        </w:rPr>
        <w:t xml:space="preserve">The notion of consultation was specifically considered in the context of </w:t>
      </w:r>
      <w:r w:rsidR="004E0BAA">
        <w:rPr>
          <w:lang w:val="en-CA"/>
        </w:rPr>
        <w:t xml:space="preserve">respect for </w:t>
      </w:r>
      <w:r w:rsidRPr="00702CCF">
        <w:rPr>
          <w:lang w:val="en-CA"/>
        </w:rPr>
        <w:t xml:space="preserve">the rights of Indigenous peoples. In </w:t>
      </w:r>
      <w:proofErr w:type="spellStart"/>
      <w:r w:rsidRPr="00702CCF">
        <w:rPr>
          <w:i/>
          <w:lang w:val="en-CA"/>
        </w:rPr>
        <w:t>Haïda</w:t>
      </w:r>
      <w:proofErr w:type="spellEnd"/>
      <w:r w:rsidRPr="00702CCF">
        <w:rPr>
          <w:i/>
          <w:lang w:val="en-CA"/>
        </w:rPr>
        <w:t xml:space="preserve"> Nation</w:t>
      </w:r>
      <w:r w:rsidRPr="00702CCF">
        <w:rPr>
          <w:lang w:val="en-CA"/>
        </w:rPr>
        <w:t xml:space="preserve">, the Supreme Court identified the components of </w:t>
      </w:r>
      <w:r w:rsidR="004E0BAA">
        <w:rPr>
          <w:lang w:val="en-CA"/>
        </w:rPr>
        <w:t xml:space="preserve">a </w:t>
      </w:r>
      <w:r w:rsidRPr="00702CCF">
        <w:rPr>
          <w:lang w:val="en-CA"/>
        </w:rPr>
        <w:t>“meaningful”</w:t>
      </w:r>
      <w:r w:rsidR="004E0BAA">
        <w:rPr>
          <w:lang w:val="en-CA"/>
        </w:rPr>
        <w:t xml:space="preserve"> consultation</w:t>
      </w:r>
      <w:r w:rsidRPr="00702CCF">
        <w:rPr>
          <w:lang w:val="en-CA"/>
        </w:rPr>
        <w:t xml:space="preserve">, drawing inspiration from </w:t>
      </w:r>
      <w:r w:rsidR="004E0BAA">
        <w:rPr>
          <w:lang w:val="en-CA"/>
        </w:rPr>
        <w:t>practices</w:t>
      </w:r>
      <w:r w:rsidRPr="00702CCF">
        <w:rPr>
          <w:lang w:val="en-CA"/>
        </w:rPr>
        <w:t xml:space="preserve"> in New Zealand:</w:t>
      </w:r>
      <w:r>
        <w:rPr>
          <w:rStyle w:val="Appelnotedebasdep"/>
        </w:rPr>
        <w:footnoteReference w:id="231"/>
      </w:r>
    </w:p>
    <w:p w14:paraId="03ECDDFC" w14:textId="77777777" w:rsidR="003B1EC4" w:rsidRPr="00E202F1" w:rsidRDefault="003B1EC4" w:rsidP="003B1EC4">
      <w:pPr>
        <w:pStyle w:val="Citation"/>
        <w:rPr>
          <w:lang w:val="en-CA"/>
        </w:rPr>
      </w:pPr>
      <w:r w:rsidRPr="00E202F1">
        <w:rPr>
          <w:lang w:val="en-CA"/>
        </w:rPr>
        <w:t>... genuine consultation means a process that involves ...</w:t>
      </w:r>
    </w:p>
    <w:p w14:paraId="310CBC21" w14:textId="77777777" w:rsidR="003B1EC4" w:rsidRPr="00E202F1" w:rsidRDefault="003B1EC4" w:rsidP="003B1EC4">
      <w:pPr>
        <w:pStyle w:val="Citation"/>
        <w:numPr>
          <w:ilvl w:val="0"/>
          <w:numId w:val="17"/>
        </w:numPr>
        <w:rPr>
          <w:lang w:val="en-CA"/>
        </w:rPr>
      </w:pPr>
      <w:r w:rsidRPr="00E202F1">
        <w:rPr>
          <w:lang w:val="en-CA"/>
        </w:rPr>
        <w:t>gathering information to test policy proposals;</w:t>
      </w:r>
    </w:p>
    <w:p w14:paraId="5099FE93" w14:textId="77777777" w:rsidR="003B1EC4" w:rsidRPr="00E202F1" w:rsidRDefault="003B1EC4" w:rsidP="003B1EC4">
      <w:pPr>
        <w:pStyle w:val="Citation"/>
        <w:numPr>
          <w:ilvl w:val="0"/>
          <w:numId w:val="17"/>
        </w:numPr>
        <w:rPr>
          <w:lang w:val="en-CA"/>
        </w:rPr>
      </w:pPr>
      <w:r w:rsidRPr="00E202F1">
        <w:rPr>
          <w:lang w:val="en-CA"/>
        </w:rPr>
        <w:lastRenderedPageBreak/>
        <w:t>putting forward proposals that are not yet finalised;</w:t>
      </w:r>
    </w:p>
    <w:p w14:paraId="3EC83D45" w14:textId="77777777" w:rsidR="003B1EC4" w:rsidRPr="00E202F1" w:rsidRDefault="003B1EC4" w:rsidP="003B1EC4">
      <w:pPr>
        <w:pStyle w:val="Citation"/>
        <w:numPr>
          <w:ilvl w:val="0"/>
          <w:numId w:val="17"/>
        </w:numPr>
        <w:rPr>
          <w:lang w:val="en-CA"/>
        </w:rPr>
      </w:pPr>
      <w:r w:rsidRPr="00E202F1">
        <w:rPr>
          <w:lang w:val="en-CA"/>
        </w:rPr>
        <w:t xml:space="preserve">seeking </w:t>
      </w:r>
      <w:proofErr w:type="spellStart"/>
      <w:r w:rsidRPr="00E202F1">
        <w:rPr>
          <w:lang w:val="en-CA"/>
        </w:rPr>
        <w:t>Mäori</w:t>
      </w:r>
      <w:proofErr w:type="spellEnd"/>
      <w:r w:rsidRPr="00E202F1">
        <w:rPr>
          <w:lang w:val="en-CA"/>
        </w:rPr>
        <w:t xml:space="preserve"> opinion on those proposals;</w:t>
      </w:r>
    </w:p>
    <w:p w14:paraId="22E3612D" w14:textId="77777777" w:rsidR="003B1EC4" w:rsidRPr="00E202F1" w:rsidRDefault="003B1EC4" w:rsidP="003B1EC4">
      <w:pPr>
        <w:pStyle w:val="Citation"/>
        <w:numPr>
          <w:ilvl w:val="0"/>
          <w:numId w:val="17"/>
        </w:numPr>
        <w:rPr>
          <w:lang w:val="en-CA"/>
        </w:rPr>
      </w:pPr>
      <w:r w:rsidRPr="00E202F1">
        <w:rPr>
          <w:lang w:val="en-CA"/>
        </w:rPr>
        <w:t xml:space="preserve">informing </w:t>
      </w:r>
      <w:proofErr w:type="spellStart"/>
      <w:r w:rsidRPr="00E202F1">
        <w:rPr>
          <w:lang w:val="en-CA"/>
        </w:rPr>
        <w:t>Mäori</w:t>
      </w:r>
      <w:proofErr w:type="spellEnd"/>
      <w:r w:rsidRPr="00E202F1">
        <w:rPr>
          <w:lang w:val="en-CA"/>
        </w:rPr>
        <w:t xml:space="preserve"> of all relevant information upon which those proposals are based;</w:t>
      </w:r>
    </w:p>
    <w:p w14:paraId="0813BE6A" w14:textId="77777777" w:rsidR="003B1EC4" w:rsidRPr="00E202F1" w:rsidRDefault="003B1EC4" w:rsidP="003B1EC4">
      <w:pPr>
        <w:pStyle w:val="Citation"/>
        <w:numPr>
          <w:ilvl w:val="0"/>
          <w:numId w:val="17"/>
        </w:numPr>
        <w:rPr>
          <w:lang w:val="en-CA"/>
        </w:rPr>
      </w:pPr>
      <w:r w:rsidRPr="00E202F1">
        <w:rPr>
          <w:lang w:val="en-CA"/>
        </w:rPr>
        <w:t xml:space="preserve">not promoting but listening with an open mind to what </w:t>
      </w:r>
      <w:proofErr w:type="spellStart"/>
      <w:r w:rsidRPr="00E202F1">
        <w:rPr>
          <w:lang w:val="en-CA"/>
        </w:rPr>
        <w:t>Mäori</w:t>
      </w:r>
      <w:proofErr w:type="spellEnd"/>
      <w:r w:rsidRPr="00E202F1">
        <w:rPr>
          <w:lang w:val="en-CA"/>
        </w:rPr>
        <w:t xml:space="preserve"> have to say;</w:t>
      </w:r>
    </w:p>
    <w:p w14:paraId="787C8B6C" w14:textId="77777777" w:rsidR="003B1EC4" w:rsidRPr="00E202F1" w:rsidRDefault="003B1EC4" w:rsidP="003B1EC4">
      <w:pPr>
        <w:pStyle w:val="Citation"/>
        <w:numPr>
          <w:ilvl w:val="0"/>
          <w:numId w:val="17"/>
        </w:numPr>
        <w:rPr>
          <w:lang w:val="en-CA"/>
        </w:rPr>
      </w:pPr>
      <w:r w:rsidRPr="00E202F1">
        <w:rPr>
          <w:lang w:val="en-CA"/>
        </w:rPr>
        <w:t>being prepared to alter the original proposal;</w:t>
      </w:r>
    </w:p>
    <w:p w14:paraId="5CFDA0CC" w14:textId="77777777" w:rsidR="003B1EC4" w:rsidRPr="00E202F1" w:rsidRDefault="003B1EC4" w:rsidP="003B1EC4">
      <w:pPr>
        <w:pStyle w:val="Citation"/>
        <w:numPr>
          <w:ilvl w:val="0"/>
          <w:numId w:val="17"/>
        </w:numPr>
        <w:rPr>
          <w:lang w:val="en-CA"/>
        </w:rPr>
      </w:pPr>
      <w:r w:rsidRPr="00E202F1">
        <w:rPr>
          <w:lang w:val="en-CA"/>
        </w:rPr>
        <w:t>providing feedback both during the consultation process and after the decision-process.</w:t>
      </w:r>
    </w:p>
    <w:p w14:paraId="090EA7FA" w14:textId="27C72893" w:rsidR="003B1EC4" w:rsidRPr="00702CCF" w:rsidRDefault="003B1EC4" w:rsidP="003B1EC4">
      <w:pPr>
        <w:pStyle w:val="Paragrsimple"/>
        <w:rPr>
          <w:lang w:val="en-CA"/>
        </w:rPr>
      </w:pPr>
      <w:r w:rsidRPr="00702CCF">
        <w:rPr>
          <w:lang w:val="en-CA"/>
        </w:rPr>
        <w:t xml:space="preserve">This notion of consultation already existed with respect to schools. André Biron J. wrote about consultations </w:t>
      </w:r>
      <w:r w:rsidR="009D020E">
        <w:rPr>
          <w:lang w:val="en-CA"/>
        </w:rPr>
        <w:t>required by</w:t>
      </w:r>
      <w:r w:rsidRPr="00702CCF">
        <w:rPr>
          <w:lang w:val="en-CA"/>
        </w:rPr>
        <w:t xml:space="preserve"> the </w:t>
      </w:r>
      <w:r w:rsidRPr="00F36996">
        <w:rPr>
          <w:i/>
          <w:iCs/>
          <w:lang w:val="en-CA"/>
        </w:rPr>
        <w:t>Education Act</w:t>
      </w:r>
      <w:r w:rsidRPr="00702CCF">
        <w:rPr>
          <w:lang w:val="en-CA"/>
        </w:rPr>
        <w:t xml:space="preserve"> before a school is closed:</w:t>
      </w:r>
      <w:r>
        <w:rPr>
          <w:rStyle w:val="Appelnotedebasdep"/>
        </w:rPr>
        <w:footnoteReference w:id="232"/>
      </w:r>
    </w:p>
    <w:p w14:paraId="124ECA96" w14:textId="77777777" w:rsidR="003B1EC4" w:rsidRDefault="003B1EC4" w:rsidP="003B1EC4">
      <w:pPr>
        <w:pStyle w:val="Citation"/>
        <w:rPr>
          <w:lang w:val="en-CA"/>
        </w:rPr>
      </w:pPr>
      <w:r>
        <w:rPr>
          <w:lang w:val="en-CA"/>
        </w:rPr>
        <w:t>[</w:t>
      </w:r>
      <w:r w:rsidRPr="00F36996">
        <w:rPr>
          <w:smallCaps/>
          <w:lang w:val="en-CA"/>
        </w:rPr>
        <w:t>translation</w:t>
      </w:r>
      <w:r>
        <w:rPr>
          <w:lang w:val="en-CA"/>
        </w:rPr>
        <w:t>]</w:t>
      </w:r>
    </w:p>
    <w:p w14:paraId="73BE88C6" w14:textId="77777777" w:rsidR="003B1EC4" w:rsidRPr="00702CCF" w:rsidRDefault="003B1EC4" w:rsidP="003B1EC4">
      <w:pPr>
        <w:pStyle w:val="Citation"/>
        <w:rPr>
          <w:lang w:val="en-CA"/>
        </w:rPr>
      </w:pPr>
      <w:r w:rsidRPr="00702CCF">
        <w:rPr>
          <w:lang w:val="en-CA"/>
        </w:rPr>
        <w:t>76. The Court accepts that as a rule, it is not enough for there to be consultation</w:t>
      </w:r>
      <w:r>
        <w:rPr>
          <w:lang w:val="en-CA"/>
        </w:rPr>
        <w:t>.</w:t>
      </w:r>
      <w:r w:rsidRPr="00702CCF">
        <w:rPr>
          <w:lang w:val="en-CA"/>
        </w:rPr>
        <w:t xml:space="preserve"> </w:t>
      </w:r>
      <w:r>
        <w:rPr>
          <w:lang w:val="en-CA"/>
        </w:rPr>
        <w:t>T</w:t>
      </w:r>
      <w:r w:rsidRPr="00702CCF">
        <w:rPr>
          <w:lang w:val="en-CA"/>
        </w:rPr>
        <w:t xml:space="preserve">he organizations consulted must </w:t>
      </w:r>
      <w:r w:rsidRPr="00702CCF">
        <w:rPr>
          <w:u w:val="single"/>
          <w:lang w:val="en-CA"/>
        </w:rPr>
        <w:t xml:space="preserve">have </w:t>
      </w:r>
      <w:r>
        <w:rPr>
          <w:u w:val="single"/>
          <w:lang w:val="en-CA"/>
        </w:rPr>
        <w:t>enough</w:t>
      </w:r>
      <w:r w:rsidRPr="00702CCF">
        <w:rPr>
          <w:u w:val="single"/>
          <w:lang w:val="en-CA"/>
        </w:rPr>
        <w:t xml:space="preserve"> information</w:t>
      </w:r>
      <w:r w:rsidRPr="00702CCF">
        <w:rPr>
          <w:lang w:val="en-CA"/>
        </w:rPr>
        <w:t xml:space="preserve"> about the subject of the consultation </w:t>
      </w:r>
      <w:r w:rsidRPr="00702CCF">
        <w:rPr>
          <w:u w:val="single"/>
          <w:lang w:val="en-CA"/>
        </w:rPr>
        <w:t>to provide informed advice</w:t>
      </w:r>
      <w:r w:rsidRPr="00702CCF">
        <w:rPr>
          <w:lang w:val="en-CA"/>
        </w:rPr>
        <w:t xml:space="preserve"> and have a </w:t>
      </w:r>
      <w:r w:rsidRPr="00702CCF">
        <w:rPr>
          <w:u w:val="single"/>
          <w:lang w:val="en-CA"/>
        </w:rPr>
        <w:t>reasonable opportunity to present their viewpoint</w:t>
      </w:r>
      <w:r w:rsidRPr="00702CCF">
        <w:rPr>
          <w:lang w:val="en-CA"/>
        </w:rPr>
        <w:t xml:space="preserve">, and highlight issues and difficulties, if any. This means that the </w:t>
      </w:r>
      <w:r w:rsidRPr="00702CCF">
        <w:rPr>
          <w:u w:val="single"/>
          <w:lang w:val="en-CA"/>
        </w:rPr>
        <w:t>time allocated to present one’s viewpoint must be sufficient</w:t>
      </w:r>
      <w:r w:rsidRPr="00702CCF">
        <w:rPr>
          <w:lang w:val="en-CA"/>
        </w:rPr>
        <w:t xml:space="preserve"> in light of the elements to be considered.</w:t>
      </w:r>
    </w:p>
    <w:p w14:paraId="6F91FB2E" w14:textId="77777777" w:rsidR="003B1EC4" w:rsidRPr="00702CCF" w:rsidRDefault="003B1EC4" w:rsidP="003B1EC4">
      <w:pPr>
        <w:pStyle w:val="Citation"/>
        <w:rPr>
          <w:lang w:val="en-CA"/>
        </w:rPr>
      </w:pPr>
      <w:r w:rsidRPr="00702CCF">
        <w:rPr>
          <w:lang w:val="en-CA"/>
        </w:rPr>
        <w:t xml:space="preserve">77. The second rule the Court will apply is the following: the School Board </w:t>
      </w:r>
      <w:r w:rsidRPr="00702CCF">
        <w:rPr>
          <w:u w:val="single"/>
          <w:lang w:val="en-CA"/>
        </w:rPr>
        <w:t>should accept the advice of committees and councils</w:t>
      </w:r>
      <w:r w:rsidRPr="00702CCF">
        <w:rPr>
          <w:lang w:val="en-CA"/>
        </w:rPr>
        <w:t xml:space="preserve"> but is under no obligation to follow it. If the legislator had wanted it to be otherwise, it would not have used the word “consult” without completing it with a paragraph of the following kind: no school may be closed without the consent of its School Committee and its orientation committee.</w:t>
      </w:r>
    </w:p>
    <w:p w14:paraId="4E5DF93D" w14:textId="77777777" w:rsidR="003B1EC4" w:rsidRPr="00E202F1" w:rsidRDefault="003B1EC4" w:rsidP="003B1EC4">
      <w:pPr>
        <w:pStyle w:val="Citationenretrait"/>
        <w:jc w:val="right"/>
        <w:rPr>
          <w:sz w:val="24"/>
          <w:szCs w:val="24"/>
        </w:rPr>
      </w:pPr>
      <w:r w:rsidRPr="00E202F1">
        <w:rPr>
          <w:sz w:val="24"/>
          <w:szCs w:val="24"/>
        </w:rPr>
        <w:t>[</w:t>
      </w:r>
      <w:proofErr w:type="spellStart"/>
      <w:r w:rsidRPr="00E202F1">
        <w:rPr>
          <w:sz w:val="24"/>
          <w:szCs w:val="24"/>
        </w:rPr>
        <w:t>Emphasis</w:t>
      </w:r>
      <w:proofErr w:type="spellEnd"/>
      <w:r w:rsidRPr="00E202F1">
        <w:rPr>
          <w:sz w:val="24"/>
          <w:szCs w:val="24"/>
        </w:rPr>
        <w:t xml:space="preserve"> </w:t>
      </w:r>
      <w:proofErr w:type="spellStart"/>
      <w:r w:rsidRPr="00E202F1">
        <w:rPr>
          <w:sz w:val="24"/>
          <w:szCs w:val="24"/>
        </w:rPr>
        <w:t>added</w:t>
      </w:r>
      <w:proofErr w:type="spellEnd"/>
      <w:r w:rsidRPr="00E202F1">
        <w:rPr>
          <w:sz w:val="24"/>
          <w:szCs w:val="24"/>
        </w:rPr>
        <w:t>.]</w:t>
      </w:r>
    </w:p>
    <w:p w14:paraId="062F77CC" w14:textId="77777777" w:rsidR="003B1EC4" w:rsidRPr="00702CCF" w:rsidRDefault="003B1EC4" w:rsidP="003B1EC4">
      <w:pPr>
        <w:pStyle w:val="Paragrsimple"/>
        <w:rPr>
          <w:lang w:val="en-CA"/>
        </w:rPr>
      </w:pPr>
      <w:r w:rsidRPr="00702CCF">
        <w:rPr>
          <w:lang w:val="en-CA"/>
        </w:rPr>
        <w:t>From the evidence, the Court concludes that the government failed to respect the rules of a “meaningful” consultation:</w:t>
      </w:r>
    </w:p>
    <w:p w14:paraId="66139065" w14:textId="77777777" w:rsidR="003B1EC4" w:rsidRPr="00702CCF" w:rsidRDefault="003B1EC4" w:rsidP="003B1EC4">
      <w:pPr>
        <w:pStyle w:val="Paragrdouble"/>
        <w:numPr>
          <w:ilvl w:val="0"/>
          <w:numId w:val="9"/>
        </w:numPr>
        <w:spacing w:line="240" w:lineRule="auto"/>
        <w:rPr>
          <w:lang w:val="en-CA"/>
        </w:rPr>
      </w:pPr>
      <w:r w:rsidRPr="00702CCF">
        <w:rPr>
          <w:lang w:val="en-CA"/>
        </w:rPr>
        <w:t>It did not specifically study the needs of the English-language minority.</w:t>
      </w:r>
    </w:p>
    <w:p w14:paraId="179750E1" w14:textId="62C951DF" w:rsidR="003B1EC4" w:rsidRPr="00702CCF" w:rsidRDefault="003B1EC4" w:rsidP="003B1EC4">
      <w:pPr>
        <w:pStyle w:val="Paragrdouble"/>
        <w:numPr>
          <w:ilvl w:val="0"/>
          <w:numId w:val="9"/>
        </w:numPr>
        <w:spacing w:line="240" w:lineRule="auto"/>
        <w:rPr>
          <w:lang w:val="en-CA"/>
        </w:rPr>
      </w:pPr>
      <w:r w:rsidRPr="00702CCF">
        <w:rPr>
          <w:lang w:val="en-CA"/>
        </w:rPr>
        <w:t xml:space="preserve">It made no effort to </w:t>
      </w:r>
      <w:r w:rsidR="00D238A4">
        <w:rPr>
          <w:lang w:val="en-CA"/>
        </w:rPr>
        <w:t xml:space="preserve">hear </w:t>
      </w:r>
      <w:r w:rsidRPr="00702CCF">
        <w:rPr>
          <w:lang w:val="en-CA"/>
        </w:rPr>
        <w:t xml:space="preserve">the concerns of the English-speaking community. </w:t>
      </w:r>
    </w:p>
    <w:p w14:paraId="23068794" w14:textId="6056BA8A" w:rsidR="003B1EC4" w:rsidRPr="00702CCF" w:rsidRDefault="003B1EC4" w:rsidP="003B1EC4">
      <w:pPr>
        <w:pStyle w:val="Paragrdouble"/>
        <w:numPr>
          <w:ilvl w:val="0"/>
          <w:numId w:val="9"/>
        </w:numPr>
        <w:spacing w:line="240" w:lineRule="auto"/>
        <w:rPr>
          <w:lang w:val="en-CA"/>
        </w:rPr>
      </w:pPr>
      <w:r w:rsidRPr="00702CCF">
        <w:rPr>
          <w:lang w:val="en-CA"/>
        </w:rPr>
        <w:lastRenderedPageBreak/>
        <w:t xml:space="preserve">It did not </w:t>
      </w:r>
      <w:r w:rsidR="00934292">
        <w:rPr>
          <w:lang w:val="en-CA"/>
        </w:rPr>
        <w:t>provide</w:t>
      </w:r>
      <w:r w:rsidR="00934292" w:rsidRPr="00702CCF">
        <w:rPr>
          <w:lang w:val="en-CA"/>
        </w:rPr>
        <w:t xml:space="preserve"> </w:t>
      </w:r>
      <w:r w:rsidRPr="00702CCF">
        <w:rPr>
          <w:lang w:val="en-CA"/>
        </w:rPr>
        <w:t>crucial information in time to allow its representatives to be fully aware of the government’s intentions and to react accordingly.</w:t>
      </w:r>
    </w:p>
    <w:p w14:paraId="4C8C0950" w14:textId="66C21E5A" w:rsidR="003B1EC4" w:rsidRPr="00702CCF" w:rsidRDefault="003B1EC4" w:rsidP="003B1EC4">
      <w:pPr>
        <w:pStyle w:val="Paragrdouble"/>
        <w:numPr>
          <w:ilvl w:val="0"/>
          <w:numId w:val="9"/>
        </w:numPr>
        <w:spacing w:line="240" w:lineRule="auto"/>
        <w:rPr>
          <w:lang w:val="en-CA"/>
        </w:rPr>
      </w:pPr>
      <w:r w:rsidRPr="00702CCF">
        <w:rPr>
          <w:lang w:val="en-CA"/>
        </w:rPr>
        <w:t xml:space="preserve">It did not gather information </w:t>
      </w:r>
      <w:r w:rsidR="00934292">
        <w:rPr>
          <w:lang w:val="en-CA"/>
        </w:rPr>
        <w:t xml:space="preserve">that would enable it </w:t>
      </w:r>
      <w:r w:rsidRPr="00702CCF">
        <w:rPr>
          <w:lang w:val="en-CA"/>
        </w:rPr>
        <w:t>to understand the needs of the minority</w:t>
      </w:r>
      <w:r w:rsidR="00934292">
        <w:rPr>
          <w:lang w:val="en-CA"/>
        </w:rPr>
        <w:t>.</w:t>
      </w:r>
    </w:p>
    <w:p w14:paraId="334E2605" w14:textId="41CEAE59" w:rsidR="003B1EC4" w:rsidRPr="00702CCF" w:rsidRDefault="003B1EC4" w:rsidP="003B1EC4">
      <w:pPr>
        <w:pStyle w:val="Paragrdouble"/>
        <w:numPr>
          <w:ilvl w:val="0"/>
          <w:numId w:val="9"/>
        </w:numPr>
        <w:spacing w:line="240" w:lineRule="auto"/>
        <w:rPr>
          <w:lang w:val="en-CA"/>
        </w:rPr>
      </w:pPr>
      <w:r w:rsidRPr="00702CCF">
        <w:rPr>
          <w:lang w:val="en-CA"/>
        </w:rPr>
        <w:t xml:space="preserve">While it did receive briefs from various groups </w:t>
      </w:r>
      <w:r>
        <w:rPr>
          <w:lang w:val="en-CA"/>
        </w:rPr>
        <w:t>in</w:t>
      </w:r>
      <w:r w:rsidRPr="00702CCF">
        <w:rPr>
          <w:lang w:val="en-CA"/>
        </w:rPr>
        <w:t xml:space="preserve"> the English-language community, it clearly did not consider their requests and did not even discuss the</w:t>
      </w:r>
      <w:r w:rsidR="001640D0">
        <w:rPr>
          <w:lang w:val="en-CA"/>
        </w:rPr>
        <w:t xml:space="preserve"> requests </w:t>
      </w:r>
      <w:r w:rsidRPr="00702CCF">
        <w:rPr>
          <w:lang w:val="en-CA"/>
        </w:rPr>
        <w:t xml:space="preserve">with </w:t>
      </w:r>
      <w:r w:rsidR="001640D0">
        <w:rPr>
          <w:lang w:val="en-CA"/>
        </w:rPr>
        <w:t xml:space="preserve"> them</w:t>
      </w:r>
      <w:r w:rsidRPr="00702CCF">
        <w:rPr>
          <w:lang w:val="en-CA"/>
        </w:rPr>
        <w:t>.</w:t>
      </w:r>
    </w:p>
    <w:p w14:paraId="58154D21" w14:textId="31036EDD" w:rsidR="003B1EC4" w:rsidRPr="00E202F1" w:rsidRDefault="003B1EC4" w:rsidP="003B1EC4">
      <w:pPr>
        <w:pStyle w:val="Paragrdouble"/>
        <w:numPr>
          <w:ilvl w:val="0"/>
          <w:numId w:val="9"/>
        </w:numPr>
        <w:spacing w:line="240" w:lineRule="auto"/>
        <w:rPr>
          <w:lang w:val="en-CA"/>
        </w:rPr>
      </w:pPr>
      <w:r w:rsidRPr="00E202F1">
        <w:rPr>
          <w:lang w:val="en-CA"/>
        </w:rPr>
        <w:t>It did not take the time to meet with them</w:t>
      </w:r>
      <w:r w:rsidR="001640D0">
        <w:rPr>
          <w:lang w:val="en-CA"/>
        </w:rPr>
        <w:t xml:space="preserve"> on their own</w:t>
      </w:r>
      <w:r w:rsidRPr="00E202F1">
        <w:rPr>
          <w:lang w:val="en-CA"/>
        </w:rPr>
        <w:t xml:space="preserve"> </w:t>
      </w:r>
      <w:r>
        <w:rPr>
          <w:lang w:val="en-CA"/>
        </w:rPr>
        <w:t>for a sufficient amount of time</w:t>
      </w:r>
      <w:r w:rsidRPr="00E202F1">
        <w:rPr>
          <w:lang w:val="en-CA"/>
        </w:rPr>
        <w:t xml:space="preserve">. </w:t>
      </w:r>
    </w:p>
    <w:p w14:paraId="443CD77C" w14:textId="6BC0E8A7" w:rsidR="003B1EC4" w:rsidRPr="00702CCF" w:rsidRDefault="003B1EC4" w:rsidP="003B1EC4">
      <w:pPr>
        <w:pStyle w:val="Paragrdouble"/>
        <w:numPr>
          <w:ilvl w:val="0"/>
          <w:numId w:val="9"/>
        </w:numPr>
        <w:spacing w:line="240" w:lineRule="auto"/>
        <w:rPr>
          <w:lang w:val="en-CA"/>
        </w:rPr>
      </w:pPr>
      <w:r w:rsidRPr="00702CCF">
        <w:rPr>
          <w:lang w:val="en-CA"/>
        </w:rPr>
        <w:t>It provided no feedback once its bill was</w:t>
      </w:r>
      <w:r w:rsidR="001640D0">
        <w:rPr>
          <w:lang w:val="en-CA"/>
        </w:rPr>
        <w:t xml:space="preserve"> enacted</w:t>
      </w:r>
      <w:r w:rsidRPr="00702CCF">
        <w:rPr>
          <w:lang w:val="en-CA"/>
        </w:rPr>
        <w:t xml:space="preserve">. </w:t>
      </w:r>
    </w:p>
    <w:p w14:paraId="6D238A7C" w14:textId="4BC17935" w:rsidR="003B1EC4" w:rsidRPr="00C05234" w:rsidRDefault="003B1EC4" w:rsidP="003B1EC4">
      <w:pPr>
        <w:pStyle w:val="Paragrsimple"/>
        <w:rPr>
          <w:lang w:val="en-CA"/>
        </w:rPr>
      </w:pPr>
      <w:r w:rsidRPr="00C05234">
        <w:rPr>
          <w:lang w:val="en-CA"/>
        </w:rPr>
        <w:t xml:space="preserve">The Court concludes that the government did not have an “open mind” in its interactions with the English-language community and </w:t>
      </w:r>
      <w:r w:rsidR="001640D0">
        <w:rPr>
          <w:lang w:val="en-CA"/>
        </w:rPr>
        <w:t xml:space="preserve">that it </w:t>
      </w:r>
      <w:r w:rsidRPr="00C05234">
        <w:rPr>
          <w:lang w:val="en-CA"/>
        </w:rPr>
        <w:t>was not open to changing its original</w:t>
      </w:r>
      <w:r w:rsidR="00757FAF">
        <w:rPr>
          <w:lang w:val="en-CA"/>
        </w:rPr>
        <w:t xml:space="preserve"> bill</w:t>
      </w:r>
      <w:r w:rsidRPr="00C05234">
        <w:rPr>
          <w:lang w:val="en-CA"/>
        </w:rPr>
        <w:t>, except</w:t>
      </w:r>
      <w:r w:rsidR="00757FAF">
        <w:rPr>
          <w:lang w:val="en-CA"/>
        </w:rPr>
        <w:t xml:space="preserve"> to begin by </w:t>
      </w:r>
      <w:r w:rsidRPr="00C05234">
        <w:rPr>
          <w:lang w:val="en-CA"/>
        </w:rPr>
        <w:t xml:space="preserve">adding to </w:t>
      </w:r>
      <w:r w:rsidR="00757FAF">
        <w:rPr>
          <w:lang w:val="en-CA"/>
        </w:rPr>
        <w:t>the</w:t>
      </w:r>
      <w:r w:rsidR="00757FAF" w:rsidRPr="00C05234">
        <w:rPr>
          <w:lang w:val="en-CA"/>
        </w:rPr>
        <w:t xml:space="preserve"> </w:t>
      </w:r>
      <w:r w:rsidRPr="00C05234">
        <w:rPr>
          <w:lang w:val="en-CA"/>
        </w:rPr>
        <w:t>init</w:t>
      </w:r>
      <w:r>
        <w:rPr>
          <w:lang w:val="en-CA"/>
        </w:rPr>
        <w:t>i</w:t>
      </w:r>
      <w:r w:rsidRPr="00C05234">
        <w:rPr>
          <w:lang w:val="en-CA"/>
        </w:rPr>
        <w:t>al</w:t>
      </w:r>
      <w:r w:rsidR="00757FAF">
        <w:rPr>
          <w:lang w:val="en-CA"/>
        </w:rPr>
        <w:t xml:space="preserve"> bill </w:t>
      </w:r>
      <w:r w:rsidRPr="00C05234">
        <w:rPr>
          <w:lang w:val="en-CA"/>
        </w:rPr>
        <w:t xml:space="preserve">that school elections would be </w:t>
      </w:r>
      <w:r w:rsidR="00757FAF">
        <w:rPr>
          <w:lang w:val="en-CA"/>
        </w:rPr>
        <w:t>preserved</w:t>
      </w:r>
      <w:r w:rsidR="00904945">
        <w:rPr>
          <w:lang w:val="en-CA"/>
        </w:rPr>
        <w:t>,</w:t>
      </w:r>
      <w:r w:rsidR="00757FAF">
        <w:rPr>
          <w:lang w:val="en-CA"/>
        </w:rPr>
        <w:t xml:space="preserve"> </w:t>
      </w:r>
      <w:r w:rsidRPr="00C05234">
        <w:rPr>
          <w:lang w:val="en-CA"/>
        </w:rPr>
        <w:t xml:space="preserve">but </w:t>
      </w:r>
      <w:r w:rsidR="00904945">
        <w:rPr>
          <w:lang w:val="en-CA"/>
        </w:rPr>
        <w:t xml:space="preserve">simply </w:t>
      </w:r>
      <w:r w:rsidRPr="00C05234">
        <w:rPr>
          <w:lang w:val="en-CA"/>
        </w:rPr>
        <w:t xml:space="preserve">copying the provisions </w:t>
      </w:r>
      <w:r w:rsidR="00904945">
        <w:rPr>
          <w:lang w:val="en-CA"/>
        </w:rPr>
        <w:t xml:space="preserve">on this process </w:t>
      </w:r>
      <w:r w:rsidRPr="00C05234">
        <w:rPr>
          <w:lang w:val="en-CA"/>
        </w:rPr>
        <w:t>for the French-language majority school service centres</w:t>
      </w:r>
      <w:r>
        <w:rPr>
          <w:lang w:val="en-CA"/>
        </w:rPr>
        <w:t>.</w:t>
      </w:r>
      <w:r w:rsidRPr="00C05234">
        <w:rPr>
          <w:lang w:val="en-CA"/>
        </w:rPr>
        <w:t xml:space="preserve">  </w:t>
      </w:r>
    </w:p>
    <w:p w14:paraId="07849A1B" w14:textId="5E5F3129" w:rsidR="003B1EC4" w:rsidRPr="00C05234" w:rsidRDefault="003B1EC4" w:rsidP="003B1EC4">
      <w:pPr>
        <w:pStyle w:val="Paragrsimple"/>
        <w:rPr>
          <w:lang w:val="en-CA"/>
        </w:rPr>
      </w:pPr>
      <w:r w:rsidRPr="00C05234">
        <w:rPr>
          <w:lang w:val="en-CA"/>
        </w:rPr>
        <w:t>The only amendment resulting f</w:t>
      </w:r>
      <w:r>
        <w:rPr>
          <w:lang w:val="en-CA"/>
        </w:rPr>
        <w:t>r</w:t>
      </w:r>
      <w:r w:rsidRPr="00C05234">
        <w:rPr>
          <w:lang w:val="en-CA"/>
        </w:rPr>
        <w:t xml:space="preserve">om the submissions of the English-language community was </w:t>
      </w:r>
      <w:r w:rsidR="0041449F">
        <w:rPr>
          <w:lang w:val="en-CA"/>
        </w:rPr>
        <w:t>an</w:t>
      </w:r>
      <w:r w:rsidR="0041449F" w:rsidRPr="00C05234">
        <w:rPr>
          <w:lang w:val="en-CA"/>
        </w:rPr>
        <w:t xml:space="preserve"> </w:t>
      </w:r>
      <w:r w:rsidRPr="00C05234">
        <w:rPr>
          <w:lang w:val="en-CA"/>
        </w:rPr>
        <w:t xml:space="preserve">increase </w:t>
      </w:r>
      <w:r w:rsidR="0041449F">
        <w:rPr>
          <w:lang w:val="en-CA"/>
        </w:rPr>
        <w:t xml:space="preserve">in </w:t>
      </w:r>
      <w:r w:rsidRPr="00C05234">
        <w:rPr>
          <w:lang w:val="en-CA"/>
        </w:rPr>
        <w:t xml:space="preserve">the number of </w:t>
      </w:r>
      <w:r>
        <w:rPr>
          <w:lang w:val="en-CA"/>
        </w:rPr>
        <w:t>[</w:t>
      </w:r>
      <w:r w:rsidRPr="00E114D5">
        <w:rPr>
          <w:smallCaps/>
          <w:lang w:val="en-CA"/>
        </w:rPr>
        <w:t>translation</w:t>
      </w:r>
      <w:r>
        <w:rPr>
          <w:lang w:val="en-CA"/>
        </w:rPr>
        <w:t xml:space="preserve">] </w:t>
      </w:r>
      <w:r w:rsidRPr="00C05234">
        <w:rPr>
          <w:lang w:val="en-CA"/>
        </w:rPr>
        <w:t>“community representatives”. Initially four, the number of community members was increased to take into account the concerns voiced before the parliamentary committee. Their</w:t>
      </w:r>
      <w:r>
        <w:rPr>
          <w:lang w:val="en-CA"/>
        </w:rPr>
        <w:t xml:space="preserve"> [</w:t>
      </w:r>
      <w:r w:rsidRPr="00E114D5">
        <w:rPr>
          <w:smallCaps/>
          <w:lang w:val="en-CA"/>
        </w:rPr>
        <w:t>translation</w:t>
      </w:r>
      <w:r>
        <w:rPr>
          <w:lang w:val="en-CA"/>
        </w:rPr>
        <w:t>]</w:t>
      </w:r>
      <w:r w:rsidRPr="00C05234">
        <w:rPr>
          <w:lang w:val="en-CA"/>
        </w:rPr>
        <w:t xml:space="preserve"> “eligibility” was not amended, nor was the obligation to </w:t>
      </w:r>
      <w:r w:rsidR="0041449F">
        <w:rPr>
          <w:lang w:val="en-CA"/>
        </w:rPr>
        <w:t xml:space="preserve">run for </w:t>
      </w:r>
      <w:r w:rsidRPr="00C05234">
        <w:rPr>
          <w:lang w:val="en-CA"/>
        </w:rPr>
        <w:t xml:space="preserve">the </w:t>
      </w:r>
      <w:r w:rsidR="0041449F">
        <w:rPr>
          <w:lang w:val="en-CA"/>
        </w:rPr>
        <w:t xml:space="preserve">entire </w:t>
      </w:r>
      <w:r w:rsidRPr="00C05234">
        <w:rPr>
          <w:lang w:val="en-CA"/>
        </w:rPr>
        <w:t xml:space="preserve">school service centre. </w:t>
      </w:r>
    </w:p>
    <w:p w14:paraId="0518B662" w14:textId="5C2FCCF5" w:rsidR="003B1EC4" w:rsidRPr="00C05234" w:rsidRDefault="0041449F" w:rsidP="003B1EC4">
      <w:pPr>
        <w:pStyle w:val="Paragrdouble"/>
        <w:spacing w:line="240" w:lineRule="auto"/>
        <w:rPr>
          <w:lang w:val="en-CA"/>
        </w:rPr>
      </w:pPr>
      <w:r>
        <w:rPr>
          <w:lang w:val="en-CA"/>
        </w:rPr>
        <w:t xml:space="preserve">A review of the precise </w:t>
      </w:r>
      <w:r w:rsidR="003B1EC4" w:rsidRPr="00C05234">
        <w:rPr>
          <w:lang w:val="en-CA"/>
        </w:rPr>
        <w:t xml:space="preserve">request formulated by </w:t>
      </w:r>
      <w:r>
        <w:rPr>
          <w:lang w:val="en-CA"/>
        </w:rPr>
        <w:t>APPELE</w:t>
      </w:r>
      <w:r w:rsidR="003B1EC4" w:rsidRPr="00C05234">
        <w:rPr>
          <w:lang w:val="en-CA"/>
        </w:rPr>
        <w:t xml:space="preserve">-Québec </w:t>
      </w:r>
      <w:r w:rsidR="00CD23EE">
        <w:rPr>
          <w:lang w:val="en-CA"/>
        </w:rPr>
        <w:t>makes it clear</w:t>
      </w:r>
      <w:r>
        <w:rPr>
          <w:lang w:val="en-CA"/>
        </w:rPr>
        <w:t xml:space="preserve"> </w:t>
      </w:r>
      <w:r w:rsidR="003B1EC4" w:rsidRPr="00C05234">
        <w:rPr>
          <w:lang w:val="en-CA"/>
        </w:rPr>
        <w:t>that the amendment is not an appropriate response:</w:t>
      </w:r>
    </w:p>
    <w:p w14:paraId="20198666" w14:textId="77777777" w:rsidR="003B1EC4" w:rsidRDefault="003B1EC4" w:rsidP="00CD23EE">
      <w:pPr>
        <w:pStyle w:val="Citation"/>
        <w:keepNext/>
        <w:ind w:left="862" w:right="862"/>
        <w:rPr>
          <w:lang w:val="en-CA"/>
        </w:rPr>
      </w:pPr>
      <w:r>
        <w:rPr>
          <w:lang w:val="en-CA"/>
        </w:rPr>
        <w:t>[</w:t>
      </w:r>
      <w:r w:rsidRPr="00E114D5">
        <w:rPr>
          <w:smallCaps/>
          <w:lang w:val="en-CA"/>
        </w:rPr>
        <w:t>translation</w:t>
      </w:r>
      <w:r>
        <w:rPr>
          <w:lang w:val="en-CA"/>
        </w:rPr>
        <w:t>]</w:t>
      </w:r>
    </w:p>
    <w:p w14:paraId="0E45C4C2" w14:textId="77777777" w:rsidR="003B1EC4" w:rsidRPr="00C05234" w:rsidRDefault="003B1EC4" w:rsidP="00CD23EE">
      <w:pPr>
        <w:pStyle w:val="Citation"/>
        <w:keepNext/>
        <w:ind w:left="862" w:right="862"/>
        <w:rPr>
          <w:lang w:val="en-CA"/>
        </w:rPr>
      </w:pPr>
      <w:r w:rsidRPr="00C05234">
        <w:rPr>
          <w:lang w:val="en-CA"/>
        </w:rPr>
        <w:t>APPELE-Québec recommends:</w:t>
      </w:r>
    </w:p>
    <w:p w14:paraId="259A07D1" w14:textId="7D85040D" w:rsidR="003B1EC4" w:rsidRPr="00C05234" w:rsidRDefault="003B1EC4" w:rsidP="003B1EC4">
      <w:pPr>
        <w:pStyle w:val="Citation"/>
        <w:rPr>
          <w:lang w:val="en-CA"/>
        </w:rPr>
      </w:pPr>
      <w:r>
        <w:rPr>
          <w:noProof/>
          <w:lang w:eastAsia="fr-CA"/>
        </w:rPr>
        <mc:AlternateContent>
          <mc:Choice Requires="wps">
            <w:drawing>
              <wp:anchor distT="0" distB="0" distL="114300" distR="114300" simplePos="0" relativeHeight="251659264" behindDoc="0" locked="0" layoutInCell="1" allowOverlap="1" wp14:anchorId="7119F051" wp14:editId="0B254612">
                <wp:simplePos x="0" y="0"/>
                <wp:positionH relativeFrom="page">
                  <wp:posOffset>91440</wp:posOffset>
                </wp:positionH>
                <wp:positionV relativeFrom="paragraph">
                  <wp:posOffset>821055</wp:posOffset>
                </wp:positionV>
                <wp:extent cx="0" cy="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3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BF946"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pt,64.65pt" to="7.2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U7pwEAAEMDAAAOAAAAZHJzL2Uyb0RvYy54bWysUstu2zAQvBfoPxC817ITIA0Eyzk4j0va&#10;GkjyAWuSkohQXGKXtuS/L0k/ErS3ojwQ5D6GM8Nd3k2DE3tDbNE3cjGbS2G8Qm1918i318dvt1Jw&#10;BK/BoTeNPBiWd6uvX5ZjqM0V9ui0IZFAPNdjaGQfY6irilVvBuAZBuNTskUaIKYrdZUmGBP64Kqr&#10;+fymGpF0IFSGOUXvj0m5Kvhta1T81bZsonCNTNxi2ans27xXqyXUHUHorTrRgH9gMYD16dEL1D1E&#10;EDuyf0ENVhEytnGmcKiwba0yRUNSs5j/oealh2CKlmQOh4tN/P9g1c/92m8oU1eTfwnPqN5ZeFz3&#10;4DtTCLweQvq4RbaqGgPXl5Z84bAhsR1/oE41sItYXJhaGjJk0iemYvbhYraZolDHoDpHK6jPLYE4&#10;PhkcRD400lmfHYAa9s8cMwWozyU57PHROld+0XkxJp6314vvpYPRWZ2zuY6p264diT3kQSirCEqZ&#10;z2WEO68LWm9AP5zOEaw7ntPrzp98yNLznHG9RX3Y0Nmf9FOF5mmq8ih8vpfuj9lf/QYAAP//AwBQ&#10;SwMEFAAGAAgAAAAhAOe+D0LaAAAACQEAAA8AAABkcnMvZG93bnJldi54bWxMj0FLw0AQhe9C/8My&#10;BS9id1uLNDGbUhTp2Vo8b7JjEpqdDbvbNvrrnYCgp+G9ebz5ptiOrhcXDLHzpGG5UCCQam87ajQc&#10;31/vNyBiMmRN7wk1fGGEbTm7KUxu/ZXe8HJIjeASirnR0KY05FLGukVn4sIPSLz79MGZxDI00gZz&#10;5XLXy5VSj9KZjvhCawZ8brE+Hc5Og/++awbf2eplf9yEbF+r3UemtL6dj7snEAnH9BeGCZ/RoWSm&#10;yp/JRtGzXq85yXOVPYCYApNR/RqyLOT/D8ofAAAA//8DAFBLAQItABQABgAIAAAAIQC2gziS/gAA&#10;AOEBAAATAAAAAAAAAAAAAAAAAAAAAABbQ29udGVudF9UeXBlc10ueG1sUEsBAi0AFAAGAAgAAAAh&#10;ADj9If/WAAAAlAEAAAsAAAAAAAAAAAAAAAAALwEAAF9yZWxzLy5yZWxzUEsBAi0AFAAGAAgAAAAh&#10;AAEmtTunAQAAQwMAAA4AAAAAAAAAAAAAAAAALgIAAGRycy9lMm9Eb2MueG1sUEsBAi0AFAAGAAgA&#10;AAAhAOe+D0LaAAAACQEAAA8AAAAAAAAAAAAAAAAAAQQAAGRycy9kb3ducmV2LnhtbFBLBQYAAAAA&#10;BAAEAPMAAAAIBQAAAAA=&#10;" strokeweight=".50881mm">
                <w10:wrap anchorx="page"/>
              </v:line>
            </w:pict>
          </mc:Fallback>
        </mc:AlternateContent>
      </w:r>
      <w:r w:rsidRPr="00C05234">
        <w:rPr>
          <w:lang w:val="en-CA"/>
        </w:rPr>
        <w:t xml:space="preserve">That there be parity between parent representatives and community representatives </w:t>
      </w:r>
      <w:r w:rsidR="009E3FF6">
        <w:rPr>
          <w:lang w:val="en-CA"/>
        </w:rPr>
        <w:t>on</w:t>
      </w:r>
      <w:r w:rsidR="009E3FF6" w:rsidRPr="00C05234">
        <w:rPr>
          <w:lang w:val="en-CA"/>
        </w:rPr>
        <w:t xml:space="preserve"> </w:t>
      </w:r>
      <w:r w:rsidRPr="00C05234">
        <w:rPr>
          <w:lang w:val="en-CA"/>
        </w:rPr>
        <w:t xml:space="preserve">the board of directors and that both groups be elected within the subdivision. On election day, electors </w:t>
      </w:r>
      <w:r w:rsidR="004642C7">
        <w:rPr>
          <w:lang w:val="en-CA"/>
        </w:rPr>
        <w:t>should</w:t>
      </w:r>
      <w:r w:rsidR="004642C7" w:rsidRPr="00C05234">
        <w:rPr>
          <w:lang w:val="en-CA"/>
        </w:rPr>
        <w:t xml:space="preserve"> </w:t>
      </w:r>
      <w:r w:rsidRPr="00C05234">
        <w:rPr>
          <w:lang w:val="en-CA"/>
        </w:rPr>
        <w:t>receive two ballots: one to elect a community representative and the other to elect a parent.</w:t>
      </w:r>
    </w:p>
    <w:p w14:paraId="212A9F64" w14:textId="233EFF96" w:rsidR="003B1EC4" w:rsidRPr="00C05234" w:rsidRDefault="003B1EC4" w:rsidP="003B1EC4">
      <w:pPr>
        <w:pStyle w:val="Citation"/>
        <w:rPr>
          <w:lang w:val="en-CA"/>
        </w:rPr>
      </w:pPr>
      <w:r w:rsidRPr="00C05234">
        <w:rPr>
          <w:lang w:val="en-CA"/>
        </w:rPr>
        <w:t xml:space="preserve">Parent representatives </w:t>
      </w:r>
      <w:r w:rsidR="009E3FF6">
        <w:rPr>
          <w:lang w:val="en-CA"/>
        </w:rPr>
        <w:t xml:space="preserve">should </w:t>
      </w:r>
      <w:r w:rsidRPr="00C05234">
        <w:rPr>
          <w:lang w:val="en-CA"/>
        </w:rPr>
        <w:t>be</w:t>
      </w:r>
      <w:r w:rsidR="009E3FF6">
        <w:rPr>
          <w:lang w:val="en-CA"/>
        </w:rPr>
        <w:t xml:space="preserve"> or have been</w:t>
      </w:r>
      <w:r w:rsidRPr="00C05234">
        <w:rPr>
          <w:lang w:val="en-CA"/>
        </w:rPr>
        <w:t xml:space="preserve"> members of a governing board. The </w:t>
      </w:r>
      <w:r w:rsidR="003E64F2">
        <w:rPr>
          <w:lang w:val="en-CA"/>
        </w:rPr>
        <w:t>c</w:t>
      </w:r>
      <w:r w:rsidRPr="00C05234">
        <w:rPr>
          <w:lang w:val="en-CA"/>
        </w:rPr>
        <w:t xml:space="preserve">hair and </w:t>
      </w:r>
      <w:r w:rsidR="003E64F2">
        <w:rPr>
          <w:lang w:val="en-CA"/>
        </w:rPr>
        <w:t>v</w:t>
      </w:r>
      <w:r w:rsidRPr="00C05234">
        <w:rPr>
          <w:lang w:val="en-CA"/>
        </w:rPr>
        <w:t>ice-</w:t>
      </w:r>
      <w:r w:rsidR="003E64F2">
        <w:rPr>
          <w:lang w:val="en-CA"/>
        </w:rPr>
        <w:t>c</w:t>
      </w:r>
      <w:r w:rsidRPr="00C05234">
        <w:rPr>
          <w:lang w:val="en-CA"/>
        </w:rPr>
        <w:t xml:space="preserve">hair </w:t>
      </w:r>
      <w:r w:rsidR="009E3FF6">
        <w:rPr>
          <w:lang w:val="en-CA"/>
        </w:rPr>
        <w:t>sh</w:t>
      </w:r>
      <w:r w:rsidRPr="00C05234">
        <w:rPr>
          <w:lang w:val="en-CA"/>
        </w:rPr>
        <w:t xml:space="preserve">ould be elected by the </w:t>
      </w:r>
      <w:r>
        <w:rPr>
          <w:lang w:val="en-CA"/>
        </w:rPr>
        <w:t>Board</w:t>
      </w:r>
      <w:r w:rsidRPr="00C05234">
        <w:rPr>
          <w:lang w:val="en-CA"/>
        </w:rPr>
        <w:t xml:space="preserve"> </w:t>
      </w:r>
      <w:r>
        <w:rPr>
          <w:lang w:val="en-CA"/>
        </w:rPr>
        <w:t>from</w:t>
      </w:r>
      <w:r w:rsidRPr="00C05234">
        <w:rPr>
          <w:lang w:val="en-CA"/>
        </w:rPr>
        <w:t xml:space="preserve"> the parent and community representatives.</w:t>
      </w:r>
    </w:p>
    <w:p w14:paraId="7B317739" w14:textId="45D9F498" w:rsidR="003B1EC4" w:rsidRPr="00C05234" w:rsidRDefault="003B1EC4" w:rsidP="003B1EC4">
      <w:pPr>
        <w:pStyle w:val="Citation"/>
        <w:rPr>
          <w:lang w:val="en-CA"/>
        </w:rPr>
      </w:pPr>
      <w:r w:rsidRPr="00C05234">
        <w:rPr>
          <w:lang w:val="en-CA"/>
        </w:rPr>
        <w:lastRenderedPageBreak/>
        <w:t xml:space="preserve">The four criteria that apply to community representatives </w:t>
      </w:r>
      <w:r w:rsidR="009E3FF6">
        <w:rPr>
          <w:lang w:val="en-CA"/>
        </w:rPr>
        <w:t>sh</w:t>
      </w:r>
      <w:r w:rsidRPr="00C05234">
        <w:rPr>
          <w:lang w:val="en-CA"/>
        </w:rPr>
        <w:t xml:space="preserve">ould be withdrawn; </w:t>
      </w:r>
      <w:r w:rsidR="009E3FF6">
        <w:rPr>
          <w:lang w:val="en-CA"/>
        </w:rPr>
        <w:t xml:space="preserve">they </w:t>
      </w:r>
      <w:r w:rsidRPr="00C05234">
        <w:rPr>
          <w:lang w:val="en-CA"/>
        </w:rPr>
        <w:t xml:space="preserve">should simply be rights holders under the </w:t>
      </w:r>
      <w:r w:rsidRPr="005352DE">
        <w:rPr>
          <w:lang w:val="en-CA"/>
        </w:rPr>
        <w:t>Charter</w:t>
      </w:r>
      <w:r w:rsidRPr="009E3FF6">
        <w:rPr>
          <w:lang w:val="en-CA"/>
        </w:rPr>
        <w:t xml:space="preserve"> of the French Language</w:t>
      </w:r>
      <w:r w:rsidRPr="00C05234">
        <w:rPr>
          <w:lang w:val="en-CA"/>
        </w:rPr>
        <w:t xml:space="preserve"> who reside on the territory serv</w:t>
      </w:r>
      <w:r w:rsidR="009E3FF6">
        <w:rPr>
          <w:lang w:val="en-CA"/>
        </w:rPr>
        <w:t>ed</w:t>
      </w:r>
      <w:r w:rsidRPr="00C05234">
        <w:rPr>
          <w:lang w:val="en-CA"/>
        </w:rPr>
        <w:t xml:space="preserve"> by the service centre.</w:t>
      </w:r>
    </w:p>
    <w:p w14:paraId="33B7B2E1" w14:textId="2C7DC5A7" w:rsidR="003B1EC4" w:rsidRPr="00C05234" w:rsidRDefault="003B1EC4" w:rsidP="003B1EC4">
      <w:pPr>
        <w:pStyle w:val="Citation"/>
        <w:rPr>
          <w:lang w:val="en-CA"/>
        </w:rPr>
      </w:pPr>
      <w:r w:rsidRPr="00C05234">
        <w:rPr>
          <w:lang w:val="en-CA"/>
        </w:rPr>
        <w:t xml:space="preserve">Staff representatives should not be </w:t>
      </w:r>
      <w:r w:rsidR="004642C7">
        <w:rPr>
          <w:lang w:val="en-CA"/>
        </w:rPr>
        <w:t xml:space="preserve">board </w:t>
      </w:r>
      <w:r w:rsidRPr="00C05234">
        <w:rPr>
          <w:lang w:val="en-CA"/>
        </w:rPr>
        <w:t>members board.</w:t>
      </w:r>
    </w:p>
    <w:p w14:paraId="29562E3E" w14:textId="77777777" w:rsidR="003B1EC4" w:rsidRPr="00C05234" w:rsidRDefault="003B1EC4" w:rsidP="003B1EC4">
      <w:pPr>
        <w:pStyle w:val="Citation"/>
        <w:rPr>
          <w:lang w:val="en-CA"/>
        </w:rPr>
      </w:pPr>
      <w:r w:rsidRPr="00C05234">
        <w:rPr>
          <w:w w:val="105"/>
          <w:lang w:val="en-CA"/>
        </w:rPr>
        <w:t xml:space="preserve">Board members should obtain a small </w:t>
      </w:r>
      <w:r>
        <w:rPr>
          <w:w w:val="105"/>
          <w:lang w:val="en-CA"/>
        </w:rPr>
        <w:t>allowance</w:t>
      </w:r>
      <w:r w:rsidRPr="00C05234">
        <w:rPr>
          <w:w w:val="105"/>
          <w:lang w:val="en-CA"/>
        </w:rPr>
        <w:t xml:space="preserve"> like that currently given to commissioners.</w:t>
      </w:r>
      <w:r>
        <w:rPr>
          <w:rStyle w:val="Appelnotedebasdep"/>
          <w:spacing w:val="-2"/>
          <w:w w:val="105"/>
        </w:rPr>
        <w:footnoteReference w:id="233"/>
      </w:r>
    </w:p>
    <w:p w14:paraId="6A38C575" w14:textId="77777777" w:rsidR="003B1EC4" w:rsidRPr="00162806" w:rsidRDefault="003B1EC4" w:rsidP="003B1EC4">
      <w:pPr>
        <w:pStyle w:val="Paragrsimple"/>
        <w:rPr>
          <w:lang w:val="en-CA"/>
        </w:rPr>
      </w:pPr>
      <w:r w:rsidRPr="00C05234">
        <w:rPr>
          <w:lang w:val="en-CA"/>
        </w:rPr>
        <w:t xml:space="preserve">The Court finds that this is not </w:t>
      </w:r>
      <w:r>
        <w:rPr>
          <w:lang w:val="en-CA"/>
        </w:rPr>
        <w:t>[</w:t>
      </w:r>
      <w:r w:rsidRPr="00162806">
        <w:rPr>
          <w:smallCaps/>
          <w:lang w:val="en-CA"/>
        </w:rPr>
        <w:t>translation</w:t>
      </w:r>
      <w:r>
        <w:rPr>
          <w:lang w:val="en-CA"/>
        </w:rPr>
        <w:t xml:space="preserve">] </w:t>
      </w:r>
      <w:r w:rsidRPr="00C05234">
        <w:rPr>
          <w:lang w:val="en-CA"/>
        </w:rPr>
        <w:t>“taking into account</w:t>
      </w:r>
      <w:r>
        <w:rPr>
          <w:lang w:val="en-CA"/>
        </w:rPr>
        <w:t xml:space="preserve"> </w:t>
      </w:r>
      <w:r w:rsidRPr="00C05234">
        <w:rPr>
          <w:lang w:val="en-CA"/>
        </w:rPr>
        <w:t xml:space="preserve">the needs of the minority”. </w:t>
      </w:r>
      <w:r w:rsidRPr="00162806">
        <w:rPr>
          <w:lang w:val="en-CA"/>
        </w:rPr>
        <w:t>It is clearly insufficient and of little consequence.</w:t>
      </w:r>
    </w:p>
    <w:p w14:paraId="1EFBF78B" w14:textId="77777777" w:rsidR="003B1EC4" w:rsidRPr="00E202F1" w:rsidRDefault="003B1EC4" w:rsidP="003B1EC4">
      <w:pPr>
        <w:pStyle w:val="Paragrsimple"/>
        <w:rPr>
          <w:lang w:val="en-CA"/>
        </w:rPr>
      </w:pPr>
      <w:r w:rsidRPr="00E202F1">
        <w:rPr>
          <w:lang w:val="en-CA"/>
        </w:rPr>
        <w:t xml:space="preserve">As Blanchard J. wrote in </w:t>
      </w:r>
      <w:r w:rsidRPr="00E202F1">
        <w:rPr>
          <w:i/>
          <w:lang w:val="en-CA"/>
        </w:rPr>
        <w:t>Hak</w:t>
      </w:r>
      <w:r w:rsidRPr="00E202F1">
        <w:rPr>
          <w:lang w:val="en-CA"/>
        </w:rPr>
        <w:t>:</w:t>
      </w:r>
    </w:p>
    <w:p w14:paraId="43544166" w14:textId="77777777" w:rsidR="003B1EC4" w:rsidRDefault="003B1EC4" w:rsidP="005352DE">
      <w:pPr>
        <w:pStyle w:val="Citationenretrait"/>
        <w:keepNext/>
        <w:rPr>
          <w:lang w:val="en-CA"/>
        </w:rPr>
      </w:pPr>
      <w:r>
        <w:rPr>
          <w:lang w:val="en-CA"/>
        </w:rPr>
        <w:t>[</w:t>
      </w:r>
      <w:r w:rsidRPr="00162806">
        <w:rPr>
          <w:smallCaps/>
          <w:lang w:val="en-CA"/>
        </w:rPr>
        <w:t>translation</w:t>
      </w:r>
      <w:r>
        <w:rPr>
          <w:lang w:val="en-CA"/>
        </w:rPr>
        <w:t>]</w:t>
      </w:r>
    </w:p>
    <w:p w14:paraId="125DBED9" w14:textId="59D50B19" w:rsidR="003B1EC4" w:rsidRPr="00C05234" w:rsidRDefault="003B1EC4" w:rsidP="004642C7">
      <w:pPr>
        <w:pStyle w:val="Citationenretrait"/>
        <w:rPr>
          <w:lang w:val="en-CA"/>
        </w:rPr>
      </w:pPr>
      <w:r w:rsidRPr="00C05234">
        <w:rPr>
          <w:lang w:val="en-CA"/>
        </w:rPr>
        <w:t>[993]</w:t>
      </w:r>
      <w:r w:rsidRPr="00C05234">
        <w:rPr>
          <w:lang w:val="en-CA"/>
        </w:rPr>
        <w:tab/>
        <w:t>Insofar as one or more English-language school b</w:t>
      </w:r>
      <w:r>
        <w:rPr>
          <w:lang w:val="en-CA"/>
        </w:rPr>
        <w:t>o</w:t>
      </w:r>
      <w:r w:rsidRPr="00C05234">
        <w:rPr>
          <w:lang w:val="en-CA"/>
        </w:rPr>
        <w:t xml:space="preserve">ards decide that their educational </w:t>
      </w:r>
      <w:r w:rsidR="004642C7">
        <w:rPr>
          <w:lang w:val="en-CA"/>
        </w:rPr>
        <w:t>institutions</w:t>
      </w:r>
      <w:r w:rsidR="004642C7" w:rsidRPr="00C05234">
        <w:rPr>
          <w:lang w:val="en-CA"/>
        </w:rPr>
        <w:t xml:space="preserve"> </w:t>
      </w:r>
      <w:r w:rsidRPr="00C05234">
        <w:rPr>
          <w:lang w:val="en-CA"/>
        </w:rPr>
        <w:t xml:space="preserve">want to hire and promote individuals wearing religious symbols because they consider this to promote and reflect the cultural diversity of the population they serve, section 23 of the </w:t>
      </w:r>
      <w:r w:rsidRPr="00162806">
        <w:rPr>
          <w:i/>
          <w:iCs/>
          <w:lang w:val="en-CA"/>
        </w:rPr>
        <w:t>Charter</w:t>
      </w:r>
      <w:r w:rsidRPr="00C05234">
        <w:rPr>
          <w:lang w:val="en-CA"/>
        </w:rPr>
        <w:t xml:space="preserve"> prevents the legislator from directly or indirectly obviating this objective.</w:t>
      </w:r>
    </w:p>
    <w:p w14:paraId="316F47AD" w14:textId="72721384" w:rsidR="003B1EC4" w:rsidRPr="00C05234" w:rsidRDefault="003B1EC4" w:rsidP="003B1EC4">
      <w:pPr>
        <w:pStyle w:val="Paragrsimple"/>
        <w:rPr>
          <w:lang w:val="en-CA"/>
        </w:rPr>
      </w:pPr>
      <w:r w:rsidRPr="00C05234">
        <w:rPr>
          <w:lang w:val="en-CA"/>
        </w:rPr>
        <w:t xml:space="preserve">It is not for the Court to say whether the Quebec government’s legislative reform is </w:t>
      </w:r>
      <w:r w:rsidR="003E64F2">
        <w:rPr>
          <w:lang w:val="en-CA"/>
        </w:rPr>
        <w:t>appropriate or not</w:t>
      </w:r>
      <w:r w:rsidRPr="00C05234">
        <w:rPr>
          <w:lang w:val="en-CA"/>
        </w:rPr>
        <w:t xml:space="preserve">. Its role is to ensure that </w:t>
      </w:r>
      <w:r w:rsidR="004642C7">
        <w:rPr>
          <w:lang w:val="en-CA"/>
        </w:rPr>
        <w:t>the reform</w:t>
      </w:r>
      <w:r w:rsidR="004642C7" w:rsidRPr="00C05234">
        <w:rPr>
          <w:lang w:val="en-CA"/>
        </w:rPr>
        <w:t xml:space="preserve"> </w:t>
      </w:r>
      <w:r w:rsidRPr="00C05234">
        <w:rPr>
          <w:lang w:val="en-CA"/>
        </w:rPr>
        <w:t>continue</w:t>
      </w:r>
      <w:r w:rsidR="004642C7">
        <w:rPr>
          <w:lang w:val="en-CA"/>
        </w:rPr>
        <w:t>s</w:t>
      </w:r>
      <w:r w:rsidRPr="00C05234">
        <w:rPr>
          <w:lang w:val="en-CA"/>
        </w:rPr>
        <w:t xml:space="preserve"> to protect the right </w:t>
      </w:r>
      <w:r w:rsidR="004642C7">
        <w:rPr>
          <w:lang w:val="en-CA"/>
        </w:rPr>
        <w:t xml:space="preserve">of </w:t>
      </w:r>
      <w:r w:rsidRPr="00C05234">
        <w:rPr>
          <w:lang w:val="en-CA"/>
        </w:rPr>
        <w:t>manage</w:t>
      </w:r>
      <w:r w:rsidR="004642C7">
        <w:rPr>
          <w:lang w:val="en-CA"/>
        </w:rPr>
        <w:t xml:space="preserve">ment </w:t>
      </w:r>
      <w:r w:rsidRPr="00C05234">
        <w:rPr>
          <w:lang w:val="en-CA"/>
        </w:rPr>
        <w:t xml:space="preserve">and control </w:t>
      </w:r>
      <w:r w:rsidR="004642C7">
        <w:rPr>
          <w:lang w:val="en-CA"/>
        </w:rPr>
        <w:t xml:space="preserve">over </w:t>
      </w:r>
      <w:r w:rsidRPr="00C05234">
        <w:rPr>
          <w:lang w:val="en-CA"/>
        </w:rPr>
        <w:t xml:space="preserve">minority institutions </w:t>
      </w:r>
      <w:r w:rsidR="004642C7">
        <w:rPr>
          <w:lang w:val="en-CA"/>
        </w:rPr>
        <w:t xml:space="preserve">by </w:t>
      </w:r>
      <w:r w:rsidRPr="00C05234">
        <w:rPr>
          <w:lang w:val="en-CA"/>
        </w:rPr>
        <w:t>representatives</w:t>
      </w:r>
      <w:r w:rsidR="003E64F2">
        <w:rPr>
          <w:lang w:val="en-CA"/>
        </w:rPr>
        <w:t xml:space="preserve"> of that minority</w:t>
      </w:r>
      <w:r w:rsidRPr="00C05234">
        <w:rPr>
          <w:lang w:val="en-CA"/>
        </w:rPr>
        <w:t xml:space="preserve">, which it </w:t>
      </w:r>
      <w:r w:rsidR="004642C7">
        <w:rPr>
          <w:lang w:val="en-CA"/>
        </w:rPr>
        <w:t xml:space="preserve">does </w:t>
      </w:r>
      <w:r w:rsidRPr="00C05234">
        <w:rPr>
          <w:lang w:val="en-CA"/>
        </w:rPr>
        <w:t>not do.</w:t>
      </w:r>
    </w:p>
    <w:p w14:paraId="151D7E35" w14:textId="63375DA8" w:rsidR="003B1EC4" w:rsidRPr="00162806" w:rsidRDefault="004642C7" w:rsidP="005352DE">
      <w:pPr>
        <w:pStyle w:val="Titre2"/>
        <w:numPr>
          <w:ilvl w:val="0"/>
          <w:numId w:val="0"/>
        </w:numPr>
        <w:ind w:left="360"/>
        <w:rPr>
          <w:lang w:val="en-CA"/>
        </w:rPr>
      </w:pPr>
      <w:r>
        <w:rPr>
          <w:lang w:val="en-CA"/>
        </w:rPr>
        <w:t xml:space="preserve">(j)  </w:t>
      </w:r>
      <w:r w:rsidR="003B1EC4" w:rsidRPr="00162806">
        <w:rPr>
          <w:lang w:val="en-CA"/>
        </w:rPr>
        <w:t>Conclusion on infringement</w:t>
      </w:r>
    </w:p>
    <w:p w14:paraId="277F803C" w14:textId="77777777" w:rsidR="003B1EC4" w:rsidRPr="005F10A0" w:rsidRDefault="003B1EC4" w:rsidP="003B1EC4">
      <w:pPr>
        <w:pStyle w:val="Paragrsimple"/>
        <w:rPr>
          <w:lang w:val="en-CA"/>
        </w:rPr>
      </w:pPr>
      <w:r w:rsidRPr="005F10A0">
        <w:rPr>
          <w:lang w:val="en-CA"/>
        </w:rPr>
        <w:t>The Court concludes that sections 50, 52,</w:t>
      </w:r>
      <w:r>
        <w:rPr>
          <w:rStyle w:val="Appelnotedebasdep"/>
          <w:rFonts w:cs="Arial"/>
        </w:rPr>
        <w:footnoteReference w:id="234"/>
      </w:r>
      <w:r w:rsidRPr="005F10A0">
        <w:rPr>
          <w:rFonts w:cs="Arial"/>
          <w:lang w:val="en-CA"/>
        </w:rPr>
        <w:t xml:space="preserve"> 66, 91, 93, 196, 208, 212, and 216 of the </w:t>
      </w:r>
      <w:r w:rsidRPr="00162806">
        <w:rPr>
          <w:rFonts w:cs="Arial"/>
          <w:i/>
          <w:iCs/>
          <w:lang w:val="en-CA"/>
        </w:rPr>
        <w:t>Act</w:t>
      </w:r>
      <w:r w:rsidRPr="005F10A0">
        <w:rPr>
          <w:rFonts w:cs="Arial"/>
          <w:lang w:val="en-CA"/>
        </w:rPr>
        <w:t xml:space="preserve"> and section 473.1 </w:t>
      </w:r>
      <w:r w:rsidRPr="00162806">
        <w:rPr>
          <w:rFonts w:cs="Arial"/>
          <w:i/>
          <w:iCs/>
          <w:lang w:val="en-CA"/>
        </w:rPr>
        <w:t>EA</w:t>
      </w:r>
      <w:r w:rsidRPr="005F10A0">
        <w:rPr>
          <w:rFonts w:cs="Arial"/>
          <w:lang w:val="en-CA"/>
        </w:rPr>
        <w:t xml:space="preserve"> infringe the rights of Quebec rights holders under section 23 of the </w:t>
      </w:r>
      <w:r w:rsidRPr="00162806">
        <w:rPr>
          <w:rFonts w:cs="Arial"/>
          <w:i/>
          <w:iCs/>
          <w:lang w:val="en-CA"/>
        </w:rPr>
        <w:t>Charter</w:t>
      </w:r>
      <w:r w:rsidRPr="005F10A0">
        <w:rPr>
          <w:rFonts w:cs="Arial"/>
          <w:lang w:val="en-CA"/>
        </w:rPr>
        <w:t xml:space="preserve"> to exercise </w:t>
      </w:r>
      <w:r>
        <w:rPr>
          <w:rFonts w:cs="Arial"/>
          <w:lang w:val="en-CA"/>
        </w:rPr>
        <w:t xml:space="preserve">their </w:t>
      </w:r>
      <w:r w:rsidRPr="005F10A0">
        <w:rPr>
          <w:rFonts w:cs="Arial"/>
          <w:lang w:val="en-CA"/>
        </w:rPr>
        <w:t>exclusive power to manage and control their educational institutions.</w:t>
      </w:r>
      <w:r w:rsidRPr="005F10A0">
        <w:rPr>
          <w:lang w:val="en-CA"/>
        </w:rPr>
        <w:t xml:space="preserve"> </w:t>
      </w:r>
    </w:p>
    <w:p w14:paraId="6167547D" w14:textId="77777777" w:rsidR="003B1EC4" w:rsidRPr="005F10A0" w:rsidRDefault="003B1EC4" w:rsidP="003B1EC4">
      <w:pPr>
        <w:pStyle w:val="Paragrsimple"/>
        <w:rPr>
          <w:lang w:val="en-CA"/>
        </w:rPr>
      </w:pPr>
      <w:r w:rsidRPr="005F10A0">
        <w:rPr>
          <w:lang w:val="en-CA"/>
        </w:rPr>
        <w:t xml:space="preserve"> These provisions do not respond to the specific needs of the English-language minority in Quebec.</w:t>
      </w:r>
    </w:p>
    <w:p w14:paraId="54211F51" w14:textId="77777777" w:rsidR="003B1EC4" w:rsidRPr="00E202F1" w:rsidRDefault="003B1EC4" w:rsidP="003B1EC4">
      <w:pPr>
        <w:pStyle w:val="Titre1"/>
        <w:rPr>
          <w:lang w:val="en-CA"/>
        </w:rPr>
      </w:pPr>
      <w:r w:rsidRPr="00E202F1">
        <w:rPr>
          <w:lang w:val="en-CA"/>
        </w:rPr>
        <w:t>Justification of the infringement of rights</w:t>
      </w:r>
    </w:p>
    <w:p w14:paraId="15BB5373" w14:textId="18CCA1C9" w:rsidR="003B1EC4" w:rsidRPr="005F10A0" w:rsidRDefault="003B1EC4" w:rsidP="003B1EC4">
      <w:pPr>
        <w:pStyle w:val="Paragrsimple"/>
        <w:rPr>
          <w:color w:val="000000"/>
          <w:lang w:val="en-CA"/>
        </w:rPr>
      </w:pPr>
      <w:r w:rsidRPr="005F10A0">
        <w:rPr>
          <w:color w:val="000000"/>
          <w:lang w:val="en-CA"/>
        </w:rPr>
        <w:t xml:space="preserve">It must </w:t>
      </w:r>
      <w:r w:rsidR="00C9164C">
        <w:rPr>
          <w:color w:val="000000"/>
          <w:lang w:val="en-CA"/>
        </w:rPr>
        <w:t xml:space="preserve">now </w:t>
      </w:r>
      <w:r w:rsidRPr="005F10A0">
        <w:rPr>
          <w:color w:val="000000"/>
          <w:lang w:val="en-CA"/>
        </w:rPr>
        <w:t xml:space="preserve">be determined whether section 1 of the </w:t>
      </w:r>
      <w:r w:rsidRPr="005F10A0">
        <w:rPr>
          <w:i/>
          <w:color w:val="000000"/>
          <w:lang w:val="en-CA"/>
        </w:rPr>
        <w:t>Charter</w:t>
      </w:r>
      <w:r w:rsidRPr="005F10A0">
        <w:rPr>
          <w:color w:val="000000"/>
          <w:lang w:val="en-CA"/>
        </w:rPr>
        <w:t xml:space="preserve"> can </w:t>
      </w:r>
      <w:r w:rsidR="00F827DB">
        <w:rPr>
          <w:color w:val="000000"/>
          <w:lang w:val="en-CA"/>
        </w:rPr>
        <w:t>save</w:t>
      </w:r>
      <w:r w:rsidR="00F827DB" w:rsidRPr="005F10A0">
        <w:rPr>
          <w:color w:val="000000"/>
          <w:lang w:val="en-CA"/>
        </w:rPr>
        <w:t xml:space="preserve"> </w:t>
      </w:r>
      <w:r w:rsidRPr="005F10A0">
        <w:rPr>
          <w:color w:val="000000"/>
          <w:lang w:val="en-CA"/>
        </w:rPr>
        <w:t>these legislative provisions from</w:t>
      </w:r>
      <w:r w:rsidR="00F827DB">
        <w:rPr>
          <w:color w:val="000000"/>
          <w:lang w:val="en-CA"/>
        </w:rPr>
        <w:t xml:space="preserve"> being declared</w:t>
      </w:r>
      <w:r w:rsidRPr="005F10A0">
        <w:rPr>
          <w:color w:val="000000"/>
          <w:lang w:val="en-CA"/>
        </w:rPr>
        <w:t xml:space="preserve"> inoperative </w:t>
      </w:r>
      <w:r w:rsidR="00F827DB">
        <w:rPr>
          <w:color w:val="000000"/>
          <w:lang w:val="en-CA"/>
        </w:rPr>
        <w:t xml:space="preserve">under </w:t>
      </w:r>
      <w:r w:rsidRPr="005F10A0">
        <w:rPr>
          <w:color w:val="000000"/>
          <w:lang w:val="en-CA"/>
        </w:rPr>
        <w:t xml:space="preserve">section 52 of the </w:t>
      </w:r>
      <w:r w:rsidRPr="005F10A0">
        <w:rPr>
          <w:i/>
          <w:color w:val="000000"/>
          <w:lang w:val="en-CA"/>
        </w:rPr>
        <w:t>C</w:t>
      </w:r>
      <w:r w:rsidR="00F827DB">
        <w:rPr>
          <w:i/>
          <w:color w:val="000000"/>
          <w:lang w:val="en-CA"/>
        </w:rPr>
        <w:t>onstitution Act,</w:t>
      </w:r>
      <w:r w:rsidRPr="005F10A0">
        <w:rPr>
          <w:i/>
          <w:color w:val="000000"/>
          <w:lang w:val="en-CA"/>
        </w:rPr>
        <w:t xml:space="preserve"> 1982</w:t>
      </w:r>
      <w:r w:rsidR="00F827DB">
        <w:rPr>
          <w:color w:val="000000"/>
          <w:lang w:val="en-CA"/>
        </w:rPr>
        <w:t xml:space="preserve"> in favour of </w:t>
      </w:r>
      <w:r w:rsidRPr="005F10A0">
        <w:rPr>
          <w:color w:val="000000"/>
          <w:lang w:val="en-CA"/>
        </w:rPr>
        <w:t xml:space="preserve">any school board </w:t>
      </w:r>
      <w:r w:rsidR="00AA2A36">
        <w:rPr>
          <w:color w:val="000000"/>
          <w:lang w:val="en-CA"/>
        </w:rPr>
        <w:t xml:space="preserve">protected by </w:t>
      </w:r>
      <w:r w:rsidRPr="005F10A0">
        <w:rPr>
          <w:color w:val="000000"/>
          <w:lang w:val="en-CA"/>
        </w:rPr>
        <w:t xml:space="preserve">section 23 of the </w:t>
      </w:r>
      <w:r w:rsidRPr="005F10A0">
        <w:rPr>
          <w:i/>
          <w:color w:val="000000"/>
          <w:lang w:val="en-CA"/>
        </w:rPr>
        <w:t>Charter</w:t>
      </w:r>
      <w:r w:rsidRPr="005F10A0">
        <w:rPr>
          <w:color w:val="000000"/>
          <w:lang w:val="en-CA"/>
        </w:rPr>
        <w:t xml:space="preserve">. </w:t>
      </w:r>
    </w:p>
    <w:p w14:paraId="4E7D2144" w14:textId="0A35C228" w:rsidR="003B1EC4" w:rsidRPr="005F10A0" w:rsidRDefault="003B1EC4" w:rsidP="003B1EC4">
      <w:pPr>
        <w:pStyle w:val="Paragrsimple"/>
        <w:rPr>
          <w:color w:val="000000"/>
          <w:lang w:val="en-CA"/>
        </w:rPr>
      </w:pPr>
      <w:r>
        <w:rPr>
          <w:lang w:val="en-CA"/>
        </w:rPr>
        <w:lastRenderedPageBreak/>
        <w:t>I</w:t>
      </w:r>
      <w:r w:rsidRPr="005F10A0">
        <w:rPr>
          <w:lang w:val="en-CA"/>
        </w:rPr>
        <w:t xml:space="preserve">n </w:t>
      </w:r>
      <w:r w:rsidRPr="007332C3">
        <w:rPr>
          <w:i/>
          <w:iCs/>
          <w:lang w:val="en-CA"/>
        </w:rPr>
        <w:t>Oakes</w:t>
      </w:r>
      <w:r>
        <w:rPr>
          <w:lang w:val="en-CA"/>
        </w:rPr>
        <w:t xml:space="preserve">, </w:t>
      </w:r>
      <w:r w:rsidRPr="005F10A0">
        <w:rPr>
          <w:lang w:val="en-CA"/>
        </w:rPr>
        <w:t>the Supreme Court established the analytical framework</w:t>
      </w:r>
      <w:r>
        <w:rPr>
          <w:lang w:val="en-CA"/>
        </w:rPr>
        <w:t xml:space="preserve"> </w:t>
      </w:r>
      <w:r w:rsidR="00892DF2">
        <w:rPr>
          <w:lang w:val="en-CA"/>
        </w:rPr>
        <w:t>for</w:t>
      </w:r>
      <w:r>
        <w:rPr>
          <w:lang w:val="en-CA"/>
        </w:rPr>
        <w:t xml:space="preserve"> determin</w:t>
      </w:r>
      <w:r w:rsidR="00892DF2">
        <w:rPr>
          <w:lang w:val="en-CA"/>
        </w:rPr>
        <w:t>ing</w:t>
      </w:r>
      <w:r>
        <w:rPr>
          <w:lang w:val="en-CA"/>
        </w:rPr>
        <w:t xml:space="preserve"> whether</w:t>
      </w:r>
      <w:r w:rsidRPr="005F10A0">
        <w:rPr>
          <w:lang w:val="en-CA"/>
        </w:rPr>
        <w:t xml:space="preserve"> a measure that infringes a </w:t>
      </w:r>
      <w:r w:rsidRPr="007332C3">
        <w:rPr>
          <w:i/>
          <w:iCs/>
          <w:lang w:val="en-CA"/>
        </w:rPr>
        <w:t>Charter</w:t>
      </w:r>
      <w:r>
        <w:rPr>
          <w:lang w:val="en-CA"/>
        </w:rPr>
        <w:t xml:space="preserve">-protected </w:t>
      </w:r>
      <w:r w:rsidRPr="005F10A0">
        <w:rPr>
          <w:lang w:val="en-CA"/>
        </w:rPr>
        <w:t>right</w:t>
      </w:r>
      <w:r>
        <w:rPr>
          <w:lang w:val="en-CA"/>
        </w:rPr>
        <w:t xml:space="preserve"> </w:t>
      </w:r>
      <w:r w:rsidR="00AA2A36">
        <w:rPr>
          <w:lang w:val="en-CA"/>
        </w:rPr>
        <w:t xml:space="preserve">can </w:t>
      </w:r>
      <w:r>
        <w:rPr>
          <w:lang w:val="en-CA"/>
        </w:rPr>
        <w:t>be justified</w:t>
      </w:r>
      <w:r w:rsidRPr="007332C3">
        <w:rPr>
          <w:lang w:val="en-CA"/>
        </w:rPr>
        <w:t xml:space="preserve"> </w:t>
      </w:r>
      <w:r>
        <w:rPr>
          <w:lang w:val="en-CA"/>
        </w:rPr>
        <w:t>u</w:t>
      </w:r>
      <w:r w:rsidRPr="005F10A0">
        <w:rPr>
          <w:lang w:val="en-CA"/>
        </w:rPr>
        <w:t xml:space="preserve">nder section 1 of the </w:t>
      </w:r>
      <w:r w:rsidRPr="007332C3">
        <w:rPr>
          <w:i/>
          <w:iCs/>
          <w:lang w:val="en-CA"/>
        </w:rPr>
        <w:t>Charter</w:t>
      </w:r>
      <w:r w:rsidRPr="005F10A0">
        <w:rPr>
          <w:lang w:val="en-CA"/>
        </w:rPr>
        <w:t>:</w:t>
      </w:r>
      <w:r>
        <w:rPr>
          <w:rStyle w:val="Appelnotedebasdep"/>
          <w:rFonts w:cs="Arial"/>
        </w:rPr>
        <w:footnoteReference w:id="235"/>
      </w:r>
    </w:p>
    <w:p w14:paraId="31721A47" w14:textId="77777777" w:rsidR="003B1EC4" w:rsidRPr="005F10A0" w:rsidRDefault="003B1EC4" w:rsidP="003B1EC4">
      <w:pPr>
        <w:pStyle w:val="Paragraphedeliste"/>
        <w:widowControl w:val="0"/>
        <w:numPr>
          <w:ilvl w:val="1"/>
          <w:numId w:val="13"/>
        </w:numPr>
        <w:tabs>
          <w:tab w:val="left" w:pos="1960"/>
        </w:tabs>
        <w:autoSpaceDE w:val="0"/>
        <w:autoSpaceDN w:val="0"/>
        <w:spacing w:before="118"/>
        <w:ind w:left="1960" w:hanging="428"/>
        <w:contextualSpacing w:val="0"/>
        <w:jc w:val="both"/>
        <w:rPr>
          <w:rFonts w:cs="Arial"/>
          <w:color w:val="000000"/>
          <w:lang w:val="en-CA"/>
        </w:rPr>
      </w:pPr>
      <w:r w:rsidRPr="00E202F1">
        <w:rPr>
          <w:lang w:val="en-CA"/>
        </w:rPr>
        <w:t xml:space="preserve">the intended objective of the measure must “relate to concerns which are pressing and substantial”; </w:t>
      </w:r>
    </w:p>
    <w:p w14:paraId="0166D0D7" w14:textId="77777777" w:rsidR="003B1EC4" w:rsidRPr="00E202F1" w:rsidRDefault="003B1EC4" w:rsidP="003B1EC4">
      <w:pPr>
        <w:pStyle w:val="Paragraphedeliste"/>
        <w:widowControl w:val="0"/>
        <w:numPr>
          <w:ilvl w:val="1"/>
          <w:numId w:val="13"/>
        </w:numPr>
        <w:tabs>
          <w:tab w:val="left" w:pos="1960"/>
        </w:tabs>
        <w:autoSpaceDE w:val="0"/>
        <w:autoSpaceDN w:val="0"/>
        <w:spacing w:before="118"/>
        <w:ind w:left="1960" w:hanging="428"/>
        <w:contextualSpacing w:val="0"/>
        <w:jc w:val="both"/>
        <w:rPr>
          <w:lang w:val="en-CA"/>
        </w:rPr>
      </w:pPr>
      <w:r w:rsidRPr="00E202F1">
        <w:rPr>
          <w:lang w:val="en-CA"/>
        </w:rPr>
        <w:t xml:space="preserve">the measure must </w:t>
      </w:r>
      <w:r>
        <w:rPr>
          <w:lang w:val="en-CA"/>
        </w:rPr>
        <w:t>be rationally connected to</w:t>
      </w:r>
      <w:r w:rsidRPr="00E202F1">
        <w:rPr>
          <w:lang w:val="en-CA"/>
        </w:rPr>
        <w:t xml:space="preserve"> the intended objective;</w:t>
      </w:r>
    </w:p>
    <w:p w14:paraId="606680AD" w14:textId="77777777" w:rsidR="003B1EC4" w:rsidRPr="00E202F1" w:rsidRDefault="003B1EC4" w:rsidP="003B1EC4">
      <w:pPr>
        <w:pStyle w:val="Paragraphedeliste"/>
        <w:widowControl w:val="0"/>
        <w:numPr>
          <w:ilvl w:val="1"/>
          <w:numId w:val="13"/>
        </w:numPr>
        <w:tabs>
          <w:tab w:val="left" w:pos="1959"/>
          <w:tab w:val="left" w:pos="1960"/>
        </w:tabs>
        <w:autoSpaceDE w:val="0"/>
        <w:autoSpaceDN w:val="0"/>
        <w:spacing w:before="76"/>
        <w:ind w:left="1960" w:right="162" w:hanging="428"/>
        <w:contextualSpacing w:val="0"/>
        <w:rPr>
          <w:lang w:val="en-CA"/>
        </w:rPr>
      </w:pPr>
      <w:r w:rsidRPr="00E202F1">
        <w:rPr>
          <w:spacing w:val="-2"/>
          <w:lang w:val="en-CA"/>
        </w:rPr>
        <w:t xml:space="preserve">the means chosen </w:t>
      </w:r>
      <w:r>
        <w:rPr>
          <w:spacing w:val="-2"/>
          <w:lang w:val="en-CA"/>
        </w:rPr>
        <w:t>should</w:t>
      </w:r>
      <w:r w:rsidRPr="00E202F1">
        <w:rPr>
          <w:spacing w:val="-2"/>
          <w:lang w:val="en-CA"/>
        </w:rPr>
        <w:t xml:space="preserve"> impair </w:t>
      </w:r>
      <w:r>
        <w:rPr>
          <w:spacing w:val="-2"/>
          <w:lang w:val="en-CA"/>
        </w:rPr>
        <w:t xml:space="preserve">the </w:t>
      </w:r>
      <w:r w:rsidRPr="00E202F1">
        <w:rPr>
          <w:spacing w:val="-2"/>
          <w:lang w:val="en-CA"/>
        </w:rPr>
        <w:t>right or freedom in question</w:t>
      </w:r>
      <w:r>
        <w:rPr>
          <w:spacing w:val="-2"/>
          <w:lang w:val="en-CA"/>
        </w:rPr>
        <w:t xml:space="preserve"> as little as possible</w:t>
      </w:r>
      <w:r w:rsidRPr="00E202F1">
        <w:rPr>
          <w:spacing w:val="-2"/>
          <w:lang w:val="en-CA"/>
        </w:rPr>
        <w:t>;</w:t>
      </w:r>
    </w:p>
    <w:p w14:paraId="57634C02" w14:textId="77777777" w:rsidR="003B1EC4" w:rsidRPr="00E202F1" w:rsidRDefault="003B1EC4" w:rsidP="003B1EC4">
      <w:pPr>
        <w:pStyle w:val="Paragraphedeliste"/>
        <w:widowControl w:val="0"/>
        <w:numPr>
          <w:ilvl w:val="1"/>
          <w:numId w:val="13"/>
        </w:numPr>
        <w:tabs>
          <w:tab w:val="left" w:pos="1960"/>
        </w:tabs>
        <w:autoSpaceDE w:val="0"/>
        <w:autoSpaceDN w:val="0"/>
        <w:spacing w:before="118"/>
        <w:ind w:left="1960" w:hanging="428"/>
        <w:contextualSpacing w:val="0"/>
        <w:jc w:val="both"/>
        <w:rPr>
          <w:lang w:val="en-CA"/>
        </w:rPr>
      </w:pPr>
      <w:r w:rsidRPr="00E202F1">
        <w:rPr>
          <w:lang w:val="en-CA"/>
        </w:rPr>
        <w:t>there must be proportionality between the effects of the measure limiting the right or freedom and the objective.</w:t>
      </w:r>
    </w:p>
    <w:p w14:paraId="1767C1E5" w14:textId="77777777" w:rsidR="003B1EC4" w:rsidRPr="005F10A0" w:rsidRDefault="003B1EC4" w:rsidP="003B1EC4">
      <w:pPr>
        <w:pStyle w:val="Paragrsimple"/>
        <w:rPr>
          <w:lang w:val="en-CA"/>
        </w:rPr>
      </w:pPr>
      <w:r w:rsidRPr="005F10A0">
        <w:rPr>
          <w:lang w:val="en-CA"/>
        </w:rPr>
        <w:t xml:space="preserve">This framework applies to the analysis of a violation of language rights. </w:t>
      </w:r>
    </w:p>
    <w:p w14:paraId="02862784" w14:textId="55BA01B8" w:rsidR="003B1EC4" w:rsidRPr="00E202F1" w:rsidRDefault="003B1EC4" w:rsidP="003B1EC4">
      <w:pPr>
        <w:pStyle w:val="Paragrsimple"/>
        <w:rPr>
          <w:rFonts w:cs="Arial"/>
          <w:color w:val="000000"/>
        </w:rPr>
      </w:pPr>
      <w:r>
        <w:t>I</w:t>
      </w:r>
      <w:r w:rsidRPr="00E202F1">
        <w:t xml:space="preserve">n </w:t>
      </w:r>
      <w:r w:rsidRPr="00E202F1">
        <w:rPr>
          <w:i/>
          <w:color w:val="000000"/>
        </w:rPr>
        <w:t>Conseil scolaire francophone</w:t>
      </w:r>
      <w:r>
        <w:rPr>
          <w:iCs/>
          <w:color w:val="000000"/>
        </w:rPr>
        <w:t>,</w:t>
      </w:r>
      <w:r w:rsidRPr="00DA22CB">
        <w:t xml:space="preserve"> </w:t>
      </w:r>
      <w:r w:rsidRPr="00E202F1">
        <w:t xml:space="preserve">Wagner C.J. </w:t>
      </w:r>
      <w:r w:rsidRPr="00DA22CB">
        <w:rPr>
          <w:lang w:val="en-CA"/>
        </w:rPr>
        <w:t>warn</w:t>
      </w:r>
      <w:r w:rsidR="00AA2A36">
        <w:rPr>
          <w:lang w:val="en-CA"/>
        </w:rPr>
        <w:t>ed</w:t>
      </w:r>
      <w:r w:rsidRPr="00E202F1">
        <w:rPr>
          <w:color w:val="000000"/>
        </w:rPr>
        <w:t xml:space="preserve">: </w:t>
      </w:r>
    </w:p>
    <w:p w14:paraId="6FA6A4B4" w14:textId="77777777" w:rsidR="003B1EC4" w:rsidRPr="00DA22CB" w:rsidRDefault="003B1EC4" w:rsidP="003B1EC4">
      <w:pPr>
        <w:pStyle w:val="Citation"/>
        <w:rPr>
          <w:lang w:val="en-CA"/>
        </w:rPr>
      </w:pPr>
      <w:r w:rsidRPr="00323372">
        <w:rPr>
          <w:lang w:val="en-CA"/>
        </w:rPr>
        <w:t>[148]</w:t>
      </w:r>
      <w:r w:rsidRPr="00323372">
        <w:rPr>
          <w:lang w:val="en-CA"/>
        </w:rPr>
        <w:tab/>
        <w:t xml:space="preserve">Second, s.  </w:t>
      </w:r>
      <w:r w:rsidRPr="00E202F1">
        <w:rPr>
          <w:lang w:val="en-CA"/>
        </w:rPr>
        <w:t xml:space="preserve">23 is not subject to the notwithstanding clause in s. </w:t>
      </w:r>
      <w:r w:rsidRPr="00323372">
        <w:rPr>
          <w:lang w:val="en-CA"/>
        </w:rPr>
        <w:t xml:space="preserve">33 of the </w:t>
      </w:r>
      <w:r w:rsidRPr="00D43EEF">
        <w:rPr>
          <w:i/>
          <w:iCs/>
          <w:lang w:val="en-CA"/>
        </w:rPr>
        <w:t>Charter</w:t>
      </w:r>
      <w:r>
        <w:rPr>
          <w:i/>
          <w:iCs/>
          <w:lang w:val="en-CA"/>
        </w:rPr>
        <w:t>.</w:t>
      </w:r>
      <w:r w:rsidRPr="00323372">
        <w:rPr>
          <w:lang w:val="en-CA"/>
        </w:rPr>
        <w:t xml:space="preserve"> </w:t>
      </w:r>
      <w:r w:rsidRPr="005F10A0">
        <w:rPr>
          <w:lang w:val="en-CA"/>
        </w:rPr>
        <w:t xml:space="preserve">The decision in this regard reflects the importance attached to this right by the framers of the </w:t>
      </w:r>
      <w:r w:rsidRPr="00D43EEF">
        <w:rPr>
          <w:i/>
          <w:iCs/>
          <w:lang w:val="en-CA"/>
        </w:rPr>
        <w:t>Charter</w:t>
      </w:r>
      <w:r w:rsidRPr="005F10A0">
        <w:rPr>
          <w:lang w:val="en-CA"/>
        </w:rPr>
        <w:t xml:space="preserve"> as well as their intention that intrusions on it be strictly circumscribed.</w:t>
      </w:r>
      <w:r w:rsidRPr="00E202F1">
        <w:rPr>
          <w:lang w:val="en-CA"/>
        </w:rPr>
        <w:t xml:space="preserve"> In </w:t>
      </w:r>
      <w:r w:rsidRPr="00E202F1">
        <w:rPr>
          <w:i/>
          <w:lang w:val="en-CA"/>
        </w:rPr>
        <w:t>Frank v. Canada (Attorney General)</w:t>
      </w:r>
      <w:r w:rsidRPr="00E202F1">
        <w:rPr>
          <w:lang w:val="en-CA"/>
        </w:rPr>
        <w:t xml:space="preserve">, 2019 SCC 1, [2019] 1 S.C.R. </w:t>
      </w:r>
      <w:r w:rsidRPr="005F10A0">
        <w:rPr>
          <w:lang w:val="en-CA"/>
        </w:rPr>
        <w:t xml:space="preserve">3, which concerned the right to vote of Canadians residing abroad, I reiterated McLachlin C.J.’s statement in </w:t>
      </w:r>
      <w:r w:rsidRPr="005F10A0">
        <w:rPr>
          <w:i/>
          <w:lang w:val="en-CA"/>
        </w:rPr>
        <w:t>Sauvé v. Canada (Chief Electoral Officer)</w:t>
      </w:r>
      <w:r w:rsidRPr="005F10A0">
        <w:rPr>
          <w:lang w:val="en-CA"/>
        </w:rPr>
        <w:t xml:space="preserve">, 2002 SCC 68, [2002] 3 S.C.R. 519, that the framers had signalled the special importance of that right by excluding it from the scope of the notwithstanding clause. I added that, because of this exemption, </w:t>
      </w:r>
      <w:r w:rsidRPr="005F10A0">
        <w:rPr>
          <w:u w:val="single"/>
          <w:lang w:val="en-CA"/>
        </w:rPr>
        <w:t>any intrusions on the right are to be reviewed on the basis of a stringent justification standard</w:t>
      </w:r>
      <w:r w:rsidRPr="005F10A0">
        <w:rPr>
          <w:lang w:val="en-CA"/>
        </w:rPr>
        <w:t xml:space="preserve"> (Frank, at para. </w:t>
      </w:r>
      <w:r w:rsidRPr="00323372">
        <w:rPr>
          <w:lang w:val="en-CA"/>
        </w:rPr>
        <w:t xml:space="preserve">25; </w:t>
      </w:r>
      <w:r w:rsidRPr="00323372">
        <w:rPr>
          <w:i/>
          <w:lang w:val="en-CA"/>
        </w:rPr>
        <w:t>Sauvé</w:t>
      </w:r>
      <w:r w:rsidRPr="00323372">
        <w:rPr>
          <w:lang w:val="en-CA"/>
        </w:rPr>
        <w:t xml:space="preserve">, at paras. 11 and 14). This also applies in the context of s. </w:t>
      </w:r>
      <w:r w:rsidRPr="00DA22CB">
        <w:rPr>
          <w:lang w:val="en-CA"/>
        </w:rPr>
        <w:t>23.</w:t>
      </w:r>
    </w:p>
    <w:p w14:paraId="67097E9C" w14:textId="77777777" w:rsidR="003B1EC4" w:rsidRPr="005F10A0" w:rsidRDefault="003B1EC4" w:rsidP="003B1EC4">
      <w:pPr>
        <w:pStyle w:val="Citation"/>
        <w:rPr>
          <w:lang w:val="en-CA"/>
        </w:rPr>
      </w:pPr>
      <w:r w:rsidRPr="005F10A0">
        <w:rPr>
          <w:lang w:val="en-CA"/>
        </w:rPr>
        <w:t>[151]</w:t>
      </w:r>
      <w:r w:rsidRPr="005F10A0">
        <w:rPr>
          <w:lang w:val="en-CA"/>
        </w:rPr>
        <w:tab/>
      </w:r>
      <w:r w:rsidRPr="00E202F1">
        <w:rPr>
          <w:lang w:val="en-CA"/>
        </w:rPr>
        <w:t>For the foregoing reasons, I am of the view that s.</w:t>
      </w:r>
      <w:r w:rsidRPr="005F10A0">
        <w:rPr>
          <w:u w:val="single"/>
          <w:lang w:val="en-CA"/>
        </w:rPr>
        <w:t xml:space="preserve"> 23 is one of the</w:t>
      </w:r>
      <w:r w:rsidRPr="005F10A0">
        <w:rPr>
          <w:lang w:val="en-CA"/>
        </w:rPr>
        <w:t xml:space="preserve"> </w:t>
      </w:r>
      <w:r w:rsidRPr="005F10A0">
        <w:rPr>
          <w:i/>
          <w:lang w:val="en-CA"/>
        </w:rPr>
        <w:t>Charter</w:t>
      </w:r>
      <w:r w:rsidRPr="005F10A0">
        <w:rPr>
          <w:lang w:val="en-CA"/>
        </w:rPr>
        <w:t xml:space="preserve"> </w:t>
      </w:r>
      <w:r w:rsidRPr="005F10A0">
        <w:rPr>
          <w:u w:val="single"/>
          <w:lang w:val="en-CA"/>
        </w:rPr>
        <w:t>provisions whose infringement is especially difficult to justify.</w:t>
      </w:r>
      <w:r w:rsidRPr="005F10A0">
        <w:rPr>
          <w:lang w:val="en-CA"/>
        </w:rPr>
        <w:t xml:space="preserve"> </w:t>
      </w:r>
      <w:r w:rsidRPr="00323372">
        <w:rPr>
          <w:lang w:val="en-CA"/>
        </w:rPr>
        <w:t xml:space="preserve">I conclude that any intrusions on s. </w:t>
      </w:r>
      <w:r w:rsidRPr="005F10A0">
        <w:rPr>
          <w:lang w:val="en-CA"/>
        </w:rPr>
        <w:t>23 must therefore be analyzed and justified on the basis of a very stringent standard.</w:t>
      </w:r>
    </w:p>
    <w:p w14:paraId="724B02C2" w14:textId="77777777" w:rsidR="003B1EC4" w:rsidRPr="00E202F1" w:rsidRDefault="003B1EC4" w:rsidP="003B1EC4">
      <w:pPr>
        <w:pStyle w:val="Citationenretrait"/>
        <w:jc w:val="right"/>
        <w:rPr>
          <w:sz w:val="24"/>
          <w:szCs w:val="24"/>
        </w:rPr>
      </w:pPr>
      <w:r w:rsidRPr="00E202F1">
        <w:rPr>
          <w:sz w:val="24"/>
          <w:szCs w:val="24"/>
        </w:rPr>
        <w:t>[</w:t>
      </w:r>
      <w:proofErr w:type="spellStart"/>
      <w:r w:rsidRPr="00E202F1">
        <w:rPr>
          <w:sz w:val="24"/>
          <w:szCs w:val="24"/>
        </w:rPr>
        <w:t>Emphasis</w:t>
      </w:r>
      <w:proofErr w:type="spellEnd"/>
      <w:r w:rsidRPr="00E202F1">
        <w:rPr>
          <w:sz w:val="24"/>
          <w:szCs w:val="24"/>
        </w:rPr>
        <w:t xml:space="preserve"> </w:t>
      </w:r>
      <w:proofErr w:type="spellStart"/>
      <w:r w:rsidRPr="00E202F1">
        <w:rPr>
          <w:sz w:val="24"/>
          <w:szCs w:val="24"/>
        </w:rPr>
        <w:t>added</w:t>
      </w:r>
      <w:proofErr w:type="spellEnd"/>
      <w:r w:rsidRPr="00E202F1">
        <w:rPr>
          <w:sz w:val="24"/>
          <w:szCs w:val="24"/>
        </w:rPr>
        <w:t>.]</w:t>
      </w:r>
    </w:p>
    <w:p w14:paraId="42B5AF62" w14:textId="0D05622F" w:rsidR="003B1EC4" w:rsidRPr="005115EE" w:rsidRDefault="003B1EC4" w:rsidP="003B1EC4">
      <w:pPr>
        <w:pStyle w:val="Paragrsimple"/>
        <w:rPr>
          <w:lang w:val="en-CA"/>
        </w:rPr>
      </w:pPr>
      <w:r w:rsidRPr="005115EE">
        <w:rPr>
          <w:lang w:val="en-CA"/>
        </w:rPr>
        <w:t xml:space="preserve">The AGQ asks </w:t>
      </w:r>
      <w:r>
        <w:rPr>
          <w:lang w:val="en-CA"/>
        </w:rPr>
        <w:t xml:space="preserve">that </w:t>
      </w:r>
      <w:r w:rsidRPr="005115EE">
        <w:rPr>
          <w:lang w:val="en-CA"/>
        </w:rPr>
        <w:t>the Court</w:t>
      </w:r>
      <w:r w:rsidR="00927619">
        <w:rPr>
          <w:lang w:val="en-CA"/>
        </w:rPr>
        <w:t xml:space="preserve"> not take</w:t>
      </w:r>
      <w:r w:rsidRPr="005115EE">
        <w:rPr>
          <w:lang w:val="en-CA"/>
        </w:rPr>
        <w:t xml:space="preserve"> th</w:t>
      </w:r>
      <w:r>
        <w:rPr>
          <w:lang w:val="en-CA"/>
        </w:rPr>
        <w:t>at</w:t>
      </w:r>
      <w:r w:rsidRPr="005115EE">
        <w:rPr>
          <w:lang w:val="en-CA"/>
        </w:rPr>
        <w:t xml:space="preserve"> judgment </w:t>
      </w:r>
      <w:r w:rsidR="00AA2A36">
        <w:rPr>
          <w:lang w:val="en-CA"/>
        </w:rPr>
        <w:t xml:space="preserve">into consideration, </w:t>
      </w:r>
      <w:r w:rsidR="00927619">
        <w:rPr>
          <w:lang w:val="en-CA"/>
        </w:rPr>
        <w:t>to the extent that</w:t>
      </w:r>
      <w:r w:rsidRPr="005115EE">
        <w:rPr>
          <w:lang w:val="en-CA"/>
        </w:rPr>
        <w:t xml:space="preserve"> the English-language minority in Quebec </w:t>
      </w:r>
      <w:r>
        <w:rPr>
          <w:lang w:val="en-CA"/>
        </w:rPr>
        <w:t>is not under threat of</w:t>
      </w:r>
      <w:r w:rsidRPr="005115EE">
        <w:rPr>
          <w:lang w:val="en-CA"/>
        </w:rPr>
        <w:t xml:space="preserve"> assimilation, unlike the French-language minority in British Columbia.</w:t>
      </w:r>
      <w:r>
        <w:rPr>
          <w:rStyle w:val="Appelnotedebasdep"/>
        </w:rPr>
        <w:footnoteReference w:id="236"/>
      </w:r>
    </w:p>
    <w:p w14:paraId="4F161373" w14:textId="26E0F602" w:rsidR="003B1EC4" w:rsidRPr="005115EE" w:rsidRDefault="00927619" w:rsidP="003B1EC4">
      <w:pPr>
        <w:pStyle w:val="Paragrsimple"/>
        <w:rPr>
          <w:lang w:val="en-CA"/>
        </w:rPr>
      </w:pPr>
      <w:r>
        <w:rPr>
          <w:lang w:val="en-CA"/>
        </w:rPr>
        <w:t>T</w:t>
      </w:r>
      <w:r w:rsidR="003B1EC4" w:rsidRPr="005115EE">
        <w:rPr>
          <w:lang w:val="en-CA"/>
        </w:rPr>
        <w:t xml:space="preserve">he Court </w:t>
      </w:r>
      <w:r>
        <w:rPr>
          <w:lang w:val="en-CA"/>
        </w:rPr>
        <w:t xml:space="preserve">responds </w:t>
      </w:r>
      <w:r w:rsidR="003B1EC4" w:rsidRPr="005115EE">
        <w:rPr>
          <w:lang w:val="en-CA"/>
        </w:rPr>
        <w:t xml:space="preserve">that the protections of section 23 </w:t>
      </w:r>
      <w:r w:rsidR="00AA2A36">
        <w:rPr>
          <w:lang w:val="en-CA"/>
        </w:rPr>
        <w:t xml:space="preserve">are not contingent </w:t>
      </w:r>
      <w:r w:rsidR="003B1EC4" w:rsidRPr="005115EE">
        <w:rPr>
          <w:lang w:val="en-CA"/>
        </w:rPr>
        <w:t xml:space="preserve">on a </w:t>
      </w:r>
      <w:r w:rsidR="003B1EC4">
        <w:rPr>
          <w:lang w:val="en-CA"/>
        </w:rPr>
        <w:t>threat</w:t>
      </w:r>
      <w:r w:rsidR="003B1EC4" w:rsidRPr="005115EE">
        <w:rPr>
          <w:lang w:val="en-CA"/>
        </w:rPr>
        <w:t xml:space="preserve"> of assimilation. </w:t>
      </w:r>
      <w:r w:rsidR="003B1EC4">
        <w:rPr>
          <w:lang w:val="en-CA"/>
        </w:rPr>
        <w:t>Th</w:t>
      </w:r>
      <w:r w:rsidR="00456F81">
        <w:rPr>
          <w:lang w:val="en-CA"/>
        </w:rPr>
        <w:t>e fact th</w:t>
      </w:r>
      <w:r w:rsidR="003B1EC4">
        <w:rPr>
          <w:lang w:val="en-CA"/>
        </w:rPr>
        <w:t xml:space="preserve">at </w:t>
      </w:r>
      <w:r w:rsidR="003B1EC4" w:rsidRPr="005115EE">
        <w:rPr>
          <w:lang w:val="en-CA"/>
        </w:rPr>
        <w:t xml:space="preserve">French-speakers outside Quebec </w:t>
      </w:r>
      <w:r w:rsidR="00456F81">
        <w:rPr>
          <w:lang w:val="en-CA"/>
        </w:rPr>
        <w:t xml:space="preserve">have </w:t>
      </w:r>
      <w:r w:rsidR="003B1EC4" w:rsidRPr="005115EE">
        <w:rPr>
          <w:lang w:val="en-CA"/>
        </w:rPr>
        <w:t xml:space="preserve">historically </w:t>
      </w:r>
      <w:r w:rsidR="00456F81">
        <w:rPr>
          <w:lang w:val="en-CA"/>
        </w:rPr>
        <w:t xml:space="preserve">been </w:t>
      </w:r>
      <w:r w:rsidR="003B1EC4" w:rsidRPr="005115EE">
        <w:rPr>
          <w:lang w:val="en-CA"/>
        </w:rPr>
        <w:lastRenderedPageBreak/>
        <w:t xml:space="preserve">treated poorly is undeniable, but it does not justify chipping away at the guarantied rights of the English-language minority, as privileged as it may be. </w:t>
      </w:r>
    </w:p>
    <w:p w14:paraId="1CF4FC3F" w14:textId="0AB7A9B3" w:rsidR="003B1EC4" w:rsidRPr="005115EE" w:rsidRDefault="003B1EC4" w:rsidP="003B1EC4">
      <w:pPr>
        <w:pStyle w:val="Paragrsimple"/>
        <w:rPr>
          <w:lang w:val="en-CA"/>
        </w:rPr>
      </w:pPr>
      <w:r>
        <w:rPr>
          <w:lang w:val="en-CA"/>
        </w:rPr>
        <w:t xml:space="preserve">Moreover, the English-speaking minority in Quebec is not homogeneous, as the </w:t>
      </w:r>
      <w:proofErr w:type="spellStart"/>
      <w:r>
        <w:rPr>
          <w:lang w:val="en-CA"/>
        </w:rPr>
        <w:t>Gérin</w:t>
      </w:r>
      <w:proofErr w:type="spellEnd"/>
      <w:r>
        <w:rPr>
          <w:lang w:val="en-CA"/>
        </w:rPr>
        <w:t>-Lajoie report demonstrated.</w:t>
      </w:r>
      <w:r w:rsidRPr="005115EE">
        <w:rPr>
          <w:lang w:val="en-CA"/>
        </w:rPr>
        <w:t xml:space="preserve"> Outside the Greater Montreal Area, it is suffering a fate similar to many of the French-speaking minorities in the country.</w:t>
      </w:r>
    </w:p>
    <w:p w14:paraId="7D7DABB7" w14:textId="77777777" w:rsidR="003B1EC4" w:rsidRPr="005115EE" w:rsidRDefault="003B1EC4" w:rsidP="003B1EC4">
      <w:pPr>
        <w:pStyle w:val="Paragrsimple"/>
        <w:rPr>
          <w:lang w:val="en-CA"/>
        </w:rPr>
      </w:pPr>
      <w:r w:rsidRPr="005115EE">
        <w:rPr>
          <w:lang w:val="en-CA"/>
        </w:rPr>
        <w:t xml:space="preserve">While protecting French remains a legitimate and pressing concern in Quebec, it is </w:t>
      </w:r>
      <w:r>
        <w:rPr>
          <w:lang w:val="en-CA"/>
        </w:rPr>
        <w:t>not a factor</w:t>
      </w:r>
      <w:r w:rsidRPr="005115EE">
        <w:rPr>
          <w:lang w:val="en-CA"/>
        </w:rPr>
        <w:t xml:space="preserve"> in this case. </w:t>
      </w:r>
    </w:p>
    <w:p w14:paraId="59317979" w14:textId="6B28524B" w:rsidR="003B1EC4" w:rsidRPr="0083595B" w:rsidRDefault="003B1EC4" w:rsidP="003B1EC4">
      <w:pPr>
        <w:pStyle w:val="Paragrsimple"/>
        <w:rPr>
          <w:lang w:val="en-CA"/>
        </w:rPr>
      </w:pPr>
      <w:r w:rsidRPr="005115EE">
        <w:rPr>
          <w:lang w:val="en-CA"/>
        </w:rPr>
        <w:t xml:space="preserve">Section 23 has two </w:t>
      </w:r>
      <w:r w:rsidR="002F28DC">
        <w:rPr>
          <w:lang w:val="en-CA"/>
        </w:rPr>
        <w:t>specific features</w:t>
      </w:r>
      <w:r w:rsidRPr="005115EE">
        <w:rPr>
          <w:lang w:val="en-CA"/>
        </w:rPr>
        <w:t xml:space="preserve">. As Wagner C.J. wrote for the majority in </w:t>
      </w:r>
      <w:r w:rsidRPr="005115EE">
        <w:rPr>
          <w:i/>
          <w:lang w:val="en-CA"/>
        </w:rPr>
        <w:t xml:space="preserve">Conseil </w:t>
      </w:r>
      <w:proofErr w:type="spellStart"/>
      <w:r w:rsidRPr="005115EE">
        <w:rPr>
          <w:i/>
          <w:lang w:val="en-CA"/>
        </w:rPr>
        <w:t>scolaire</w:t>
      </w:r>
      <w:proofErr w:type="spellEnd"/>
      <w:r w:rsidRPr="005115EE">
        <w:rPr>
          <w:i/>
          <w:lang w:val="en-CA"/>
        </w:rPr>
        <w:t xml:space="preserve"> francophone de </w:t>
      </w:r>
      <w:proofErr w:type="spellStart"/>
      <w:r w:rsidRPr="005115EE">
        <w:rPr>
          <w:i/>
          <w:lang w:val="en-CA"/>
        </w:rPr>
        <w:t>Colombie-Britannique</w:t>
      </w:r>
      <w:proofErr w:type="spellEnd"/>
      <w:r w:rsidRPr="005115EE">
        <w:rPr>
          <w:lang w:val="en-CA"/>
        </w:rPr>
        <w:t>,</w:t>
      </w:r>
      <w:r w:rsidRPr="0083595B">
        <w:rPr>
          <w:rStyle w:val="Appelnotedebasdep"/>
        </w:rPr>
        <w:footnoteReference w:id="237"/>
      </w:r>
      <w:r w:rsidRPr="005115EE">
        <w:rPr>
          <w:lang w:val="en-CA"/>
        </w:rPr>
        <w:t xml:space="preserve"> “s. 23 has an internal limit, the numbers warrant requirement, according to which the exercise of the right for which the section provides will be warranted if there are a sufficient number of children, that is, of students”.</w:t>
      </w:r>
    </w:p>
    <w:p w14:paraId="5A0E09AC" w14:textId="77777777" w:rsidR="003B1EC4" w:rsidRPr="00952761" w:rsidRDefault="003B1EC4" w:rsidP="003B1EC4">
      <w:pPr>
        <w:pStyle w:val="Paragrsimple"/>
        <w:rPr>
          <w:lang w:val="en-CA"/>
        </w:rPr>
      </w:pPr>
      <w:r w:rsidRPr="00E202F1">
        <w:rPr>
          <w:lang w:val="en-CA"/>
        </w:rPr>
        <w:t>This limit is not at issue.</w:t>
      </w:r>
      <w:r w:rsidRPr="005115EE">
        <w:rPr>
          <w:lang w:val="en-CA"/>
        </w:rPr>
        <w:t xml:space="preserve"> Neither is the financial allocation of resources, except with regard to section 473.1 </w:t>
      </w:r>
      <w:r w:rsidRPr="00952761">
        <w:rPr>
          <w:i/>
          <w:iCs/>
          <w:lang w:val="en-CA"/>
        </w:rPr>
        <w:t>EA</w:t>
      </w:r>
      <w:r w:rsidRPr="005115EE">
        <w:rPr>
          <w:lang w:val="en-CA"/>
        </w:rPr>
        <w:t xml:space="preserve"> and the allowance for those who are elected. And as the Supreme Court remarked, “[i]n such a case, the s. 1 analysis will then in some respects duplicate the numbers warrant analysis”.</w:t>
      </w:r>
      <w:r w:rsidRPr="00952761">
        <w:rPr>
          <w:lang w:val="en-CA"/>
        </w:rPr>
        <w:t xml:space="preserve"> </w:t>
      </w:r>
    </w:p>
    <w:p w14:paraId="6795E8D8" w14:textId="325185AA" w:rsidR="003B1EC4" w:rsidRPr="005115EE" w:rsidRDefault="003B1EC4" w:rsidP="003B1EC4">
      <w:pPr>
        <w:pStyle w:val="Paragrsimple"/>
        <w:rPr>
          <w:lang w:val="en-CA"/>
        </w:rPr>
      </w:pPr>
      <w:r w:rsidRPr="005115EE">
        <w:rPr>
          <w:lang w:val="en-CA"/>
        </w:rPr>
        <w:t xml:space="preserve">Moreover, the measure under consideration must respond to the needs and concerns of the minority. </w:t>
      </w:r>
      <w:r w:rsidRPr="00E202F1">
        <w:rPr>
          <w:lang w:val="en-CA"/>
        </w:rPr>
        <w:t>It is a</w:t>
      </w:r>
      <w:r w:rsidR="00143308">
        <w:rPr>
          <w:lang w:val="en-CA"/>
        </w:rPr>
        <w:t>n exercise in</w:t>
      </w:r>
      <w:r w:rsidRPr="00E202F1">
        <w:rPr>
          <w:lang w:val="en-CA"/>
        </w:rPr>
        <w:t xml:space="preserve"> justification.</w:t>
      </w:r>
      <w:r w:rsidRPr="005115EE">
        <w:rPr>
          <w:lang w:val="en-CA"/>
        </w:rPr>
        <w:t xml:space="preserve"> </w:t>
      </w:r>
      <w:r w:rsidRPr="00E202F1">
        <w:rPr>
          <w:lang w:val="en-CA"/>
        </w:rPr>
        <w:t>As we have seen, justification may</w:t>
      </w:r>
      <w:r w:rsidR="006F5075">
        <w:rPr>
          <w:lang w:val="en-CA"/>
        </w:rPr>
        <w:t xml:space="preserve"> take place through </w:t>
      </w:r>
      <w:r w:rsidRPr="00E202F1">
        <w:rPr>
          <w:lang w:val="en-CA"/>
        </w:rPr>
        <w:t>prior consultation.</w:t>
      </w:r>
      <w:r w:rsidRPr="005115EE">
        <w:rPr>
          <w:lang w:val="en-CA"/>
        </w:rPr>
        <w:t xml:space="preserve"> As the Supreme Court wrote in </w:t>
      </w:r>
      <w:r w:rsidR="00143308">
        <w:rPr>
          <w:lang w:val="en-CA"/>
        </w:rPr>
        <w:t xml:space="preserve">the context of </w:t>
      </w:r>
      <w:r w:rsidRPr="005115EE">
        <w:rPr>
          <w:lang w:val="en-CA"/>
        </w:rPr>
        <w:t>collective bargaining</w:t>
      </w:r>
      <w:r w:rsidR="00143308">
        <w:rPr>
          <w:lang w:val="en-CA"/>
        </w:rPr>
        <w:t xml:space="preserve"> rights</w:t>
      </w:r>
      <w:r w:rsidRPr="005115EE">
        <w:rPr>
          <w:lang w:val="en-CA"/>
        </w:rPr>
        <w:t>, at the justification stage:</w:t>
      </w:r>
      <w:r>
        <w:rPr>
          <w:rStyle w:val="Appelnotedebasdep"/>
        </w:rPr>
        <w:footnoteReference w:id="238"/>
      </w:r>
    </w:p>
    <w:p w14:paraId="7D128CBE" w14:textId="77777777" w:rsidR="003B1EC4" w:rsidRPr="00952761" w:rsidRDefault="003B1EC4" w:rsidP="003B1EC4">
      <w:pPr>
        <w:pStyle w:val="Citation"/>
        <w:rPr>
          <w:lang w:val="en-CA"/>
        </w:rPr>
      </w:pPr>
      <w:r w:rsidRPr="00F6340C">
        <w:rPr>
          <w:lang w:val="en-CA"/>
        </w:rPr>
        <w:t xml:space="preserve">Legislators are not bound to consult with affected parties before passing legislation. On the other hand, it may be useful to consider, in the course of the s. 1 justification analysis, whether the government considered other options or engaged consultation with the affected parties, in choosing to adopt its preferred approach. The Court has looked at pre-legislative considerations in the past in the context of minimal impairment. This is simply evidence going to whether other options, in a range of possible options, were explored. </w:t>
      </w:r>
      <w:r w:rsidRPr="00952761">
        <w:rPr>
          <w:lang w:val="en-CA"/>
        </w:rPr>
        <w:t xml:space="preserve"> </w:t>
      </w:r>
    </w:p>
    <w:p w14:paraId="4BAE52E7" w14:textId="1F16251B" w:rsidR="003B1EC4" w:rsidRPr="005352DE" w:rsidRDefault="003B1EC4" w:rsidP="003B1EC4">
      <w:pPr>
        <w:pStyle w:val="Paragrsimple"/>
        <w:rPr>
          <w:lang w:val="en-CA"/>
        </w:rPr>
      </w:pPr>
      <w:r w:rsidRPr="00F6340C">
        <w:rPr>
          <w:lang w:val="en-CA"/>
        </w:rPr>
        <w:t xml:space="preserve">It is not </w:t>
      </w:r>
      <w:r w:rsidR="00143308">
        <w:rPr>
          <w:lang w:val="en-CA"/>
        </w:rPr>
        <w:t xml:space="preserve">sufficient to rely on </w:t>
      </w:r>
      <w:r w:rsidRPr="00F6340C">
        <w:rPr>
          <w:lang w:val="en-CA"/>
        </w:rPr>
        <w:t>legislative objective</w:t>
      </w:r>
      <w:r w:rsidR="00143308">
        <w:rPr>
          <w:lang w:val="en-CA"/>
        </w:rPr>
        <w:t xml:space="preserve"> that is legitimate</w:t>
      </w:r>
      <w:r w:rsidRPr="00F6340C">
        <w:rPr>
          <w:lang w:val="en-CA"/>
        </w:rPr>
        <w:t xml:space="preserve"> </w:t>
      </w:r>
      <w:r w:rsidR="006F5075">
        <w:rPr>
          <w:lang w:val="en-CA"/>
        </w:rPr>
        <w:t xml:space="preserve">in relation to the </w:t>
      </w:r>
      <w:r w:rsidRPr="00F6340C">
        <w:rPr>
          <w:lang w:val="en-CA"/>
        </w:rPr>
        <w:t xml:space="preserve">majority to justify the measure. </w:t>
      </w:r>
      <w:r w:rsidRPr="00952761">
        <w:rPr>
          <w:lang w:val="en-CA"/>
        </w:rPr>
        <w:t xml:space="preserve">It must be justified </w:t>
      </w:r>
      <w:r w:rsidR="006F5075">
        <w:rPr>
          <w:lang w:val="en-CA"/>
        </w:rPr>
        <w:t xml:space="preserve">in relation to </w:t>
      </w:r>
      <w:r w:rsidRPr="00952761">
        <w:rPr>
          <w:lang w:val="en-CA"/>
        </w:rPr>
        <w:t>the minority</w:t>
      </w:r>
      <w:r w:rsidRPr="005352DE">
        <w:rPr>
          <w:lang w:val="en-CA"/>
        </w:rPr>
        <w:t xml:space="preserve">. </w:t>
      </w:r>
    </w:p>
    <w:p w14:paraId="79AF47C0" w14:textId="6AD2B94B" w:rsidR="003B1EC4" w:rsidRPr="00F6340C" w:rsidRDefault="003B1EC4" w:rsidP="003B1EC4">
      <w:pPr>
        <w:pStyle w:val="Paragrdouble"/>
        <w:spacing w:line="240" w:lineRule="auto"/>
        <w:rPr>
          <w:lang w:val="en-CA"/>
        </w:rPr>
      </w:pPr>
      <w:r w:rsidRPr="00F6340C">
        <w:rPr>
          <w:lang w:val="en-CA"/>
        </w:rPr>
        <w:t xml:space="preserve">The AGQ identified a pressing and substantial objective </w:t>
      </w:r>
      <w:r w:rsidR="00EE1103">
        <w:rPr>
          <w:lang w:val="en-CA"/>
        </w:rPr>
        <w:t>in relation</w:t>
      </w:r>
      <w:r w:rsidRPr="00F6340C">
        <w:rPr>
          <w:lang w:val="en-CA"/>
        </w:rPr>
        <w:t xml:space="preserve"> to the needs of the Quebec population at large: </w:t>
      </w:r>
    </w:p>
    <w:p w14:paraId="546076CD" w14:textId="77777777" w:rsidR="003B1EC4" w:rsidRDefault="003B1EC4" w:rsidP="003B1EC4">
      <w:pPr>
        <w:pStyle w:val="Citation"/>
        <w:rPr>
          <w:lang w:val="en-CA"/>
        </w:rPr>
      </w:pPr>
      <w:r>
        <w:rPr>
          <w:lang w:val="en-CA"/>
        </w:rPr>
        <w:t>[</w:t>
      </w:r>
      <w:r w:rsidRPr="00952761">
        <w:rPr>
          <w:smallCaps/>
          <w:lang w:val="en-CA"/>
        </w:rPr>
        <w:t>translation</w:t>
      </w:r>
      <w:r>
        <w:rPr>
          <w:lang w:val="en-CA"/>
        </w:rPr>
        <w:t>]</w:t>
      </w:r>
    </w:p>
    <w:p w14:paraId="13BA7F9A" w14:textId="1B4C3CAF" w:rsidR="003B1EC4" w:rsidRPr="00F6340C" w:rsidRDefault="003B1EC4" w:rsidP="003B1EC4">
      <w:pPr>
        <w:pStyle w:val="Citation"/>
        <w:rPr>
          <w:lang w:val="en-CA"/>
        </w:rPr>
      </w:pPr>
      <w:r w:rsidRPr="00F6340C">
        <w:rPr>
          <w:lang w:val="en-CA"/>
        </w:rPr>
        <w:lastRenderedPageBreak/>
        <w:t xml:space="preserve">More </w:t>
      </w:r>
      <w:r w:rsidR="00252A82">
        <w:rPr>
          <w:lang w:val="en-CA"/>
        </w:rPr>
        <w:t>specifically</w:t>
      </w:r>
      <w:r w:rsidRPr="00F6340C">
        <w:rPr>
          <w:lang w:val="en-CA"/>
        </w:rPr>
        <w:t>, Bill 40’s main objective is to review school governance to bring the decision-making process closer to students.</w:t>
      </w:r>
    </w:p>
    <w:p w14:paraId="74BDE459" w14:textId="57489AC5" w:rsidR="003B1EC4" w:rsidRPr="00F6340C" w:rsidRDefault="003B1EC4" w:rsidP="003B1EC4">
      <w:pPr>
        <w:pStyle w:val="Citation"/>
        <w:rPr>
          <w:lang w:val="en-CA"/>
        </w:rPr>
      </w:pPr>
      <w:r w:rsidRPr="00F6340C">
        <w:rPr>
          <w:lang w:val="en-CA"/>
        </w:rPr>
        <w:t xml:space="preserve">One of the greatest concerns fueling this bill arises from the </w:t>
      </w:r>
      <w:r w:rsidR="00252A82">
        <w:rPr>
          <w:lang w:val="en-CA"/>
        </w:rPr>
        <w:t>findings of</w:t>
      </w:r>
      <w:r w:rsidRPr="00F6340C">
        <w:rPr>
          <w:lang w:val="en-CA"/>
        </w:rPr>
        <w:t xml:space="preserve"> various reports </w:t>
      </w:r>
      <w:r>
        <w:rPr>
          <w:lang w:val="en-CA"/>
        </w:rPr>
        <w:t>stating that the</w:t>
      </w:r>
      <w:r w:rsidRPr="00F6340C">
        <w:rPr>
          <w:lang w:val="en-CA"/>
        </w:rPr>
        <w:t xml:space="preserve"> involvement </w:t>
      </w:r>
      <w:r w:rsidR="00252A82">
        <w:rPr>
          <w:lang w:val="en-CA"/>
        </w:rPr>
        <w:t xml:space="preserve">of parents </w:t>
      </w:r>
      <w:r w:rsidRPr="00F6340C">
        <w:rPr>
          <w:lang w:val="en-CA"/>
        </w:rPr>
        <w:t xml:space="preserve">in </w:t>
      </w:r>
      <w:r w:rsidR="00252A82">
        <w:rPr>
          <w:lang w:val="en-CA"/>
        </w:rPr>
        <w:t xml:space="preserve">the </w:t>
      </w:r>
      <w:r w:rsidRPr="00F6340C">
        <w:rPr>
          <w:lang w:val="en-CA"/>
        </w:rPr>
        <w:t>manag</w:t>
      </w:r>
      <w:r w:rsidR="00252A82">
        <w:rPr>
          <w:lang w:val="en-CA"/>
        </w:rPr>
        <w:t xml:space="preserve">ement of </w:t>
      </w:r>
      <w:r w:rsidRPr="00F6340C">
        <w:rPr>
          <w:lang w:val="en-CA"/>
        </w:rPr>
        <w:t xml:space="preserve">school boards is insufficient and </w:t>
      </w:r>
      <w:r>
        <w:rPr>
          <w:lang w:val="en-CA"/>
        </w:rPr>
        <w:t>that</w:t>
      </w:r>
      <w:r w:rsidRPr="00F6340C">
        <w:rPr>
          <w:lang w:val="en-CA"/>
        </w:rPr>
        <w:t xml:space="preserve"> parent groups want a greater rol</w:t>
      </w:r>
      <w:r>
        <w:rPr>
          <w:lang w:val="en-CA"/>
        </w:rPr>
        <w:t>e</w:t>
      </w:r>
      <w:r w:rsidRPr="00F6340C">
        <w:rPr>
          <w:lang w:val="en-CA"/>
        </w:rPr>
        <w:t xml:space="preserve"> in managing school boards. The connection between this objective and the provision</w:t>
      </w:r>
      <w:r w:rsidR="00252A82">
        <w:rPr>
          <w:lang w:val="en-CA"/>
        </w:rPr>
        <w:t>s aiming</w:t>
      </w:r>
      <w:r w:rsidRPr="00F6340C">
        <w:rPr>
          <w:lang w:val="en-CA"/>
        </w:rPr>
        <w:t xml:space="preserve"> to give parents a greater role in managing SSCs is obvious.</w:t>
      </w:r>
      <w:r>
        <w:rPr>
          <w:rStyle w:val="Appelnotedebasdep"/>
        </w:rPr>
        <w:footnoteReference w:id="239"/>
      </w:r>
    </w:p>
    <w:p w14:paraId="33EE2D62" w14:textId="072ADEC7" w:rsidR="003B1EC4" w:rsidRPr="00BE23F2" w:rsidRDefault="003B1EC4" w:rsidP="003B1EC4">
      <w:pPr>
        <w:pStyle w:val="Paragrsimple"/>
        <w:rPr>
          <w:lang w:val="en-CA"/>
        </w:rPr>
      </w:pPr>
      <w:r w:rsidRPr="00F6340C">
        <w:rPr>
          <w:lang w:val="en-CA"/>
        </w:rPr>
        <w:t>These objectives are legitimate</w:t>
      </w:r>
      <w:r w:rsidR="00030AB2">
        <w:rPr>
          <w:lang w:val="en-CA"/>
        </w:rPr>
        <w:t>,</w:t>
      </w:r>
      <w:r w:rsidRPr="00F6340C">
        <w:rPr>
          <w:lang w:val="en-CA"/>
        </w:rPr>
        <w:t xml:space="preserve"> but </w:t>
      </w:r>
      <w:r w:rsidR="00030AB2">
        <w:rPr>
          <w:lang w:val="en-CA"/>
        </w:rPr>
        <w:t xml:space="preserve">they are </w:t>
      </w:r>
      <w:r w:rsidRPr="00F6340C">
        <w:rPr>
          <w:lang w:val="en-CA"/>
        </w:rPr>
        <w:t>very general and could apply to any objective in education</w:t>
      </w:r>
      <w:r w:rsidR="00252A82">
        <w:rPr>
          <w:lang w:val="en-CA"/>
        </w:rPr>
        <w:t>al matters</w:t>
      </w:r>
      <w:r w:rsidRPr="00F6340C">
        <w:rPr>
          <w:lang w:val="en-CA"/>
        </w:rPr>
        <w:t xml:space="preserve">. </w:t>
      </w:r>
      <w:r w:rsidRPr="00BE23F2">
        <w:rPr>
          <w:lang w:val="en-CA"/>
        </w:rPr>
        <w:t xml:space="preserve">To quote the Chief Justice in </w:t>
      </w:r>
      <w:r w:rsidRPr="00BE23F2">
        <w:rPr>
          <w:i/>
          <w:lang w:val="en-CA"/>
        </w:rPr>
        <w:t xml:space="preserve">Conseil </w:t>
      </w:r>
      <w:proofErr w:type="spellStart"/>
      <w:r w:rsidRPr="00BE23F2">
        <w:rPr>
          <w:i/>
          <w:lang w:val="en-CA"/>
        </w:rPr>
        <w:t>scolaire</w:t>
      </w:r>
      <w:proofErr w:type="spellEnd"/>
      <w:r w:rsidRPr="00BE23F2">
        <w:rPr>
          <w:i/>
          <w:lang w:val="en-CA"/>
        </w:rPr>
        <w:t xml:space="preserve"> francophone</w:t>
      </w:r>
      <w:r w:rsidRPr="00BE23F2">
        <w:rPr>
          <w:lang w:val="en-CA"/>
        </w:rPr>
        <w:t>:</w:t>
      </w:r>
    </w:p>
    <w:p w14:paraId="534FD69A" w14:textId="77777777" w:rsidR="003B1EC4" w:rsidRPr="00F6340C" w:rsidRDefault="003B1EC4" w:rsidP="003B1EC4">
      <w:pPr>
        <w:pStyle w:val="Citation"/>
        <w:rPr>
          <w:lang w:val="en-CA"/>
        </w:rPr>
      </w:pPr>
      <w:r w:rsidRPr="00F6340C">
        <w:rPr>
          <w:lang w:val="en-CA"/>
        </w:rPr>
        <w:t>153</w:t>
      </w:r>
      <w:r w:rsidRPr="00F6340C">
        <w:rPr>
          <w:lang w:val="en-CA"/>
        </w:rPr>
        <w:tab/>
        <w:t xml:space="preserve">... If merely adding the words “fair and rational” to the word “allocation” sufficed to transform the allocation of public funds into a pressing and substantial objective, it would be disconcertingly easy for any government to intrude on fundamental rights. </w:t>
      </w:r>
      <w:r w:rsidRPr="00E202F1">
        <w:rPr>
          <w:lang w:val="en-CA"/>
        </w:rPr>
        <w:t>I cannot accept such a result.</w:t>
      </w:r>
      <w:r w:rsidRPr="00F6340C">
        <w:rPr>
          <w:lang w:val="en-CA"/>
        </w:rPr>
        <w:t xml:space="preserve"> The fair and rational allocation of limited public funds represents the daily business of government. The mission of a government is to manage a limited budget in order to address needs that are, for their part, unlimited. This is not a pressing and substantial objective that can justify an infringement of rights and freedoms.  Treating this role as such an objective would lead society down a slippery slope and would risk watering down the scope of the Charter. I would add that, from a practical standpoint, the appropriateness of such an objective would be nearly impossible to verify.</w:t>
      </w:r>
    </w:p>
    <w:p w14:paraId="38E8AF28" w14:textId="27121374" w:rsidR="003B1EC4" w:rsidRPr="00F6340C" w:rsidRDefault="003B1EC4" w:rsidP="003B1EC4">
      <w:pPr>
        <w:pStyle w:val="Paragrsimple"/>
        <w:rPr>
          <w:lang w:val="en-CA"/>
        </w:rPr>
      </w:pPr>
      <w:r w:rsidRPr="00F6340C">
        <w:rPr>
          <w:lang w:val="en-CA"/>
        </w:rPr>
        <w:t xml:space="preserve">At no </w:t>
      </w:r>
      <w:r w:rsidR="00252A82">
        <w:rPr>
          <w:lang w:val="en-CA"/>
        </w:rPr>
        <w:t>point</w:t>
      </w:r>
      <w:r w:rsidR="00252A82" w:rsidRPr="00F6340C">
        <w:rPr>
          <w:lang w:val="en-CA"/>
        </w:rPr>
        <w:t xml:space="preserve"> </w:t>
      </w:r>
      <w:r w:rsidRPr="00F6340C">
        <w:rPr>
          <w:lang w:val="en-CA"/>
        </w:rPr>
        <w:t xml:space="preserve">are the needs of the English-speaking community ever mentioned. The measures </w:t>
      </w:r>
      <w:r w:rsidR="00252A82">
        <w:rPr>
          <w:lang w:val="en-CA"/>
        </w:rPr>
        <w:t>enacted</w:t>
      </w:r>
      <w:r w:rsidR="00252A82" w:rsidRPr="00F6340C">
        <w:rPr>
          <w:lang w:val="en-CA"/>
        </w:rPr>
        <w:t xml:space="preserve"> </w:t>
      </w:r>
      <w:r w:rsidRPr="00F6340C">
        <w:rPr>
          <w:lang w:val="en-CA"/>
        </w:rPr>
        <w:t xml:space="preserve">do not respond to any of </w:t>
      </w:r>
      <w:r w:rsidR="00252A82">
        <w:rPr>
          <w:lang w:val="en-CA"/>
        </w:rPr>
        <w:t>the</w:t>
      </w:r>
      <w:r w:rsidR="00252A82" w:rsidRPr="00F6340C">
        <w:rPr>
          <w:lang w:val="en-CA"/>
        </w:rPr>
        <w:t xml:space="preserve"> </w:t>
      </w:r>
      <w:r w:rsidRPr="00F6340C">
        <w:rPr>
          <w:lang w:val="en-CA"/>
        </w:rPr>
        <w:t>requests</w:t>
      </w:r>
      <w:r w:rsidR="00252A82">
        <w:rPr>
          <w:lang w:val="en-CA"/>
        </w:rPr>
        <w:t xml:space="preserve"> </w:t>
      </w:r>
      <w:r w:rsidR="00CB313C">
        <w:rPr>
          <w:lang w:val="en-CA"/>
        </w:rPr>
        <w:t>that community</w:t>
      </w:r>
      <w:r w:rsidRPr="00F6340C">
        <w:rPr>
          <w:lang w:val="en-CA"/>
        </w:rPr>
        <w:t xml:space="preserve"> made through its representatives, </w:t>
      </w:r>
      <w:r w:rsidR="00252A82">
        <w:rPr>
          <w:lang w:val="en-CA"/>
        </w:rPr>
        <w:t xml:space="preserve">except for </w:t>
      </w:r>
      <w:r w:rsidRPr="00F6340C">
        <w:rPr>
          <w:lang w:val="en-CA"/>
        </w:rPr>
        <w:t xml:space="preserve">individual positions like that of Mr. Eustace, which, it bears noting, does not reflect the consensus </w:t>
      </w:r>
      <w:r>
        <w:rPr>
          <w:lang w:val="en-CA"/>
        </w:rPr>
        <w:t>emerging</w:t>
      </w:r>
      <w:r w:rsidRPr="00F6340C">
        <w:rPr>
          <w:lang w:val="en-CA"/>
        </w:rPr>
        <w:t xml:space="preserve"> from the other interventions.   </w:t>
      </w:r>
    </w:p>
    <w:p w14:paraId="519469DF" w14:textId="084D81B7" w:rsidR="003B1EC4" w:rsidRPr="00F6340C" w:rsidRDefault="003B1EC4" w:rsidP="003B1EC4">
      <w:pPr>
        <w:pStyle w:val="Paragrsimple"/>
        <w:rPr>
          <w:lang w:val="en-CA"/>
        </w:rPr>
      </w:pPr>
      <w:r w:rsidRPr="00F6340C">
        <w:rPr>
          <w:lang w:val="en-CA"/>
        </w:rPr>
        <w:t xml:space="preserve">Moreover, the AGQ does not justify </w:t>
      </w:r>
      <w:r w:rsidR="00957917">
        <w:rPr>
          <w:lang w:val="en-CA"/>
        </w:rPr>
        <w:t>how</w:t>
      </w:r>
      <w:r w:rsidR="00957917" w:rsidRPr="00F6340C">
        <w:rPr>
          <w:lang w:val="en-CA"/>
        </w:rPr>
        <w:t xml:space="preserve"> </w:t>
      </w:r>
      <w:r w:rsidRPr="00F6340C">
        <w:rPr>
          <w:lang w:val="en-CA"/>
        </w:rPr>
        <w:t xml:space="preserve">it was pressing to deprive the president of a school service centre of </w:t>
      </w:r>
      <w:r>
        <w:rPr>
          <w:lang w:val="en-CA"/>
        </w:rPr>
        <w:t>the</w:t>
      </w:r>
      <w:r w:rsidRPr="00F6340C">
        <w:rPr>
          <w:lang w:val="en-CA"/>
        </w:rPr>
        <w:t xml:space="preserve"> role </w:t>
      </w:r>
      <w:r w:rsidR="00252A82">
        <w:rPr>
          <w:lang w:val="en-CA"/>
        </w:rPr>
        <w:t>of</w:t>
      </w:r>
      <w:r w:rsidR="00252A82" w:rsidRPr="00F6340C">
        <w:rPr>
          <w:lang w:val="en-CA"/>
        </w:rPr>
        <w:t xml:space="preserve"> </w:t>
      </w:r>
      <w:r w:rsidRPr="00F6340C">
        <w:rPr>
          <w:lang w:val="en-CA"/>
        </w:rPr>
        <w:t xml:space="preserve">spokesperson, </w:t>
      </w:r>
      <w:r w:rsidR="00CB313C">
        <w:rPr>
          <w:lang w:val="en-CA"/>
        </w:rPr>
        <w:t>or</w:t>
      </w:r>
      <w:r w:rsidR="00252A82">
        <w:rPr>
          <w:lang w:val="en-CA"/>
        </w:rPr>
        <w:t xml:space="preserve"> to </w:t>
      </w:r>
      <w:r w:rsidRPr="00F6340C">
        <w:rPr>
          <w:lang w:val="en-CA"/>
        </w:rPr>
        <w:t>depriv</w:t>
      </w:r>
      <w:r w:rsidR="00252A82">
        <w:rPr>
          <w:lang w:val="en-CA"/>
        </w:rPr>
        <w:t>e</w:t>
      </w:r>
      <w:r w:rsidRPr="00F6340C">
        <w:rPr>
          <w:lang w:val="en-CA"/>
        </w:rPr>
        <w:t xml:space="preserve"> members who do not hold positions as parents of the possibility of being </w:t>
      </w:r>
      <w:r w:rsidR="0032401E">
        <w:rPr>
          <w:lang w:val="en-CA"/>
        </w:rPr>
        <w:t>c</w:t>
      </w:r>
      <w:r w:rsidRPr="00F6340C">
        <w:rPr>
          <w:lang w:val="en-CA"/>
        </w:rPr>
        <w:t xml:space="preserve">hair or </w:t>
      </w:r>
      <w:r w:rsidR="0032401E">
        <w:rPr>
          <w:lang w:val="en-CA"/>
        </w:rPr>
        <w:t>v</w:t>
      </w:r>
      <w:r w:rsidRPr="00F6340C">
        <w:rPr>
          <w:lang w:val="en-CA"/>
        </w:rPr>
        <w:t>ice-</w:t>
      </w:r>
      <w:r w:rsidR="0032401E">
        <w:rPr>
          <w:lang w:val="en-CA"/>
        </w:rPr>
        <w:t>c</w:t>
      </w:r>
      <w:r w:rsidRPr="00F6340C">
        <w:rPr>
          <w:lang w:val="en-CA"/>
        </w:rPr>
        <w:t>hair of the school service centre.</w:t>
      </w:r>
    </w:p>
    <w:p w14:paraId="45AE6FC5" w14:textId="724CAAEC" w:rsidR="003B1EC4" w:rsidRPr="00F6340C" w:rsidRDefault="003B1EC4" w:rsidP="003B1EC4">
      <w:pPr>
        <w:pStyle w:val="Paragrsimple"/>
        <w:rPr>
          <w:lang w:val="en-CA"/>
        </w:rPr>
      </w:pPr>
      <w:r w:rsidRPr="00F6340C">
        <w:rPr>
          <w:lang w:val="en-CA"/>
        </w:rPr>
        <w:t xml:space="preserve">The pressing </w:t>
      </w:r>
      <w:r w:rsidR="00252A82">
        <w:rPr>
          <w:lang w:val="en-CA"/>
        </w:rPr>
        <w:t>nature</w:t>
      </w:r>
      <w:r w:rsidR="00252A82" w:rsidRPr="00F6340C">
        <w:rPr>
          <w:lang w:val="en-CA"/>
        </w:rPr>
        <w:t xml:space="preserve"> </w:t>
      </w:r>
      <w:r w:rsidRPr="00F6340C">
        <w:rPr>
          <w:lang w:val="en-CA"/>
        </w:rPr>
        <w:t xml:space="preserve">of depriving representatives of their allowance </w:t>
      </w:r>
      <w:r w:rsidR="00252A82">
        <w:rPr>
          <w:lang w:val="en-CA"/>
        </w:rPr>
        <w:t xml:space="preserve">has </w:t>
      </w:r>
      <w:r w:rsidRPr="00F6340C">
        <w:rPr>
          <w:lang w:val="en-CA"/>
        </w:rPr>
        <w:t xml:space="preserve">not </w:t>
      </w:r>
      <w:r w:rsidR="00252A82">
        <w:rPr>
          <w:lang w:val="en-CA"/>
        </w:rPr>
        <w:t xml:space="preserve">been </w:t>
      </w:r>
      <w:r w:rsidR="00CB313C">
        <w:rPr>
          <w:lang w:val="en-CA"/>
        </w:rPr>
        <w:t>established</w:t>
      </w:r>
      <w:r w:rsidRPr="00F6340C">
        <w:rPr>
          <w:lang w:val="en-CA"/>
        </w:rPr>
        <w:t xml:space="preserve">. We </w:t>
      </w:r>
      <w:r w:rsidR="00957917">
        <w:rPr>
          <w:lang w:val="en-CA"/>
        </w:rPr>
        <w:t xml:space="preserve">also </w:t>
      </w:r>
      <w:r w:rsidR="00CB313C">
        <w:rPr>
          <w:lang w:val="en-CA"/>
        </w:rPr>
        <w:t xml:space="preserve">do not know </w:t>
      </w:r>
      <w:r w:rsidRPr="00F6340C">
        <w:rPr>
          <w:lang w:val="en-CA"/>
        </w:rPr>
        <w:t xml:space="preserve">why community members cannot </w:t>
      </w:r>
      <w:r w:rsidR="00957917">
        <w:rPr>
          <w:lang w:val="en-CA"/>
        </w:rPr>
        <w:t>run</w:t>
      </w:r>
      <w:r w:rsidRPr="00F6340C">
        <w:rPr>
          <w:lang w:val="en-CA"/>
        </w:rPr>
        <w:t xml:space="preserve"> in electoral districts but must be elected </w:t>
      </w:r>
      <w:r w:rsidR="00957917">
        <w:rPr>
          <w:lang w:val="en-CA"/>
        </w:rPr>
        <w:t>in</w:t>
      </w:r>
      <w:r w:rsidR="00957917" w:rsidRPr="00F6340C">
        <w:rPr>
          <w:lang w:val="en-CA"/>
        </w:rPr>
        <w:t xml:space="preserve"> </w:t>
      </w:r>
      <w:r w:rsidRPr="00F6340C">
        <w:rPr>
          <w:lang w:val="en-CA"/>
        </w:rPr>
        <w:t xml:space="preserve">the territory as a whole, which is </w:t>
      </w:r>
      <w:r w:rsidR="00CB313C">
        <w:rPr>
          <w:lang w:val="en-CA"/>
        </w:rPr>
        <w:t>vast</w:t>
      </w:r>
      <w:r w:rsidR="00957917">
        <w:rPr>
          <w:lang w:val="en-CA"/>
        </w:rPr>
        <w:t xml:space="preserve"> </w:t>
      </w:r>
      <w:r w:rsidR="00CB313C">
        <w:rPr>
          <w:lang w:val="en-CA"/>
        </w:rPr>
        <w:t>for</w:t>
      </w:r>
      <w:r w:rsidR="00957917">
        <w:rPr>
          <w:lang w:val="en-CA"/>
        </w:rPr>
        <w:t xml:space="preserve"> </w:t>
      </w:r>
      <w:r w:rsidRPr="00F6340C">
        <w:rPr>
          <w:lang w:val="en-CA"/>
        </w:rPr>
        <w:t xml:space="preserve">at least seven </w:t>
      </w:r>
      <w:r w:rsidR="00957917">
        <w:rPr>
          <w:lang w:val="en-CA"/>
        </w:rPr>
        <w:t xml:space="preserve">of the </w:t>
      </w:r>
      <w:r w:rsidRPr="00F6340C">
        <w:rPr>
          <w:lang w:val="en-CA"/>
        </w:rPr>
        <w:t>school boards.</w:t>
      </w:r>
    </w:p>
    <w:p w14:paraId="5002B7A6" w14:textId="4C48A0FF" w:rsidR="003B1EC4" w:rsidRPr="00F6340C" w:rsidRDefault="003B1EC4" w:rsidP="003B1EC4">
      <w:pPr>
        <w:pStyle w:val="Paragrsimple"/>
        <w:rPr>
          <w:lang w:val="en-CA"/>
        </w:rPr>
      </w:pPr>
      <w:r w:rsidRPr="00F6340C">
        <w:rPr>
          <w:lang w:val="en-CA"/>
        </w:rPr>
        <w:t xml:space="preserve">If we </w:t>
      </w:r>
      <w:r w:rsidR="00957917">
        <w:rPr>
          <w:lang w:val="en-CA"/>
        </w:rPr>
        <w:t>look at</w:t>
      </w:r>
      <w:r w:rsidRPr="00F6340C">
        <w:rPr>
          <w:lang w:val="en-CA"/>
        </w:rPr>
        <w:t xml:space="preserve"> what is done in other democratic jurisdictions, </w:t>
      </w:r>
      <w:r w:rsidR="00CB313C">
        <w:rPr>
          <w:lang w:val="en-CA"/>
        </w:rPr>
        <w:t>namely</w:t>
      </w:r>
      <w:r w:rsidR="00957917">
        <w:rPr>
          <w:lang w:val="en-CA"/>
        </w:rPr>
        <w:t xml:space="preserve">, </w:t>
      </w:r>
      <w:r w:rsidRPr="00F6340C">
        <w:rPr>
          <w:lang w:val="en-CA"/>
        </w:rPr>
        <w:t>the other Canadian provinces, it appear</w:t>
      </w:r>
      <w:r>
        <w:rPr>
          <w:lang w:val="en-CA"/>
        </w:rPr>
        <w:t>s</w:t>
      </w:r>
      <w:r w:rsidRPr="00F6340C">
        <w:rPr>
          <w:lang w:val="en-CA"/>
        </w:rPr>
        <w:t xml:space="preserve"> that in Nova Scotia, an administrative tribunal establishes electoral </w:t>
      </w:r>
      <w:r w:rsidR="00957917">
        <w:rPr>
          <w:lang w:val="en-CA"/>
        </w:rPr>
        <w:t>boundaries</w:t>
      </w:r>
      <w:r w:rsidR="00957917" w:rsidRPr="00F6340C">
        <w:rPr>
          <w:lang w:val="en-CA"/>
        </w:rPr>
        <w:t xml:space="preserve"> </w:t>
      </w:r>
      <w:r w:rsidRPr="00F6340C">
        <w:rPr>
          <w:lang w:val="en-CA"/>
        </w:rPr>
        <w:t xml:space="preserve">and the number of representatives. In Manitoba, the school board </w:t>
      </w:r>
      <w:r w:rsidRPr="00F6340C">
        <w:rPr>
          <w:lang w:val="en-CA"/>
        </w:rPr>
        <w:lastRenderedPageBreak/>
        <w:t>establishes these requirements, with the government’s approval. In all the other provinces and territories, eligibility requirements comply with section 23.</w:t>
      </w:r>
    </w:p>
    <w:p w14:paraId="134C4867" w14:textId="13BFDFA8" w:rsidR="003B1EC4" w:rsidRPr="00F6340C" w:rsidRDefault="003B1EC4" w:rsidP="003B1EC4">
      <w:pPr>
        <w:pStyle w:val="Paragrsimple"/>
        <w:rPr>
          <w:lang w:val="en-CA"/>
        </w:rPr>
      </w:pPr>
      <w:r w:rsidRPr="00F6340C">
        <w:rPr>
          <w:lang w:val="en-CA"/>
        </w:rPr>
        <w:t xml:space="preserve">Removing the role of the board of directors of the school service centre in </w:t>
      </w:r>
      <w:r w:rsidR="00957917">
        <w:rPr>
          <w:lang w:val="en-CA"/>
        </w:rPr>
        <w:t>the preparation of</w:t>
      </w:r>
      <w:r w:rsidR="00957917" w:rsidRPr="00F6340C">
        <w:rPr>
          <w:lang w:val="en-CA"/>
        </w:rPr>
        <w:t xml:space="preserve"> </w:t>
      </w:r>
      <w:r w:rsidRPr="00F6340C">
        <w:rPr>
          <w:lang w:val="en-CA"/>
        </w:rPr>
        <w:t>the commitment-to-success plan was not justified.</w:t>
      </w:r>
    </w:p>
    <w:p w14:paraId="70825CE0" w14:textId="42F3EA67" w:rsidR="003B1EC4" w:rsidRPr="00F6340C" w:rsidRDefault="003B1EC4" w:rsidP="003B1EC4">
      <w:pPr>
        <w:pStyle w:val="Paragrsimple"/>
        <w:rPr>
          <w:lang w:val="en-CA"/>
        </w:rPr>
      </w:pPr>
      <w:r>
        <w:rPr>
          <w:lang w:val="en-CA"/>
        </w:rPr>
        <w:t xml:space="preserve">The AGQ has failed to justify the prohibition </w:t>
      </w:r>
      <w:r w:rsidR="00957917">
        <w:rPr>
          <w:lang w:val="en-CA"/>
        </w:rPr>
        <w:t xml:space="preserve">barring </w:t>
      </w:r>
      <w:r>
        <w:rPr>
          <w:lang w:val="en-CA"/>
        </w:rPr>
        <w:t xml:space="preserve">school service centres </w:t>
      </w:r>
      <w:r w:rsidR="00957917">
        <w:rPr>
          <w:lang w:val="en-CA"/>
        </w:rPr>
        <w:t xml:space="preserve">from </w:t>
      </w:r>
      <w:r>
        <w:rPr>
          <w:lang w:val="en-CA"/>
        </w:rPr>
        <w:t>using funds allocated for purposes other than those imposed by the Minister.</w:t>
      </w:r>
    </w:p>
    <w:p w14:paraId="5431E5D3" w14:textId="7CEB05A7" w:rsidR="003B1EC4" w:rsidRPr="00F6340C" w:rsidRDefault="003B1EC4" w:rsidP="003B1EC4">
      <w:pPr>
        <w:pStyle w:val="Paragrsimple"/>
        <w:rPr>
          <w:lang w:val="en-CA"/>
        </w:rPr>
      </w:pPr>
      <w:r w:rsidRPr="00F6340C">
        <w:rPr>
          <w:lang w:val="en-CA"/>
        </w:rPr>
        <w:t xml:space="preserve">The Court finds that </w:t>
      </w:r>
      <w:r w:rsidR="0074265A">
        <w:rPr>
          <w:lang w:val="en-CA"/>
        </w:rPr>
        <w:t xml:space="preserve">no pressing </w:t>
      </w:r>
      <w:r w:rsidRPr="00F6340C">
        <w:rPr>
          <w:lang w:val="en-CA"/>
        </w:rPr>
        <w:t xml:space="preserve">and substantial objective to lessen the representative nature of the English-language minority elected officials </w:t>
      </w:r>
      <w:r w:rsidR="00957917">
        <w:rPr>
          <w:lang w:val="en-CA"/>
        </w:rPr>
        <w:t>ha</w:t>
      </w:r>
      <w:r w:rsidR="0074265A">
        <w:rPr>
          <w:lang w:val="en-CA"/>
        </w:rPr>
        <w:t>s been established</w:t>
      </w:r>
      <w:r w:rsidRPr="00F6340C">
        <w:rPr>
          <w:lang w:val="en-CA"/>
        </w:rPr>
        <w:t xml:space="preserve">. </w:t>
      </w:r>
    </w:p>
    <w:p w14:paraId="194AB196" w14:textId="7A410FCA" w:rsidR="003B1EC4" w:rsidRPr="00F6340C" w:rsidRDefault="003B1EC4" w:rsidP="003B1EC4">
      <w:pPr>
        <w:pStyle w:val="Paragrsimple"/>
        <w:rPr>
          <w:rFonts w:cs="Arial"/>
          <w:color w:val="000000"/>
          <w:szCs w:val="24"/>
          <w:lang w:val="en-CA"/>
        </w:rPr>
      </w:pPr>
      <w:r w:rsidRPr="00F6340C">
        <w:rPr>
          <w:rFonts w:cs="Arial"/>
          <w:color w:val="000000"/>
          <w:szCs w:val="24"/>
          <w:lang w:val="en-CA"/>
        </w:rPr>
        <w:t xml:space="preserve">In </w:t>
      </w:r>
      <w:r w:rsidRPr="00637978">
        <w:rPr>
          <w:rFonts w:cs="Arial"/>
          <w:i/>
          <w:iCs/>
          <w:color w:val="000000"/>
          <w:szCs w:val="24"/>
          <w:lang w:val="en-CA"/>
        </w:rPr>
        <w:t>Solski</w:t>
      </w:r>
      <w:r w:rsidRPr="00F6340C">
        <w:rPr>
          <w:rFonts w:cs="Arial"/>
          <w:color w:val="000000"/>
          <w:szCs w:val="24"/>
          <w:lang w:val="en-CA"/>
        </w:rPr>
        <w:t>, the Court recall</w:t>
      </w:r>
      <w:r w:rsidR="00F05E09">
        <w:rPr>
          <w:rFonts w:cs="Arial"/>
          <w:color w:val="000000"/>
          <w:szCs w:val="24"/>
          <w:lang w:val="en-CA"/>
        </w:rPr>
        <w:t>ed</w:t>
      </w:r>
      <w:r w:rsidRPr="00F6340C">
        <w:rPr>
          <w:rFonts w:cs="Arial"/>
          <w:color w:val="000000"/>
          <w:szCs w:val="24"/>
          <w:lang w:val="en-CA"/>
        </w:rPr>
        <w:t xml:space="preserve"> that historical context is relevant “when provincial approaches to implementation are considered, and in situations where there is need for justification under s. 1 of the </w:t>
      </w:r>
      <w:r w:rsidRPr="005352DE">
        <w:rPr>
          <w:rFonts w:cs="Arial"/>
          <w:i/>
          <w:iCs/>
          <w:color w:val="000000"/>
          <w:szCs w:val="24"/>
          <w:lang w:val="en-CA"/>
        </w:rPr>
        <w:t>Canadian Charter</w:t>
      </w:r>
      <w:r w:rsidRPr="00F6340C">
        <w:rPr>
          <w:rFonts w:cs="Arial"/>
          <w:color w:val="000000"/>
          <w:szCs w:val="24"/>
          <w:lang w:val="en-CA"/>
        </w:rPr>
        <w:t>”.</w:t>
      </w:r>
      <w:r>
        <w:rPr>
          <w:rStyle w:val="Appelnotedebasdep"/>
          <w:rFonts w:cs="Arial"/>
          <w:color w:val="000000"/>
          <w:szCs w:val="24"/>
        </w:rPr>
        <w:footnoteReference w:id="240"/>
      </w:r>
    </w:p>
    <w:p w14:paraId="618B8A7A" w14:textId="1D5517D3" w:rsidR="003B1EC4" w:rsidRPr="00F6340C" w:rsidRDefault="003B1EC4" w:rsidP="003B1EC4">
      <w:pPr>
        <w:pStyle w:val="Paragrdouble"/>
        <w:spacing w:line="240" w:lineRule="auto"/>
        <w:rPr>
          <w:lang w:val="en-CA"/>
        </w:rPr>
      </w:pPr>
      <w:r w:rsidRPr="00F6340C">
        <w:rPr>
          <w:lang w:val="en-CA"/>
        </w:rPr>
        <w:t xml:space="preserve">The historical overview </w:t>
      </w:r>
      <w:r w:rsidR="00F05E09">
        <w:rPr>
          <w:lang w:val="en-CA"/>
        </w:rPr>
        <w:t>provided</w:t>
      </w:r>
      <w:r w:rsidR="00F05E09" w:rsidRPr="00F6340C">
        <w:rPr>
          <w:lang w:val="en-CA"/>
        </w:rPr>
        <w:t xml:space="preserve"> </w:t>
      </w:r>
      <w:r w:rsidRPr="00F6340C">
        <w:rPr>
          <w:lang w:val="en-CA"/>
        </w:rPr>
        <w:t xml:space="preserve">above </w:t>
      </w:r>
      <w:r w:rsidR="00F05E09">
        <w:rPr>
          <w:lang w:val="en-CA"/>
        </w:rPr>
        <w:t>reveals</w:t>
      </w:r>
      <w:r w:rsidR="00F05E09" w:rsidRPr="00F6340C">
        <w:rPr>
          <w:lang w:val="en-CA"/>
        </w:rPr>
        <w:t xml:space="preserve"> </w:t>
      </w:r>
      <w:r w:rsidRPr="00F6340C">
        <w:rPr>
          <w:lang w:val="en-CA"/>
        </w:rPr>
        <w:t>that the Quebec legislator did not take into account the customs and practices of the English-speaking community when it established the new select</w:t>
      </w:r>
      <w:r>
        <w:rPr>
          <w:lang w:val="en-CA"/>
        </w:rPr>
        <w:t>ion</w:t>
      </w:r>
      <w:r w:rsidRPr="00F6340C">
        <w:rPr>
          <w:lang w:val="en-CA"/>
        </w:rPr>
        <w:t xml:space="preserve"> criteria </w:t>
      </w:r>
      <w:r>
        <w:rPr>
          <w:lang w:val="en-CA"/>
        </w:rPr>
        <w:t>for</w:t>
      </w:r>
      <w:r w:rsidRPr="00F6340C">
        <w:rPr>
          <w:lang w:val="en-CA"/>
        </w:rPr>
        <w:t xml:space="preserve"> member</w:t>
      </w:r>
      <w:r>
        <w:rPr>
          <w:lang w:val="en-CA"/>
        </w:rPr>
        <w:t>s of</w:t>
      </w:r>
      <w:r w:rsidRPr="00F6340C">
        <w:rPr>
          <w:lang w:val="en-CA"/>
        </w:rPr>
        <w:t xml:space="preserve"> the board of directors. </w:t>
      </w:r>
    </w:p>
    <w:p w14:paraId="414C52FF" w14:textId="71FDEE42" w:rsidR="003B1EC4" w:rsidRPr="00F6340C" w:rsidRDefault="003B1EC4" w:rsidP="003B1EC4">
      <w:pPr>
        <w:pStyle w:val="Paragrdouble"/>
        <w:spacing w:line="240" w:lineRule="auto"/>
        <w:rPr>
          <w:lang w:val="en-CA"/>
        </w:rPr>
      </w:pPr>
      <w:r w:rsidRPr="00F6340C">
        <w:rPr>
          <w:lang w:val="en-CA"/>
        </w:rPr>
        <w:t xml:space="preserve">The necessary involvement of the Quebec government in education, which </w:t>
      </w:r>
      <w:r w:rsidR="00F05E09">
        <w:rPr>
          <w:lang w:val="en-CA"/>
        </w:rPr>
        <w:t>was</w:t>
      </w:r>
      <w:r w:rsidR="00F05E09" w:rsidRPr="00F6340C">
        <w:rPr>
          <w:lang w:val="en-CA"/>
        </w:rPr>
        <w:t xml:space="preserve"> </w:t>
      </w:r>
      <w:r w:rsidRPr="00F6340C">
        <w:rPr>
          <w:lang w:val="en-CA"/>
        </w:rPr>
        <w:t xml:space="preserve">so cruelly </w:t>
      </w:r>
      <w:r w:rsidR="00F05E09">
        <w:rPr>
          <w:lang w:val="en-CA"/>
        </w:rPr>
        <w:t xml:space="preserve">absent </w:t>
      </w:r>
      <w:r w:rsidRPr="00F6340C">
        <w:rPr>
          <w:lang w:val="en-CA"/>
        </w:rPr>
        <w:t>for over a hundred years to the detriment of the French-language majority, also does not justify reducing the</w:t>
      </w:r>
      <w:r>
        <w:rPr>
          <w:lang w:val="en-CA"/>
        </w:rPr>
        <w:t xml:space="preserve"> minority’s</w:t>
      </w:r>
      <w:r w:rsidRPr="00F6340C">
        <w:rPr>
          <w:lang w:val="en-CA"/>
        </w:rPr>
        <w:t xml:space="preserve"> degree of control and management o</w:t>
      </w:r>
      <w:r>
        <w:rPr>
          <w:lang w:val="en-CA"/>
        </w:rPr>
        <w:t>ver</w:t>
      </w:r>
      <w:r w:rsidRPr="00F6340C">
        <w:rPr>
          <w:lang w:val="en-CA"/>
        </w:rPr>
        <w:t xml:space="preserve"> its </w:t>
      </w:r>
      <w:r w:rsidR="00F05E09">
        <w:rPr>
          <w:lang w:val="en-CA"/>
        </w:rPr>
        <w:t xml:space="preserve">own </w:t>
      </w:r>
      <w:r w:rsidRPr="00F6340C">
        <w:rPr>
          <w:lang w:val="en-CA"/>
        </w:rPr>
        <w:t>institutions.</w:t>
      </w:r>
    </w:p>
    <w:p w14:paraId="2818D0F6" w14:textId="77777777" w:rsidR="003B1EC4" w:rsidRPr="00F6340C" w:rsidRDefault="003B1EC4" w:rsidP="003B1EC4">
      <w:pPr>
        <w:pStyle w:val="Paragrdouble"/>
        <w:spacing w:line="240" w:lineRule="auto"/>
        <w:rPr>
          <w:lang w:val="en-CA"/>
        </w:rPr>
      </w:pPr>
      <w:r w:rsidRPr="00F6340C">
        <w:rPr>
          <w:lang w:val="en-CA"/>
        </w:rPr>
        <w:t>The AGQ has failed to show what national pedagogical objectives were not reached by the</w:t>
      </w:r>
      <w:r>
        <w:rPr>
          <w:lang w:val="en-CA"/>
        </w:rPr>
        <w:t xml:space="preserve"> existing</w:t>
      </w:r>
      <w:r w:rsidRPr="00F6340C">
        <w:rPr>
          <w:lang w:val="en-CA"/>
        </w:rPr>
        <w:t xml:space="preserve"> system or would be improved with the new regime.</w:t>
      </w:r>
    </w:p>
    <w:p w14:paraId="5B153C6A" w14:textId="107065AB" w:rsidR="003B1EC4" w:rsidRPr="00F6340C" w:rsidRDefault="003B1EC4" w:rsidP="003B1EC4">
      <w:pPr>
        <w:pStyle w:val="Paragrdouble"/>
        <w:spacing w:line="240" w:lineRule="auto"/>
        <w:rPr>
          <w:lang w:val="en-CA"/>
        </w:rPr>
      </w:pPr>
      <w:r w:rsidRPr="00FF1DAB">
        <w:rPr>
          <w:lang w:val="en-CA"/>
        </w:rPr>
        <w:t xml:space="preserve">The demonstration of the growing involvement of the Minister of Education and the rationalization of the local management structures, which </w:t>
      </w:r>
      <w:r>
        <w:rPr>
          <w:lang w:val="en-CA"/>
        </w:rPr>
        <w:t>form</w:t>
      </w:r>
      <w:r w:rsidRPr="00FF1DAB">
        <w:rPr>
          <w:lang w:val="en-CA"/>
        </w:rPr>
        <w:t xml:space="preserve"> </w:t>
      </w:r>
      <w:r>
        <w:rPr>
          <w:lang w:val="en-CA"/>
        </w:rPr>
        <w:t>the bulk</w:t>
      </w:r>
      <w:r w:rsidRPr="00FF1DAB">
        <w:rPr>
          <w:lang w:val="en-CA"/>
        </w:rPr>
        <w:t xml:space="preserve"> of the evidence adduced by the AGQ, do not justify the legislator preventing a great majority of rights holders from </w:t>
      </w:r>
      <w:r w:rsidR="00A01AD6">
        <w:rPr>
          <w:lang w:val="en-CA"/>
        </w:rPr>
        <w:t xml:space="preserve">running for </w:t>
      </w:r>
      <w:r w:rsidRPr="00FF1DAB">
        <w:rPr>
          <w:lang w:val="en-CA"/>
        </w:rPr>
        <w:t xml:space="preserve">certain positions in school elections, or discouraging them from doing so by </w:t>
      </w:r>
      <w:r>
        <w:rPr>
          <w:lang w:val="en-CA"/>
        </w:rPr>
        <w:t>prohibiting them from occupying</w:t>
      </w:r>
      <w:r w:rsidRPr="00FF1DAB">
        <w:rPr>
          <w:lang w:val="en-CA"/>
        </w:rPr>
        <w:t xml:space="preserve"> the positions of </w:t>
      </w:r>
      <w:r w:rsidR="0032401E">
        <w:rPr>
          <w:lang w:val="en-CA"/>
        </w:rPr>
        <w:t>c</w:t>
      </w:r>
      <w:r w:rsidRPr="00FF1DAB">
        <w:rPr>
          <w:lang w:val="en-CA"/>
        </w:rPr>
        <w:t xml:space="preserve">hair or </w:t>
      </w:r>
      <w:r w:rsidR="0032401E">
        <w:rPr>
          <w:lang w:val="en-CA"/>
        </w:rPr>
        <w:t>v</w:t>
      </w:r>
      <w:r w:rsidRPr="00FF1DAB">
        <w:rPr>
          <w:lang w:val="en-CA"/>
        </w:rPr>
        <w:t>ice-</w:t>
      </w:r>
      <w:r w:rsidR="0032401E">
        <w:rPr>
          <w:lang w:val="en-CA"/>
        </w:rPr>
        <w:t>c</w:t>
      </w:r>
      <w:r w:rsidRPr="00FF1DAB">
        <w:rPr>
          <w:lang w:val="en-CA"/>
        </w:rPr>
        <w:t xml:space="preserve">hair or </w:t>
      </w:r>
      <w:r>
        <w:rPr>
          <w:lang w:val="en-CA"/>
        </w:rPr>
        <w:t>being</w:t>
      </w:r>
      <w:r w:rsidRPr="00FF1DAB">
        <w:rPr>
          <w:lang w:val="en-CA"/>
        </w:rPr>
        <w:t xml:space="preserve"> spokesperson </w:t>
      </w:r>
      <w:r>
        <w:rPr>
          <w:lang w:val="en-CA"/>
        </w:rPr>
        <w:t>for the</w:t>
      </w:r>
      <w:r w:rsidRPr="00FF1DAB">
        <w:rPr>
          <w:lang w:val="en-CA"/>
        </w:rPr>
        <w:t xml:space="preserve"> school board.</w:t>
      </w:r>
    </w:p>
    <w:p w14:paraId="58BBA08C" w14:textId="13BEC607" w:rsidR="003B1EC4" w:rsidRPr="00087335" w:rsidRDefault="003B1EC4" w:rsidP="003B1EC4">
      <w:pPr>
        <w:pStyle w:val="Paragrdouble"/>
        <w:spacing w:line="240" w:lineRule="auto"/>
        <w:rPr>
          <w:lang w:val="en-CA"/>
        </w:rPr>
      </w:pPr>
      <w:r w:rsidRPr="00FF1DAB">
        <w:rPr>
          <w:lang w:val="en-CA"/>
        </w:rPr>
        <w:t xml:space="preserve">They do not justify that these elected officials be excluded from the process </w:t>
      </w:r>
      <w:r w:rsidR="00A01AD6">
        <w:rPr>
          <w:lang w:val="en-CA"/>
        </w:rPr>
        <w:t xml:space="preserve">of designing </w:t>
      </w:r>
      <w:r w:rsidRPr="00FF1DAB">
        <w:rPr>
          <w:lang w:val="en-CA"/>
        </w:rPr>
        <w:t>the commitment-to-student-success plan.</w:t>
      </w:r>
    </w:p>
    <w:p w14:paraId="310B063C" w14:textId="08A52EF0" w:rsidR="003B1EC4" w:rsidRPr="00FF1DAB" w:rsidRDefault="003B1EC4" w:rsidP="003B1EC4">
      <w:pPr>
        <w:pStyle w:val="Paragrdouble"/>
        <w:spacing w:line="240" w:lineRule="auto"/>
        <w:rPr>
          <w:lang w:val="en-CA"/>
        </w:rPr>
      </w:pPr>
      <w:r w:rsidRPr="00FF1DAB">
        <w:rPr>
          <w:lang w:val="en-CA"/>
        </w:rPr>
        <w:t xml:space="preserve">They do not justify the Minister </w:t>
      </w:r>
      <w:r w:rsidR="00A01AD6">
        <w:rPr>
          <w:lang w:val="en-CA"/>
        </w:rPr>
        <w:t xml:space="preserve">becoming so </w:t>
      </w:r>
      <w:r w:rsidRPr="00FF1DAB">
        <w:rPr>
          <w:lang w:val="en-CA"/>
        </w:rPr>
        <w:t xml:space="preserve">involved in </w:t>
      </w:r>
      <w:r w:rsidR="00A01AD6">
        <w:rPr>
          <w:lang w:val="en-CA"/>
        </w:rPr>
        <w:t xml:space="preserve">the management of </w:t>
      </w:r>
      <w:r w:rsidRPr="00FF1DAB">
        <w:rPr>
          <w:lang w:val="en-CA"/>
        </w:rPr>
        <w:t xml:space="preserve">funds allocated to school boards that certain amounts transferred to them cannot be used. </w:t>
      </w:r>
    </w:p>
    <w:p w14:paraId="0EFAEA71" w14:textId="6D741B31" w:rsidR="003B1EC4" w:rsidRPr="00FF1DAB" w:rsidRDefault="00A01AD6" w:rsidP="003B1EC4">
      <w:pPr>
        <w:pStyle w:val="Paragrdouble"/>
        <w:spacing w:line="240" w:lineRule="auto"/>
        <w:rPr>
          <w:lang w:val="en-CA"/>
        </w:rPr>
      </w:pPr>
      <w:r>
        <w:rPr>
          <w:lang w:val="en-CA"/>
        </w:rPr>
        <w:t>T</w:t>
      </w:r>
      <w:r w:rsidR="003B1EC4" w:rsidRPr="00FF1DAB">
        <w:rPr>
          <w:lang w:val="en-CA"/>
        </w:rPr>
        <w:t>he legislat</w:t>
      </w:r>
      <w:r w:rsidR="003B1EC4">
        <w:rPr>
          <w:lang w:val="en-CA"/>
        </w:rPr>
        <w:t>or</w:t>
      </w:r>
      <w:r w:rsidR="003B1EC4" w:rsidRPr="00FF1DAB">
        <w:rPr>
          <w:lang w:val="en-CA"/>
        </w:rPr>
        <w:t xml:space="preserve"> had the low </w:t>
      </w:r>
      <w:r>
        <w:rPr>
          <w:lang w:val="en-CA"/>
        </w:rPr>
        <w:t xml:space="preserve">voter turnout for </w:t>
      </w:r>
      <w:r w:rsidR="003B1EC4" w:rsidRPr="00FF1DAB">
        <w:rPr>
          <w:lang w:val="en-CA"/>
        </w:rPr>
        <w:t>school elections in mind. It appears, however, that English-language elector</w:t>
      </w:r>
      <w:r>
        <w:rPr>
          <w:lang w:val="en-CA"/>
        </w:rPr>
        <w:t xml:space="preserve"> turnout</w:t>
      </w:r>
      <w:r w:rsidR="003B1EC4" w:rsidRPr="00FF1DAB">
        <w:rPr>
          <w:lang w:val="en-CA"/>
        </w:rPr>
        <w:t xml:space="preserve"> is two to three times higher than French-</w:t>
      </w:r>
      <w:r w:rsidR="003B1EC4" w:rsidRPr="00FF1DAB">
        <w:rPr>
          <w:lang w:val="en-CA"/>
        </w:rPr>
        <w:lastRenderedPageBreak/>
        <w:t>speaking elector</w:t>
      </w:r>
      <w:r>
        <w:rPr>
          <w:lang w:val="en-CA"/>
        </w:rPr>
        <w:t xml:space="preserve"> turnout</w:t>
      </w:r>
      <w:r w:rsidR="003B1EC4" w:rsidRPr="00FF1DAB">
        <w:rPr>
          <w:lang w:val="en-CA"/>
        </w:rPr>
        <w:t xml:space="preserve">. The Court does not see how restricting </w:t>
      </w:r>
      <w:r w:rsidR="000400C9">
        <w:rPr>
          <w:lang w:val="en-CA"/>
        </w:rPr>
        <w:t xml:space="preserve">candidates </w:t>
      </w:r>
      <w:r w:rsidR="003B1EC4" w:rsidRPr="00FF1DAB">
        <w:rPr>
          <w:lang w:val="en-CA"/>
        </w:rPr>
        <w:t xml:space="preserve">will </w:t>
      </w:r>
      <w:r w:rsidR="003B1EC4">
        <w:rPr>
          <w:lang w:val="en-CA"/>
        </w:rPr>
        <w:t>increase the</w:t>
      </w:r>
      <w:r w:rsidR="003B1EC4" w:rsidRPr="00FF1DAB">
        <w:rPr>
          <w:lang w:val="en-CA"/>
        </w:rPr>
        <w:t xml:space="preserve"> number of electors and stir up greater interest in these elections. </w:t>
      </w:r>
    </w:p>
    <w:p w14:paraId="4B009ED5" w14:textId="77777777" w:rsidR="003B1EC4" w:rsidRPr="00FF1DAB" w:rsidRDefault="003B1EC4" w:rsidP="003B1EC4">
      <w:pPr>
        <w:pStyle w:val="Paragrsimple"/>
        <w:rPr>
          <w:lang w:val="en-CA"/>
        </w:rPr>
      </w:pPr>
      <w:r w:rsidRPr="00FF1DAB">
        <w:rPr>
          <w:lang w:val="en-CA"/>
        </w:rPr>
        <w:t xml:space="preserve">In </w:t>
      </w:r>
      <w:r w:rsidRPr="00FF1DAB">
        <w:rPr>
          <w:i/>
          <w:lang w:val="en-CA"/>
        </w:rPr>
        <w:t xml:space="preserve">Conseil </w:t>
      </w:r>
      <w:proofErr w:type="spellStart"/>
      <w:r w:rsidRPr="00FF1DAB">
        <w:rPr>
          <w:i/>
          <w:lang w:val="en-CA"/>
        </w:rPr>
        <w:t>scolaire</w:t>
      </w:r>
      <w:proofErr w:type="spellEnd"/>
      <w:r w:rsidRPr="00FF1DAB">
        <w:rPr>
          <w:i/>
          <w:lang w:val="en-CA"/>
        </w:rPr>
        <w:t xml:space="preserve"> francophone</w:t>
      </w:r>
      <w:r w:rsidRPr="00FF1DAB">
        <w:rPr>
          <w:lang w:val="en-CA"/>
        </w:rPr>
        <w:t xml:space="preserve">, the majority ruled that if this first step was not met, there was no need to go any further in the justification process.  </w:t>
      </w:r>
    </w:p>
    <w:p w14:paraId="71DA2A8A" w14:textId="41883AE8" w:rsidR="003B1EC4" w:rsidRPr="00FF1DAB" w:rsidRDefault="003B1EC4" w:rsidP="003B1EC4">
      <w:pPr>
        <w:pStyle w:val="Paragrsimple"/>
        <w:rPr>
          <w:lang w:val="en-CA"/>
        </w:rPr>
      </w:pPr>
      <w:r w:rsidRPr="00FF1DAB">
        <w:rPr>
          <w:lang w:val="en-CA"/>
        </w:rPr>
        <w:t xml:space="preserve">The Court nevertheless finds that the other </w:t>
      </w:r>
      <w:r w:rsidR="000400C9">
        <w:rPr>
          <w:lang w:val="en-CA"/>
        </w:rPr>
        <w:t>requirements of the</w:t>
      </w:r>
      <w:r w:rsidRPr="00FF1DAB">
        <w:rPr>
          <w:lang w:val="en-CA"/>
        </w:rPr>
        <w:t xml:space="preserve"> </w:t>
      </w:r>
      <w:r w:rsidRPr="00FF1DAB">
        <w:rPr>
          <w:i/>
          <w:lang w:val="en-CA"/>
        </w:rPr>
        <w:t>Oakes</w:t>
      </w:r>
      <w:r w:rsidRPr="00FF1DAB">
        <w:rPr>
          <w:lang w:val="en-CA"/>
        </w:rPr>
        <w:t xml:space="preserve"> </w:t>
      </w:r>
      <w:r w:rsidR="000400C9">
        <w:rPr>
          <w:lang w:val="en-CA"/>
        </w:rPr>
        <w:t xml:space="preserve">test </w:t>
      </w:r>
      <w:r w:rsidRPr="00FF1DAB">
        <w:rPr>
          <w:lang w:val="en-CA"/>
        </w:rPr>
        <w:t>have not been met.</w:t>
      </w:r>
    </w:p>
    <w:p w14:paraId="599EF62E" w14:textId="49E81B6D" w:rsidR="003B1EC4" w:rsidRPr="00FF1DAB" w:rsidRDefault="003B1EC4" w:rsidP="003B1EC4">
      <w:pPr>
        <w:pStyle w:val="Paragrsimple"/>
        <w:rPr>
          <w:lang w:val="en-CA"/>
        </w:rPr>
      </w:pPr>
      <w:r w:rsidRPr="00FF1DAB">
        <w:rPr>
          <w:lang w:val="en-CA"/>
        </w:rPr>
        <w:t>The AGQ argues that</w:t>
      </w:r>
      <w:r w:rsidR="000400C9">
        <w:rPr>
          <w:lang w:val="en-CA"/>
        </w:rPr>
        <w:t>,</w:t>
      </w:r>
      <w:r w:rsidRPr="00FF1DAB">
        <w:rPr>
          <w:lang w:val="en-CA"/>
        </w:rPr>
        <w:t xml:space="preserve"> to prove the existence of a rational connection, it </w:t>
      </w:r>
      <w:r w:rsidR="000400C9">
        <w:rPr>
          <w:lang w:val="en-CA"/>
        </w:rPr>
        <w:t>is sufficient</w:t>
      </w:r>
      <w:r w:rsidR="000400C9" w:rsidRPr="00FF1DAB">
        <w:rPr>
          <w:lang w:val="en-CA"/>
        </w:rPr>
        <w:t xml:space="preserve"> </w:t>
      </w:r>
      <w:r w:rsidRPr="00FF1DAB">
        <w:rPr>
          <w:lang w:val="en-CA"/>
        </w:rPr>
        <w:t xml:space="preserve">to </w:t>
      </w:r>
      <w:r w:rsidR="005951CE">
        <w:rPr>
          <w:lang w:val="en-CA"/>
        </w:rPr>
        <w:t>show</w:t>
      </w:r>
      <w:r w:rsidRPr="00FF1DAB">
        <w:rPr>
          <w:lang w:val="en-CA"/>
        </w:rPr>
        <w:t xml:space="preserve"> that it is reasonable to suppose that the restriction</w:t>
      </w:r>
      <w:r w:rsidR="005951CE">
        <w:rPr>
          <w:lang w:val="en-CA"/>
        </w:rPr>
        <w:t xml:space="preserve"> may</w:t>
      </w:r>
      <w:r w:rsidR="000400C9" w:rsidRPr="00FF1DAB">
        <w:rPr>
          <w:lang w:val="en-CA"/>
        </w:rPr>
        <w:t xml:space="preserve"> </w:t>
      </w:r>
      <w:r w:rsidRPr="00FF1DAB">
        <w:rPr>
          <w:lang w:val="en-CA"/>
        </w:rPr>
        <w:t>contribute to achieving the objective, not that it will in fact contribute to it</w:t>
      </w:r>
      <w:r w:rsidR="005951CE">
        <w:rPr>
          <w:lang w:val="en-CA"/>
        </w:rPr>
        <w:t>,</w:t>
      </w:r>
      <w:r w:rsidRPr="00FF1DAB">
        <w:rPr>
          <w:lang w:val="en-CA"/>
        </w:rPr>
        <w:t xml:space="preserve"> and that this </w:t>
      </w:r>
      <w:r w:rsidR="000400C9">
        <w:rPr>
          <w:lang w:val="en-CA"/>
        </w:rPr>
        <w:t xml:space="preserve">test </w:t>
      </w:r>
      <w:r w:rsidRPr="00FF1DAB">
        <w:rPr>
          <w:lang w:val="en-CA"/>
        </w:rPr>
        <w:t xml:space="preserve">is not particularly strict. </w:t>
      </w:r>
      <w:r w:rsidRPr="00E202F1">
        <w:rPr>
          <w:lang w:val="en-CA"/>
        </w:rPr>
        <w:t>In this respect, the Supreme Court ruled, in the specific case of section 23:</w:t>
      </w:r>
    </w:p>
    <w:p w14:paraId="42571AE7" w14:textId="77777777" w:rsidR="003B1EC4" w:rsidRPr="00FF1DAB" w:rsidRDefault="003B1EC4" w:rsidP="003B1EC4">
      <w:pPr>
        <w:pStyle w:val="Citation"/>
        <w:rPr>
          <w:lang w:val="en-CA"/>
        </w:rPr>
      </w:pPr>
      <w:r w:rsidRPr="00FF1DAB">
        <w:rPr>
          <w:lang w:val="en-CA"/>
        </w:rPr>
        <w:t>[146]</w:t>
      </w:r>
      <w:r w:rsidRPr="00FF1DAB">
        <w:rPr>
          <w:lang w:val="en-CA"/>
        </w:rPr>
        <w:tab/>
        <w:t xml:space="preserve">Second, once the importance of the objective is established, the party seeking to justify the infringement must show that the means chosen to attain the objective are reasonable. This second stage involves the application of a proportionality test that has three branches: </w:t>
      </w:r>
      <w:r>
        <w:rPr>
          <w:lang w:val="en-CA"/>
        </w:rPr>
        <w:t>(1) the measure must be rationally connected to the objective, (2) the means chosen should impair the right or freedom in question as little as possible, and (3) there must be a proportionality between the effects of the measure that is responsible for limiting the right or freedom and the objective that has been identified as important.</w:t>
      </w:r>
      <w:r w:rsidRPr="00FF1DAB">
        <w:rPr>
          <w:lang w:val="en-CA"/>
        </w:rPr>
        <w:t xml:space="preserve"> </w:t>
      </w:r>
    </w:p>
    <w:p w14:paraId="22AFE1BE" w14:textId="77777777" w:rsidR="003B1EC4" w:rsidRPr="00FF1DAB" w:rsidRDefault="003B1EC4" w:rsidP="003B1EC4">
      <w:pPr>
        <w:pStyle w:val="Citation"/>
        <w:rPr>
          <w:lang w:val="en-CA"/>
        </w:rPr>
      </w:pPr>
      <w:r w:rsidRPr="00FF1DAB">
        <w:rPr>
          <w:lang w:val="en-CA"/>
        </w:rPr>
        <w:t>[147]</w:t>
      </w:r>
      <w:r w:rsidRPr="00FF1DAB">
        <w:rPr>
          <w:lang w:val="en-CA"/>
        </w:rPr>
        <w:tab/>
        <w:t xml:space="preserve">In my opinion, three factors weigh in favour of applying a </w:t>
      </w:r>
      <w:r w:rsidRPr="00FF1DAB">
        <w:rPr>
          <w:u w:val="single"/>
          <w:lang w:val="en-CA"/>
        </w:rPr>
        <w:t>particularly stringent standard for justifying an infringement of the right to minority language instruction.</w:t>
      </w:r>
      <w:r w:rsidRPr="00FF1DAB">
        <w:rPr>
          <w:lang w:val="en-CA"/>
        </w:rPr>
        <w:t xml:space="preserve"> </w:t>
      </w:r>
      <w:r w:rsidRPr="00E202F1">
        <w:rPr>
          <w:lang w:val="en-CA"/>
        </w:rPr>
        <w:t xml:space="preserve">First, the framers of the </w:t>
      </w:r>
      <w:r w:rsidRPr="00087335">
        <w:rPr>
          <w:i/>
          <w:iCs/>
          <w:lang w:val="en-CA"/>
        </w:rPr>
        <w:t>Charter</w:t>
      </w:r>
      <w:r w:rsidRPr="00E202F1">
        <w:rPr>
          <w:lang w:val="en-CA"/>
        </w:rPr>
        <w:t xml:space="preserve"> imposed positive obligations on the provincial and territorial governments in s. 23. </w:t>
      </w:r>
      <w:r w:rsidRPr="00323372">
        <w:rPr>
          <w:lang w:val="en-CA"/>
        </w:rPr>
        <w:t xml:space="preserve">Under s. </w:t>
      </w:r>
      <w:r w:rsidRPr="00FF1DAB">
        <w:rPr>
          <w:rStyle w:val="reflex2-link"/>
          <w:color w:val="000000"/>
          <w:lang w:val="en-CA"/>
        </w:rPr>
        <w:t>23, governments must provide public funding for minority language instruction where the number of children so warrants.</w:t>
      </w:r>
      <w:r w:rsidRPr="00FF1DAB">
        <w:rPr>
          <w:lang w:val="en-CA"/>
        </w:rPr>
        <w:t xml:space="preserve"> They must fulfill these obligations in a timely fashion in order to avoid the likelihood of assimilation and of a loss of rights (Doucet</w:t>
      </w:r>
      <w:r w:rsidRPr="00FF1DAB">
        <w:rPr>
          <w:rFonts w:ascii="Cambria Math" w:hAnsi="Cambria Math" w:cs="Cambria Math"/>
          <w:lang w:val="en-CA"/>
        </w:rPr>
        <w:t>‑</w:t>
      </w:r>
      <w:r w:rsidRPr="00FF1DAB">
        <w:rPr>
          <w:lang w:val="en-CA"/>
        </w:rPr>
        <w:t xml:space="preserve">Boudreau, at para. </w:t>
      </w:r>
      <w:r w:rsidRPr="00323372">
        <w:rPr>
          <w:rStyle w:val="Hyperlien"/>
          <w:color w:val="auto"/>
          <w:u w:val="none"/>
          <w:lang w:val="en-CA"/>
        </w:rPr>
        <w:t>29; Rose</w:t>
      </w:r>
      <w:r w:rsidRPr="00323372">
        <w:rPr>
          <w:rStyle w:val="Hyperlien"/>
          <w:rFonts w:ascii="Cambria Math" w:hAnsi="Cambria Math" w:cs="Cambria Math"/>
          <w:color w:val="auto"/>
          <w:u w:val="none"/>
          <w:lang w:val="en-CA"/>
        </w:rPr>
        <w:t>‑</w:t>
      </w:r>
      <w:r w:rsidRPr="00323372">
        <w:rPr>
          <w:rStyle w:val="Hyperlien"/>
          <w:color w:val="auto"/>
          <w:u w:val="none"/>
          <w:lang w:val="en-CA"/>
        </w:rPr>
        <w:t>des</w:t>
      </w:r>
      <w:r w:rsidRPr="00323372">
        <w:rPr>
          <w:rStyle w:val="Hyperlien"/>
          <w:rFonts w:ascii="Cambria Math" w:hAnsi="Cambria Math" w:cs="Cambria Math"/>
          <w:color w:val="auto"/>
          <w:u w:val="none"/>
          <w:lang w:val="en-CA"/>
        </w:rPr>
        <w:t>‑</w:t>
      </w:r>
      <w:r w:rsidRPr="00323372">
        <w:rPr>
          <w:rStyle w:val="Hyperlien"/>
          <w:color w:val="auto"/>
          <w:u w:val="none"/>
          <w:lang w:val="en-CA"/>
        </w:rPr>
        <w:t xml:space="preserve">vents, at para. </w:t>
      </w:r>
      <w:r w:rsidRPr="00FF1DAB">
        <w:rPr>
          <w:lang w:val="en-CA"/>
        </w:rPr>
        <w:t>28)</w:t>
      </w:r>
      <w:r w:rsidRPr="00FF1DAB">
        <w:rPr>
          <w:i/>
          <w:lang w:val="en-CA"/>
        </w:rPr>
        <w:t>.</w:t>
      </w:r>
      <w:r w:rsidRPr="00FF1DAB">
        <w:rPr>
          <w:i/>
          <w:iCs/>
          <w:lang w:val="en-CA"/>
        </w:rPr>
        <w:t xml:space="preserve"> </w:t>
      </w:r>
      <w:r w:rsidRPr="00FF1DAB">
        <w:rPr>
          <w:u w:val="single"/>
          <w:lang w:val="en-CA"/>
        </w:rPr>
        <w:t>The adoption of a flexible approach to the justification of an infringement of s. 23 could jeopardize the section’s remedial purpose, the importance of which I explained above</w:t>
      </w:r>
      <w:r w:rsidRPr="00FF1DAB">
        <w:rPr>
          <w:lang w:val="en-CA"/>
        </w:rPr>
        <w:t>.</w:t>
      </w:r>
    </w:p>
    <w:p w14:paraId="5073F6FC" w14:textId="77777777" w:rsidR="003B1EC4" w:rsidRPr="00E202F1" w:rsidRDefault="003B1EC4" w:rsidP="003B1EC4">
      <w:pPr>
        <w:pStyle w:val="Citationenretrait"/>
        <w:jc w:val="right"/>
        <w:rPr>
          <w:color w:val="000000"/>
          <w:sz w:val="24"/>
          <w:szCs w:val="24"/>
        </w:rPr>
      </w:pPr>
      <w:r w:rsidRPr="00E202F1">
        <w:rPr>
          <w:color w:val="000000"/>
          <w:sz w:val="24"/>
          <w:szCs w:val="24"/>
        </w:rPr>
        <w:t>[</w:t>
      </w:r>
      <w:proofErr w:type="spellStart"/>
      <w:r w:rsidRPr="00E202F1">
        <w:rPr>
          <w:color w:val="000000"/>
          <w:sz w:val="24"/>
          <w:szCs w:val="24"/>
        </w:rPr>
        <w:t>Emphasis</w:t>
      </w:r>
      <w:proofErr w:type="spellEnd"/>
      <w:r w:rsidRPr="00E202F1">
        <w:rPr>
          <w:color w:val="000000"/>
          <w:sz w:val="24"/>
          <w:szCs w:val="24"/>
        </w:rPr>
        <w:t xml:space="preserve"> </w:t>
      </w:r>
      <w:proofErr w:type="spellStart"/>
      <w:r w:rsidRPr="00E202F1">
        <w:rPr>
          <w:color w:val="000000"/>
          <w:sz w:val="24"/>
          <w:szCs w:val="24"/>
        </w:rPr>
        <w:t>added</w:t>
      </w:r>
      <w:proofErr w:type="spellEnd"/>
      <w:r w:rsidRPr="00E202F1">
        <w:rPr>
          <w:color w:val="000000"/>
          <w:sz w:val="24"/>
          <w:szCs w:val="24"/>
        </w:rPr>
        <w:t>.]</w:t>
      </w:r>
    </w:p>
    <w:p w14:paraId="0BD70DE6" w14:textId="639AAC93" w:rsidR="003B1EC4" w:rsidRPr="00FF1DAB" w:rsidRDefault="003B1EC4" w:rsidP="003B1EC4">
      <w:pPr>
        <w:pStyle w:val="Paragrsimple"/>
        <w:rPr>
          <w:lang w:val="en-CA"/>
        </w:rPr>
      </w:pPr>
      <w:r w:rsidRPr="00FF1DAB">
        <w:rPr>
          <w:lang w:val="en-CA"/>
        </w:rPr>
        <w:t>The AGQ</w:t>
      </w:r>
      <w:r>
        <w:rPr>
          <w:rStyle w:val="Appelnotedebasdep"/>
        </w:rPr>
        <w:footnoteReference w:id="241"/>
      </w:r>
      <w:r w:rsidRPr="00FF1DAB">
        <w:rPr>
          <w:lang w:val="en-CA"/>
        </w:rPr>
        <w:t xml:space="preserve"> argues that the connection between the objective and the provisions </w:t>
      </w:r>
      <w:r w:rsidR="00461FE0">
        <w:rPr>
          <w:lang w:val="en-CA"/>
        </w:rPr>
        <w:t>that seek</w:t>
      </w:r>
      <w:r w:rsidR="00461FE0" w:rsidRPr="00FF1DAB">
        <w:rPr>
          <w:lang w:val="en-CA"/>
        </w:rPr>
        <w:t xml:space="preserve"> </w:t>
      </w:r>
      <w:r w:rsidRPr="00FF1DAB">
        <w:rPr>
          <w:lang w:val="en-CA"/>
        </w:rPr>
        <w:t>to give a greater role to parents in managing the SSCs is obvious</w:t>
      </w:r>
      <w:r w:rsidR="00461FE0">
        <w:rPr>
          <w:lang w:val="en-CA"/>
        </w:rPr>
        <w:t>,</w:t>
      </w:r>
      <w:r w:rsidRPr="00FF1DAB">
        <w:rPr>
          <w:lang w:val="en-CA"/>
        </w:rPr>
        <w:t xml:space="preserve"> and that it is </w:t>
      </w:r>
      <w:r w:rsidR="00461FE0">
        <w:rPr>
          <w:lang w:val="en-CA"/>
        </w:rPr>
        <w:t xml:space="preserve">equally </w:t>
      </w:r>
      <w:r w:rsidRPr="00FF1DAB">
        <w:rPr>
          <w:lang w:val="en-CA"/>
        </w:rPr>
        <w:t xml:space="preserve">obvious with provisions </w:t>
      </w:r>
      <w:r w:rsidR="00461FE0">
        <w:rPr>
          <w:lang w:val="en-CA"/>
        </w:rPr>
        <w:t xml:space="preserve">that </w:t>
      </w:r>
      <w:r w:rsidRPr="00FF1DAB">
        <w:rPr>
          <w:lang w:val="en-CA"/>
        </w:rPr>
        <w:t xml:space="preserve">confer a role on staff who </w:t>
      </w:r>
      <w:r w:rsidR="00461FE0">
        <w:rPr>
          <w:lang w:val="en-CA"/>
        </w:rPr>
        <w:t xml:space="preserve">sit </w:t>
      </w:r>
      <w:r w:rsidRPr="00FF1DAB">
        <w:rPr>
          <w:lang w:val="en-CA"/>
        </w:rPr>
        <w:t>on the board of directors of the school service centre or the commitment-to-success committee, because it is difficult to imagine individuals who could be closer to students.</w:t>
      </w:r>
      <w:r w:rsidRPr="00FF1DAB">
        <w:rPr>
          <w:spacing w:val="-5"/>
          <w:lang w:val="en-CA"/>
        </w:rPr>
        <w:t xml:space="preserve"> </w:t>
      </w:r>
    </w:p>
    <w:p w14:paraId="543CD6B1" w14:textId="132DC30B" w:rsidR="003B1EC4" w:rsidRPr="00FF1DAB" w:rsidRDefault="009F66A3" w:rsidP="003B1EC4">
      <w:pPr>
        <w:pStyle w:val="Paragrsimple"/>
        <w:rPr>
          <w:lang w:val="en-CA"/>
        </w:rPr>
      </w:pPr>
      <w:r>
        <w:rPr>
          <w:lang w:val="en-CA"/>
        </w:rPr>
        <w:lastRenderedPageBreak/>
        <w:t xml:space="preserve">This is tantamount to saying </w:t>
      </w:r>
      <w:r w:rsidR="003B1EC4" w:rsidRPr="00FF1DAB">
        <w:rPr>
          <w:lang w:val="en-CA"/>
        </w:rPr>
        <w:t xml:space="preserve">that the Quebec government is justified in not </w:t>
      </w:r>
      <w:r>
        <w:rPr>
          <w:lang w:val="en-CA"/>
        </w:rPr>
        <w:t xml:space="preserve">following </w:t>
      </w:r>
      <w:r w:rsidR="003B1EC4" w:rsidRPr="00FF1DAB">
        <w:rPr>
          <w:lang w:val="en-CA"/>
        </w:rPr>
        <w:t xml:space="preserve">the interpretation of section 23 </w:t>
      </w:r>
      <w:r>
        <w:rPr>
          <w:lang w:val="en-CA"/>
        </w:rPr>
        <w:t>dictated</w:t>
      </w:r>
      <w:r w:rsidRPr="00FF1DAB">
        <w:rPr>
          <w:lang w:val="en-CA"/>
        </w:rPr>
        <w:t xml:space="preserve"> </w:t>
      </w:r>
      <w:r w:rsidR="003B1EC4" w:rsidRPr="00FF1DAB">
        <w:rPr>
          <w:lang w:val="en-CA"/>
        </w:rPr>
        <w:t xml:space="preserve">by the Supreme Court because it does not agree with it. </w:t>
      </w:r>
    </w:p>
    <w:p w14:paraId="3D052F99" w14:textId="37DE6E64" w:rsidR="003B1EC4" w:rsidRPr="00FF1DAB" w:rsidRDefault="003B1EC4" w:rsidP="003B1EC4">
      <w:pPr>
        <w:pStyle w:val="Paragrsimple"/>
        <w:rPr>
          <w:lang w:val="en-CA"/>
        </w:rPr>
      </w:pPr>
      <w:r w:rsidRPr="00FF1DAB">
        <w:rPr>
          <w:lang w:val="en-CA"/>
        </w:rPr>
        <w:t xml:space="preserve">The </w:t>
      </w:r>
      <w:r w:rsidR="009F66A3">
        <w:rPr>
          <w:lang w:val="en-CA"/>
        </w:rPr>
        <w:t xml:space="preserve">approach suggested by the </w:t>
      </w:r>
      <w:r w:rsidRPr="00FF1DAB">
        <w:rPr>
          <w:lang w:val="en-CA"/>
        </w:rPr>
        <w:t xml:space="preserve">AGQ is too flexible and </w:t>
      </w:r>
      <w:r w:rsidR="00F52165">
        <w:rPr>
          <w:lang w:val="en-CA"/>
        </w:rPr>
        <w:t xml:space="preserve">too </w:t>
      </w:r>
      <w:r w:rsidRPr="00FF1DAB">
        <w:rPr>
          <w:lang w:val="en-CA"/>
        </w:rPr>
        <w:t>broad</w:t>
      </w:r>
      <w:r w:rsidR="00F52165">
        <w:rPr>
          <w:lang w:val="en-CA"/>
        </w:rPr>
        <w:t xml:space="preserve">, and it </w:t>
      </w:r>
      <w:r w:rsidRPr="00FF1DAB">
        <w:rPr>
          <w:lang w:val="en-CA"/>
        </w:rPr>
        <w:t>does not meet the justification</w:t>
      </w:r>
      <w:r w:rsidR="009F66A3">
        <w:rPr>
          <w:lang w:val="en-CA"/>
        </w:rPr>
        <w:t xml:space="preserve"> test</w:t>
      </w:r>
      <w:r w:rsidRPr="00FF1DAB">
        <w:rPr>
          <w:lang w:val="en-CA"/>
        </w:rPr>
        <w:t xml:space="preserve">. The infringements </w:t>
      </w:r>
      <w:r w:rsidR="009F66A3">
        <w:rPr>
          <w:lang w:val="en-CA"/>
        </w:rPr>
        <w:t xml:space="preserve">have </w:t>
      </w:r>
      <w:r w:rsidRPr="00FF1DAB">
        <w:rPr>
          <w:lang w:val="en-CA"/>
        </w:rPr>
        <w:t xml:space="preserve">not </w:t>
      </w:r>
      <w:r w:rsidR="009F66A3">
        <w:rPr>
          <w:lang w:val="en-CA"/>
        </w:rPr>
        <w:t xml:space="preserve">been </w:t>
      </w:r>
      <w:r w:rsidRPr="00FF1DAB">
        <w:rPr>
          <w:lang w:val="en-CA"/>
        </w:rPr>
        <w:t xml:space="preserve">individually justified </w:t>
      </w:r>
      <w:r w:rsidR="00F52165">
        <w:rPr>
          <w:lang w:val="en-CA"/>
        </w:rPr>
        <w:t>by</w:t>
      </w:r>
      <w:r w:rsidR="009F66A3">
        <w:rPr>
          <w:lang w:val="en-CA"/>
        </w:rPr>
        <w:t xml:space="preserve"> </w:t>
      </w:r>
      <w:r w:rsidRPr="00FF1DAB">
        <w:rPr>
          <w:lang w:val="en-CA"/>
        </w:rPr>
        <w:t>an in</w:t>
      </w:r>
      <w:r w:rsidR="00F52165">
        <w:rPr>
          <w:lang w:val="en-CA"/>
        </w:rPr>
        <w:noBreakHyphen/>
      </w:r>
      <w:r w:rsidRPr="00FF1DAB">
        <w:rPr>
          <w:lang w:val="en-CA"/>
        </w:rPr>
        <w:t xml:space="preserve">depth analysis. </w:t>
      </w:r>
    </w:p>
    <w:p w14:paraId="0AFFDE9F" w14:textId="74B7281E" w:rsidR="003B1EC4" w:rsidRPr="005352DE" w:rsidRDefault="009F66A3" w:rsidP="003B1EC4">
      <w:pPr>
        <w:pStyle w:val="Paragrsimple"/>
        <w:rPr>
          <w:lang w:val="en-CA"/>
        </w:rPr>
      </w:pPr>
      <w:r>
        <w:rPr>
          <w:lang w:val="en-CA"/>
        </w:rPr>
        <w:t>W</w:t>
      </w:r>
      <w:r w:rsidR="003B1EC4" w:rsidRPr="00E202F1">
        <w:rPr>
          <w:lang w:val="en-CA"/>
        </w:rPr>
        <w:t xml:space="preserve">ith respect to minimal impairment, </w:t>
      </w:r>
      <w:r>
        <w:rPr>
          <w:lang w:val="en-CA"/>
        </w:rPr>
        <w:t xml:space="preserve">the AGQ submits </w:t>
      </w:r>
      <w:r w:rsidR="003B1EC4" w:rsidRPr="00E202F1">
        <w:rPr>
          <w:lang w:val="en-CA"/>
        </w:rPr>
        <w:t>that it is not necessary to prove that the legislator has chosen the least restrictive means of achieving its end.</w:t>
      </w:r>
      <w:r w:rsidR="003B1EC4" w:rsidRPr="00FF1DAB">
        <w:rPr>
          <w:lang w:val="en-CA"/>
        </w:rPr>
        <w:t xml:space="preserve"> It </w:t>
      </w:r>
      <w:r>
        <w:rPr>
          <w:lang w:val="en-CA"/>
        </w:rPr>
        <w:t xml:space="preserve">argues that it is sufficient </w:t>
      </w:r>
      <w:r w:rsidR="003B1EC4" w:rsidRPr="00FF1DAB">
        <w:rPr>
          <w:lang w:val="en-CA"/>
        </w:rPr>
        <w:t xml:space="preserve">for the chosen means to be among the </w:t>
      </w:r>
      <w:r w:rsidR="00D124E0">
        <w:rPr>
          <w:lang w:val="en-CA"/>
        </w:rPr>
        <w:t xml:space="preserve">range of </w:t>
      </w:r>
      <w:r w:rsidR="003B1EC4" w:rsidRPr="00FF1DAB">
        <w:rPr>
          <w:lang w:val="en-CA"/>
        </w:rPr>
        <w:t>reasonable solutions to effectively achieve the objectives.</w:t>
      </w:r>
      <w:r w:rsidR="003B1EC4">
        <w:rPr>
          <w:rStyle w:val="Appelnotedebasdep"/>
        </w:rPr>
        <w:footnoteReference w:id="242"/>
      </w:r>
      <w:r w:rsidR="003B1EC4" w:rsidRPr="00FF1DAB">
        <w:rPr>
          <w:lang w:val="en-CA"/>
        </w:rPr>
        <w:t xml:space="preserve"> </w:t>
      </w:r>
      <w:r w:rsidR="003B1EC4" w:rsidRPr="005352DE">
        <w:rPr>
          <w:lang w:val="en-CA"/>
        </w:rPr>
        <w:t xml:space="preserve">This range has not been </w:t>
      </w:r>
      <w:r w:rsidR="003B1EC4" w:rsidRPr="00A62D2E">
        <w:rPr>
          <w:lang w:val="en-CA"/>
        </w:rPr>
        <w:t>established</w:t>
      </w:r>
      <w:r w:rsidR="003B1EC4" w:rsidRPr="005352DE">
        <w:rPr>
          <w:lang w:val="en-CA"/>
        </w:rPr>
        <w:t xml:space="preserve">. </w:t>
      </w:r>
    </w:p>
    <w:p w14:paraId="150C2BAB" w14:textId="4EC60AAD" w:rsidR="003B1EC4" w:rsidRPr="00FF1DAB" w:rsidRDefault="003B1EC4" w:rsidP="003B1EC4">
      <w:pPr>
        <w:pStyle w:val="Paragrsimple"/>
        <w:rPr>
          <w:lang w:val="en-CA"/>
        </w:rPr>
      </w:pPr>
      <w:r w:rsidRPr="00FF1DAB">
        <w:rPr>
          <w:lang w:val="en-CA"/>
        </w:rPr>
        <w:t xml:space="preserve">The AGQ argues that the impairment is minimal insofar as the commissioners or trustees are not appointed by the French-speaking majority. The fact that certain aspects of control and management were </w:t>
      </w:r>
      <w:r w:rsidR="00743D54">
        <w:rPr>
          <w:lang w:val="en-CA"/>
        </w:rPr>
        <w:t>preserved</w:t>
      </w:r>
      <w:r w:rsidRPr="00FF1DAB">
        <w:rPr>
          <w:lang w:val="en-CA"/>
        </w:rPr>
        <w:t xml:space="preserve">, while in several respects the “exclusive” nature </w:t>
      </w:r>
      <w:r w:rsidR="00743D54">
        <w:rPr>
          <w:lang w:val="en-CA"/>
        </w:rPr>
        <w:t xml:space="preserve">was </w:t>
      </w:r>
      <w:r>
        <w:rPr>
          <w:lang w:val="en-CA"/>
        </w:rPr>
        <w:t>removed</w:t>
      </w:r>
      <w:r w:rsidRPr="00FF1DAB">
        <w:rPr>
          <w:lang w:val="en-CA"/>
        </w:rPr>
        <w:t xml:space="preserve">, does not constitute a minimal impairment justifying the measure. </w:t>
      </w:r>
    </w:p>
    <w:p w14:paraId="0EF3F18D" w14:textId="045E083A" w:rsidR="003B1EC4" w:rsidRPr="00FF1DAB" w:rsidRDefault="003B1EC4" w:rsidP="003B1EC4">
      <w:pPr>
        <w:pStyle w:val="Paragrdouble"/>
        <w:spacing w:line="240" w:lineRule="auto"/>
        <w:rPr>
          <w:lang w:val="en-CA"/>
        </w:rPr>
      </w:pPr>
      <w:r w:rsidRPr="00E202F1">
        <w:rPr>
          <w:lang w:val="en-CA"/>
        </w:rPr>
        <w:t>The objective of bringing school management closer to the parents is a legitimate one.</w:t>
      </w:r>
      <w:r w:rsidRPr="00FF1DAB">
        <w:rPr>
          <w:lang w:val="en-CA"/>
        </w:rPr>
        <w:t xml:space="preserve"> </w:t>
      </w:r>
      <w:r>
        <w:rPr>
          <w:lang w:val="en-CA"/>
        </w:rPr>
        <w:t xml:space="preserve">The Court finds, however, that eliminating over 90% of potential candidates </w:t>
      </w:r>
      <w:r w:rsidR="00743D54">
        <w:rPr>
          <w:lang w:val="en-CA"/>
        </w:rPr>
        <w:t xml:space="preserve">for </w:t>
      </w:r>
      <w:r>
        <w:rPr>
          <w:lang w:val="en-CA"/>
        </w:rPr>
        <w:t xml:space="preserve">the position of commissioner or trustee </w:t>
      </w:r>
      <w:r w:rsidR="00743D54">
        <w:rPr>
          <w:lang w:val="en-CA"/>
        </w:rPr>
        <w:t xml:space="preserve">is not a </w:t>
      </w:r>
      <w:r>
        <w:rPr>
          <w:lang w:val="en-CA"/>
        </w:rPr>
        <w:t xml:space="preserve"> “minimal” impairment </w:t>
      </w:r>
      <w:r w:rsidR="00743D54">
        <w:rPr>
          <w:lang w:val="en-CA"/>
        </w:rPr>
        <w:t xml:space="preserve">of </w:t>
      </w:r>
      <w:r>
        <w:rPr>
          <w:lang w:val="en-CA"/>
        </w:rPr>
        <w:t xml:space="preserve">the right to </w:t>
      </w:r>
      <w:r w:rsidR="00743D54">
        <w:rPr>
          <w:lang w:val="en-CA"/>
        </w:rPr>
        <w:t xml:space="preserve">run as </w:t>
      </w:r>
      <w:r>
        <w:rPr>
          <w:lang w:val="en-CA"/>
        </w:rPr>
        <w:t>a candidate.</w:t>
      </w:r>
    </w:p>
    <w:p w14:paraId="3F866B11" w14:textId="13DBE926" w:rsidR="003B1EC4" w:rsidRPr="00FF1DAB" w:rsidRDefault="003B1EC4" w:rsidP="003B1EC4">
      <w:pPr>
        <w:pStyle w:val="Paragrdouble"/>
        <w:spacing w:line="240" w:lineRule="auto"/>
        <w:rPr>
          <w:lang w:val="en-CA"/>
        </w:rPr>
      </w:pPr>
      <w:r w:rsidRPr="00FF1DAB">
        <w:rPr>
          <w:lang w:val="en-CA"/>
        </w:rPr>
        <w:t xml:space="preserve">The proportionality of the measures to the stated objectives has not been established. It is not proportionate to discourage the vast majority of rights holders </w:t>
      </w:r>
      <w:r w:rsidR="00743D54">
        <w:rPr>
          <w:lang w:val="en-CA"/>
        </w:rPr>
        <w:t>from running in</w:t>
      </w:r>
      <w:r w:rsidRPr="00FF1DAB">
        <w:rPr>
          <w:lang w:val="en-CA"/>
        </w:rPr>
        <w:t xml:space="preserve"> for school elections for the purpose of bringing management closer to the students. </w:t>
      </w:r>
    </w:p>
    <w:p w14:paraId="22C63189" w14:textId="044A157A" w:rsidR="003B1EC4" w:rsidRPr="00FF1DAB" w:rsidRDefault="003B1EC4" w:rsidP="003B1EC4">
      <w:pPr>
        <w:pStyle w:val="Paragrsimple"/>
        <w:rPr>
          <w:lang w:val="en-CA"/>
        </w:rPr>
      </w:pPr>
      <w:r w:rsidRPr="00FF1DAB">
        <w:rPr>
          <w:lang w:val="en-CA"/>
        </w:rPr>
        <w:t xml:space="preserve">The Court concludes that </w:t>
      </w:r>
      <w:r>
        <w:rPr>
          <w:lang w:val="en-CA"/>
        </w:rPr>
        <w:t xml:space="preserve">the </w:t>
      </w:r>
      <w:r w:rsidRPr="00FF1DAB">
        <w:rPr>
          <w:lang w:val="en-CA"/>
        </w:rPr>
        <w:t xml:space="preserve">violation of the rights of the English-speaking minority and section 23 </w:t>
      </w:r>
      <w:r w:rsidR="00A91D4D">
        <w:rPr>
          <w:lang w:val="en-CA"/>
        </w:rPr>
        <w:t xml:space="preserve">rights holders </w:t>
      </w:r>
      <w:r w:rsidRPr="00FF1DAB">
        <w:rPr>
          <w:lang w:val="en-CA"/>
        </w:rPr>
        <w:t xml:space="preserve">is not justified. </w:t>
      </w:r>
    </w:p>
    <w:p w14:paraId="28671DC0" w14:textId="77777777" w:rsidR="003B1EC4" w:rsidRPr="00A0077B" w:rsidRDefault="003B1EC4" w:rsidP="003B1EC4">
      <w:pPr>
        <w:pStyle w:val="Titre1"/>
        <w:rPr>
          <w:lang w:val="en-CA"/>
        </w:rPr>
      </w:pPr>
      <w:r w:rsidRPr="00A0077B">
        <w:rPr>
          <w:lang w:val="en-CA"/>
        </w:rPr>
        <w:t>Remedies</w:t>
      </w:r>
    </w:p>
    <w:p w14:paraId="16ED2572" w14:textId="7235CC21" w:rsidR="003B1EC4" w:rsidRPr="00FF1DAB" w:rsidRDefault="003B1EC4" w:rsidP="003B1EC4">
      <w:pPr>
        <w:pStyle w:val="Paragrsimple"/>
        <w:rPr>
          <w:lang w:val="en-CA"/>
        </w:rPr>
      </w:pPr>
      <w:r w:rsidRPr="00FF1DAB">
        <w:rPr>
          <w:lang w:val="en-CA"/>
        </w:rPr>
        <w:t xml:space="preserve">It goes without saying that the provisions of the </w:t>
      </w:r>
      <w:r w:rsidRPr="005D3A0A">
        <w:rPr>
          <w:i/>
          <w:iCs/>
          <w:lang w:val="en-CA"/>
        </w:rPr>
        <w:t>Act</w:t>
      </w:r>
      <w:r w:rsidRPr="00FF1DAB">
        <w:rPr>
          <w:lang w:val="en-CA"/>
        </w:rPr>
        <w:t xml:space="preserve"> and the </w:t>
      </w:r>
      <w:r w:rsidRPr="005D3A0A">
        <w:rPr>
          <w:i/>
          <w:iCs/>
          <w:lang w:val="en-CA"/>
        </w:rPr>
        <w:t>EA</w:t>
      </w:r>
      <w:r w:rsidRPr="00FF1DAB">
        <w:rPr>
          <w:lang w:val="en-CA"/>
        </w:rPr>
        <w:t xml:space="preserve"> </w:t>
      </w:r>
      <w:r w:rsidR="006D0384">
        <w:rPr>
          <w:lang w:val="en-CA"/>
        </w:rPr>
        <w:t xml:space="preserve">that </w:t>
      </w:r>
      <w:r w:rsidRPr="00FF1DAB">
        <w:rPr>
          <w:lang w:val="en-CA"/>
        </w:rPr>
        <w:t xml:space="preserve">impair the rights protected under section 23 of the </w:t>
      </w:r>
      <w:r w:rsidRPr="005D3A0A">
        <w:rPr>
          <w:i/>
          <w:iCs/>
          <w:lang w:val="en-CA"/>
        </w:rPr>
        <w:t>Charter</w:t>
      </w:r>
      <w:r w:rsidRPr="00FF1DAB">
        <w:rPr>
          <w:lang w:val="en-CA"/>
        </w:rPr>
        <w:t xml:space="preserve"> will be declared inoperative only as they concern the English-language </w:t>
      </w:r>
      <w:r w:rsidR="006D0384">
        <w:rPr>
          <w:lang w:val="en-CA"/>
        </w:rPr>
        <w:t xml:space="preserve">school boards or </w:t>
      </w:r>
      <w:r w:rsidRPr="00FF1DAB">
        <w:rPr>
          <w:lang w:val="en-CA"/>
        </w:rPr>
        <w:t xml:space="preserve">school service centres. Absolutely nothing justifies obstructing their application to the French-language school service centres. </w:t>
      </w:r>
      <w:r w:rsidR="006D0384">
        <w:rPr>
          <w:lang w:val="en-CA"/>
        </w:rPr>
        <w:t>Indeed</w:t>
      </w:r>
      <w:r w:rsidRPr="00E202F1">
        <w:rPr>
          <w:lang w:val="en-CA"/>
        </w:rPr>
        <w:t>, the parties agree on this</w:t>
      </w:r>
      <w:r w:rsidR="006D0384">
        <w:rPr>
          <w:lang w:val="en-CA"/>
        </w:rPr>
        <w:t xml:space="preserve"> point</w:t>
      </w:r>
      <w:r w:rsidRPr="00E202F1">
        <w:rPr>
          <w:lang w:val="en-CA"/>
        </w:rPr>
        <w:t>.</w:t>
      </w:r>
      <w:r w:rsidRPr="00FF1DAB">
        <w:rPr>
          <w:lang w:val="en-CA"/>
        </w:rPr>
        <w:t xml:space="preserve"> </w:t>
      </w:r>
    </w:p>
    <w:p w14:paraId="22C23FF6" w14:textId="1129C5C9" w:rsidR="003B1EC4" w:rsidRPr="00FF1DAB" w:rsidRDefault="003B1EC4" w:rsidP="003B1EC4">
      <w:pPr>
        <w:pStyle w:val="Paragrsimple"/>
        <w:rPr>
          <w:lang w:val="en-CA"/>
        </w:rPr>
      </w:pPr>
      <w:r w:rsidRPr="00FF1DAB">
        <w:rPr>
          <w:lang w:val="en-CA"/>
        </w:rPr>
        <w:t xml:space="preserve">In </w:t>
      </w:r>
      <w:r w:rsidRPr="00FF1DAB">
        <w:rPr>
          <w:i/>
          <w:lang w:val="en-CA"/>
        </w:rPr>
        <w:t>Mahe</w:t>
      </w:r>
      <w:r w:rsidRPr="00FF1DAB">
        <w:rPr>
          <w:lang w:val="en-CA"/>
        </w:rPr>
        <w:t xml:space="preserve">, after having </w:t>
      </w:r>
      <w:r w:rsidR="006B068C">
        <w:rPr>
          <w:lang w:val="en-CA"/>
        </w:rPr>
        <w:t>found</w:t>
      </w:r>
      <w:r w:rsidR="006B068C" w:rsidRPr="00FF1DAB">
        <w:rPr>
          <w:lang w:val="en-CA"/>
        </w:rPr>
        <w:t xml:space="preserve"> </w:t>
      </w:r>
      <w:r w:rsidRPr="00FF1DAB">
        <w:rPr>
          <w:lang w:val="en-CA"/>
        </w:rPr>
        <w:t xml:space="preserve">that Alberta had failed to respect the </w:t>
      </w:r>
      <w:r w:rsidR="006B068C">
        <w:rPr>
          <w:lang w:val="en-CA"/>
        </w:rPr>
        <w:t>requirements</w:t>
      </w:r>
      <w:r w:rsidR="006B068C" w:rsidRPr="00FF1DAB">
        <w:rPr>
          <w:lang w:val="en-CA"/>
        </w:rPr>
        <w:t xml:space="preserve"> </w:t>
      </w:r>
      <w:r w:rsidRPr="00FF1DAB">
        <w:rPr>
          <w:lang w:val="en-CA"/>
        </w:rPr>
        <w:t>of section 23, the Supreme Court impose</w:t>
      </w:r>
      <w:r w:rsidR="006B068C">
        <w:rPr>
          <w:lang w:val="en-CA"/>
        </w:rPr>
        <w:t>d no</w:t>
      </w:r>
      <w:r w:rsidRPr="00FF1DAB">
        <w:rPr>
          <w:lang w:val="en-CA"/>
        </w:rPr>
        <w:t xml:space="preserve"> specific measures to remedy this failure. It </w:t>
      </w:r>
      <w:r w:rsidRPr="00FF1DAB">
        <w:rPr>
          <w:lang w:val="en-CA"/>
        </w:rPr>
        <w:lastRenderedPageBreak/>
        <w:t>preferred to leave it to the Alberta legislature to fulfill its constitutional obligations to its French-speaking minority:</w:t>
      </w:r>
      <w:r>
        <w:rPr>
          <w:rStyle w:val="Appelnotedebasdep"/>
        </w:rPr>
        <w:footnoteReference w:id="243"/>
      </w:r>
    </w:p>
    <w:p w14:paraId="111C8707" w14:textId="77777777" w:rsidR="003B1EC4" w:rsidRPr="00FF1DAB" w:rsidRDefault="003B1EC4" w:rsidP="003B1EC4">
      <w:pPr>
        <w:pStyle w:val="Citation"/>
        <w:rPr>
          <w:lang w:val="en-CA"/>
        </w:rPr>
      </w:pPr>
      <w:r w:rsidRPr="00FF1DAB">
        <w:rPr>
          <w:lang w:val="en-CA"/>
        </w:rPr>
        <w:t xml:space="preserve">For these reasons I think it best if the Court restricts itself in this appeal to making a declaration in respect of the concrete rights which are due to the minority language parents in Edmonton under s. </w:t>
      </w:r>
      <w:r w:rsidRPr="00E202F1">
        <w:rPr>
          <w:lang w:val="en-CA"/>
        </w:rPr>
        <w:t>23.</w:t>
      </w:r>
      <w:r w:rsidRPr="00FF1DAB">
        <w:rPr>
          <w:lang w:val="en-CA"/>
        </w:rPr>
        <w:t xml:space="preserve"> </w:t>
      </w:r>
      <w:r w:rsidRPr="00E202F1">
        <w:rPr>
          <w:lang w:val="en-CA"/>
        </w:rPr>
        <w:t xml:space="preserve">Such a declaration will ensure that the appellants' rights are realized while, at the same time, leaving the government with the flexibility necessary to fashion a response which is suited to the circumstances. As the Attorney General for Ontario submits, the government should have the widest possible discretion in selecting the institutional means by which its s. </w:t>
      </w:r>
      <w:r w:rsidRPr="00FF1DAB">
        <w:rPr>
          <w:lang w:val="en-CA"/>
        </w:rPr>
        <w:t xml:space="preserve">23 obligations are to be met; the courts should be loath to interfere and impose what will be necessarily procrustean standards, unless that discretion is not exercised at all, or is exercised in such a way as to deny a constitutional right. Once the Court has declared what is required in Edmonton, then the government can and must do whatever is necessary to ensure that these appellants, and other parents in their situation, receive what they are due under s. 23. Section 23 of the </w:t>
      </w:r>
      <w:r w:rsidRPr="005D3A0A">
        <w:rPr>
          <w:i/>
          <w:iCs/>
          <w:lang w:val="en-CA"/>
        </w:rPr>
        <w:t>Charter</w:t>
      </w:r>
      <w:r w:rsidRPr="00FF1DAB">
        <w:rPr>
          <w:lang w:val="en-CA"/>
        </w:rPr>
        <w:t xml:space="preserve"> imposes on provincial legislatures the positive obligation of enacting precise legislative schemes providing for minority language instruction and educational facilities where numbers warrant. To date, the legislature of Alberta has failed to discharge that obligation. It must delay no longer in putting into place the appropriate minority language education scheme.</w:t>
      </w:r>
    </w:p>
    <w:p w14:paraId="0E74D609" w14:textId="0A956CCA" w:rsidR="003B1EC4" w:rsidRPr="00E202F1" w:rsidRDefault="003B1EC4" w:rsidP="003B1EC4">
      <w:pPr>
        <w:pStyle w:val="Paragrdouble"/>
        <w:spacing w:line="240" w:lineRule="auto"/>
        <w:rPr>
          <w:lang w:val="en-CA"/>
        </w:rPr>
      </w:pPr>
      <w:r w:rsidRPr="00E202F1">
        <w:rPr>
          <w:lang w:val="en-CA"/>
        </w:rPr>
        <w:t>The Court of Appeal for the Northwest Territories wrote:</w:t>
      </w:r>
      <w:r w:rsidRPr="00E202F1">
        <w:rPr>
          <w:rStyle w:val="Appelnotedebasdep"/>
        </w:rPr>
        <w:footnoteReference w:id="244"/>
      </w:r>
    </w:p>
    <w:p w14:paraId="3343DD7A" w14:textId="77777777" w:rsidR="003B1EC4" w:rsidRDefault="003B1EC4" w:rsidP="003B1EC4">
      <w:pPr>
        <w:pStyle w:val="Citation"/>
        <w:rPr>
          <w:lang w:val="en-CA"/>
        </w:rPr>
      </w:pPr>
      <w:r>
        <w:rPr>
          <w:lang w:val="en-CA"/>
        </w:rPr>
        <w:t>[</w:t>
      </w:r>
      <w:r w:rsidRPr="005D3A0A">
        <w:rPr>
          <w:smallCaps/>
          <w:lang w:val="en-CA"/>
        </w:rPr>
        <w:t>translation</w:t>
      </w:r>
      <w:r>
        <w:rPr>
          <w:lang w:val="en-CA"/>
        </w:rPr>
        <w:t>]</w:t>
      </w:r>
    </w:p>
    <w:p w14:paraId="4D9472BA" w14:textId="5CC21164" w:rsidR="003B1EC4" w:rsidRPr="00904690" w:rsidRDefault="003B1EC4" w:rsidP="003B1EC4">
      <w:pPr>
        <w:pStyle w:val="Citation"/>
        <w:rPr>
          <w:lang w:val="en-CA"/>
        </w:rPr>
      </w:pPr>
      <w:r w:rsidRPr="00904690">
        <w:rPr>
          <w:lang w:val="en-CA"/>
        </w:rPr>
        <w:t xml:space="preserve">[91] Trial courts must </w:t>
      </w:r>
      <w:r w:rsidR="006B068C">
        <w:rPr>
          <w:lang w:val="en-CA"/>
        </w:rPr>
        <w:t>craft</w:t>
      </w:r>
      <w:r w:rsidR="006B068C" w:rsidRPr="00904690">
        <w:rPr>
          <w:lang w:val="en-CA"/>
        </w:rPr>
        <w:t xml:space="preserve"> </w:t>
      </w:r>
      <w:r w:rsidRPr="00904690">
        <w:rPr>
          <w:lang w:val="en-CA"/>
        </w:rPr>
        <w:t xml:space="preserve">remedies that respect the legislator’s role by infringing on </w:t>
      </w:r>
      <w:r w:rsidR="006B068C">
        <w:rPr>
          <w:lang w:val="en-CA"/>
        </w:rPr>
        <w:t>that</w:t>
      </w:r>
      <w:r w:rsidR="006B068C" w:rsidRPr="00904690">
        <w:rPr>
          <w:lang w:val="en-CA"/>
        </w:rPr>
        <w:t xml:space="preserve"> </w:t>
      </w:r>
      <w:r w:rsidRPr="00904690">
        <w:rPr>
          <w:lang w:val="en-CA"/>
        </w:rPr>
        <w:t xml:space="preserve">role only </w:t>
      </w:r>
      <w:r w:rsidR="00BB2413">
        <w:rPr>
          <w:lang w:val="en-CA"/>
        </w:rPr>
        <w:t>to the degree that is</w:t>
      </w:r>
      <w:r w:rsidR="006B068C">
        <w:rPr>
          <w:lang w:val="en-CA"/>
        </w:rPr>
        <w:t xml:space="preserve"> </w:t>
      </w:r>
      <w:r w:rsidRPr="00904690">
        <w:rPr>
          <w:lang w:val="en-CA"/>
        </w:rPr>
        <w:t xml:space="preserve">necessary: </w:t>
      </w:r>
      <w:r w:rsidRPr="00904690">
        <w:rPr>
          <w:i/>
          <w:lang w:val="en-CA"/>
        </w:rPr>
        <w:t>Mahe v. Alberta</w:t>
      </w:r>
      <w:r w:rsidRPr="00904690">
        <w:rPr>
          <w:lang w:val="en-CA"/>
        </w:rPr>
        <w:t xml:space="preserve">, ... </w:t>
      </w:r>
      <w:r w:rsidR="00FD3DC3">
        <w:rPr>
          <w:lang w:val="en-CA"/>
        </w:rPr>
        <w:t xml:space="preserve">A </w:t>
      </w:r>
      <w:r w:rsidRPr="00904690">
        <w:rPr>
          <w:lang w:val="en-CA"/>
        </w:rPr>
        <w:t>dialogue between the courts and</w:t>
      </w:r>
      <w:r>
        <w:rPr>
          <w:lang w:val="en-CA"/>
        </w:rPr>
        <w:t xml:space="preserve"> </w:t>
      </w:r>
      <w:r w:rsidRPr="00904690">
        <w:rPr>
          <w:lang w:val="en-CA"/>
        </w:rPr>
        <w:t>the legislator</w:t>
      </w:r>
      <w:r w:rsidR="00FD3DC3">
        <w:rPr>
          <w:lang w:val="en-CA"/>
        </w:rPr>
        <w:t xml:space="preserve"> has been described in the case law</w:t>
      </w:r>
      <w:r w:rsidRPr="00904690">
        <w:rPr>
          <w:lang w:val="en-CA"/>
        </w:rPr>
        <w:t xml:space="preserve">: </w:t>
      </w:r>
      <w:proofErr w:type="spellStart"/>
      <w:r w:rsidRPr="00904690">
        <w:rPr>
          <w:i/>
          <w:lang w:val="en-CA"/>
        </w:rPr>
        <w:t>Vriend</w:t>
      </w:r>
      <w:proofErr w:type="spellEnd"/>
      <w:r w:rsidRPr="00904690">
        <w:rPr>
          <w:lang w:val="en-CA"/>
        </w:rPr>
        <w:t>, at paras. 138 and 139. The courts should generally leave</w:t>
      </w:r>
      <w:r w:rsidR="00BB2413">
        <w:rPr>
          <w:lang w:val="en-CA"/>
        </w:rPr>
        <w:t xml:space="preserve"> it open to the legislature to implement </w:t>
      </w:r>
      <w:r w:rsidRPr="00904690">
        <w:rPr>
          <w:lang w:val="en-CA"/>
        </w:rPr>
        <w:t xml:space="preserve">corrective measures before </w:t>
      </w:r>
      <w:r w:rsidR="00BB2413">
        <w:rPr>
          <w:lang w:val="en-CA"/>
        </w:rPr>
        <w:t xml:space="preserve">it </w:t>
      </w:r>
      <w:r w:rsidRPr="00904690">
        <w:rPr>
          <w:lang w:val="en-CA"/>
        </w:rPr>
        <w:t>tell</w:t>
      </w:r>
      <w:r w:rsidR="00BB2413">
        <w:rPr>
          <w:lang w:val="en-CA"/>
        </w:rPr>
        <w:t>s</w:t>
      </w:r>
      <w:r w:rsidRPr="00904690">
        <w:rPr>
          <w:lang w:val="en-CA"/>
        </w:rPr>
        <w:t xml:space="preserve"> it how to do </w:t>
      </w:r>
      <w:r>
        <w:rPr>
          <w:lang w:val="en-CA"/>
        </w:rPr>
        <w:t>so</w:t>
      </w:r>
      <w:r w:rsidRPr="00904690">
        <w:rPr>
          <w:lang w:val="en-CA"/>
        </w:rPr>
        <w:t>.</w:t>
      </w:r>
      <w:r w:rsidR="00BB2413">
        <w:rPr>
          <w:lang w:val="en-CA"/>
        </w:rPr>
        <w:t xml:space="preserve"> Nevertheless</w:t>
      </w:r>
      <w:r w:rsidRPr="00904690">
        <w:rPr>
          <w:lang w:val="en-CA"/>
        </w:rPr>
        <w:t xml:space="preserve">, are </w:t>
      </w:r>
      <w:r w:rsidR="00FD3DC3">
        <w:rPr>
          <w:lang w:val="en-CA"/>
        </w:rPr>
        <w:t xml:space="preserve">there </w:t>
      </w:r>
      <w:r w:rsidRPr="00904690">
        <w:rPr>
          <w:lang w:val="en-CA"/>
        </w:rPr>
        <w:t>instances where the courts should go further</w:t>
      </w:r>
      <w:r w:rsidR="00FD3DC3">
        <w:rPr>
          <w:lang w:val="en-CA"/>
        </w:rPr>
        <w:t>,</w:t>
      </w:r>
      <w:r w:rsidRPr="00904690">
        <w:rPr>
          <w:lang w:val="en-CA"/>
        </w:rPr>
        <w:t xml:space="preserve"> and</w:t>
      </w:r>
      <w:r w:rsidR="00FD3DC3">
        <w:rPr>
          <w:lang w:val="en-CA"/>
        </w:rPr>
        <w:t xml:space="preserve"> </w:t>
      </w:r>
      <w:r w:rsidRPr="00904690">
        <w:rPr>
          <w:lang w:val="en-CA"/>
        </w:rPr>
        <w:t>if so, is that the case here?</w:t>
      </w:r>
    </w:p>
    <w:p w14:paraId="53022881" w14:textId="1E69D006" w:rsidR="003B1EC4" w:rsidRPr="00904690" w:rsidRDefault="003B1EC4" w:rsidP="003B1EC4">
      <w:pPr>
        <w:pStyle w:val="Paragrdouble"/>
        <w:spacing w:line="240" w:lineRule="auto"/>
        <w:rPr>
          <w:lang w:val="en-CA"/>
        </w:rPr>
      </w:pPr>
      <w:r w:rsidRPr="00904690">
        <w:rPr>
          <w:lang w:val="en-CA"/>
        </w:rPr>
        <w:t xml:space="preserve">The Court cannot prescribe measures that meet the requirements of the </w:t>
      </w:r>
      <w:r w:rsidRPr="00DC38FC">
        <w:rPr>
          <w:i/>
          <w:iCs/>
          <w:lang w:val="en-CA"/>
        </w:rPr>
        <w:t>Charter</w:t>
      </w:r>
      <w:r w:rsidRPr="00904690">
        <w:rPr>
          <w:lang w:val="en-CA"/>
        </w:rPr>
        <w:t xml:space="preserve">. As the AGQ maintains, section 23 does not </w:t>
      </w:r>
      <w:r w:rsidR="00BB2413">
        <w:rPr>
          <w:lang w:val="en-CA"/>
        </w:rPr>
        <w:t>create a</w:t>
      </w:r>
      <w:r w:rsidRPr="00904690">
        <w:rPr>
          <w:lang w:val="en-CA"/>
        </w:rPr>
        <w:t xml:space="preserve"> right to </w:t>
      </w:r>
      <w:r w:rsidR="00BB2413">
        <w:rPr>
          <w:lang w:val="en-CA"/>
        </w:rPr>
        <w:t>specific</w:t>
      </w:r>
      <w:r w:rsidR="00BB2413" w:rsidRPr="00904690">
        <w:rPr>
          <w:lang w:val="en-CA"/>
        </w:rPr>
        <w:t xml:space="preserve"> </w:t>
      </w:r>
      <w:r w:rsidRPr="00904690">
        <w:rPr>
          <w:lang w:val="en-CA"/>
        </w:rPr>
        <w:t xml:space="preserve">school structures. It </w:t>
      </w:r>
      <w:r w:rsidR="00BB2413">
        <w:rPr>
          <w:lang w:val="en-CA"/>
        </w:rPr>
        <w:t>provides</w:t>
      </w:r>
      <w:r w:rsidR="00BB2413" w:rsidRPr="00904690">
        <w:rPr>
          <w:lang w:val="en-CA"/>
        </w:rPr>
        <w:t xml:space="preserve"> </w:t>
      </w:r>
      <w:r w:rsidRPr="00904690">
        <w:rPr>
          <w:lang w:val="en-CA"/>
        </w:rPr>
        <w:t xml:space="preserve">the right to structures that </w:t>
      </w:r>
      <w:r w:rsidR="00BB2413">
        <w:rPr>
          <w:lang w:val="en-CA"/>
        </w:rPr>
        <w:t xml:space="preserve">comply with </w:t>
      </w:r>
      <w:r w:rsidRPr="00904690">
        <w:rPr>
          <w:lang w:val="en-CA"/>
        </w:rPr>
        <w:t xml:space="preserve">the exclusive right to manage and control them. </w:t>
      </w:r>
      <w:r w:rsidRPr="00E202F1">
        <w:rPr>
          <w:lang w:val="en-CA"/>
        </w:rPr>
        <w:t>It is up to the National Assembly</w:t>
      </w:r>
      <w:r w:rsidR="00BB2413">
        <w:rPr>
          <w:lang w:val="en-CA"/>
        </w:rPr>
        <w:t xml:space="preserve"> to identify them</w:t>
      </w:r>
      <w:r w:rsidRPr="00E202F1">
        <w:rPr>
          <w:lang w:val="en-CA"/>
        </w:rPr>
        <w:t xml:space="preserve">, </w:t>
      </w:r>
      <w:r w:rsidR="00BB2413">
        <w:rPr>
          <w:lang w:val="en-CA"/>
        </w:rPr>
        <w:t>at</w:t>
      </w:r>
      <w:r w:rsidR="00BB2413" w:rsidRPr="00E202F1">
        <w:rPr>
          <w:lang w:val="en-CA"/>
        </w:rPr>
        <w:t xml:space="preserve"> </w:t>
      </w:r>
      <w:r w:rsidRPr="00E202F1">
        <w:rPr>
          <w:lang w:val="en-CA"/>
        </w:rPr>
        <w:t>its discretion.</w:t>
      </w:r>
      <w:r w:rsidRPr="00904690">
        <w:rPr>
          <w:lang w:val="en-CA"/>
        </w:rPr>
        <w:t xml:space="preserve"> </w:t>
      </w:r>
      <w:r w:rsidRPr="00E202F1">
        <w:rPr>
          <w:lang w:val="en-CA"/>
        </w:rPr>
        <w:t xml:space="preserve">The government has the “positive obligation to alter or create </w:t>
      </w:r>
      <w:r w:rsidR="00FD3DC3">
        <w:rPr>
          <w:lang w:val="en-CA"/>
        </w:rPr>
        <w:t>“</w:t>
      </w:r>
      <w:r w:rsidRPr="00E202F1">
        <w:rPr>
          <w:lang w:val="en-CA"/>
        </w:rPr>
        <w:t xml:space="preserve">major </w:t>
      </w:r>
      <w:r w:rsidR="00BB2413" w:rsidRPr="00E202F1">
        <w:rPr>
          <w:lang w:val="en-CA"/>
        </w:rPr>
        <w:t>institutional</w:t>
      </w:r>
      <w:r w:rsidRPr="00E202F1">
        <w:rPr>
          <w:lang w:val="en-CA"/>
        </w:rPr>
        <w:t xml:space="preserve"> structures</w:t>
      </w:r>
      <w:r w:rsidR="00FD3DC3">
        <w:rPr>
          <w:lang w:val="en-CA"/>
        </w:rPr>
        <w:t>”</w:t>
      </w:r>
      <w:r>
        <w:rPr>
          <w:lang w:val="en-CA"/>
        </w:rPr>
        <w:t>”</w:t>
      </w:r>
      <w:r w:rsidRPr="00E202F1">
        <w:rPr>
          <w:lang w:val="en-CA"/>
        </w:rPr>
        <w:t>.</w:t>
      </w:r>
      <w:r>
        <w:rPr>
          <w:rStyle w:val="Appelnotedebasdep"/>
          <w:rFonts w:cs="Arial"/>
          <w:color w:val="000000"/>
          <w:szCs w:val="24"/>
          <w:lang w:eastAsia="fr-CA"/>
        </w:rPr>
        <w:footnoteReference w:id="245"/>
      </w:r>
    </w:p>
    <w:p w14:paraId="14D8BC06" w14:textId="28562B52" w:rsidR="003B1EC4" w:rsidRPr="00E202F1" w:rsidRDefault="003B1EC4" w:rsidP="003B1EC4">
      <w:pPr>
        <w:pStyle w:val="Paragrdouble"/>
        <w:spacing w:line="240" w:lineRule="auto"/>
        <w:rPr>
          <w:lang w:val="en-CA"/>
        </w:rPr>
      </w:pPr>
      <w:r w:rsidRPr="00E202F1">
        <w:rPr>
          <w:lang w:val="en-CA"/>
        </w:rPr>
        <w:lastRenderedPageBreak/>
        <w:t xml:space="preserve">As the Court of </w:t>
      </w:r>
      <w:r w:rsidR="00FD3DC3">
        <w:rPr>
          <w:lang w:val="en-CA"/>
        </w:rPr>
        <w:t>A</w:t>
      </w:r>
      <w:r w:rsidRPr="00E202F1">
        <w:rPr>
          <w:lang w:val="en-CA"/>
        </w:rPr>
        <w:t xml:space="preserve">ppeal wrote in </w:t>
      </w:r>
      <w:r w:rsidR="00096BE4">
        <w:rPr>
          <w:lang w:val="en-CA"/>
        </w:rPr>
        <w:t>the present</w:t>
      </w:r>
      <w:r w:rsidR="00096BE4" w:rsidRPr="00E202F1">
        <w:rPr>
          <w:lang w:val="en-CA"/>
        </w:rPr>
        <w:t xml:space="preserve"> </w:t>
      </w:r>
      <w:r w:rsidRPr="00E202F1">
        <w:rPr>
          <w:lang w:val="en-CA"/>
        </w:rPr>
        <w:t>case:</w:t>
      </w:r>
      <w:r w:rsidRPr="00E202F1">
        <w:rPr>
          <w:rStyle w:val="Appelnotedebasdep"/>
        </w:rPr>
        <w:footnoteReference w:id="246"/>
      </w:r>
    </w:p>
    <w:p w14:paraId="59B1FFE1" w14:textId="77777777" w:rsidR="003B1EC4" w:rsidRDefault="003B1EC4" w:rsidP="003B1EC4">
      <w:pPr>
        <w:pStyle w:val="Citation"/>
        <w:rPr>
          <w:lang w:val="en-CA"/>
        </w:rPr>
      </w:pPr>
      <w:r>
        <w:rPr>
          <w:lang w:val="en-CA"/>
        </w:rPr>
        <w:t>[</w:t>
      </w:r>
      <w:r w:rsidRPr="00DC38FC">
        <w:rPr>
          <w:smallCaps/>
          <w:lang w:val="en-CA"/>
        </w:rPr>
        <w:t>translation</w:t>
      </w:r>
      <w:r>
        <w:rPr>
          <w:lang w:val="en-CA"/>
        </w:rPr>
        <w:t>]</w:t>
      </w:r>
    </w:p>
    <w:p w14:paraId="1CB24271" w14:textId="77777777" w:rsidR="003B1EC4" w:rsidRPr="00E202F1" w:rsidRDefault="003B1EC4" w:rsidP="003B1EC4">
      <w:pPr>
        <w:pStyle w:val="Citation"/>
        <w:rPr>
          <w:lang w:val="en-CA"/>
        </w:rPr>
      </w:pPr>
      <w:r w:rsidRPr="00E202F1">
        <w:rPr>
          <w:lang w:val="en-CA"/>
        </w:rPr>
        <w:t xml:space="preserve">[19] Section 23 places positive obligations on governments to mobilize resources and enact legislation for the development of major institutional structures for the province’s language minority, which gives the exercise of the rights set out therein a unique collective aspect: </w:t>
      </w:r>
    </w:p>
    <w:p w14:paraId="7DABAB82" w14:textId="1A71F0DF" w:rsidR="003B1EC4" w:rsidRPr="00904690" w:rsidRDefault="003B1EC4" w:rsidP="003B1EC4">
      <w:pPr>
        <w:pStyle w:val="Paragrdouble"/>
        <w:spacing w:line="240" w:lineRule="auto"/>
        <w:rPr>
          <w:lang w:val="en-CA"/>
        </w:rPr>
      </w:pPr>
      <w:r w:rsidRPr="00904690">
        <w:rPr>
          <w:lang w:val="en-CA"/>
        </w:rPr>
        <w:t xml:space="preserve">Vickers J. of the </w:t>
      </w:r>
      <w:r w:rsidR="00152B3C">
        <w:rPr>
          <w:lang w:val="en-CA"/>
        </w:rPr>
        <w:t xml:space="preserve">Supreme Court of </w:t>
      </w:r>
      <w:r w:rsidRPr="00904690">
        <w:rPr>
          <w:lang w:val="en-CA"/>
        </w:rPr>
        <w:t xml:space="preserve">British Columbia came to a similar conclusion and </w:t>
      </w:r>
      <w:r w:rsidR="00EC2A49">
        <w:rPr>
          <w:lang w:val="en-CA"/>
        </w:rPr>
        <w:t>retained</w:t>
      </w:r>
      <w:r w:rsidR="00096BE4" w:rsidRPr="00904690">
        <w:rPr>
          <w:lang w:val="en-CA"/>
        </w:rPr>
        <w:t xml:space="preserve"> </w:t>
      </w:r>
      <w:r w:rsidRPr="00904690">
        <w:rPr>
          <w:lang w:val="en-CA"/>
        </w:rPr>
        <w:t xml:space="preserve">jurisdiction over the case to resolve issues that could </w:t>
      </w:r>
      <w:r w:rsidR="00096BE4">
        <w:rPr>
          <w:lang w:val="en-CA"/>
        </w:rPr>
        <w:t>arise</w:t>
      </w:r>
      <w:r w:rsidRPr="00904690">
        <w:rPr>
          <w:lang w:val="en-CA"/>
        </w:rPr>
        <w:t xml:space="preserve"> during the legislative review process:</w:t>
      </w:r>
      <w:r>
        <w:rPr>
          <w:rStyle w:val="Appelnotedebasdep"/>
        </w:rPr>
        <w:footnoteReference w:id="247"/>
      </w:r>
    </w:p>
    <w:p w14:paraId="3DDF9EDA" w14:textId="77777777" w:rsidR="003B1EC4" w:rsidRPr="00A71A7D" w:rsidRDefault="003B1EC4" w:rsidP="003B1EC4">
      <w:pPr>
        <w:pStyle w:val="Citation"/>
        <w:rPr>
          <w:lang w:val="en-CA"/>
        </w:rPr>
      </w:pPr>
      <w:r>
        <w:rPr>
          <w:lang w:val="en-CA"/>
        </w:rPr>
        <w:t>53        I believe the court must fashion a remedy that leaves the Legislative Assembly with the freedom it must have to create a comprehensive legislative scheme to meet the obligations imposed upon it by s. 23.  Accordingly, the declarations I make are intended to leave that freedom. …</w:t>
      </w:r>
    </w:p>
    <w:p w14:paraId="46DDD827" w14:textId="77777777" w:rsidR="003B1EC4" w:rsidRPr="00694171" w:rsidRDefault="003B1EC4" w:rsidP="003B1EC4">
      <w:pPr>
        <w:pStyle w:val="Citation"/>
        <w:rPr>
          <w:lang w:val="en-CA"/>
        </w:rPr>
      </w:pPr>
      <w:r>
        <w:rPr>
          <w:lang w:val="en-CA"/>
        </w:rPr>
        <w:t>54</w:t>
      </w:r>
      <w:r w:rsidRPr="00694171">
        <w:rPr>
          <w:lang w:val="en-CA"/>
        </w:rPr>
        <w:t xml:space="preserve">        </w:t>
      </w:r>
      <w:r>
        <w:rPr>
          <w:lang w:val="en-CA"/>
        </w:rPr>
        <w:t>While I express confidence that matters will be resolved at an early date, I will retain jurisdiction in this matter should difficulties arise in that regard.</w:t>
      </w:r>
    </w:p>
    <w:p w14:paraId="47BA2A88" w14:textId="14BD3DB5" w:rsidR="003B1EC4" w:rsidRPr="00B90114" w:rsidRDefault="003B1EC4" w:rsidP="003B1EC4">
      <w:pPr>
        <w:pStyle w:val="Paragrdouble"/>
        <w:spacing w:line="240" w:lineRule="auto"/>
        <w:rPr>
          <w:lang w:val="en-CA"/>
        </w:rPr>
      </w:pPr>
      <w:r w:rsidRPr="00B90114">
        <w:rPr>
          <w:lang w:val="en-CA"/>
        </w:rPr>
        <w:t xml:space="preserve">Obviously, </w:t>
      </w:r>
      <w:r w:rsidR="00E44D79">
        <w:rPr>
          <w:lang w:val="en-CA"/>
        </w:rPr>
        <w:t xml:space="preserve">as </w:t>
      </w:r>
      <w:r w:rsidRPr="00B90114">
        <w:rPr>
          <w:lang w:val="en-CA"/>
        </w:rPr>
        <w:t xml:space="preserve">the above </w:t>
      </w:r>
      <w:r w:rsidR="00D42500">
        <w:rPr>
          <w:lang w:val="en-CA"/>
        </w:rPr>
        <w:t>outline</w:t>
      </w:r>
      <w:r w:rsidR="00E44D79">
        <w:rPr>
          <w:lang w:val="en-CA"/>
        </w:rPr>
        <w:t xml:space="preserve"> shows</w:t>
      </w:r>
      <w:r w:rsidRPr="00B90114">
        <w:rPr>
          <w:lang w:val="en-CA"/>
        </w:rPr>
        <w:t xml:space="preserve">, the surest </w:t>
      </w:r>
      <w:r w:rsidR="00D42500">
        <w:rPr>
          <w:lang w:val="en-CA"/>
        </w:rPr>
        <w:t>way</w:t>
      </w:r>
      <w:r w:rsidR="00D42500" w:rsidRPr="00B90114">
        <w:rPr>
          <w:lang w:val="en-CA"/>
        </w:rPr>
        <w:t xml:space="preserve"> </w:t>
      </w:r>
      <w:r w:rsidRPr="00B90114">
        <w:rPr>
          <w:lang w:val="en-CA"/>
        </w:rPr>
        <w:t xml:space="preserve">to correctly identify these structures is to consult the minority representatives, </w:t>
      </w:r>
      <w:r>
        <w:rPr>
          <w:lang w:val="en-CA"/>
        </w:rPr>
        <w:t xml:space="preserve">of </w:t>
      </w:r>
      <w:r w:rsidRPr="00B90114">
        <w:rPr>
          <w:lang w:val="en-CA"/>
        </w:rPr>
        <w:t>which school boards</w:t>
      </w:r>
      <w:r>
        <w:rPr>
          <w:lang w:val="en-CA"/>
        </w:rPr>
        <w:t xml:space="preserve"> are</w:t>
      </w:r>
      <w:r w:rsidRPr="00B90114">
        <w:rPr>
          <w:lang w:val="en-CA"/>
        </w:rPr>
        <w:t xml:space="preserve"> at the forefront.</w:t>
      </w:r>
      <w:r>
        <w:rPr>
          <w:rStyle w:val="Appelnotedebasdep"/>
        </w:rPr>
        <w:footnoteReference w:id="248"/>
      </w:r>
      <w:r w:rsidRPr="00B90114">
        <w:rPr>
          <w:lang w:val="en-CA"/>
        </w:rPr>
        <w:t xml:space="preserve"> </w:t>
      </w:r>
    </w:p>
    <w:p w14:paraId="4BFE7F7E" w14:textId="77777777" w:rsidR="003B1EC4" w:rsidRPr="00E44D79" w:rsidRDefault="003B1EC4" w:rsidP="003B1EC4">
      <w:pPr>
        <w:pStyle w:val="Paragrdouble"/>
        <w:spacing w:line="240" w:lineRule="auto"/>
        <w:rPr>
          <w:szCs w:val="24"/>
          <w:lang w:val="en-CA"/>
        </w:rPr>
      </w:pPr>
      <w:r w:rsidRPr="00E44D79">
        <w:rPr>
          <w:szCs w:val="24"/>
          <w:lang w:val="en-CA"/>
        </w:rPr>
        <w:t xml:space="preserve">The AGQ asks that the Court suspend a possible declaration of inoperability of section 15 of the </w:t>
      </w:r>
      <w:r w:rsidRPr="00E44D79">
        <w:rPr>
          <w:i/>
          <w:iCs/>
          <w:szCs w:val="24"/>
          <w:lang w:val="en-CA"/>
        </w:rPr>
        <w:t>Act</w:t>
      </w:r>
      <w:r w:rsidRPr="00E44D79">
        <w:rPr>
          <w:szCs w:val="24"/>
          <w:lang w:val="en-CA"/>
        </w:rPr>
        <w:t xml:space="preserve"> respecting school elections for 18 months following the date of the judgment. The applicants do not object to this request, which will be granted.</w:t>
      </w:r>
    </w:p>
    <w:p w14:paraId="7D6DE7AD" w14:textId="749E4987" w:rsidR="003B1EC4" w:rsidRPr="001B4C82" w:rsidRDefault="003B1EC4" w:rsidP="003B1EC4">
      <w:pPr>
        <w:pStyle w:val="Paragrdouble"/>
        <w:spacing w:line="240" w:lineRule="auto"/>
        <w:rPr>
          <w:lang w:val="en-CA"/>
        </w:rPr>
      </w:pPr>
      <w:bookmarkStart w:id="57" w:name="_Toc141191411"/>
      <w:bookmarkStart w:id="58" w:name="_Toc141191711"/>
      <w:r w:rsidRPr="001B4C82">
        <w:rPr>
          <w:lang w:val="en-CA"/>
        </w:rPr>
        <w:t xml:space="preserve">Moreover, when the </w:t>
      </w:r>
      <w:r w:rsidR="001B4C82">
        <w:rPr>
          <w:lang w:val="en-CA"/>
        </w:rPr>
        <w:t xml:space="preserve">suspension of the application of the </w:t>
      </w:r>
      <w:r w:rsidRPr="001B4C82">
        <w:rPr>
          <w:lang w:val="en-CA"/>
        </w:rPr>
        <w:t xml:space="preserve">provisions of the </w:t>
      </w:r>
      <w:r w:rsidRPr="001B4C82">
        <w:rPr>
          <w:i/>
          <w:iCs/>
          <w:lang w:val="en-CA"/>
        </w:rPr>
        <w:t>Act</w:t>
      </w:r>
      <w:r w:rsidRPr="001B4C82">
        <w:rPr>
          <w:lang w:val="en-CA"/>
        </w:rPr>
        <w:t xml:space="preserve"> was</w:t>
      </w:r>
      <w:r w:rsidR="001B4C82">
        <w:rPr>
          <w:lang w:val="en-CA"/>
        </w:rPr>
        <w:t xml:space="preserve"> ordered</w:t>
      </w:r>
      <w:r w:rsidRPr="001B4C82">
        <w:rPr>
          <w:lang w:val="en-CA"/>
        </w:rPr>
        <w:t xml:space="preserve">, it </w:t>
      </w:r>
      <w:r w:rsidR="001B4C82">
        <w:rPr>
          <w:lang w:val="en-CA"/>
        </w:rPr>
        <w:t xml:space="preserve">covered </w:t>
      </w:r>
      <w:r w:rsidRPr="001B4C82">
        <w:rPr>
          <w:lang w:val="en-CA"/>
        </w:rPr>
        <w:t xml:space="preserve">the </w:t>
      </w:r>
      <w:r w:rsidRPr="001B4C82">
        <w:rPr>
          <w:i/>
          <w:iCs/>
          <w:lang w:val="en-CA"/>
        </w:rPr>
        <w:t>Act</w:t>
      </w:r>
      <w:r w:rsidRPr="001B4C82">
        <w:rPr>
          <w:lang w:val="en-CA"/>
        </w:rPr>
        <w:t xml:space="preserve"> as a whole, </w:t>
      </w:r>
      <w:r w:rsidR="001B4C82">
        <w:rPr>
          <w:lang w:val="en-CA"/>
        </w:rPr>
        <w:t xml:space="preserve">which </w:t>
      </w:r>
      <w:r w:rsidRPr="001B4C82">
        <w:rPr>
          <w:lang w:val="en-CA"/>
        </w:rPr>
        <w:t>ha</w:t>
      </w:r>
      <w:r w:rsidR="00D42500" w:rsidRPr="001B4C82">
        <w:rPr>
          <w:lang w:val="en-CA"/>
        </w:rPr>
        <w:t>d</w:t>
      </w:r>
      <w:r w:rsidRPr="001B4C82">
        <w:rPr>
          <w:lang w:val="en-CA"/>
        </w:rPr>
        <w:t xml:space="preserve"> been</w:t>
      </w:r>
      <w:r w:rsidR="00D42500" w:rsidRPr="001B4C82">
        <w:rPr>
          <w:lang w:val="en-CA"/>
        </w:rPr>
        <w:t xml:space="preserve"> found</w:t>
      </w:r>
      <w:r w:rsidRPr="001B4C82">
        <w:rPr>
          <w:lang w:val="en-CA"/>
        </w:rPr>
        <w:t xml:space="preserve"> at that point</w:t>
      </w:r>
      <w:r w:rsidR="00D42500" w:rsidRPr="001B4C82">
        <w:rPr>
          <w:lang w:val="en-CA"/>
        </w:rPr>
        <w:t xml:space="preserve"> to be</w:t>
      </w:r>
      <w:r w:rsidRPr="001B4C82">
        <w:rPr>
          <w:lang w:val="en-CA"/>
        </w:rPr>
        <w:t xml:space="preserve"> inextricably connected to these provisions. The Court of Appeal </w:t>
      </w:r>
      <w:r w:rsidR="00D42500" w:rsidRPr="001B4C82">
        <w:rPr>
          <w:lang w:val="en-CA"/>
        </w:rPr>
        <w:t xml:space="preserve">upheld </w:t>
      </w:r>
      <w:r w:rsidRPr="001B4C82">
        <w:rPr>
          <w:lang w:val="en-CA"/>
        </w:rPr>
        <w:t xml:space="preserve">the suspension. </w:t>
      </w:r>
    </w:p>
    <w:p w14:paraId="7C5DCF0E" w14:textId="6396B594" w:rsidR="003B1EC4" w:rsidRPr="00B90114" w:rsidRDefault="003B1EC4" w:rsidP="003B1EC4">
      <w:pPr>
        <w:pStyle w:val="Paragrdouble"/>
        <w:spacing w:line="240" w:lineRule="auto"/>
        <w:rPr>
          <w:lang w:val="en-CA"/>
        </w:rPr>
      </w:pPr>
      <w:r>
        <w:rPr>
          <w:lang w:val="en-CA"/>
        </w:rPr>
        <w:t xml:space="preserve">The applicants ask for the suspension to be </w:t>
      </w:r>
      <w:r w:rsidR="00D42500">
        <w:rPr>
          <w:lang w:val="en-CA"/>
        </w:rPr>
        <w:t xml:space="preserve">upheld </w:t>
      </w:r>
      <w:r>
        <w:rPr>
          <w:lang w:val="en-CA"/>
        </w:rPr>
        <w:t xml:space="preserve">until the National Assembly </w:t>
      </w:r>
      <w:r w:rsidR="00D42500">
        <w:rPr>
          <w:lang w:val="en-CA"/>
        </w:rPr>
        <w:t xml:space="preserve">enacts </w:t>
      </w:r>
      <w:r>
        <w:rPr>
          <w:lang w:val="en-CA"/>
        </w:rPr>
        <w:t xml:space="preserve">a statute </w:t>
      </w:r>
      <w:r w:rsidR="00D42500">
        <w:rPr>
          <w:lang w:val="en-CA"/>
        </w:rPr>
        <w:t xml:space="preserve">that corrects </w:t>
      </w:r>
      <w:r>
        <w:rPr>
          <w:lang w:val="en-CA"/>
        </w:rPr>
        <w:t xml:space="preserve">the violations of the rights under section 23 of the </w:t>
      </w:r>
      <w:r w:rsidRPr="00B06ED2">
        <w:rPr>
          <w:i/>
          <w:iCs/>
          <w:lang w:val="en-CA"/>
        </w:rPr>
        <w:t>Charter</w:t>
      </w:r>
      <w:r>
        <w:rPr>
          <w:lang w:val="en-CA"/>
        </w:rPr>
        <w:t>.</w:t>
      </w:r>
      <w:r w:rsidRPr="00B90114">
        <w:rPr>
          <w:lang w:val="en-CA"/>
        </w:rPr>
        <w:t xml:space="preserve"> </w:t>
      </w:r>
    </w:p>
    <w:p w14:paraId="35DD4BFD" w14:textId="6179C747" w:rsidR="003B1EC4" w:rsidRPr="00B90114" w:rsidRDefault="003B1EC4" w:rsidP="003B1EC4">
      <w:pPr>
        <w:pStyle w:val="Paragrdouble"/>
        <w:spacing w:line="240" w:lineRule="auto"/>
        <w:rPr>
          <w:rFonts w:cs="Arial"/>
          <w:szCs w:val="24"/>
          <w:lang w:val="en-CA"/>
        </w:rPr>
      </w:pPr>
      <w:r w:rsidRPr="00B90114">
        <w:rPr>
          <w:lang w:val="en-CA"/>
        </w:rPr>
        <w:t xml:space="preserve">The AGQ </w:t>
      </w:r>
      <w:r w:rsidR="00D42500">
        <w:rPr>
          <w:lang w:val="en-CA"/>
        </w:rPr>
        <w:t>objects</w:t>
      </w:r>
      <w:r w:rsidRPr="00B90114">
        <w:rPr>
          <w:lang w:val="en-CA"/>
        </w:rPr>
        <w:t xml:space="preserve">, </w:t>
      </w:r>
      <w:r w:rsidR="00D42500">
        <w:rPr>
          <w:lang w:val="en-CA"/>
        </w:rPr>
        <w:t xml:space="preserve">invoking </w:t>
      </w:r>
      <w:r w:rsidRPr="00B90114">
        <w:rPr>
          <w:i/>
          <w:color w:val="212529"/>
          <w:lang w:val="en-CA"/>
        </w:rPr>
        <w:t>Ontario (Attorney General) v. G</w:t>
      </w:r>
      <w:r w:rsidRPr="00B90114">
        <w:rPr>
          <w:color w:val="212529"/>
          <w:lang w:val="en-CA"/>
        </w:rPr>
        <w:t>:</w:t>
      </w:r>
      <w:r>
        <w:rPr>
          <w:rStyle w:val="Appelnotedebasdep"/>
          <w:rFonts w:cs="Arial"/>
          <w:color w:val="212529"/>
          <w:szCs w:val="24"/>
        </w:rPr>
        <w:footnoteReference w:id="249"/>
      </w:r>
    </w:p>
    <w:p w14:paraId="05B90527" w14:textId="17DEE1A9" w:rsidR="003B1EC4" w:rsidRPr="00B90114" w:rsidRDefault="003B1EC4" w:rsidP="003B1EC4">
      <w:pPr>
        <w:pStyle w:val="Citation"/>
        <w:rPr>
          <w:lang w:val="en-CA"/>
        </w:rPr>
      </w:pPr>
      <w:r w:rsidRPr="00E202F1">
        <w:rPr>
          <w:lang w:val="en-CA"/>
        </w:rPr>
        <w:t xml:space="preserve">[111]  On the other hand, it also follows from s. </w:t>
      </w:r>
      <w:r w:rsidRPr="00B90114">
        <w:rPr>
          <w:lang w:val="en-CA"/>
        </w:rPr>
        <w:t xml:space="preserve"> 52(1) that to the extent they are not inconsistent with the Constitution, the public is entitled to the benefit of laws passed by the legislature. Tailored remedies that address the precise </w:t>
      </w:r>
      <w:r w:rsidRPr="00B90114">
        <w:rPr>
          <w:lang w:val="en-CA"/>
        </w:rPr>
        <w:lastRenderedPageBreak/>
        <w:t xml:space="preserve">constitutional flaw can permit a court to both safeguard the constitutional rights of all those affected and preserve the constitutional aspects of the law. Many of the Court’s tailored remedies reflect both these principles. The criminal offences considered in </w:t>
      </w:r>
      <w:r w:rsidRPr="005352DE">
        <w:rPr>
          <w:i/>
          <w:iCs/>
          <w:lang w:val="en-CA"/>
        </w:rPr>
        <w:t>Carter</w:t>
      </w:r>
      <w:r w:rsidRPr="00B90114">
        <w:rPr>
          <w:lang w:val="en-CA"/>
        </w:rPr>
        <w:t xml:space="preserve">, </w:t>
      </w:r>
      <w:r w:rsidRPr="005352DE">
        <w:rPr>
          <w:i/>
          <w:iCs/>
          <w:lang w:val="en-CA"/>
        </w:rPr>
        <w:t>Sharpe</w:t>
      </w:r>
      <w:r w:rsidRPr="00B90114">
        <w:rPr>
          <w:lang w:val="en-CA"/>
        </w:rPr>
        <w:t xml:space="preserve">, </w:t>
      </w:r>
      <w:r w:rsidRPr="005352DE">
        <w:rPr>
          <w:i/>
          <w:iCs/>
          <w:lang w:val="en-CA"/>
        </w:rPr>
        <w:t>Smith</w:t>
      </w:r>
      <w:r w:rsidRPr="00B90114">
        <w:rPr>
          <w:lang w:val="en-CA"/>
        </w:rPr>
        <w:t xml:space="preserve">, and </w:t>
      </w:r>
      <w:proofErr w:type="spellStart"/>
      <w:r w:rsidRPr="005352DE">
        <w:rPr>
          <w:i/>
          <w:iCs/>
          <w:lang w:val="en-CA"/>
        </w:rPr>
        <w:t>Appulonappa</w:t>
      </w:r>
      <w:proofErr w:type="spellEnd"/>
      <w:r w:rsidRPr="00B90114">
        <w:rPr>
          <w:lang w:val="en-CA"/>
        </w:rPr>
        <w:t>, for example, were declared of no force or effect only to the extent that they violated rights, preserving their constitutionally compliant effects.</w:t>
      </w:r>
    </w:p>
    <w:p w14:paraId="26074D49" w14:textId="77777777" w:rsidR="003B1EC4" w:rsidRPr="00323372" w:rsidRDefault="003B1EC4" w:rsidP="003B1EC4">
      <w:pPr>
        <w:pStyle w:val="Citation"/>
        <w:rPr>
          <w:lang w:val="en-CA"/>
        </w:rPr>
      </w:pPr>
      <w:r w:rsidRPr="00B90114">
        <w:rPr>
          <w:lang w:val="en-CA"/>
        </w:rPr>
        <w:t xml:space="preserve">[112] The second step is determining the form that a declaration should take. In doing so, </w:t>
      </w:r>
      <w:r w:rsidRPr="00B90114">
        <w:rPr>
          <w:i/>
          <w:lang w:val="en-CA"/>
        </w:rPr>
        <w:t>Schachter</w:t>
      </w:r>
      <w:r w:rsidRPr="00B90114">
        <w:rPr>
          <w:lang w:val="en-CA"/>
        </w:rPr>
        <w:t xml:space="preserve"> explained that remedies other than full declarations of invalidity should be granted when the nature of the violation and the intention of the legislature allows for them. Full statutory schemes or Acts are rarely struck down in their entirety — to my knowledge, this Court has only done so on eight occasions. To ensure the public has the benefit of enacted legislation, remedies of reading down, reading in, and severance, tailored to the breadth of the violation, should be employed when possible so that the constitutional aspects of legislation are preserved (</w:t>
      </w:r>
      <w:r w:rsidRPr="005352DE">
        <w:rPr>
          <w:i/>
          <w:iCs/>
          <w:lang w:val="en-CA"/>
        </w:rPr>
        <w:t>Schachter</w:t>
      </w:r>
      <w:r w:rsidRPr="00B90114">
        <w:rPr>
          <w:lang w:val="en-CA"/>
        </w:rPr>
        <w:t xml:space="preserve">, at p. 700; </w:t>
      </w:r>
      <w:proofErr w:type="spellStart"/>
      <w:r w:rsidRPr="005352DE">
        <w:rPr>
          <w:i/>
          <w:iCs/>
          <w:lang w:val="en-CA"/>
        </w:rPr>
        <w:t>Vriend</w:t>
      </w:r>
      <w:proofErr w:type="spellEnd"/>
      <w:r w:rsidRPr="00B90114">
        <w:rPr>
          <w:lang w:val="en-CA"/>
        </w:rPr>
        <w:t>, at paras.  </w:t>
      </w:r>
      <w:r w:rsidRPr="00323372">
        <w:rPr>
          <w:lang w:val="en-CA"/>
        </w:rPr>
        <w:t>149-150). …</w:t>
      </w:r>
    </w:p>
    <w:p w14:paraId="012CB221" w14:textId="77777777" w:rsidR="003B1EC4" w:rsidRPr="00B002A2" w:rsidRDefault="003B1EC4" w:rsidP="003B1EC4">
      <w:pPr>
        <w:pStyle w:val="Citation"/>
        <w:rPr>
          <w:lang w:val="en-CA"/>
        </w:rPr>
      </w:pPr>
      <w:r w:rsidRPr="00E202F1">
        <w:rPr>
          <w:lang w:val="en-CA"/>
        </w:rPr>
        <w:t>[156] Another aspect of the rule of law, reflected in s.</w:t>
      </w:r>
      <w:r w:rsidRPr="00B002A2">
        <w:rPr>
          <w:lang w:val="en-CA"/>
        </w:rPr>
        <w:t> 52(1)’s caution that laws are of no force or effect only “to the extent of the inconsistency” with the Constitution, is the entitlement to a positive order of laws that organizes society and protects it from harm. The public has an interest in preserving legislation duly enacted by its democratically elected legislatures, to the extent it is not unconstitutional. This is why courts will tailor remedies to retain constitutional aspects of an unconstitutional law where possible and will temporarily suspend the effect of a declaration when an immediate order would undermine the public interest by depriving the public of laws passed for its benefit. In contrast, concerns about legal instability may weigh against suspension.</w:t>
      </w:r>
    </w:p>
    <w:p w14:paraId="2ABA4FD7" w14:textId="77777777" w:rsidR="003B1EC4" w:rsidRPr="00B002A2" w:rsidRDefault="003B1EC4" w:rsidP="003B1EC4">
      <w:pPr>
        <w:pStyle w:val="Citation"/>
        <w:rPr>
          <w:lang w:val="en-CA"/>
        </w:rPr>
      </w:pPr>
      <w:r w:rsidRPr="00B002A2">
        <w:rPr>
          <w:lang w:val="en-CA"/>
        </w:rPr>
        <w:t>[157] Finally, running through this Court’s remedial practice for unconstitutional legislation is respect for the role of the legislature coupled with an understanding of the duties of the judicial role. When determining the form and breadth of remedies, courts will preserve as much of the law as possible to respect the legislature’s policy choices, following its discernible intention when doing so. But courts will not shrink from performing their duty to protect rights through s. 52(1) remedies, determining the full extent of inconsistencies with the Constitution and declaring legislation to be of no force or effect when necessary. Suspensions can be granted when the legislature’s democratic role as policymaker would be so seriously undermined by an immediately effective declaration that it outweighs important countervailing principles. In such circumstances, if an exemption would undermine that role, it will weigh against an individual remedy.</w:t>
      </w:r>
    </w:p>
    <w:p w14:paraId="4895B942" w14:textId="55D85B5E" w:rsidR="003B1EC4" w:rsidRPr="00B002A2" w:rsidRDefault="003B1EC4" w:rsidP="003B1EC4">
      <w:pPr>
        <w:pStyle w:val="Paragrdouble"/>
        <w:spacing w:line="240" w:lineRule="auto"/>
        <w:rPr>
          <w:lang w:val="en-CA"/>
        </w:rPr>
      </w:pPr>
      <w:r w:rsidRPr="00E202F1">
        <w:rPr>
          <w:lang w:val="en-CA"/>
        </w:rPr>
        <w:t xml:space="preserve">The Court finds that these principles apply </w:t>
      </w:r>
      <w:r>
        <w:rPr>
          <w:lang w:val="en-CA"/>
        </w:rPr>
        <w:t>to</w:t>
      </w:r>
      <w:r w:rsidRPr="00E202F1">
        <w:rPr>
          <w:lang w:val="en-CA"/>
        </w:rPr>
        <w:t xml:space="preserve"> this case.</w:t>
      </w:r>
      <w:r w:rsidRPr="00B002A2">
        <w:rPr>
          <w:lang w:val="en-CA"/>
        </w:rPr>
        <w:t xml:space="preserve"> Only the statutory provisions that are inextricably connect</w:t>
      </w:r>
      <w:r>
        <w:rPr>
          <w:lang w:val="en-CA"/>
        </w:rPr>
        <w:t>ed</w:t>
      </w:r>
      <w:r w:rsidRPr="00B002A2">
        <w:rPr>
          <w:lang w:val="en-CA"/>
        </w:rPr>
        <w:t xml:space="preserve"> to </w:t>
      </w:r>
      <w:r w:rsidR="00D42500">
        <w:rPr>
          <w:lang w:val="en-CA"/>
        </w:rPr>
        <w:t>the</w:t>
      </w:r>
      <w:r w:rsidR="00D42500" w:rsidRPr="00B002A2">
        <w:rPr>
          <w:lang w:val="en-CA"/>
        </w:rPr>
        <w:t xml:space="preserve"> </w:t>
      </w:r>
      <w:r w:rsidRPr="00B002A2">
        <w:rPr>
          <w:lang w:val="en-CA"/>
        </w:rPr>
        <w:t xml:space="preserve">provisions found to be inoperative should be suspended. A judgment on the merits would better </w:t>
      </w:r>
      <w:r>
        <w:rPr>
          <w:lang w:val="en-CA"/>
        </w:rPr>
        <w:t>perform</w:t>
      </w:r>
      <w:r w:rsidRPr="00B002A2">
        <w:rPr>
          <w:lang w:val="en-CA"/>
        </w:rPr>
        <w:t xml:space="preserve"> this exercise than an interlocutory judgment </w:t>
      </w:r>
      <w:r w:rsidR="00DB2994">
        <w:rPr>
          <w:lang w:val="en-CA"/>
        </w:rPr>
        <w:t>on</w:t>
      </w:r>
      <w:r w:rsidR="00DB2994" w:rsidRPr="00B002A2">
        <w:rPr>
          <w:lang w:val="en-CA"/>
        </w:rPr>
        <w:t xml:space="preserve"> </w:t>
      </w:r>
      <w:r w:rsidR="001B4C82">
        <w:rPr>
          <w:lang w:val="en-CA"/>
        </w:rPr>
        <w:t>the</w:t>
      </w:r>
      <w:r w:rsidRPr="00B002A2">
        <w:rPr>
          <w:lang w:val="en-CA"/>
        </w:rPr>
        <w:t xml:space="preserve"> suspension. </w:t>
      </w:r>
    </w:p>
    <w:p w14:paraId="32F0E943" w14:textId="3BF86988" w:rsidR="003B1EC4" w:rsidRPr="00B002A2" w:rsidRDefault="009251D9" w:rsidP="003B1EC4">
      <w:pPr>
        <w:pStyle w:val="Paragrdouble"/>
        <w:spacing w:line="240" w:lineRule="auto"/>
        <w:rPr>
          <w:lang w:val="en-CA"/>
        </w:rPr>
      </w:pPr>
      <w:r>
        <w:rPr>
          <w:lang w:val="en-CA"/>
        </w:rPr>
        <w:lastRenderedPageBreak/>
        <w:t>A</w:t>
      </w:r>
      <w:r w:rsidR="003B1EC4" w:rsidRPr="00B002A2">
        <w:rPr>
          <w:lang w:val="en-CA"/>
        </w:rPr>
        <w:t xml:space="preserve">n initial suspension of six months appears appropriate to allow a “dialogue” to begin about correcting the violations. </w:t>
      </w:r>
      <w:r w:rsidR="003B1EC4">
        <w:rPr>
          <w:lang w:val="en-CA"/>
        </w:rPr>
        <w:t xml:space="preserve">This suspension may be extended and </w:t>
      </w:r>
      <w:r w:rsidR="00EB0229">
        <w:rPr>
          <w:lang w:val="en-CA"/>
        </w:rPr>
        <w:t>reviewed</w:t>
      </w:r>
      <w:r w:rsidR="003B1EC4">
        <w:rPr>
          <w:lang w:val="en-CA"/>
        </w:rPr>
        <w:t>.</w:t>
      </w:r>
      <w:r w:rsidR="003B1EC4" w:rsidRPr="00B002A2">
        <w:rPr>
          <w:lang w:val="en-CA"/>
        </w:rPr>
        <w:t xml:space="preserve"> </w:t>
      </w:r>
    </w:p>
    <w:p w14:paraId="5F318E0C" w14:textId="185383E8" w:rsidR="003B1EC4" w:rsidRPr="0021443C" w:rsidRDefault="003B1EC4" w:rsidP="003B1EC4">
      <w:pPr>
        <w:pStyle w:val="Paragrdouble"/>
        <w:spacing w:line="240" w:lineRule="auto"/>
        <w:rPr>
          <w:lang w:val="en-CA"/>
        </w:rPr>
      </w:pPr>
      <w:r w:rsidRPr="00B002A2">
        <w:rPr>
          <w:lang w:val="en-CA"/>
        </w:rPr>
        <w:t>That being said,</w:t>
      </w:r>
      <w:r w:rsidR="00C55FD3">
        <w:rPr>
          <w:lang w:val="en-CA"/>
        </w:rPr>
        <w:t xml:space="preserve"> however,</w:t>
      </w:r>
      <w:r w:rsidRPr="00B002A2">
        <w:rPr>
          <w:lang w:val="en-CA"/>
        </w:rPr>
        <w:t xml:space="preserve"> the AGQ</w:t>
      </w:r>
      <w:r w:rsidR="00443FBE">
        <w:rPr>
          <w:lang w:val="en-CA"/>
        </w:rPr>
        <w:t xml:space="preserve"> has</w:t>
      </w:r>
      <w:r w:rsidRPr="00B002A2">
        <w:rPr>
          <w:lang w:val="en-CA"/>
        </w:rPr>
        <w:t xml:space="preserve"> listed a certain number of statutory provisions it considers inextricably connect</w:t>
      </w:r>
      <w:r>
        <w:rPr>
          <w:lang w:val="en-CA"/>
        </w:rPr>
        <w:t>ed</w:t>
      </w:r>
      <w:r w:rsidRPr="00B002A2">
        <w:rPr>
          <w:lang w:val="en-CA"/>
        </w:rPr>
        <w:t xml:space="preserve">, in </w:t>
      </w:r>
      <w:r w:rsidR="00443FBE">
        <w:rPr>
          <w:lang w:val="en-CA"/>
        </w:rPr>
        <w:t xml:space="preserve">respect of </w:t>
      </w:r>
      <w:r w:rsidRPr="00B002A2">
        <w:rPr>
          <w:lang w:val="en-CA"/>
        </w:rPr>
        <w:t xml:space="preserve">the </w:t>
      </w:r>
      <w:r>
        <w:rPr>
          <w:lang w:val="en-CA"/>
        </w:rPr>
        <w:t>applicants</w:t>
      </w:r>
      <w:r w:rsidRPr="00B002A2">
        <w:rPr>
          <w:lang w:val="en-CA"/>
        </w:rPr>
        <w:t xml:space="preserve">, to the provisions </w:t>
      </w:r>
      <w:r w:rsidR="00443FBE">
        <w:rPr>
          <w:lang w:val="en-CA"/>
        </w:rPr>
        <w:t xml:space="preserve">found to be </w:t>
      </w:r>
      <w:r w:rsidRPr="00B002A2">
        <w:rPr>
          <w:lang w:val="en-CA"/>
        </w:rPr>
        <w:t xml:space="preserve">inoperative. </w:t>
      </w:r>
      <w:r w:rsidRPr="0021443C">
        <w:rPr>
          <w:lang w:val="en-CA"/>
        </w:rPr>
        <w:t xml:space="preserve">The Court agrees. </w:t>
      </w:r>
    </w:p>
    <w:p w14:paraId="0B2352FB" w14:textId="3BA0BC3D" w:rsidR="003B1EC4" w:rsidRPr="00D821C6" w:rsidRDefault="003B1EC4" w:rsidP="003B1EC4">
      <w:pPr>
        <w:pStyle w:val="Paragrdouble"/>
        <w:spacing w:line="240" w:lineRule="auto"/>
        <w:rPr>
          <w:lang w:val="en-CA"/>
        </w:rPr>
      </w:pPr>
      <w:r w:rsidRPr="00D821C6">
        <w:rPr>
          <w:lang w:val="en-CA"/>
        </w:rPr>
        <w:t xml:space="preserve"> </w:t>
      </w:r>
      <w:r w:rsidR="00443FBE">
        <w:rPr>
          <w:lang w:val="en-CA"/>
        </w:rPr>
        <w:t xml:space="preserve">Regarding </w:t>
      </w:r>
      <w:r w:rsidRPr="00D821C6">
        <w:rPr>
          <w:lang w:val="en-CA"/>
        </w:rPr>
        <w:t>those over which the parties disagree, the Court finds that they are sufficiently connected to the inoperati</w:t>
      </w:r>
      <w:r>
        <w:rPr>
          <w:lang w:val="en-CA"/>
        </w:rPr>
        <w:t>ve</w:t>
      </w:r>
      <w:r w:rsidRPr="00D821C6">
        <w:rPr>
          <w:lang w:val="en-CA"/>
        </w:rPr>
        <w:t xml:space="preserve"> provisions to justify a six-month suspension of their application to English-language school boards, with the exception of sections 250, 252, 256, 258(1), 259(2) of the </w:t>
      </w:r>
      <w:r w:rsidRPr="00B31448">
        <w:rPr>
          <w:i/>
          <w:iCs/>
          <w:lang w:val="en-CA"/>
        </w:rPr>
        <w:t>Act</w:t>
      </w:r>
      <w:r w:rsidRPr="00D821C6">
        <w:rPr>
          <w:lang w:val="en-CA"/>
        </w:rPr>
        <w:t xml:space="preserve">, respecting which </w:t>
      </w:r>
      <w:r w:rsidR="00C55FD3">
        <w:rPr>
          <w:lang w:val="en-CA"/>
        </w:rPr>
        <w:t>a</w:t>
      </w:r>
      <w:r w:rsidRPr="00D821C6">
        <w:rPr>
          <w:lang w:val="en-CA"/>
        </w:rPr>
        <w:t xml:space="preserve"> suspension </w:t>
      </w:r>
      <w:r w:rsidR="00C55FD3">
        <w:rPr>
          <w:lang w:val="en-CA"/>
        </w:rPr>
        <w:t xml:space="preserve">order </w:t>
      </w:r>
      <w:r w:rsidRPr="00D821C6">
        <w:rPr>
          <w:lang w:val="en-CA"/>
        </w:rPr>
        <w:t>would be</w:t>
      </w:r>
      <w:r w:rsidR="005352DE">
        <w:rPr>
          <w:lang w:val="en-CA"/>
        </w:rPr>
        <w:t xml:space="preserve"> </w:t>
      </w:r>
      <w:r w:rsidRPr="00D821C6">
        <w:rPr>
          <w:lang w:val="en-CA"/>
        </w:rPr>
        <w:t>theoretical, and section 322, which has become moot.</w:t>
      </w:r>
    </w:p>
    <w:p w14:paraId="65331AE2" w14:textId="07CAB13F" w:rsidR="003B1EC4" w:rsidRPr="00D821C6" w:rsidRDefault="003B1EC4" w:rsidP="003B1EC4">
      <w:pPr>
        <w:pStyle w:val="Paragrdouble"/>
        <w:spacing w:line="240" w:lineRule="auto"/>
        <w:rPr>
          <w:lang w:val="en-CA"/>
        </w:rPr>
      </w:pPr>
      <w:r w:rsidRPr="00D821C6">
        <w:rPr>
          <w:lang w:val="en-CA"/>
        </w:rPr>
        <w:t xml:space="preserve">As for section 335 of the </w:t>
      </w:r>
      <w:r w:rsidRPr="00B31448">
        <w:rPr>
          <w:i/>
          <w:iCs/>
          <w:lang w:val="en-CA"/>
        </w:rPr>
        <w:t>Act</w:t>
      </w:r>
      <w:r w:rsidRPr="00D821C6">
        <w:rPr>
          <w:lang w:val="en-CA"/>
        </w:rPr>
        <w:t xml:space="preserve">, which governs its coming into effect, it will be suspended only </w:t>
      </w:r>
      <w:r w:rsidR="00051BB4">
        <w:rPr>
          <w:lang w:val="en-CA"/>
        </w:rPr>
        <w:t xml:space="preserve">in respect of </w:t>
      </w:r>
      <w:r w:rsidRPr="00D821C6">
        <w:rPr>
          <w:lang w:val="en-CA"/>
        </w:rPr>
        <w:t xml:space="preserve">the inoperative provisions or those that have been suspended. </w:t>
      </w:r>
    </w:p>
    <w:p w14:paraId="749B36AD" w14:textId="05FE7616" w:rsidR="003B1EC4" w:rsidRPr="00D821C6" w:rsidRDefault="00051BB4" w:rsidP="003B1EC4">
      <w:pPr>
        <w:pStyle w:val="Paragrdouble"/>
        <w:spacing w:line="240" w:lineRule="auto"/>
        <w:rPr>
          <w:lang w:val="en-CA"/>
        </w:rPr>
      </w:pPr>
      <w:r>
        <w:rPr>
          <w:lang w:val="en-CA"/>
        </w:rPr>
        <w:t>T</w:t>
      </w:r>
      <w:r w:rsidR="003B1EC4" w:rsidRPr="00D821C6">
        <w:rPr>
          <w:lang w:val="en-CA"/>
        </w:rPr>
        <w:t xml:space="preserve">he complete suspension of the application of the </w:t>
      </w:r>
      <w:r w:rsidR="003B1EC4" w:rsidRPr="00B31448">
        <w:rPr>
          <w:i/>
          <w:iCs/>
          <w:lang w:val="en-CA"/>
        </w:rPr>
        <w:t>Act</w:t>
      </w:r>
      <w:r w:rsidR="003B1EC4" w:rsidRPr="00D821C6">
        <w:rPr>
          <w:lang w:val="en-CA"/>
        </w:rPr>
        <w:t xml:space="preserve"> ordered on August 20, 2020, should remain in effect until the time limit to appeal this judgment has expired. </w:t>
      </w:r>
    </w:p>
    <w:bookmarkEnd w:id="57"/>
    <w:bookmarkEnd w:id="58"/>
    <w:p w14:paraId="018D7E3E" w14:textId="77777777" w:rsidR="003B1EC4" w:rsidRPr="00E202F1" w:rsidRDefault="003B1EC4" w:rsidP="003B1EC4">
      <w:pPr>
        <w:pStyle w:val="Paragrdouble"/>
        <w:numPr>
          <w:ilvl w:val="0"/>
          <w:numId w:val="0"/>
        </w:numPr>
        <w:spacing w:line="240" w:lineRule="auto"/>
        <w:rPr>
          <w:b/>
          <w:bCs/>
        </w:rPr>
      </w:pPr>
      <w:r w:rsidRPr="00E202F1">
        <w:rPr>
          <w:b/>
          <w:bCs/>
        </w:rPr>
        <w:t>CONCLUSIONS</w:t>
      </w:r>
    </w:p>
    <w:p w14:paraId="2C30B983" w14:textId="2FDC234D" w:rsidR="003B1EC4" w:rsidRPr="00D821C6" w:rsidRDefault="003B1EC4" w:rsidP="003B1EC4">
      <w:pPr>
        <w:pStyle w:val="Paragrdouble"/>
        <w:spacing w:line="240" w:lineRule="auto"/>
        <w:rPr>
          <w:lang w:val="en-CA"/>
        </w:rPr>
      </w:pPr>
      <w:r w:rsidRPr="00D821C6">
        <w:rPr>
          <w:lang w:val="en-CA"/>
        </w:rPr>
        <w:t>The Court thanks the parties and their counsel for the</w:t>
      </w:r>
      <w:r w:rsidR="00051BB4">
        <w:rPr>
          <w:lang w:val="en-CA"/>
        </w:rPr>
        <w:t>ir</w:t>
      </w:r>
      <w:r w:rsidRPr="00D821C6">
        <w:rPr>
          <w:lang w:val="en-CA"/>
        </w:rPr>
        <w:t xml:space="preserve"> </w:t>
      </w:r>
      <w:r>
        <w:rPr>
          <w:lang w:val="en-CA"/>
        </w:rPr>
        <w:t>thorough</w:t>
      </w:r>
      <w:r w:rsidRPr="00D821C6">
        <w:rPr>
          <w:lang w:val="en-CA"/>
        </w:rPr>
        <w:t xml:space="preserve"> and professional presentations. The quality of the work and expert assessment reports made the Court’s task both easier and more complicated. </w:t>
      </w:r>
    </w:p>
    <w:p w14:paraId="644997C7" w14:textId="77777777" w:rsidR="003B1EC4" w:rsidRPr="00E202F1" w:rsidRDefault="003B1EC4" w:rsidP="003B1EC4">
      <w:pPr>
        <w:pStyle w:val="Paragrdouble"/>
        <w:numPr>
          <w:ilvl w:val="0"/>
          <w:numId w:val="0"/>
        </w:numPr>
        <w:spacing w:line="240" w:lineRule="auto"/>
        <w:rPr>
          <w:b/>
          <w:bCs/>
          <w:lang w:val="en-CA"/>
        </w:rPr>
      </w:pPr>
      <w:r w:rsidRPr="00E202F1">
        <w:rPr>
          <w:b/>
          <w:bCs/>
          <w:lang w:val="en-CA"/>
        </w:rPr>
        <w:t>FOR THESE REASONS, THE COURT:</w:t>
      </w:r>
    </w:p>
    <w:p w14:paraId="765093AE" w14:textId="77777777" w:rsidR="003B1EC4" w:rsidRPr="00E202F1" w:rsidRDefault="003B1EC4" w:rsidP="003B1EC4">
      <w:pPr>
        <w:pStyle w:val="Paragrsimple"/>
        <w:rPr>
          <w:lang w:val="en-CA"/>
        </w:rPr>
      </w:pPr>
      <w:r w:rsidRPr="00E202F1">
        <w:rPr>
          <w:b/>
          <w:bCs/>
          <w:lang w:val="en-CA"/>
        </w:rPr>
        <w:t xml:space="preserve">GRANTS </w:t>
      </w:r>
      <w:r w:rsidRPr="00337998">
        <w:rPr>
          <w:lang w:val="en-CA"/>
        </w:rPr>
        <w:t>in part the applicants’ application for judicial review;</w:t>
      </w:r>
    </w:p>
    <w:p w14:paraId="0C3E6F67" w14:textId="6C730B64" w:rsidR="003B1EC4" w:rsidRPr="00D821C6" w:rsidRDefault="003B1EC4" w:rsidP="003B1EC4">
      <w:pPr>
        <w:pStyle w:val="Paragrsimple"/>
        <w:rPr>
          <w:lang w:val="en-CA"/>
        </w:rPr>
      </w:pPr>
      <w:r w:rsidRPr="00337998">
        <w:rPr>
          <w:b/>
          <w:lang w:val="en-CA"/>
        </w:rPr>
        <w:t>DECLARES</w:t>
      </w:r>
      <w:r w:rsidRPr="00D821C6">
        <w:rPr>
          <w:bCs/>
          <w:lang w:val="en-CA"/>
        </w:rPr>
        <w:t xml:space="preserve"> </w:t>
      </w:r>
      <w:r w:rsidRPr="00337998">
        <w:rPr>
          <w:b/>
          <w:lang w:val="en-CA"/>
        </w:rPr>
        <w:t>THAT</w:t>
      </w:r>
      <w:r w:rsidRPr="00D821C6">
        <w:rPr>
          <w:bCs/>
          <w:lang w:val="en-CA"/>
        </w:rPr>
        <w:t xml:space="preserve"> sections 50, 52</w:t>
      </w:r>
      <w:r w:rsidR="003761E0">
        <w:rPr>
          <w:bCs/>
          <w:lang w:val="en-CA"/>
        </w:rPr>
        <w:t xml:space="preserve"> in </w:t>
      </w:r>
      <w:r w:rsidRPr="00D821C6">
        <w:rPr>
          <w:bCs/>
          <w:lang w:val="en-CA"/>
        </w:rPr>
        <w:t xml:space="preserve">respect </w:t>
      </w:r>
      <w:r w:rsidR="003761E0">
        <w:rPr>
          <w:bCs/>
          <w:lang w:val="en-CA"/>
        </w:rPr>
        <w:t xml:space="preserve">of </w:t>
      </w:r>
      <w:r w:rsidRPr="00D821C6">
        <w:rPr>
          <w:bCs/>
          <w:lang w:val="en-CA"/>
        </w:rPr>
        <w:t xml:space="preserve">the addition of section 155 to the </w:t>
      </w:r>
      <w:r w:rsidRPr="005352DE">
        <w:rPr>
          <w:bCs/>
          <w:i/>
          <w:iCs/>
          <w:lang w:val="en-CA"/>
        </w:rPr>
        <w:t>EA</w:t>
      </w:r>
      <w:r w:rsidRPr="00D821C6">
        <w:rPr>
          <w:bCs/>
          <w:lang w:val="en-CA"/>
        </w:rPr>
        <w:t xml:space="preserve">, 66, 91, 93, 196, 208, 212, and 216 of the </w:t>
      </w:r>
      <w:r w:rsidRPr="00D821C6">
        <w:rPr>
          <w:bCs/>
          <w:i/>
          <w:lang w:val="en-CA"/>
        </w:rPr>
        <w:t>Act to amend mainly the Education Act with regard to school organization and governance</w:t>
      </w:r>
      <w:r w:rsidRPr="00D821C6">
        <w:rPr>
          <w:bCs/>
          <w:lang w:val="en-CA"/>
        </w:rPr>
        <w:t xml:space="preserve"> and 155 and 473.1 of the </w:t>
      </w:r>
      <w:r w:rsidRPr="00D821C6">
        <w:rPr>
          <w:bCs/>
          <w:i/>
          <w:lang w:val="en-CA"/>
        </w:rPr>
        <w:t xml:space="preserve">Education Act </w:t>
      </w:r>
      <w:r w:rsidR="003761E0">
        <w:rPr>
          <w:bCs/>
          <w:iCs/>
          <w:lang w:val="en-CA"/>
        </w:rPr>
        <w:t xml:space="preserve">infringe </w:t>
      </w:r>
      <w:r w:rsidRPr="00D821C6">
        <w:rPr>
          <w:bCs/>
          <w:lang w:val="en-CA"/>
        </w:rPr>
        <w:t>the rights guarant</w:t>
      </w:r>
      <w:r w:rsidR="003761E0">
        <w:rPr>
          <w:bCs/>
          <w:lang w:val="en-CA"/>
        </w:rPr>
        <w:t>e</w:t>
      </w:r>
      <w:r w:rsidRPr="00D821C6">
        <w:rPr>
          <w:bCs/>
          <w:lang w:val="en-CA"/>
        </w:rPr>
        <w:t xml:space="preserve">ed under section 23 of the </w:t>
      </w:r>
      <w:r w:rsidRPr="00D821C6">
        <w:rPr>
          <w:bCs/>
          <w:i/>
          <w:lang w:val="en-CA"/>
        </w:rPr>
        <w:t xml:space="preserve">Canadian Charter of </w:t>
      </w:r>
      <w:r w:rsidR="003761E0">
        <w:rPr>
          <w:bCs/>
          <w:i/>
          <w:lang w:val="en-CA"/>
        </w:rPr>
        <w:t>R</w:t>
      </w:r>
      <w:r w:rsidRPr="00D821C6">
        <w:rPr>
          <w:bCs/>
          <w:i/>
          <w:lang w:val="en-CA"/>
        </w:rPr>
        <w:t xml:space="preserve">ights and </w:t>
      </w:r>
      <w:r w:rsidR="003761E0">
        <w:rPr>
          <w:bCs/>
          <w:i/>
          <w:lang w:val="en-CA"/>
        </w:rPr>
        <w:t>F</w:t>
      </w:r>
      <w:r w:rsidRPr="00D821C6">
        <w:rPr>
          <w:bCs/>
          <w:i/>
          <w:lang w:val="en-CA"/>
        </w:rPr>
        <w:t>reedoms</w:t>
      </w:r>
      <w:r w:rsidRPr="00D821C6">
        <w:rPr>
          <w:bCs/>
          <w:lang w:val="en-CA"/>
        </w:rPr>
        <w:t>;</w:t>
      </w:r>
      <w:r w:rsidRPr="00D821C6">
        <w:rPr>
          <w:lang w:val="en-CA"/>
        </w:rPr>
        <w:t xml:space="preserve"> </w:t>
      </w:r>
    </w:p>
    <w:p w14:paraId="52447931" w14:textId="1488EC8C" w:rsidR="003B1EC4" w:rsidRPr="00E202F1" w:rsidRDefault="003B1EC4" w:rsidP="003B1EC4">
      <w:pPr>
        <w:pStyle w:val="Paragrsimple"/>
        <w:rPr>
          <w:lang w:val="en-CA"/>
        </w:rPr>
      </w:pPr>
      <w:r w:rsidRPr="00337998">
        <w:rPr>
          <w:rFonts w:cs="Arial"/>
          <w:b/>
          <w:color w:val="000000"/>
          <w:lang w:val="en-CA"/>
        </w:rPr>
        <w:t>DECLARES</w:t>
      </w:r>
      <w:r w:rsidRPr="00E202F1">
        <w:rPr>
          <w:rFonts w:cs="Arial"/>
          <w:bCs/>
          <w:color w:val="000000"/>
          <w:lang w:val="en-CA"/>
        </w:rPr>
        <w:t xml:space="preserve"> that these </w:t>
      </w:r>
      <w:r w:rsidR="003761E0">
        <w:rPr>
          <w:rFonts w:cs="Arial"/>
          <w:bCs/>
          <w:color w:val="000000"/>
          <w:lang w:val="en-CA"/>
        </w:rPr>
        <w:t xml:space="preserve">infringements </w:t>
      </w:r>
      <w:r w:rsidRPr="00E202F1">
        <w:rPr>
          <w:rFonts w:cs="Arial"/>
          <w:bCs/>
          <w:color w:val="000000"/>
          <w:lang w:val="en-CA"/>
        </w:rPr>
        <w:t xml:space="preserve">cannot be justified under section 1 of the </w:t>
      </w:r>
      <w:r w:rsidRPr="00E202F1">
        <w:rPr>
          <w:rFonts w:cs="Arial"/>
          <w:bCs/>
          <w:i/>
          <w:lang w:val="en-CA"/>
        </w:rPr>
        <w:t>Canadian Charter of Rights and Freedoms</w:t>
      </w:r>
      <w:r w:rsidRPr="00E202F1">
        <w:rPr>
          <w:rFonts w:cs="Arial"/>
          <w:bCs/>
          <w:lang w:val="en-CA"/>
        </w:rPr>
        <w:t>;</w:t>
      </w:r>
    </w:p>
    <w:p w14:paraId="27EA1E2D" w14:textId="77777777" w:rsidR="003B1EC4" w:rsidRPr="00337998" w:rsidRDefault="003B1EC4" w:rsidP="003B1EC4">
      <w:pPr>
        <w:pStyle w:val="Paragrsimple"/>
        <w:rPr>
          <w:lang w:val="en-CA"/>
        </w:rPr>
      </w:pPr>
      <w:r w:rsidRPr="00D821C6">
        <w:rPr>
          <w:b/>
          <w:bCs/>
          <w:lang w:val="en-CA"/>
        </w:rPr>
        <w:t xml:space="preserve">DECLARES THAT </w:t>
      </w:r>
      <w:r w:rsidRPr="00337998">
        <w:rPr>
          <w:lang w:val="en-CA"/>
        </w:rPr>
        <w:t xml:space="preserve">these provisions are inoperative with regard to the English-language school boards of Quebec; </w:t>
      </w:r>
    </w:p>
    <w:p w14:paraId="5B9461DD" w14:textId="63E77C04" w:rsidR="003B1EC4" w:rsidRPr="00E202F1" w:rsidRDefault="003B1EC4" w:rsidP="003B1EC4">
      <w:pPr>
        <w:pStyle w:val="Paragrsimple"/>
        <w:rPr>
          <w:lang w:val="en-CA"/>
        </w:rPr>
      </w:pPr>
      <w:r w:rsidRPr="00337998">
        <w:rPr>
          <w:b/>
          <w:lang w:val="en-CA"/>
        </w:rPr>
        <w:t>DISMISSES</w:t>
      </w:r>
      <w:r w:rsidRPr="00E202F1">
        <w:rPr>
          <w:bCs/>
          <w:lang w:val="en-CA"/>
        </w:rPr>
        <w:t xml:space="preserve"> the application </w:t>
      </w:r>
      <w:r w:rsidR="00EC2A49">
        <w:rPr>
          <w:bCs/>
          <w:lang w:val="en-CA"/>
        </w:rPr>
        <w:t>concerning</w:t>
      </w:r>
      <w:r w:rsidRPr="00E202F1">
        <w:rPr>
          <w:bCs/>
          <w:lang w:val="en-CA"/>
        </w:rPr>
        <w:t xml:space="preserve"> sections 105, 142, 329, and 330 of the </w:t>
      </w:r>
      <w:r w:rsidRPr="00E202F1">
        <w:rPr>
          <w:bCs/>
          <w:i/>
          <w:lang w:val="en-CA"/>
        </w:rPr>
        <w:t>Act to amend mainly the Education Act with regard to school organization and governance</w:t>
      </w:r>
      <w:r w:rsidRPr="00E202F1">
        <w:rPr>
          <w:bCs/>
          <w:lang w:val="en-CA"/>
        </w:rPr>
        <w:t>;</w:t>
      </w:r>
    </w:p>
    <w:p w14:paraId="667B39FE" w14:textId="77777777" w:rsidR="003B1EC4" w:rsidRPr="00D821C6" w:rsidRDefault="003B1EC4" w:rsidP="003B1EC4">
      <w:pPr>
        <w:pStyle w:val="Paragrdouble"/>
        <w:spacing w:line="240" w:lineRule="auto"/>
        <w:rPr>
          <w:rFonts w:eastAsiaTheme="minorHAnsi"/>
          <w:lang w:val="en-CA" w:eastAsia="en-US"/>
        </w:rPr>
      </w:pPr>
      <w:r w:rsidRPr="00337998">
        <w:rPr>
          <w:b/>
          <w:lang w:val="en-CA"/>
        </w:rPr>
        <w:lastRenderedPageBreak/>
        <w:t>SUSPENDS</w:t>
      </w:r>
      <w:r w:rsidRPr="00D821C6">
        <w:rPr>
          <w:bCs/>
          <w:lang w:val="en-CA"/>
        </w:rPr>
        <w:t xml:space="preserve"> the declaration of inoperability of section 15 of the </w:t>
      </w:r>
      <w:r w:rsidRPr="00D821C6">
        <w:rPr>
          <w:bCs/>
          <w:i/>
          <w:lang w:val="en-CA"/>
        </w:rPr>
        <w:t>Act respecting school elections to elect certain members of the boards of directors of English-language school service centres</w:t>
      </w:r>
      <w:r w:rsidRPr="00D821C6">
        <w:rPr>
          <w:bCs/>
          <w:lang w:val="en-CA"/>
        </w:rPr>
        <w:t xml:space="preserve"> for a period of 18 months from the date of this judgment;</w:t>
      </w:r>
    </w:p>
    <w:p w14:paraId="206CB5E5" w14:textId="77777777" w:rsidR="003B1EC4" w:rsidRPr="00D821C6" w:rsidRDefault="003B1EC4" w:rsidP="003B1EC4">
      <w:pPr>
        <w:pStyle w:val="Paragrdouble"/>
        <w:spacing w:line="240" w:lineRule="auto"/>
        <w:rPr>
          <w:lang w:val="en-CA"/>
        </w:rPr>
      </w:pPr>
      <w:r w:rsidRPr="00D821C6">
        <w:rPr>
          <w:b/>
          <w:bCs/>
          <w:lang w:val="en-CA"/>
        </w:rPr>
        <w:t xml:space="preserve">EXTENDS </w:t>
      </w:r>
      <w:r w:rsidRPr="00337998">
        <w:rPr>
          <w:lang w:val="en-CA"/>
        </w:rPr>
        <w:t xml:space="preserve">the suspension of the application of the </w:t>
      </w:r>
      <w:r w:rsidRPr="00337998">
        <w:rPr>
          <w:i/>
          <w:iCs/>
          <w:lang w:val="en-CA"/>
        </w:rPr>
        <w:t>Act</w:t>
      </w:r>
      <w:r w:rsidRPr="00337998">
        <w:rPr>
          <w:lang w:val="en-CA"/>
        </w:rPr>
        <w:t xml:space="preserve"> and other statutory provisions ordered on August 10, 2020, until the time limit to appeal this judgment has expired;</w:t>
      </w:r>
    </w:p>
    <w:p w14:paraId="058AC5E5" w14:textId="428D9865" w:rsidR="003B1EC4" w:rsidRPr="00D821C6" w:rsidRDefault="003B1EC4" w:rsidP="003B1EC4">
      <w:pPr>
        <w:pStyle w:val="Paragrdouble"/>
        <w:spacing w:line="240" w:lineRule="auto"/>
        <w:rPr>
          <w:lang w:val="en-CA"/>
        </w:rPr>
      </w:pPr>
      <w:r w:rsidRPr="00D821C6">
        <w:rPr>
          <w:b/>
          <w:bCs/>
          <w:lang w:val="en-CA"/>
        </w:rPr>
        <w:t xml:space="preserve">SUSPENDS </w:t>
      </w:r>
      <w:r w:rsidRPr="00337998">
        <w:rPr>
          <w:lang w:val="en-CA"/>
        </w:rPr>
        <w:t>for a period of six months from the date of this judgment the application of the statutory provisions listed in the Schedule to this judgment to the English-language school boards or school service centres;</w:t>
      </w:r>
      <w:r w:rsidRPr="00D821C6">
        <w:rPr>
          <w:lang w:val="en-CA"/>
        </w:rPr>
        <w:t xml:space="preserve"> </w:t>
      </w:r>
    </w:p>
    <w:p w14:paraId="37D6A268" w14:textId="77777777" w:rsidR="003B1EC4" w:rsidRPr="00D821C6" w:rsidRDefault="003B1EC4" w:rsidP="003B1EC4">
      <w:pPr>
        <w:pStyle w:val="Paragrdouble"/>
        <w:spacing w:line="240" w:lineRule="auto"/>
        <w:rPr>
          <w:lang w:val="en-CA"/>
        </w:rPr>
      </w:pPr>
      <w:r>
        <w:rPr>
          <w:b/>
          <w:bCs/>
          <w:lang w:val="en-CA"/>
        </w:rPr>
        <w:t>RETAINS</w:t>
      </w:r>
      <w:r w:rsidRPr="00D821C6">
        <w:rPr>
          <w:b/>
          <w:bCs/>
          <w:lang w:val="en-CA"/>
        </w:rPr>
        <w:t xml:space="preserve"> </w:t>
      </w:r>
      <w:r w:rsidRPr="00337998">
        <w:rPr>
          <w:lang w:val="en-CA"/>
        </w:rPr>
        <w:t>jurisdiction over this file to resolve any issues that may arise in this respect;</w:t>
      </w:r>
    </w:p>
    <w:p w14:paraId="40213CCF" w14:textId="5B678750" w:rsidR="003B1EC4" w:rsidRPr="00E202F1" w:rsidRDefault="003B1EC4" w:rsidP="003B1EC4">
      <w:pPr>
        <w:pStyle w:val="Paragrsimple"/>
        <w:rPr>
          <w:lang w:val="en-CA"/>
        </w:rPr>
      </w:pPr>
      <w:r w:rsidRPr="00E202F1">
        <w:rPr>
          <w:b/>
          <w:lang w:val="en-CA"/>
        </w:rPr>
        <w:t>THE WHOLE</w:t>
      </w:r>
      <w:r w:rsidRPr="00337998">
        <w:rPr>
          <w:bCs/>
          <w:lang w:val="en-CA"/>
        </w:rPr>
        <w:t>, with legal costs, including experts</w:t>
      </w:r>
      <w:r w:rsidR="00F27437">
        <w:rPr>
          <w:bCs/>
          <w:lang w:val="en-CA"/>
        </w:rPr>
        <w:t>’ fees</w:t>
      </w:r>
      <w:r w:rsidRPr="00337998">
        <w:rPr>
          <w:bCs/>
          <w:lang w:val="en-CA"/>
        </w:rPr>
        <w:t xml:space="preserve">, </w:t>
      </w:r>
      <w:r w:rsidR="00437E7F">
        <w:rPr>
          <w:bCs/>
          <w:lang w:val="en-CA"/>
        </w:rPr>
        <w:t>in favour</w:t>
      </w:r>
      <w:r w:rsidRPr="00337998">
        <w:rPr>
          <w:bCs/>
          <w:lang w:val="en-CA"/>
        </w:rPr>
        <w:t xml:space="preserve"> of the applicants.</w:t>
      </w:r>
    </w:p>
    <w:tbl>
      <w:tblPr>
        <w:tblW w:w="9505" w:type="dxa"/>
        <w:tblLayout w:type="fixed"/>
        <w:tblCellMar>
          <w:left w:w="70" w:type="dxa"/>
          <w:right w:w="70" w:type="dxa"/>
        </w:tblCellMar>
        <w:tblLook w:val="0000" w:firstRow="0" w:lastRow="0" w:firstColumn="0" w:lastColumn="0" w:noHBand="0" w:noVBand="0"/>
      </w:tblPr>
      <w:tblGrid>
        <w:gridCol w:w="4867"/>
        <w:gridCol w:w="4638"/>
      </w:tblGrid>
      <w:tr w:rsidR="003B1EC4" w:rsidRPr="00294968" w14:paraId="37A30E5D" w14:textId="77777777" w:rsidTr="005F0519">
        <w:trPr>
          <w:trHeight w:val="576"/>
        </w:trPr>
        <w:tc>
          <w:tcPr>
            <w:tcW w:w="9505" w:type="dxa"/>
            <w:gridSpan w:val="2"/>
          </w:tcPr>
          <w:p w14:paraId="5626A08C" w14:textId="77777777" w:rsidR="003B1EC4" w:rsidRPr="00D821C6" w:rsidRDefault="003B1EC4" w:rsidP="005F0519">
            <w:pPr>
              <w:keepNext/>
              <w:keepLines/>
              <w:rPr>
                <w:lang w:val="en-CA"/>
              </w:rPr>
            </w:pPr>
          </w:p>
          <w:p w14:paraId="22EA026A" w14:textId="77777777" w:rsidR="003B1EC4" w:rsidRPr="00D821C6" w:rsidRDefault="003B1EC4" w:rsidP="005F0519">
            <w:pPr>
              <w:keepNext/>
              <w:keepLines/>
              <w:rPr>
                <w:lang w:val="en-CA"/>
              </w:rPr>
            </w:pPr>
          </w:p>
          <w:p w14:paraId="066B5109" w14:textId="77777777" w:rsidR="003B1EC4" w:rsidRPr="00D821C6" w:rsidRDefault="003B1EC4" w:rsidP="005F0519">
            <w:pPr>
              <w:keepNext/>
              <w:keepLines/>
              <w:rPr>
                <w:lang w:val="en-CA"/>
              </w:rPr>
            </w:pPr>
          </w:p>
          <w:p w14:paraId="5E108668" w14:textId="77777777" w:rsidR="003B1EC4" w:rsidRPr="00D821C6" w:rsidRDefault="003B1EC4" w:rsidP="005F0519">
            <w:pPr>
              <w:keepNext/>
              <w:keepLines/>
              <w:rPr>
                <w:lang w:val="en-CA"/>
              </w:rPr>
            </w:pPr>
          </w:p>
          <w:p w14:paraId="3B013034" w14:textId="77777777" w:rsidR="003B1EC4" w:rsidRPr="00D821C6" w:rsidRDefault="003B1EC4" w:rsidP="005F0519">
            <w:pPr>
              <w:keepNext/>
              <w:keepLines/>
              <w:rPr>
                <w:lang w:val="en-CA"/>
              </w:rPr>
            </w:pPr>
          </w:p>
        </w:tc>
      </w:tr>
      <w:tr w:rsidR="003B1EC4" w14:paraId="16591A05" w14:textId="77777777" w:rsidTr="005F0519">
        <w:tblPrEx>
          <w:tblCellMar>
            <w:left w:w="0" w:type="dxa"/>
            <w:right w:w="0" w:type="dxa"/>
          </w:tblCellMar>
        </w:tblPrEx>
        <w:trPr>
          <w:cantSplit/>
        </w:trPr>
        <w:tc>
          <w:tcPr>
            <w:tcW w:w="4867" w:type="dxa"/>
          </w:tcPr>
          <w:p w14:paraId="056AC69A" w14:textId="77777777" w:rsidR="003B1EC4" w:rsidRPr="00D821C6" w:rsidRDefault="003B1EC4" w:rsidP="005F0519">
            <w:pPr>
              <w:rPr>
                <w:lang w:val="en-CA"/>
              </w:rPr>
            </w:pPr>
          </w:p>
        </w:tc>
        <w:tc>
          <w:tcPr>
            <w:tcW w:w="4638" w:type="dxa"/>
          </w:tcPr>
          <w:p w14:paraId="6C51B9FD" w14:textId="77777777" w:rsidR="003B1EC4" w:rsidRPr="00E202F1" w:rsidRDefault="003B1EC4" w:rsidP="005F0519">
            <w:pPr>
              <w:pStyle w:val="zSoquijdatSignature3Juge"/>
            </w:pPr>
            <w:r w:rsidRPr="00E202F1">
              <w:t>__________________________________</w:t>
            </w:r>
            <w:r w:rsidRPr="00E202F1">
              <w:rPr>
                <w:b/>
              </w:rPr>
              <w:t>SYLVAIN LUSSIER, J.S.C.</w:t>
            </w:r>
          </w:p>
        </w:tc>
      </w:tr>
      <w:tr w:rsidR="003B1EC4" w14:paraId="2AB822F3" w14:textId="77777777" w:rsidTr="005F0519">
        <w:tc>
          <w:tcPr>
            <w:tcW w:w="9505" w:type="dxa"/>
            <w:gridSpan w:val="2"/>
          </w:tcPr>
          <w:p w14:paraId="7347F613" w14:textId="77777777" w:rsidR="003B1EC4" w:rsidRPr="00F4770B" w:rsidRDefault="003B1EC4" w:rsidP="005F0519"/>
        </w:tc>
      </w:tr>
      <w:tr w:rsidR="003B1EC4" w:rsidRPr="00294968" w14:paraId="35159C86" w14:textId="77777777" w:rsidTr="005F0519">
        <w:trPr>
          <w:cantSplit/>
        </w:trPr>
        <w:tc>
          <w:tcPr>
            <w:tcW w:w="9505" w:type="dxa"/>
            <w:gridSpan w:val="2"/>
          </w:tcPr>
          <w:p w14:paraId="75219B6B" w14:textId="77777777" w:rsidR="003B1EC4" w:rsidRPr="004241A9" w:rsidRDefault="003B1EC4" w:rsidP="005F0519">
            <w:pPr>
              <w:keepNext/>
              <w:keepLines/>
            </w:pPr>
            <w:r w:rsidRPr="004241A9">
              <w:t>Mtre Giacomo Zucchi</w:t>
            </w:r>
          </w:p>
          <w:p w14:paraId="25543B3A" w14:textId="77777777" w:rsidR="003B1EC4" w:rsidRPr="004241A9" w:rsidRDefault="003B1EC4" w:rsidP="005F0519">
            <w:pPr>
              <w:keepNext/>
              <w:keepLines/>
            </w:pPr>
            <w:r w:rsidRPr="004241A9">
              <w:t>Mtre Perri Ravon</w:t>
            </w:r>
          </w:p>
          <w:p w14:paraId="2B70F484" w14:textId="77777777" w:rsidR="003B1EC4" w:rsidRPr="00E202F1" w:rsidRDefault="003B1EC4" w:rsidP="005F0519">
            <w:pPr>
              <w:keepNext/>
              <w:keepLines/>
              <w:rPr>
                <w:lang w:val="en-CA"/>
              </w:rPr>
            </w:pPr>
            <w:r w:rsidRPr="00E202F1">
              <w:rPr>
                <w:lang w:val="en-CA"/>
              </w:rPr>
              <w:t>Mtre Mark Power</w:t>
            </w:r>
          </w:p>
          <w:p w14:paraId="27613AA1" w14:textId="77777777" w:rsidR="003B1EC4" w:rsidRPr="00E202F1" w:rsidRDefault="003B1EC4" w:rsidP="005F0519">
            <w:pPr>
              <w:keepNext/>
              <w:keepLines/>
              <w:rPr>
                <w:lang w:val="en-CA"/>
              </w:rPr>
            </w:pPr>
            <w:r w:rsidRPr="00E202F1">
              <w:rPr>
                <w:lang w:val="en-CA"/>
              </w:rPr>
              <w:t xml:space="preserve">Mtre Audrey </w:t>
            </w:r>
            <w:proofErr w:type="spellStart"/>
            <w:r w:rsidRPr="00E202F1">
              <w:rPr>
                <w:lang w:val="en-CA"/>
              </w:rPr>
              <w:t>Mayrand</w:t>
            </w:r>
            <w:proofErr w:type="spellEnd"/>
          </w:p>
          <w:p w14:paraId="581301B0" w14:textId="77777777" w:rsidR="003B1EC4" w:rsidRPr="00E202F1" w:rsidRDefault="003B1EC4" w:rsidP="005F0519">
            <w:pPr>
              <w:keepNext/>
              <w:keepLines/>
              <w:rPr>
                <w:b/>
                <w:lang w:val="en-CA"/>
              </w:rPr>
            </w:pPr>
            <w:r w:rsidRPr="00E202F1">
              <w:rPr>
                <w:b/>
                <w:lang w:val="en-CA"/>
              </w:rPr>
              <w:t>Power Law</w:t>
            </w:r>
          </w:p>
          <w:p w14:paraId="6C34968D" w14:textId="77777777" w:rsidR="003B1EC4" w:rsidRPr="004241A9" w:rsidRDefault="003B1EC4" w:rsidP="005F0519">
            <w:pPr>
              <w:keepNext/>
              <w:keepLines/>
              <w:rPr>
                <w:lang w:val="en-CA"/>
              </w:rPr>
            </w:pPr>
            <w:r w:rsidRPr="004241A9">
              <w:rPr>
                <w:lang w:val="en-CA"/>
              </w:rPr>
              <w:t>Counsel for the applicants</w:t>
            </w:r>
          </w:p>
          <w:p w14:paraId="3880825B" w14:textId="77777777" w:rsidR="003B1EC4" w:rsidRPr="004241A9" w:rsidRDefault="003B1EC4" w:rsidP="005F0519">
            <w:pPr>
              <w:keepNext/>
              <w:keepLines/>
              <w:rPr>
                <w:rFonts w:cs="Arial"/>
                <w:lang w:val="en-CA"/>
              </w:rPr>
            </w:pPr>
          </w:p>
        </w:tc>
      </w:tr>
      <w:tr w:rsidR="003B1EC4" w:rsidRPr="00294968" w14:paraId="1E7F30DF" w14:textId="77777777" w:rsidTr="005F0519">
        <w:trPr>
          <w:cantSplit/>
        </w:trPr>
        <w:tc>
          <w:tcPr>
            <w:tcW w:w="9505" w:type="dxa"/>
            <w:gridSpan w:val="2"/>
          </w:tcPr>
          <w:p w14:paraId="192294C0" w14:textId="77777777" w:rsidR="003B1EC4" w:rsidRPr="00E202F1" w:rsidRDefault="003B1EC4" w:rsidP="005F0519">
            <w:r w:rsidRPr="00E202F1">
              <w:t xml:space="preserve">Mtre Samuel </w:t>
            </w:r>
            <w:proofErr w:type="spellStart"/>
            <w:r w:rsidRPr="00E202F1">
              <w:t>Chayer</w:t>
            </w:r>
            <w:proofErr w:type="spellEnd"/>
          </w:p>
          <w:p w14:paraId="5EB15BF2" w14:textId="77777777" w:rsidR="003B1EC4" w:rsidRPr="00E202F1" w:rsidRDefault="003B1EC4" w:rsidP="005F0519">
            <w:pPr>
              <w:keepNext/>
              <w:keepLines/>
            </w:pPr>
            <w:r w:rsidRPr="00E202F1">
              <w:t>Mtre Manuel Klein</w:t>
            </w:r>
          </w:p>
          <w:p w14:paraId="552136B8" w14:textId="77777777" w:rsidR="003B1EC4" w:rsidRPr="00E202F1" w:rsidRDefault="003B1EC4" w:rsidP="005F0519">
            <w:pPr>
              <w:keepNext/>
              <w:keepLines/>
              <w:rPr>
                <w:rFonts w:cs="Arial"/>
                <w:lang w:val="en-CA"/>
              </w:rPr>
            </w:pPr>
            <w:r w:rsidRPr="00E202F1">
              <w:rPr>
                <w:rFonts w:cs="Arial"/>
                <w:lang w:val="en-CA"/>
              </w:rPr>
              <w:t>Mtre Alexandra Hodder</w:t>
            </w:r>
          </w:p>
          <w:p w14:paraId="763D0895" w14:textId="77777777" w:rsidR="003B1EC4" w:rsidRPr="00E202F1" w:rsidRDefault="003B1EC4" w:rsidP="005F0519">
            <w:pPr>
              <w:keepNext/>
              <w:keepLines/>
              <w:rPr>
                <w:lang w:val="en-CA"/>
              </w:rPr>
            </w:pPr>
            <w:r w:rsidRPr="00E202F1">
              <w:rPr>
                <w:lang w:val="en-CA"/>
              </w:rPr>
              <w:t>Counsel for the Attorney General of Quebec</w:t>
            </w:r>
          </w:p>
        </w:tc>
      </w:tr>
      <w:tr w:rsidR="003B1EC4" w:rsidRPr="00294968" w14:paraId="7BA12314" w14:textId="77777777" w:rsidTr="005F0519">
        <w:trPr>
          <w:cantSplit/>
        </w:trPr>
        <w:tc>
          <w:tcPr>
            <w:tcW w:w="9505" w:type="dxa"/>
            <w:gridSpan w:val="2"/>
          </w:tcPr>
          <w:p w14:paraId="10828E7E" w14:textId="77777777" w:rsidR="003B1EC4" w:rsidRPr="00D821C6" w:rsidRDefault="003B1EC4" w:rsidP="005F0519">
            <w:pPr>
              <w:pStyle w:val="zSoquijlblProcureurDem"/>
              <w:rPr>
                <w:lang w:val="en-CA"/>
              </w:rPr>
            </w:pPr>
          </w:p>
        </w:tc>
      </w:tr>
      <w:tr w:rsidR="003B1EC4" w:rsidRPr="00294968" w14:paraId="0B1CF491" w14:textId="77777777" w:rsidTr="005F0519">
        <w:trPr>
          <w:cantSplit/>
        </w:trPr>
        <w:tc>
          <w:tcPr>
            <w:tcW w:w="9505" w:type="dxa"/>
            <w:gridSpan w:val="2"/>
          </w:tcPr>
          <w:p w14:paraId="6FCBB604" w14:textId="77777777" w:rsidR="003B1EC4" w:rsidRPr="00E202F1" w:rsidRDefault="003B1EC4" w:rsidP="005F0519">
            <w:pPr>
              <w:rPr>
                <w:lang w:val="en-CA"/>
              </w:rPr>
            </w:pPr>
            <w:r w:rsidRPr="00E202F1">
              <w:rPr>
                <w:lang w:val="en-CA"/>
              </w:rPr>
              <w:t>Mtre Lucie Roy</w:t>
            </w:r>
          </w:p>
          <w:p w14:paraId="7512AC1D" w14:textId="77777777" w:rsidR="003B1EC4" w:rsidRPr="00E202F1" w:rsidRDefault="003B1EC4" w:rsidP="005F0519">
            <w:pPr>
              <w:pStyle w:val="zSoquijlblProcureurDef"/>
              <w:rPr>
                <w:lang w:val="en-CA"/>
              </w:rPr>
            </w:pPr>
            <w:r w:rsidRPr="00E202F1">
              <w:rPr>
                <w:lang w:val="en-CA"/>
              </w:rPr>
              <w:t>For the English Montreal School Board</w:t>
            </w:r>
          </w:p>
          <w:p w14:paraId="6861CDB1" w14:textId="77777777" w:rsidR="003B1EC4" w:rsidRPr="00D821C6" w:rsidRDefault="003B1EC4" w:rsidP="005F0519">
            <w:pPr>
              <w:rPr>
                <w:lang w:val="en-CA"/>
              </w:rPr>
            </w:pPr>
          </w:p>
        </w:tc>
      </w:tr>
      <w:tr w:rsidR="003B1EC4" w:rsidRPr="00294968" w14:paraId="01797D22" w14:textId="77777777" w:rsidTr="005F0519">
        <w:trPr>
          <w:cantSplit/>
        </w:trPr>
        <w:tc>
          <w:tcPr>
            <w:tcW w:w="9505" w:type="dxa"/>
            <w:gridSpan w:val="2"/>
          </w:tcPr>
          <w:p w14:paraId="70DF1C6A" w14:textId="77777777" w:rsidR="003B1EC4" w:rsidRPr="00E202F1" w:rsidRDefault="003B1EC4" w:rsidP="005F0519">
            <w:pPr>
              <w:pStyle w:val="zSoquijlblProcureurDef"/>
            </w:pPr>
            <w:r w:rsidRPr="00E202F1">
              <w:t>Mtre Jacques S. Darche</w:t>
            </w:r>
          </w:p>
          <w:p w14:paraId="3A52021F" w14:textId="77777777" w:rsidR="003B1EC4" w:rsidRPr="00E202F1" w:rsidRDefault="003B1EC4" w:rsidP="005F0519">
            <w:pPr>
              <w:pStyle w:val="zSoquijlblProcureurDef"/>
              <w:rPr>
                <w:b/>
              </w:rPr>
            </w:pPr>
            <w:r w:rsidRPr="00E202F1">
              <w:rPr>
                <w:b/>
              </w:rPr>
              <w:t>BLG, LLP</w:t>
            </w:r>
          </w:p>
          <w:p w14:paraId="77284396" w14:textId="77777777" w:rsidR="003B1EC4" w:rsidRPr="00E202F1" w:rsidRDefault="003B1EC4" w:rsidP="005F0519">
            <w:pPr>
              <w:pStyle w:val="zSoquijlblProcureurDef"/>
              <w:rPr>
                <w:rFonts w:cs="Arial"/>
                <w:szCs w:val="24"/>
                <w:lang w:val="en-CA"/>
              </w:rPr>
            </w:pPr>
            <w:r w:rsidRPr="00E202F1">
              <w:rPr>
                <w:rFonts w:cs="Arial"/>
                <w:szCs w:val="24"/>
                <w:lang w:val="en-CA"/>
              </w:rPr>
              <w:t>Counsel for New Frontiers School Board and Shannon Keyes</w:t>
            </w:r>
          </w:p>
          <w:p w14:paraId="5EB5DA03" w14:textId="77777777" w:rsidR="003B1EC4" w:rsidRPr="00D37C52" w:rsidRDefault="003B1EC4" w:rsidP="005F0519">
            <w:pPr>
              <w:pStyle w:val="zSoquijdatCabinetProcureurDef"/>
              <w:rPr>
                <w:lang w:val="en-CA"/>
              </w:rPr>
            </w:pPr>
          </w:p>
        </w:tc>
      </w:tr>
      <w:tr w:rsidR="003B1EC4" w:rsidRPr="00294968" w14:paraId="3DFBBC4C" w14:textId="77777777" w:rsidTr="005F0519">
        <w:trPr>
          <w:cantSplit/>
        </w:trPr>
        <w:tc>
          <w:tcPr>
            <w:tcW w:w="9505" w:type="dxa"/>
            <w:gridSpan w:val="2"/>
          </w:tcPr>
          <w:p w14:paraId="2CC2453D" w14:textId="77777777" w:rsidR="003B1EC4" w:rsidRPr="00E202F1" w:rsidRDefault="003B1EC4" w:rsidP="005F0519">
            <w:pPr>
              <w:keepNext/>
              <w:keepLines/>
              <w:rPr>
                <w:rFonts w:cs="Arial"/>
                <w:lang w:val="en-CA"/>
              </w:rPr>
            </w:pPr>
            <w:r w:rsidRPr="00E202F1">
              <w:rPr>
                <w:rFonts w:cs="Arial"/>
                <w:lang w:val="en-CA"/>
              </w:rPr>
              <w:lastRenderedPageBreak/>
              <w:t>Mtre Myriam Donato</w:t>
            </w:r>
          </w:p>
          <w:p w14:paraId="33E6FE5E" w14:textId="77777777" w:rsidR="003B1EC4" w:rsidRPr="00E202F1" w:rsidRDefault="003B1EC4" w:rsidP="005F0519">
            <w:pPr>
              <w:keepNext/>
              <w:keepLines/>
              <w:rPr>
                <w:rFonts w:cs="Arial"/>
                <w:lang w:val="en-CA"/>
              </w:rPr>
            </w:pPr>
            <w:r w:rsidRPr="00E202F1">
              <w:rPr>
                <w:rFonts w:cs="Arial"/>
                <w:lang w:val="en-CA"/>
              </w:rPr>
              <w:t>Counsel for Western Quebec School Board, Riverside School Board, Eastern Townships School Board, Sir Wilfrid Laurier School Board, and Eastern Shores School Board</w:t>
            </w:r>
          </w:p>
          <w:p w14:paraId="3FB92CE2" w14:textId="77777777" w:rsidR="003B1EC4" w:rsidRPr="00D37C52" w:rsidRDefault="003B1EC4" w:rsidP="005F0519">
            <w:pPr>
              <w:pStyle w:val="zSoquijlblProcureurDef"/>
              <w:rPr>
                <w:lang w:val="en-CA"/>
              </w:rPr>
            </w:pPr>
          </w:p>
        </w:tc>
      </w:tr>
      <w:tr w:rsidR="003B1EC4" w:rsidRPr="00294968" w14:paraId="06D98DAA" w14:textId="77777777" w:rsidTr="005F0519">
        <w:trPr>
          <w:cantSplit/>
        </w:trPr>
        <w:tc>
          <w:tcPr>
            <w:tcW w:w="9505" w:type="dxa"/>
            <w:gridSpan w:val="2"/>
          </w:tcPr>
          <w:p w14:paraId="7D7377D6" w14:textId="77777777" w:rsidR="003B1EC4" w:rsidRPr="00E202F1" w:rsidRDefault="003B1EC4" w:rsidP="005F0519">
            <w:pPr>
              <w:keepNext/>
              <w:keepLines/>
              <w:rPr>
                <w:rFonts w:cs="Arial"/>
                <w:lang w:val="en-CA"/>
              </w:rPr>
            </w:pPr>
            <w:r w:rsidRPr="00E202F1">
              <w:rPr>
                <w:rFonts w:cs="Arial"/>
                <w:lang w:val="en-CA"/>
              </w:rPr>
              <w:t>Mtre Pierre Duquette</w:t>
            </w:r>
          </w:p>
          <w:p w14:paraId="51C950D7" w14:textId="77777777" w:rsidR="003B1EC4" w:rsidRPr="00E202F1" w:rsidRDefault="003B1EC4" w:rsidP="005F0519">
            <w:pPr>
              <w:keepNext/>
              <w:keepLines/>
              <w:rPr>
                <w:b/>
                <w:lang w:val="en-CA"/>
              </w:rPr>
            </w:pPr>
            <w:r w:rsidRPr="00E202F1">
              <w:rPr>
                <w:b/>
                <w:lang w:val="en-CA"/>
              </w:rPr>
              <w:t>NORTON ROSE FULBRIGHT CANADA, LLP</w:t>
            </w:r>
          </w:p>
          <w:p w14:paraId="332F2AF0" w14:textId="77777777" w:rsidR="003B1EC4" w:rsidRPr="00E202F1" w:rsidRDefault="003B1EC4" w:rsidP="005F0519">
            <w:pPr>
              <w:keepNext/>
              <w:keepLines/>
              <w:rPr>
                <w:rFonts w:cs="Arial"/>
                <w:lang w:val="en-CA"/>
              </w:rPr>
            </w:pPr>
            <w:r w:rsidRPr="00E202F1">
              <w:rPr>
                <w:rFonts w:cs="Arial"/>
                <w:lang w:val="en-CA"/>
              </w:rPr>
              <w:t xml:space="preserve">Counsel for Central Quebec School Board </w:t>
            </w:r>
          </w:p>
          <w:p w14:paraId="338F0311" w14:textId="77777777" w:rsidR="003B1EC4" w:rsidRPr="00215909" w:rsidRDefault="003B1EC4" w:rsidP="005F0519">
            <w:pPr>
              <w:keepNext/>
              <w:keepLines/>
              <w:rPr>
                <w:rFonts w:cs="Arial"/>
                <w:lang w:val="en-CA"/>
              </w:rPr>
            </w:pPr>
          </w:p>
          <w:p w14:paraId="107580C4" w14:textId="77777777" w:rsidR="003B1EC4" w:rsidRPr="00D37C52" w:rsidRDefault="003B1EC4" w:rsidP="005F0519">
            <w:pPr>
              <w:pStyle w:val="zSoquijlblProcureurDef"/>
              <w:rPr>
                <w:lang w:val="en-CA"/>
              </w:rPr>
            </w:pPr>
          </w:p>
        </w:tc>
      </w:tr>
      <w:tr w:rsidR="003B1EC4" w14:paraId="02A0B309" w14:textId="77777777" w:rsidTr="005F0519">
        <w:trPr>
          <w:cantSplit/>
        </w:trPr>
        <w:tc>
          <w:tcPr>
            <w:tcW w:w="9505" w:type="dxa"/>
            <w:gridSpan w:val="2"/>
          </w:tcPr>
          <w:p w14:paraId="631C578C" w14:textId="77777777" w:rsidR="003B1EC4" w:rsidRPr="00E202F1" w:rsidRDefault="003B1EC4" w:rsidP="005F0519">
            <w:pPr>
              <w:keepNext/>
              <w:keepLines/>
              <w:rPr>
                <w:rFonts w:cs="Arial"/>
              </w:rPr>
            </w:pPr>
            <w:r w:rsidRPr="00E202F1">
              <w:rPr>
                <w:rFonts w:cs="Arial"/>
              </w:rPr>
              <w:t>Mr. Chris Eustace</w:t>
            </w:r>
          </w:p>
          <w:p w14:paraId="515776D1" w14:textId="77777777" w:rsidR="003B1EC4" w:rsidRPr="00E202F1" w:rsidRDefault="003B1EC4" w:rsidP="005F0519">
            <w:pPr>
              <w:keepNext/>
              <w:keepLines/>
            </w:pPr>
            <w:r w:rsidRPr="00E202F1">
              <w:rPr>
                <w:rFonts w:cs="Arial"/>
              </w:rPr>
              <w:t xml:space="preserve">Not </w:t>
            </w:r>
            <w:proofErr w:type="spellStart"/>
            <w:r w:rsidRPr="00E202F1">
              <w:rPr>
                <w:rFonts w:cs="Arial"/>
              </w:rPr>
              <w:t>represented</w:t>
            </w:r>
            <w:proofErr w:type="spellEnd"/>
            <w:r w:rsidRPr="00E202F1">
              <w:rPr>
                <w:rFonts w:cs="Arial"/>
              </w:rPr>
              <w:t xml:space="preserve"> </w:t>
            </w:r>
          </w:p>
          <w:p w14:paraId="23760B6A" w14:textId="77777777" w:rsidR="003B1EC4" w:rsidRPr="00D821C6" w:rsidRDefault="003B1EC4" w:rsidP="005F0519">
            <w:pPr>
              <w:pStyle w:val="zSoquijlblProcureurDef"/>
            </w:pPr>
          </w:p>
        </w:tc>
      </w:tr>
      <w:tr w:rsidR="003B1EC4" w14:paraId="443770E4" w14:textId="77777777" w:rsidTr="005F0519">
        <w:trPr>
          <w:cantSplit/>
        </w:trPr>
        <w:tc>
          <w:tcPr>
            <w:tcW w:w="9505" w:type="dxa"/>
            <w:gridSpan w:val="2"/>
          </w:tcPr>
          <w:p w14:paraId="6A01055B" w14:textId="77777777" w:rsidR="003B1EC4" w:rsidRPr="00463770" w:rsidRDefault="003B1EC4" w:rsidP="005F0519">
            <w:pPr>
              <w:keepNext/>
              <w:keepLines/>
            </w:pPr>
          </w:p>
        </w:tc>
      </w:tr>
    </w:tbl>
    <w:p w14:paraId="1DF2BCD6" w14:textId="77777777" w:rsidR="003B1EC4" w:rsidRDefault="003B1EC4" w:rsidP="003B1EC4"/>
    <w:p w14:paraId="044327B3" w14:textId="77777777" w:rsidR="003B1EC4" w:rsidRDefault="003B1EC4" w:rsidP="003B1EC4"/>
    <w:p w14:paraId="1F56BC38" w14:textId="77777777" w:rsidR="003B1EC4" w:rsidRDefault="003B1EC4" w:rsidP="003B1EC4">
      <w:pPr>
        <w:rPr>
          <w:b/>
          <w:bCs/>
        </w:rPr>
      </w:pPr>
      <w:r>
        <w:rPr>
          <w:b/>
          <w:bCs/>
        </w:rPr>
        <w:br w:type="page"/>
      </w:r>
    </w:p>
    <w:p w14:paraId="5D7F810A" w14:textId="77777777" w:rsidR="003B1EC4" w:rsidRPr="00E202F1" w:rsidRDefault="003B1EC4" w:rsidP="003B1EC4">
      <w:pPr>
        <w:ind w:left="2924" w:firstLine="731"/>
        <w:rPr>
          <w:b/>
          <w:bCs/>
        </w:rPr>
      </w:pPr>
      <w:r w:rsidRPr="00E202F1">
        <w:rPr>
          <w:b/>
          <w:bCs/>
        </w:rPr>
        <w:lastRenderedPageBreak/>
        <w:t>SCHEDULE</w:t>
      </w:r>
    </w:p>
    <w:p w14:paraId="7F864E85" w14:textId="77777777" w:rsidR="003B1EC4" w:rsidRPr="005079E4" w:rsidRDefault="003B1EC4" w:rsidP="003B1EC4">
      <w:pPr>
        <w:ind w:left="2924" w:firstLine="731"/>
        <w:rPr>
          <w:b/>
          <w:bCs/>
        </w:rPr>
      </w:pPr>
    </w:p>
    <w:p w14:paraId="5E7F481D" w14:textId="77777777" w:rsidR="003B1EC4" w:rsidRPr="00E202F1" w:rsidRDefault="003B1EC4" w:rsidP="003B1EC4">
      <w:pPr>
        <w:ind w:left="731" w:firstLine="731"/>
        <w:rPr>
          <w:lang w:val="en-CA"/>
        </w:rPr>
      </w:pPr>
      <w:r w:rsidRPr="00E202F1">
        <w:rPr>
          <w:lang w:val="en-CA"/>
        </w:rPr>
        <w:t xml:space="preserve">(Provisions of the </w:t>
      </w:r>
      <w:r w:rsidRPr="005352DE">
        <w:rPr>
          <w:i/>
          <w:iCs/>
          <w:lang w:val="en-CA"/>
        </w:rPr>
        <w:t>Act</w:t>
      </w:r>
      <w:r w:rsidRPr="00E202F1">
        <w:rPr>
          <w:lang w:val="en-CA"/>
        </w:rPr>
        <w:t xml:space="preserve"> that have been suspended)</w:t>
      </w:r>
    </w:p>
    <w:p w14:paraId="53FE6DDB" w14:textId="77777777" w:rsidR="003B1EC4" w:rsidRPr="00D821C6" w:rsidRDefault="003B1EC4" w:rsidP="003B1EC4">
      <w:pPr>
        <w:rPr>
          <w:lang w:val="en-CA"/>
        </w:rPr>
      </w:pPr>
    </w:p>
    <w:p w14:paraId="62C944EC" w14:textId="09852FBB" w:rsidR="003B1EC4" w:rsidRDefault="003B1EC4" w:rsidP="00E54157">
      <w:pPr>
        <w:pStyle w:val="Paragraphedeliste"/>
        <w:widowControl w:val="0"/>
        <w:numPr>
          <w:ilvl w:val="0"/>
          <w:numId w:val="19"/>
        </w:numPr>
        <w:tabs>
          <w:tab w:val="left" w:pos="1899"/>
        </w:tabs>
        <w:autoSpaceDE w:val="0"/>
        <w:autoSpaceDN w:val="0"/>
        <w:ind w:left="1894" w:right="533" w:hanging="357"/>
        <w:contextualSpacing w:val="0"/>
        <w:jc w:val="left"/>
      </w:pPr>
      <w:r>
        <w:rPr>
          <w:spacing w:val="-12"/>
        </w:rPr>
        <w:t>3</w:t>
      </w:r>
    </w:p>
    <w:p w14:paraId="5E65EDD2" w14:textId="715CA079" w:rsidR="003B1EC4" w:rsidRDefault="003B1EC4" w:rsidP="003B1EC4">
      <w:pPr>
        <w:pStyle w:val="Paragraphedeliste"/>
        <w:widowControl w:val="0"/>
        <w:numPr>
          <w:ilvl w:val="0"/>
          <w:numId w:val="19"/>
        </w:numPr>
        <w:tabs>
          <w:tab w:val="left" w:pos="1899"/>
        </w:tabs>
        <w:autoSpaceDE w:val="0"/>
        <w:autoSpaceDN w:val="0"/>
        <w:ind w:left="1898" w:right="533" w:hanging="360"/>
        <w:contextualSpacing w:val="0"/>
        <w:jc w:val="left"/>
      </w:pPr>
      <w:r>
        <w:t>11(3)</w:t>
      </w:r>
    </w:p>
    <w:p w14:paraId="07617433" w14:textId="727AF02B" w:rsidR="003B1EC4" w:rsidRPr="00D821C6" w:rsidRDefault="003B1EC4" w:rsidP="003B1EC4">
      <w:pPr>
        <w:pStyle w:val="Paragraphedeliste"/>
        <w:widowControl w:val="0"/>
        <w:numPr>
          <w:ilvl w:val="0"/>
          <w:numId w:val="19"/>
        </w:numPr>
        <w:tabs>
          <w:tab w:val="left" w:pos="1899"/>
        </w:tabs>
        <w:autoSpaceDE w:val="0"/>
        <w:autoSpaceDN w:val="0"/>
        <w:ind w:left="1898" w:right="533" w:hanging="360"/>
        <w:contextualSpacing w:val="0"/>
        <w:jc w:val="left"/>
        <w:rPr>
          <w:lang w:val="en-CA"/>
        </w:rPr>
      </w:pPr>
      <w:r w:rsidRPr="00D821C6">
        <w:rPr>
          <w:lang w:val="en-CA"/>
        </w:rPr>
        <w:t>51 (In</w:t>
      </w:r>
      <w:r w:rsidR="0091198F">
        <w:rPr>
          <w:lang w:val="en-CA"/>
        </w:rPr>
        <w:t>sofar as</w:t>
      </w:r>
      <w:r w:rsidRPr="00D821C6">
        <w:rPr>
          <w:lang w:val="en-CA"/>
        </w:rPr>
        <w:t xml:space="preserve"> it repeals sections 145 to 148 </w:t>
      </w:r>
      <w:r w:rsidRPr="00D821C6">
        <w:rPr>
          <w:i/>
          <w:lang w:val="en-CA"/>
        </w:rPr>
        <w:t>EA</w:t>
      </w:r>
      <w:r w:rsidRPr="00D821C6">
        <w:rPr>
          <w:lang w:val="en-CA"/>
        </w:rPr>
        <w:t xml:space="preserve">) </w:t>
      </w:r>
    </w:p>
    <w:p w14:paraId="40B37303" w14:textId="6540654C" w:rsidR="003B1EC4" w:rsidRDefault="003B1EC4" w:rsidP="003B1EC4">
      <w:pPr>
        <w:pStyle w:val="Paragraphedeliste"/>
        <w:widowControl w:val="0"/>
        <w:numPr>
          <w:ilvl w:val="0"/>
          <w:numId w:val="19"/>
        </w:numPr>
        <w:tabs>
          <w:tab w:val="left" w:pos="1899"/>
        </w:tabs>
        <w:autoSpaceDE w:val="0"/>
        <w:autoSpaceDN w:val="0"/>
        <w:ind w:left="1898" w:hanging="361"/>
        <w:contextualSpacing w:val="0"/>
        <w:jc w:val="left"/>
      </w:pPr>
      <w:r>
        <w:rPr>
          <w:spacing w:val="-5"/>
        </w:rPr>
        <w:t>53</w:t>
      </w:r>
    </w:p>
    <w:p w14:paraId="3F50138E" w14:textId="252DB333" w:rsidR="003B1EC4" w:rsidRDefault="003B1EC4" w:rsidP="003B1EC4">
      <w:pPr>
        <w:pStyle w:val="Paragraphedeliste"/>
        <w:widowControl w:val="0"/>
        <w:numPr>
          <w:ilvl w:val="0"/>
          <w:numId w:val="19"/>
        </w:numPr>
        <w:tabs>
          <w:tab w:val="left" w:pos="1899"/>
        </w:tabs>
        <w:autoSpaceDE w:val="0"/>
        <w:autoSpaceDN w:val="0"/>
        <w:ind w:left="1898" w:hanging="361"/>
        <w:contextualSpacing w:val="0"/>
        <w:jc w:val="left"/>
      </w:pPr>
      <w:r>
        <w:rPr>
          <w:spacing w:val="-5"/>
        </w:rPr>
        <w:t>54</w:t>
      </w:r>
    </w:p>
    <w:p w14:paraId="7E0B03C7" w14:textId="19AD3743" w:rsidR="003B1EC4" w:rsidRDefault="003B1EC4" w:rsidP="003B1EC4">
      <w:pPr>
        <w:pStyle w:val="Paragraphedeliste"/>
        <w:widowControl w:val="0"/>
        <w:numPr>
          <w:ilvl w:val="0"/>
          <w:numId w:val="19"/>
        </w:numPr>
        <w:tabs>
          <w:tab w:val="left" w:pos="1899"/>
        </w:tabs>
        <w:autoSpaceDE w:val="0"/>
        <w:autoSpaceDN w:val="0"/>
        <w:spacing w:before="1"/>
        <w:ind w:left="1898" w:hanging="361"/>
        <w:contextualSpacing w:val="0"/>
        <w:jc w:val="left"/>
      </w:pPr>
      <w:r>
        <w:rPr>
          <w:spacing w:val="-5"/>
        </w:rPr>
        <w:t>55</w:t>
      </w:r>
    </w:p>
    <w:p w14:paraId="079CD74B" w14:textId="17BBC625" w:rsidR="003B1EC4" w:rsidRDefault="003B1EC4" w:rsidP="003B1EC4">
      <w:pPr>
        <w:pStyle w:val="Paragraphedeliste"/>
        <w:widowControl w:val="0"/>
        <w:numPr>
          <w:ilvl w:val="0"/>
          <w:numId w:val="19"/>
        </w:numPr>
        <w:tabs>
          <w:tab w:val="left" w:pos="1899"/>
        </w:tabs>
        <w:autoSpaceDE w:val="0"/>
        <w:autoSpaceDN w:val="0"/>
        <w:ind w:left="1898" w:hanging="361"/>
        <w:contextualSpacing w:val="0"/>
        <w:jc w:val="left"/>
      </w:pPr>
      <w:r>
        <w:rPr>
          <w:spacing w:val="-5"/>
        </w:rPr>
        <w:t>56</w:t>
      </w:r>
    </w:p>
    <w:p w14:paraId="26FBFE3D" w14:textId="698B1544" w:rsidR="003B1EC4" w:rsidRDefault="003B1EC4" w:rsidP="003B1EC4">
      <w:pPr>
        <w:pStyle w:val="Paragraphedeliste"/>
        <w:widowControl w:val="0"/>
        <w:numPr>
          <w:ilvl w:val="0"/>
          <w:numId w:val="19"/>
        </w:numPr>
        <w:autoSpaceDE w:val="0"/>
        <w:autoSpaceDN w:val="0"/>
        <w:ind w:left="1898" w:hanging="338"/>
        <w:contextualSpacing w:val="0"/>
        <w:jc w:val="left"/>
      </w:pPr>
      <w:r>
        <w:rPr>
          <w:spacing w:val="-5"/>
        </w:rPr>
        <w:t>57</w:t>
      </w:r>
    </w:p>
    <w:p w14:paraId="2C552129" w14:textId="65EDA977" w:rsidR="003B1EC4" w:rsidRDefault="003B1EC4" w:rsidP="003B1EC4">
      <w:pPr>
        <w:pStyle w:val="Paragraphedeliste"/>
        <w:widowControl w:val="0"/>
        <w:numPr>
          <w:ilvl w:val="0"/>
          <w:numId w:val="19"/>
        </w:numPr>
        <w:autoSpaceDE w:val="0"/>
        <w:autoSpaceDN w:val="0"/>
        <w:ind w:left="1898" w:hanging="338"/>
        <w:contextualSpacing w:val="0"/>
        <w:jc w:val="left"/>
      </w:pPr>
      <w:r>
        <w:rPr>
          <w:spacing w:val="-2"/>
        </w:rPr>
        <w:t>65(1)</w:t>
      </w:r>
    </w:p>
    <w:p w14:paraId="58E5E1CF" w14:textId="7D2A96F1" w:rsidR="003B1EC4" w:rsidRDefault="003B1EC4" w:rsidP="003B1EC4">
      <w:pPr>
        <w:pStyle w:val="Paragraphedeliste"/>
        <w:widowControl w:val="0"/>
        <w:numPr>
          <w:ilvl w:val="0"/>
          <w:numId w:val="19"/>
        </w:numPr>
        <w:autoSpaceDE w:val="0"/>
        <w:autoSpaceDN w:val="0"/>
        <w:ind w:left="1843" w:hanging="425"/>
        <w:contextualSpacing w:val="0"/>
        <w:jc w:val="left"/>
      </w:pPr>
      <w:r>
        <w:rPr>
          <w:spacing w:val="-2"/>
        </w:rPr>
        <w:t xml:space="preserve"> 67(1)</w:t>
      </w:r>
    </w:p>
    <w:p w14:paraId="061499B8" w14:textId="77777777" w:rsidR="003B1EC4" w:rsidRDefault="003B1EC4" w:rsidP="003B1EC4">
      <w:pPr>
        <w:pStyle w:val="Paragraphedeliste"/>
        <w:widowControl w:val="0"/>
        <w:numPr>
          <w:ilvl w:val="0"/>
          <w:numId w:val="19"/>
        </w:numPr>
        <w:tabs>
          <w:tab w:val="left" w:pos="1899"/>
        </w:tabs>
        <w:autoSpaceDE w:val="0"/>
        <w:autoSpaceDN w:val="0"/>
        <w:ind w:left="1898" w:hanging="502"/>
        <w:contextualSpacing w:val="0"/>
        <w:jc w:val="left"/>
      </w:pPr>
      <w:r>
        <w:rPr>
          <w:spacing w:val="-2"/>
        </w:rPr>
        <w:t>67(2)(a)</w:t>
      </w:r>
    </w:p>
    <w:p w14:paraId="5F59E150" w14:textId="77777777" w:rsidR="003B1EC4" w:rsidRDefault="003B1EC4" w:rsidP="003B1EC4">
      <w:pPr>
        <w:pStyle w:val="Paragraphedeliste"/>
        <w:widowControl w:val="0"/>
        <w:numPr>
          <w:ilvl w:val="0"/>
          <w:numId w:val="19"/>
        </w:numPr>
        <w:tabs>
          <w:tab w:val="left" w:pos="1899"/>
        </w:tabs>
        <w:autoSpaceDE w:val="0"/>
        <w:autoSpaceDN w:val="0"/>
        <w:ind w:left="1898" w:hanging="502"/>
        <w:contextualSpacing w:val="0"/>
        <w:jc w:val="left"/>
      </w:pPr>
      <w:r>
        <w:rPr>
          <w:spacing w:val="-2"/>
        </w:rPr>
        <w:t>67(2)(c)</w:t>
      </w:r>
    </w:p>
    <w:p w14:paraId="1625A01E" w14:textId="77777777" w:rsidR="003B1EC4" w:rsidRDefault="003B1EC4" w:rsidP="003B1EC4">
      <w:pPr>
        <w:pStyle w:val="Paragraphedeliste"/>
        <w:widowControl w:val="0"/>
        <w:numPr>
          <w:ilvl w:val="0"/>
          <w:numId w:val="19"/>
        </w:numPr>
        <w:tabs>
          <w:tab w:val="left" w:pos="1899"/>
        </w:tabs>
        <w:autoSpaceDE w:val="0"/>
        <w:autoSpaceDN w:val="0"/>
        <w:ind w:left="1898" w:hanging="502"/>
        <w:contextualSpacing w:val="0"/>
        <w:jc w:val="left"/>
      </w:pPr>
      <w:r>
        <w:t>69(1)</w:t>
      </w:r>
    </w:p>
    <w:p w14:paraId="3C7C6183" w14:textId="77777777" w:rsidR="003B1EC4" w:rsidRPr="005079E4" w:rsidRDefault="003B1EC4" w:rsidP="003B1EC4">
      <w:pPr>
        <w:pStyle w:val="Paragraphedeliste"/>
        <w:widowControl w:val="0"/>
        <w:numPr>
          <w:ilvl w:val="0"/>
          <w:numId w:val="19"/>
        </w:numPr>
        <w:tabs>
          <w:tab w:val="left" w:pos="1899"/>
        </w:tabs>
        <w:autoSpaceDE w:val="0"/>
        <w:autoSpaceDN w:val="0"/>
        <w:ind w:left="1898" w:hanging="502"/>
        <w:contextualSpacing w:val="0"/>
        <w:jc w:val="left"/>
      </w:pPr>
      <w:r>
        <w:rPr>
          <w:spacing w:val="-5"/>
        </w:rPr>
        <w:t>70</w:t>
      </w:r>
    </w:p>
    <w:tbl>
      <w:tblPr>
        <w:tblStyle w:val="TableNormal0"/>
        <w:tblW w:w="0" w:type="auto"/>
        <w:tblInd w:w="1354" w:type="dxa"/>
        <w:tblLayout w:type="fixed"/>
        <w:tblLook w:val="01E0" w:firstRow="1" w:lastRow="1" w:firstColumn="1" w:lastColumn="1" w:noHBand="0" w:noVBand="0"/>
      </w:tblPr>
      <w:tblGrid>
        <w:gridCol w:w="476"/>
        <w:gridCol w:w="6467"/>
      </w:tblGrid>
      <w:tr w:rsidR="003B1EC4" w14:paraId="244D2070" w14:textId="77777777" w:rsidTr="005F0519">
        <w:trPr>
          <w:trHeight w:val="272"/>
        </w:trPr>
        <w:tc>
          <w:tcPr>
            <w:tcW w:w="476" w:type="dxa"/>
          </w:tcPr>
          <w:p w14:paraId="0AB5A46D" w14:textId="77777777" w:rsidR="003B1EC4" w:rsidRDefault="003B1EC4" w:rsidP="005F0519">
            <w:pPr>
              <w:pStyle w:val="TableParagraph"/>
              <w:spacing w:line="252" w:lineRule="exact"/>
              <w:rPr>
                <w:sz w:val="24"/>
              </w:rPr>
            </w:pPr>
            <w:r>
              <w:rPr>
                <w:spacing w:val="-5"/>
                <w:sz w:val="24"/>
              </w:rPr>
              <w:t>17)</w:t>
            </w:r>
          </w:p>
        </w:tc>
        <w:tc>
          <w:tcPr>
            <w:tcW w:w="6467" w:type="dxa"/>
          </w:tcPr>
          <w:p w14:paraId="7571A829" w14:textId="659AD345" w:rsidR="003B1EC4" w:rsidRDefault="00E54157" w:rsidP="005F0519">
            <w:pPr>
              <w:pStyle w:val="TableParagraph"/>
              <w:spacing w:line="252" w:lineRule="exact"/>
              <w:ind w:left="75"/>
              <w:rPr>
                <w:sz w:val="24"/>
              </w:rPr>
            </w:pPr>
            <w:r>
              <w:rPr>
                <w:spacing w:val="-5"/>
                <w:sz w:val="24"/>
              </w:rPr>
              <w:t xml:space="preserve"> </w:t>
            </w:r>
            <w:r w:rsidR="003B1EC4">
              <w:rPr>
                <w:spacing w:val="-5"/>
                <w:sz w:val="24"/>
              </w:rPr>
              <w:t>71</w:t>
            </w:r>
          </w:p>
        </w:tc>
      </w:tr>
      <w:tr w:rsidR="003B1EC4" w14:paraId="5DB1869A" w14:textId="77777777" w:rsidTr="005F0519">
        <w:trPr>
          <w:trHeight w:val="275"/>
        </w:trPr>
        <w:tc>
          <w:tcPr>
            <w:tcW w:w="476" w:type="dxa"/>
          </w:tcPr>
          <w:p w14:paraId="3DE21FC3" w14:textId="77777777" w:rsidR="003B1EC4" w:rsidRDefault="003B1EC4" w:rsidP="005F0519">
            <w:pPr>
              <w:pStyle w:val="TableParagraph"/>
              <w:spacing w:line="256" w:lineRule="exact"/>
              <w:rPr>
                <w:sz w:val="24"/>
              </w:rPr>
            </w:pPr>
            <w:r>
              <w:rPr>
                <w:spacing w:val="-5"/>
                <w:sz w:val="24"/>
              </w:rPr>
              <w:t>18)</w:t>
            </w:r>
          </w:p>
        </w:tc>
        <w:tc>
          <w:tcPr>
            <w:tcW w:w="6467" w:type="dxa"/>
          </w:tcPr>
          <w:p w14:paraId="26E942B9" w14:textId="7FA7E6E3" w:rsidR="003B1EC4" w:rsidRDefault="00E54157" w:rsidP="005F0519">
            <w:pPr>
              <w:pStyle w:val="TableParagraph"/>
              <w:spacing w:line="256" w:lineRule="exact"/>
              <w:ind w:left="75"/>
              <w:rPr>
                <w:sz w:val="24"/>
              </w:rPr>
            </w:pPr>
            <w:r>
              <w:rPr>
                <w:spacing w:val="-2"/>
                <w:sz w:val="24"/>
              </w:rPr>
              <w:t xml:space="preserve"> </w:t>
            </w:r>
            <w:r w:rsidR="003B1EC4">
              <w:rPr>
                <w:spacing w:val="-2"/>
                <w:sz w:val="24"/>
              </w:rPr>
              <w:t>73(2)</w:t>
            </w:r>
          </w:p>
        </w:tc>
      </w:tr>
      <w:tr w:rsidR="003B1EC4" w14:paraId="16176B79" w14:textId="77777777" w:rsidTr="005F0519">
        <w:trPr>
          <w:trHeight w:val="275"/>
        </w:trPr>
        <w:tc>
          <w:tcPr>
            <w:tcW w:w="476" w:type="dxa"/>
          </w:tcPr>
          <w:p w14:paraId="7E85A226" w14:textId="77777777" w:rsidR="003B1EC4" w:rsidRDefault="003B1EC4" w:rsidP="005F0519">
            <w:pPr>
              <w:pStyle w:val="TableParagraph"/>
              <w:spacing w:line="256" w:lineRule="exact"/>
              <w:rPr>
                <w:sz w:val="24"/>
              </w:rPr>
            </w:pPr>
            <w:r>
              <w:rPr>
                <w:spacing w:val="-5"/>
                <w:sz w:val="24"/>
              </w:rPr>
              <w:t>19)</w:t>
            </w:r>
          </w:p>
        </w:tc>
        <w:tc>
          <w:tcPr>
            <w:tcW w:w="6467" w:type="dxa"/>
          </w:tcPr>
          <w:p w14:paraId="67AA94B2" w14:textId="67519716" w:rsidR="003B1EC4" w:rsidRDefault="00E54157" w:rsidP="005F0519">
            <w:pPr>
              <w:pStyle w:val="TableParagraph"/>
              <w:spacing w:line="256" w:lineRule="exact"/>
              <w:ind w:left="75"/>
              <w:rPr>
                <w:sz w:val="24"/>
              </w:rPr>
            </w:pPr>
            <w:r>
              <w:rPr>
                <w:spacing w:val="-5"/>
                <w:sz w:val="24"/>
              </w:rPr>
              <w:t xml:space="preserve"> </w:t>
            </w:r>
            <w:r w:rsidR="003B1EC4">
              <w:rPr>
                <w:spacing w:val="-5"/>
                <w:sz w:val="24"/>
              </w:rPr>
              <w:t>76</w:t>
            </w:r>
          </w:p>
        </w:tc>
      </w:tr>
      <w:tr w:rsidR="003B1EC4" w14:paraId="16535157" w14:textId="77777777" w:rsidTr="005F0519">
        <w:trPr>
          <w:trHeight w:val="276"/>
        </w:trPr>
        <w:tc>
          <w:tcPr>
            <w:tcW w:w="476" w:type="dxa"/>
          </w:tcPr>
          <w:p w14:paraId="1B82CFA2" w14:textId="77777777" w:rsidR="003B1EC4" w:rsidRDefault="003B1EC4" w:rsidP="005F0519">
            <w:pPr>
              <w:pStyle w:val="TableParagraph"/>
              <w:spacing w:line="256" w:lineRule="exact"/>
              <w:rPr>
                <w:sz w:val="24"/>
              </w:rPr>
            </w:pPr>
            <w:r>
              <w:rPr>
                <w:spacing w:val="-5"/>
                <w:sz w:val="24"/>
              </w:rPr>
              <w:t>20)</w:t>
            </w:r>
          </w:p>
        </w:tc>
        <w:tc>
          <w:tcPr>
            <w:tcW w:w="6467" w:type="dxa"/>
          </w:tcPr>
          <w:p w14:paraId="0464490E" w14:textId="401E1450" w:rsidR="003B1EC4" w:rsidRDefault="00E54157" w:rsidP="005F0519">
            <w:pPr>
              <w:pStyle w:val="TableParagraph"/>
              <w:spacing w:line="256" w:lineRule="exact"/>
              <w:ind w:left="75"/>
              <w:rPr>
                <w:sz w:val="24"/>
              </w:rPr>
            </w:pPr>
            <w:r>
              <w:rPr>
                <w:spacing w:val="-2"/>
                <w:sz w:val="24"/>
              </w:rPr>
              <w:t xml:space="preserve"> </w:t>
            </w:r>
            <w:r w:rsidR="003B1EC4">
              <w:rPr>
                <w:spacing w:val="-2"/>
                <w:sz w:val="24"/>
              </w:rPr>
              <w:t>80(1)(c)</w:t>
            </w:r>
          </w:p>
        </w:tc>
      </w:tr>
      <w:tr w:rsidR="003B1EC4" w14:paraId="4D5162CE" w14:textId="77777777" w:rsidTr="005F0519">
        <w:trPr>
          <w:trHeight w:val="275"/>
        </w:trPr>
        <w:tc>
          <w:tcPr>
            <w:tcW w:w="476" w:type="dxa"/>
          </w:tcPr>
          <w:p w14:paraId="15643360" w14:textId="77777777" w:rsidR="003B1EC4" w:rsidRDefault="003B1EC4" w:rsidP="005F0519">
            <w:pPr>
              <w:pStyle w:val="TableParagraph"/>
              <w:spacing w:line="256" w:lineRule="exact"/>
              <w:rPr>
                <w:sz w:val="24"/>
              </w:rPr>
            </w:pPr>
            <w:r>
              <w:rPr>
                <w:spacing w:val="-5"/>
                <w:sz w:val="24"/>
              </w:rPr>
              <w:t>21)</w:t>
            </w:r>
          </w:p>
        </w:tc>
        <w:tc>
          <w:tcPr>
            <w:tcW w:w="6467" w:type="dxa"/>
          </w:tcPr>
          <w:p w14:paraId="4013A944" w14:textId="5CFE1B6D" w:rsidR="003B1EC4" w:rsidRDefault="00E54157" w:rsidP="005F0519">
            <w:pPr>
              <w:pStyle w:val="TableParagraph"/>
              <w:spacing w:line="256" w:lineRule="exact"/>
              <w:ind w:left="75"/>
              <w:rPr>
                <w:sz w:val="24"/>
              </w:rPr>
            </w:pPr>
            <w:r>
              <w:rPr>
                <w:spacing w:val="-2"/>
                <w:sz w:val="24"/>
              </w:rPr>
              <w:t xml:space="preserve"> </w:t>
            </w:r>
            <w:r w:rsidR="003B1EC4">
              <w:rPr>
                <w:spacing w:val="-2"/>
                <w:sz w:val="24"/>
              </w:rPr>
              <w:t>88(2)</w:t>
            </w:r>
          </w:p>
        </w:tc>
      </w:tr>
      <w:tr w:rsidR="003B1EC4" w14:paraId="3ACCBED8" w14:textId="77777777" w:rsidTr="005F0519">
        <w:trPr>
          <w:trHeight w:val="276"/>
        </w:trPr>
        <w:tc>
          <w:tcPr>
            <w:tcW w:w="476" w:type="dxa"/>
          </w:tcPr>
          <w:p w14:paraId="46484F27" w14:textId="77777777" w:rsidR="003B1EC4" w:rsidRDefault="003B1EC4" w:rsidP="005F0519">
            <w:pPr>
              <w:pStyle w:val="TableParagraph"/>
              <w:spacing w:line="256" w:lineRule="exact"/>
              <w:rPr>
                <w:sz w:val="24"/>
              </w:rPr>
            </w:pPr>
            <w:r>
              <w:rPr>
                <w:spacing w:val="-5"/>
                <w:sz w:val="24"/>
              </w:rPr>
              <w:t>22)</w:t>
            </w:r>
          </w:p>
        </w:tc>
        <w:tc>
          <w:tcPr>
            <w:tcW w:w="6467" w:type="dxa"/>
          </w:tcPr>
          <w:p w14:paraId="5F116E99" w14:textId="43A36B88" w:rsidR="003B1EC4" w:rsidRDefault="00E54157" w:rsidP="005F0519">
            <w:pPr>
              <w:pStyle w:val="TableParagraph"/>
              <w:spacing w:line="256" w:lineRule="exact"/>
              <w:ind w:left="75"/>
              <w:rPr>
                <w:sz w:val="24"/>
              </w:rPr>
            </w:pPr>
            <w:r>
              <w:rPr>
                <w:spacing w:val="-5"/>
                <w:sz w:val="24"/>
              </w:rPr>
              <w:t xml:space="preserve"> </w:t>
            </w:r>
            <w:r w:rsidR="003B1EC4">
              <w:rPr>
                <w:spacing w:val="-5"/>
                <w:sz w:val="24"/>
              </w:rPr>
              <w:t>92</w:t>
            </w:r>
          </w:p>
        </w:tc>
      </w:tr>
      <w:tr w:rsidR="003B1EC4" w14:paraId="5ED7428F" w14:textId="77777777" w:rsidTr="005F0519">
        <w:trPr>
          <w:trHeight w:val="275"/>
        </w:trPr>
        <w:tc>
          <w:tcPr>
            <w:tcW w:w="476" w:type="dxa"/>
          </w:tcPr>
          <w:p w14:paraId="5BC24773" w14:textId="77777777" w:rsidR="003B1EC4" w:rsidRDefault="003B1EC4" w:rsidP="005F0519">
            <w:pPr>
              <w:pStyle w:val="TableParagraph"/>
              <w:spacing w:line="256" w:lineRule="exact"/>
              <w:rPr>
                <w:sz w:val="24"/>
              </w:rPr>
            </w:pPr>
            <w:r>
              <w:rPr>
                <w:spacing w:val="-5"/>
                <w:sz w:val="24"/>
              </w:rPr>
              <w:t>23)</w:t>
            </w:r>
          </w:p>
        </w:tc>
        <w:tc>
          <w:tcPr>
            <w:tcW w:w="6467" w:type="dxa"/>
          </w:tcPr>
          <w:p w14:paraId="473BDE98" w14:textId="6F6119DE" w:rsidR="003B1EC4" w:rsidRDefault="00E54157" w:rsidP="005F0519">
            <w:pPr>
              <w:pStyle w:val="TableParagraph"/>
              <w:spacing w:line="256" w:lineRule="exact"/>
              <w:ind w:left="75"/>
              <w:rPr>
                <w:sz w:val="24"/>
              </w:rPr>
            </w:pPr>
            <w:r>
              <w:rPr>
                <w:spacing w:val="-2"/>
                <w:sz w:val="24"/>
              </w:rPr>
              <w:t xml:space="preserve"> </w:t>
            </w:r>
            <w:r w:rsidR="003B1EC4">
              <w:rPr>
                <w:spacing w:val="-2"/>
                <w:sz w:val="24"/>
              </w:rPr>
              <w:t>93(1)</w:t>
            </w:r>
          </w:p>
        </w:tc>
      </w:tr>
      <w:tr w:rsidR="003B1EC4" w14:paraId="5F5F8ABA" w14:textId="77777777" w:rsidTr="005F0519">
        <w:trPr>
          <w:trHeight w:val="275"/>
        </w:trPr>
        <w:tc>
          <w:tcPr>
            <w:tcW w:w="476" w:type="dxa"/>
          </w:tcPr>
          <w:p w14:paraId="032163E2" w14:textId="77777777" w:rsidR="003B1EC4" w:rsidRDefault="003B1EC4" w:rsidP="005F0519">
            <w:pPr>
              <w:pStyle w:val="TableParagraph"/>
              <w:spacing w:line="256" w:lineRule="exact"/>
              <w:rPr>
                <w:sz w:val="24"/>
              </w:rPr>
            </w:pPr>
            <w:r>
              <w:rPr>
                <w:spacing w:val="-5"/>
                <w:sz w:val="24"/>
              </w:rPr>
              <w:t>24)</w:t>
            </w:r>
          </w:p>
        </w:tc>
        <w:tc>
          <w:tcPr>
            <w:tcW w:w="6467" w:type="dxa"/>
          </w:tcPr>
          <w:p w14:paraId="33019936" w14:textId="7B2A5534" w:rsidR="003B1EC4" w:rsidRDefault="00E54157" w:rsidP="005F0519">
            <w:pPr>
              <w:pStyle w:val="TableParagraph"/>
              <w:spacing w:line="256" w:lineRule="exact"/>
              <w:ind w:left="75"/>
              <w:rPr>
                <w:sz w:val="24"/>
              </w:rPr>
            </w:pPr>
            <w:r>
              <w:rPr>
                <w:spacing w:val="-5"/>
                <w:sz w:val="24"/>
              </w:rPr>
              <w:t xml:space="preserve"> </w:t>
            </w:r>
            <w:r w:rsidR="003B1EC4">
              <w:rPr>
                <w:spacing w:val="-5"/>
                <w:sz w:val="24"/>
              </w:rPr>
              <w:t>94</w:t>
            </w:r>
          </w:p>
        </w:tc>
      </w:tr>
      <w:tr w:rsidR="003B1EC4" w14:paraId="1CF41BF4" w14:textId="77777777" w:rsidTr="005F0519">
        <w:trPr>
          <w:trHeight w:val="276"/>
        </w:trPr>
        <w:tc>
          <w:tcPr>
            <w:tcW w:w="476" w:type="dxa"/>
          </w:tcPr>
          <w:p w14:paraId="6F59F7CE" w14:textId="77777777" w:rsidR="003B1EC4" w:rsidRDefault="003B1EC4" w:rsidP="005F0519">
            <w:pPr>
              <w:pStyle w:val="TableParagraph"/>
              <w:spacing w:line="256" w:lineRule="exact"/>
              <w:rPr>
                <w:sz w:val="24"/>
              </w:rPr>
            </w:pPr>
            <w:r>
              <w:rPr>
                <w:spacing w:val="-5"/>
                <w:sz w:val="24"/>
              </w:rPr>
              <w:t>25)</w:t>
            </w:r>
          </w:p>
        </w:tc>
        <w:tc>
          <w:tcPr>
            <w:tcW w:w="6467" w:type="dxa"/>
          </w:tcPr>
          <w:p w14:paraId="69848BCD" w14:textId="221399F6" w:rsidR="003B1EC4" w:rsidRDefault="00E54157" w:rsidP="005F0519">
            <w:pPr>
              <w:pStyle w:val="TableParagraph"/>
              <w:spacing w:line="256" w:lineRule="exact"/>
              <w:ind w:left="75"/>
              <w:rPr>
                <w:sz w:val="24"/>
              </w:rPr>
            </w:pPr>
            <w:r>
              <w:rPr>
                <w:spacing w:val="-5"/>
                <w:sz w:val="24"/>
              </w:rPr>
              <w:t xml:space="preserve"> </w:t>
            </w:r>
            <w:r w:rsidR="003B1EC4">
              <w:rPr>
                <w:spacing w:val="-5"/>
                <w:sz w:val="24"/>
              </w:rPr>
              <w:t>98</w:t>
            </w:r>
          </w:p>
        </w:tc>
      </w:tr>
      <w:tr w:rsidR="003B1EC4" w14:paraId="6DBC8EF4" w14:textId="77777777" w:rsidTr="005F0519">
        <w:trPr>
          <w:trHeight w:val="275"/>
        </w:trPr>
        <w:tc>
          <w:tcPr>
            <w:tcW w:w="476" w:type="dxa"/>
          </w:tcPr>
          <w:p w14:paraId="5BE1295E" w14:textId="77777777" w:rsidR="003B1EC4" w:rsidRDefault="003B1EC4" w:rsidP="005F0519">
            <w:pPr>
              <w:pStyle w:val="TableParagraph"/>
              <w:spacing w:line="256" w:lineRule="exact"/>
              <w:rPr>
                <w:sz w:val="24"/>
              </w:rPr>
            </w:pPr>
            <w:r>
              <w:rPr>
                <w:spacing w:val="-5"/>
                <w:sz w:val="24"/>
              </w:rPr>
              <w:t>26)</w:t>
            </w:r>
          </w:p>
        </w:tc>
        <w:tc>
          <w:tcPr>
            <w:tcW w:w="6467" w:type="dxa"/>
          </w:tcPr>
          <w:p w14:paraId="67FCF129" w14:textId="650645C3" w:rsidR="003B1EC4" w:rsidRDefault="00E54157" w:rsidP="005F0519">
            <w:pPr>
              <w:pStyle w:val="TableParagraph"/>
              <w:spacing w:line="256" w:lineRule="exact"/>
              <w:ind w:left="75"/>
              <w:rPr>
                <w:sz w:val="24"/>
              </w:rPr>
            </w:pPr>
            <w:r>
              <w:rPr>
                <w:spacing w:val="-2"/>
                <w:sz w:val="24"/>
              </w:rPr>
              <w:t xml:space="preserve"> </w:t>
            </w:r>
            <w:r w:rsidR="003B1EC4">
              <w:rPr>
                <w:spacing w:val="-2"/>
                <w:sz w:val="24"/>
              </w:rPr>
              <w:t>101(2)</w:t>
            </w:r>
          </w:p>
        </w:tc>
      </w:tr>
      <w:tr w:rsidR="003B1EC4" w14:paraId="51CF2EF0" w14:textId="77777777" w:rsidTr="005F0519">
        <w:trPr>
          <w:trHeight w:val="276"/>
        </w:trPr>
        <w:tc>
          <w:tcPr>
            <w:tcW w:w="476" w:type="dxa"/>
          </w:tcPr>
          <w:p w14:paraId="75C51768" w14:textId="77777777" w:rsidR="003B1EC4" w:rsidRDefault="003B1EC4" w:rsidP="005F0519">
            <w:pPr>
              <w:pStyle w:val="TableParagraph"/>
              <w:spacing w:line="256" w:lineRule="exact"/>
              <w:rPr>
                <w:sz w:val="24"/>
              </w:rPr>
            </w:pPr>
            <w:r>
              <w:rPr>
                <w:spacing w:val="-5"/>
                <w:sz w:val="24"/>
              </w:rPr>
              <w:t>27)</w:t>
            </w:r>
          </w:p>
        </w:tc>
        <w:tc>
          <w:tcPr>
            <w:tcW w:w="6467" w:type="dxa"/>
          </w:tcPr>
          <w:p w14:paraId="251FD8DC" w14:textId="3CAF2A0C" w:rsidR="003B1EC4" w:rsidRDefault="00E54157" w:rsidP="005F0519">
            <w:pPr>
              <w:pStyle w:val="TableParagraph"/>
              <w:spacing w:line="256" w:lineRule="exact"/>
              <w:ind w:left="75"/>
              <w:rPr>
                <w:sz w:val="24"/>
              </w:rPr>
            </w:pPr>
            <w:r>
              <w:rPr>
                <w:sz w:val="24"/>
              </w:rPr>
              <w:t xml:space="preserve"> </w:t>
            </w:r>
            <w:r w:rsidR="003B1EC4">
              <w:rPr>
                <w:sz w:val="24"/>
              </w:rPr>
              <w:t>115(2)</w:t>
            </w:r>
          </w:p>
        </w:tc>
      </w:tr>
      <w:tr w:rsidR="003B1EC4" w14:paraId="33DADBD2" w14:textId="77777777" w:rsidTr="005F0519">
        <w:trPr>
          <w:trHeight w:val="275"/>
        </w:trPr>
        <w:tc>
          <w:tcPr>
            <w:tcW w:w="476" w:type="dxa"/>
          </w:tcPr>
          <w:p w14:paraId="14487DD0" w14:textId="77777777" w:rsidR="003B1EC4" w:rsidRDefault="003B1EC4" w:rsidP="005F0519">
            <w:pPr>
              <w:pStyle w:val="TableParagraph"/>
              <w:spacing w:line="256" w:lineRule="exact"/>
              <w:rPr>
                <w:sz w:val="24"/>
              </w:rPr>
            </w:pPr>
            <w:r>
              <w:rPr>
                <w:spacing w:val="-5"/>
                <w:sz w:val="24"/>
              </w:rPr>
              <w:t>28)</w:t>
            </w:r>
          </w:p>
        </w:tc>
        <w:tc>
          <w:tcPr>
            <w:tcW w:w="6467" w:type="dxa"/>
          </w:tcPr>
          <w:p w14:paraId="3C0F591F" w14:textId="26ECF0E4" w:rsidR="003B1EC4" w:rsidRDefault="00E54157" w:rsidP="005F0519">
            <w:pPr>
              <w:pStyle w:val="TableParagraph"/>
              <w:spacing w:line="256" w:lineRule="exact"/>
              <w:ind w:left="75"/>
              <w:rPr>
                <w:sz w:val="24"/>
              </w:rPr>
            </w:pPr>
            <w:r>
              <w:rPr>
                <w:spacing w:val="-5"/>
                <w:sz w:val="24"/>
              </w:rPr>
              <w:t xml:space="preserve"> </w:t>
            </w:r>
            <w:r w:rsidR="003B1EC4">
              <w:rPr>
                <w:spacing w:val="-5"/>
                <w:sz w:val="24"/>
              </w:rPr>
              <w:t>129</w:t>
            </w:r>
          </w:p>
        </w:tc>
      </w:tr>
      <w:tr w:rsidR="003B1EC4" w14:paraId="2C49F4FF" w14:textId="77777777" w:rsidTr="005F0519">
        <w:trPr>
          <w:trHeight w:val="276"/>
        </w:trPr>
        <w:tc>
          <w:tcPr>
            <w:tcW w:w="476" w:type="dxa"/>
          </w:tcPr>
          <w:p w14:paraId="6E2FCDCB" w14:textId="77777777" w:rsidR="003B1EC4" w:rsidRDefault="003B1EC4" w:rsidP="005F0519">
            <w:pPr>
              <w:pStyle w:val="TableParagraph"/>
              <w:spacing w:line="256" w:lineRule="exact"/>
              <w:rPr>
                <w:sz w:val="24"/>
              </w:rPr>
            </w:pPr>
            <w:r>
              <w:rPr>
                <w:spacing w:val="-5"/>
                <w:sz w:val="24"/>
              </w:rPr>
              <w:t>29)</w:t>
            </w:r>
          </w:p>
        </w:tc>
        <w:tc>
          <w:tcPr>
            <w:tcW w:w="6467" w:type="dxa"/>
          </w:tcPr>
          <w:p w14:paraId="3AF6E207" w14:textId="6AE22F32" w:rsidR="003B1EC4" w:rsidRDefault="00E54157" w:rsidP="005F0519">
            <w:pPr>
              <w:pStyle w:val="TableParagraph"/>
              <w:spacing w:line="256" w:lineRule="exact"/>
              <w:ind w:left="75"/>
              <w:rPr>
                <w:sz w:val="24"/>
              </w:rPr>
            </w:pPr>
            <w:r>
              <w:rPr>
                <w:spacing w:val="-5"/>
                <w:sz w:val="24"/>
              </w:rPr>
              <w:t xml:space="preserve"> </w:t>
            </w:r>
            <w:r w:rsidR="003B1EC4">
              <w:rPr>
                <w:spacing w:val="-5"/>
                <w:sz w:val="24"/>
              </w:rPr>
              <w:t>137</w:t>
            </w:r>
          </w:p>
        </w:tc>
      </w:tr>
      <w:tr w:rsidR="003B1EC4" w:rsidRPr="001B4C82" w14:paraId="77622EB1" w14:textId="77777777" w:rsidTr="005F0519">
        <w:trPr>
          <w:trHeight w:val="276"/>
        </w:trPr>
        <w:tc>
          <w:tcPr>
            <w:tcW w:w="476" w:type="dxa"/>
          </w:tcPr>
          <w:p w14:paraId="2C4894EF" w14:textId="77777777" w:rsidR="003B1EC4" w:rsidRDefault="003B1EC4" w:rsidP="005F0519">
            <w:pPr>
              <w:pStyle w:val="TableParagraph"/>
              <w:spacing w:line="256" w:lineRule="exact"/>
              <w:rPr>
                <w:sz w:val="24"/>
              </w:rPr>
            </w:pPr>
            <w:r>
              <w:rPr>
                <w:spacing w:val="-5"/>
                <w:sz w:val="24"/>
              </w:rPr>
              <w:t>30)</w:t>
            </w:r>
          </w:p>
        </w:tc>
        <w:tc>
          <w:tcPr>
            <w:tcW w:w="6467" w:type="dxa"/>
          </w:tcPr>
          <w:p w14:paraId="637B3255" w14:textId="77777777" w:rsidR="00E54157" w:rsidRDefault="00E54157" w:rsidP="005F0519">
            <w:pPr>
              <w:pStyle w:val="TableParagraph"/>
              <w:spacing w:line="256" w:lineRule="exact"/>
              <w:ind w:left="75"/>
              <w:rPr>
                <w:sz w:val="24"/>
                <w:lang w:val="en-CA"/>
              </w:rPr>
            </w:pPr>
            <w:r>
              <w:rPr>
                <w:sz w:val="24"/>
                <w:lang w:val="en-CA"/>
              </w:rPr>
              <w:t xml:space="preserve"> </w:t>
            </w:r>
            <w:r w:rsidR="003B1EC4" w:rsidRPr="00D821C6">
              <w:rPr>
                <w:sz w:val="24"/>
                <w:lang w:val="en-CA"/>
              </w:rPr>
              <w:t>139 (in</w:t>
            </w:r>
            <w:r w:rsidR="0091198F">
              <w:rPr>
                <w:sz w:val="24"/>
                <w:lang w:val="en-CA"/>
              </w:rPr>
              <w:t>sofar as</w:t>
            </w:r>
            <w:r w:rsidR="003B1EC4" w:rsidRPr="00D821C6">
              <w:rPr>
                <w:sz w:val="24"/>
                <w:lang w:val="en-CA"/>
              </w:rPr>
              <w:t xml:space="preserve"> it impairs the provisions of section 457.8</w:t>
            </w:r>
          </w:p>
          <w:p w14:paraId="7786546F" w14:textId="21EEDC03" w:rsidR="003B1EC4" w:rsidRPr="00D821C6" w:rsidRDefault="003B1EC4" w:rsidP="005F0519">
            <w:pPr>
              <w:pStyle w:val="TableParagraph"/>
              <w:spacing w:line="256" w:lineRule="exact"/>
              <w:ind w:left="75"/>
              <w:rPr>
                <w:sz w:val="24"/>
                <w:lang w:val="en-CA"/>
              </w:rPr>
            </w:pPr>
            <w:r w:rsidRPr="00D821C6">
              <w:rPr>
                <w:sz w:val="24"/>
                <w:lang w:val="en-CA"/>
              </w:rPr>
              <w:t xml:space="preserve"> </w:t>
            </w:r>
            <w:r w:rsidRPr="00D821C6">
              <w:rPr>
                <w:i/>
                <w:sz w:val="24"/>
                <w:lang w:val="en-CA"/>
              </w:rPr>
              <w:t>EA</w:t>
            </w:r>
            <w:r w:rsidRPr="00D821C6">
              <w:rPr>
                <w:sz w:val="24"/>
                <w:lang w:val="en-CA"/>
              </w:rPr>
              <w:t>)</w:t>
            </w:r>
          </w:p>
        </w:tc>
      </w:tr>
      <w:tr w:rsidR="003B1EC4" w14:paraId="55F77A35" w14:textId="77777777" w:rsidTr="005F0519">
        <w:trPr>
          <w:trHeight w:val="275"/>
        </w:trPr>
        <w:tc>
          <w:tcPr>
            <w:tcW w:w="476" w:type="dxa"/>
          </w:tcPr>
          <w:p w14:paraId="0CA62C9F" w14:textId="77777777" w:rsidR="003B1EC4" w:rsidRDefault="003B1EC4" w:rsidP="005F0519">
            <w:pPr>
              <w:pStyle w:val="TableParagraph"/>
              <w:spacing w:line="256" w:lineRule="exact"/>
              <w:rPr>
                <w:sz w:val="24"/>
              </w:rPr>
            </w:pPr>
            <w:r>
              <w:rPr>
                <w:spacing w:val="-5"/>
                <w:sz w:val="24"/>
              </w:rPr>
              <w:t>31)</w:t>
            </w:r>
          </w:p>
        </w:tc>
        <w:tc>
          <w:tcPr>
            <w:tcW w:w="6467" w:type="dxa"/>
          </w:tcPr>
          <w:p w14:paraId="5E0A8E07" w14:textId="72D2F430" w:rsidR="003B1EC4" w:rsidRDefault="00E54157" w:rsidP="005F0519">
            <w:pPr>
              <w:pStyle w:val="TableParagraph"/>
              <w:spacing w:line="256" w:lineRule="exact"/>
              <w:ind w:left="75"/>
              <w:rPr>
                <w:sz w:val="24"/>
              </w:rPr>
            </w:pPr>
            <w:r>
              <w:rPr>
                <w:spacing w:val="-2"/>
                <w:sz w:val="24"/>
              </w:rPr>
              <w:t xml:space="preserve"> </w:t>
            </w:r>
            <w:r w:rsidR="003B1EC4">
              <w:rPr>
                <w:spacing w:val="-2"/>
                <w:sz w:val="24"/>
              </w:rPr>
              <w:t>140(1)</w:t>
            </w:r>
          </w:p>
        </w:tc>
      </w:tr>
      <w:tr w:rsidR="003B1EC4" w14:paraId="1A5023A3" w14:textId="77777777" w:rsidTr="005F0519">
        <w:trPr>
          <w:trHeight w:val="276"/>
        </w:trPr>
        <w:tc>
          <w:tcPr>
            <w:tcW w:w="476" w:type="dxa"/>
          </w:tcPr>
          <w:p w14:paraId="12183107" w14:textId="77777777" w:rsidR="003B1EC4" w:rsidRDefault="003B1EC4" w:rsidP="005F0519">
            <w:pPr>
              <w:pStyle w:val="TableParagraph"/>
              <w:spacing w:line="256" w:lineRule="exact"/>
              <w:rPr>
                <w:sz w:val="24"/>
              </w:rPr>
            </w:pPr>
            <w:r>
              <w:rPr>
                <w:spacing w:val="-5"/>
                <w:sz w:val="24"/>
              </w:rPr>
              <w:t>32)</w:t>
            </w:r>
          </w:p>
        </w:tc>
        <w:tc>
          <w:tcPr>
            <w:tcW w:w="6467" w:type="dxa"/>
          </w:tcPr>
          <w:p w14:paraId="451D90FD" w14:textId="0846DF84"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191</w:t>
            </w:r>
          </w:p>
        </w:tc>
      </w:tr>
      <w:tr w:rsidR="003B1EC4" w14:paraId="6B9E0956" w14:textId="77777777" w:rsidTr="005F0519">
        <w:trPr>
          <w:trHeight w:val="275"/>
        </w:trPr>
        <w:tc>
          <w:tcPr>
            <w:tcW w:w="476" w:type="dxa"/>
          </w:tcPr>
          <w:p w14:paraId="0F73E302" w14:textId="77777777" w:rsidR="003B1EC4" w:rsidRDefault="003B1EC4" w:rsidP="005F0519">
            <w:pPr>
              <w:pStyle w:val="TableParagraph"/>
              <w:spacing w:line="256" w:lineRule="exact"/>
              <w:rPr>
                <w:sz w:val="24"/>
              </w:rPr>
            </w:pPr>
            <w:r>
              <w:rPr>
                <w:spacing w:val="-5"/>
                <w:sz w:val="24"/>
              </w:rPr>
              <w:t>33)</w:t>
            </w:r>
          </w:p>
        </w:tc>
        <w:tc>
          <w:tcPr>
            <w:tcW w:w="6467" w:type="dxa"/>
          </w:tcPr>
          <w:p w14:paraId="6BD87F71" w14:textId="21F98F5D"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193</w:t>
            </w:r>
          </w:p>
        </w:tc>
      </w:tr>
      <w:tr w:rsidR="003B1EC4" w14:paraId="7DA2F69C" w14:textId="77777777" w:rsidTr="005F0519">
        <w:trPr>
          <w:trHeight w:val="276"/>
        </w:trPr>
        <w:tc>
          <w:tcPr>
            <w:tcW w:w="476" w:type="dxa"/>
          </w:tcPr>
          <w:p w14:paraId="28D908AD" w14:textId="77777777" w:rsidR="003B1EC4" w:rsidRDefault="003B1EC4" w:rsidP="005F0519">
            <w:pPr>
              <w:pStyle w:val="TableParagraph"/>
              <w:spacing w:line="256" w:lineRule="exact"/>
              <w:rPr>
                <w:sz w:val="24"/>
              </w:rPr>
            </w:pPr>
            <w:r>
              <w:rPr>
                <w:spacing w:val="-5"/>
                <w:sz w:val="24"/>
              </w:rPr>
              <w:t>34)</w:t>
            </w:r>
          </w:p>
        </w:tc>
        <w:tc>
          <w:tcPr>
            <w:tcW w:w="6467" w:type="dxa"/>
          </w:tcPr>
          <w:p w14:paraId="292EA5FF" w14:textId="7DFDB667"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194</w:t>
            </w:r>
          </w:p>
        </w:tc>
      </w:tr>
      <w:tr w:rsidR="003B1EC4" w14:paraId="34DB0587" w14:textId="77777777" w:rsidTr="005F0519">
        <w:trPr>
          <w:trHeight w:val="275"/>
        </w:trPr>
        <w:tc>
          <w:tcPr>
            <w:tcW w:w="476" w:type="dxa"/>
          </w:tcPr>
          <w:p w14:paraId="6FDBA9BE" w14:textId="77777777" w:rsidR="003B1EC4" w:rsidRDefault="003B1EC4" w:rsidP="005F0519">
            <w:pPr>
              <w:pStyle w:val="TableParagraph"/>
              <w:spacing w:line="256" w:lineRule="exact"/>
              <w:rPr>
                <w:sz w:val="24"/>
              </w:rPr>
            </w:pPr>
            <w:r>
              <w:rPr>
                <w:spacing w:val="-5"/>
                <w:sz w:val="24"/>
              </w:rPr>
              <w:t>35)</w:t>
            </w:r>
          </w:p>
        </w:tc>
        <w:tc>
          <w:tcPr>
            <w:tcW w:w="6467" w:type="dxa"/>
          </w:tcPr>
          <w:p w14:paraId="590BCD97" w14:textId="094B8289"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195</w:t>
            </w:r>
          </w:p>
        </w:tc>
      </w:tr>
      <w:tr w:rsidR="003B1EC4" w14:paraId="317F9E56" w14:textId="77777777" w:rsidTr="005F0519">
        <w:trPr>
          <w:trHeight w:val="275"/>
        </w:trPr>
        <w:tc>
          <w:tcPr>
            <w:tcW w:w="476" w:type="dxa"/>
          </w:tcPr>
          <w:p w14:paraId="516FE68E" w14:textId="77777777" w:rsidR="003B1EC4" w:rsidRDefault="003B1EC4" w:rsidP="005F0519">
            <w:pPr>
              <w:pStyle w:val="TableParagraph"/>
              <w:spacing w:line="256" w:lineRule="exact"/>
              <w:rPr>
                <w:sz w:val="24"/>
              </w:rPr>
            </w:pPr>
            <w:r>
              <w:rPr>
                <w:spacing w:val="-5"/>
                <w:sz w:val="24"/>
              </w:rPr>
              <w:t>36)</w:t>
            </w:r>
          </w:p>
        </w:tc>
        <w:tc>
          <w:tcPr>
            <w:tcW w:w="6467" w:type="dxa"/>
          </w:tcPr>
          <w:p w14:paraId="4CECBF9C" w14:textId="30DB71A6"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197</w:t>
            </w:r>
          </w:p>
        </w:tc>
      </w:tr>
      <w:tr w:rsidR="003B1EC4" w14:paraId="1BFA1964" w14:textId="77777777" w:rsidTr="005F0519">
        <w:trPr>
          <w:trHeight w:val="276"/>
        </w:trPr>
        <w:tc>
          <w:tcPr>
            <w:tcW w:w="476" w:type="dxa"/>
          </w:tcPr>
          <w:p w14:paraId="07EA1AD8" w14:textId="77777777" w:rsidR="003B1EC4" w:rsidRDefault="003B1EC4" w:rsidP="005F0519">
            <w:pPr>
              <w:pStyle w:val="TableParagraph"/>
              <w:spacing w:line="256" w:lineRule="exact"/>
              <w:rPr>
                <w:sz w:val="24"/>
              </w:rPr>
            </w:pPr>
            <w:r>
              <w:rPr>
                <w:spacing w:val="-5"/>
                <w:sz w:val="24"/>
              </w:rPr>
              <w:t>37)</w:t>
            </w:r>
          </w:p>
        </w:tc>
        <w:tc>
          <w:tcPr>
            <w:tcW w:w="6467" w:type="dxa"/>
          </w:tcPr>
          <w:p w14:paraId="3B147C87" w14:textId="6DA3C9C4"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198</w:t>
            </w:r>
          </w:p>
        </w:tc>
      </w:tr>
      <w:tr w:rsidR="003B1EC4" w14:paraId="34371BBD" w14:textId="77777777" w:rsidTr="005F0519">
        <w:trPr>
          <w:trHeight w:val="275"/>
        </w:trPr>
        <w:tc>
          <w:tcPr>
            <w:tcW w:w="476" w:type="dxa"/>
          </w:tcPr>
          <w:p w14:paraId="64ACDCB4" w14:textId="77777777" w:rsidR="003B1EC4" w:rsidRDefault="003B1EC4" w:rsidP="005F0519">
            <w:pPr>
              <w:pStyle w:val="TableParagraph"/>
              <w:spacing w:line="256" w:lineRule="exact"/>
              <w:rPr>
                <w:sz w:val="24"/>
              </w:rPr>
            </w:pPr>
            <w:r>
              <w:rPr>
                <w:spacing w:val="-5"/>
                <w:sz w:val="24"/>
              </w:rPr>
              <w:t>38)</w:t>
            </w:r>
          </w:p>
        </w:tc>
        <w:tc>
          <w:tcPr>
            <w:tcW w:w="6467" w:type="dxa"/>
          </w:tcPr>
          <w:p w14:paraId="569BDB40" w14:textId="3F804396" w:rsidR="003B1EC4" w:rsidRDefault="00E54157" w:rsidP="005F0519">
            <w:pPr>
              <w:pStyle w:val="TableParagraph"/>
              <w:spacing w:line="256" w:lineRule="exact"/>
              <w:ind w:left="75"/>
              <w:rPr>
                <w:sz w:val="24"/>
              </w:rPr>
            </w:pPr>
            <w:r>
              <w:rPr>
                <w:spacing w:val="-5"/>
                <w:sz w:val="24"/>
              </w:rPr>
              <w:t xml:space="preserve"> </w:t>
            </w:r>
            <w:r w:rsidR="003B1EC4">
              <w:rPr>
                <w:spacing w:val="-5"/>
                <w:sz w:val="24"/>
              </w:rPr>
              <w:t>199</w:t>
            </w:r>
          </w:p>
        </w:tc>
      </w:tr>
      <w:tr w:rsidR="003B1EC4" w14:paraId="3B46CEDF" w14:textId="77777777" w:rsidTr="005F0519">
        <w:trPr>
          <w:trHeight w:val="276"/>
        </w:trPr>
        <w:tc>
          <w:tcPr>
            <w:tcW w:w="476" w:type="dxa"/>
          </w:tcPr>
          <w:p w14:paraId="412FF44E" w14:textId="77777777" w:rsidR="003B1EC4" w:rsidRDefault="003B1EC4" w:rsidP="005F0519">
            <w:pPr>
              <w:pStyle w:val="TableParagraph"/>
              <w:spacing w:line="256" w:lineRule="exact"/>
              <w:rPr>
                <w:sz w:val="24"/>
              </w:rPr>
            </w:pPr>
            <w:r>
              <w:rPr>
                <w:spacing w:val="-5"/>
                <w:sz w:val="24"/>
              </w:rPr>
              <w:t>39)</w:t>
            </w:r>
          </w:p>
        </w:tc>
        <w:tc>
          <w:tcPr>
            <w:tcW w:w="6467" w:type="dxa"/>
          </w:tcPr>
          <w:p w14:paraId="67BC3B96" w14:textId="36ADB42C" w:rsidR="003B1EC4" w:rsidRDefault="00E54157" w:rsidP="005F0519">
            <w:pPr>
              <w:pStyle w:val="TableParagraph"/>
              <w:spacing w:line="256" w:lineRule="exact"/>
              <w:ind w:left="75"/>
              <w:rPr>
                <w:sz w:val="24"/>
              </w:rPr>
            </w:pPr>
            <w:r>
              <w:rPr>
                <w:spacing w:val="-5"/>
                <w:sz w:val="24"/>
              </w:rPr>
              <w:t xml:space="preserve"> </w:t>
            </w:r>
            <w:r w:rsidR="003B1EC4">
              <w:rPr>
                <w:spacing w:val="-5"/>
                <w:sz w:val="24"/>
              </w:rPr>
              <w:t>200</w:t>
            </w:r>
          </w:p>
        </w:tc>
      </w:tr>
      <w:tr w:rsidR="003B1EC4" w14:paraId="3E20B37D" w14:textId="77777777" w:rsidTr="005F0519">
        <w:trPr>
          <w:trHeight w:val="275"/>
        </w:trPr>
        <w:tc>
          <w:tcPr>
            <w:tcW w:w="476" w:type="dxa"/>
          </w:tcPr>
          <w:p w14:paraId="267B11A3" w14:textId="77777777" w:rsidR="003B1EC4" w:rsidRDefault="003B1EC4" w:rsidP="005F0519">
            <w:pPr>
              <w:pStyle w:val="TableParagraph"/>
              <w:spacing w:line="256" w:lineRule="exact"/>
              <w:rPr>
                <w:sz w:val="24"/>
              </w:rPr>
            </w:pPr>
            <w:r>
              <w:rPr>
                <w:spacing w:val="-5"/>
                <w:sz w:val="24"/>
              </w:rPr>
              <w:t>40)</w:t>
            </w:r>
          </w:p>
        </w:tc>
        <w:tc>
          <w:tcPr>
            <w:tcW w:w="6467" w:type="dxa"/>
          </w:tcPr>
          <w:p w14:paraId="5A605EC6" w14:textId="40E5DE4A" w:rsidR="003B1EC4" w:rsidRDefault="00E54157" w:rsidP="005F0519">
            <w:pPr>
              <w:pStyle w:val="TableParagraph"/>
              <w:spacing w:line="256" w:lineRule="exact"/>
              <w:ind w:left="75"/>
              <w:rPr>
                <w:sz w:val="24"/>
              </w:rPr>
            </w:pPr>
            <w:r>
              <w:rPr>
                <w:spacing w:val="-5"/>
                <w:sz w:val="24"/>
              </w:rPr>
              <w:t xml:space="preserve"> </w:t>
            </w:r>
            <w:r w:rsidR="003B1EC4">
              <w:rPr>
                <w:spacing w:val="-5"/>
                <w:sz w:val="24"/>
              </w:rPr>
              <w:t>201</w:t>
            </w:r>
          </w:p>
        </w:tc>
      </w:tr>
      <w:tr w:rsidR="003B1EC4" w14:paraId="3615C355" w14:textId="77777777" w:rsidTr="005F0519">
        <w:trPr>
          <w:trHeight w:val="276"/>
        </w:trPr>
        <w:tc>
          <w:tcPr>
            <w:tcW w:w="476" w:type="dxa"/>
          </w:tcPr>
          <w:p w14:paraId="079288EC" w14:textId="77777777" w:rsidR="003B1EC4" w:rsidRDefault="003B1EC4" w:rsidP="005F0519">
            <w:pPr>
              <w:pStyle w:val="TableParagraph"/>
              <w:spacing w:line="256" w:lineRule="exact"/>
              <w:rPr>
                <w:sz w:val="24"/>
              </w:rPr>
            </w:pPr>
            <w:r>
              <w:rPr>
                <w:spacing w:val="-5"/>
                <w:sz w:val="24"/>
              </w:rPr>
              <w:t>41)</w:t>
            </w:r>
          </w:p>
        </w:tc>
        <w:tc>
          <w:tcPr>
            <w:tcW w:w="6467" w:type="dxa"/>
          </w:tcPr>
          <w:p w14:paraId="1B9B764A" w14:textId="4D8DA2B6" w:rsidR="003B1EC4" w:rsidRDefault="00E54157" w:rsidP="005F0519">
            <w:pPr>
              <w:pStyle w:val="TableParagraph"/>
              <w:spacing w:line="256" w:lineRule="exact"/>
              <w:ind w:left="75"/>
              <w:rPr>
                <w:sz w:val="24"/>
              </w:rPr>
            </w:pPr>
            <w:r>
              <w:rPr>
                <w:spacing w:val="-5"/>
                <w:sz w:val="24"/>
              </w:rPr>
              <w:t xml:space="preserve"> </w:t>
            </w:r>
            <w:r w:rsidR="003B1EC4">
              <w:rPr>
                <w:spacing w:val="-5"/>
                <w:sz w:val="24"/>
              </w:rPr>
              <w:t>203</w:t>
            </w:r>
          </w:p>
        </w:tc>
      </w:tr>
      <w:tr w:rsidR="003B1EC4" w14:paraId="07462E79" w14:textId="77777777" w:rsidTr="005F0519">
        <w:trPr>
          <w:trHeight w:val="276"/>
        </w:trPr>
        <w:tc>
          <w:tcPr>
            <w:tcW w:w="476" w:type="dxa"/>
          </w:tcPr>
          <w:p w14:paraId="7BF37488" w14:textId="77777777" w:rsidR="003B1EC4" w:rsidRDefault="003B1EC4" w:rsidP="005F0519">
            <w:pPr>
              <w:pStyle w:val="TableParagraph"/>
              <w:spacing w:line="256" w:lineRule="exact"/>
              <w:rPr>
                <w:sz w:val="24"/>
              </w:rPr>
            </w:pPr>
            <w:r>
              <w:rPr>
                <w:spacing w:val="-5"/>
                <w:sz w:val="24"/>
              </w:rPr>
              <w:t>42)</w:t>
            </w:r>
          </w:p>
        </w:tc>
        <w:tc>
          <w:tcPr>
            <w:tcW w:w="6467" w:type="dxa"/>
          </w:tcPr>
          <w:p w14:paraId="45CA91BF" w14:textId="4DA7F430" w:rsidR="003B1EC4" w:rsidRDefault="00E54157" w:rsidP="005F0519">
            <w:pPr>
              <w:pStyle w:val="TableParagraph"/>
              <w:spacing w:line="256" w:lineRule="exact"/>
              <w:ind w:left="75"/>
              <w:rPr>
                <w:sz w:val="24"/>
              </w:rPr>
            </w:pPr>
            <w:r>
              <w:rPr>
                <w:spacing w:val="-5"/>
                <w:sz w:val="24"/>
              </w:rPr>
              <w:t xml:space="preserve"> </w:t>
            </w:r>
            <w:r w:rsidR="003B1EC4">
              <w:rPr>
                <w:spacing w:val="-5"/>
                <w:sz w:val="24"/>
              </w:rPr>
              <w:t>204</w:t>
            </w:r>
          </w:p>
        </w:tc>
      </w:tr>
      <w:tr w:rsidR="003B1EC4" w14:paraId="6D01C109" w14:textId="77777777" w:rsidTr="005F0519">
        <w:trPr>
          <w:trHeight w:val="275"/>
        </w:trPr>
        <w:tc>
          <w:tcPr>
            <w:tcW w:w="476" w:type="dxa"/>
          </w:tcPr>
          <w:p w14:paraId="2A718285" w14:textId="77777777" w:rsidR="003B1EC4" w:rsidRDefault="003B1EC4" w:rsidP="005F0519">
            <w:pPr>
              <w:pStyle w:val="TableParagraph"/>
              <w:spacing w:line="256" w:lineRule="exact"/>
              <w:rPr>
                <w:sz w:val="24"/>
              </w:rPr>
            </w:pPr>
            <w:r>
              <w:rPr>
                <w:spacing w:val="-5"/>
                <w:sz w:val="24"/>
              </w:rPr>
              <w:lastRenderedPageBreak/>
              <w:t>43)</w:t>
            </w:r>
          </w:p>
        </w:tc>
        <w:tc>
          <w:tcPr>
            <w:tcW w:w="6467" w:type="dxa"/>
          </w:tcPr>
          <w:p w14:paraId="5FA8E262" w14:textId="3F4FA7A2" w:rsidR="003B1EC4" w:rsidRDefault="00E54157" w:rsidP="005F0519">
            <w:pPr>
              <w:pStyle w:val="TableParagraph"/>
              <w:spacing w:line="256" w:lineRule="exact"/>
              <w:ind w:left="75"/>
              <w:rPr>
                <w:sz w:val="24"/>
              </w:rPr>
            </w:pPr>
            <w:r>
              <w:rPr>
                <w:spacing w:val="-5"/>
                <w:sz w:val="24"/>
              </w:rPr>
              <w:t xml:space="preserve"> </w:t>
            </w:r>
            <w:r w:rsidR="003B1EC4">
              <w:rPr>
                <w:spacing w:val="-5"/>
                <w:sz w:val="24"/>
              </w:rPr>
              <w:t>205</w:t>
            </w:r>
          </w:p>
        </w:tc>
      </w:tr>
      <w:tr w:rsidR="003B1EC4" w14:paraId="57CB54D8" w14:textId="77777777" w:rsidTr="005F0519">
        <w:trPr>
          <w:trHeight w:val="276"/>
        </w:trPr>
        <w:tc>
          <w:tcPr>
            <w:tcW w:w="476" w:type="dxa"/>
          </w:tcPr>
          <w:p w14:paraId="775764A3" w14:textId="77777777" w:rsidR="003B1EC4" w:rsidRDefault="003B1EC4" w:rsidP="005F0519">
            <w:pPr>
              <w:pStyle w:val="TableParagraph"/>
              <w:spacing w:line="256" w:lineRule="exact"/>
              <w:rPr>
                <w:sz w:val="24"/>
              </w:rPr>
            </w:pPr>
            <w:r>
              <w:rPr>
                <w:spacing w:val="-5"/>
                <w:sz w:val="24"/>
              </w:rPr>
              <w:t>44)</w:t>
            </w:r>
          </w:p>
        </w:tc>
        <w:tc>
          <w:tcPr>
            <w:tcW w:w="6467" w:type="dxa"/>
          </w:tcPr>
          <w:p w14:paraId="6EBCB07B" w14:textId="6DDED5A7" w:rsidR="003B1EC4" w:rsidRDefault="00E54157" w:rsidP="005F0519">
            <w:pPr>
              <w:pStyle w:val="TableParagraph"/>
              <w:spacing w:line="256" w:lineRule="exact"/>
              <w:ind w:left="75"/>
              <w:rPr>
                <w:sz w:val="24"/>
              </w:rPr>
            </w:pPr>
            <w:r>
              <w:rPr>
                <w:spacing w:val="-2"/>
                <w:sz w:val="24"/>
              </w:rPr>
              <w:t xml:space="preserve"> </w:t>
            </w:r>
            <w:r w:rsidR="003B1EC4">
              <w:rPr>
                <w:spacing w:val="-2"/>
                <w:sz w:val="24"/>
              </w:rPr>
              <w:t>207(2)</w:t>
            </w:r>
          </w:p>
        </w:tc>
      </w:tr>
      <w:tr w:rsidR="003B1EC4" w14:paraId="7CB4DCC0" w14:textId="77777777" w:rsidTr="005F0519">
        <w:trPr>
          <w:trHeight w:val="275"/>
        </w:trPr>
        <w:tc>
          <w:tcPr>
            <w:tcW w:w="476" w:type="dxa"/>
          </w:tcPr>
          <w:p w14:paraId="2E82CD8B" w14:textId="77777777" w:rsidR="003B1EC4" w:rsidRDefault="003B1EC4" w:rsidP="005F0519">
            <w:pPr>
              <w:pStyle w:val="TableParagraph"/>
              <w:spacing w:line="256" w:lineRule="exact"/>
              <w:rPr>
                <w:sz w:val="24"/>
              </w:rPr>
            </w:pPr>
            <w:r>
              <w:rPr>
                <w:spacing w:val="-5"/>
                <w:sz w:val="24"/>
              </w:rPr>
              <w:t>45)</w:t>
            </w:r>
          </w:p>
        </w:tc>
        <w:tc>
          <w:tcPr>
            <w:tcW w:w="6467" w:type="dxa"/>
          </w:tcPr>
          <w:p w14:paraId="6B1416A0" w14:textId="18B765C6" w:rsidR="003B1EC4" w:rsidRDefault="00E54157" w:rsidP="005F0519">
            <w:pPr>
              <w:pStyle w:val="TableParagraph"/>
              <w:spacing w:line="256" w:lineRule="exact"/>
              <w:ind w:left="75"/>
              <w:rPr>
                <w:sz w:val="24"/>
              </w:rPr>
            </w:pPr>
            <w:r>
              <w:rPr>
                <w:spacing w:val="-5"/>
                <w:sz w:val="24"/>
              </w:rPr>
              <w:t xml:space="preserve"> </w:t>
            </w:r>
            <w:r w:rsidR="003B1EC4">
              <w:rPr>
                <w:spacing w:val="-5"/>
                <w:sz w:val="24"/>
              </w:rPr>
              <w:t>217</w:t>
            </w:r>
          </w:p>
        </w:tc>
      </w:tr>
      <w:tr w:rsidR="003B1EC4" w14:paraId="7589B462" w14:textId="77777777" w:rsidTr="005F0519">
        <w:trPr>
          <w:trHeight w:val="276"/>
        </w:trPr>
        <w:tc>
          <w:tcPr>
            <w:tcW w:w="476" w:type="dxa"/>
          </w:tcPr>
          <w:p w14:paraId="4185AFDB" w14:textId="77777777" w:rsidR="003B1EC4" w:rsidRDefault="003B1EC4" w:rsidP="005F0519">
            <w:pPr>
              <w:pStyle w:val="TableParagraph"/>
              <w:spacing w:line="256" w:lineRule="exact"/>
              <w:rPr>
                <w:sz w:val="24"/>
              </w:rPr>
            </w:pPr>
            <w:r>
              <w:rPr>
                <w:spacing w:val="-5"/>
                <w:sz w:val="24"/>
              </w:rPr>
              <w:t>46)</w:t>
            </w:r>
          </w:p>
        </w:tc>
        <w:tc>
          <w:tcPr>
            <w:tcW w:w="6467" w:type="dxa"/>
          </w:tcPr>
          <w:p w14:paraId="40B83302" w14:textId="4EC82B61" w:rsidR="003B1EC4" w:rsidRDefault="00E54157" w:rsidP="005F0519">
            <w:pPr>
              <w:pStyle w:val="TableParagraph"/>
              <w:spacing w:line="256" w:lineRule="exact"/>
              <w:ind w:left="75"/>
              <w:rPr>
                <w:sz w:val="24"/>
              </w:rPr>
            </w:pPr>
            <w:r>
              <w:rPr>
                <w:spacing w:val="-5"/>
                <w:sz w:val="24"/>
              </w:rPr>
              <w:t xml:space="preserve"> </w:t>
            </w:r>
            <w:r w:rsidR="003B1EC4">
              <w:rPr>
                <w:spacing w:val="-5"/>
                <w:sz w:val="24"/>
              </w:rPr>
              <w:t>218</w:t>
            </w:r>
          </w:p>
        </w:tc>
      </w:tr>
      <w:tr w:rsidR="003B1EC4" w14:paraId="381D49C1" w14:textId="77777777" w:rsidTr="005F0519">
        <w:trPr>
          <w:trHeight w:val="275"/>
        </w:trPr>
        <w:tc>
          <w:tcPr>
            <w:tcW w:w="476" w:type="dxa"/>
          </w:tcPr>
          <w:p w14:paraId="3ED9F994" w14:textId="77777777" w:rsidR="003B1EC4" w:rsidRDefault="003B1EC4" w:rsidP="005F0519">
            <w:pPr>
              <w:pStyle w:val="TableParagraph"/>
              <w:spacing w:line="256" w:lineRule="exact"/>
              <w:rPr>
                <w:sz w:val="24"/>
              </w:rPr>
            </w:pPr>
            <w:r>
              <w:rPr>
                <w:spacing w:val="-5"/>
                <w:sz w:val="24"/>
              </w:rPr>
              <w:t>47)</w:t>
            </w:r>
          </w:p>
        </w:tc>
        <w:tc>
          <w:tcPr>
            <w:tcW w:w="6467" w:type="dxa"/>
          </w:tcPr>
          <w:p w14:paraId="4B4884D9" w14:textId="703508E5"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222</w:t>
            </w:r>
          </w:p>
        </w:tc>
      </w:tr>
      <w:tr w:rsidR="003B1EC4" w14:paraId="02A0F0D6" w14:textId="77777777" w:rsidTr="005F0519">
        <w:trPr>
          <w:trHeight w:val="275"/>
        </w:trPr>
        <w:tc>
          <w:tcPr>
            <w:tcW w:w="476" w:type="dxa"/>
          </w:tcPr>
          <w:p w14:paraId="56A3518C" w14:textId="77777777" w:rsidR="003B1EC4" w:rsidRDefault="003B1EC4" w:rsidP="005F0519">
            <w:pPr>
              <w:pStyle w:val="TableParagraph"/>
              <w:spacing w:line="256" w:lineRule="exact"/>
              <w:rPr>
                <w:sz w:val="24"/>
              </w:rPr>
            </w:pPr>
            <w:r>
              <w:rPr>
                <w:spacing w:val="-5"/>
                <w:sz w:val="24"/>
              </w:rPr>
              <w:t>48)</w:t>
            </w:r>
          </w:p>
        </w:tc>
        <w:tc>
          <w:tcPr>
            <w:tcW w:w="6467" w:type="dxa"/>
          </w:tcPr>
          <w:p w14:paraId="527C38EE" w14:textId="3DA31F2B"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223</w:t>
            </w:r>
          </w:p>
        </w:tc>
      </w:tr>
      <w:tr w:rsidR="003B1EC4" w14:paraId="46929FAA" w14:textId="77777777" w:rsidTr="005F0519">
        <w:trPr>
          <w:trHeight w:val="276"/>
        </w:trPr>
        <w:tc>
          <w:tcPr>
            <w:tcW w:w="476" w:type="dxa"/>
          </w:tcPr>
          <w:p w14:paraId="7343E435" w14:textId="77777777" w:rsidR="003B1EC4" w:rsidRDefault="003B1EC4" w:rsidP="005F0519">
            <w:pPr>
              <w:pStyle w:val="TableParagraph"/>
              <w:spacing w:line="256" w:lineRule="exact"/>
              <w:rPr>
                <w:sz w:val="24"/>
              </w:rPr>
            </w:pPr>
            <w:r>
              <w:rPr>
                <w:spacing w:val="-5"/>
                <w:sz w:val="24"/>
              </w:rPr>
              <w:t>49)</w:t>
            </w:r>
          </w:p>
        </w:tc>
        <w:tc>
          <w:tcPr>
            <w:tcW w:w="6467" w:type="dxa"/>
          </w:tcPr>
          <w:p w14:paraId="0E96B461" w14:textId="35EF96B4"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224</w:t>
            </w:r>
          </w:p>
        </w:tc>
      </w:tr>
      <w:tr w:rsidR="003B1EC4" w14:paraId="2141F457" w14:textId="77777777" w:rsidTr="005F0519">
        <w:trPr>
          <w:trHeight w:val="275"/>
        </w:trPr>
        <w:tc>
          <w:tcPr>
            <w:tcW w:w="476" w:type="dxa"/>
          </w:tcPr>
          <w:p w14:paraId="02041FF8" w14:textId="77777777" w:rsidR="003B1EC4" w:rsidRDefault="003B1EC4" w:rsidP="005F0519">
            <w:pPr>
              <w:pStyle w:val="TableParagraph"/>
              <w:spacing w:line="256" w:lineRule="exact"/>
              <w:rPr>
                <w:sz w:val="24"/>
              </w:rPr>
            </w:pPr>
            <w:r>
              <w:rPr>
                <w:spacing w:val="-5"/>
                <w:sz w:val="24"/>
              </w:rPr>
              <w:t>50)</w:t>
            </w:r>
          </w:p>
        </w:tc>
        <w:tc>
          <w:tcPr>
            <w:tcW w:w="6467" w:type="dxa"/>
          </w:tcPr>
          <w:p w14:paraId="734B0D16" w14:textId="43754850"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225</w:t>
            </w:r>
          </w:p>
        </w:tc>
      </w:tr>
      <w:tr w:rsidR="003B1EC4" w14:paraId="77614E47" w14:textId="77777777" w:rsidTr="005F0519">
        <w:trPr>
          <w:trHeight w:val="275"/>
        </w:trPr>
        <w:tc>
          <w:tcPr>
            <w:tcW w:w="476" w:type="dxa"/>
          </w:tcPr>
          <w:p w14:paraId="7A477502" w14:textId="77777777" w:rsidR="003B1EC4" w:rsidRDefault="003B1EC4" w:rsidP="005F0519">
            <w:pPr>
              <w:pStyle w:val="TableParagraph"/>
              <w:spacing w:line="256" w:lineRule="exact"/>
              <w:rPr>
                <w:sz w:val="24"/>
              </w:rPr>
            </w:pPr>
            <w:r>
              <w:rPr>
                <w:spacing w:val="-5"/>
                <w:sz w:val="24"/>
              </w:rPr>
              <w:t>51)</w:t>
            </w:r>
          </w:p>
        </w:tc>
        <w:tc>
          <w:tcPr>
            <w:tcW w:w="6467" w:type="dxa"/>
          </w:tcPr>
          <w:p w14:paraId="2260D1E7" w14:textId="05640580"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226</w:t>
            </w:r>
          </w:p>
        </w:tc>
      </w:tr>
      <w:tr w:rsidR="003B1EC4" w14:paraId="08498661" w14:textId="77777777" w:rsidTr="005F0519">
        <w:trPr>
          <w:trHeight w:val="276"/>
        </w:trPr>
        <w:tc>
          <w:tcPr>
            <w:tcW w:w="476" w:type="dxa"/>
          </w:tcPr>
          <w:p w14:paraId="6B04DEF2" w14:textId="77777777" w:rsidR="003B1EC4" w:rsidRDefault="003B1EC4" w:rsidP="005F0519">
            <w:pPr>
              <w:pStyle w:val="TableParagraph"/>
              <w:spacing w:line="256" w:lineRule="exact"/>
              <w:rPr>
                <w:sz w:val="24"/>
              </w:rPr>
            </w:pPr>
            <w:r>
              <w:rPr>
                <w:spacing w:val="-5"/>
                <w:sz w:val="24"/>
              </w:rPr>
              <w:t>52)</w:t>
            </w:r>
          </w:p>
        </w:tc>
        <w:tc>
          <w:tcPr>
            <w:tcW w:w="6467" w:type="dxa"/>
          </w:tcPr>
          <w:p w14:paraId="34E9CC25" w14:textId="6933AA35"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227</w:t>
            </w:r>
          </w:p>
        </w:tc>
      </w:tr>
      <w:tr w:rsidR="003B1EC4" w14:paraId="3B3A4FCC" w14:textId="77777777" w:rsidTr="005F0519">
        <w:trPr>
          <w:trHeight w:val="276"/>
        </w:trPr>
        <w:tc>
          <w:tcPr>
            <w:tcW w:w="476" w:type="dxa"/>
          </w:tcPr>
          <w:p w14:paraId="07B4F00A" w14:textId="77777777" w:rsidR="003B1EC4" w:rsidRDefault="003B1EC4" w:rsidP="005F0519">
            <w:pPr>
              <w:pStyle w:val="TableParagraph"/>
              <w:spacing w:line="256" w:lineRule="exact"/>
              <w:rPr>
                <w:sz w:val="24"/>
              </w:rPr>
            </w:pPr>
            <w:r>
              <w:rPr>
                <w:spacing w:val="-5"/>
                <w:sz w:val="24"/>
              </w:rPr>
              <w:t>53)</w:t>
            </w:r>
          </w:p>
        </w:tc>
        <w:tc>
          <w:tcPr>
            <w:tcW w:w="6467" w:type="dxa"/>
          </w:tcPr>
          <w:p w14:paraId="436956F8" w14:textId="7E15A19F" w:rsidR="003B1EC4" w:rsidRDefault="00E54157" w:rsidP="005F0519">
            <w:pPr>
              <w:pStyle w:val="TableParagraph"/>
              <w:spacing w:line="256" w:lineRule="exact"/>
              <w:ind w:left="75"/>
              <w:rPr>
                <w:sz w:val="24"/>
              </w:rPr>
            </w:pPr>
            <w:r>
              <w:rPr>
                <w:spacing w:val="-5"/>
                <w:sz w:val="24"/>
              </w:rPr>
              <w:t xml:space="preserve"> </w:t>
            </w:r>
            <w:r w:rsidR="003B1EC4">
              <w:rPr>
                <w:spacing w:val="-5"/>
                <w:sz w:val="24"/>
              </w:rPr>
              <w:t>228</w:t>
            </w:r>
          </w:p>
        </w:tc>
      </w:tr>
      <w:tr w:rsidR="003B1EC4" w14:paraId="6FF632C7" w14:textId="77777777" w:rsidTr="005F0519">
        <w:trPr>
          <w:trHeight w:val="276"/>
        </w:trPr>
        <w:tc>
          <w:tcPr>
            <w:tcW w:w="476" w:type="dxa"/>
          </w:tcPr>
          <w:p w14:paraId="47140792" w14:textId="77777777" w:rsidR="003B1EC4" w:rsidRDefault="003B1EC4" w:rsidP="005F0519">
            <w:pPr>
              <w:pStyle w:val="TableParagraph"/>
              <w:spacing w:line="256" w:lineRule="exact"/>
              <w:rPr>
                <w:sz w:val="24"/>
              </w:rPr>
            </w:pPr>
            <w:r>
              <w:rPr>
                <w:spacing w:val="-5"/>
                <w:sz w:val="24"/>
              </w:rPr>
              <w:t>54)</w:t>
            </w:r>
          </w:p>
        </w:tc>
        <w:tc>
          <w:tcPr>
            <w:tcW w:w="6467" w:type="dxa"/>
          </w:tcPr>
          <w:p w14:paraId="66734A4C" w14:textId="1EE63FF5" w:rsidR="003B1EC4" w:rsidRDefault="00E54157" w:rsidP="005F0519">
            <w:pPr>
              <w:pStyle w:val="TableParagraph"/>
              <w:spacing w:line="256" w:lineRule="exact"/>
              <w:ind w:left="75"/>
              <w:rPr>
                <w:sz w:val="24"/>
              </w:rPr>
            </w:pPr>
            <w:r>
              <w:rPr>
                <w:spacing w:val="-2"/>
                <w:sz w:val="24"/>
              </w:rPr>
              <w:t xml:space="preserve"> </w:t>
            </w:r>
            <w:r w:rsidR="003B1EC4">
              <w:rPr>
                <w:spacing w:val="-2"/>
                <w:sz w:val="24"/>
              </w:rPr>
              <w:t>229(1)(b)</w:t>
            </w:r>
          </w:p>
        </w:tc>
      </w:tr>
      <w:tr w:rsidR="003B1EC4" w14:paraId="713F8528" w14:textId="77777777" w:rsidTr="005F0519">
        <w:trPr>
          <w:trHeight w:val="276"/>
        </w:trPr>
        <w:tc>
          <w:tcPr>
            <w:tcW w:w="476" w:type="dxa"/>
          </w:tcPr>
          <w:p w14:paraId="5306EF15" w14:textId="77777777" w:rsidR="003B1EC4" w:rsidRDefault="003B1EC4" w:rsidP="005F0519">
            <w:pPr>
              <w:pStyle w:val="TableParagraph"/>
              <w:spacing w:line="256" w:lineRule="exact"/>
              <w:rPr>
                <w:sz w:val="24"/>
              </w:rPr>
            </w:pPr>
            <w:r>
              <w:rPr>
                <w:spacing w:val="-5"/>
                <w:sz w:val="24"/>
              </w:rPr>
              <w:t>55)</w:t>
            </w:r>
          </w:p>
        </w:tc>
        <w:tc>
          <w:tcPr>
            <w:tcW w:w="6467" w:type="dxa"/>
          </w:tcPr>
          <w:p w14:paraId="4C0EDCF5" w14:textId="023062C3" w:rsidR="003B1EC4" w:rsidRDefault="00E54157" w:rsidP="005F0519">
            <w:pPr>
              <w:pStyle w:val="TableParagraph"/>
              <w:spacing w:line="256" w:lineRule="exact"/>
              <w:ind w:left="75"/>
              <w:rPr>
                <w:sz w:val="24"/>
              </w:rPr>
            </w:pPr>
            <w:r>
              <w:rPr>
                <w:spacing w:val="-2"/>
                <w:sz w:val="24"/>
              </w:rPr>
              <w:t xml:space="preserve"> </w:t>
            </w:r>
            <w:r w:rsidR="003B1EC4">
              <w:rPr>
                <w:spacing w:val="-2"/>
                <w:sz w:val="24"/>
              </w:rPr>
              <w:t>229(2)</w:t>
            </w:r>
          </w:p>
        </w:tc>
      </w:tr>
      <w:tr w:rsidR="003B1EC4" w14:paraId="1A151233" w14:textId="77777777" w:rsidTr="005F0519">
        <w:trPr>
          <w:trHeight w:val="276"/>
        </w:trPr>
        <w:tc>
          <w:tcPr>
            <w:tcW w:w="476" w:type="dxa"/>
          </w:tcPr>
          <w:p w14:paraId="2CE44DC9" w14:textId="77777777" w:rsidR="003B1EC4" w:rsidRDefault="003B1EC4" w:rsidP="005F0519">
            <w:pPr>
              <w:pStyle w:val="TableParagraph"/>
              <w:spacing w:line="256" w:lineRule="exact"/>
              <w:rPr>
                <w:sz w:val="24"/>
              </w:rPr>
            </w:pPr>
            <w:r>
              <w:rPr>
                <w:spacing w:val="-5"/>
                <w:sz w:val="24"/>
              </w:rPr>
              <w:t>56)</w:t>
            </w:r>
          </w:p>
        </w:tc>
        <w:tc>
          <w:tcPr>
            <w:tcW w:w="6467" w:type="dxa"/>
          </w:tcPr>
          <w:p w14:paraId="4D88F468" w14:textId="154994A1" w:rsidR="003B1EC4" w:rsidRDefault="00E54157" w:rsidP="005F0519">
            <w:pPr>
              <w:pStyle w:val="TableParagraph"/>
              <w:spacing w:line="256" w:lineRule="exact"/>
              <w:ind w:left="75"/>
              <w:rPr>
                <w:sz w:val="24"/>
              </w:rPr>
            </w:pPr>
            <w:r>
              <w:rPr>
                <w:spacing w:val="-5"/>
                <w:sz w:val="24"/>
              </w:rPr>
              <w:t xml:space="preserve"> </w:t>
            </w:r>
            <w:r w:rsidR="003B1EC4">
              <w:rPr>
                <w:spacing w:val="-5"/>
                <w:sz w:val="24"/>
              </w:rPr>
              <w:t>230</w:t>
            </w:r>
          </w:p>
        </w:tc>
      </w:tr>
      <w:tr w:rsidR="003B1EC4" w14:paraId="314DE1DB" w14:textId="77777777" w:rsidTr="005F0519">
        <w:trPr>
          <w:trHeight w:val="275"/>
        </w:trPr>
        <w:tc>
          <w:tcPr>
            <w:tcW w:w="476" w:type="dxa"/>
          </w:tcPr>
          <w:p w14:paraId="3567EEE4" w14:textId="77777777" w:rsidR="003B1EC4" w:rsidRDefault="003B1EC4" w:rsidP="005F0519">
            <w:pPr>
              <w:pStyle w:val="TableParagraph"/>
              <w:spacing w:line="256" w:lineRule="exact"/>
              <w:rPr>
                <w:sz w:val="24"/>
              </w:rPr>
            </w:pPr>
            <w:r>
              <w:rPr>
                <w:spacing w:val="-5"/>
                <w:sz w:val="24"/>
              </w:rPr>
              <w:t>57)</w:t>
            </w:r>
          </w:p>
        </w:tc>
        <w:tc>
          <w:tcPr>
            <w:tcW w:w="6467" w:type="dxa"/>
          </w:tcPr>
          <w:p w14:paraId="6F447BCA" w14:textId="42D7AA66" w:rsidR="003B1EC4" w:rsidRDefault="00E54157" w:rsidP="005F0519">
            <w:pPr>
              <w:pStyle w:val="TableParagraph"/>
              <w:spacing w:line="256" w:lineRule="exact"/>
              <w:ind w:left="75"/>
              <w:rPr>
                <w:sz w:val="24"/>
              </w:rPr>
            </w:pPr>
            <w:r>
              <w:rPr>
                <w:spacing w:val="-5"/>
                <w:sz w:val="24"/>
              </w:rPr>
              <w:t xml:space="preserve"> </w:t>
            </w:r>
            <w:r w:rsidR="003B1EC4">
              <w:rPr>
                <w:spacing w:val="-5"/>
                <w:sz w:val="24"/>
              </w:rPr>
              <w:t>231</w:t>
            </w:r>
          </w:p>
        </w:tc>
      </w:tr>
      <w:tr w:rsidR="003B1EC4" w14:paraId="092A49BC" w14:textId="77777777" w:rsidTr="005F0519">
        <w:trPr>
          <w:trHeight w:val="275"/>
        </w:trPr>
        <w:tc>
          <w:tcPr>
            <w:tcW w:w="476" w:type="dxa"/>
          </w:tcPr>
          <w:p w14:paraId="13DE5093" w14:textId="77777777" w:rsidR="003B1EC4" w:rsidRDefault="003B1EC4" w:rsidP="005F0519">
            <w:pPr>
              <w:pStyle w:val="TableParagraph"/>
              <w:spacing w:line="256" w:lineRule="exact"/>
              <w:rPr>
                <w:sz w:val="24"/>
              </w:rPr>
            </w:pPr>
            <w:r>
              <w:rPr>
                <w:spacing w:val="-5"/>
                <w:sz w:val="24"/>
              </w:rPr>
              <w:t>58)</w:t>
            </w:r>
          </w:p>
        </w:tc>
        <w:tc>
          <w:tcPr>
            <w:tcW w:w="6467" w:type="dxa"/>
          </w:tcPr>
          <w:p w14:paraId="52C5CBDA" w14:textId="66B0E797" w:rsidR="003B1EC4" w:rsidRDefault="00E54157" w:rsidP="005F0519">
            <w:pPr>
              <w:pStyle w:val="TableParagraph"/>
              <w:spacing w:line="256" w:lineRule="exact"/>
              <w:ind w:left="75"/>
              <w:rPr>
                <w:sz w:val="24"/>
              </w:rPr>
            </w:pPr>
            <w:r>
              <w:rPr>
                <w:spacing w:val="-2"/>
                <w:sz w:val="24"/>
              </w:rPr>
              <w:t xml:space="preserve"> </w:t>
            </w:r>
            <w:r w:rsidR="003B1EC4">
              <w:rPr>
                <w:spacing w:val="-2"/>
                <w:sz w:val="24"/>
              </w:rPr>
              <w:t>232(1)</w:t>
            </w:r>
          </w:p>
        </w:tc>
      </w:tr>
      <w:tr w:rsidR="003B1EC4" w14:paraId="033A6731" w14:textId="77777777" w:rsidTr="005F0519">
        <w:trPr>
          <w:trHeight w:val="276"/>
        </w:trPr>
        <w:tc>
          <w:tcPr>
            <w:tcW w:w="476" w:type="dxa"/>
          </w:tcPr>
          <w:p w14:paraId="365B551D" w14:textId="77777777" w:rsidR="003B1EC4" w:rsidRDefault="003B1EC4" w:rsidP="005F0519">
            <w:pPr>
              <w:pStyle w:val="TableParagraph"/>
              <w:spacing w:line="256" w:lineRule="exact"/>
              <w:rPr>
                <w:sz w:val="24"/>
              </w:rPr>
            </w:pPr>
            <w:r>
              <w:rPr>
                <w:spacing w:val="-5"/>
                <w:sz w:val="24"/>
              </w:rPr>
              <w:t>59)</w:t>
            </w:r>
          </w:p>
        </w:tc>
        <w:tc>
          <w:tcPr>
            <w:tcW w:w="6467" w:type="dxa"/>
          </w:tcPr>
          <w:p w14:paraId="68DD0CA1" w14:textId="2BB17236" w:rsidR="003B1EC4" w:rsidRDefault="00E54157" w:rsidP="005F0519">
            <w:pPr>
              <w:pStyle w:val="TableParagraph"/>
              <w:spacing w:line="256" w:lineRule="exact"/>
              <w:ind w:left="75"/>
              <w:rPr>
                <w:sz w:val="24"/>
              </w:rPr>
            </w:pPr>
            <w:r>
              <w:rPr>
                <w:spacing w:val="-2"/>
                <w:sz w:val="24"/>
              </w:rPr>
              <w:t xml:space="preserve"> </w:t>
            </w:r>
            <w:r w:rsidR="003B1EC4">
              <w:rPr>
                <w:spacing w:val="-2"/>
                <w:sz w:val="24"/>
              </w:rPr>
              <w:t>233(1)</w:t>
            </w:r>
          </w:p>
        </w:tc>
      </w:tr>
      <w:tr w:rsidR="003B1EC4" w14:paraId="77111FF0" w14:textId="77777777" w:rsidTr="005F0519">
        <w:trPr>
          <w:trHeight w:val="276"/>
        </w:trPr>
        <w:tc>
          <w:tcPr>
            <w:tcW w:w="476" w:type="dxa"/>
          </w:tcPr>
          <w:p w14:paraId="72956916" w14:textId="77777777" w:rsidR="003B1EC4" w:rsidRDefault="003B1EC4" w:rsidP="005F0519">
            <w:pPr>
              <w:pStyle w:val="TableParagraph"/>
              <w:spacing w:line="256" w:lineRule="exact"/>
              <w:rPr>
                <w:sz w:val="24"/>
              </w:rPr>
            </w:pPr>
            <w:r>
              <w:rPr>
                <w:spacing w:val="-5"/>
                <w:sz w:val="24"/>
              </w:rPr>
              <w:t>60)</w:t>
            </w:r>
          </w:p>
        </w:tc>
        <w:tc>
          <w:tcPr>
            <w:tcW w:w="6467" w:type="dxa"/>
          </w:tcPr>
          <w:p w14:paraId="68ED6A3A" w14:textId="517739BD" w:rsidR="003B1EC4" w:rsidRDefault="00E54157" w:rsidP="005F0519">
            <w:pPr>
              <w:pStyle w:val="TableParagraph"/>
              <w:spacing w:line="256" w:lineRule="exact"/>
              <w:ind w:left="75"/>
              <w:rPr>
                <w:sz w:val="24"/>
              </w:rPr>
            </w:pPr>
            <w:r>
              <w:rPr>
                <w:spacing w:val="-2"/>
                <w:sz w:val="24"/>
              </w:rPr>
              <w:t xml:space="preserve"> </w:t>
            </w:r>
            <w:r w:rsidR="003B1EC4">
              <w:rPr>
                <w:spacing w:val="-2"/>
                <w:sz w:val="24"/>
              </w:rPr>
              <w:t>234(1)(b)</w:t>
            </w:r>
          </w:p>
        </w:tc>
      </w:tr>
      <w:tr w:rsidR="003B1EC4" w14:paraId="515B17A7" w14:textId="77777777" w:rsidTr="005F0519">
        <w:trPr>
          <w:trHeight w:val="275"/>
        </w:trPr>
        <w:tc>
          <w:tcPr>
            <w:tcW w:w="476" w:type="dxa"/>
          </w:tcPr>
          <w:p w14:paraId="67033777" w14:textId="77777777" w:rsidR="003B1EC4" w:rsidRDefault="003B1EC4" w:rsidP="005F0519">
            <w:pPr>
              <w:pStyle w:val="TableParagraph"/>
              <w:spacing w:line="256" w:lineRule="exact"/>
              <w:rPr>
                <w:sz w:val="24"/>
              </w:rPr>
            </w:pPr>
            <w:r>
              <w:rPr>
                <w:spacing w:val="-5"/>
                <w:sz w:val="24"/>
              </w:rPr>
              <w:t>61)</w:t>
            </w:r>
          </w:p>
        </w:tc>
        <w:tc>
          <w:tcPr>
            <w:tcW w:w="6467" w:type="dxa"/>
          </w:tcPr>
          <w:p w14:paraId="0173C50C" w14:textId="65EEE35F" w:rsidR="003B1EC4" w:rsidRDefault="00E54157" w:rsidP="005F0519">
            <w:pPr>
              <w:pStyle w:val="TableParagraph"/>
              <w:spacing w:line="256" w:lineRule="exact"/>
              <w:ind w:left="75"/>
              <w:rPr>
                <w:sz w:val="24"/>
              </w:rPr>
            </w:pPr>
            <w:r>
              <w:rPr>
                <w:spacing w:val="-5"/>
                <w:sz w:val="24"/>
              </w:rPr>
              <w:t xml:space="preserve"> </w:t>
            </w:r>
            <w:r w:rsidR="003B1EC4">
              <w:rPr>
                <w:spacing w:val="-5"/>
                <w:sz w:val="24"/>
              </w:rPr>
              <w:t>235</w:t>
            </w:r>
          </w:p>
        </w:tc>
      </w:tr>
      <w:tr w:rsidR="003B1EC4" w14:paraId="28560E72" w14:textId="77777777" w:rsidTr="005F0519">
        <w:trPr>
          <w:trHeight w:val="272"/>
        </w:trPr>
        <w:tc>
          <w:tcPr>
            <w:tcW w:w="476" w:type="dxa"/>
          </w:tcPr>
          <w:p w14:paraId="2EA747A6" w14:textId="77777777" w:rsidR="003B1EC4" w:rsidRDefault="003B1EC4" w:rsidP="005F0519">
            <w:pPr>
              <w:pStyle w:val="TableParagraph"/>
              <w:spacing w:line="252" w:lineRule="exact"/>
              <w:rPr>
                <w:sz w:val="24"/>
              </w:rPr>
            </w:pPr>
            <w:r>
              <w:rPr>
                <w:spacing w:val="-5"/>
                <w:sz w:val="24"/>
              </w:rPr>
              <w:t>62)</w:t>
            </w:r>
          </w:p>
        </w:tc>
        <w:tc>
          <w:tcPr>
            <w:tcW w:w="6467" w:type="dxa"/>
          </w:tcPr>
          <w:p w14:paraId="62747269" w14:textId="189599F1" w:rsidR="003B1EC4" w:rsidRDefault="00E54157" w:rsidP="005F0519">
            <w:pPr>
              <w:pStyle w:val="TableParagraph"/>
              <w:spacing w:line="252" w:lineRule="exact"/>
              <w:ind w:left="75"/>
              <w:rPr>
                <w:sz w:val="24"/>
              </w:rPr>
            </w:pPr>
            <w:r>
              <w:rPr>
                <w:spacing w:val="-2"/>
                <w:sz w:val="24"/>
              </w:rPr>
              <w:t xml:space="preserve"> </w:t>
            </w:r>
            <w:r w:rsidR="003B1EC4">
              <w:rPr>
                <w:spacing w:val="-2"/>
                <w:sz w:val="24"/>
              </w:rPr>
              <w:t>236(1)</w:t>
            </w:r>
          </w:p>
        </w:tc>
      </w:tr>
      <w:tr w:rsidR="003B1EC4" w14:paraId="191492A9" w14:textId="77777777" w:rsidTr="005F0519">
        <w:tblPrEx>
          <w:tblLook w:val="04A0" w:firstRow="1" w:lastRow="0" w:firstColumn="1" w:lastColumn="0" w:noHBand="0" w:noVBand="1"/>
        </w:tblPrEx>
        <w:trPr>
          <w:trHeight w:val="272"/>
        </w:trPr>
        <w:tc>
          <w:tcPr>
            <w:tcW w:w="476" w:type="dxa"/>
          </w:tcPr>
          <w:p w14:paraId="0874FF43" w14:textId="77777777" w:rsidR="003B1EC4" w:rsidRDefault="003B1EC4" w:rsidP="005F0519">
            <w:pPr>
              <w:pStyle w:val="TableParagraph"/>
              <w:spacing w:line="252" w:lineRule="exact"/>
              <w:rPr>
                <w:sz w:val="24"/>
              </w:rPr>
            </w:pPr>
            <w:r>
              <w:rPr>
                <w:spacing w:val="-5"/>
                <w:sz w:val="24"/>
              </w:rPr>
              <w:t>63)</w:t>
            </w:r>
          </w:p>
        </w:tc>
        <w:tc>
          <w:tcPr>
            <w:tcW w:w="6467" w:type="dxa"/>
          </w:tcPr>
          <w:p w14:paraId="0B716AA2" w14:textId="3E3F71A4" w:rsidR="003B1EC4" w:rsidRDefault="00E54157" w:rsidP="005F0519">
            <w:pPr>
              <w:pStyle w:val="TableParagraph"/>
              <w:spacing w:line="252" w:lineRule="exact"/>
              <w:ind w:left="75"/>
              <w:rPr>
                <w:sz w:val="24"/>
              </w:rPr>
            </w:pPr>
            <w:r>
              <w:rPr>
                <w:spacing w:val="-2"/>
                <w:sz w:val="24"/>
              </w:rPr>
              <w:t xml:space="preserve"> </w:t>
            </w:r>
            <w:r w:rsidR="003B1EC4">
              <w:rPr>
                <w:spacing w:val="-2"/>
                <w:sz w:val="24"/>
              </w:rPr>
              <w:t>242(1)</w:t>
            </w:r>
          </w:p>
        </w:tc>
      </w:tr>
      <w:tr w:rsidR="003B1EC4" w14:paraId="14C6A5AB" w14:textId="77777777" w:rsidTr="005F0519">
        <w:tblPrEx>
          <w:tblLook w:val="04A0" w:firstRow="1" w:lastRow="0" w:firstColumn="1" w:lastColumn="0" w:noHBand="0" w:noVBand="1"/>
        </w:tblPrEx>
        <w:trPr>
          <w:trHeight w:val="275"/>
        </w:trPr>
        <w:tc>
          <w:tcPr>
            <w:tcW w:w="476" w:type="dxa"/>
          </w:tcPr>
          <w:p w14:paraId="454B0DA6" w14:textId="77777777" w:rsidR="003B1EC4" w:rsidRDefault="003B1EC4" w:rsidP="005F0519">
            <w:pPr>
              <w:pStyle w:val="TableParagraph"/>
              <w:spacing w:line="256" w:lineRule="exact"/>
              <w:rPr>
                <w:sz w:val="24"/>
              </w:rPr>
            </w:pPr>
            <w:r>
              <w:rPr>
                <w:spacing w:val="-5"/>
                <w:sz w:val="24"/>
              </w:rPr>
              <w:t>64)</w:t>
            </w:r>
          </w:p>
        </w:tc>
        <w:tc>
          <w:tcPr>
            <w:tcW w:w="6467" w:type="dxa"/>
          </w:tcPr>
          <w:p w14:paraId="6B57723E" w14:textId="22F7782C" w:rsidR="003B1EC4" w:rsidRDefault="00E54157" w:rsidP="005F0519">
            <w:pPr>
              <w:pStyle w:val="TableParagraph"/>
              <w:spacing w:line="256" w:lineRule="exact"/>
              <w:ind w:left="75"/>
              <w:rPr>
                <w:sz w:val="24"/>
              </w:rPr>
            </w:pPr>
            <w:r>
              <w:rPr>
                <w:spacing w:val="-2"/>
                <w:sz w:val="24"/>
              </w:rPr>
              <w:t xml:space="preserve"> </w:t>
            </w:r>
            <w:r w:rsidR="003B1EC4">
              <w:rPr>
                <w:spacing w:val="-2"/>
                <w:sz w:val="24"/>
              </w:rPr>
              <w:t>242(4)</w:t>
            </w:r>
          </w:p>
        </w:tc>
      </w:tr>
      <w:tr w:rsidR="003B1EC4" w14:paraId="6E2FEE41" w14:textId="77777777" w:rsidTr="005F0519">
        <w:tblPrEx>
          <w:tblLook w:val="04A0" w:firstRow="1" w:lastRow="0" w:firstColumn="1" w:lastColumn="0" w:noHBand="0" w:noVBand="1"/>
        </w:tblPrEx>
        <w:trPr>
          <w:trHeight w:val="275"/>
        </w:trPr>
        <w:tc>
          <w:tcPr>
            <w:tcW w:w="476" w:type="dxa"/>
          </w:tcPr>
          <w:p w14:paraId="23CE4F63" w14:textId="77777777" w:rsidR="003B1EC4" w:rsidRDefault="003B1EC4" w:rsidP="005F0519">
            <w:pPr>
              <w:pStyle w:val="TableParagraph"/>
              <w:spacing w:line="256" w:lineRule="exact"/>
              <w:rPr>
                <w:sz w:val="24"/>
              </w:rPr>
            </w:pPr>
            <w:r>
              <w:rPr>
                <w:spacing w:val="-5"/>
                <w:sz w:val="24"/>
              </w:rPr>
              <w:t>65)</w:t>
            </w:r>
          </w:p>
        </w:tc>
        <w:tc>
          <w:tcPr>
            <w:tcW w:w="6467" w:type="dxa"/>
          </w:tcPr>
          <w:p w14:paraId="3CC860A2" w14:textId="0AC9F06D" w:rsidR="003B1EC4" w:rsidRDefault="00E54157" w:rsidP="005F0519">
            <w:pPr>
              <w:pStyle w:val="TableParagraph"/>
              <w:spacing w:line="256" w:lineRule="exact"/>
              <w:ind w:left="75"/>
              <w:rPr>
                <w:sz w:val="24"/>
              </w:rPr>
            </w:pPr>
            <w:r>
              <w:rPr>
                <w:spacing w:val="-2"/>
                <w:sz w:val="24"/>
              </w:rPr>
              <w:t xml:space="preserve"> </w:t>
            </w:r>
            <w:r w:rsidR="003B1EC4">
              <w:rPr>
                <w:spacing w:val="-2"/>
                <w:sz w:val="24"/>
              </w:rPr>
              <w:t>242(5)</w:t>
            </w:r>
          </w:p>
        </w:tc>
      </w:tr>
      <w:tr w:rsidR="003B1EC4" w14:paraId="3035752E" w14:textId="77777777" w:rsidTr="005F0519">
        <w:tblPrEx>
          <w:tblLook w:val="04A0" w:firstRow="1" w:lastRow="0" w:firstColumn="1" w:lastColumn="0" w:noHBand="0" w:noVBand="1"/>
        </w:tblPrEx>
        <w:trPr>
          <w:trHeight w:val="276"/>
        </w:trPr>
        <w:tc>
          <w:tcPr>
            <w:tcW w:w="476" w:type="dxa"/>
          </w:tcPr>
          <w:p w14:paraId="3FD437CA" w14:textId="77777777" w:rsidR="003B1EC4" w:rsidRDefault="003B1EC4" w:rsidP="005F0519">
            <w:pPr>
              <w:pStyle w:val="TableParagraph"/>
              <w:spacing w:line="256" w:lineRule="exact"/>
              <w:rPr>
                <w:sz w:val="24"/>
              </w:rPr>
            </w:pPr>
            <w:r>
              <w:rPr>
                <w:spacing w:val="-5"/>
                <w:sz w:val="24"/>
              </w:rPr>
              <w:t>66)</w:t>
            </w:r>
          </w:p>
        </w:tc>
        <w:tc>
          <w:tcPr>
            <w:tcW w:w="6467" w:type="dxa"/>
          </w:tcPr>
          <w:p w14:paraId="4B6D03BE" w14:textId="0019412B" w:rsidR="003B1EC4" w:rsidRDefault="00E54157" w:rsidP="005F0519">
            <w:pPr>
              <w:pStyle w:val="TableParagraph"/>
              <w:spacing w:line="256" w:lineRule="exact"/>
              <w:ind w:left="75"/>
              <w:rPr>
                <w:sz w:val="24"/>
              </w:rPr>
            </w:pPr>
            <w:r>
              <w:rPr>
                <w:spacing w:val="-2"/>
                <w:sz w:val="24"/>
              </w:rPr>
              <w:t xml:space="preserve"> </w:t>
            </w:r>
            <w:r w:rsidR="003B1EC4">
              <w:rPr>
                <w:spacing w:val="-2"/>
                <w:sz w:val="24"/>
              </w:rPr>
              <w:t>243(1)</w:t>
            </w:r>
          </w:p>
        </w:tc>
      </w:tr>
      <w:tr w:rsidR="003B1EC4" w14:paraId="1117438A" w14:textId="77777777" w:rsidTr="005F0519">
        <w:tblPrEx>
          <w:tblLook w:val="04A0" w:firstRow="1" w:lastRow="0" w:firstColumn="1" w:lastColumn="0" w:noHBand="0" w:noVBand="1"/>
        </w:tblPrEx>
        <w:trPr>
          <w:trHeight w:val="275"/>
        </w:trPr>
        <w:tc>
          <w:tcPr>
            <w:tcW w:w="476" w:type="dxa"/>
          </w:tcPr>
          <w:p w14:paraId="0DDD216F" w14:textId="77777777" w:rsidR="003B1EC4" w:rsidRDefault="003B1EC4" w:rsidP="005F0519">
            <w:pPr>
              <w:pStyle w:val="TableParagraph"/>
              <w:spacing w:line="256" w:lineRule="exact"/>
              <w:rPr>
                <w:sz w:val="24"/>
              </w:rPr>
            </w:pPr>
            <w:r>
              <w:rPr>
                <w:spacing w:val="-5"/>
                <w:sz w:val="24"/>
              </w:rPr>
              <w:t>67)</w:t>
            </w:r>
          </w:p>
        </w:tc>
        <w:tc>
          <w:tcPr>
            <w:tcW w:w="6467" w:type="dxa"/>
          </w:tcPr>
          <w:p w14:paraId="775849E1" w14:textId="63E5D19B" w:rsidR="003B1EC4" w:rsidRDefault="00E54157" w:rsidP="005F0519">
            <w:pPr>
              <w:pStyle w:val="TableParagraph"/>
              <w:spacing w:line="256" w:lineRule="exact"/>
              <w:ind w:left="75"/>
              <w:rPr>
                <w:sz w:val="24"/>
              </w:rPr>
            </w:pPr>
            <w:r>
              <w:rPr>
                <w:spacing w:val="-2"/>
                <w:sz w:val="24"/>
              </w:rPr>
              <w:t xml:space="preserve"> </w:t>
            </w:r>
            <w:r w:rsidR="003B1EC4">
              <w:rPr>
                <w:spacing w:val="-2"/>
                <w:sz w:val="24"/>
              </w:rPr>
              <w:t>244(1)</w:t>
            </w:r>
          </w:p>
        </w:tc>
      </w:tr>
      <w:tr w:rsidR="003B1EC4" w14:paraId="6A62B00A" w14:textId="77777777" w:rsidTr="005F0519">
        <w:tblPrEx>
          <w:tblLook w:val="04A0" w:firstRow="1" w:lastRow="0" w:firstColumn="1" w:lastColumn="0" w:noHBand="0" w:noVBand="1"/>
        </w:tblPrEx>
        <w:trPr>
          <w:trHeight w:val="276"/>
        </w:trPr>
        <w:tc>
          <w:tcPr>
            <w:tcW w:w="476" w:type="dxa"/>
          </w:tcPr>
          <w:p w14:paraId="4486AFEB" w14:textId="77777777" w:rsidR="003B1EC4" w:rsidRDefault="003B1EC4" w:rsidP="005F0519">
            <w:pPr>
              <w:pStyle w:val="TableParagraph"/>
              <w:spacing w:line="256" w:lineRule="exact"/>
              <w:rPr>
                <w:sz w:val="24"/>
              </w:rPr>
            </w:pPr>
            <w:r>
              <w:rPr>
                <w:spacing w:val="-5"/>
                <w:sz w:val="24"/>
              </w:rPr>
              <w:t>68)</w:t>
            </w:r>
          </w:p>
        </w:tc>
        <w:tc>
          <w:tcPr>
            <w:tcW w:w="6467" w:type="dxa"/>
          </w:tcPr>
          <w:p w14:paraId="7E179958" w14:textId="02A70FFD" w:rsidR="003B1EC4" w:rsidRDefault="00E54157" w:rsidP="005F0519">
            <w:pPr>
              <w:pStyle w:val="TableParagraph"/>
              <w:spacing w:line="256" w:lineRule="exact"/>
              <w:ind w:left="75"/>
              <w:rPr>
                <w:sz w:val="24"/>
              </w:rPr>
            </w:pPr>
            <w:r>
              <w:rPr>
                <w:spacing w:val="-5"/>
                <w:sz w:val="24"/>
              </w:rPr>
              <w:t xml:space="preserve"> </w:t>
            </w:r>
            <w:r w:rsidR="003B1EC4">
              <w:rPr>
                <w:spacing w:val="-5"/>
                <w:sz w:val="24"/>
              </w:rPr>
              <w:t>249</w:t>
            </w:r>
          </w:p>
        </w:tc>
      </w:tr>
      <w:tr w:rsidR="003B1EC4" w14:paraId="739F862B" w14:textId="77777777" w:rsidTr="005F0519">
        <w:tblPrEx>
          <w:tblLook w:val="04A0" w:firstRow="1" w:lastRow="0" w:firstColumn="1" w:lastColumn="0" w:noHBand="0" w:noVBand="1"/>
        </w:tblPrEx>
        <w:trPr>
          <w:trHeight w:val="275"/>
        </w:trPr>
        <w:tc>
          <w:tcPr>
            <w:tcW w:w="476" w:type="dxa"/>
          </w:tcPr>
          <w:p w14:paraId="67085F33" w14:textId="77777777" w:rsidR="003B1EC4" w:rsidRDefault="003B1EC4" w:rsidP="005F0519">
            <w:pPr>
              <w:pStyle w:val="TableParagraph"/>
              <w:spacing w:line="256" w:lineRule="exact"/>
              <w:rPr>
                <w:sz w:val="24"/>
              </w:rPr>
            </w:pPr>
            <w:r>
              <w:rPr>
                <w:spacing w:val="-5"/>
                <w:sz w:val="24"/>
              </w:rPr>
              <w:t>70)</w:t>
            </w:r>
          </w:p>
        </w:tc>
        <w:tc>
          <w:tcPr>
            <w:tcW w:w="6467" w:type="dxa"/>
          </w:tcPr>
          <w:p w14:paraId="47391320" w14:textId="5E1D1481" w:rsidR="003B1EC4" w:rsidRDefault="00E54157" w:rsidP="005F0519">
            <w:pPr>
              <w:pStyle w:val="TableParagraph"/>
              <w:spacing w:line="256" w:lineRule="exact"/>
              <w:ind w:left="75"/>
              <w:rPr>
                <w:sz w:val="24"/>
              </w:rPr>
            </w:pPr>
            <w:r>
              <w:rPr>
                <w:spacing w:val="-2"/>
                <w:sz w:val="24"/>
              </w:rPr>
              <w:t xml:space="preserve"> </w:t>
            </w:r>
            <w:r w:rsidR="003B1EC4">
              <w:rPr>
                <w:spacing w:val="-2"/>
                <w:sz w:val="24"/>
              </w:rPr>
              <w:t>251(1)(b)(ii)</w:t>
            </w:r>
          </w:p>
        </w:tc>
      </w:tr>
      <w:tr w:rsidR="003B1EC4" w14:paraId="031860A3" w14:textId="77777777" w:rsidTr="005F0519">
        <w:tblPrEx>
          <w:tblLook w:val="04A0" w:firstRow="1" w:lastRow="0" w:firstColumn="1" w:lastColumn="0" w:noHBand="0" w:noVBand="1"/>
        </w:tblPrEx>
        <w:trPr>
          <w:trHeight w:val="275"/>
        </w:trPr>
        <w:tc>
          <w:tcPr>
            <w:tcW w:w="476" w:type="dxa"/>
          </w:tcPr>
          <w:p w14:paraId="49EB0DC4" w14:textId="77777777" w:rsidR="003B1EC4" w:rsidRDefault="003B1EC4" w:rsidP="005F0519">
            <w:pPr>
              <w:pStyle w:val="TableParagraph"/>
              <w:spacing w:line="256" w:lineRule="exact"/>
              <w:rPr>
                <w:sz w:val="24"/>
              </w:rPr>
            </w:pPr>
            <w:r>
              <w:rPr>
                <w:spacing w:val="-5"/>
                <w:sz w:val="24"/>
              </w:rPr>
              <w:t>72)</w:t>
            </w:r>
          </w:p>
        </w:tc>
        <w:tc>
          <w:tcPr>
            <w:tcW w:w="6467" w:type="dxa"/>
          </w:tcPr>
          <w:p w14:paraId="597BF2A4" w14:textId="1CA89087" w:rsidR="003B1EC4" w:rsidRDefault="00E54157" w:rsidP="005F0519">
            <w:pPr>
              <w:pStyle w:val="TableParagraph"/>
              <w:spacing w:line="256" w:lineRule="exact"/>
              <w:ind w:left="75"/>
              <w:rPr>
                <w:sz w:val="24"/>
              </w:rPr>
            </w:pPr>
            <w:r>
              <w:rPr>
                <w:spacing w:val="-2"/>
                <w:sz w:val="24"/>
              </w:rPr>
              <w:t xml:space="preserve"> </w:t>
            </w:r>
            <w:r w:rsidR="003B1EC4">
              <w:rPr>
                <w:spacing w:val="-2"/>
                <w:sz w:val="24"/>
              </w:rPr>
              <w:t>254(1)</w:t>
            </w:r>
          </w:p>
        </w:tc>
      </w:tr>
      <w:tr w:rsidR="003B1EC4" w14:paraId="10CE28A3" w14:textId="77777777" w:rsidTr="005F0519">
        <w:tblPrEx>
          <w:tblLook w:val="04A0" w:firstRow="1" w:lastRow="0" w:firstColumn="1" w:lastColumn="0" w:noHBand="0" w:noVBand="1"/>
        </w:tblPrEx>
        <w:trPr>
          <w:trHeight w:val="276"/>
        </w:trPr>
        <w:tc>
          <w:tcPr>
            <w:tcW w:w="476" w:type="dxa"/>
          </w:tcPr>
          <w:p w14:paraId="594005A2" w14:textId="77777777" w:rsidR="003B1EC4" w:rsidRDefault="003B1EC4" w:rsidP="005F0519">
            <w:pPr>
              <w:pStyle w:val="TableParagraph"/>
              <w:spacing w:line="256" w:lineRule="exact"/>
              <w:rPr>
                <w:sz w:val="24"/>
              </w:rPr>
            </w:pPr>
            <w:r>
              <w:rPr>
                <w:spacing w:val="-5"/>
                <w:sz w:val="24"/>
              </w:rPr>
              <w:t>73)</w:t>
            </w:r>
          </w:p>
        </w:tc>
        <w:tc>
          <w:tcPr>
            <w:tcW w:w="6467" w:type="dxa"/>
          </w:tcPr>
          <w:p w14:paraId="08250F71" w14:textId="09BD5899" w:rsidR="003B1EC4" w:rsidRDefault="00E54157" w:rsidP="005F0519">
            <w:pPr>
              <w:pStyle w:val="TableParagraph"/>
              <w:spacing w:line="256" w:lineRule="exact"/>
              <w:ind w:left="75"/>
              <w:rPr>
                <w:sz w:val="24"/>
              </w:rPr>
            </w:pPr>
            <w:r>
              <w:rPr>
                <w:spacing w:val="-2"/>
                <w:sz w:val="24"/>
              </w:rPr>
              <w:t xml:space="preserve"> </w:t>
            </w:r>
            <w:r w:rsidR="003B1EC4">
              <w:rPr>
                <w:spacing w:val="-2"/>
                <w:sz w:val="24"/>
              </w:rPr>
              <w:t>254(3)</w:t>
            </w:r>
          </w:p>
        </w:tc>
      </w:tr>
      <w:tr w:rsidR="003B1EC4" w14:paraId="064E02F2" w14:textId="77777777" w:rsidTr="005F0519">
        <w:tblPrEx>
          <w:tblLook w:val="04A0" w:firstRow="1" w:lastRow="0" w:firstColumn="1" w:lastColumn="0" w:noHBand="0" w:noVBand="1"/>
        </w:tblPrEx>
        <w:trPr>
          <w:trHeight w:val="275"/>
        </w:trPr>
        <w:tc>
          <w:tcPr>
            <w:tcW w:w="476" w:type="dxa"/>
          </w:tcPr>
          <w:p w14:paraId="4FF9ACBC" w14:textId="77777777" w:rsidR="003B1EC4" w:rsidRDefault="003B1EC4" w:rsidP="005F0519">
            <w:pPr>
              <w:pStyle w:val="TableParagraph"/>
              <w:spacing w:line="256" w:lineRule="exact"/>
              <w:rPr>
                <w:sz w:val="24"/>
              </w:rPr>
            </w:pPr>
            <w:r>
              <w:rPr>
                <w:spacing w:val="-5"/>
                <w:sz w:val="24"/>
              </w:rPr>
              <w:t>74)</w:t>
            </w:r>
          </w:p>
        </w:tc>
        <w:tc>
          <w:tcPr>
            <w:tcW w:w="6467" w:type="dxa"/>
          </w:tcPr>
          <w:p w14:paraId="386498FD" w14:textId="3FFC98FC" w:rsidR="003B1EC4" w:rsidRDefault="00E54157" w:rsidP="005F0519">
            <w:pPr>
              <w:pStyle w:val="TableParagraph"/>
              <w:spacing w:line="256" w:lineRule="exact"/>
              <w:ind w:left="75"/>
              <w:rPr>
                <w:sz w:val="24"/>
              </w:rPr>
            </w:pPr>
            <w:r>
              <w:rPr>
                <w:spacing w:val="-5"/>
                <w:sz w:val="24"/>
              </w:rPr>
              <w:t xml:space="preserve"> </w:t>
            </w:r>
            <w:r w:rsidR="003B1EC4">
              <w:rPr>
                <w:spacing w:val="-5"/>
                <w:sz w:val="24"/>
              </w:rPr>
              <w:t>255</w:t>
            </w:r>
          </w:p>
        </w:tc>
      </w:tr>
      <w:tr w:rsidR="003B1EC4" w14:paraId="1E3F39E5" w14:textId="77777777" w:rsidTr="005F0519">
        <w:tblPrEx>
          <w:tblLook w:val="04A0" w:firstRow="1" w:lastRow="0" w:firstColumn="1" w:lastColumn="0" w:noHBand="0" w:noVBand="1"/>
        </w:tblPrEx>
        <w:trPr>
          <w:trHeight w:val="276"/>
        </w:trPr>
        <w:tc>
          <w:tcPr>
            <w:tcW w:w="476" w:type="dxa"/>
          </w:tcPr>
          <w:p w14:paraId="79D3BA01" w14:textId="77777777" w:rsidR="003B1EC4" w:rsidRDefault="003B1EC4" w:rsidP="005F0519">
            <w:pPr>
              <w:pStyle w:val="TableParagraph"/>
              <w:spacing w:line="256" w:lineRule="exact"/>
              <w:rPr>
                <w:sz w:val="24"/>
              </w:rPr>
            </w:pPr>
            <w:r>
              <w:rPr>
                <w:spacing w:val="-5"/>
                <w:sz w:val="24"/>
              </w:rPr>
              <w:t>78)</w:t>
            </w:r>
          </w:p>
        </w:tc>
        <w:tc>
          <w:tcPr>
            <w:tcW w:w="6467" w:type="dxa"/>
          </w:tcPr>
          <w:p w14:paraId="4A93AC21" w14:textId="5885C640" w:rsidR="003B1EC4" w:rsidRDefault="00E54157" w:rsidP="005F0519">
            <w:pPr>
              <w:pStyle w:val="TableParagraph"/>
              <w:spacing w:line="256" w:lineRule="exact"/>
              <w:ind w:left="75"/>
              <w:rPr>
                <w:sz w:val="24"/>
              </w:rPr>
            </w:pPr>
            <w:r>
              <w:rPr>
                <w:spacing w:val="-5"/>
                <w:sz w:val="24"/>
              </w:rPr>
              <w:t xml:space="preserve"> </w:t>
            </w:r>
            <w:r w:rsidR="003B1EC4">
              <w:rPr>
                <w:spacing w:val="-5"/>
                <w:sz w:val="24"/>
              </w:rPr>
              <w:t>260</w:t>
            </w:r>
          </w:p>
        </w:tc>
      </w:tr>
      <w:tr w:rsidR="003B1EC4" w14:paraId="1BD0FD1B" w14:textId="77777777" w:rsidTr="005F0519">
        <w:tblPrEx>
          <w:tblLook w:val="04A0" w:firstRow="1" w:lastRow="0" w:firstColumn="1" w:lastColumn="0" w:noHBand="0" w:noVBand="1"/>
        </w:tblPrEx>
        <w:trPr>
          <w:trHeight w:val="275"/>
        </w:trPr>
        <w:tc>
          <w:tcPr>
            <w:tcW w:w="476" w:type="dxa"/>
          </w:tcPr>
          <w:p w14:paraId="7A9CB9BD" w14:textId="77777777" w:rsidR="003B1EC4" w:rsidRDefault="003B1EC4" w:rsidP="005F0519">
            <w:pPr>
              <w:pStyle w:val="TableParagraph"/>
              <w:spacing w:line="256" w:lineRule="exact"/>
              <w:rPr>
                <w:sz w:val="24"/>
              </w:rPr>
            </w:pPr>
            <w:r>
              <w:rPr>
                <w:spacing w:val="-5"/>
                <w:sz w:val="24"/>
              </w:rPr>
              <w:t>79)</w:t>
            </w:r>
          </w:p>
        </w:tc>
        <w:tc>
          <w:tcPr>
            <w:tcW w:w="6467" w:type="dxa"/>
          </w:tcPr>
          <w:p w14:paraId="698E86A9" w14:textId="1F1362C3" w:rsidR="003B1EC4" w:rsidRDefault="00E54157" w:rsidP="005F0519">
            <w:pPr>
              <w:pStyle w:val="TableParagraph"/>
              <w:spacing w:line="256" w:lineRule="exact"/>
              <w:ind w:left="75"/>
              <w:rPr>
                <w:sz w:val="24"/>
              </w:rPr>
            </w:pPr>
            <w:r>
              <w:rPr>
                <w:spacing w:val="-5"/>
                <w:sz w:val="24"/>
              </w:rPr>
              <w:t xml:space="preserve"> </w:t>
            </w:r>
            <w:r w:rsidR="003B1EC4">
              <w:rPr>
                <w:spacing w:val="-5"/>
                <w:sz w:val="24"/>
              </w:rPr>
              <w:t>261</w:t>
            </w:r>
          </w:p>
        </w:tc>
      </w:tr>
      <w:tr w:rsidR="003B1EC4" w14:paraId="61B9FF6C" w14:textId="77777777" w:rsidTr="005F0519">
        <w:tblPrEx>
          <w:tblLook w:val="04A0" w:firstRow="1" w:lastRow="0" w:firstColumn="1" w:lastColumn="0" w:noHBand="0" w:noVBand="1"/>
        </w:tblPrEx>
        <w:trPr>
          <w:trHeight w:val="276"/>
        </w:trPr>
        <w:tc>
          <w:tcPr>
            <w:tcW w:w="476" w:type="dxa"/>
          </w:tcPr>
          <w:p w14:paraId="3B8AA404" w14:textId="77777777" w:rsidR="003B1EC4" w:rsidRDefault="003B1EC4" w:rsidP="005F0519">
            <w:pPr>
              <w:pStyle w:val="TableParagraph"/>
              <w:spacing w:line="256" w:lineRule="exact"/>
              <w:rPr>
                <w:sz w:val="24"/>
              </w:rPr>
            </w:pPr>
            <w:r>
              <w:rPr>
                <w:spacing w:val="-5"/>
                <w:sz w:val="24"/>
              </w:rPr>
              <w:t>80)</w:t>
            </w:r>
          </w:p>
        </w:tc>
        <w:tc>
          <w:tcPr>
            <w:tcW w:w="6467" w:type="dxa"/>
          </w:tcPr>
          <w:p w14:paraId="50C2F190" w14:textId="45C0A0B1" w:rsidR="003B1EC4" w:rsidRDefault="00E54157" w:rsidP="005F0519">
            <w:pPr>
              <w:pStyle w:val="TableParagraph"/>
              <w:spacing w:line="256" w:lineRule="exact"/>
              <w:ind w:left="75"/>
              <w:rPr>
                <w:sz w:val="24"/>
              </w:rPr>
            </w:pPr>
            <w:r>
              <w:rPr>
                <w:spacing w:val="-2"/>
                <w:sz w:val="24"/>
              </w:rPr>
              <w:t xml:space="preserve"> </w:t>
            </w:r>
            <w:r w:rsidR="003B1EC4">
              <w:rPr>
                <w:spacing w:val="-2"/>
                <w:sz w:val="24"/>
              </w:rPr>
              <w:t>262(2)</w:t>
            </w:r>
          </w:p>
        </w:tc>
      </w:tr>
      <w:tr w:rsidR="003B1EC4" w14:paraId="1C2876EC" w14:textId="77777777" w:rsidTr="005F0519">
        <w:tblPrEx>
          <w:tblLook w:val="04A0" w:firstRow="1" w:lastRow="0" w:firstColumn="1" w:lastColumn="0" w:noHBand="0" w:noVBand="1"/>
        </w:tblPrEx>
        <w:trPr>
          <w:trHeight w:val="275"/>
        </w:trPr>
        <w:tc>
          <w:tcPr>
            <w:tcW w:w="476" w:type="dxa"/>
          </w:tcPr>
          <w:p w14:paraId="3788B178" w14:textId="77777777" w:rsidR="003B1EC4" w:rsidRDefault="003B1EC4" w:rsidP="005F0519">
            <w:pPr>
              <w:pStyle w:val="TableParagraph"/>
              <w:spacing w:line="256" w:lineRule="exact"/>
              <w:rPr>
                <w:sz w:val="24"/>
              </w:rPr>
            </w:pPr>
            <w:r>
              <w:rPr>
                <w:spacing w:val="-5"/>
                <w:sz w:val="24"/>
              </w:rPr>
              <w:t>81)</w:t>
            </w:r>
          </w:p>
        </w:tc>
        <w:tc>
          <w:tcPr>
            <w:tcW w:w="6467" w:type="dxa"/>
          </w:tcPr>
          <w:p w14:paraId="120D1D44" w14:textId="09E17594" w:rsidR="003B1EC4" w:rsidRDefault="00E54157" w:rsidP="005F0519">
            <w:pPr>
              <w:pStyle w:val="TableParagraph"/>
              <w:spacing w:line="256" w:lineRule="exact"/>
              <w:ind w:left="75"/>
              <w:rPr>
                <w:sz w:val="24"/>
              </w:rPr>
            </w:pPr>
            <w:r>
              <w:rPr>
                <w:spacing w:val="-5"/>
                <w:sz w:val="24"/>
              </w:rPr>
              <w:t xml:space="preserve"> </w:t>
            </w:r>
            <w:r w:rsidR="003B1EC4">
              <w:rPr>
                <w:spacing w:val="-5"/>
                <w:sz w:val="24"/>
              </w:rPr>
              <w:t>263</w:t>
            </w:r>
          </w:p>
        </w:tc>
      </w:tr>
      <w:tr w:rsidR="003B1EC4" w14:paraId="49EE07DC" w14:textId="77777777" w:rsidTr="005F0519">
        <w:tblPrEx>
          <w:tblLook w:val="04A0" w:firstRow="1" w:lastRow="0" w:firstColumn="1" w:lastColumn="0" w:noHBand="0" w:noVBand="1"/>
        </w:tblPrEx>
        <w:trPr>
          <w:trHeight w:val="275"/>
        </w:trPr>
        <w:tc>
          <w:tcPr>
            <w:tcW w:w="476" w:type="dxa"/>
          </w:tcPr>
          <w:p w14:paraId="5766FE92" w14:textId="77777777" w:rsidR="003B1EC4" w:rsidRDefault="003B1EC4" w:rsidP="005F0519">
            <w:pPr>
              <w:pStyle w:val="TableParagraph"/>
              <w:spacing w:line="256" w:lineRule="exact"/>
              <w:rPr>
                <w:sz w:val="24"/>
              </w:rPr>
            </w:pPr>
            <w:r>
              <w:rPr>
                <w:spacing w:val="-5"/>
                <w:sz w:val="24"/>
              </w:rPr>
              <w:t>84)</w:t>
            </w:r>
          </w:p>
        </w:tc>
        <w:tc>
          <w:tcPr>
            <w:tcW w:w="6467" w:type="dxa"/>
          </w:tcPr>
          <w:p w14:paraId="254101C7" w14:textId="296868FD" w:rsidR="003B1EC4" w:rsidRDefault="00E54157" w:rsidP="005F0519">
            <w:pPr>
              <w:pStyle w:val="TableParagraph"/>
              <w:spacing w:line="256" w:lineRule="exact"/>
              <w:rPr>
                <w:sz w:val="24"/>
              </w:rPr>
            </w:pPr>
            <w:r>
              <w:rPr>
                <w:spacing w:val="-2"/>
                <w:sz w:val="24"/>
              </w:rPr>
              <w:t xml:space="preserve"> </w:t>
            </w:r>
            <w:r w:rsidR="003B1EC4">
              <w:rPr>
                <w:spacing w:val="-2"/>
                <w:sz w:val="24"/>
              </w:rPr>
              <w:t>328(3)</w:t>
            </w:r>
          </w:p>
        </w:tc>
      </w:tr>
      <w:tr w:rsidR="003B1EC4" w14:paraId="25EAA5D2" w14:textId="77777777" w:rsidTr="005F0519">
        <w:tblPrEx>
          <w:tblLook w:val="04A0" w:firstRow="1" w:lastRow="0" w:firstColumn="1" w:lastColumn="0" w:noHBand="0" w:noVBand="1"/>
        </w:tblPrEx>
        <w:trPr>
          <w:trHeight w:val="275"/>
        </w:trPr>
        <w:tc>
          <w:tcPr>
            <w:tcW w:w="476" w:type="dxa"/>
          </w:tcPr>
          <w:p w14:paraId="4BB05139" w14:textId="77777777" w:rsidR="003B1EC4" w:rsidRDefault="003B1EC4" w:rsidP="005F0519">
            <w:pPr>
              <w:pStyle w:val="TableParagraph"/>
              <w:spacing w:line="256" w:lineRule="exact"/>
              <w:rPr>
                <w:spacing w:val="-5"/>
                <w:sz w:val="24"/>
              </w:rPr>
            </w:pPr>
            <w:r>
              <w:rPr>
                <w:spacing w:val="-5"/>
                <w:sz w:val="24"/>
              </w:rPr>
              <w:t>85)</w:t>
            </w:r>
          </w:p>
        </w:tc>
        <w:tc>
          <w:tcPr>
            <w:tcW w:w="6467" w:type="dxa"/>
          </w:tcPr>
          <w:p w14:paraId="4628CA6E" w14:textId="25906A8F" w:rsidR="003B1EC4" w:rsidRDefault="00E54157" w:rsidP="005F0519">
            <w:pPr>
              <w:pStyle w:val="TableParagraph"/>
              <w:spacing w:line="256" w:lineRule="exact"/>
              <w:rPr>
                <w:spacing w:val="-2"/>
                <w:sz w:val="24"/>
              </w:rPr>
            </w:pPr>
            <w:r>
              <w:rPr>
                <w:spacing w:val="-2"/>
                <w:sz w:val="24"/>
              </w:rPr>
              <w:t xml:space="preserve"> </w:t>
            </w:r>
            <w:r w:rsidR="003B1EC4">
              <w:rPr>
                <w:spacing w:val="-2"/>
                <w:sz w:val="24"/>
              </w:rPr>
              <w:t>328(4)</w:t>
            </w:r>
          </w:p>
        </w:tc>
      </w:tr>
      <w:tr w:rsidR="003B1EC4" w:rsidRPr="00294968" w14:paraId="75C6C9F0" w14:textId="77777777" w:rsidTr="005F0519">
        <w:tblPrEx>
          <w:tblLook w:val="04A0" w:firstRow="1" w:lastRow="0" w:firstColumn="1" w:lastColumn="0" w:noHBand="0" w:noVBand="1"/>
        </w:tblPrEx>
        <w:trPr>
          <w:trHeight w:val="275"/>
        </w:trPr>
        <w:tc>
          <w:tcPr>
            <w:tcW w:w="476" w:type="dxa"/>
          </w:tcPr>
          <w:p w14:paraId="35E8242F" w14:textId="77777777" w:rsidR="003B1EC4" w:rsidRDefault="003B1EC4" w:rsidP="005F0519">
            <w:pPr>
              <w:pStyle w:val="TableParagraph"/>
              <w:spacing w:line="256" w:lineRule="exact"/>
              <w:rPr>
                <w:spacing w:val="-5"/>
                <w:sz w:val="24"/>
              </w:rPr>
            </w:pPr>
            <w:r>
              <w:rPr>
                <w:spacing w:val="-5"/>
                <w:sz w:val="24"/>
              </w:rPr>
              <w:t>87)</w:t>
            </w:r>
          </w:p>
        </w:tc>
        <w:tc>
          <w:tcPr>
            <w:tcW w:w="6467" w:type="dxa"/>
          </w:tcPr>
          <w:p w14:paraId="25C0F013" w14:textId="3054AFB7" w:rsidR="003B1EC4" w:rsidRPr="00BC1ADD" w:rsidRDefault="00E54157" w:rsidP="005F0519">
            <w:pPr>
              <w:pStyle w:val="TableParagraph"/>
              <w:spacing w:line="256" w:lineRule="exact"/>
              <w:rPr>
                <w:spacing w:val="-2"/>
                <w:sz w:val="24"/>
                <w:lang w:val="en-CA"/>
              </w:rPr>
            </w:pPr>
            <w:r>
              <w:rPr>
                <w:sz w:val="24"/>
                <w:lang w:val="en-CA"/>
              </w:rPr>
              <w:t xml:space="preserve"> </w:t>
            </w:r>
            <w:r w:rsidR="003B1EC4" w:rsidRPr="00BC1ADD">
              <w:rPr>
                <w:sz w:val="24"/>
                <w:lang w:val="en-CA"/>
              </w:rPr>
              <w:t>335 (in</w:t>
            </w:r>
            <w:r w:rsidR="0091198F">
              <w:rPr>
                <w:sz w:val="24"/>
                <w:lang w:val="en-CA"/>
              </w:rPr>
              <w:t>sofar as</w:t>
            </w:r>
            <w:r w:rsidR="003B1EC4" w:rsidRPr="00BC1ADD">
              <w:rPr>
                <w:sz w:val="24"/>
                <w:lang w:val="en-CA"/>
              </w:rPr>
              <w:t xml:space="preserve"> this provision provides for the coming into effect of provisions that have been deemed inoperative or suspended)</w:t>
            </w:r>
          </w:p>
        </w:tc>
      </w:tr>
    </w:tbl>
    <w:p w14:paraId="7B26F0EA" w14:textId="77777777" w:rsidR="003B1EC4" w:rsidRPr="003B1EC4" w:rsidRDefault="003B1EC4" w:rsidP="00E54157">
      <w:pPr>
        <w:pStyle w:val="Paragrdouble"/>
        <w:numPr>
          <w:ilvl w:val="0"/>
          <w:numId w:val="0"/>
        </w:numPr>
        <w:rPr>
          <w:lang w:val="en-CA"/>
        </w:rPr>
      </w:pPr>
    </w:p>
    <w:sectPr w:rsidR="003B1EC4" w:rsidRPr="003B1EC4" w:rsidSect="00E54157">
      <w:headerReference w:type="even" r:id="rId8"/>
      <w:headerReference w:type="default" r:id="rId9"/>
      <w:footerReference w:type="even" r:id="rId10"/>
      <w:headerReference w:type="first" r:id="rId11"/>
      <w:footnotePr>
        <w:numRestart w:val="eachSect"/>
      </w:footnotePr>
      <w:pgSz w:w="12242" w:h="15842" w:code="1"/>
      <w:pgMar w:top="1244" w:right="1008" w:bottom="1276" w:left="1872" w:header="1134" w:footer="68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6C21" w14:textId="77777777" w:rsidR="002153B2" w:rsidRDefault="002153B2">
      <w:r>
        <w:separator/>
      </w:r>
    </w:p>
  </w:endnote>
  <w:endnote w:type="continuationSeparator" w:id="0">
    <w:p w14:paraId="0DE0F729" w14:textId="77777777" w:rsidR="002153B2" w:rsidRDefault="0021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BookmanOldStyle-Italic">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4C7C" w14:textId="77777777" w:rsidR="00845CB6" w:rsidRDefault="0096102C">
    <w:pPr>
      <w:framePr w:wrap="around" w:vAnchor="text" w:hAnchor="margin" w:xAlign="right" w:y="1"/>
    </w:pPr>
    <w:r>
      <w:fldChar w:fldCharType="begin"/>
    </w:r>
    <w:r>
      <w:instrText xml:space="preserve">PAGE  </w:instrText>
    </w:r>
    <w:r w:rsidR="0007747E">
      <w:fldChar w:fldCharType="separate"/>
    </w:r>
    <w:r>
      <w:fldChar w:fldCharType="end"/>
    </w:r>
  </w:p>
  <w:p w14:paraId="62041825" w14:textId="77777777" w:rsidR="00845CB6" w:rsidRDefault="00845CB6">
    <w:pPr>
      <w:ind w:right="360"/>
    </w:pPr>
  </w:p>
  <w:p w14:paraId="521F413F" w14:textId="77777777" w:rsidR="00845CB6" w:rsidRDefault="00845CB6"/>
  <w:p w14:paraId="1416E6C1" w14:textId="77777777" w:rsidR="00845CB6" w:rsidRDefault="00845CB6"/>
  <w:p w14:paraId="4D9F3DEC" w14:textId="77777777" w:rsidR="00845CB6" w:rsidRDefault="00845CB6"/>
  <w:p w14:paraId="71176F55" w14:textId="77777777" w:rsidR="00845CB6" w:rsidRDefault="00845CB6"/>
  <w:p w14:paraId="2B16FF99" w14:textId="77777777" w:rsidR="00845CB6" w:rsidRDefault="00845CB6"/>
  <w:p w14:paraId="2C5863D4" w14:textId="77777777" w:rsidR="00845CB6" w:rsidRDefault="00845CB6"/>
  <w:p w14:paraId="55FA8E49" w14:textId="77777777" w:rsidR="00845CB6" w:rsidRDefault="00845CB6"/>
  <w:p w14:paraId="0831714C" w14:textId="77777777" w:rsidR="009C3DFF" w:rsidRDefault="009C3DFF"/>
  <w:p w14:paraId="6BD41DDD" w14:textId="77777777" w:rsidR="00595946" w:rsidRDefault="00595946"/>
  <w:p w14:paraId="438A9C66" w14:textId="77777777" w:rsidR="00681CE5" w:rsidRDefault="00681CE5"/>
  <w:p w14:paraId="379ECB4C" w14:textId="77777777" w:rsidR="00B51DAE" w:rsidRDefault="00B51DAE"/>
  <w:p w14:paraId="61E9FF12" w14:textId="77777777" w:rsidR="00BF5DE9" w:rsidRDefault="00BF5DE9"/>
  <w:p w14:paraId="68EB34EC" w14:textId="77777777" w:rsidR="00243760" w:rsidRDefault="002437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D0F92" w14:textId="77777777" w:rsidR="002153B2" w:rsidRDefault="002153B2">
      <w:r>
        <w:separator/>
      </w:r>
    </w:p>
  </w:footnote>
  <w:footnote w:type="continuationSeparator" w:id="0">
    <w:p w14:paraId="52475DA4" w14:textId="77777777" w:rsidR="002153B2" w:rsidRDefault="002153B2">
      <w:r>
        <w:continuationSeparator/>
      </w:r>
    </w:p>
  </w:footnote>
  <w:footnote w:id="1">
    <w:p w14:paraId="2CCB1F80" w14:textId="2870B713" w:rsidR="00845CB6" w:rsidRPr="00E87792" w:rsidRDefault="0096102C" w:rsidP="00136683">
      <w:pPr>
        <w:pStyle w:val="Notedebasdepage"/>
        <w:ind w:left="426" w:hanging="426"/>
        <w:rPr>
          <w:lang w:val="en-CA"/>
        </w:rPr>
      </w:pPr>
      <w:r w:rsidRPr="00E87792">
        <w:rPr>
          <w:rStyle w:val="Appelnotedebasdep"/>
        </w:rPr>
        <w:footnoteRef/>
      </w:r>
      <w:r w:rsidRPr="00E87792">
        <w:rPr>
          <w:lang w:val="en-CA"/>
        </w:rPr>
        <w:t xml:space="preserve"> </w:t>
      </w:r>
      <w:r w:rsidRPr="00E87792">
        <w:rPr>
          <w:lang w:val="en-CA"/>
        </w:rPr>
        <w:tab/>
        <w:t>SQ 2020, c 1 (</w:t>
      </w:r>
      <w:r w:rsidR="004F59F7">
        <w:rPr>
          <w:lang w:val="en-CA"/>
        </w:rPr>
        <w:t>Bill</w:t>
      </w:r>
      <w:r w:rsidRPr="00E87792">
        <w:rPr>
          <w:lang w:val="en-CA"/>
        </w:rPr>
        <w:t xml:space="preserve"> 40), </w:t>
      </w:r>
      <w:r w:rsidR="00026B4F" w:rsidRPr="00E87792">
        <w:rPr>
          <w:lang w:val="en-CA"/>
        </w:rPr>
        <w:t xml:space="preserve">the </w:t>
      </w:r>
      <w:r w:rsidR="003A1F34" w:rsidRPr="00E87792">
        <w:rPr>
          <w:lang w:val="en-CA"/>
        </w:rPr>
        <w:t>“</w:t>
      </w:r>
      <w:r w:rsidR="00026B4F" w:rsidRPr="00E87792">
        <w:rPr>
          <w:i/>
          <w:iCs/>
          <w:lang w:val="en-CA"/>
        </w:rPr>
        <w:t>Act</w:t>
      </w:r>
      <w:r w:rsidR="004E59F6">
        <w:rPr>
          <w:lang w:val="en-CA"/>
        </w:rPr>
        <w:t>”.</w:t>
      </w:r>
    </w:p>
  </w:footnote>
  <w:footnote w:id="2">
    <w:p w14:paraId="07844559" w14:textId="5BD0E9C7" w:rsidR="00845CB6" w:rsidRPr="00E87792" w:rsidRDefault="0096102C" w:rsidP="00136683">
      <w:pPr>
        <w:pStyle w:val="Notedebasdepage"/>
        <w:ind w:left="426" w:hanging="426"/>
        <w:rPr>
          <w:lang w:val="en-CA"/>
        </w:rPr>
      </w:pPr>
      <w:r w:rsidRPr="00E87792">
        <w:rPr>
          <w:rStyle w:val="Appelnotedebasdep"/>
        </w:rPr>
        <w:footnoteRef/>
      </w:r>
      <w:r w:rsidRPr="00E87792">
        <w:rPr>
          <w:lang w:val="en-CA"/>
        </w:rPr>
        <w:t xml:space="preserve"> </w:t>
      </w:r>
      <w:r w:rsidRPr="00E87792">
        <w:rPr>
          <w:lang w:val="en-CA"/>
        </w:rPr>
        <w:tab/>
      </w:r>
      <w:r w:rsidR="00BA1219" w:rsidRPr="00E87792">
        <w:rPr>
          <w:lang w:val="en-CA"/>
        </w:rPr>
        <w:t>CQLR</w:t>
      </w:r>
      <w:r w:rsidRPr="00E87792">
        <w:rPr>
          <w:lang w:val="en-CA"/>
        </w:rPr>
        <w:t xml:space="preserve">, c I-13.3, </w:t>
      </w:r>
      <w:r w:rsidR="00BA1219" w:rsidRPr="00E87792">
        <w:rPr>
          <w:rFonts w:cs="Arial"/>
          <w:lang w:val="en-CA"/>
        </w:rPr>
        <w:t>the “</w:t>
      </w:r>
      <w:r w:rsidR="00BA1219" w:rsidRPr="00E87792">
        <w:rPr>
          <w:rFonts w:cs="Arial"/>
          <w:i/>
          <w:iCs/>
          <w:lang w:val="en-CA"/>
        </w:rPr>
        <w:t>EA</w:t>
      </w:r>
      <w:r w:rsidR="00BA1219" w:rsidRPr="00E87792">
        <w:rPr>
          <w:rFonts w:cs="Arial"/>
          <w:lang w:val="en-CA"/>
        </w:rPr>
        <w:t>”</w:t>
      </w:r>
      <w:r w:rsidRPr="00E87792">
        <w:rPr>
          <w:lang w:val="en-CA"/>
        </w:rPr>
        <w:t>.</w:t>
      </w:r>
    </w:p>
  </w:footnote>
  <w:footnote w:id="3">
    <w:p w14:paraId="6003C259" w14:textId="7EB463EA" w:rsidR="00F8060B" w:rsidRPr="00E87792" w:rsidRDefault="00F8060B" w:rsidP="00136683">
      <w:pPr>
        <w:pStyle w:val="Paragrdouble"/>
        <w:numPr>
          <w:ilvl w:val="0"/>
          <w:numId w:val="0"/>
        </w:numPr>
        <w:spacing w:before="0" w:after="0" w:line="240" w:lineRule="auto"/>
        <w:ind w:left="426" w:hanging="426"/>
        <w:rPr>
          <w:lang w:val="en-CA"/>
        </w:rPr>
      </w:pPr>
      <w:r w:rsidRPr="00E87792">
        <w:rPr>
          <w:rStyle w:val="Appelnotedebasdep"/>
          <w:sz w:val="20"/>
        </w:rPr>
        <w:footnoteRef/>
      </w:r>
      <w:r w:rsidRPr="00E87792">
        <w:rPr>
          <w:sz w:val="20"/>
          <w:lang w:val="en-CA"/>
        </w:rPr>
        <w:t xml:space="preserve"> </w:t>
      </w:r>
      <w:r w:rsidRPr="00E87792">
        <w:rPr>
          <w:lang w:val="en-CA"/>
        </w:rPr>
        <w:t xml:space="preserve">   </w:t>
      </w:r>
      <w:r w:rsidR="00527F5A">
        <w:rPr>
          <w:lang w:val="en-CA"/>
        </w:rPr>
        <w:tab/>
      </w:r>
      <w:r w:rsidR="00AB2A74" w:rsidRPr="00E87792">
        <w:rPr>
          <w:sz w:val="20"/>
          <w:lang w:val="en-CA"/>
        </w:rPr>
        <w:t xml:space="preserve">The designation </w:t>
      </w:r>
      <w:r w:rsidR="002C11CB" w:rsidRPr="00E87792">
        <w:rPr>
          <w:sz w:val="20"/>
          <w:lang w:val="en-CA"/>
        </w:rPr>
        <w:t>“</w:t>
      </w:r>
      <w:r w:rsidR="00AB2A74" w:rsidRPr="00E87792">
        <w:rPr>
          <w:sz w:val="20"/>
          <w:lang w:val="en-CA"/>
        </w:rPr>
        <w:t>school board</w:t>
      </w:r>
      <w:r w:rsidR="002C11CB" w:rsidRPr="00E87792">
        <w:rPr>
          <w:sz w:val="20"/>
          <w:lang w:val="en-CA"/>
        </w:rPr>
        <w:t>”</w:t>
      </w:r>
      <w:r w:rsidR="00AB2A74" w:rsidRPr="00E87792">
        <w:rPr>
          <w:sz w:val="20"/>
          <w:lang w:val="en-CA"/>
        </w:rPr>
        <w:t xml:space="preserve"> or </w:t>
      </w:r>
      <w:r w:rsidR="002C11CB" w:rsidRPr="00E87792">
        <w:rPr>
          <w:sz w:val="20"/>
          <w:lang w:val="en-CA"/>
        </w:rPr>
        <w:t>“</w:t>
      </w:r>
      <w:r w:rsidR="00AB2A74" w:rsidRPr="00E87792">
        <w:rPr>
          <w:sz w:val="20"/>
          <w:lang w:val="en-CA"/>
        </w:rPr>
        <w:t>school service centre</w:t>
      </w:r>
      <w:r w:rsidR="002C11CB" w:rsidRPr="00E87792">
        <w:rPr>
          <w:sz w:val="20"/>
          <w:lang w:val="en-CA"/>
        </w:rPr>
        <w:t>”</w:t>
      </w:r>
      <w:r w:rsidR="00AB2A74" w:rsidRPr="00E87792">
        <w:rPr>
          <w:sz w:val="20"/>
          <w:lang w:val="en-CA"/>
        </w:rPr>
        <w:t xml:space="preserve"> has no bearing on the rights at issue here. The terms are used</w:t>
      </w:r>
      <w:r w:rsidRPr="00E87792">
        <w:rPr>
          <w:sz w:val="20"/>
          <w:lang w:val="en-CA"/>
        </w:rPr>
        <w:t xml:space="preserve"> interchangeabl</w:t>
      </w:r>
      <w:r w:rsidR="00AB2A74" w:rsidRPr="00E87792">
        <w:rPr>
          <w:sz w:val="20"/>
          <w:lang w:val="en-CA"/>
        </w:rPr>
        <w:t>y</w:t>
      </w:r>
      <w:r w:rsidRPr="00E87792">
        <w:rPr>
          <w:sz w:val="20"/>
          <w:lang w:val="en-CA"/>
        </w:rPr>
        <w:t>.</w:t>
      </w:r>
      <w:r w:rsidRPr="00E87792">
        <w:rPr>
          <w:lang w:val="en-CA"/>
        </w:rPr>
        <w:t xml:space="preserve"> </w:t>
      </w:r>
    </w:p>
  </w:footnote>
  <w:footnote w:id="4">
    <w:p w14:paraId="4E0646B4" w14:textId="795FD46F" w:rsidR="00F8060B" w:rsidRPr="008760EC" w:rsidRDefault="00F8060B" w:rsidP="00136683">
      <w:pPr>
        <w:pStyle w:val="Notedebasdepage"/>
        <w:ind w:left="426" w:hanging="426"/>
        <w:rPr>
          <w:highlight w:val="yellow"/>
          <w:lang w:val="en-CA"/>
        </w:rPr>
      </w:pPr>
      <w:r w:rsidRPr="00E87792">
        <w:rPr>
          <w:rStyle w:val="Appelnotedebasdep"/>
        </w:rPr>
        <w:footnoteRef/>
      </w:r>
      <w:r w:rsidRPr="00E87792">
        <w:rPr>
          <w:lang w:val="en-CA"/>
        </w:rPr>
        <w:t xml:space="preserve"> </w:t>
      </w:r>
      <w:r w:rsidRPr="00E87792">
        <w:rPr>
          <w:lang w:val="en-CA"/>
        </w:rPr>
        <w:tab/>
      </w:r>
      <w:r w:rsidR="00BA1219" w:rsidRPr="00E87792">
        <w:rPr>
          <w:lang w:val="en-CA"/>
        </w:rPr>
        <w:t>CQLR</w:t>
      </w:r>
      <w:r w:rsidR="00E87792">
        <w:rPr>
          <w:lang w:val="en-CA"/>
        </w:rPr>
        <w:t>,</w:t>
      </w:r>
      <w:r w:rsidRPr="00E87792">
        <w:rPr>
          <w:lang w:val="en-CA"/>
        </w:rPr>
        <w:t xml:space="preserve"> c E-2.3.</w:t>
      </w:r>
    </w:p>
  </w:footnote>
  <w:footnote w:id="5">
    <w:p w14:paraId="1744D145" w14:textId="1D6B3582" w:rsidR="00F8060B" w:rsidRPr="00E87792" w:rsidRDefault="00F8060B" w:rsidP="00136683">
      <w:pPr>
        <w:pStyle w:val="Notedebasdepage"/>
        <w:ind w:left="426" w:hanging="426"/>
        <w:rPr>
          <w:lang w:val="en-CA"/>
        </w:rPr>
      </w:pPr>
      <w:r w:rsidRPr="005554F5">
        <w:rPr>
          <w:rStyle w:val="Appelnotedebasdep"/>
        </w:rPr>
        <w:footnoteRef/>
      </w:r>
      <w:r w:rsidRPr="005554F5">
        <w:rPr>
          <w:lang w:val="en-CA"/>
        </w:rPr>
        <w:t xml:space="preserve"> </w:t>
      </w:r>
      <w:r w:rsidRPr="005554F5">
        <w:rPr>
          <w:lang w:val="en-CA"/>
        </w:rPr>
        <w:tab/>
      </w:r>
      <w:r w:rsidR="00E25069" w:rsidRPr="005554F5">
        <w:rPr>
          <w:lang w:val="en-CA"/>
        </w:rPr>
        <w:t xml:space="preserve">Amendment of </w:t>
      </w:r>
      <w:r w:rsidR="004F59F7" w:rsidRPr="005554F5">
        <w:rPr>
          <w:lang w:val="en-CA"/>
        </w:rPr>
        <w:t xml:space="preserve">30 </w:t>
      </w:r>
      <w:r w:rsidR="00E25069" w:rsidRPr="005554F5">
        <w:rPr>
          <w:lang w:val="en-CA"/>
        </w:rPr>
        <w:t xml:space="preserve">November </w:t>
      </w:r>
      <w:r w:rsidRPr="005554F5">
        <w:rPr>
          <w:lang w:val="en-CA"/>
        </w:rPr>
        <w:t xml:space="preserve">2020. </w:t>
      </w:r>
      <w:r w:rsidR="00915647" w:rsidRPr="005554F5">
        <w:rPr>
          <w:lang w:val="en-CA"/>
        </w:rPr>
        <w:t>The applicants abandoned their challenge of</w:t>
      </w:r>
      <w:r w:rsidRPr="005554F5">
        <w:rPr>
          <w:lang w:val="en-CA"/>
        </w:rPr>
        <w:t xml:space="preserve"> sections 117 </w:t>
      </w:r>
      <w:r w:rsidR="00915647" w:rsidRPr="005554F5">
        <w:rPr>
          <w:lang w:val="en-CA"/>
        </w:rPr>
        <w:t>and</w:t>
      </w:r>
      <w:r w:rsidRPr="005554F5">
        <w:rPr>
          <w:lang w:val="en-CA"/>
        </w:rPr>
        <w:t xml:space="preserve"> 118 </w:t>
      </w:r>
      <w:r w:rsidR="00915647" w:rsidRPr="005554F5">
        <w:rPr>
          <w:lang w:val="en-CA"/>
        </w:rPr>
        <w:t xml:space="preserve">of the </w:t>
      </w:r>
      <w:r w:rsidR="00915647" w:rsidRPr="005554F5">
        <w:rPr>
          <w:i/>
          <w:iCs/>
          <w:lang w:val="en-CA"/>
        </w:rPr>
        <w:t xml:space="preserve">Act </w:t>
      </w:r>
      <w:r w:rsidR="00915647" w:rsidRPr="005554F5">
        <w:rPr>
          <w:lang w:val="en-CA"/>
        </w:rPr>
        <w:t xml:space="preserve">on April 14, </w:t>
      </w:r>
      <w:r w:rsidRPr="005554F5">
        <w:rPr>
          <w:lang w:val="en-CA"/>
        </w:rPr>
        <w:t>2021.</w:t>
      </w:r>
      <w:r w:rsidRPr="00E87792">
        <w:rPr>
          <w:lang w:val="en-CA"/>
        </w:rPr>
        <w:t xml:space="preserve"> </w:t>
      </w:r>
    </w:p>
  </w:footnote>
  <w:footnote w:id="6">
    <w:p w14:paraId="2858DBB5" w14:textId="77777777" w:rsidR="000C4651" w:rsidRPr="00E87792" w:rsidRDefault="000C4651" w:rsidP="00136683">
      <w:pPr>
        <w:pStyle w:val="Notedebasdepage"/>
        <w:ind w:left="426" w:hanging="426"/>
      </w:pPr>
      <w:r w:rsidRPr="00E87792">
        <w:rPr>
          <w:rStyle w:val="Appelnotedebasdep"/>
        </w:rPr>
        <w:footnoteRef/>
      </w:r>
      <w:r w:rsidRPr="00E87792">
        <w:t xml:space="preserve"> </w:t>
      </w:r>
      <w:r w:rsidRPr="00E87792">
        <w:tab/>
        <w:t>2020 QCCS 2444.</w:t>
      </w:r>
    </w:p>
  </w:footnote>
  <w:footnote w:id="7">
    <w:p w14:paraId="233FBC4B" w14:textId="77777777" w:rsidR="00F8060B" w:rsidRPr="00E87792" w:rsidRDefault="00F8060B" w:rsidP="00136683">
      <w:pPr>
        <w:pStyle w:val="Notedebasdepage"/>
        <w:ind w:left="426" w:hanging="426"/>
      </w:pPr>
      <w:r w:rsidRPr="00E87792">
        <w:rPr>
          <w:rStyle w:val="Appelnotedebasdep"/>
        </w:rPr>
        <w:footnoteRef/>
      </w:r>
      <w:r w:rsidRPr="00E87792">
        <w:t xml:space="preserve"> </w:t>
      </w:r>
      <w:r w:rsidRPr="00E87792">
        <w:tab/>
        <w:t xml:space="preserve">2020 QCCA 1171. </w:t>
      </w:r>
    </w:p>
  </w:footnote>
  <w:footnote w:id="8">
    <w:p w14:paraId="466544E4" w14:textId="77777777" w:rsidR="00F8060B" w:rsidRPr="00E87792" w:rsidRDefault="00F8060B" w:rsidP="00136683">
      <w:pPr>
        <w:pStyle w:val="Notedebasdepage"/>
        <w:ind w:left="426" w:hanging="426"/>
      </w:pPr>
      <w:r w:rsidRPr="00E87792">
        <w:rPr>
          <w:rStyle w:val="Appelnotedebasdep"/>
        </w:rPr>
        <w:footnoteRef/>
      </w:r>
      <w:r w:rsidRPr="00E87792">
        <w:t xml:space="preserve"> </w:t>
      </w:r>
      <w:r w:rsidRPr="00E87792">
        <w:tab/>
      </w:r>
      <w:r w:rsidRPr="00E87792">
        <w:rPr>
          <w:lang w:eastAsia="fr-CA"/>
        </w:rPr>
        <w:t>“QESBA”.</w:t>
      </w:r>
    </w:p>
  </w:footnote>
  <w:footnote w:id="9">
    <w:p w14:paraId="163270A6" w14:textId="77777777" w:rsidR="00F8060B" w:rsidRPr="00E87792" w:rsidRDefault="00F8060B" w:rsidP="00136683">
      <w:pPr>
        <w:pStyle w:val="Notedebasdepage"/>
        <w:ind w:left="426" w:hanging="426"/>
      </w:pPr>
      <w:r w:rsidRPr="00E87792">
        <w:rPr>
          <w:rStyle w:val="Appelnotedebasdep"/>
        </w:rPr>
        <w:footnoteRef/>
      </w:r>
      <w:r w:rsidRPr="00E87792">
        <w:t xml:space="preserve"> </w:t>
      </w:r>
      <w:r w:rsidRPr="00E87792">
        <w:tab/>
      </w:r>
      <w:r w:rsidRPr="00E87792">
        <w:rPr>
          <w:rFonts w:cs="Arial"/>
          <w:color w:val="000000"/>
        </w:rPr>
        <w:t xml:space="preserve">Arrêté en conseil No 1014-97 du 13 août 1997 adopté en vertu de </w:t>
      </w:r>
      <w:r w:rsidRPr="00E87792">
        <w:rPr>
          <w:rFonts w:cs="Arial"/>
        </w:rPr>
        <w:t>l’</w:t>
      </w:r>
      <w:r w:rsidRPr="00E87792">
        <w:rPr>
          <w:rStyle w:val="Hyperlien"/>
          <w:rFonts w:cs="Arial"/>
          <w:color w:val="auto"/>
          <w:u w:val="none"/>
        </w:rPr>
        <w:t>article 111</w:t>
      </w:r>
      <w:r w:rsidRPr="00E87792">
        <w:rPr>
          <w:rFonts w:cs="Arial"/>
        </w:rPr>
        <w:t xml:space="preserve"> de la </w:t>
      </w:r>
      <w:r w:rsidRPr="00E87792">
        <w:rPr>
          <w:rStyle w:val="Hyperlien"/>
          <w:rFonts w:cs="Arial"/>
          <w:i/>
          <w:iCs/>
          <w:color w:val="auto"/>
          <w:u w:val="none"/>
        </w:rPr>
        <w:t>Loi sur l’instruction publique</w:t>
      </w:r>
      <w:r w:rsidRPr="00E87792">
        <w:rPr>
          <w:rFonts w:cs="Arial"/>
        </w:rPr>
        <w:t>.</w:t>
      </w:r>
    </w:p>
  </w:footnote>
  <w:footnote w:id="10">
    <w:p w14:paraId="7017D0A1" w14:textId="24D583F1" w:rsidR="00F8060B" w:rsidRPr="008760EC" w:rsidRDefault="00F8060B" w:rsidP="00136683">
      <w:pPr>
        <w:pStyle w:val="Notedebasdepage"/>
        <w:ind w:left="426" w:hanging="426"/>
        <w:rPr>
          <w:highlight w:val="yellow"/>
        </w:rPr>
      </w:pPr>
      <w:r w:rsidRPr="00E87792">
        <w:rPr>
          <w:rStyle w:val="Appelnotedebasdep"/>
        </w:rPr>
        <w:footnoteRef/>
      </w:r>
      <w:r w:rsidRPr="00E87792">
        <w:t xml:space="preserve"> </w:t>
      </w:r>
      <w:r w:rsidRPr="00E87792">
        <w:tab/>
      </w:r>
      <w:r w:rsidR="00BA1219" w:rsidRPr="00E87792">
        <w:t>CQLR</w:t>
      </w:r>
      <w:r w:rsidR="003255AA">
        <w:t xml:space="preserve"> c </w:t>
      </w:r>
      <w:r w:rsidRPr="00E87792">
        <w:t xml:space="preserve">C-11. </w:t>
      </w:r>
    </w:p>
  </w:footnote>
  <w:footnote w:id="11">
    <w:p w14:paraId="7642522F" w14:textId="19359A0F" w:rsidR="00F8060B" w:rsidRPr="00E87792" w:rsidRDefault="00F8060B" w:rsidP="00136683">
      <w:pPr>
        <w:pStyle w:val="Notedebasdepage"/>
        <w:ind w:left="426" w:hanging="426"/>
      </w:pPr>
      <w:r w:rsidRPr="00E87792">
        <w:rPr>
          <w:rStyle w:val="Appelnotedebasdep"/>
        </w:rPr>
        <w:footnoteRef/>
      </w:r>
      <w:r w:rsidRPr="00E87792">
        <w:t xml:space="preserve"> </w:t>
      </w:r>
      <w:r w:rsidRPr="00E87792">
        <w:tab/>
      </w:r>
      <w:r w:rsidR="006831A0" w:rsidRPr="00E87792">
        <w:rPr>
          <w:rFonts w:cs="Arial"/>
          <w:color w:val="000000"/>
        </w:rPr>
        <w:t>Exhibit</w:t>
      </w:r>
      <w:r w:rsidRPr="00E87792">
        <w:rPr>
          <w:rFonts w:cs="Arial"/>
          <w:color w:val="000000"/>
        </w:rPr>
        <w:t xml:space="preserve"> PGQ-1, </w:t>
      </w:r>
      <w:r w:rsidR="006831A0" w:rsidRPr="00E87792">
        <w:rPr>
          <w:rFonts w:cs="Arial"/>
          <w:color w:val="000000"/>
        </w:rPr>
        <w:t>press release entitled</w:t>
      </w:r>
      <w:r w:rsidRPr="00E87792">
        <w:rPr>
          <w:rFonts w:cs="Arial"/>
          <w:color w:val="000000"/>
        </w:rPr>
        <w:t xml:space="preserve"> </w:t>
      </w:r>
      <w:r w:rsidR="006831A0" w:rsidRPr="00E87792">
        <w:rPr>
          <w:rFonts w:cs="Arial"/>
          <w:color w:val="000000"/>
        </w:rPr>
        <w:t>“</w:t>
      </w:r>
      <w:r w:rsidRPr="00E87792">
        <w:rPr>
          <w:rFonts w:cs="Arial"/>
          <w:color w:val="000000"/>
        </w:rPr>
        <w:t>Dépôt du projet de loi n 40 Le nouveau gouvernement du Québec confirme la fin des commissions scolaires telles qu’on les connaît</w:t>
      </w:r>
      <w:r w:rsidR="006831A0" w:rsidRPr="00E87792">
        <w:rPr>
          <w:rFonts w:cs="Arial"/>
          <w:color w:val="000000"/>
        </w:rPr>
        <w:t>”.</w:t>
      </w:r>
    </w:p>
  </w:footnote>
  <w:footnote w:id="12">
    <w:p w14:paraId="7D15A2F3" w14:textId="069955AE" w:rsidR="00D04F2D" w:rsidRPr="005554F5" w:rsidRDefault="0096102C" w:rsidP="00136683">
      <w:pPr>
        <w:pStyle w:val="Notedebasdepage"/>
        <w:ind w:left="426" w:hanging="426"/>
        <w:rPr>
          <w:lang w:val="en-CA"/>
        </w:rPr>
      </w:pPr>
      <w:r w:rsidRPr="005554F5">
        <w:rPr>
          <w:rStyle w:val="Appelnotedebasdep"/>
        </w:rPr>
        <w:footnoteRef/>
      </w:r>
      <w:r w:rsidRPr="005554F5">
        <w:rPr>
          <w:lang w:val="en-CA"/>
        </w:rPr>
        <w:t xml:space="preserve"> </w:t>
      </w:r>
      <w:r w:rsidRPr="005554F5">
        <w:rPr>
          <w:lang w:val="en-CA"/>
        </w:rPr>
        <w:tab/>
      </w:r>
      <w:r w:rsidR="00023425" w:rsidRPr="005554F5">
        <w:rPr>
          <w:rStyle w:val="Hyperlien"/>
          <w:rFonts w:cs="Arial"/>
          <w:i/>
          <w:iCs/>
          <w:color w:val="auto"/>
          <w:u w:val="none"/>
          <w:lang w:val="en-CA"/>
        </w:rPr>
        <w:t>Constitution Act,</w:t>
      </w:r>
      <w:r w:rsidRPr="005554F5">
        <w:rPr>
          <w:rStyle w:val="Hyperlien"/>
          <w:rFonts w:cs="Arial"/>
          <w:i/>
          <w:iCs/>
          <w:color w:val="auto"/>
          <w:u w:val="none"/>
          <w:lang w:val="en-CA"/>
        </w:rPr>
        <w:t xml:space="preserve"> 1982</w:t>
      </w:r>
      <w:r w:rsidRPr="005554F5">
        <w:rPr>
          <w:rStyle w:val="Hyperlien"/>
          <w:rFonts w:cs="Arial"/>
          <w:color w:val="auto"/>
          <w:u w:val="none"/>
          <w:lang w:val="en-CA"/>
        </w:rPr>
        <w:t xml:space="preserve">, </w:t>
      </w:r>
      <w:r w:rsidR="005554F5">
        <w:rPr>
          <w:rStyle w:val="Hyperlien"/>
          <w:rFonts w:cs="Arial"/>
          <w:color w:val="auto"/>
          <w:u w:val="none"/>
          <w:lang w:val="en-CA"/>
        </w:rPr>
        <w:t>s</w:t>
      </w:r>
      <w:r w:rsidRPr="005554F5">
        <w:rPr>
          <w:rStyle w:val="Hyperlien"/>
          <w:rFonts w:cs="Arial"/>
          <w:color w:val="auto"/>
          <w:u w:val="none"/>
          <w:lang w:val="en-CA"/>
        </w:rPr>
        <w:t xml:space="preserve"> 59</w:t>
      </w:r>
      <w:r w:rsidRPr="005554F5">
        <w:rPr>
          <w:rFonts w:cs="Arial"/>
          <w:lang w:val="en-CA"/>
        </w:rPr>
        <w:t>.</w:t>
      </w:r>
    </w:p>
  </w:footnote>
  <w:footnote w:id="13">
    <w:p w14:paraId="42193857" w14:textId="284A5933" w:rsidR="00D04F2D" w:rsidRPr="005554F5" w:rsidRDefault="0096102C" w:rsidP="00136683">
      <w:pPr>
        <w:pStyle w:val="Notedebasdepage"/>
        <w:ind w:left="426" w:hanging="426"/>
        <w:rPr>
          <w:rFonts w:cs="Arial"/>
          <w:color w:val="212529"/>
          <w:szCs w:val="24"/>
          <w:lang w:val="en-CA"/>
        </w:rPr>
      </w:pPr>
      <w:r w:rsidRPr="005554F5">
        <w:rPr>
          <w:rStyle w:val="Appelnotedebasdep"/>
        </w:rPr>
        <w:footnoteRef/>
      </w:r>
      <w:r w:rsidRPr="005554F5">
        <w:rPr>
          <w:lang w:val="en-CA"/>
        </w:rPr>
        <w:t xml:space="preserve"> </w:t>
      </w:r>
      <w:bookmarkStart w:id="6" w:name="_Hlk135479330"/>
      <w:r w:rsidRPr="005554F5">
        <w:rPr>
          <w:lang w:val="en-CA"/>
        </w:rPr>
        <w:tab/>
      </w:r>
      <w:r w:rsidRPr="003255AA">
        <w:rPr>
          <w:i/>
          <w:iCs/>
          <w:lang w:val="en-CA"/>
        </w:rPr>
        <w:t>Arsenault</w:t>
      </w:r>
      <w:r w:rsidRPr="003255AA">
        <w:rPr>
          <w:rFonts w:cs="Arial"/>
          <w:i/>
          <w:iCs/>
          <w:color w:val="212529"/>
          <w:lang w:val="en-CA"/>
        </w:rPr>
        <w:t>-Cameron</w:t>
      </w:r>
      <w:r w:rsidRPr="005554F5">
        <w:rPr>
          <w:rFonts w:cs="Arial"/>
          <w:color w:val="212529"/>
          <w:lang w:val="en-CA"/>
        </w:rPr>
        <w:t xml:space="preserve"> </w:t>
      </w:r>
      <w:r w:rsidR="00023425" w:rsidRPr="005554F5">
        <w:rPr>
          <w:rFonts w:cs="Arial"/>
          <w:i/>
          <w:iCs/>
          <w:color w:val="212529"/>
          <w:lang w:val="en-CA"/>
        </w:rPr>
        <w:t>v</w:t>
      </w:r>
      <w:r w:rsidRPr="005554F5">
        <w:rPr>
          <w:rFonts w:cs="Arial"/>
          <w:i/>
          <w:iCs/>
          <w:color w:val="212529"/>
          <w:lang w:val="en-CA"/>
        </w:rPr>
        <w:t xml:space="preserve"> </w:t>
      </w:r>
      <w:bookmarkEnd w:id="6"/>
      <w:r w:rsidR="001662A2" w:rsidRPr="005554F5">
        <w:rPr>
          <w:rFonts w:cs="Arial"/>
          <w:i/>
          <w:iCs/>
          <w:color w:val="212529"/>
          <w:lang w:val="en-CA"/>
        </w:rPr>
        <w:t>Prince Edward Island</w:t>
      </w:r>
      <w:r w:rsidRPr="005554F5">
        <w:rPr>
          <w:rFonts w:cs="Arial"/>
          <w:color w:val="212529"/>
          <w:lang w:val="en-CA"/>
        </w:rPr>
        <w:t xml:space="preserve">, 2000 </w:t>
      </w:r>
      <w:r w:rsidR="00F8060B" w:rsidRPr="005554F5">
        <w:rPr>
          <w:rFonts w:cs="Arial"/>
          <w:color w:val="212529"/>
          <w:lang w:val="en-CA"/>
        </w:rPr>
        <w:t>SCC</w:t>
      </w:r>
      <w:r w:rsidRPr="005554F5">
        <w:rPr>
          <w:rFonts w:cs="Arial"/>
          <w:color w:val="212529"/>
          <w:lang w:val="en-CA"/>
        </w:rPr>
        <w:t xml:space="preserve"> 1</w:t>
      </w:r>
      <w:r w:rsidR="001662A2" w:rsidRPr="005554F5">
        <w:rPr>
          <w:rFonts w:cs="Arial"/>
          <w:color w:val="212529"/>
          <w:lang w:val="en-CA"/>
        </w:rPr>
        <w:t xml:space="preserve"> at para</w:t>
      </w:r>
      <w:r w:rsidRPr="005554F5">
        <w:rPr>
          <w:rFonts w:cs="Arial"/>
          <w:lang w:val="en-CA"/>
        </w:rPr>
        <w:t xml:space="preserve"> 42</w:t>
      </w:r>
      <w:r w:rsidRPr="005352DE">
        <w:rPr>
          <w:rFonts w:cs="Arial"/>
          <w:i/>
          <w:iCs/>
          <w:lang w:val="en-CA"/>
        </w:rPr>
        <w:t xml:space="preserve">; </w:t>
      </w:r>
      <w:r w:rsidR="009D60F1" w:rsidRPr="005554F5">
        <w:rPr>
          <w:rFonts w:cs="Arial"/>
          <w:lang w:val="en-CA"/>
        </w:rPr>
        <w:t>see also</w:t>
      </w:r>
      <w:r w:rsidR="009D60F1" w:rsidRPr="005352DE">
        <w:rPr>
          <w:rFonts w:cs="Arial"/>
          <w:i/>
          <w:iCs/>
          <w:lang w:val="en-CA"/>
        </w:rPr>
        <w:t xml:space="preserve"> </w:t>
      </w:r>
      <w:r w:rsidR="001662A2" w:rsidRPr="005352DE">
        <w:rPr>
          <w:i/>
          <w:iCs/>
          <w:color w:val="000000"/>
          <w:spacing w:val="-3"/>
          <w:lang w:val="en-CA"/>
        </w:rPr>
        <w:t>Reference re </w:t>
      </w:r>
      <w:r w:rsidR="001662A2" w:rsidRPr="005554F5">
        <w:rPr>
          <w:i/>
          <w:iCs/>
          <w:color w:val="000000"/>
          <w:spacing w:val="-3"/>
          <w:lang w:val="en-CA"/>
        </w:rPr>
        <w:t>Public Schools Act</w:t>
      </w:r>
      <w:r w:rsidR="001662A2" w:rsidRPr="005352DE">
        <w:rPr>
          <w:i/>
          <w:iCs/>
          <w:color w:val="000000"/>
          <w:spacing w:val="-3"/>
          <w:lang w:val="en-CA"/>
        </w:rPr>
        <w:t> (Man.)</w:t>
      </w:r>
      <w:r w:rsidRPr="005352DE">
        <w:rPr>
          <w:rFonts w:cs="Arial"/>
          <w:i/>
          <w:iCs/>
          <w:color w:val="212529"/>
          <w:lang w:val="en-CA"/>
        </w:rPr>
        <w:t>,</w:t>
      </w:r>
      <w:r w:rsidRPr="005554F5">
        <w:rPr>
          <w:rFonts w:cs="Arial"/>
          <w:color w:val="212529"/>
          <w:lang w:val="en-CA"/>
        </w:rPr>
        <w:t xml:space="preserve"> 1993 CanLII 119 (</w:t>
      </w:r>
      <w:r w:rsidR="00F8060B" w:rsidRPr="005554F5">
        <w:rPr>
          <w:rFonts w:cs="Arial"/>
          <w:color w:val="212529"/>
          <w:lang w:val="en-CA"/>
        </w:rPr>
        <w:t>SCC</w:t>
      </w:r>
      <w:r w:rsidRPr="005554F5">
        <w:rPr>
          <w:rFonts w:cs="Arial"/>
          <w:color w:val="212529"/>
          <w:lang w:val="en-CA"/>
        </w:rPr>
        <w:t xml:space="preserve">), [1993] 1 </w:t>
      </w:r>
      <w:r w:rsidR="00F8060B" w:rsidRPr="005554F5">
        <w:rPr>
          <w:rFonts w:cs="Arial"/>
          <w:color w:val="212529"/>
          <w:lang w:val="en-CA"/>
        </w:rPr>
        <w:t>SCR</w:t>
      </w:r>
      <w:r w:rsidRPr="005554F5">
        <w:rPr>
          <w:rFonts w:cs="Arial"/>
          <w:color w:val="212529"/>
          <w:lang w:val="en-CA"/>
        </w:rPr>
        <w:t xml:space="preserve"> 839</w:t>
      </w:r>
      <w:r w:rsidR="001662A2" w:rsidRPr="005554F5">
        <w:rPr>
          <w:rFonts w:cs="Arial"/>
          <w:color w:val="212529"/>
          <w:lang w:val="en-CA"/>
        </w:rPr>
        <w:t xml:space="preserve"> at </w:t>
      </w:r>
      <w:r w:rsidRPr="005554F5">
        <w:rPr>
          <w:rFonts w:cs="Arial"/>
          <w:color w:val="212529"/>
          <w:lang w:val="en-CA"/>
        </w:rPr>
        <w:t>858</w:t>
      </w:r>
      <w:r w:rsidRPr="005554F5">
        <w:rPr>
          <w:rFonts w:cs="Arial"/>
          <w:color w:val="000000"/>
          <w:spacing w:val="-3"/>
          <w:lang w:val="en-CA"/>
        </w:rPr>
        <w:t>: </w:t>
      </w:r>
      <w:r w:rsidR="001662A2" w:rsidRPr="005554F5">
        <w:rPr>
          <w:rFonts w:cs="Arial"/>
          <w:color w:val="000000"/>
          <w:spacing w:val="-3"/>
          <w:lang w:val="en-CA"/>
        </w:rPr>
        <w:t>“</w:t>
      </w:r>
      <w:r w:rsidR="00F8060B" w:rsidRPr="005554F5">
        <w:rPr>
          <w:rFonts w:cs="Arial"/>
          <w:color w:val="000000"/>
          <w:spacing w:val="-3"/>
          <w:lang w:val="en-CA"/>
        </w:rPr>
        <w:t>At the high end of the scale, the number of children would require the establishment of a minority language school board</w:t>
      </w:r>
      <w:r w:rsidR="001662A2" w:rsidRPr="005554F5">
        <w:rPr>
          <w:rFonts w:cs="Arial"/>
          <w:color w:val="000000"/>
          <w:spacing w:val="-3"/>
          <w:lang w:val="en-CA"/>
        </w:rPr>
        <w:t>”</w:t>
      </w:r>
      <w:r w:rsidRPr="005554F5">
        <w:rPr>
          <w:rFonts w:cs="Arial"/>
          <w:color w:val="000000"/>
          <w:spacing w:val="-3"/>
          <w:lang w:val="en-CA"/>
        </w:rPr>
        <w:t>.</w:t>
      </w:r>
    </w:p>
  </w:footnote>
  <w:footnote w:id="14">
    <w:p w14:paraId="5C934961" w14:textId="1B30A9A6" w:rsidR="00D04F2D" w:rsidRPr="003255AA" w:rsidRDefault="0096102C" w:rsidP="00136683">
      <w:pPr>
        <w:pStyle w:val="Notedebasdepage"/>
        <w:ind w:left="426" w:hanging="426"/>
        <w:rPr>
          <w:lang w:val="en-CA"/>
        </w:rPr>
      </w:pPr>
      <w:r w:rsidRPr="003255AA">
        <w:rPr>
          <w:rStyle w:val="Appelnotedebasdep"/>
        </w:rPr>
        <w:footnoteRef/>
      </w:r>
      <w:r w:rsidRPr="003255AA">
        <w:rPr>
          <w:lang w:val="en-CA"/>
        </w:rPr>
        <w:t xml:space="preserve"> </w:t>
      </w:r>
      <w:r w:rsidRPr="003255AA">
        <w:rPr>
          <w:lang w:val="en-CA"/>
        </w:rPr>
        <w:tab/>
        <w:t xml:space="preserve">2020 </w:t>
      </w:r>
      <w:r w:rsidR="00F8060B" w:rsidRPr="003255AA">
        <w:rPr>
          <w:lang w:val="en-CA"/>
        </w:rPr>
        <w:t>SCC</w:t>
      </w:r>
      <w:r w:rsidRPr="003255AA">
        <w:rPr>
          <w:lang w:val="en-CA"/>
        </w:rPr>
        <w:t xml:space="preserve"> 13.</w:t>
      </w:r>
    </w:p>
  </w:footnote>
  <w:footnote w:id="15">
    <w:p w14:paraId="0A3FC8D0" w14:textId="46C8992A" w:rsidR="00F8060B" w:rsidRPr="005A2366" w:rsidRDefault="00F8060B" w:rsidP="00136683">
      <w:pPr>
        <w:pStyle w:val="Notedebasdepage"/>
        <w:ind w:left="426" w:hanging="426"/>
        <w:rPr>
          <w:lang w:val="en-CA"/>
        </w:rPr>
      </w:pPr>
      <w:r w:rsidRPr="005A2366">
        <w:rPr>
          <w:rStyle w:val="Appelnotedebasdep"/>
        </w:rPr>
        <w:footnoteRef/>
      </w:r>
      <w:r w:rsidRPr="005A2366">
        <w:rPr>
          <w:lang w:val="en-CA"/>
        </w:rPr>
        <w:t xml:space="preserve"> </w:t>
      </w:r>
      <w:r w:rsidRPr="005A2366">
        <w:rPr>
          <w:lang w:val="en-CA"/>
        </w:rPr>
        <w:tab/>
      </w:r>
      <w:r w:rsidRPr="005A2366">
        <w:rPr>
          <w:rStyle w:val="reflex"/>
          <w:rFonts w:cs="Arial"/>
          <w:i/>
          <w:iCs/>
          <w:color w:val="000000"/>
          <w:lang w:val="en-CA"/>
        </w:rPr>
        <w:t>Reference re Education Act of Ontario and Minority Language Education Rights</w:t>
      </w:r>
      <w:r w:rsidRPr="005A2366">
        <w:rPr>
          <w:rFonts w:cs="Arial"/>
          <w:color w:val="000000"/>
          <w:lang w:val="en-CA"/>
        </w:rPr>
        <w:t>,</w:t>
      </w:r>
      <w:r w:rsidRPr="005A2366">
        <w:rPr>
          <w:lang w:val="en-CA"/>
        </w:rPr>
        <w:t xml:space="preserve"> </w:t>
      </w:r>
      <w:r w:rsidRPr="005A2366">
        <w:rPr>
          <w:rStyle w:val="Hyperlien"/>
          <w:rFonts w:cs="Arial"/>
          <w:color w:val="auto"/>
          <w:u w:val="none"/>
          <w:lang w:val="en-CA"/>
        </w:rPr>
        <w:t>1984 CanL</w:t>
      </w:r>
      <w:r w:rsidR="001662A2" w:rsidRPr="005A2366">
        <w:rPr>
          <w:rStyle w:val="Hyperlien"/>
          <w:rFonts w:cs="Arial"/>
          <w:color w:val="auto"/>
          <w:u w:val="none"/>
          <w:lang w:val="en-CA"/>
        </w:rPr>
        <w:t>II</w:t>
      </w:r>
      <w:r w:rsidRPr="005A2366">
        <w:rPr>
          <w:rStyle w:val="Hyperlien"/>
          <w:rFonts w:cs="Arial"/>
          <w:color w:val="auto"/>
          <w:u w:val="none"/>
          <w:lang w:val="en-CA"/>
        </w:rPr>
        <w:t xml:space="preserve"> 1832</w:t>
      </w:r>
      <w:r w:rsidRPr="005A2366">
        <w:rPr>
          <w:rStyle w:val="reflex3-block"/>
          <w:rFonts w:cs="Arial"/>
          <w:lang w:val="en-CA"/>
        </w:rPr>
        <w:t xml:space="preserve"> (ON</w:t>
      </w:r>
      <w:r w:rsidR="00AA7A70" w:rsidRPr="005A2366">
        <w:rPr>
          <w:rStyle w:val="reflex3-block"/>
          <w:rFonts w:cs="Arial"/>
          <w:lang w:val="en-CA"/>
        </w:rPr>
        <w:t xml:space="preserve"> </w:t>
      </w:r>
      <w:r w:rsidRPr="005A2366">
        <w:rPr>
          <w:rStyle w:val="reflex3-block"/>
          <w:rFonts w:cs="Arial"/>
          <w:lang w:val="en-CA"/>
        </w:rPr>
        <w:t>CA)</w:t>
      </w:r>
      <w:r w:rsidRPr="005A2366">
        <w:rPr>
          <w:rFonts w:cs="Arial"/>
          <w:lang w:val="en-CA"/>
        </w:rPr>
        <w:t>;</w:t>
      </w:r>
      <w:r w:rsidR="001662A2" w:rsidRPr="005A2366">
        <w:rPr>
          <w:rFonts w:cs="Arial"/>
          <w:lang w:val="en-CA"/>
        </w:rPr>
        <w:t xml:space="preserve"> </w:t>
      </w:r>
      <w:r w:rsidRPr="005A2366">
        <w:rPr>
          <w:rFonts w:cs="Arial"/>
          <w:i/>
          <w:iCs/>
          <w:lang w:val="en-CA"/>
        </w:rPr>
        <w:t>Mahe</w:t>
      </w:r>
      <w:r w:rsidRPr="005A2366">
        <w:rPr>
          <w:rFonts w:cs="Arial"/>
          <w:lang w:val="en-CA"/>
        </w:rPr>
        <w:t xml:space="preserve"> </w:t>
      </w:r>
      <w:r w:rsidR="003255AA" w:rsidRPr="005A2366">
        <w:rPr>
          <w:rFonts w:cs="Arial"/>
          <w:i/>
          <w:iCs/>
          <w:lang w:val="en-CA"/>
        </w:rPr>
        <w:t xml:space="preserve">v </w:t>
      </w:r>
      <w:r w:rsidRPr="005A2366">
        <w:rPr>
          <w:rFonts w:cs="Arial"/>
          <w:i/>
          <w:iCs/>
          <w:lang w:val="en-CA"/>
        </w:rPr>
        <w:t>Alberta</w:t>
      </w:r>
      <w:r w:rsidRPr="005A2366">
        <w:rPr>
          <w:rFonts w:cs="Arial"/>
          <w:lang w:val="en-CA"/>
        </w:rPr>
        <w:t xml:space="preserve">, </w:t>
      </w:r>
      <w:r w:rsidRPr="005A2366">
        <w:rPr>
          <w:rStyle w:val="Hyperlien"/>
          <w:rFonts w:cs="Arial"/>
          <w:color w:val="auto"/>
          <w:u w:val="none"/>
          <w:lang w:val="en-CA"/>
        </w:rPr>
        <w:t>1987 ABCA 158</w:t>
      </w:r>
      <w:r w:rsidR="001662A2" w:rsidRPr="005A2366">
        <w:rPr>
          <w:rStyle w:val="reflex3-block"/>
          <w:rFonts w:cs="Arial"/>
          <w:lang w:val="en-CA"/>
        </w:rPr>
        <w:t xml:space="preserve"> at </w:t>
      </w:r>
      <w:r w:rsidR="005554F5" w:rsidRPr="005A2366">
        <w:rPr>
          <w:rStyle w:val="reflex3-block"/>
          <w:rFonts w:cs="Arial"/>
          <w:lang w:val="en-CA"/>
        </w:rPr>
        <w:t xml:space="preserve">para </w:t>
      </w:r>
      <w:r w:rsidRPr="005A2366">
        <w:rPr>
          <w:rStyle w:val="Hyperlien"/>
          <w:rFonts w:cs="Arial"/>
          <w:color w:val="auto"/>
          <w:u w:val="none"/>
          <w:lang w:val="en-CA"/>
        </w:rPr>
        <w:t xml:space="preserve">96; </w:t>
      </w:r>
      <w:r w:rsidRPr="005A2366">
        <w:rPr>
          <w:rFonts w:cs="Arial"/>
          <w:i/>
          <w:iCs/>
          <w:color w:val="212529"/>
          <w:lang w:val="en-CA"/>
        </w:rPr>
        <w:t>Commission des Ecoles Fransaskoises Inc. et al v Saskatchewan</w:t>
      </w:r>
      <w:r w:rsidRPr="005A2366">
        <w:rPr>
          <w:rFonts w:cs="Arial"/>
          <w:color w:val="212529"/>
          <w:lang w:val="en-CA"/>
        </w:rPr>
        <w:t>, 1988 CanLII 5128 (SK KB)</w:t>
      </w:r>
      <w:r w:rsidR="001662A2" w:rsidRPr="005A2366">
        <w:rPr>
          <w:rFonts w:cs="Arial"/>
          <w:color w:val="212529"/>
          <w:lang w:val="en-CA"/>
        </w:rPr>
        <w:t xml:space="preserve"> at </w:t>
      </w:r>
      <w:r w:rsidR="005554F5" w:rsidRPr="005A2366">
        <w:rPr>
          <w:rFonts w:cs="Arial"/>
          <w:color w:val="212529"/>
          <w:lang w:val="en-CA"/>
        </w:rPr>
        <w:t xml:space="preserve">para </w:t>
      </w:r>
      <w:r w:rsidRPr="005A2366">
        <w:rPr>
          <w:rFonts w:cs="Arial"/>
          <w:color w:val="212529"/>
          <w:lang w:val="en-CA"/>
        </w:rPr>
        <w:t>53.</w:t>
      </w:r>
    </w:p>
  </w:footnote>
  <w:footnote w:id="16">
    <w:p w14:paraId="6B88530B" w14:textId="7D705039" w:rsidR="00D04F2D" w:rsidRPr="002112E2" w:rsidRDefault="0096102C"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r>
      <w:r w:rsidRPr="002112E2">
        <w:rPr>
          <w:rFonts w:cs="Arial"/>
          <w:i/>
          <w:iCs/>
          <w:color w:val="000000"/>
          <w:lang w:val="en-CA"/>
        </w:rPr>
        <w:t xml:space="preserve">Mahe </w:t>
      </w:r>
      <w:r w:rsidR="003255AA" w:rsidRPr="002112E2">
        <w:rPr>
          <w:rFonts w:cs="Arial"/>
          <w:i/>
          <w:iCs/>
          <w:color w:val="000000"/>
          <w:lang w:val="en-CA"/>
        </w:rPr>
        <w:t>v</w:t>
      </w:r>
      <w:r w:rsidRPr="002112E2">
        <w:rPr>
          <w:rFonts w:cs="Arial"/>
          <w:i/>
          <w:iCs/>
          <w:color w:val="000000"/>
          <w:lang w:val="en-CA"/>
        </w:rPr>
        <w:t xml:space="preserve"> Alberta</w:t>
      </w:r>
      <w:r w:rsidR="00F467C9" w:rsidRPr="002112E2">
        <w:rPr>
          <w:rFonts w:cs="Arial"/>
          <w:color w:val="000000"/>
          <w:lang w:val="en-CA"/>
        </w:rPr>
        <w:t xml:space="preserve">, </w:t>
      </w:r>
      <w:r w:rsidRPr="002112E2">
        <w:rPr>
          <w:rStyle w:val="Hyperlien"/>
          <w:rFonts w:cs="Arial"/>
          <w:color w:val="auto"/>
          <w:u w:val="none"/>
          <w:lang w:val="en-CA"/>
        </w:rPr>
        <w:t>1990 CanLII 133 (</w:t>
      </w:r>
      <w:r w:rsidR="00F8060B" w:rsidRPr="002112E2">
        <w:rPr>
          <w:rStyle w:val="Hyperlien"/>
          <w:rFonts w:cs="Arial"/>
          <w:color w:val="auto"/>
          <w:u w:val="none"/>
          <w:lang w:val="en-CA"/>
        </w:rPr>
        <w:t>SCC</w:t>
      </w:r>
      <w:r w:rsidRPr="002112E2">
        <w:rPr>
          <w:rStyle w:val="Hyperlien"/>
          <w:rFonts w:cs="Arial"/>
          <w:color w:val="auto"/>
          <w:u w:val="none"/>
          <w:lang w:val="en-CA"/>
        </w:rPr>
        <w:t>)</w:t>
      </w:r>
      <w:r w:rsidRPr="002112E2">
        <w:rPr>
          <w:rStyle w:val="reflex3-block"/>
          <w:rFonts w:cs="Arial"/>
          <w:color w:val="000000"/>
          <w:lang w:val="en-CA"/>
        </w:rPr>
        <w:t xml:space="preserve">, [1990] 1 </w:t>
      </w:r>
      <w:r w:rsidR="00F8060B" w:rsidRPr="002112E2">
        <w:rPr>
          <w:rStyle w:val="reflex3-block"/>
          <w:rFonts w:cs="Arial"/>
          <w:color w:val="000000"/>
          <w:lang w:val="en-CA"/>
        </w:rPr>
        <w:t>SCR</w:t>
      </w:r>
      <w:r w:rsidRPr="002112E2">
        <w:rPr>
          <w:rStyle w:val="reflex3-block"/>
          <w:rFonts w:cs="Arial"/>
          <w:color w:val="000000"/>
          <w:lang w:val="en-CA"/>
        </w:rPr>
        <w:t xml:space="preserve"> 342</w:t>
      </w:r>
      <w:r w:rsidR="001662A2" w:rsidRPr="002112E2">
        <w:rPr>
          <w:rStyle w:val="reflex3-block"/>
          <w:rFonts w:cs="Arial"/>
          <w:color w:val="000000"/>
          <w:lang w:val="en-CA"/>
        </w:rPr>
        <w:t xml:space="preserve"> at</w:t>
      </w:r>
      <w:r w:rsidRPr="002112E2">
        <w:rPr>
          <w:rStyle w:val="reflex3-block"/>
          <w:rFonts w:cs="Arial"/>
          <w:color w:val="000000"/>
          <w:lang w:val="en-CA"/>
        </w:rPr>
        <w:t xml:space="preserve"> 377</w:t>
      </w:r>
      <w:r w:rsidRPr="002112E2">
        <w:rPr>
          <w:rFonts w:cs="Arial"/>
          <w:color w:val="000000"/>
          <w:lang w:val="en-CA"/>
        </w:rPr>
        <w:t>.</w:t>
      </w:r>
    </w:p>
  </w:footnote>
  <w:footnote w:id="17">
    <w:p w14:paraId="795B8F25" w14:textId="6DF1B834" w:rsidR="00AA5C05" w:rsidRPr="002112E2" w:rsidRDefault="00AA5C05"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t>“AGQ”.</w:t>
      </w:r>
    </w:p>
  </w:footnote>
  <w:footnote w:id="18">
    <w:p w14:paraId="22F90493" w14:textId="7F32BF42" w:rsidR="00AA5C05" w:rsidRPr="002112E2" w:rsidRDefault="00AA5C05"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r>
      <w:r w:rsidRPr="002112E2">
        <w:rPr>
          <w:rFonts w:cs="Arial"/>
          <w:i/>
          <w:iCs/>
          <w:color w:val="000000"/>
          <w:lang w:val="en-CA"/>
        </w:rPr>
        <w:t xml:space="preserve">Mahe </w:t>
      </w:r>
      <w:r w:rsidR="003255AA" w:rsidRPr="002112E2">
        <w:rPr>
          <w:rFonts w:cs="Arial"/>
          <w:i/>
          <w:iCs/>
          <w:color w:val="000000"/>
          <w:lang w:val="en-CA"/>
        </w:rPr>
        <w:t xml:space="preserve">v </w:t>
      </w:r>
      <w:r w:rsidRPr="002112E2">
        <w:rPr>
          <w:rFonts w:cs="Arial"/>
          <w:i/>
          <w:iCs/>
          <w:color w:val="000000"/>
          <w:lang w:val="en-CA"/>
        </w:rPr>
        <w:t>Alberta</w:t>
      </w:r>
      <w:r w:rsidRPr="002112E2">
        <w:rPr>
          <w:rFonts w:cs="Arial"/>
          <w:color w:val="000000"/>
          <w:lang w:val="en-CA"/>
        </w:rPr>
        <w:t xml:space="preserve">, </w:t>
      </w:r>
      <w:r w:rsidRPr="002112E2">
        <w:rPr>
          <w:rStyle w:val="Hyperlien"/>
          <w:rFonts w:cs="Arial"/>
          <w:color w:val="auto"/>
          <w:u w:val="none"/>
          <w:lang w:val="en-CA"/>
        </w:rPr>
        <w:t>1990 CanLII 133 (SCC)</w:t>
      </w:r>
      <w:r w:rsidRPr="002112E2">
        <w:rPr>
          <w:rStyle w:val="reflex3-block"/>
          <w:rFonts w:cs="Arial"/>
          <w:color w:val="000000"/>
          <w:lang w:val="en-CA"/>
        </w:rPr>
        <w:t>, [1990] 1 SCR 342</w:t>
      </w:r>
      <w:r w:rsidR="00C902DC" w:rsidRPr="002112E2">
        <w:rPr>
          <w:lang w:val="en-CA"/>
        </w:rPr>
        <w:t xml:space="preserve"> at</w:t>
      </w:r>
      <w:r w:rsidRPr="002112E2">
        <w:rPr>
          <w:lang w:val="en-CA"/>
        </w:rPr>
        <w:t xml:space="preserve"> 362.</w:t>
      </w:r>
    </w:p>
  </w:footnote>
  <w:footnote w:id="19">
    <w:p w14:paraId="252011E3" w14:textId="4CD90034" w:rsidR="002013CD" w:rsidRPr="002112E2" w:rsidRDefault="0096102C"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r>
      <w:r w:rsidRPr="002112E2">
        <w:rPr>
          <w:rFonts w:cs="Arial"/>
          <w:color w:val="212529"/>
          <w:lang w:val="en-CA"/>
        </w:rPr>
        <w:t xml:space="preserve">2020 </w:t>
      </w:r>
      <w:r w:rsidR="00F8060B" w:rsidRPr="002112E2">
        <w:rPr>
          <w:rFonts w:cs="Arial"/>
          <w:color w:val="212529"/>
          <w:lang w:val="en-CA"/>
        </w:rPr>
        <w:t>SCC</w:t>
      </w:r>
      <w:r w:rsidRPr="002112E2">
        <w:rPr>
          <w:rFonts w:cs="Arial"/>
          <w:color w:val="212529"/>
          <w:lang w:val="en-CA"/>
        </w:rPr>
        <w:t xml:space="preserve"> 13.</w:t>
      </w:r>
    </w:p>
  </w:footnote>
  <w:footnote w:id="20">
    <w:p w14:paraId="6E3CCE9A" w14:textId="3C9B5EFB" w:rsidR="00AA5C05" w:rsidRPr="008760EC" w:rsidRDefault="00AA5C05" w:rsidP="00136683">
      <w:pPr>
        <w:pStyle w:val="Notedebasdepage"/>
        <w:ind w:left="426" w:hanging="426"/>
        <w:rPr>
          <w:highlight w:val="yellow"/>
          <w:lang w:val="en-CA"/>
        </w:rPr>
      </w:pPr>
      <w:r w:rsidRPr="002112E2">
        <w:rPr>
          <w:rStyle w:val="Appelnotedebasdep"/>
        </w:rPr>
        <w:footnoteRef/>
      </w:r>
      <w:r w:rsidRPr="002112E2">
        <w:rPr>
          <w:lang w:val="en-CA"/>
        </w:rPr>
        <w:t xml:space="preserve"> </w:t>
      </w:r>
      <w:r w:rsidRPr="002112E2">
        <w:rPr>
          <w:lang w:val="en-CA"/>
        </w:rPr>
        <w:tab/>
      </w:r>
      <w:r w:rsidR="00AD5E38">
        <w:rPr>
          <w:lang w:val="en-CA"/>
        </w:rPr>
        <w:t>At p</w:t>
      </w:r>
      <w:r w:rsidR="005554F5" w:rsidRPr="002112E2">
        <w:rPr>
          <w:lang w:val="en-CA"/>
        </w:rPr>
        <w:t xml:space="preserve">ara </w:t>
      </w:r>
      <w:r w:rsidRPr="002112E2">
        <w:rPr>
          <w:lang w:val="en-CA"/>
        </w:rPr>
        <w:t>3.</w:t>
      </w:r>
    </w:p>
  </w:footnote>
  <w:footnote w:id="21">
    <w:p w14:paraId="28A86201" w14:textId="649B2BC4" w:rsidR="0059672D" w:rsidRPr="002112E2" w:rsidRDefault="0059672D"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r>
      <w:r w:rsidRPr="002112E2">
        <w:rPr>
          <w:rFonts w:cs="Arial"/>
          <w:i/>
          <w:iCs/>
          <w:color w:val="000000"/>
          <w:lang w:val="en-CA"/>
        </w:rPr>
        <w:t xml:space="preserve">Ottawa Separate Schools Trustees </w:t>
      </w:r>
      <w:r w:rsidR="003255AA" w:rsidRPr="002112E2">
        <w:rPr>
          <w:rFonts w:cs="Arial"/>
          <w:i/>
          <w:iCs/>
          <w:color w:val="000000"/>
          <w:lang w:val="en-CA"/>
        </w:rPr>
        <w:t xml:space="preserve">v </w:t>
      </w:r>
      <w:r w:rsidRPr="002112E2">
        <w:rPr>
          <w:rFonts w:cs="Arial"/>
          <w:i/>
          <w:iCs/>
          <w:color w:val="000000"/>
          <w:lang w:val="en-CA"/>
        </w:rPr>
        <w:t>Mackell,</w:t>
      </w:r>
      <w:r w:rsidRPr="002112E2">
        <w:rPr>
          <w:rFonts w:cs="Arial"/>
          <w:i/>
          <w:iCs/>
          <w:lang w:val="en-CA"/>
        </w:rPr>
        <w:t xml:space="preserve"> </w:t>
      </w:r>
      <w:r w:rsidRPr="002112E2">
        <w:rPr>
          <w:rStyle w:val="Hyperlien"/>
          <w:rFonts w:cs="Arial"/>
          <w:color w:val="auto"/>
          <w:u w:val="none"/>
          <w:lang w:val="en-CA"/>
        </w:rPr>
        <w:t>1916 CanLII 418 (UK JCPC)</w:t>
      </w:r>
      <w:r w:rsidRPr="002112E2">
        <w:rPr>
          <w:rFonts w:cs="Arial"/>
          <w:color w:val="000000"/>
          <w:lang w:val="en-CA"/>
        </w:rPr>
        <w:t>, [1917] AC 62.</w:t>
      </w:r>
    </w:p>
  </w:footnote>
  <w:footnote w:id="22">
    <w:p w14:paraId="344FEFD1" w14:textId="37F3DD0A" w:rsidR="0059672D" w:rsidRPr="002112E2" w:rsidRDefault="0059672D" w:rsidP="00136683">
      <w:pPr>
        <w:pStyle w:val="Notedebasdepage"/>
        <w:ind w:left="426" w:hanging="426"/>
        <w:rPr>
          <w:lang w:val="en-CA"/>
        </w:rPr>
      </w:pPr>
      <w:r w:rsidRPr="002112E2">
        <w:rPr>
          <w:rStyle w:val="Appelnotedebasdep"/>
        </w:rPr>
        <w:footnoteRef/>
      </w:r>
      <w:r w:rsidRPr="002112E2">
        <w:rPr>
          <w:lang w:val="en-CA"/>
        </w:rPr>
        <w:t xml:space="preserve"> </w:t>
      </w:r>
      <w:r w:rsidRPr="002112E2">
        <w:rPr>
          <w:lang w:val="en-CA"/>
        </w:rPr>
        <w:tab/>
      </w:r>
      <w:r w:rsidRPr="002112E2">
        <w:rPr>
          <w:rFonts w:cs="Arial"/>
          <w:i/>
          <w:iCs/>
          <w:color w:val="212529"/>
          <w:lang w:val="en-CA"/>
        </w:rPr>
        <w:t>Reference re Education Act of Ontario and Minority Language Education Rights</w:t>
      </w:r>
      <w:r w:rsidRPr="002112E2">
        <w:rPr>
          <w:rFonts w:cs="Arial"/>
          <w:color w:val="212529"/>
          <w:lang w:val="en-CA"/>
        </w:rPr>
        <w:t>, 1984 CanLII 1832 (ON CA) at 35.</w:t>
      </w:r>
      <w:r w:rsidRPr="002112E2">
        <w:rPr>
          <w:rFonts w:ascii="Open Sans" w:hAnsi="Open Sans" w:cs="Open Sans"/>
          <w:color w:val="212529"/>
          <w:sz w:val="21"/>
          <w:szCs w:val="21"/>
          <w:lang w:val="en-CA"/>
        </w:rPr>
        <w:t xml:space="preserve"> </w:t>
      </w:r>
    </w:p>
  </w:footnote>
  <w:footnote w:id="23">
    <w:p w14:paraId="713321A7" w14:textId="4637CE5A" w:rsidR="002013CD" w:rsidRPr="002112E2" w:rsidRDefault="0096102C" w:rsidP="00136683">
      <w:pPr>
        <w:pStyle w:val="Notedebasdepage"/>
        <w:ind w:left="426" w:hanging="426"/>
        <w:rPr>
          <w:lang w:val="en-CA"/>
        </w:rPr>
      </w:pPr>
      <w:r w:rsidRPr="002112E2">
        <w:rPr>
          <w:rStyle w:val="Appelnotedebasdep"/>
        </w:rPr>
        <w:footnoteRef/>
      </w:r>
      <w:r w:rsidRPr="002112E2">
        <w:rPr>
          <w:lang w:val="en-CA"/>
        </w:rPr>
        <w:t xml:space="preserve"> </w:t>
      </w:r>
      <w:r w:rsidRPr="002112E2">
        <w:rPr>
          <w:i/>
          <w:iCs/>
          <w:lang w:val="en-CA"/>
        </w:rPr>
        <w:tab/>
      </w:r>
      <w:r w:rsidR="001163B7" w:rsidRPr="002112E2">
        <w:rPr>
          <w:rFonts w:cs="Arial"/>
          <w:i/>
          <w:iCs/>
          <w:color w:val="212529"/>
          <w:lang w:val="en-CA"/>
        </w:rPr>
        <w:t>A</w:t>
      </w:r>
      <w:r w:rsidRPr="002112E2">
        <w:rPr>
          <w:rFonts w:cs="Arial"/>
          <w:i/>
          <w:iCs/>
          <w:color w:val="212529"/>
          <w:lang w:val="en-CA"/>
        </w:rPr>
        <w:t>G (Qu</w:t>
      </w:r>
      <w:r w:rsidR="002112E2">
        <w:rPr>
          <w:rFonts w:cs="Arial"/>
          <w:i/>
          <w:iCs/>
          <w:color w:val="212529"/>
          <w:lang w:val="en-CA"/>
        </w:rPr>
        <w:t>e</w:t>
      </w:r>
      <w:r w:rsidRPr="002112E2">
        <w:rPr>
          <w:rFonts w:cs="Arial"/>
          <w:i/>
          <w:iCs/>
          <w:color w:val="212529"/>
          <w:lang w:val="en-CA"/>
        </w:rPr>
        <w:t>)</w:t>
      </w:r>
      <w:r w:rsidRPr="002112E2">
        <w:rPr>
          <w:rFonts w:cs="Arial"/>
          <w:color w:val="212529"/>
          <w:lang w:val="en-CA"/>
        </w:rPr>
        <w:t xml:space="preserve"> </w:t>
      </w:r>
      <w:r w:rsidR="003255AA" w:rsidRPr="002112E2">
        <w:rPr>
          <w:rFonts w:cs="Arial"/>
          <w:i/>
          <w:iCs/>
          <w:color w:val="212529"/>
          <w:lang w:val="en-CA"/>
        </w:rPr>
        <w:t xml:space="preserve">v </w:t>
      </w:r>
      <w:r w:rsidRPr="002112E2">
        <w:rPr>
          <w:rFonts w:cs="Arial"/>
          <w:i/>
          <w:iCs/>
          <w:color w:val="212529"/>
          <w:lang w:val="en-CA"/>
        </w:rPr>
        <w:t>Quebec Protestant School Boards</w:t>
      </w:r>
      <w:r w:rsidRPr="002112E2">
        <w:rPr>
          <w:rFonts w:cs="Arial"/>
          <w:color w:val="212529"/>
          <w:lang w:val="en-CA"/>
        </w:rPr>
        <w:t>, 1984 CanLII 32 (</w:t>
      </w:r>
      <w:r w:rsidR="00F8060B" w:rsidRPr="002112E2">
        <w:rPr>
          <w:rFonts w:cs="Arial"/>
          <w:color w:val="212529"/>
          <w:lang w:val="en-CA"/>
        </w:rPr>
        <w:t>SCC</w:t>
      </w:r>
      <w:r w:rsidRPr="002112E2">
        <w:rPr>
          <w:rFonts w:cs="Arial"/>
          <w:color w:val="212529"/>
          <w:lang w:val="en-CA"/>
        </w:rPr>
        <w:t xml:space="preserve">), [1984] 2 </w:t>
      </w:r>
      <w:r w:rsidR="00F8060B" w:rsidRPr="002112E2">
        <w:rPr>
          <w:rFonts w:cs="Arial"/>
          <w:color w:val="212529"/>
          <w:lang w:val="en-CA"/>
        </w:rPr>
        <w:t>SCR</w:t>
      </w:r>
      <w:r w:rsidRPr="002112E2">
        <w:rPr>
          <w:rFonts w:cs="Arial"/>
          <w:color w:val="212529"/>
          <w:lang w:val="en-CA"/>
        </w:rPr>
        <w:t xml:space="preserve"> 66</w:t>
      </w:r>
      <w:r w:rsidR="001163B7" w:rsidRPr="002112E2">
        <w:rPr>
          <w:rFonts w:cs="Arial"/>
          <w:color w:val="212529"/>
          <w:lang w:val="en-CA"/>
        </w:rPr>
        <w:t xml:space="preserve"> at</w:t>
      </w:r>
      <w:r w:rsidRPr="002112E2">
        <w:rPr>
          <w:rFonts w:cs="Arial"/>
          <w:color w:val="212529"/>
          <w:lang w:val="en-CA"/>
        </w:rPr>
        <w:t xml:space="preserve"> 79.</w:t>
      </w:r>
    </w:p>
  </w:footnote>
  <w:footnote w:id="24">
    <w:p w14:paraId="519EEDEA" w14:textId="65165D98" w:rsidR="002013CD" w:rsidRPr="00233C51" w:rsidRDefault="0096102C" w:rsidP="00136683">
      <w:pPr>
        <w:pStyle w:val="Notedebasdepage"/>
        <w:ind w:left="426" w:hanging="426"/>
        <w:rPr>
          <w:lang w:val="en-CA"/>
        </w:rPr>
      </w:pPr>
      <w:r w:rsidRPr="00233C51">
        <w:rPr>
          <w:rStyle w:val="Appelnotedebasdep"/>
        </w:rPr>
        <w:footnoteRef/>
      </w:r>
      <w:r w:rsidRPr="00233C51">
        <w:rPr>
          <w:lang w:val="en-CA"/>
        </w:rPr>
        <w:t xml:space="preserve"> </w:t>
      </w:r>
      <w:r w:rsidRPr="00233C51">
        <w:rPr>
          <w:lang w:val="en-CA"/>
        </w:rPr>
        <w:tab/>
      </w:r>
      <w:r w:rsidRPr="00233C51">
        <w:rPr>
          <w:rFonts w:cs="Arial"/>
          <w:i/>
          <w:iCs/>
          <w:color w:val="000000"/>
          <w:lang w:val="en-CA"/>
        </w:rPr>
        <w:t xml:space="preserve">Mahe </w:t>
      </w:r>
      <w:r w:rsidR="003255AA" w:rsidRPr="00233C51">
        <w:rPr>
          <w:rFonts w:cs="Arial"/>
          <w:i/>
          <w:iCs/>
          <w:color w:val="000000"/>
          <w:lang w:val="en-CA"/>
        </w:rPr>
        <w:t xml:space="preserve">v </w:t>
      </w:r>
      <w:r w:rsidRPr="00233C51">
        <w:rPr>
          <w:rFonts w:cs="Arial"/>
          <w:i/>
          <w:iCs/>
          <w:color w:val="000000"/>
          <w:lang w:val="en-CA"/>
        </w:rPr>
        <w:t>Alberta</w:t>
      </w:r>
      <w:r w:rsidR="001C5BA3" w:rsidRPr="00233C51">
        <w:rPr>
          <w:rFonts w:cs="Arial"/>
          <w:color w:val="000000"/>
          <w:lang w:val="en-CA"/>
        </w:rPr>
        <w:t xml:space="preserve">, </w:t>
      </w:r>
      <w:r w:rsidRPr="00233C51">
        <w:rPr>
          <w:rStyle w:val="Hyperlien"/>
          <w:rFonts w:cs="Arial"/>
          <w:color w:val="auto"/>
          <w:u w:val="none"/>
          <w:lang w:val="en-CA"/>
        </w:rPr>
        <w:t>1990 CanLII 133 (</w:t>
      </w:r>
      <w:r w:rsidR="00F8060B" w:rsidRPr="00233C51">
        <w:rPr>
          <w:rStyle w:val="Hyperlien"/>
          <w:rFonts w:cs="Arial"/>
          <w:color w:val="auto"/>
          <w:u w:val="none"/>
          <w:lang w:val="en-CA"/>
        </w:rPr>
        <w:t>SCC</w:t>
      </w:r>
      <w:r w:rsidRPr="00233C51">
        <w:rPr>
          <w:rStyle w:val="Hyperlien"/>
          <w:rFonts w:cs="Arial"/>
          <w:color w:val="auto"/>
          <w:u w:val="none"/>
          <w:lang w:val="en-CA"/>
        </w:rPr>
        <w:t>)</w:t>
      </w:r>
      <w:r w:rsidRPr="00233C51">
        <w:rPr>
          <w:rStyle w:val="reflex3-block"/>
          <w:rFonts w:cs="Arial"/>
          <w:color w:val="000000"/>
          <w:lang w:val="en-CA"/>
        </w:rPr>
        <w:t xml:space="preserve">, [1990] 1 </w:t>
      </w:r>
      <w:r w:rsidR="00F8060B" w:rsidRPr="00233C51">
        <w:rPr>
          <w:rStyle w:val="reflex3-block"/>
          <w:rFonts w:cs="Arial"/>
          <w:color w:val="000000"/>
          <w:lang w:val="en-CA"/>
        </w:rPr>
        <w:t>SCR</w:t>
      </w:r>
      <w:r w:rsidRPr="00233C51">
        <w:rPr>
          <w:rStyle w:val="reflex3-block"/>
          <w:rFonts w:cs="Arial"/>
          <w:color w:val="000000"/>
          <w:lang w:val="en-CA"/>
        </w:rPr>
        <w:t xml:space="preserve"> 342</w:t>
      </w:r>
      <w:r w:rsidR="001163B7" w:rsidRPr="00233C51">
        <w:rPr>
          <w:lang w:val="en-CA"/>
        </w:rPr>
        <w:t xml:space="preserve"> at</w:t>
      </w:r>
      <w:r w:rsidRPr="00233C51">
        <w:rPr>
          <w:lang w:val="en-CA"/>
        </w:rPr>
        <w:t xml:space="preserve"> 372. </w:t>
      </w:r>
    </w:p>
  </w:footnote>
  <w:footnote w:id="25">
    <w:p w14:paraId="591A19BA" w14:textId="0D5CB609" w:rsidR="002013CD" w:rsidRPr="00233C51" w:rsidRDefault="0096102C" w:rsidP="00136683">
      <w:pPr>
        <w:pStyle w:val="Notedebasdepage"/>
        <w:ind w:left="426" w:hanging="426"/>
        <w:rPr>
          <w:lang w:val="en-CA"/>
        </w:rPr>
      </w:pPr>
      <w:r w:rsidRPr="00233C51">
        <w:rPr>
          <w:rStyle w:val="Appelnotedebasdep"/>
        </w:rPr>
        <w:footnoteRef/>
      </w:r>
      <w:r w:rsidRPr="00233C51">
        <w:rPr>
          <w:lang w:val="en-CA"/>
        </w:rPr>
        <w:t xml:space="preserve"> </w:t>
      </w:r>
      <w:r w:rsidR="001C5BA3" w:rsidRPr="00233C51">
        <w:rPr>
          <w:i/>
          <w:iCs/>
          <w:lang w:val="en-CA"/>
        </w:rPr>
        <w:tab/>
        <w:t xml:space="preserve">Arsenault-Cameron </w:t>
      </w:r>
      <w:r w:rsidR="003255AA" w:rsidRPr="00233C51">
        <w:rPr>
          <w:i/>
          <w:iCs/>
          <w:lang w:val="en-CA"/>
        </w:rPr>
        <w:t>v</w:t>
      </w:r>
      <w:r w:rsidR="00233C51" w:rsidRPr="00233C51">
        <w:rPr>
          <w:i/>
          <w:iCs/>
          <w:lang w:val="en-CA"/>
        </w:rPr>
        <w:t xml:space="preserve"> Prince Edward Is</w:t>
      </w:r>
      <w:r w:rsidR="00233C51">
        <w:rPr>
          <w:i/>
          <w:iCs/>
          <w:lang w:val="en-CA"/>
        </w:rPr>
        <w:t>land</w:t>
      </w:r>
      <w:r w:rsidRPr="00233C51">
        <w:rPr>
          <w:lang w:val="en-CA"/>
        </w:rPr>
        <w:t xml:space="preserve">, 2000 </w:t>
      </w:r>
      <w:r w:rsidR="00F8060B" w:rsidRPr="00233C51">
        <w:rPr>
          <w:lang w:val="en-CA"/>
        </w:rPr>
        <w:t>SCC</w:t>
      </w:r>
      <w:r w:rsidRPr="00233C51">
        <w:rPr>
          <w:lang w:val="en-CA"/>
        </w:rPr>
        <w:t xml:space="preserve"> 1, [2000] 1 </w:t>
      </w:r>
      <w:r w:rsidR="003255AA" w:rsidRPr="00233C51">
        <w:rPr>
          <w:lang w:val="en-CA"/>
        </w:rPr>
        <w:t>SCR</w:t>
      </w:r>
      <w:r w:rsidRPr="00233C51">
        <w:rPr>
          <w:lang w:val="en-CA"/>
        </w:rPr>
        <w:t xml:space="preserve"> 3.</w:t>
      </w:r>
    </w:p>
  </w:footnote>
  <w:footnote w:id="26">
    <w:p w14:paraId="5959C7BD" w14:textId="1801596B" w:rsidR="002013CD" w:rsidRPr="00233C51" w:rsidRDefault="0096102C" w:rsidP="00136683">
      <w:pPr>
        <w:pStyle w:val="Notedebasdepage"/>
        <w:ind w:left="426" w:hanging="426"/>
      </w:pPr>
      <w:r w:rsidRPr="00233C51">
        <w:rPr>
          <w:rStyle w:val="Appelnotedebasdep"/>
        </w:rPr>
        <w:footnoteRef/>
      </w:r>
      <w:r w:rsidRPr="00233C51">
        <w:t xml:space="preserve"> </w:t>
      </w:r>
      <w:r w:rsidRPr="00233C51">
        <w:tab/>
      </w:r>
      <w:r w:rsidRPr="00233C51">
        <w:rPr>
          <w:rFonts w:cs="Arial"/>
          <w:i/>
          <w:iCs/>
          <w:color w:val="212529"/>
        </w:rPr>
        <w:t>Conseil scolaire francophone de la Colombie</w:t>
      </w:r>
      <w:r w:rsidRPr="00233C51">
        <w:rPr>
          <w:rFonts w:cs="Arial"/>
          <w:i/>
          <w:iCs/>
          <w:color w:val="212529"/>
        </w:rPr>
        <w:noBreakHyphen/>
        <w:t>Britannique</w:t>
      </w:r>
      <w:r w:rsidRPr="00233C51">
        <w:rPr>
          <w:rFonts w:cs="Arial"/>
          <w:color w:val="212529"/>
        </w:rPr>
        <w:t xml:space="preserve"> </w:t>
      </w:r>
      <w:r w:rsidR="003255AA" w:rsidRPr="00233C51">
        <w:rPr>
          <w:rFonts w:cs="Arial"/>
          <w:i/>
          <w:iCs/>
          <w:color w:val="212529"/>
        </w:rPr>
        <w:t xml:space="preserve">v </w:t>
      </w:r>
      <w:r w:rsidR="005D014E" w:rsidRPr="00233C51">
        <w:rPr>
          <w:rFonts w:cs="Arial"/>
          <w:i/>
          <w:iCs/>
          <w:color w:val="212529"/>
        </w:rPr>
        <w:t>British Columbia</w:t>
      </w:r>
      <w:r w:rsidRPr="00233C51">
        <w:rPr>
          <w:rFonts w:cs="Arial"/>
          <w:color w:val="212529"/>
        </w:rPr>
        <w:t xml:space="preserve">, 2020 </w:t>
      </w:r>
      <w:r w:rsidR="00F8060B" w:rsidRPr="00233C51">
        <w:rPr>
          <w:rFonts w:cs="Arial"/>
          <w:color w:val="212529"/>
        </w:rPr>
        <w:t>SCC</w:t>
      </w:r>
      <w:r w:rsidRPr="00233C51">
        <w:rPr>
          <w:rFonts w:cs="Arial"/>
          <w:color w:val="212529"/>
        </w:rPr>
        <w:t xml:space="preserve"> 13.</w:t>
      </w:r>
      <w:r w:rsidRPr="00233C51">
        <w:rPr>
          <w:rFonts w:ascii="Open Sans" w:hAnsi="Open Sans" w:cs="Open Sans"/>
          <w:color w:val="212529"/>
          <w:sz w:val="21"/>
          <w:szCs w:val="21"/>
        </w:rPr>
        <w:t> </w:t>
      </w:r>
    </w:p>
  </w:footnote>
  <w:footnote w:id="27">
    <w:p w14:paraId="64508F53" w14:textId="7ABC9CBB" w:rsidR="002013CD" w:rsidRPr="00233C51" w:rsidRDefault="0096102C" w:rsidP="00136683">
      <w:pPr>
        <w:pStyle w:val="Notedebasdepage"/>
        <w:ind w:left="426" w:hanging="426"/>
        <w:rPr>
          <w:lang w:val="en-CA"/>
        </w:rPr>
      </w:pPr>
      <w:r w:rsidRPr="00233C51">
        <w:rPr>
          <w:rStyle w:val="Appelnotedebasdep"/>
        </w:rPr>
        <w:footnoteRef/>
      </w:r>
      <w:r w:rsidRPr="00233C51">
        <w:rPr>
          <w:lang w:val="en-CA"/>
        </w:rPr>
        <w:t xml:space="preserve"> </w:t>
      </w:r>
      <w:r w:rsidRPr="00233C51">
        <w:rPr>
          <w:lang w:val="en-CA"/>
        </w:rPr>
        <w:tab/>
      </w:r>
      <w:r w:rsidRPr="00233C51">
        <w:rPr>
          <w:rFonts w:cs="Arial"/>
          <w:i/>
          <w:iCs/>
          <w:color w:val="212529"/>
          <w:lang w:val="en-CA"/>
        </w:rPr>
        <w:t>R.</w:t>
      </w:r>
      <w:r w:rsidRPr="00233C51">
        <w:rPr>
          <w:rFonts w:cs="Arial"/>
          <w:color w:val="212529"/>
          <w:lang w:val="en-CA"/>
        </w:rPr>
        <w:t xml:space="preserve"> </w:t>
      </w:r>
      <w:r w:rsidR="003255AA" w:rsidRPr="00233C51">
        <w:rPr>
          <w:rFonts w:cs="Arial"/>
          <w:i/>
          <w:iCs/>
          <w:color w:val="212529"/>
          <w:lang w:val="en-CA"/>
        </w:rPr>
        <w:t xml:space="preserve">v </w:t>
      </w:r>
      <w:r w:rsidRPr="00233C51">
        <w:rPr>
          <w:rFonts w:cs="Arial"/>
          <w:i/>
          <w:iCs/>
          <w:color w:val="212529"/>
          <w:lang w:val="en-CA"/>
        </w:rPr>
        <w:t>Beaulac</w:t>
      </w:r>
      <w:r w:rsidRPr="00233C51">
        <w:rPr>
          <w:rFonts w:cs="Arial"/>
          <w:color w:val="212529"/>
          <w:lang w:val="en-CA"/>
        </w:rPr>
        <w:t>, 1999 CanLII 684 (</w:t>
      </w:r>
      <w:r w:rsidR="00F8060B" w:rsidRPr="00233C51">
        <w:rPr>
          <w:rFonts w:cs="Arial"/>
          <w:color w:val="212529"/>
          <w:lang w:val="en-CA"/>
        </w:rPr>
        <w:t>SCC</w:t>
      </w:r>
      <w:r w:rsidRPr="00233C51">
        <w:rPr>
          <w:rFonts w:cs="Arial"/>
          <w:color w:val="212529"/>
          <w:lang w:val="en-CA"/>
        </w:rPr>
        <w:t xml:space="preserve">), [1999] 1 </w:t>
      </w:r>
      <w:r w:rsidR="00F8060B" w:rsidRPr="00233C51">
        <w:rPr>
          <w:rFonts w:cs="Arial"/>
          <w:color w:val="212529"/>
          <w:lang w:val="en-CA"/>
        </w:rPr>
        <w:t>SCR</w:t>
      </w:r>
      <w:r w:rsidRPr="00233C51">
        <w:rPr>
          <w:rFonts w:cs="Arial"/>
          <w:color w:val="212529"/>
          <w:lang w:val="en-CA"/>
        </w:rPr>
        <w:t xml:space="preserve"> 768, Bastarache</w:t>
      </w:r>
      <w:r w:rsidR="002553BB" w:rsidRPr="00233C51">
        <w:rPr>
          <w:rFonts w:cs="Arial"/>
          <w:color w:val="212529"/>
          <w:lang w:val="en-CA"/>
        </w:rPr>
        <w:t xml:space="preserve"> J.</w:t>
      </w:r>
      <w:r w:rsidRPr="00233C51">
        <w:rPr>
          <w:rFonts w:cs="Arial"/>
          <w:color w:val="212529"/>
          <w:lang w:val="en-CA"/>
        </w:rPr>
        <w:t>,</w:t>
      </w:r>
      <w:r w:rsidR="00966D7E" w:rsidRPr="00233C51">
        <w:rPr>
          <w:rFonts w:cs="Arial"/>
          <w:color w:val="212529"/>
          <w:lang w:val="en-CA"/>
        </w:rPr>
        <w:t xml:space="preserve"> for</w:t>
      </w:r>
      <w:r w:rsidR="002553BB" w:rsidRPr="00233C51">
        <w:rPr>
          <w:rFonts w:cs="Arial"/>
          <w:color w:val="212529"/>
          <w:lang w:val="en-CA"/>
        </w:rPr>
        <w:t xml:space="preserve"> the majority</w:t>
      </w:r>
      <w:r w:rsidRPr="00233C51">
        <w:rPr>
          <w:rFonts w:cs="Arial"/>
          <w:color w:val="212529"/>
          <w:lang w:val="en-CA"/>
        </w:rPr>
        <w:t>.</w:t>
      </w:r>
    </w:p>
  </w:footnote>
  <w:footnote w:id="28">
    <w:p w14:paraId="0197520D" w14:textId="2D9DF6E4" w:rsidR="003419CD" w:rsidRPr="007C01FA" w:rsidRDefault="0096102C"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r>
      <w:r w:rsidR="000F01D0" w:rsidRPr="007C01FA">
        <w:rPr>
          <w:i/>
          <w:iCs/>
          <w:lang w:val="en-CA"/>
        </w:rPr>
        <w:t>Doucet</w:t>
      </w:r>
      <w:r w:rsidR="000F01D0" w:rsidRPr="007C01FA">
        <w:rPr>
          <w:rFonts w:ascii="Cambria Math" w:hAnsi="Cambria Math" w:cs="Cambria Math"/>
          <w:i/>
          <w:iCs/>
          <w:lang w:val="en-CA"/>
        </w:rPr>
        <w:t>‑</w:t>
      </w:r>
      <w:r w:rsidR="000F01D0" w:rsidRPr="007C01FA">
        <w:rPr>
          <w:i/>
          <w:iCs/>
          <w:lang w:val="en-CA"/>
        </w:rPr>
        <w:t xml:space="preserve">Boudreau </w:t>
      </w:r>
      <w:r w:rsidR="003255AA" w:rsidRPr="007C01FA">
        <w:rPr>
          <w:i/>
          <w:iCs/>
          <w:lang w:val="en-CA"/>
        </w:rPr>
        <w:t xml:space="preserve">v </w:t>
      </w:r>
      <w:r w:rsidR="000F01D0" w:rsidRPr="007C01FA">
        <w:rPr>
          <w:i/>
          <w:iCs/>
          <w:lang w:val="en-CA"/>
        </w:rPr>
        <w:t>Nova Scotia (Minister of Education)</w:t>
      </w:r>
      <w:r w:rsidRPr="007C01FA">
        <w:rPr>
          <w:lang w:val="en-CA"/>
        </w:rPr>
        <w:t xml:space="preserve">, 2003 </w:t>
      </w:r>
      <w:r w:rsidR="00F8060B" w:rsidRPr="007C01FA">
        <w:rPr>
          <w:lang w:val="en-CA"/>
        </w:rPr>
        <w:t>SCC</w:t>
      </w:r>
      <w:r w:rsidRPr="007C01FA">
        <w:rPr>
          <w:lang w:val="en-CA"/>
        </w:rPr>
        <w:t xml:space="preserve"> 62, [2003] 3 </w:t>
      </w:r>
      <w:r w:rsidR="003255AA" w:rsidRPr="007C01FA">
        <w:rPr>
          <w:lang w:val="en-CA"/>
        </w:rPr>
        <w:t>SCR</w:t>
      </w:r>
      <w:r w:rsidRPr="007C01FA">
        <w:rPr>
          <w:lang w:val="en-CA"/>
        </w:rPr>
        <w:t xml:space="preserve"> 3.</w:t>
      </w:r>
    </w:p>
  </w:footnote>
  <w:footnote w:id="29">
    <w:p w14:paraId="3CB7FE34" w14:textId="6812AD42" w:rsidR="002553BB" w:rsidRPr="007C01FA" w:rsidRDefault="002553BB" w:rsidP="00136683">
      <w:pPr>
        <w:pStyle w:val="Notedebasdepage"/>
        <w:ind w:left="426" w:hanging="426"/>
        <w:rPr>
          <w:rFonts w:cs="Arial"/>
          <w:color w:val="212529"/>
          <w:lang w:val="en-CA"/>
        </w:rPr>
      </w:pPr>
      <w:r w:rsidRPr="007C01FA">
        <w:rPr>
          <w:rStyle w:val="Appelnotedebasdep"/>
        </w:rPr>
        <w:footnoteRef/>
      </w:r>
      <w:r w:rsidRPr="007C01FA">
        <w:rPr>
          <w:lang w:val="en-CA"/>
        </w:rPr>
        <w:t xml:space="preserve"> </w:t>
      </w:r>
      <w:r w:rsidRPr="007C01FA">
        <w:rPr>
          <w:lang w:val="en-CA"/>
        </w:rPr>
        <w:tab/>
      </w:r>
      <w:r w:rsidRPr="007C01FA">
        <w:rPr>
          <w:rFonts w:cs="Arial"/>
          <w:i/>
          <w:iCs/>
          <w:color w:val="212529"/>
          <w:lang w:val="en-CA"/>
        </w:rPr>
        <w:t>Solski (Tutor of)</w:t>
      </w:r>
      <w:r w:rsidRPr="007C01FA">
        <w:rPr>
          <w:rFonts w:cs="Arial"/>
          <w:color w:val="212529"/>
          <w:lang w:val="en-CA"/>
        </w:rPr>
        <w:t xml:space="preserve"> </w:t>
      </w:r>
      <w:r w:rsidR="003255AA" w:rsidRPr="007C01FA">
        <w:rPr>
          <w:rFonts w:cs="Arial"/>
          <w:i/>
          <w:iCs/>
          <w:color w:val="212529"/>
          <w:lang w:val="en-CA"/>
        </w:rPr>
        <w:t xml:space="preserve">v </w:t>
      </w:r>
      <w:r w:rsidRPr="007C01FA">
        <w:rPr>
          <w:rFonts w:cs="Arial"/>
          <w:i/>
          <w:iCs/>
          <w:color w:val="212529"/>
          <w:lang w:val="en-CA"/>
        </w:rPr>
        <w:t>Quebec (Attorney General)</w:t>
      </w:r>
      <w:r w:rsidRPr="007C01FA">
        <w:rPr>
          <w:rFonts w:cs="Arial"/>
          <w:color w:val="212529"/>
          <w:lang w:val="en-CA"/>
        </w:rPr>
        <w:t>, 2005 SCC 14.</w:t>
      </w:r>
    </w:p>
  </w:footnote>
  <w:footnote w:id="30">
    <w:p w14:paraId="40673195" w14:textId="6721931C" w:rsidR="002013CD" w:rsidRPr="007C01FA" w:rsidRDefault="0096102C" w:rsidP="00136683">
      <w:pPr>
        <w:pStyle w:val="Notedebasdepage"/>
        <w:ind w:left="426" w:hanging="426"/>
      </w:pPr>
      <w:r w:rsidRPr="007C01FA">
        <w:rPr>
          <w:rStyle w:val="Appelnotedebasdep"/>
        </w:rPr>
        <w:footnoteRef/>
      </w:r>
      <w:r w:rsidRPr="007C01FA">
        <w:t xml:space="preserve"> </w:t>
      </w:r>
      <w:r w:rsidRPr="007C01FA">
        <w:tab/>
      </w:r>
      <w:r w:rsidRPr="007C01FA">
        <w:rPr>
          <w:rFonts w:cs="Arial"/>
          <w:i/>
          <w:iCs/>
          <w:color w:val="212529"/>
        </w:rPr>
        <w:t>Conseil scolaire francophone de la Colombie</w:t>
      </w:r>
      <w:r w:rsidRPr="007C01FA">
        <w:rPr>
          <w:rFonts w:cs="Arial"/>
          <w:i/>
          <w:iCs/>
          <w:color w:val="212529"/>
        </w:rPr>
        <w:noBreakHyphen/>
        <w:t>Britannique</w:t>
      </w:r>
      <w:r w:rsidRPr="007C01FA">
        <w:rPr>
          <w:rFonts w:cs="Arial"/>
          <w:color w:val="212529"/>
        </w:rPr>
        <w:t xml:space="preserve"> </w:t>
      </w:r>
      <w:r w:rsidR="003255AA" w:rsidRPr="007C01FA">
        <w:rPr>
          <w:rFonts w:cs="Arial"/>
          <w:i/>
          <w:iCs/>
          <w:color w:val="212529"/>
        </w:rPr>
        <w:t xml:space="preserve">v </w:t>
      </w:r>
      <w:r w:rsidR="002553BB" w:rsidRPr="007C01FA">
        <w:rPr>
          <w:rFonts w:cs="Arial"/>
          <w:i/>
          <w:iCs/>
          <w:color w:val="212529"/>
        </w:rPr>
        <w:t>British Columbia</w:t>
      </w:r>
      <w:r w:rsidRPr="007C01FA">
        <w:rPr>
          <w:rFonts w:cs="Arial"/>
          <w:color w:val="212529"/>
        </w:rPr>
        <w:t xml:space="preserve">, 2020 </w:t>
      </w:r>
      <w:r w:rsidR="00F8060B" w:rsidRPr="007C01FA">
        <w:rPr>
          <w:rFonts w:cs="Arial"/>
          <w:color w:val="212529"/>
        </w:rPr>
        <w:t>SCC</w:t>
      </w:r>
      <w:r w:rsidRPr="007C01FA">
        <w:rPr>
          <w:rFonts w:cs="Arial"/>
          <w:color w:val="212529"/>
        </w:rPr>
        <w:t xml:space="preserve"> 13.</w:t>
      </w:r>
    </w:p>
  </w:footnote>
  <w:footnote w:id="31">
    <w:p w14:paraId="147CA7EE" w14:textId="6D6A8C64" w:rsidR="00BC6A8B" w:rsidRPr="007C01FA" w:rsidRDefault="00BC6A8B"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r>
      <w:r w:rsidRPr="007C01FA">
        <w:rPr>
          <w:rFonts w:cs="Arial"/>
          <w:i/>
          <w:iCs/>
          <w:color w:val="000000"/>
          <w:lang w:val="en-CA"/>
        </w:rPr>
        <w:t xml:space="preserve">Mahe </w:t>
      </w:r>
      <w:r w:rsidR="003255AA" w:rsidRPr="007C01FA">
        <w:rPr>
          <w:rFonts w:cs="Arial"/>
          <w:i/>
          <w:iCs/>
          <w:color w:val="000000"/>
          <w:lang w:val="en-CA"/>
        </w:rPr>
        <w:t xml:space="preserve">v </w:t>
      </w:r>
      <w:r w:rsidRPr="007C01FA">
        <w:rPr>
          <w:rFonts w:cs="Arial"/>
          <w:i/>
          <w:iCs/>
          <w:color w:val="000000"/>
          <w:lang w:val="en-CA"/>
        </w:rPr>
        <w:t>Alberta</w:t>
      </w:r>
      <w:r w:rsidRPr="007C01FA">
        <w:rPr>
          <w:rFonts w:cs="Arial"/>
          <w:color w:val="000000"/>
          <w:lang w:val="en-CA"/>
        </w:rPr>
        <w:t>, </w:t>
      </w:r>
      <w:r w:rsidRPr="007C01FA">
        <w:rPr>
          <w:rStyle w:val="Hyperlien"/>
          <w:rFonts w:cs="Arial"/>
          <w:color w:val="auto"/>
          <w:u w:val="none"/>
          <w:lang w:val="en-CA"/>
        </w:rPr>
        <w:t>1990 CanLII 133 (SCC)</w:t>
      </w:r>
      <w:r w:rsidRPr="007C01FA">
        <w:rPr>
          <w:rStyle w:val="reflex3-block"/>
          <w:rFonts w:cs="Arial"/>
          <w:color w:val="000000"/>
          <w:lang w:val="en-CA"/>
        </w:rPr>
        <w:t>, [1990] 1 SCR 342</w:t>
      </w:r>
      <w:r w:rsidRPr="007C01FA">
        <w:rPr>
          <w:lang w:val="en-CA"/>
        </w:rPr>
        <w:t xml:space="preserve"> at 356 and 357.</w:t>
      </w:r>
    </w:p>
  </w:footnote>
  <w:footnote w:id="32">
    <w:p w14:paraId="09051D1D" w14:textId="2D824BF2" w:rsidR="00DB71EC" w:rsidRPr="007C01FA" w:rsidRDefault="00DB71EC"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r>
      <w:r w:rsidRPr="007C01FA">
        <w:rPr>
          <w:rFonts w:cs="Arial"/>
          <w:i/>
          <w:iCs/>
          <w:color w:val="212529"/>
          <w:lang w:val="en-CA"/>
        </w:rPr>
        <w:t>Solski (</w:t>
      </w:r>
      <w:r w:rsidR="007C01FA" w:rsidRPr="007C01FA">
        <w:rPr>
          <w:rFonts w:cs="Arial"/>
          <w:i/>
          <w:iCs/>
          <w:color w:val="212529"/>
          <w:lang w:val="en-CA"/>
        </w:rPr>
        <w:t>Tutor of</w:t>
      </w:r>
      <w:r w:rsidRPr="007C01FA">
        <w:rPr>
          <w:rFonts w:cs="Arial"/>
          <w:i/>
          <w:iCs/>
          <w:color w:val="212529"/>
          <w:lang w:val="en-CA"/>
        </w:rPr>
        <w:t>)</w:t>
      </w:r>
      <w:r w:rsidRPr="007C01FA">
        <w:rPr>
          <w:rFonts w:cs="Arial"/>
          <w:color w:val="212529"/>
          <w:lang w:val="en-CA"/>
        </w:rPr>
        <w:t xml:space="preserve"> </w:t>
      </w:r>
      <w:r w:rsidR="003255AA" w:rsidRPr="007C01FA">
        <w:rPr>
          <w:rFonts w:cs="Arial"/>
          <w:i/>
          <w:iCs/>
          <w:color w:val="212529"/>
          <w:lang w:val="en-CA"/>
        </w:rPr>
        <w:t xml:space="preserve">v </w:t>
      </w:r>
      <w:r w:rsidRPr="007C01FA">
        <w:rPr>
          <w:rFonts w:cs="Arial"/>
          <w:i/>
          <w:iCs/>
          <w:color w:val="212529"/>
          <w:lang w:val="en-CA"/>
        </w:rPr>
        <w:t>Quebec (Attorney General)</w:t>
      </w:r>
      <w:r w:rsidRPr="007C01FA">
        <w:rPr>
          <w:rFonts w:cs="Arial"/>
          <w:color w:val="212529"/>
          <w:lang w:val="en-CA"/>
        </w:rPr>
        <w:t>, 2005 SCC 14</w:t>
      </w:r>
      <w:r w:rsidR="00D2180C" w:rsidRPr="007C01FA">
        <w:rPr>
          <w:rFonts w:cs="Arial"/>
          <w:color w:val="212529"/>
          <w:lang w:val="en-CA"/>
        </w:rPr>
        <w:t xml:space="preserve"> at </w:t>
      </w:r>
      <w:r w:rsidR="005554F5" w:rsidRPr="007C01FA">
        <w:rPr>
          <w:rFonts w:cs="Arial"/>
          <w:color w:val="212529"/>
          <w:lang w:val="en-CA"/>
        </w:rPr>
        <w:t xml:space="preserve">para </w:t>
      </w:r>
      <w:r w:rsidRPr="007C01FA">
        <w:rPr>
          <w:rFonts w:cs="Arial"/>
          <w:color w:val="212529"/>
          <w:lang w:val="en-CA"/>
        </w:rPr>
        <w:t>22.</w:t>
      </w:r>
    </w:p>
  </w:footnote>
  <w:footnote w:id="33">
    <w:p w14:paraId="77890262" w14:textId="77777777" w:rsidR="00DB71EC" w:rsidRPr="007C01FA" w:rsidRDefault="00DB71EC"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t>2000 SCC 1.</w:t>
      </w:r>
    </w:p>
  </w:footnote>
  <w:footnote w:id="34">
    <w:p w14:paraId="58489499" w14:textId="6D12D2D7" w:rsidR="00845CB6" w:rsidRPr="007C01FA" w:rsidRDefault="0096102C"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r>
      <w:r w:rsidRPr="007C01FA">
        <w:rPr>
          <w:i/>
          <w:iCs/>
          <w:lang w:val="en-CA"/>
        </w:rPr>
        <w:t>Doucet-Boudreau</w:t>
      </w:r>
      <w:r w:rsidR="001B362D" w:rsidRPr="007C01FA">
        <w:rPr>
          <w:lang w:val="en-CA"/>
        </w:rPr>
        <w:t xml:space="preserve"> </w:t>
      </w:r>
      <w:r w:rsidR="003255AA" w:rsidRPr="007C01FA">
        <w:rPr>
          <w:i/>
          <w:iCs/>
          <w:lang w:val="en-CA"/>
        </w:rPr>
        <w:t xml:space="preserve">v </w:t>
      </w:r>
      <w:r w:rsidR="00DB71EC" w:rsidRPr="007C01FA">
        <w:rPr>
          <w:i/>
          <w:iCs/>
          <w:lang w:val="en-CA"/>
        </w:rPr>
        <w:t>Nova Scotia (Minister of Education)</w:t>
      </w:r>
      <w:r w:rsidR="00700583" w:rsidRPr="007C01FA">
        <w:rPr>
          <w:lang w:val="en-CA"/>
        </w:rPr>
        <w:t xml:space="preserve">, 2003 </w:t>
      </w:r>
      <w:r w:rsidR="00F8060B" w:rsidRPr="007C01FA">
        <w:rPr>
          <w:lang w:val="en-CA"/>
        </w:rPr>
        <w:t>SCC</w:t>
      </w:r>
      <w:r w:rsidR="00700583" w:rsidRPr="007C01FA">
        <w:rPr>
          <w:lang w:val="en-CA"/>
        </w:rPr>
        <w:t xml:space="preserve"> 62, [2003] 3 </w:t>
      </w:r>
      <w:r w:rsidR="003255AA" w:rsidRPr="007C01FA">
        <w:rPr>
          <w:lang w:val="en-CA"/>
        </w:rPr>
        <w:t>SCR</w:t>
      </w:r>
      <w:r w:rsidR="00DB71EC" w:rsidRPr="007C01FA">
        <w:rPr>
          <w:lang w:val="en-CA"/>
        </w:rPr>
        <w:t xml:space="preserve"> </w:t>
      </w:r>
      <w:r w:rsidR="00700583" w:rsidRPr="007C01FA">
        <w:rPr>
          <w:lang w:val="en-CA"/>
        </w:rPr>
        <w:t>3.</w:t>
      </w:r>
    </w:p>
  </w:footnote>
  <w:footnote w:id="35">
    <w:p w14:paraId="73798AD2" w14:textId="4F525D57" w:rsidR="00845CB6" w:rsidRPr="007C01FA" w:rsidRDefault="0096102C" w:rsidP="00136683">
      <w:pPr>
        <w:pStyle w:val="Notedebasdepage"/>
        <w:ind w:left="426" w:hanging="426"/>
        <w:rPr>
          <w:lang w:val="en-CA"/>
        </w:rPr>
      </w:pPr>
      <w:r w:rsidRPr="007C01FA">
        <w:rPr>
          <w:rStyle w:val="Appelnotedebasdep"/>
        </w:rPr>
        <w:footnoteRef/>
      </w:r>
      <w:r w:rsidRPr="007C01FA">
        <w:rPr>
          <w:lang w:val="en-CA"/>
        </w:rPr>
        <w:t xml:space="preserve"> </w:t>
      </w:r>
      <w:r w:rsidRPr="007C01FA">
        <w:rPr>
          <w:lang w:val="en-CA"/>
        </w:rPr>
        <w:tab/>
      </w:r>
      <w:r w:rsidRPr="007C01FA">
        <w:rPr>
          <w:rFonts w:cs="Arial"/>
          <w:i/>
          <w:iCs/>
          <w:color w:val="212529"/>
          <w:lang w:val="en-CA"/>
        </w:rPr>
        <w:t>Solski (</w:t>
      </w:r>
      <w:r w:rsidR="00DB71EC" w:rsidRPr="007C01FA">
        <w:rPr>
          <w:rFonts w:cs="Arial"/>
          <w:i/>
          <w:iCs/>
          <w:color w:val="212529"/>
          <w:lang w:val="en-CA"/>
        </w:rPr>
        <w:t>Tutor of</w:t>
      </w:r>
      <w:r w:rsidRPr="007C01FA">
        <w:rPr>
          <w:rFonts w:cs="Arial"/>
          <w:i/>
          <w:iCs/>
          <w:color w:val="212529"/>
          <w:lang w:val="en-CA"/>
        </w:rPr>
        <w:t>)</w:t>
      </w:r>
      <w:r w:rsidRPr="007C01FA">
        <w:rPr>
          <w:rFonts w:cs="Arial"/>
          <w:color w:val="212529"/>
          <w:lang w:val="en-CA"/>
        </w:rPr>
        <w:t xml:space="preserve"> </w:t>
      </w:r>
      <w:r w:rsidR="003255AA" w:rsidRPr="007C01FA">
        <w:rPr>
          <w:rFonts w:cs="Arial"/>
          <w:i/>
          <w:iCs/>
          <w:color w:val="212529"/>
          <w:lang w:val="en-CA"/>
        </w:rPr>
        <w:t xml:space="preserve">v </w:t>
      </w:r>
      <w:r w:rsidRPr="007C01FA">
        <w:rPr>
          <w:rFonts w:cs="Arial"/>
          <w:i/>
          <w:iCs/>
          <w:color w:val="212529"/>
          <w:lang w:val="en-CA"/>
        </w:rPr>
        <w:t>Qu</w:t>
      </w:r>
      <w:r w:rsidR="00DB71EC" w:rsidRPr="007C01FA">
        <w:rPr>
          <w:rFonts w:cs="Arial"/>
          <w:i/>
          <w:iCs/>
          <w:color w:val="212529"/>
          <w:lang w:val="en-CA"/>
        </w:rPr>
        <w:t>e</w:t>
      </w:r>
      <w:r w:rsidRPr="007C01FA">
        <w:rPr>
          <w:rFonts w:cs="Arial"/>
          <w:i/>
          <w:iCs/>
          <w:color w:val="212529"/>
          <w:lang w:val="en-CA"/>
        </w:rPr>
        <w:t>bec (</w:t>
      </w:r>
      <w:r w:rsidR="00DB71EC" w:rsidRPr="007C01FA">
        <w:rPr>
          <w:rFonts w:cs="Arial"/>
          <w:i/>
          <w:iCs/>
          <w:color w:val="212529"/>
          <w:lang w:val="en-CA"/>
        </w:rPr>
        <w:t>Attorney General</w:t>
      </w:r>
      <w:r w:rsidRPr="007C01FA">
        <w:rPr>
          <w:rFonts w:cs="Arial"/>
          <w:i/>
          <w:iCs/>
          <w:color w:val="212529"/>
          <w:lang w:val="en-CA"/>
        </w:rPr>
        <w:t>)</w:t>
      </w:r>
      <w:r w:rsidRPr="007C01FA">
        <w:rPr>
          <w:rFonts w:cs="Arial"/>
          <w:color w:val="212529"/>
          <w:lang w:val="en-CA"/>
        </w:rPr>
        <w:t xml:space="preserve">, 2005 </w:t>
      </w:r>
      <w:r w:rsidR="00F8060B" w:rsidRPr="007C01FA">
        <w:rPr>
          <w:rFonts w:cs="Arial"/>
          <w:color w:val="212529"/>
          <w:lang w:val="en-CA"/>
        </w:rPr>
        <w:t>SCC</w:t>
      </w:r>
      <w:r w:rsidRPr="007C01FA">
        <w:rPr>
          <w:rFonts w:cs="Arial"/>
          <w:color w:val="212529"/>
          <w:lang w:val="en-CA"/>
        </w:rPr>
        <w:t xml:space="preserve"> 14.</w:t>
      </w:r>
    </w:p>
  </w:footnote>
  <w:footnote w:id="36">
    <w:p w14:paraId="18CF80F2" w14:textId="470C663F" w:rsidR="00845CB6" w:rsidRPr="007C01FA" w:rsidRDefault="0096102C" w:rsidP="00136683">
      <w:pPr>
        <w:pStyle w:val="Notedebasdepage"/>
        <w:ind w:left="426" w:hanging="426"/>
      </w:pPr>
      <w:r w:rsidRPr="007C01FA">
        <w:rPr>
          <w:rStyle w:val="Appelnotedebasdep"/>
        </w:rPr>
        <w:footnoteRef/>
      </w:r>
      <w:r w:rsidRPr="007C01FA">
        <w:t xml:space="preserve"> </w:t>
      </w:r>
      <w:r w:rsidRPr="007C01FA">
        <w:tab/>
      </w:r>
      <w:r w:rsidRPr="007C01FA">
        <w:rPr>
          <w:rFonts w:cs="Arial"/>
          <w:i/>
          <w:iCs/>
          <w:color w:val="212529"/>
        </w:rPr>
        <w:t>Association des parents de l’école Rose</w:t>
      </w:r>
      <w:r w:rsidRPr="007C01FA">
        <w:rPr>
          <w:rFonts w:cs="Arial"/>
          <w:i/>
          <w:iCs/>
          <w:color w:val="212529"/>
        </w:rPr>
        <w:noBreakHyphen/>
        <w:t>des</w:t>
      </w:r>
      <w:r w:rsidRPr="007C01FA">
        <w:rPr>
          <w:rFonts w:cs="Arial"/>
          <w:i/>
          <w:iCs/>
          <w:color w:val="212529"/>
        </w:rPr>
        <w:noBreakHyphen/>
        <w:t>vents</w:t>
      </w:r>
      <w:r w:rsidRPr="007C01FA">
        <w:rPr>
          <w:rFonts w:cs="Arial"/>
          <w:color w:val="212529"/>
        </w:rPr>
        <w:t xml:space="preserve"> </w:t>
      </w:r>
      <w:r w:rsidR="003255AA" w:rsidRPr="007C01FA">
        <w:rPr>
          <w:rFonts w:cs="Arial"/>
          <w:i/>
          <w:iCs/>
          <w:color w:val="212529"/>
        </w:rPr>
        <w:t xml:space="preserve">v </w:t>
      </w:r>
      <w:r w:rsidR="00DB71EC" w:rsidRPr="007C01FA">
        <w:rPr>
          <w:rFonts w:cs="Arial"/>
          <w:i/>
          <w:iCs/>
          <w:color w:val="212529"/>
        </w:rPr>
        <w:t>British Columbia</w:t>
      </w:r>
      <w:r w:rsidRPr="007C01FA">
        <w:rPr>
          <w:rFonts w:cs="Arial"/>
          <w:i/>
          <w:iCs/>
          <w:color w:val="212529"/>
        </w:rPr>
        <w:t xml:space="preserve"> (</w:t>
      </w:r>
      <w:r w:rsidR="00DB71EC" w:rsidRPr="001B4C82">
        <w:rPr>
          <w:rFonts w:cs="Arial"/>
          <w:i/>
          <w:iCs/>
          <w:color w:val="212529"/>
        </w:rPr>
        <w:t>E</w:t>
      </w:r>
      <w:r w:rsidRPr="001B4C82">
        <w:rPr>
          <w:rFonts w:cs="Arial"/>
          <w:i/>
          <w:iCs/>
          <w:color w:val="212529"/>
        </w:rPr>
        <w:t>ducation</w:t>
      </w:r>
      <w:r w:rsidRPr="007C01FA">
        <w:rPr>
          <w:rFonts w:cs="Arial"/>
          <w:i/>
          <w:iCs/>
          <w:color w:val="212529"/>
        </w:rPr>
        <w:t>)</w:t>
      </w:r>
      <w:r w:rsidRPr="007C01FA">
        <w:rPr>
          <w:rFonts w:cs="Arial"/>
          <w:color w:val="212529"/>
        </w:rPr>
        <w:t xml:space="preserve">, 2015 </w:t>
      </w:r>
      <w:r w:rsidR="00F8060B" w:rsidRPr="007C01FA">
        <w:rPr>
          <w:rFonts w:cs="Arial"/>
          <w:color w:val="212529"/>
        </w:rPr>
        <w:t>SCC</w:t>
      </w:r>
      <w:r w:rsidRPr="007C01FA">
        <w:rPr>
          <w:rFonts w:cs="Arial"/>
          <w:color w:val="212529"/>
        </w:rPr>
        <w:t xml:space="preserve"> 21, [2015] 2 </w:t>
      </w:r>
      <w:r w:rsidR="00F8060B" w:rsidRPr="007C01FA">
        <w:rPr>
          <w:rFonts w:cs="Arial"/>
          <w:color w:val="212529"/>
        </w:rPr>
        <w:t>SCR</w:t>
      </w:r>
      <w:r w:rsidRPr="007C01FA">
        <w:rPr>
          <w:rFonts w:cs="Arial"/>
          <w:color w:val="212529"/>
        </w:rPr>
        <w:t xml:space="preserve"> 139.</w:t>
      </w:r>
    </w:p>
  </w:footnote>
  <w:footnote w:id="37">
    <w:p w14:paraId="6B9271B1" w14:textId="4B78870B" w:rsidR="00845CB6" w:rsidRPr="007C01FA" w:rsidRDefault="0096102C" w:rsidP="00136683">
      <w:pPr>
        <w:pStyle w:val="Notedebasdepage"/>
        <w:ind w:left="426" w:hanging="426"/>
      </w:pPr>
      <w:r w:rsidRPr="007C01FA">
        <w:rPr>
          <w:rStyle w:val="Appelnotedebasdep"/>
        </w:rPr>
        <w:footnoteRef/>
      </w:r>
      <w:r w:rsidRPr="007C01FA">
        <w:t xml:space="preserve"> </w:t>
      </w:r>
      <w:r w:rsidRPr="007C01FA">
        <w:tab/>
      </w:r>
      <w:r w:rsidRPr="007C01FA">
        <w:rPr>
          <w:rFonts w:cs="Arial"/>
          <w:i/>
          <w:iCs/>
          <w:color w:val="212529"/>
        </w:rPr>
        <w:t>Conseil scolaire francophone de la Colombie</w:t>
      </w:r>
      <w:r w:rsidRPr="007C01FA">
        <w:rPr>
          <w:rFonts w:cs="Arial"/>
          <w:i/>
          <w:iCs/>
          <w:color w:val="212529"/>
        </w:rPr>
        <w:noBreakHyphen/>
        <w:t>Britannique</w:t>
      </w:r>
      <w:r w:rsidRPr="007C01FA">
        <w:rPr>
          <w:rFonts w:cs="Arial"/>
          <w:color w:val="212529"/>
        </w:rPr>
        <w:t xml:space="preserve"> </w:t>
      </w:r>
      <w:r w:rsidR="003255AA" w:rsidRPr="007C01FA">
        <w:rPr>
          <w:rFonts w:cs="Arial"/>
          <w:i/>
          <w:iCs/>
          <w:color w:val="212529"/>
        </w:rPr>
        <w:t xml:space="preserve">v </w:t>
      </w:r>
      <w:r w:rsidR="00DB71EC" w:rsidRPr="007C01FA">
        <w:rPr>
          <w:rFonts w:cs="Arial"/>
          <w:i/>
          <w:iCs/>
          <w:color w:val="212529"/>
        </w:rPr>
        <w:t>British Columbia</w:t>
      </w:r>
      <w:r w:rsidRPr="007C01FA">
        <w:rPr>
          <w:rFonts w:cs="Arial"/>
          <w:color w:val="212529"/>
        </w:rPr>
        <w:t xml:space="preserve">, 2020 </w:t>
      </w:r>
      <w:r w:rsidR="00F8060B" w:rsidRPr="007C01FA">
        <w:rPr>
          <w:rFonts w:cs="Arial"/>
          <w:color w:val="212529"/>
        </w:rPr>
        <w:t>SCC</w:t>
      </w:r>
      <w:r w:rsidRPr="007C01FA">
        <w:rPr>
          <w:rFonts w:cs="Arial"/>
          <w:color w:val="212529"/>
        </w:rPr>
        <w:t xml:space="preserve"> 13.</w:t>
      </w:r>
    </w:p>
  </w:footnote>
  <w:footnote w:id="38">
    <w:p w14:paraId="6C2092D4" w14:textId="648CD694" w:rsidR="00845CB6" w:rsidRPr="00B94B99" w:rsidRDefault="0096102C" w:rsidP="00136683">
      <w:pPr>
        <w:pStyle w:val="Notedebasdepage"/>
        <w:ind w:left="426" w:hanging="426"/>
        <w:rPr>
          <w:lang w:val="en-CA"/>
        </w:rPr>
      </w:pPr>
      <w:r w:rsidRPr="00B94B99">
        <w:rPr>
          <w:rStyle w:val="Appelnotedebasdep"/>
        </w:rPr>
        <w:footnoteRef/>
      </w:r>
      <w:r w:rsidRPr="00B94B99">
        <w:rPr>
          <w:lang w:val="en-CA"/>
        </w:rPr>
        <w:t xml:space="preserve"> </w:t>
      </w:r>
      <w:r w:rsidRPr="00B94B99">
        <w:rPr>
          <w:lang w:val="en-CA"/>
        </w:rPr>
        <w:tab/>
      </w:r>
      <w:r w:rsidRPr="00B94B99">
        <w:rPr>
          <w:i/>
          <w:iCs/>
          <w:lang w:val="en-CA"/>
        </w:rPr>
        <w:t>H</w:t>
      </w:r>
      <w:r w:rsidR="00B94B99">
        <w:rPr>
          <w:i/>
          <w:iCs/>
          <w:lang w:val="en-CA"/>
        </w:rPr>
        <w:t>.</w:t>
      </w:r>
      <w:r w:rsidRPr="00B94B99">
        <w:rPr>
          <w:i/>
          <w:iCs/>
          <w:lang w:val="en-CA"/>
        </w:rPr>
        <w:t xml:space="preserve"> N</w:t>
      </w:r>
      <w:r w:rsidR="00B94B99">
        <w:rPr>
          <w:i/>
          <w:iCs/>
          <w:lang w:val="en-CA"/>
        </w:rPr>
        <w:t>.</w:t>
      </w:r>
      <w:r w:rsidR="003255AA" w:rsidRPr="00B94B99">
        <w:rPr>
          <w:lang w:val="en-CA"/>
        </w:rPr>
        <w:t xml:space="preserve"> </w:t>
      </w:r>
      <w:r w:rsidR="003255AA" w:rsidRPr="00B94B99">
        <w:rPr>
          <w:i/>
          <w:iCs/>
          <w:lang w:val="en-CA"/>
        </w:rPr>
        <w:t>c</w:t>
      </w:r>
      <w:r w:rsidR="003255AA" w:rsidRPr="00B94B99">
        <w:rPr>
          <w:lang w:val="en-CA"/>
        </w:rPr>
        <w:t xml:space="preserve"> </w:t>
      </w:r>
      <w:r w:rsidRPr="00B94B99">
        <w:rPr>
          <w:i/>
          <w:iCs/>
          <w:lang w:val="en-CA"/>
        </w:rPr>
        <w:t>Québec (</w:t>
      </w:r>
      <w:r w:rsidRPr="001B4C82">
        <w:rPr>
          <w:i/>
          <w:iCs/>
          <w:lang w:val="en-CA"/>
        </w:rPr>
        <w:t>Ministre</w:t>
      </w:r>
      <w:r w:rsidRPr="00B94B99">
        <w:rPr>
          <w:i/>
          <w:iCs/>
          <w:lang w:val="en-CA"/>
        </w:rPr>
        <w:t xml:space="preserve"> de </w:t>
      </w:r>
      <w:r w:rsidRPr="001B4C82">
        <w:rPr>
          <w:i/>
          <w:iCs/>
          <w:lang w:val="en-CA"/>
        </w:rPr>
        <w:t>l’Éducation</w:t>
      </w:r>
      <w:r w:rsidRPr="00B94B99">
        <w:rPr>
          <w:i/>
          <w:iCs/>
          <w:lang w:val="en-CA"/>
        </w:rPr>
        <w:t>)</w:t>
      </w:r>
      <w:r w:rsidR="00CE030B" w:rsidRPr="00B94B99">
        <w:rPr>
          <w:lang w:val="en-CA"/>
        </w:rPr>
        <w:t xml:space="preserve">, 2007 QCCA 1111; </w:t>
      </w:r>
      <w:r w:rsidR="008A53AA" w:rsidRPr="00B94B99">
        <w:rPr>
          <w:lang w:val="en-CA"/>
        </w:rPr>
        <w:t>see also</w:t>
      </w:r>
      <w:r w:rsidR="00CE030B" w:rsidRPr="00B94B99">
        <w:rPr>
          <w:lang w:val="en-CA"/>
        </w:rPr>
        <w:t xml:space="preserve"> </w:t>
      </w:r>
      <w:r w:rsidR="007F753F" w:rsidRPr="00B94B99">
        <w:rPr>
          <w:rFonts w:cs="Arial"/>
          <w:i/>
          <w:iCs/>
          <w:lang w:val="en-CA"/>
        </w:rPr>
        <w:t xml:space="preserve">A.B. </w:t>
      </w:r>
      <w:r w:rsidR="003255AA" w:rsidRPr="00B94B99">
        <w:rPr>
          <w:rFonts w:cs="Arial"/>
          <w:i/>
          <w:iCs/>
          <w:lang w:val="en-CA"/>
        </w:rPr>
        <w:t xml:space="preserve">v </w:t>
      </w:r>
      <w:r w:rsidR="007F753F" w:rsidRPr="00B94B99">
        <w:rPr>
          <w:rFonts w:cs="Arial"/>
          <w:i/>
          <w:iCs/>
          <w:lang w:val="en-CA"/>
        </w:rPr>
        <w:t xml:space="preserve">Northwest Territories (Minister of Education, Culture and Employment), </w:t>
      </w:r>
      <w:r w:rsidR="007F753F" w:rsidRPr="00B94B99">
        <w:rPr>
          <w:rFonts w:cs="Arial"/>
          <w:lang w:val="en-CA"/>
        </w:rPr>
        <w:t>2021 NWTCA 8</w:t>
      </w:r>
      <w:r w:rsidR="00DB71EC" w:rsidRPr="00B94B99">
        <w:rPr>
          <w:rFonts w:cs="Arial"/>
          <w:color w:val="212529"/>
          <w:lang w:val="en-CA"/>
        </w:rPr>
        <w:t xml:space="preserve"> at </w:t>
      </w:r>
      <w:r w:rsidR="005554F5" w:rsidRPr="00B94B99">
        <w:rPr>
          <w:rFonts w:cs="Arial"/>
          <w:color w:val="212529"/>
          <w:lang w:val="en-CA"/>
        </w:rPr>
        <w:t xml:space="preserve">para </w:t>
      </w:r>
      <w:r w:rsidR="00CE030B" w:rsidRPr="00B94B99">
        <w:rPr>
          <w:rFonts w:cs="Arial"/>
          <w:color w:val="212529"/>
          <w:lang w:val="en-CA"/>
        </w:rPr>
        <w:t xml:space="preserve">140, </w:t>
      </w:r>
      <w:r w:rsidR="007F753F" w:rsidRPr="00B94B99">
        <w:rPr>
          <w:color w:val="000000"/>
          <w:lang w:val="en-CA"/>
        </w:rPr>
        <w:t>leave to appeal to</w:t>
      </w:r>
      <w:r w:rsidR="00360EA8" w:rsidRPr="00B94B99">
        <w:rPr>
          <w:color w:val="000000"/>
          <w:lang w:val="en-CA"/>
        </w:rPr>
        <w:t xml:space="preserve"> </w:t>
      </w:r>
      <w:r w:rsidR="00393B58" w:rsidRPr="00B94B99">
        <w:rPr>
          <w:color w:val="000000"/>
          <w:lang w:val="en-CA"/>
        </w:rPr>
        <w:t>SCC</w:t>
      </w:r>
      <w:r w:rsidR="00F42A4E" w:rsidRPr="00B94B99">
        <w:rPr>
          <w:color w:val="000000"/>
          <w:lang w:val="en-CA"/>
        </w:rPr>
        <w:t xml:space="preserve"> </w:t>
      </w:r>
      <w:r w:rsidR="007F753F" w:rsidRPr="00B94B99">
        <w:rPr>
          <w:color w:val="000000"/>
          <w:lang w:val="en-CA"/>
        </w:rPr>
        <w:t xml:space="preserve"> granted</w:t>
      </w:r>
      <w:r w:rsidR="00CE030B" w:rsidRPr="00B94B99">
        <w:rPr>
          <w:rFonts w:cs="Arial"/>
          <w:color w:val="212529"/>
          <w:lang w:val="en-CA"/>
        </w:rPr>
        <w:t xml:space="preserve">, 39915 </w:t>
      </w:r>
      <w:r w:rsidR="00360EA8" w:rsidRPr="00B94B99">
        <w:rPr>
          <w:rFonts w:cs="Arial"/>
          <w:color w:val="212529"/>
          <w:lang w:val="en-CA"/>
        </w:rPr>
        <w:t>(</w:t>
      </w:r>
      <w:r w:rsidR="008A53AA" w:rsidRPr="00B94B99">
        <w:rPr>
          <w:rFonts w:cs="Arial"/>
          <w:color w:val="212529"/>
          <w:lang w:val="en-CA"/>
        </w:rPr>
        <w:t xml:space="preserve">under advisement since </w:t>
      </w:r>
      <w:r w:rsidR="00B94B99">
        <w:rPr>
          <w:rFonts w:cs="Arial"/>
          <w:color w:val="212529"/>
          <w:lang w:val="en-CA"/>
        </w:rPr>
        <w:t xml:space="preserve">9 </w:t>
      </w:r>
      <w:r w:rsidR="008A53AA" w:rsidRPr="00B94B99">
        <w:rPr>
          <w:rFonts w:cs="Arial"/>
          <w:color w:val="212529"/>
          <w:lang w:val="en-CA"/>
        </w:rPr>
        <w:t xml:space="preserve">February </w:t>
      </w:r>
      <w:r w:rsidR="00CE030B" w:rsidRPr="00B94B99">
        <w:rPr>
          <w:rFonts w:cs="Arial"/>
          <w:color w:val="212529"/>
          <w:lang w:val="en-CA"/>
        </w:rPr>
        <w:t>2023</w:t>
      </w:r>
      <w:r w:rsidR="00360EA8" w:rsidRPr="00B94B99">
        <w:rPr>
          <w:rFonts w:cs="Arial"/>
          <w:color w:val="212529"/>
          <w:lang w:val="en-CA"/>
        </w:rPr>
        <w:t>)</w:t>
      </w:r>
      <w:r w:rsidRPr="00B94B99">
        <w:rPr>
          <w:lang w:val="en-CA"/>
        </w:rPr>
        <w:t>.</w:t>
      </w:r>
    </w:p>
  </w:footnote>
  <w:footnote w:id="39">
    <w:p w14:paraId="38ADAEDA" w14:textId="2792757B" w:rsidR="00845CB6" w:rsidRPr="00B94B99" w:rsidRDefault="0096102C" w:rsidP="00136683">
      <w:pPr>
        <w:pStyle w:val="Notedebasdepage"/>
        <w:ind w:left="426" w:hanging="426"/>
        <w:rPr>
          <w:rFonts w:cs="Arial"/>
          <w:lang w:val="en-CA"/>
        </w:rPr>
      </w:pPr>
      <w:r w:rsidRPr="00B94B99">
        <w:rPr>
          <w:rStyle w:val="Appelnotedebasdep"/>
        </w:rPr>
        <w:footnoteRef/>
      </w:r>
      <w:r w:rsidRPr="00B94B99">
        <w:rPr>
          <w:lang w:val="en-CA"/>
        </w:rPr>
        <w:t xml:space="preserve"> </w:t>
      </w:r>
      <w:r w:rsidRPr="00B94B99">
        <w:rPr>
          <w:lang w:val="en-CA"/>
        </w:rPr>
        <w:tab/>
      </w:r>
      <w:r w:rsidRPr="00B94B99">
        <w:rPr>
          <w:rFonts w:cs="Arial"/>
          <w:i/>
          <w:iCs/>
          <w:color w:val="212529"/>
          <w:lang w:val="en-CA"/>
        </w:rPr>
        <w:t xml:space="preserve">Procureur </w:t>
      </w:r>
      <w:r w:rsidRPr="001B4C82">
        <w:rPr>
          <w:rFonts w:cs="Arial"/>
          <w:i/>
          <w:iCs/>
          <w:color w:val="212529"/>
          <w:lang w:val="en-CA"/>
        </w:rPr>
        <w:t>général</w:t>
      </w:r>
      <w:r w:rsidRPr="00B94B99">
        <w:rPr>
          <w:rFonts w:cs="Arial"/>
          <w:i/>
          <w:iCs/>
          <w:color w:val="212529"/>
          <w:lang w:val="en-CA"/>
        </w:rPr>
        <w:t xml:space="preserve"> du Québec</w:t>
      </w:r>
      <w:r w:rsidR="003255AA" w:rsidRPr="00B94B99">
        <w:rPr>
          <w:rFonts w:cs="Arial"/>
          <w:color w:val="212529"/>
          <w:lang w:val="en-CA"/>
        </w:rPr>
        <w:t xml:space="preserve"> c </w:t>
      </w:r>
      <w:r w:rsidRPr="00B94B99">
        <w:rPr>
          <w:rFonts w:cs="Arial"/>
          <w:i/>
          <w:iCs/>
          <w:color w:val="212529"/>
          <w:lang w:val="en-CA"/>
        </w:rPr>
        <w:t>Quebec English School Board Association</w:t>
      </w:r>
      <w:r w:rsidRPr="00B94B99">
        <w:rPr>
          <w:rFonts w:cs="Arial"/>
          <w:color w:val="212529"/>
          <w:lang w:val="en-CA"/>
        </w:rPr>
        <w:t>, 2020 QCCA 1171.</w:t>
      </w:r>
    </w:p>
  </w:footnote>
  <w:footnote w:id="40">
    <w:p w14:paraId="7A19A0F5" w14:textId="4C11BF4F" w:rsidR="00845CB6" w:rsidRPr="006B04D7" w:rsidRDefault="0096102C" w:rsidP="00136683">
      <w:pPr>
        <w:pStyle w:val="Notedebasdepage"/>
        <w:ind w:left="426" w:hanging="426"/>
        <w:rPr>
          <w:lang w:val="en-CA"/>
        </w:rPr>
      </w:pPr>
      <w:r w:rsidRPr="006B04D7">
        <w:rPr>
          <w:rStyle w:val="Appelnotedebasdep"/>
        </w:rPr>
        <w:footnoteRef/>
      </w:r>
      <w:r w:rsidRPr="006B04D7">
        <w:rPr>
          <w:lang w:val="en-CA"/>
        </w:rPr>
        <w:t xml:space="preserve"> </w:t>
      </w:r>
      <w:r w:rsidRPr="006B04D7">
        <w:rPr>
          <w:lang w:val="en-CA"/>
        </w:rPr>
        <w:tab/>
        <w:t>Michel Bastarache,</w:t>
      </w:r>
      <w:r w:rsidR="009F1ED5" w:rsidRPr="006B04D7">
        <w:rPr>
          <w:lang w:val="en-CA"/>
        </w:rPr>
        <w:t> “</w:t>
      </w:r>
      <w:r w:rsidRPr="006B04D7">
        <w:rPr>
          <w:lang w:val="en-CA"/>
        </w:rPr>
        <w:t xml:space="preserve">Education Rights of Provincial Official Minorities (Sec. 23)” in Gérald-A. Beaudoin </w:t>
      </w:r>
      <w:r w:rsidR="009F1ED5" w:rsidRPr="006B04D7">
        <w:rPr>
          <w:lang w:val="en-CA"/>
        </w:rPr>
        <w:t>&amp;</w:t>
      </w:r>
      <w:r w:rsidRPr="006B04D7">
        <w:rPr>
          <w:lang w:val="en-CA"/>
        </w:rPr>
        <w:t xml:space="preserve"> Ed Ratushny</w:t>
      </w:r>
      <w:r w:rsidR="00E84C1E" w:rsidRPr="006B04D7">
        <w:rPr>
          <w:lang w:val="en-CA"/>
        </w:rPr>
        <w:t xml:space="preserve"> eds</w:t>
      </w:r>
      <w:r w:rsidRPr="006B04D7">
        <w:rPr>
          <w:lang w:val="en-CA"/>
        </w:rPr>
        <w:t xml:space="preserve">, </w:t>
      </w:r>
      <w:r w:rsidRPr="006B04D7">
        <w:rPr>
          <w:i/>
          <w:lang w:val="en-CA"/>
        </w:rPr>
        <w:t>The Canadian Charter of Rights and Freedoms</w:t>
      </w:r>
      <w:r w:rsidRPr="006B04D7">
        <w:rPr>
          <w:lang w:val="en-CA"/>
        </w:rPr>
        <w:t>,</w:t>
      </w:r>
      <w:r w:rsidR="00393B58" w:rsidRPr="006B04D7">
        <w:rPr>
          <w:lang w:val="en-CA"/>
        </w:rPr>
        <w:t xml:space="preserve"> 2nd</w:t>
      </w:r>
      <w:r w:rsidRPr="006B04D7">
        <w:rPr>
          <w:lang w:val="en-CA"/>
        </w:rPr>
        <w:t xml:space="preserve"> </w:t>
      </w:r>
      <w:r w:rsidR="00E84C1E" w:rsidRPr="006B04D7">
        <w:rPr>
          <w:lang w:val="en-CA"/>
        </w:rPr>
        <w:t>ed (</w:t>
      </w:r>
      <w:r w:rsidRPr="006B04D7">
        <w:rPr>
          <w:lang w:val="en-CA"/>
        </w:rPr>
        <w:t>Carswell, 1989</w:t>
      </w:r>
      <w:r w:rsidR="00E84C1E" w:rsidRPr="006B04D7">
        <w:rPr>
          <w:lang w:val="en-CA"/>
        </w:rPr>
        <w:t>)</w:t>
      </w:r>
      <w:r w:rsidR="009F1ED5" w:rsidRPr="006B04D7">
        <w:rPr>
          <w:lang w:val="en-CA"/>
        </w:rPr>
        <w:t xml:space="preserve"> at</w:t>
      </w:r>
      <w:r w:rsidRPr="006B04D7">
        <w:rPr>
          <w:lang w:val="en-CA"/>
        </w:rPr>
        <w:t xml:space="preserve"> 696.</w:t>
      </w:r>
    </w:p>
  </w:footnote>
  <w:footnote w:id="41">
    <w:p w14:paraId="4440C6F2" w14:textId="33BB03F8" w:rsidR="00845CB6" w:rsidRPr="006B04D7" w:rsidRDefault="0096102C" w:rsidP="00136683">
      <w:pPr>
        <w:pStyle w:val="Notedebasdepage"/>
        <w:ind w:left="426" w:hanging="426"/>
        <w:rPr>
          <w:lang w:val="en-CA"/>
        </w:rPr>
      </w:pPr>
      <w:r w:rsidRPr="006B04D7">
        <w:rPr>
          <w:rStyle w:val="Appelnotedebasdep"/>
        </w:rPr>
        <w:footnoteRef/>
      </w:r>
      <w:r w:rsidRPr="006B04D7">
        <w:rPr>
          <w:lang w:val="en-CA"/>
        </w:rPr>
        <w:t xml:space="preserve"> </w:t>
      </w:r>
      <w:r w:rsidRPr="006B04D7">
        <w:rPr>
          <w:lang w:val="en-CA"/>
        </w:rPr>
        <w:tab/>
        <w:t xml:space="preserve">“Language Rights and Education” in Gérald-A. Beaudoin </w:t>
      </w:r>
      <w:r w:rsidR="00E84C1E" w:rsidRPr="006B04D7">
        <w:rPr>
          <w:lang w:val="en-CA"/>
        </w:rPr>
        <w:t>&amp;</w:t>
      </w:r>
      <w:r w:rsidRPr="006B04D7">
        <w:rPr>
          <w:lang w:val="en-CA"/>
        </w:rPr>
        <w:t xml:space="preserve"> Erroll Mendes</w:t>
      </w:r>
      <w:r w:rsidR="00E84C1E" w:rsidRPr="006B04D7">
        <w:rPr>
          <w:lang w:val="en-CA"/>
        </w:rPr>
        <w:t xml:space="preserve"> eds</w:t>
      </w:r>
      <w:r w:rsidRPr="006B04D7">
        <w:rPr>
          <w:lang w:val="en-CA"/>
        </w:rPr>
        <w:t xml:space="preserve">, </w:t>
      </w:r>
      <w:r w:rsidRPr="006B04D7">
        <w:rPr>
          <w:i/>
          <w:lang w:val="en-CA"/>
        </w:rPr>
        <w:t>Canadian Charter of Rights and Freedoms</w:t>
      </w:r>
      <w:r w:rsidRPr="006B04D7">
        <w:rPr>
          <w:lang w:val="en-CA"/>
        </w:rPr>
        <w:t xml:space="preserve">, 4th </w:t>
      </w:r>
      <w:r w:rsidR="00170CDF" w:rsidRPr="006B04D7">
        <w:rPr>
          <w:lang w:val="en-CA"/>
        </w:rPr>
        <w:t>ed (</w:t>
      </w:r>
      <w:r w:rsidRPr="006B04D7">
        <w:rPr>
          <w:lang w:val="en-CA"/>
        </w:rPr>
        <w:t>Lexis Nexis, Butterworths, 2005</w:t>
      </w:r>
      <w:r w:rsidR="00170CDF" w:rsidRPr="006B04D7">
        <w:rPr>
          <w:lang w:val="en-CA"/>
        </w:rPr>
        <w:t xml:space="preserve">) at </w:t>
      </w:r>
      <w:r w:rsidRPr="006B04D7">
        <w:rPr>
          <w:lang w:val="en-CA"/>
        </w:rPr>
        <w:t>1105.</w:t>
      </w:r>
    </w:p>
  </w:footnote>
  <w:footnote w:id="42">
    <w:p w14:paraId="6586041D" w14:textId="51BA7F30" w:rsidR="004C01A2" w:rsidRPr="006B04D7" w:rsidRDefault="004C01A2" w:rsidP="00136683">
      <w:pPr>
        <w:pStyle w:val="Notedebasdepage"/>
        <w:ind w:left="426" w:hanging="426"/>
      </w:pPr>
      <w:r w:rsidRPr="006B04D7">
        <w:rPr>
          <w:rStyle w:val="Appelnotedebasdep"/>
        </w:rPr>
        <w:footnoteRef/>
      </w:r>
      <w:r w:rsidRPr="006B04D7">
        <w:t xml:space="preserve"> </w:t>
      </w:r>
      <w:r w:rsidRPr="006B04D7">
        <w:tab/>
      </w:r>
      <w:r w:rsidR="00170CDF" w:rsidRPr="006B04D7">
        <w:t>“</w:t>
      </w:r>
      <w:r w:rsidRPr="006B04D7">
        <w:t xml:space="preserve">L’article 23 de la </w:t>
      </w:r>
      <w:r w:rsidRPr="006B04D7">
        <w:rPr>
          <w:i/>
          <w:iCs/>
        </w:rPr>
        <w:t>Charte</w:t>
      </w:r>
      <w:r w:rsidRPr="006B04D7">
        <w:t xml:space="preserve"> canadienne des droits et libertés</w:t>
      </w:r>
      <w:r w:rsidR="00170CDF" w:rsidRPr="006B04D7">
        <w:t>”</w:t>
      </w:r>
      <w:r w:rsidRPr="006B04D7">
        <w:t xml:space="preserve"> in Erroll Mendes </w:t>
      </w:r>
      <w:r w:rsidR="00170CDF" w:rsidRPr="006B04D7">
        <w:t>&amp;</w:t>
      </w:r>
      <w:r w:rsidRPr="006B04D7">
        <w:t xml:space="preserve"> Stéphane Beaulac</w:t>
      </w:r>
      <w:r w:rsidR="00435DE5" w:rsidRPr="006B04D7">
        <w:t>,</w:t>
      </w:r>
      <w:r w:rsidR="00170CDF" w:rsidRPr="006B04D7">
        <w:t xml:space="preserve"> eds</w:t>
      </w:r>
      <w:r w:rsidRPr="006B04D7">
        <w:t xml:space="preserve">, </w:t>
      </w:r>
      <w:r w:rsidRPr="006B04D7">
        <w:rPr>
          <w:i/>
        </w:rPr>
        <w:t>Charte canadienne des droits et libertés</w:t>
      </w:r>
      <w:r w:rsidRPr="006B04D7">
        <w:t xml:space="preserve">, </w:t>
      </w:r>
      <w:r w:rsidR="00170CDF" w:rsidRPr="006B04D7">
        <w:t>5th ed (</w:t>
      </w:r>
      <w:r w:rsidRPr="006B04D7">
        <w:t>Lexis Nexis</w:t>
      </w:r>
      <w:r w:rsidR="00170CDF" w:rsidRPr="006B04D7">
        <w:t>, 2013) at</w:t>
      </w:r>
      <w:r w:rsidRPr="006B04D7">
        <w:t xml:space="preserve"> 1079.</w:t>
      </w:r>
    </w:p>
  </w:footnote>
  <w:footnote w:id="43">
    <w:p w14:paraId="0F96E0F6" w14:textId="6AAB7145" w:rsidR="004C01A2" w:rsidRPr="008760EC" w:rsidRDefault="004C01A2" w:rsidP="00136683">
      <w:pPr>
        <w:pStyle w:val="Notedebasdepage"/>
        <w:ind w:left="426" w:hanging="426"/>
        <w:rPr>
          <w:highlight w:val="yellow"/>
        </w:rPr>
      </w:pPr>
      <w:r w:rsidRPr="00A246DA">
        <w:rPr>
          <w:rStyle w:val="Appelnotedebasdep"/>
        </w:rPr>
        <w:footnoteRef/>
      </w:r>
      <w:r w:rsidRPr="00A246DA">
        <w:t xml:space="preserve"> </w:t>
      </w:r>
      <w:r w:rsidRPr="00A246DA">
        <w:tab/>
      </w:r>
      <w:r w:rsidR="00170CDF" w:rsidRPr="00A246DA">
        <w:t>“</w:t>
      </w:r>
      <w:r w:rsidR="00CA47E3" w:rsidRPr="00A246DA">
        <w:t>“</w:t>
      </w:r>
      <w:r w:rsidRPr="00A246DA">
        <w:t>Liberté</w:t>
      </w:r>
      <w:r w:rsidR="00CA47E3" w:rsidRPr="00A246DA">
        <w:t>”</w:t>
      </w:r>
      <w:r w:rsidR="00435DE5" w:rsidRPr="00A246DA">
        <w:rPr>
          <w:rFonts w:cs="Arial"/>
        </w:rPr>
        <w:t xml:space="preserve"> </w:t>
      </w:r>
      <w:r w:rsidRPr="00A246DA">
        <w:t xml:space="preserve">linguistique, </w:t>
      </w:r>
      <w:r w:rsidR="00CA47E3" w:rsidRPr="00A246DA">
        <w:t>“</w:t>
      </w:r>
      <w:r w:rsidRPr="00A246DA">
        <w:t>droits</w:t>
      </w:r>
      <w:r w:rsidR="00CA47E3" w:rsidRPr="00A246DA">
        <w:t>”</w:t>
      </w:r>
      <w:r w:rsidR="00CA47E3" w:rsidRPr="00A246DA">
        <w:rPr>
          <w:rFonts w:cs="Arial"/>
        </w:rPr>
        <w:t xml:space="preserve"> </w:t>
      </w:r>
      <w:r w:rsidRPr="00A246DA">
        <w:t xml:space="preserve">linguistiques et </w:t>
      </w:r>
      <w:r w:rsidR="00CA47E3" w:rsidRPr="00A246DA">
        <w:t>“</w:t>
      </w:r>
      <w:r w:rsidRPr="00A246DA">
        <w:t>accommodements</w:t>
      </w:r>
      <w:r w:rsidR="00CA47E3" w:rsidRPr="00A246DA">
        <w:t>”</w:t>
      </w:r>
      <w:r w:rsidR="00CA47E3" w:rsidRPr="00A246DA">
        <w:rPr>
          <w:rFonts w:cs="Arial"/>
        </w:rPr>
        <w:t xml:space="preserve"> </w:t>
      </w:r>
      <w:r w:rsidRPr="00A246DA">
        <w:t>linguistiques : réflexions à partir de la jurisprudence de la Cour suprême du Canada</w:t>
      </w:r>
      <w:r w:rsidR="00CA47E3" w:rsidRPr="00A246DA">
        <w:t>”</w:t>
      </w:r>
      <w:r w:rsidRPr="00A246DA">
        <w:t xml:space="preserve"> in Patrick Taillon, Eugénie Brouillet </w:t>
      </w:r>
      <w:r w:rsidR="00CA47E3" w:rsidRPr="00A246DA">
        <w:rPr>
          <w:rFonts w:cs="Arial"/>
        </w:rPr>
        <w:t>&amp;</w:t>
      </w:r>
      <w:r w:rsidRPr="00A246DA">
        <w:t xml:space="preserve"> Amélie Binette: </w:t>
      </w:r>
      <w:r w:rsidRPr="00A246DA">
        <w:rPr>
          <w:i/>
        </w:rPr>
        <w:t>Un regard québécois sur le droit constitutionnel; Mélanges en l’honneur d’Henri Brun et Guy Tremblay</w:t>
      </w:r>
      <w:r w:rsidR="00CA47E3" w:rsidRPr="00A246DA">
        <w:t xml:space="preserve"> (</w:t>
      </w:r>
      <w:r w:rsidRPr="00A246DA">
        <w:t>Yvon Blais, 2016</w:t>
      </w:r>
      <w:r w:rsidR="00CA47E3" w:rsidRPr="00A246DA">
        <w:t>) at</w:t>
      </w:r>
      <w:r w:rsidRPr="00A246DA">
        <w:t xml:space="preserve"> 443.</w:t>
      </w:r>
    </w:p>
  </w:footnote>
  <w:footnote w:id="44">
    <w:p w14:paraId="411EAF6B" w14:textId="31933E6C" w:rsidR="007543E2" w:rsidRPr="00A246DA" w:rsidRDefault="0096102C" w:rsidP="00136683">
      <w:pPr>
        <w:pStyle w:val="Notedebasdepage"/>
        <w:ind w:left="426" w:hanging="426"/>
      </w:pPr>
      <w:r w:rsidRPr="00A246DA">
        <w:rPr>
          <w:rStyle w:val="Appelnotedebasdep"/>
        </w:rPr>
        <w:footnoteRef/>
      </w:r>
      <w:r w:rsidRPr="00A246DA">
        <w:t xml:space="preserve"> </w:t>
      </w:r>
      <w:r w:rsidRPr="00A246DA">
        <w:tab/>
      </w:r>
      <w:r w:rsidRPr="00A246DA">
        <w:rPr>
          <w:i/>
          <w:iCs/>
        </w:rPr>
        <w:t>Mahe</w:t>
      </w:r>
      <w:r w:rsidR="00CA47E3" w:rsidRPr="00A246DA">
        <w:t xml:space="preserve"> at </w:t>
      </w:r>
      <w:r w:rsidR="000D0BDC" w:rsidRPr="00A246DA">
        <w:t>363.</w:t>
      </w:r>
    </w:p>
  </w:footnote>
  <w:footnote w:id="45">
    <w:p w14:paraId="513C6560" w14:textId="7E8DAEBF" w:rsidR="000D0BDC" w:rsidRPr="00A246DA" w:rsidRDefault="0096102C" w:rsidP="00136683">
      <w:pPr>
        <w:pStyle w:val="Notedebasdepage"/>
        <w:ind w:left="426" w:hanging="426"/>
        <w:rPr>
          <w:rFonts w:cs="Arial"/>
        </w:rPr>
      </w:pPr>
      <w:r w:rsidRPr="00A246DA">
        <w:rPr>
          <w:rStyle w:val="Appelnotedebasdep"/>
        </w:rPr>
        <w:footnoteRef/>
      </w:r>
      <w:r w:rsidR="00AC655B" w:rsidRPr="00A246DA">
        <w:t xml:space="preserve"> </w:t>
      </w:r>
      <w:r w:rsidR="00AC655B" w:rsidRPr="00A246DA">
        <w:tab/>
      </w:r>
      <w:r w:rsidR="00CA47E3" w:rsidRPr="00A246DA">
        <w:rPr>
          <w:i/>
          <w:iCs/>
        </w:rPr>
        <w:t>Reference re Public Schools Act (Man)</w:t>
      </w:r>
      <w:r w:rsidR="00723D6D" w:rsidRPr="005352DE">
        <w:rPr>
          <w:rFonts w:cs="Arial"/>
          <w:i/>
          <w:iCs/>
          <w:color w:val="212529"/>
        </w:rPr>
        <w:t xml:space="preserve">, </w:t>
      </w:r>
      <w:r w:rsidR="00CA47E3" w:rsidRPr="005352DE">
        <w:rPr>
          <w:rFonts w:cs="Arial"/>
          <w:i/>
          <w:iCs/>
          <w:color w:val="212529"/>
        </w:rPr>
        <w:t>ss.</w:t>
      </w:r>
      <w:r w:rsidR="00723D6D" w:rsidRPr="005352DE">
        <w:rPr>
          <w:rFonts w:cs="Arial"/>
          <w:i/>
          <w:iCs/>
          <w:color w:val="212529"/>
        </w:rPr>
        <w:t xml:space="preserve"> 79(3), (4) </w:t>
      </w:r>
      <w:r w:rsidR="00CA47E3" w:rsidRPr="005352DE">
        <w:rPr>
          <w:rFonts w:cs="Arial"/>
          <w:i/>
          <w:iCs/>
          <w:color w:val="212529"/>
        </w:rPr>
        <w:t>and</w:t>
      </w:r>
      <w:r w:rsidR="00723D6D" w:rsidRPr="005352DE">
        <w:rPr>
          <w:rFonts w:cs="Arial"/>
          <w:i/>
          <w:iCs/>
          <w:color w:val="212529"/>
        </w:rPr>
        <w:t xml:space="preserve"> (7),</w:t>
      </w:r>
      <w:r w:rsidR="00723D6D" w:rsidRPr="00A246DA">
        <w:rPr>
          <w:rFonts w:cs="Arial"/>
          <w:color w:val="212529"/>
        </w:rPr>
        <w:t xml:space="preserve"> 1993 CanLII 119 (</w:t>
      </w:r>
      <w:r w:rsidR="00F8060B" w:rsidRPr="00A246DA">
        <w:rPr>
          <w:rFonts w:cs="Arial"/>
          <w:color w:val="212529"/>
        </w:rPr>
        <w:t>SCC</w:t>
      </w:r>
      <w:r w:rsidR="00723D6D" w:rsidRPr="00A246DA">
        <w:rPr>
          <w:rFonts w:cs="Arial"/>
          <w:color w:val="212529"/>
        </w:rPr>
        <w:t xml:space="preserve">), [1993] 1 </w:t>
      </w:r>
      <w:r w:rsidR="00F8060B" w:rsidRPr="00A246DA">
        <w:rPr>
          <w:rFonts w:cs="Arial"/>
          <w:color w:val="212529"/>
        </w:rPr>
        <w:t>SCR</w:t>
      </w:r>
      <w:r w:rsidR="00723D6D" w:rsidRPr="00A246DA">
        <w:rPr>
          <w:rFonts w:cs="Arial"/>
          <w:color w:val="212529"/>
        </w:rPr>
        <w:t xml:space="preserve"> 839</w:t>
      </w:r>
      <w:r w:rsidR="00435DE5" w:rsidRPr="00A246DA">
        <w:rPr>
          <w:rFonts w:cs="Arial"/>
          <w:color w:val="212529"/>
        </w:rPr>
        <w:t xml:space="preserve"> at </w:t>
      </w:r>
      <w:r w:rsidR="00723D6D" w:rsidRPr="00A246DA">
        <w:rPr>
          <w:rFonts w:cs="Arial"/>
          <w:color w:val="212529"/>
        </w:rPr>
        <w:t xml:space="preserve">855; </w:t>
      </w:r>
      <w:r w:rsidR="00723D6D" w:rsidRPr="00A246DA">
        <w:rPr>
          <w:rFonts w:cs="Arial"/>
          <w:i/>
          <w:iCs/>
          <w:color w:val="212529"/>
        </w:rPr>
        <w:t xml:space="preserve">L'association Des Parents Francophones De La Colombie-Britannique, La Federation Des Francophones De La Colombie-Britannique </w:t>
      </w:r>
      <w:r w:rsidR="003255AA" w:rsidRPr="00A246DA">
        <w:rPr>
          <w:rFonts w:cs="Arial"/>
          <w:i/>
          <w:iCs/>
          <w:color w:val="212529"/>
        </w:rPr>
        <w:t xml:space="preserve">v </w:t>
      </w:r>
      <w:r w:rsidR="00723D6D" w:rsidRPr="00A246DA">
        <w:rPr>
          <w:rFonts w:cs="Arial"/>
          <w:i/>
          <w:iCs/>
          <w:color w:val="212529"/>
        </w:rPr>
        <w:t>Woods</w:t>
      </w:r>
      <w:r w:rsidR="00723D6D" w:rsidRPr="00A246DA">
        <w:rPr>
          <w:rFonts w:cs="Arial"/>
          <w:color w:val="212529"/>
        </w:rPr>
        <w:t>, 1996 CanLII 1455 (BC SC)</w:t>
      </w:r>
      <w:r w:rsidR="00CA47E3" w:rsidRPr="00A246DA">
        <w:rPr>
          <w:rFonts w:cs="Arial"/>
          <w:color w:val="212529"/>
        </w:rPr>
        <w:t xml:space="preserve"> at </w:t>
      </w:r>
      <w:r w:rsidR="00723D6D" w:rsidRPr="00A246DA">
        <w:rPr>
          <w:rFonts w:cs="Arial"/>
          <w:color w:val="212529"/>
        </w:rPr>
        <w:t xml:space="preserve">23. </w:t>
      </w:r>
    </w:p>
  </w:footnote>
  <w:footnote w:id="46">
    <w:p w14:paraId="1509F4FC" w14:textId="31BD363A" w:rsidR="000D0BDC" w:rsidRPr="00A246DA" w:rsidRDefault="0096102C" w:rsidP="00136683">
      <w:pPr>
        <w:pStyle w:val="Notedebasdepage"/>
        <w:ind w:left="426" w:hanging="426"/>
        <w:rPr>
          <w:lang w:val="en-CA"/>
        </w:rPr>
      </w:pPr>
      <w:r w:rsidRPr="00A246DA">
        <w:rPr>
          <w:rStyle w:val="Appelnotedebasdep"/>
        </w:rPr>
        <w:footnoteRef/>
      </w:r>
      <w:r w:rsidRPr="00A246DA">
        <w:rPr>
          <w:lang w:val="en-CA"/>
        </w:rPr>
        <w:t xml:space="preserve"> </w:t>
      </w:r>
      <w:r w:rsidRPr="00A246DA">
        <w:rPr>
          <w:lang w:val="en-CA"/>
        </w:rPr>
        <w:tab/>
      </w:r>
      <w:r w:rsidRPr="00A246DA">
        <w:rPr>
          <w:rFonts w:cs="Arial"/>
          <w:i/>
          <w:iCs/>
          <w:color w:val="212529"/>
          <w:lang w:val="en-CA"/>
        </w:rPr>
        <w:t>Solski (</w:t>
      </w:r>
      <w:r w:rsidR="00350084" w:rsidRPr="00A246DA">
        <w:rPr>
          <w:rFonts w:cs="Arial"/>
          <w:i/>
          <w:iCs/>
          <w:color w:val="212529"/>
          <w:lang w:val="en-CA"/>
        </w:rPr>
        <w:t>Tutor of</w:t>
      </w:r>
      <w:r w:rsidRPr="00A246DA">
        <w:rPr>
          <w:rFonts w:cs="Arial"/>
          <w:i/>
          <w:iCs/>
          <w:color w:val="212529"/>
          <w:lang w:val="en-CA"/>
        </w:rPr>
        <w:t>)</w:t>
      </w:r>
      <w:r w:rsidRPr="00A246DA">
        <w:rPr>
          <w:rFonts w:cs="Arial"/>
          <w:color w:val="212529"/>
          <w:lang w:val="en-CA"/>
        </w:rPr>
        <w:t xml:space="preserve"> </w:t>
      </w:r>
      <w:r w:rsidR="003255AA" w:rsidRPr="00A246DA">
        <w:rPr>
          <w:rFonts w:cs="Arial"/>
          <w:i/>
          <w:iCs/>
          <w:color w:val="212529"/>
          <w:lang w:val="en-CA"/>
        </w:rPr>
        <w:t xml:space="preserve">v </w:t>
      </w:r>
      <w:r w:rsidRPr="00A246DA">
        <w:rPr>
          <w:rFonts w:cs="Arial"/>
          <w:i/>
          <w:iCs/>
          <w:color w:val="212529"/>
          <w:lang w:val="en-CA"/>
        </w:rPr>
        <w:t>Qu</w:t>
      </w:r>
      <w:r w:rsidR="00350084" w:rsidRPr="00A246DA">
        <w:rPr>
          <w:rFonts w:cs="Arial"/>
          <w:i/>
          <w:iCs/>
          <w:color w:val="212529"/>
          <w:lang w:val="en-CA"/>
        </w:rPr>
        <w:t>e</w:t>
      </w:r>
      <w:r w:rsidRPr="00A246DA">
        <w:rPr>
          <w:rFonts w:cs="Arial"/>
          <w:i/>
          <w:iCs/>
          <w:color w:val="212529"/>
          <w:lang w:val="en-CA"/>
        </w:rPr>
        <w:t>bec (</w:t>
      </w:r>
      <w:r w:rsidR="00350084" w:rsidRPr="00A246DA">
        <w:rPr>
          <w:rFonts w:cs="Arial"/>
          <w:i/>
          <w:iCs/>
          <w:color w:val="212529"/>
          <w:lang w:val="en-CA"/>
        </w:rPr>
        <w:t>Attorney General</w:t>
      </w:r>
      <w:r w:rsidRPr="00A246DA">
        <w:rPr>
          <w:rFonts w:cs="Arial"/>
          <w:i/>
          <w:iCs/>
          <w:color w:val="212529"/>
          <w:lang w:val="en-CA"/>
        </w:rPr>
        <w:t>)</w:t>
      </w:r>
      <w:r w:rsidRPr="00A246DA">
        <w:rPr>
          <w:rFonts w:cs="Arial"/>
          <w:color w:val="212529"/>
          <w:lang w:val="en-CA"/>
        </w:rPr>
        <w:t xml:space="preserve">, 2005 </w:t>
      </w:r>
      <w:r w:rsidR="00F8060B" w:rsidRPr="00A246DA">
        <w:rPr>
          <w:rFonts w:cs="Arial"/>
          <w:color w:val="212529"/>
          <w:lang w:val="en-CA"/>
        </w:rPr>
        <w:t>SCC</w:t>
      </w:r>
      <w:r w:rsidRPr="00A246DA">
        <w:rPr>
          <w:rFonts w:cs="Arial"/>
          <w:color w:val="212529"/>
          <w:lang w:val="en-CA"/>
        </w:rPr>
        <w:t xml:space="preserve"> 14.</w:t>
      </w:r>
    </w:p>
  </w:footnote>
  <w:footnote w:id="47">
    <w:p w14:paraId="3A082A9C" w14:textId="2DA9FBC8" w:rsidR="000D0BDC" w:rsidRPr="00AD5E38" w:rsidRDefault="0096102C" w:rsidP="00136683">
      <w:pPr>
        <w:pStyle w:val="Notedebasdepage"/>
        <w:ind w:left="426" w:hanging="426"/>
      </w:pPr>
      <w:r w:rsidRPr="00AD5E38">
        <w:rPr>
          <w:rStyle w:val="Appelnotedebasdep"/>
        </w:rPr>
        <w:footnoteRef/>
      </w:r>
      <w:r w:rsidRPr="00AD5E38">
        <w:t xml:space="preserve"> </w:t>
      </w:r>
      <w:r w:rsidRPr="00AD5E38">
        <w:tab/>
      </w:r>
      <w:r w:rsidRPr="00AD5E38">
        <w:rPr>
          <w:rFonts w:cs="Arial"/>
          <w:i/>
          <w:iCs/>
          <w:color w:val="212529"/>
        </w:rPr>
        <w:t>Conseil scolaire francophone de la Colombie</w:t>
      </w:r>
      <w:r w:rsidRPr="00AD5E38">
        <w:rPr>
          <w:rFonts w:cs="Arial"/>
          <w:i/>
          <w:iCs/>
          <w:color w:val="212529"/>
        </w:rPr>
        <w:noBreakHyphen/>
        <w:t>Britannique</w:t>
      </w:r>
      <w:r w:rsidRPr="00AD5E38">
        <w:rPr>
          <w:rFonts w:cs="Arial"/>
          <w:color w:val="212529"/>
        </w:rPr>
        <w:t xml:space="preserve"> </w:t>
      </w:r>
      <w:r w:rsidR="003255AA" w:rsidRPr="00AD5E38">
        <w:rPr>
          <w:rFonts w:cs="Arial"/>
          <w:i/>
          <w:iCs/>
          <w:color w:val="212529"/>
        </w:rPr>
        <w:t xml:space="preserve">v </w:t>
      </w:r>
      <w:r w:rsidR="005D014E" w:rsidRPr="00AD5E38">
        <w:rPr>
          <w:rFonts w:cs="Arial"/>
          <w:i/>
          <w:iCs/>
          <w:color w:val="212529"/>
        </w:rPr>
        <w:t>British Columbia</w:t>
      </w:r>
      <w:r w:rsidRPr="00AD5E38">
        <w:rPr>
          <w:rFonts w:cs="Arial"/>
          <w:color w:val="212529"/>
        </w:rPr>
        <w:t xml:space="preserve">, 2020 </w:t>
      </w:r>
      <w:r w:rsidR="00F8060B" w:rsidRPr="00AD5E38">
        <w:rPr>
          <w:rFonts w:cs="Arial"/>
          <w:color w:val="212529"/>
        </w:rPr>
        <w:t>SCC</w:t>
      </w:r>
      <w:r w:rsidRPr="00AD5E38">
        <w:rPr>
          <w:rFonts w:cs="Arial"/>
          <w:color w:val="212529"/>
        </w:rPr>
        <w:t xml:space="preserve"> 13.</w:t>
      </w:r>
    </w:p>
  </w:footnote>
  <w:footnote w:id="48">
    <w:p w14:paraId="771B99C0" w14:textId="2D0F0112" w:rsidR="000074E4" w:rsidRPr="00AD5E38" w:rsidRDefault="000074E4" w:rsidP="00136683">
      <w:pPr>
        <w:pStyle w:val="Notedebasdepage"/>
        <w:ind w:left="426" w:hanging="426"/>
        <w:rPr>
          <w:lang w:val="en-CA"/>
        </w:rPr>
      </w:pPr>
      <w:r w:rsidRPr="00AD5E38">
        <w:rPr>
          <w:rStyle w:val="Appelnotedebasdep"/>
        </w:rPr>
        <w:footnoteRef/>
      </w:r>
      <w:r w:rsidRPr="00AD5E38">
        <w:rPr>
          <w:lang w:val="en-CA"/>
        </w:rPr>
        <w:t xml:space="preserve"> </w:t>
      </w:r>
      <w:r w:rsidRPr="00AD5E38">
        <w:rPr>
          <w:lang w:val="en-CA"/>
        </w:rPr>
        <w:tab/>
      </w:r>
      <w:r w:rsidR="00350084" w:rsidRPr="00AD5E38">
        <w:rPr>
          <w:lang w:val="en-CA"/>
        </w:rPr>
        <w:t>At</w:t>
      </w:r>
      <w:r w:rsidRPr="00AD5E38">
        <w:rPr>
          <w:lang w:val="en-CA"/>
        </w:rPr>
        <w:t xml:space="preserve"> 379.</w:t>
      </w:r>
    </w:p>
  </w:footnote>
  <w:footnote w:id="49">
    <w:p w14:paraId="6A43603D" w14:textId="56CEF6CF" w:rsidR="000074E4" w:rsidRPr="008760EC" w:rsidRDefault="000074E4" w:rsidP="00136683">
      <w:pPr>
        <w:pStyle w:val="Notedebasdepage"/>
        <w:ind w:left="426" w:hanging="426"/>
        <w:rPr>
          <w:highlight w:val="yellow"/>
          <w:lang w:val="en-CA"/>
        </w:rPr>
      </w:pPr>
      <w:r w:rsidRPr="00AD5E38">
        <w:rPr>
          <w:rStyle w:val="Appelnotedebasdep"/>
        </w:rPr>
        <w:footnoteRef/>
      </w:r>
      <w:r w:rsidRPr="00AD5E38">
        <w:rPr>
          <w:lang w:val="en-CA"/>
        </w:rPr>
        <w:t xml:space="preserve"> </w:t>
      </w:r>
      <w:r w:rsidRPr="00AD5E38">
        <w:rPr>
          <w:lang w:val="en-CA"/>
        </w:rPr>
        <w:tab/>
      </w:r>
      <w:r w:rsidR="00350084" w:rsidRPr="00AD5E38">
        <w:rPr>
          <w:lang w:val="en-CA"/>
        </w:rPr>
        <w:t>At paras</w:t>
      </w:r>
      <w:r w:rsidRPr="00AD5E38">
        <w:rPr>
          <w:lang w:val="en-CA"/>
        </w:rPr>
        <w:t xml:space="preserve"> 44 </w:t>
      </w:r>
      <w:r w:rsidR="00350084" w:rsidRPr="00AD5E38">
        <w:rPr>
          <w:lang w:val="en-CA"/>
        </w:rPr>
        <w:t>and</w:t>
      </w:r>
      <w:r w:rsidRPr="00AD5E38">
        <w:rPr>
          <w:lang w:val="en-CA"/>
        </w:rPr>
        <w:t xml:space="preserve"> 58. </w:t>
      </w:r>
    </w:p>
  </w:footnote>
  <w:footnote w:id="50">
    <w:p w14:paraId="09659CE5" w14:textId="3C434795" w:rsidR="00E975A3" w:rsidRPr="000017B5" w:rsidRDefault="0096102C" w:rsidP="00136683">
      <w:pPr>
        <w:pStyle w:val="Notedebasdepage"/>
        <w:ind w:left="426" w:hanging="426"/>
        <w:rPr>
          <w:lang w:val="en-CA"/>
        </w:rPr>
      </w:pPr>
      <w:r w:rsidRPr="000017B5">
        <w:rPr>
          <w:rStyle w:val="Appelnotedebasdep"/>
        </w:rPr>
        <w:footnoteRef/>
      </w:r>
      <w:r w:rsidRPr="000017B5">
        <w:rPr>
          <w:lang w:val="en-CA"/>
        </w:rPr>
        <w:t xml:space="preserve"> </w:t>
      </w:r>
      <w:r w:rsidRPr="000017B5">
        <w:rPr>
          <w:lang w:val="en-CA"/>
        </w:rPr>
        <w:tab/>
      </w:r>
      <w:r w:rsidR="00350084" w:rsidRPr="000017B5">
        <w:rPr>
          <w:i/>
          <w:iCs/>
          <w:lang w:val="en-CA"/>
        </w:rPr>
        <w:t>Ibid</w:t>
      </w:r>
      <w:r w:rsidR="00350084" w:rsidRPr="000017B5">
        <w:rPr>
          <w:lang w:val="en-CA"/>
        </w:rPr>
        <w:t xml:space="preserve"> at</w:t>
      </w:r>
      <w:r w:rsidRPr="000017B5">
        <w:rPr>
          <w:lang w:val="en-CA"/>
        </w:rPr>
        <w:t xml:space="preserve"> 373. </w:t>
      </w:r>
    </w:p>
  </w:footnote>
  <w:footnote w:id="51">
    <w:p w14:paraId="1A40C55A" w14:textId="7209BD88" w:rsidR="00845CB6" w:rsidRPr="000017B5" w:rsidRDefault="0096102C" w:rsidP="00136683">
      <w:pPr>
        <w:pStyle w:val="Notedebasdepage"/>
        <w:ind w:left="426" w:hanging="426"/>
        <w:rPr>
          <w:lang w:val="en-CA"/>
        </w:rPr>
      </w:pPr>
      <w:r w:rsidRPr="000017B5">
        <w:rPr>
          <w:rStyle w:val="Appelnotedebasdep"/>
        </w:rPr>
        <w:footnoteRef/>
      </w:r>
      <w:r w:rsidRPr="000017B5">
        <w:rPr>
          <w:lang w:val="en-CA"/>
        </w:rPr>
        <w:t xml:space="preserve"> </w:t>
      </w:r>
      <w:r w:rsidRPr="000017B5">
        <w:rPr>
          <w:lang w:val="en-CA"/>
        </w:rPr>
        <w:tab/>
      </w:r>
      <w:r w:rsidRPr="000017B5">
        <w:rPr>
          <w:rFonts w:cs="Arial"/>
          <w:i/>
          <w:iCs/>
          <w:color w:val="212529"/>
          <w:lang w:val="en-CA"/>
        </w:rPr>
        <w:t>Solski (</w:t>
      </w:r>
      <w:r w:rsidR="000074E4" w:rsidRPr="000017B5">
        <w:rPr>
          <w:rFonts w:cs="Arial"/>
          <w:i/>
          <w:iCs/>
          <w:color w:val="212529"/>
          <w:lang w:val="en-CA"/>
        </w:rPr>
        <w:t>Tutor of</w:t>
      </w:r>
      <w:r w:rsidRPr="000017B5">
        <w:rPr>
          <w:rFonts w:cs="Arial"/>
          <w:i/>
          <w:iCs/>
          <w:color w:val="212529"/>
          <w:lang w:val="en-CA"/>
        </w:rPr>
        <w:t>)</w:t>
      </w:r>
      <w:r w:rsidRPr="000017B5">
        <w:rPr>
          <w:rFonts w:cs="Arial"/>
          <w:color w:val="212529"/>
          <w:lang w:val="en-CA"/>
        </w:rPr>
        <w:t xml:space="preserve"> </w:t>
      </w:r>
      <w:r w:rsidR="003255AA" w:rsidRPr="000017B5">
        <w:rPr>
          <w:rFonts w:cs="Arial"/>
          <w:i/>
          <w:iCs/>
          <w:color w:val="212529"/>
          <w:lang w:val="en-CA"/>
        </w:rPr>
        <w:t xml:space="preserve">v </w:t>
      </w:r>
      <w:r w:rsidR="000074E4" w:rsidRPr="000017B5">
        <w:rPr>
          <w:rFonts w:cs="Arial"/>
          <w:i/>
          <w:iCs/>
          <w:color w:val="212529"/>
          <w:lang w:val="en-CA"/>
        </w:rPr>
        <w:t>Quebec (Attorney General</w:t>
      </w:r>
      <w:r w:rsidRPr="000017B5">
        <w:rPr>
          <w:rFonts w:cs="Arial"/>
          <w:i/>
          <w:iCs/>
          <w:color w:val="212529"/>
          <w:lang w:val="en-CA"/>
        </w:rPr>
        <w:t>)</w:t>
      </w:r>
      <w:r w:rsidRPr="000017B5">
        <w:rPr>
          <w:rFonts w:cs="Arial"/>
          <w:color w:val="212529"/>
          <w:lang w:val="en-CA"/>
        </w:rPr>
        <w:t xml:space="preserve">, 2005 </w:t>
      </w:r>
      <w:r w:rsidR="00F8060B" w:rsidRPr="000017B5">
        <w:rPr>
          <w:rFonts w:cs="Arial"/>
          <w:color w:val="212529"/>
          <w:lang w:val="en-CA"/>
        </w:rPr>
        <w:t>SCC</w:t>
      </w:r>
      <w:r w:rsidRPr="000017B5">
        <w:rPr>
          <w:rFonts w:cs="Arial"/>
          <w:color w:val="212529"/>
          <w:lang w:val="en-CA"/>
        </w:rPr>
        <w:t xml:space="preserve"> 14.</w:t>
      </w:r>
    </w:p>
  </w:footnote>
  <w:footnote w:id="52">
    <w:p w14:paraId="41DFBE19" w14:textId="256BF05B" w:rsidR="00845CB6" w:rsidRPr="000017B5" w:rsidRDefault="0096102C" w:rsidP="00136683">
      <w:pPr>
        <w:pStyle w:val="Notedebasdepage"/>
        <w:ind w:left="426" w:hanging="426"/>
      </w:pPr>
      <w:r w:rsidRPr="000017B5">
        <w:rPr>
          <w:rStyle w:val="Appelnotedebasdep"/>
        </w:rPr>
        <w:footnoteRef/>
      </w:r>
      <w:r w:rsidRPr="000017B5">
        <w:t xml:space="preserve"> </w:t>
      </w:r>
      <w:r w:rsidRPr="000017B5">
        <w:tab/>
      </w:r>
      <w:r w:rsidRPr="000017B5">
        <w:rPr>
          <w:rFonts w:cs="Arial"/>
          <w:i/>
          <w:iCs/>
          <w:color w:val="212529"/>
        </w:rPr>
        <w:t>Conseil scolaire francophone de la Colombie</w:t>
      </w:r>
      <w:r w:rsidRPr="000017B5">
        <w:rPr>
          <w:rFonts w:cs="Arial"/>
          <w:i/>
          <w:iCs/>
          <w:color w:val="212529"/>
        </w:rPr>
        <w:noBreakHyphen/>
        <w:t>Britannique</w:t>
      </w:r>
      <w:r w:rsidRPr="000017B5">
        <w:rPr>
          <w:rFonts w:cs="Arial"/>
          <w:color w:val="212529"/>
        </w:rPr>
        <w:t xml:space="preserve"> </w:t>
      </w:r>
      <w:r w:rsidR="003255AA" w:rsidRPr="000017B5">
        <w:rPr>
          <w:rFonts w:cs="Arial"/>
          <w:i/>
          <w:iCs/>
          <w:color w:val="212529"/>
        </w:rPr>
        <w:t xml:space="preserve">v </w:t>
      </w:r>
      <w:r w:rsidR="005D014E" w:rsidRPr="000017B5">
        <w:rPr>
          <w:rFonts w:cs="Arial"/>
          <w:i/>
          <w:iCs/>
          <w:color w:val="212529"/>
        </w:rPr>
        <w:t>British Columbia</w:t>
      </w:r>
      <w:r w:rsidRPr="000017B5">
        <w:rPr>
          <w:rFonts w:cs="Arial"/>
          <w:color w:val="212529"/>
        </w:rPr>
        <w:t xml:space="preserve">, 2020 </w:t>
      </w:r>
      <w:r w:rsidR="00F8060B" w:rsidRPr="000017B5">
        <w:rPr>
          <w:rFonts w:cs="Arial"/>
          <w:color w:val="212529"/>
        </w:rPr>
        <w:t>SCC</w:t>
      </w:r>
      <w:r w:rsidRPr="000017B5">
        <w:rPr>
          <w:rFonts w:cs="Arial"/>
          <w:color w:val="212529"/>
        </w:rPr>
        <w:t xml:space="preserve"> 13.</w:t>
      </w:r>
      <w:r w:rsidRPr="000017B5">
        <w:rPr>
          <w:rFonts w:ascii="Open Sans" w:hAnsi="Open Sans" w:cs="Open Sans"/>
          <w:color w:val="212529"/>
          <w:sz w:val="21"/>
          <w:szCs w:val="21"/>
        </w:rPr>
        <w:t> </w:t>
      </w:r>
    </w:p>
  </w:footnote>
  <w:footnote w:id="53">
    <w:p w14:paraId="127A83A2" w14:textId="1705D16F" w:rsidR="000074E4" w:rsidRPr="008760EC" w:rsidRDefault="000074E4" w:rsidP="00136683">
      <w:pPr>
        <w:pStyle w:val="Notedebasdepage"/>
        <w:ind w:left="426" w:hanging="426"/>
        <w:rPr>
          <w:highlight w:val="yellow"/>
          <w:lang w:val="en-CA"/>
        </w:rPr>
      </w:pPr>
      <w:r w:rsidRPr="000017B5">
        <w:rPr>
          <w:rStyle w:val="Appelnotedebasdep"/>
        </w:rPr>
        <w:footnoteRef/>
      </w:r>
      <w:r w:rsidRPr="000017B5">
        <w:rPr>
          <w:lang w:val="en-CA"/>
        </w:rPr>
        <w:t xml:space="preserve"> </w:t>
      </w:r>
      <w:r w:rsidRPr="000017B5">
        <w:rPr>
          <w:lang w:val="en-CA"/>
        </w:rPr>
        <w:tab/>
      </w:r>
      <w:r w:rsidRPr="000017B5">
        <w:rPr>
          <w:rFonts w:cs="Arial"/>
          <w:color w:val="212529"/>
          <w:lang w:val="en-CA"/>
        </w:rPr>
        <w:t>30 &amp; 31 Victoria,</w:t>
      </w:r>
      <w:r w:rsidR="003255AA" w:rsidRPr="000017B5">
        <w:rPr>
          <w:rFonts w:cs="Arial"/>
          <w:color w:val="212529"/>
          <w:lang w:val="en-CA"/>
        </w:rPr>
        <w:t xml:space="preserve"> c </w:t>
      </w:r>
      <w:r w:rsidRPr="000017B5">
        <w:rPr>
          <w:rFonts w:cs="Arial"/>
          <w:color w:val="212529"/>
          <w:lang w:val="en-CA"/>
        </w:rPr>
        <w:t>3.</w:t>
      </w:r>
    </w:p>
  </w:footnote>
  <w:footnote w:id="54">
    <w:p w14:paraId="12ADBEE8" w14:textId="4222C193" w:rsidR="00E975A3" w:rsidRPr="000017B5" w:rsidRDefault="0096102C" w:rsidP="00136683">
      <w:pPr>
        <w:pStyle w:val="Notedebasdepage"/>
        <w:ind w:left="426" w:hanging="426"/>
        <w:rPr>
          <w:lang w:val="en-CA"/>
        </w:rPr>
      </w:pPr>
      <w:r w:rsidRPr="000017B5">
        <w:rPr>
          <w:rStyle w:val="Appelnotedebasdep"/>
        </w:rPr>
        <w:footnoteRef/>
      </w:r>
      <w:r w:rsidR="00AC655B" w:rsidRPr="000017B5">
        <w:rPr>
          <w:lang w:val="en-CA"/>
        </w:rPr>
        <w:t xml:space="preserve"> </w:t>
      </w:r>
      <w:r w:rsidR="00AC655B" w:rsidRPr="000017B5">
        <w:rPr>
          <w:lang w:val="en-CA"/>
        </w:rPr>
        <w:tab/>
      </w:r>
      <w:r w:rsidR="00A46005" w:rsidRPr="000017B5">
        <w:rPr>
          <w:rFonts w:cs="Arial"/>
          <w:color w:val="212529"/>
          <w:lang w:val="en-CA"/>
        </w:rPr>
        <w:t>1984 CanLII 32 (</w:t>
      </w:r>
      <w:r w:rsidR="00F8060B" w:rsidRPr="000017B5">
        <w:rPr>
          <w:rFonts w:cs="Arial"/>
          <w:color w:val="212529"/>
          <w:lang w:val="en-CA"/>
        </w:rPr>
        <w:t>SCC</w:t>
      </w:r>
      <w:r w:rsidR="00A46005" w:rsidRPr="000017B5">
        <w:rPr>
          <w:rFonts w:cs="Arial"/>
          <w:color w:val="212529"/>
          <w:lang w:val="en-CA"/>
        </w:rPr>
        <w:t xml:space="preserve">), [1984] 2 </w:t>
      </w:r>
      <w:r w:rsidR="00F8060B" w:rsidRPr="000017B5">
        <w:rPr>
          <w:rFonts w:cs="Arial"/>
          <w:color w:val="212529"/>
          <w:lang w:val="en-CA"/>
        </w:rPr>
        <w:t>SCR</w:t>
      </w:r>
      <w:r w:rsidR="00A46005" w:rsidRPr="000017B5">
        <w:rPr>
          <w:rFonts w:cs="Arial"/>
          <w:color w:val="212529"/>
          <w:lang w:val="en-CA"/>
        </w:rPr>
        <w:t xml:space="preserve"> 66</w:t>
      </w:r>
      <w:r w:rsidR="00E25DFA" w:rsidRPr="000017B5">
        <w:rPr>
          <w:rFonts w:cs="Arial"/>
          <w:lang w:val="en-CA"/>
        </w:rPr>
        <w:t xml:space="preserve"> at</w:t>
      </w:r>
      <w:r w:rsidR="00A46005" w:rsidRPr="000017B5">
        <w:rPr>
          <w:rFonts w:cs="Arial"/>
          <w:lang w:val="en-CA"/>
        </w:rPr>
        <w:t xml:space="preserve"> 79</w:t>
      </w:r>
      <w:r w:rsidR="00E25DFA" w:rsidRPr="000017B5">
        <w:rPr>
          <w:rFonts w:cs="Arial"/>
          <w:lang w:val="en-CA"/>
        </w:rPr>
        <w:t>–</w:t>
      </w:r>
      <w:r w:rsidR="00A46005" w:rsidRPr="000017B5">
        <w:rPr>
          <w:rFonts w:cs="Arial"/>
          <w:lang w:val="en-CA"/>
        </w:rPr>
        <w:t xml:space="preserve">80. </w:t>
      </w:r>
    </w:p>
  </w:footnote>
  <w:footnote w:id="55">
    <w:p w14:paraId="275C0846" w14:textId="36F6E96B" w:rsidR="0096102C" w:rsidRPr="000017B5" w:rsidRDefault="0096102C" w:rsidP="00136683">
      <w:pPr>
        <w:pStyle w:val="Notedebasdepage"/>
        <w:ind w:left="426" w:hanging="426"/>
        <w:rPr>
          <w:rFonts w:ascii="BookmanOldStyle-Italic" w:hAnsi="BookmanOldStyle-Italic" w:cs="BookmanOldStyle-Italic"/>
          <w:i/>
          <w:iCs/>
          <w:sz w:val="24"/>
          <w:szCs w:val="24"/>
          <w:lang w:val="en-CA"/>
        </w:rPr>
      </w:pPr>
      <w:r w:rsidRPr="000017B5">
        <w:rPr>
          <w:rStyle w:val="Appelnotedebasdep"/>
        </w:rPr>
        <w:footnoteRef/>
      </w:r>
      <w:r w:rsidRPr="000017B5">
        <w:rPr>
          <w:rFonts w:cs="Arial"/>
          <w:lang w:val="en-CA"/>
        </w:rPr>
        <w:t xml:space="preserve"> </w:t>
      </w:r>
      <w:r w:rsidRPr="000017B5">
        <w:rPr>
          <w:rFonts w:cs="Arial"/>
          <w:lang w:val="en-CA"/>
        </w:rPr>
        <w:tab/>
      </w:r>
      <w:r w:rsidR="00330687" w:rsidRPr="000017B5">
        <w:rPr>
          <w:rFonts w:cs="Arial"/>
          <w:i/>
          <w:iCs/>
          <w:lang w:val="en-CA"/>
        </w:rPr>
        <w:t>Act for the establishment of Free Schools and the advancement of Learning in this Province</w:t>
      </w:r>
      <w:r w:rsidR="00EB6669" w:rsidRPr="000017B5">
        <w:rPr>
          <w:rFonts w:cs="Arial"/>
          <w:i/>
          <w:iCs/>
          <w:lang w:val="en-CA"/>
        </w:rPr>
        <w:t xml:space="preserve"> or the Royal Institution Act</w:t>
      </w:r>
      <w:r w:rsidRPr="000017B5">
        <w:rPr>
          <w:rFonts w:cs="Arial"/>
          <w:lang w:val="en-CA"/>
        </w:rPr>
        <w:t xml:space="preserve"> </w:t>
      </w:r>
      <w:r w:rsidR="005223AB" w:rsidRPr="000017B5">
        <w:rPr>
          <w:rFonts w:cs="Arial"/>
          <w:lang w:val="en-CA"/>
        </w:rPr>
        <w:t>(</w:t>
      </w:r>
      <w:r w:rsidRPr="000017B5">
        <w:rPr>
          <w:rFonts w:cs="Arial"/>
          <w:lang w:val="en-CA"/>
        </w:rPr>
        <w:t>41 Geo III</w:t>
      </w:r>
      <w:r w:rsidR="005223AB" w:rsidRPr="000017B5">
        <w:rPr>
          <w:rFonts w:cs="Arial"/>
          <w:lang w:val="en-CA"/>
        </w:rPr>
        <w:t>)</w:t>
      </w:r>
      <w:r w:rsidRPr="000017B5">
        <w:rPr>
          <w:rFonts w:cs="Arial"/>
          <w:lang w:val="en-CA"/>
        </w:rPr>
        <w:t>,</w:t>
      </w:r>
      <w:r w:rsidR="003255AA" w:rsidRPr="000017B5">
        <w:rPr>
          <w:rFonts w:cs="Arial"/>
          <w:lang w:val="en-CA"/>
        </w:rPr>
        <w:t xml:space="preserve"> c </w:t>
      </w:r>
      <w:r w:rsidRPr="000017B5">
        <w:rPr>
          <w:rFonts w:cs="Arial"/>
          <w:lang w:val="en-CA"/>
        </w:rPr>
        <w:t>16-17.</w:t>
      </w:r>
    </w:p>
  </w:footnote>
  <w:footnote w:id="56">
    <w:p w14:paraId="3E573DCA" w14:textId="06D205C4" w:rsidR="0096102C" w:rsidRPr="000017B5" w:rsidRDefault="0096102C" w:rsidP="00136683">
      <w:pPr>
        <w:pStyle w:val="Notedebasdepage"/>
        <w:ind w:left="426" w:hanging="426"/>
        <w:rPr>
          <w:rFonts w:cs="Arial"/>
          <w:lang w:val="en-CA"/>
        </w:rPr>
      </w:pPr>
      <w:r w:rsidRPr="000017B5">
        <w:rPr>
          <w:rStyle w:val="Appelnotedebasdep"/>
          <w:rFonts w:cs="Arial"/>
        </w:rPr>
        <w:footnoteRef/>
      </w:r>
      <w:r w:rsidRPr="000017B5">
        <w:rPr>
          <w:rFonts w:cs="Arial"/>
          <w:lang w:val="en-CA"/>
        </w:rPr>
        <w:t xml:space="preserve"> </w:t>
      </w:r>
      <w:r w:rsidRPr="000017B5">
        <w:rPr>
          <w:rFonts w:cs="Arial"/>
          <w:lang w:val="en-CA"/>
        </w:rPr>
        <w:tab/>
      </w:r>
      <w:r w:rsidRPr="000017B5">
        <w:rPr>
          <w:rFonts w:cs="Arial"/>
          <w:i/>
          <w:iCs/>
          <w:lang w:val="en-CA"/>
        </w:rPr>
        <w:t>Report of the Royal Commission of Inquiry on Education in the Province of Quebec</w:t>
      </w:r>
      <w:r w:rsidRPr="000017B5">
        <w:rPr>
          <w:rFonts w:cs="Arial"/>
          <w:lang w:val="en-CA"/>
        </w:rPr>
        <w:t xml:space="preserve"> (Parent Commission), Part 1</w:t>
      </w:r>
      <w:r w:rsidR="005B2318" w:rsidRPr="000017B5">
        <w:rPr>
          <w:rFonts w:cs="Arial"/>
          <w:lang w:val="en-CA"/>
        </w:rPr>
        <w:t xml:space="preserve"> (</w:t>
      </w:r>
      <w:r w:rsidRPr="000017B5">
        <w:rPr>
          <w:rFonts w:cs="Arial"/>
          <w:lang w:val="en-CA"/>
        </w:rPr>
        <w:t>1963</w:t>
      </w:r>
      <w:r w:rsidR="005B2318" w:rsidRPr="000017B5">
        <w:rPr>
          <w:rFonts w:cs="Arial"/>
          <w:lang w:val="en-CA"/>
        </w:rPr>
        <w:t>)</w:t>
      </w:r>
      <w:r w:rsidRPr="000017B5">
        <w:rPr>
          <w:rFonts w:cs="Arial"/>
          <w:lang w:val="en-CA"/>
        </w:rPr>
        <w:t xml:space="preserve"> at 23; Olivier Lemieux, Expert Report, 17 March 2021 at </w:t>
      </w:r>
      <w:r w:rsidR="005554F5" w:rsidRPr="000017B5">
        <w:rPr>
          <w:rFonts w:cs="Arial"/>
          <w:lang w:val="en-CA"/>
        </w:rPr>
        <w:t xml:space="preserve">para </w:t>
      </w:r>
      <w:r w:rsidRPr="000017B5">
        <w:rPr>
          <w:rFonts w:cs="Arial"/>
          <w:lang w:val="en-CA"/>
        </w:rPr>
        <w:t xml:space="preserve">10.  </w:t>
      </w:r>
    </w:p>
  </w:footnote>
  <w:footnote w:id="57">
    <w:p w14:paraId="038F65C2" w14:textId="3FB1E578" w:rsidR="0096102C" w:rsidRPr="000017B5" w:rsidRDefault="0096102C" w:rsidP="00136683">
      <w:pPr>
        <w:pStyle w:val="Notedebasdepage"/>
        <w:ind w:left="426" w:hanging="426"/>
        <w:rPr>
          <w:rFonts w:cs="Arial"/>
        </w:rPr>
      </w:pPr>
      <w:r w:rsidRPr="000017B5">
        <w:rPr>
          <w:rStyle w:val="Appelnotedebasdep"/>
        </w:rPr>
        <w:footnoteRef/>
      </w:r>
      <w:r w:rsidRPr="000017B5">
        <w:rPr>
          <w:rFonts w:cs="Arial"/>
        </w:rPr>
        <w:t xml:space="preserve"> </w:t>
      </w:r>
      <w:r w:rsidRPr="000017B5">
        <w:rPr>
          <w:rFonts w:cs="Arial"/>
        </w:rPr>
        <w:tab/>
        <w:t xml:space="preserve">David Gilles, </w:t>
      </w:r>
      <w:r w:rsidRPr="000017B5">
        <w:rPr>
          <w:rFonts w:cs="Arial"/>
          <w:i/>
          <w:iCs/>
        </w:rPr>
        <w:t>Rapport sur les contextes législatifs des normes relatives au système scolaire confessionnel précédant la Confédération</w:t>
      </w:r>
      <w:r w:rsidRPr="000017B5">
        <w:rPr>
          <w:rFonts w:cs="Arial"/>
        </w:rPr>
        <w:t xml:space="preserve">, </w:t>
      </w:r>
      <w:r w:rsidR="005B2318" w:rsidRPr="000017B5">
        <w:rPr>
          <w:rFonts w:cs="Arial"/>
        </w:rPr>
        <w:t>e</w:t>
      </w:r>
      <w:r w:rsidRPr="000017B5">
        <w:rPr>
          <w:rFonts w:cs="Arial"/>
        </w:rPr>
        <w:t xml:space="preserve">xhibit P-44 at </w:t>
      </w:r>
      <w:r w:rsidR="005554F5" w:rsidRPr="000017B5">
        <w:rPr>
          <w:rFonts w:cs="Arial"/>
        </w:rPr>
        <w:t xml:space="preserve">para </w:t>
      </w:r>
      <w:r w:rsidRPr="000017B5">
        <w:rPr>
          <w:rFonts w:cs="Arial"/>
        </w:rPr>
        <w:t>4</w:t>
      </w:r>
      <w:r w:rsidR="000017B5">
        <w:rPr>
          <w:rFonts w:cs="Arial"/>
        </w:rPr>
        <w:t xml:space="preserve">; </w:t>
      </w:r>
      <w:r w:rsidRPr="000017B5">
        <w:rPr>
          <w:rFonts w:cs="Arial"/>
        </w:rPr>
        <w:t xml:space="preserve">Lemieux Report at paras 17, 18 and 21. </w:t>
      </w:r>
    </w:p>
  </w:footnote>
  <w:footnote w:id="58">
    <w:p w14:paraId="680F65D2" w14:textId="78E6B2AE" w:rsidR="0096102C" w:rsidRPr="000017B5" w:rsidRDefault="0096102C" w:rsidP="00136683">
      <w:pPr>
        <w:pStyle w:val="Notedebasdepage"/>
        <w:ind w:left="426" w:hanging="426"/>
        <w:rPr>
          <w:rFonts w:cs="Arial"/>
          <w:lang w:val="en-CA"/>
        </w:rPr>
      </w:pPr>
      <w:r w:rsidRPr="000017B5">
        <w:rPr>
          <w:rStyle w:val="Appelnotedebasdep"/>
          <w:rFonts w:cs="Arial"/>
        </w:rPr>
        <w:footnoteRef/>
      </w:r>
      <w:r w:rsidRPr="000017B5">
        <w:rPr>
          <w:rFonts w:cs="Arial"/>
          <w:lang w:val="en-CA"/>
        </w:rPr>
        <w:t xml:space="preserve"> </w:t>
      </w:r>
      <w:r w:rsidRPr="000017B5">
        <w:rPr>
          <w:rFonts w:cs="Arial"/>
          <w:lang w:val="en-CA"/>
        </w:rPr>
        <w:tab/>
      </w:r>
      <w:r w:rsidR="000017B5" w:rsidRPr="000017B5">
        <w:rPr>
          <w:rFonts w:cs="Arial"/>
          <w:lang w:val="en-CA"/>
        </w:rPr>
        <w:t>At p</w:t>
      </w:r>
      <w:r w:rsidR="005554F5" w:rsidRPr="000017B5">
        <w:rPr>
          <w:rFonts w:cs="Arial"/>
          <w:lang w:val="en-CA"/>
        </w:rPr>
        <w:t xml:space="preserve">ara </w:t>
      </w:r>
      <w:r w:rsidRPr="000017B5">
        <w:rPr>
          <w:rFonts w:cs="Arial"/>
          <w:lang w:val="en-CA"/>
        </w:rPr>
        <w:t>18.</w:t>
      </w:r>
    </w:p>
  </w:footnote>
  <w:footnote w:id="59">
    <w:p w14:paraId="12668192" w14:textId="396585FD" w:rsidR="00653F14" w:rsidRPr="008760EC" w:rsidRDefault="00653F14" w:rsidP="00136683">
      <w:pPr>
        <w:pStyle w:val="Notedebasdepage"/>
        <w:ind w:left="426" w:hanging="426"/>
        <w:rPr>
          <w:rFonts w:ascii="Times New Roman" w:hAnsi="Times New Roman"/>
          <w:b/>
          <w:bCs/>
          <w:sz w:val="28"/>
          <w:szCs w:val="28"/>
          <w:highlight w:val="yellow"/>
          <w:lang w:val="en-CA"/>
        </w:rPr>
      </w:pPr>
      <w:r w:rsidRPr="000017B5">
        <w:rPr>
          <w:rStyle w:val="Appelnotedebasdep"/>
        </w:rPr>
        <w:footnoteRef/>
      </w:r>
      <w:r w:rsidRPr="000017B5">
        <w:rPr>
          <w:rFonts w:cs="Arial"/>
          <w:lang w:val="en-CA"/>
        </w:rPr>
        <w:t xml:space="preserve"> </w:t>
      </w:r>
      <w:r w:rsidRPr="000017B5">
        <w:rPr>
          <w:rFonts w:cs="Arial"/>
          <w:lang w:val="en-CA"/>
        </w:rPr>
        <w:tab/>
        <w:t xml:space="preserve">Roderick MacLeod &amp; Mary Anne Poutanen, </w:t>
      </w:r>
      <w:r w:rsidRPr="000017B5">
        <w:rPr>
          <w:rFonts w:cs="Arial"/>
          <w:i/>
          <w:iCs/>
          <w:lang w:val="en-CA"/>
        </w:rPr>
        <w:t>Expert report on the exercise of confessional school rights at the time of Confederation</w:t>
      </w:r>
      <w:r w:rsidRPr="000017B5">
        <w:rPr>
          <w:rFonts w:cs="Arial"/>
          <w:lang w:val="en-CA"/>
        </w:rPr>
        <w:t xml:space="preserve">, exhibit P-43 at paras 19, 26 and 27. </w:t>
      </w:r>
    </w:p>
  </w:footnote>
  <w:footnote w:id="60">
    <w:p w14:paraId="5BF73328" w14:textId="1E3FA576" w:rsidR="0096102C" w:rsidRPr="008D2AB8" w:rsidRDefault="0096102C" w:rsidP="00136683">
      <w:pPr>
        <w:pStyle w:val="Notedebasdepage"/>
        <w:ind w:left="426" w:hanging="426"/>
        <w:rPr>
          <w:rFonts w:cs="Arial"/>
          <w:i/>
          <w:iCs/>
          <w:lang w:val="en-CA"/>
        </w:rPr>
      </w:pPr>
      <w:r w:rsidRPr="008D2AB8">
        <w:rPr>
          <w:rStyle w:val="Appelnotedebasdep"/>
          <w:rFonts w:cs="Arial"/>
        </w:rPr>
        <w:footnoteRef/>
      </w:r>
      <w:r w:rsidRPr="008D2AB8">
        <w:rPr>
          <w:rFonts w:cs="Arial"/>
          <w:lang w:val="en-CA"/>
        </w:rPr>
        <w:t xml:space="preserve"> </w:t>
      </w:r>
      <w:r w:rsidRPr="008D2AB8">
        <w:rPr>
          <w:rFonts w:cs="Arial"/>
          <w:lang w:val="en-CA"/>
        </w:rPr>
        <w:tab/>
      </w:r>
      <w:bookmarkStart w:id="28" w:name="_Hlk145588173"/>
      <w:r w:rsidR="00A36F15" w:rsidRPr="008D2AB8">
        <w:rPr>
          <w:rFonts w:cs="Arial"/>
          <w:i/>
          <w:iCs/>
          <w:lang w:val="en-CA"/>
        </w:rPr>
        <w:t xml:space="preserve">An Act to facilitate the establishment and the endowment of Elementary Schools in the Parishes of this Province </w:t>
      </w:r>
      <w:bookmarkEnd w:id="28"/>
      <w:r w:rsidRPr="008D2AB8">
        <w:rPr>
          <w:rFonts w:cs="Arial"/>
          <w:lang w:val="en-CA"/>
        </w:rPr>
        <w:t xml:space="preserve"> </w:t>
      </w:r>
      <w:r w:rsidR="005223AB" w:rsidRPr="008D2AB8">
        <w:rPr>
          <w:rFonts w:cs="Arial"/>
          <w:lang w:val="en-CA"/>
        </w:rPr>
        <w:t>(</w:t>
      </w:r>
      <w:r w:rsidRPr="008D2AB8">
        <w:rPr>
          <w:rFonts w:cs="Arial"/>
          <w:lang w:val="en-CA"/>
        </w:rPr>
        <w:t>4 Geo IV</w:t>
      </w:r>
      <w:r w:rsidR="005223AB" w:rsidRPr="008D2AB8">
        <w:rPr>
          <w:rFonts w:cs="Arial"/>
          <w:lang w:val="en-CA"/>
        </w:rPr>
        <w:t>)</w:t>
      </w:r>
      <w:r w:rsidRPr="008D2AB8">
        <w:rPr>
          <w:rFonts w:cs="Arial"/>
          <w:lang w:val="en-CA"/>
        </w:rPr>
        <w:t>,</w:t>
      </w:r>
      <w:r w:rsidR="003255AA" w:rsidRPr="008D2AB8">
        <w:rPr>
          <w:rFonts w:cs="Arial"/>
          <w:lang w:val="en-CA"/>
        </w:rPr>
        <w:t xml:space="preserve"> c </w:t>
      </w:r>
      <w:r w:rsidRPr="008D2AB8">
        <w:rPr>
          <w:rFonts w:cs="Arial"/>
          <w:lang w:val="en-CA"/>
        </w:rPr>
        <w:t>30-31.</w:t>
      </w:r>
    </w:p>
  </w:footnote>
  <w:footnote w:id="61">
    <w:p w14:paraId="62B30C06" w14:textId="7A116CA1" w:rsidR="0096102C" w:rsidRPr="008D2AB8" w:rsidRDefault="0096102C" w:rsidP="00136683">
      <w:pPr>
        <w:pStyle w:val="Notedebasdepage"/>
        <w:ind w:left="426" w:hanging="426"/>
        <w:rPr>
          <w:rFonts w:cs="Arial"/>
          <w:lang w:val="en-CA"/>
        </w:rPr>
      </w:pPr>
      <w:r w:rsidRPr="008D2AB8">
        <w:rPr>
          <w:rStyle w:val="Appelnotedebasdep"/>
          <w:rFonts w:cs="Arial"/>
        </w:rPr>
        <w:footnoteRef/>
      </w:r>
      <w:r w:rsidRPr="008D2AB8">
        <w:rPr>
          <w:rFonts w:cs="Arial"/>
          <w:lang w:val="en-CA"/>
        </w:rPr>
        <w:t xml:space="preserve"> </w:t>
      </w:r>
      <w:r w:rsidRPr="008D2AB8">
        <w:rPr>
          <w:rFonts w:cs="Arial"/>
          <w:lang w:val="en-CA"/>
        </w:rPr>
        <w:tab/>
        <w:t xml:space="preserve">Parent Commission Report at 24; Gilles </w:t>
      </w:r>
      <w:r w:rsidR="00720329" w:rsidRPr="008D2AB8">
        <w:rPr>
          <w:rFonts w:cs="Arial"/>
          <w:lang w:val="en-CA"/>
        </w:rPr>
        <w:t xml:space="preserve">Report </w:t>
      </w:r>
      <w:r w:rsidRPr="008D2AB8">
        <w:rPr>
          <w:rFonts w:cs="Arial"/>
          <w:lang w:val="en-CA"/>
        </w:rPr>
        <w:t xml:space="preserve">at </w:t>
      </w:r>
      <w:r w:rsidR="005554F5" w:rsidRPr="008D2AB8">
        <w:rPr>
          <w:rFonts w:cs="Arial"/>
          <w:lang w:val="en-CA"/>
        </w:rPr>
        <w:t xml:space="preserve">para </w:t>
      </w:r>
      <w:r w:rsidRPr="008D2AB8">
        <w:rPr>
          <w:rFonts w:cs="Arial"/>
          <w:lang w:val="en-CA"/>
        </w:rPr>
        <w:t xml:space="preserve"> 22; Lemieux Report at </w:t>
      </w:r>
      <w:r w:rsidR="00323213" w:rsidRPr="008D2AB8">
        <w:rPr>
          <w:rFonts w:cs="Arial"/>
          <w:lang w:val="en-CA"/>
        </w:rPr>
        <w:t>para</w:t>
      </w:r>
      <w:r w:rsidR="00232D7B">
        <w:rPr>
          <w:rFonts w:cs="Arial"/>
          <w:lang w:val="en-CA"/>
        </w:rPr>
        <w:t>s</w:t>
      </w:r>
      <w:r w:rsidR="00323213" w:rsidRPr="008D2AB8">
        <w:rPr>
          <w:rFonts w:cs="Arial"/>
          <w:lang w:val="en-CA"/>
        </w:rPr>
        <w:t xml:space="preserve"> </w:t>
      </w:r>
      <w:r w:rsidRPr="008D2AB8">
        <w:rPr>
          <w:rFonts w:cs="Arial"/>
          <w:lang w:val="en-CA"/>
        </w:rPr>
        <w:t>5 and 12.</w:t>
      </w:r>
    </w:p>
  </w:footnote>
  <w:footnote w:id="62">
    <w:p w14:paraId="71B2BAE0" w14:textId="0218B994" w:rsidR="0096102C" w:rsidRPr="008D2AB8" w:rsidRDefault="0096102C" w:rsidP="00136683">
      <w:pPr>
        <w:pStyle w:val="Notedebasdepage"/>
        <w:ind w:left="426" w:hanging="426"/>
        <w:rPr>
          <w:rFonts w:cs="Arial"/>
          <w:lang w:val="en-CA"/>
        </w:rPr>
      </w:pPr>
      <w:r w:rsidRPr="008D2AB8">
        <w:rPr>
          <w:rStyle w:val="Appelnotedebasdep"/>
          <w:rFonts w:cs="Arial"/>
        </w:rPr>
        <w:footnoteRef/>
      </w:r>
      <w:r w:rsidRPr="008D2AB8">
        <w:rPr>
          <w:rFonts w:cs="Arial"/>
          <w:lang w:val="en-CA"/>
        </w:rPr>
        <w:t xml:space="preserve"> </w:t>
      </w:r>
      <w:r w:rsidRPr="008D2AB8">
        <w:rPr>
          <w:rFonts w:cs="Arial"/>
          <w:lang w:val="en-CA"/>
        </w:rPr>
        <w:tab/>
      </w:r>
      <w:bookmarkStart w:id="29" w:name="_Hlk145590039"/>
      <w:r w:rsidR="001E3602" w:rsidRPr="008D2AB8">
        <w:rPr>
          <w:rFonts w:cs="Arial"/>
          <w:i/>
          <w:iCs/>
          <w:lang w:val="en-CA"/>
        </w:rPr>
        <w:t>An Act for the encouragement of Elementary Education</w:t>
      </w:r>
      <w:r w:rsidRPr="008D2AB8">
        <w:rPr>
          <w:rFonts w:cs="Arial"/>
          <w:lang w:val="en-CA"/>
        </w:rPr>
        <w:t xml:space="preserve"> (9 Geo IV)</w:t>
      </w:r>
      <w:r w:rsidR="003255AA" w:rsidRPr="008D2AB8">
        <w:rPr>
          <w:rFonts w:cs="Arial"/>
          <w:lang w:val="en-CA"/>
        </w:rPr>
        <w:t xml:space="preserve"> c </w:t>
      </w:r>
      <w:r w:rsidRPr="008D2AB8">
        <w:rPr>
          <w:rFonts w:cs="Arial"/>
          <w:lang w:val="en-CA"/>
        </w:rPr>
        <w:t>46.</w:t>
      </w:r>
    </w:p>
    <w:bookmarkEnd w:id="29"/>
  </w:footnote>
  <w:footnote w:id="63">
    <w:p w14:paraId="3E7D35FD" w14:textId="69EEF55D" w:rsidR="0096102C" w:rsidRPr="008760EC" w:rsidRDefault="0096102C" w:rsidP="00136683">
      <w:pPr>
        <w:pStyle w:val="Notedebasdepage"/>
        <w:ind w:left="426" w:hanging="426"/>
        <w:rPr>
          <w:rFonts w:cs="Arial"/>
          <w:highlight w:val="yellow"/>
          <w:lang w:val="en-CA"/>
        </w:rPr>
      </w:pPr>
      <w:r w:rsidRPr="008D2AB8">
        <w:rPr>
          <w:rStyle w:val="Appelnotedebasdep"/>
          <w:rFonts w:cs="Arial"/>
        </w:rPr>
        <w:footnoteRef/>
      </w:r>
      <w:r w:rsidRPr="008D2AB8">
        <w:rPr>
          <w:rFonts w:cs="Arial"/>
          <w:lang w:val="en-CA"/>
        </w:rPr>
        <w:t xml:space="preserve"> </w:t>
      </w:r>
      <w:r w:rsidRPr="008D2AB8">
        <w:rPr>
          <w:rFonts w:cs="Arial"/>
          <w:lang w:val="en-CA"/>
        </w:rPr>
        <w:tab/>
        <w:t>Parent Report</w:t>
      </w:r>
      <w:r w:rsidR="00720329" w:rsidRPr="008D2AB8">
        <w:rPr>
          <w:rFonts w:cs="Arial"/>
          <w:lang w:val="en-CA"/>
        </w:rPr>
        <w:t xml:space="preserve"> at </w:t>
      </w:r>
      <w:r w:rsidRPr="008D2AB8">
        <w:rPr>
          <w:rFonts w:cs="Arial"/>
          <w:lang w:val="en-CA"/>
        </w:rPr>
        <w:t>24; Lemieux Report</w:t>
      </w:r>
      <w:r w:rsidR="005223AB" w:rsidRPr="008D2AB8">
        <w:rPr>
          <w:rFonts w:cs="Arial"/>
          <w:lang w:val="en-CA"/>
        </w:rPr>
        <w:t xml:space="preserve"> at</w:t>
      </w:r>
      <w:r w:rsidRPr="008D2AB8">
        <w:rPr>
          <w:rFonts w:cs="Arial"/>
          <w:lang w:val="en-CA"/>
        </w:rPr>
        <w:t xml:space="preserve"> </w:t>
      </w:r>
      <w:r w:rsidR="005554F5" w:rsidRPr="008D2AB8">
        <w:rPr>
          <w:rFonts w:cs="Arial"/>
          <w:lang w:val="en-CA"/>
        </w:rPr>
        <w:t xml:space="preserve">para </w:t>
      </w:r>
      <w:r w:rsidRPr="008D2AB8">
        <w:rPr>
          <w:rFonts w:cs="Arial"/>
          <w:lang w:val="en-CA"/>
        </w:rPr>
        <w:t>14; Gilles</w:t>
      </w:r>
      <w:r w:rsidR="00513626" w:rsidRPr="008D2AB8">
        <w:rPr>
          <w:rFonts w:cs="Arial"/>
          <w:lang w:val="en-CA"/>
        </w:rPr>
        <w:t xml:space="preserve"> Report at </w:t>
      </w:r>
      <w:r w:rsidR="005554F5" w:rsidRPr="008D2AB8">
        <w:rPr>
          <w:rFonts w:cs="Arial"/>
          <w:lang w:val="en-CA"/>
        </w:rPr>
        <w:t xml:space="preserve">para </w:t>
      </w:r>
      <w:r w:rsidRPr="008D2AB8">
        <w:rPr>
          <w:rFonts w:cs="Arial"/>
          <w:lang w:val="en-CA"/>
        </w:rPr>
        <w:t xml:space="preserve">23. </w:t>
      </w:r>
    </w:p>
  </w:footnote>
  <w:footnote w:id="64">
    <w:p w14:paraId="70C06422" w14:textId="0CEA294B" w:rsidR="0096102C" w:rsidRPr="008D2AB8" w:rsidRDefault="0096102C" w:rsidP="00136683">
      <w:pPr>
        <w:pStyle w:val="Notedebasdepage"/>
        <w:ind w:left="426" w:hanging="426"/>
        <w:rPr>
          <w:lang w:val="en-CA"/>
        </w:rPr>
      </w:pPr>
      <w:r w:rsidRPr="008D2AB8">
        <w:rPr>
          <w:rStyle w:val="Appelnotedebasdep"/>
          <w:rFonts w:cs="Arial"/>
        </w:rPr>
        <w:footnoteRef/>
      </w:r>
      <w:r w:rsidRPr="008D2AB8">
        <w:rPr>
          <w:lang w:val="en-CA"/>
        </w:rPr>
        <w:t xml:space="preserve"> </w:t>
      </w:r>
      <w:r w:rsidRPr="008D2AB8">
        <w:rPr>
          <w:lang w:val="en-CA"/>
        </w:rPr>
        <w:tab/>
        <w:t>Parent Report</w:t>
      </w:r>
      <w:r w:rsidR="005F2C14" w:rsidRPr="008D2AB8">
        <w:rPr>
          <w:lang w:val="en-CA"/>
        </w:rPr>
        <w:t xml:space="preserve"> at</w:t>
      </w:r>
      <w:r w:rsidRPr="008D2AB8">
        <w:rPr>
          <w:lang w:val="en-CA"/>
        </w:rPr>
        <w:t xml:space="preserve"> 25. </w:t>
      </w:r>
    </w:p>
  </w:footnote>
  <w:footnote w:id="65">
    <w:p w14:paraId="3323C8CD" w14:textId="6D790E9D" w:rsidR="0096102C" w:rsidRPr="00DB0E35" w:rsidRDefault="0096102C" w:rsidP="00136683">
      <w:pPr>
        <w:pStyle w:val="Notedebasdepage"/>
        <w:ind w:left="426" w:hanging="426"/>
        <w:rPr>
          <w:rFonts w:cs="Arial"/>
          <w:i/>
          <w:iCs/>
          <w:lang w:val="en-CA"/>
        </w:rPr>
      </w:pPr>
      <w:r w:rsidRPr="008D2AB8">
        <w:rPr>
          <w:rStyle w:val="Appelnotedebasdep"/>
          <w:rFonts w:cs="Arial"/>
        </w:rPr>
        <w:footnoteRef/>
      </w:r>
      <w:r w:rsidRPr="00DB0E35">
        <w:rPr>
          <w:rFonts w:cs="Arial"/>
          <w:lang w:val="en-CA"/>
        </w:rPr>
        <w:t xml:space="preserve"> </w:t>
      </w:r>
      <w:r w:rsidRPr="00DB0E35">
        <w:rPr>
          <w:rFonts w:cs="Arial"/>
          <w:lang w:val="en-CA"/>
        </w:rPr>
        <w:tab/>
        <w:t>1841 (4-5</w:t>
      </w:r>
      <w:r w:rsidRPr="00DB0E35">
        <w:rPr>
          <w:rFonts w:cs="Arial"/>
          <w:i/>
          <w:iCs/>
          <w:lang w:val="en-CA"/>
        </w:rPr>
        <w:t xml:space="preserve"> </w:t>
      </w:r>
      <w:r w:rsidRPr="00DB0E35">
        <w:rPr>
          <w:rFonts w:cs="Arial"/>
          <w:lang w:val="en-CA"/>
        </w:rPr>
        <w:t>Vict),</w:t>
      </w:r>
      <w:r w:rsidR="003255AA" w:rsidRPr="00DB0E35">
        <w:rPr>
          <w:rFonts w:cs="Arial"/>
          <w:lang w:val="en-CA"/>
        </w:rPr>
        <w:t xml:space="preserve"> c </w:t>
      </w:r>
      <w:r w:rsidRPr="00DB0E35">
        <w:rPr>
          <w:rFonts w:cs="Arial"/>
          <w:lang w:val="en-CA"/>
        </w:rPr>
        <w:t>18.</w:t>
      </w:r>
    </w:p>
  </w:footnote>
  <w:footnote w:id="66">
    <w:p w14:paraId="1D1D8EB1" w14:textId="5D844DFE" w:rsidR="00E11361" w:rsidRPr="00DB0E35" w:rsidRDefault="0096102C" w:rsidP="00136683">
      <w:pPr>
        <w:pStyle w:val="Notedebasdepage"/>
        <w:ind w:left="426" w:hanging="426"/>
        <w:rPr>
          <w:rFonts w:cs="Arial"/>
          <w:lang w:val="en-CA"/>
        </w:rPr>
      </w:pPr>
      <w:r w:rsidRPr="008D2AB8">
        <w:rPr>
          <w:rStyle w:val="Appelnotedebasdep"/>
          <w:rFonts w:cs="Arial"/>
        </w:rPr>
        <w:footnoteRef/>
      </w:r>
      <w:r w:rsidRPr="00DB0E35">
        <w:rPr>
          <w:rFonts w:cs="Arial"/>
          <w:lang w:val="en-CA"/>
        </w:rPr>
        <w:t xml:space="preserve"> </w:t>
      </w:r>
      <w:r w:rsidRPr="00DB0E35">
        <w:rPr>
          <w:rFonts w:cs="Arial"/>
          <w:lang w:val="en-CA"/>
        </w:rPr>
        <w:tab/>
        <w:t>Lemieux Report</w:t>
      </w:r>
      <w:r w:rsidR="008B154B" w:rsidRPr="00DB0E35">
        <w:rPr>
          <w:rFonts w:cs="Arial"/>
          <w:lang w:val="en-CA"/>
        </w:rPr>
        <w:t xml:space="preserve"> at</w:t>
      </w:r>
      <w:r w:rsidRPr="00DB0E35">
        <w:rPr>
          <w:rFonts w:cs="Arial"/>
          <w:lang w:val="en-CA"/>
        </w:rPr>
        <w:t xml:space="preserve"> para 20.</w:t>
      </w:r>
    </w:p>
  </w:footnote>
  <w:footnote w:id="67">
    <w:p w14:paraId="71B12035" w14:textId="37B0FE3D" w:rsidR="0096102C" w:rsidRPr="008D2AB8" w:rsidRDefault="0096102C" w:rsidP="00136683">
      <w:pPr>
        <w:pStyle w:val="Notedebasdepage"/>
        <w:ind w:left="426" w:hanging="426"/>
        <w:rPr>
          <w:rFonts w:cs="Arial"/>
          <w:lang w:val="en-CA"/>
        </w:rPr>
      </w:pPr>
      <w:r w:rsidRPr="008D2AB8">
        <w:rPr>
          <w:rStyle w:val="Appelnotedebasdep"/>
          <w:rFonts w:cs="Arial"/>
        </w:rPr>
        <w:footnoteRef/>
      </w:r>
      <w:r w:rsidRPr="008D2AB8">
        <w:rPr>
          <w:rFonts w:cs="Arial"/>
          <w:lang w:val="en-CA"/>
        </w:rPr>
        <w:t xml:space="preserve"> </w:t>
      </w:r>
      <w:r w:rsidRPr="008D2AB8">
        <w:rPr>
          <w:rFonts w:cs="Arial"/>
          <w:lang w:val="en-CA"/>
        </w:rPr>
        <w:tab/>
      </w:r>
      <w:r w:rsidR="005B688F" w:rsidRPr="008D2AB8">
        <w:rPr>
          <w:rFonts w:cs="Arial"/>
          <w:i/>
          <w:iCs/>
          <w:lang w:val="en-CA"/>
        </w:rPr>
        <w:t>An Act to make better Provision for Elementary Instruction in Lower Canada</w:t>
      </w:r>
      <w:r w:rsidRPr="008D2AB8">
        <w:rPr>
          <w:rFonts w:cs="Arial"/>
          <w:i/>
          <w:iCs/>
          <w:lang w:val="en-CA"/>
        </w:rPr>
        <w:t xml:space="preserve">, </w:t>
      </w:r>
      <w:r w:rsidRPr="008D2AB8">
        <w:rPr>
          <w:rFonts w:cs="Arial"/>
          <w:lang w:val="en-CA"/>
        </w:rPr>
        <w:t>1845 (8 Vict)</w:t>
      </w:r>
      <w:r w:rsidR="003255AA" w:rsidRPr="008D2AB8">
        <w:rPr>
          <w:rFonts w:cs="Arial"/>
          <w:lang w:val="en-CA"/>
        </w:rPr>
        <w:t xml:space="preserve"> c </w:t>
      </w:r>
      <w:r w:rsidRPr="008D2AB8">
        <w:rPr>
          <w:rFonts w:cs="Arial"/>
          <w:lang w:val="en-CA"/>
        </w:rPr>
        <w:t>41.</w:t>
      </w:r>
    </w:p>
  </w:footnote>
  <w:footnote w:id="68">
    <w:p w14:paraId="6DB97C70" w14:textId="5412014F" w:rsidR="0096102C" w:rsidRPr="008760EC" w:rsidRDefault="0096102C" w:rsidP="00136683">
      <w:pPr>
        <w:pStyle w:val="Notedebasdepage"/>
        <w:ind w:left="426" w:hanging="426"/>
        <w:rPr>
          <w:rFonts w:cs="Arial"/>
          <w:highlight w:val="yellow"/>
          <w:lang w:val="en-CA"/>
        </w:rPr>
      </w:pPr>
      <w:r w:rsidRPr="008D2AB8">
        <w:rPr>
          <w:rStyle w:val="Appelnotedebasdep"/>
          <w:rFonts w:cs="Arial"/>
        </w:rPr>
        <w:footnoteRef/>
      </w:r>
      <w:r w:rsidRPr="008D2AB8">
        <w:rPr>
          <w:rFonts w:cs="Arial"/>
          <w:lang w:val="en-CA"/>
        </w:rPr>
        <w:t xml:space="preserve"> </w:t>
      </w:r>
      <w:r w:rsidRPr="008D2AB8">
        <w:rPr>
          <w:rFonts w:cs="Arial"/>
          <w:lang w:val="en-CA"/>
        </w:rPr>
        <w:tab/>
        <w:t>Lemieux Report</w:t>
      </w:r>
      <w:r w:rsidR="005F2C14" w:rsidRPr="008D2AB8">
        <w:rPr>
          <w:rFonts w:cs="Arial"/>
          <w:lang w:val="en-CA"/>
        </w:rPr>
        <w:t xml:space="preserve"> at </w:t>
      </w:r>
      <w:r w:rsidR="005554F5" w:rsidRPr="008D2AB8">
        <w:rPr>
          <w:rFonts w:cs="Arial"/>
          <w:lang w:val="en-CA"/>
        </w:rPr>
        <w:t xml:space="preserve">para </w:t>
      </w:r>
      <w:r w:rsidRPr="008D2AB8">
        <w:rPr>
          <w:rFonts w:cs="Arial"/>
          <w:lang w:val="en-CA"/>
        </w:rPr>
        <w:t xml:space="preserve">21. </w:t>
      </w:r>
    </w:p>
  </w:footnote>
  <w:footnote w:id="69">
    <w:p w14:paraId="713C52E9" w14:textId="294CF67A" w:rsidR="008D33A4" w:rsidRPr="00E04CAE" w:rsidRDefault="0096102C" w:rsidP="00136683">
      <w:pPr>
        <w:pStyle w:val="Notedebasdepage"/>
        <w:ind w:left="426" w:hanging="426"/>
        <w:rPr>
          <w:lang w:val="en-CA"/>
        </w:rPr>
      </w:pPr>
      <w:r w:rsidRPr="00E04CAE">
        <w:rPr>
          <w:rStyle w:val="Appelnotedebasdep"/>
        </w:rPr>
        <w:footnoteRef/>
      </w:r>
      <w:r w:rsidRPr="00E04CAE">
        <w:rPr>
          <w:lang w:val="en-CA"/>
        </w:rPr>
        <w:t xml:space="preserve"> </w:t>
      </w:r>
      <w:r w:rsidRPr="00E04CAE">
        <w:rPr>
          <w:lang w:val="en-CA"/>
        </w:rPr>
        <w:tab/>
        <w:t xml:space="preserve">MacLeod and Poutanen Report at </w:t>
      </w:r>
      <w:r w:rsidR="005554F5" w:rsidRPr="00E04CAE">
        <w:rPr>
          <w:lang w:val="en-CA"/>
        </w:rPr>
        <w:t xml:space="preserve">para </w:t>
      </w:r>
      <w:r w:rsidRPr="00E04CAE">
        <w:rPr>
          <w:lang w:val="en-CA"/>
        </w:rPr>
        <w:t xml:space="preserve">78. </w:t>
      </w:r>
    </w:p>
  </w:footnote>
  <w:footnote w:id="70">
    <w:p w14:paraId="0D571BA0" w14:textId="102B8F0D" w:rsidR="0096102C" w:rsidRPr="008760EC" w:rsidRDefault="0096102C" w:rsidP="00136683">
      <w:pPr>
        <w:pStyle w:val="Notedebasdepage"/>
        <w:ind w:left="426" w:hanging="426"/>
        <w:rPr>
          <w:rFonts w:cs="Arial"/>
          <w:i/>
          <w:iCs/>
          <w:highlight w:val="yellow"/>
          <w:lang w:val="en-CA"/>
        </w:rPr>
      </w:pPr>
      <w:r w:rsidRPr="00E04CAE">
        <w:rPr>
          <w:rStyle w:val="Appelnotedebasdep"/>
          <w:rFonts w:cs="Arial"/>
        </w:rPr>
        <w:footnoteRef/>
      </w:r>
      <w:r w:rsidRPr="00E04CAE">
        <w:rPr>
          <w:rFonts w:cs="Arial"/>
          <w:lang w:val="en-CA"/>
        </w:rPr>
        <w:t xml:space="preserve"> </w:t>
      </w:r>
      <w:r w:rsidRPr="00E04CAE">
        <w:rPr>
          <w:rFonts w:cs="Arial"/>
          <w:lang w:val="en-CA"/>
        </w:rPr>
        <w:tab/>
      </w:r>
      <w:r w:rsidR="003D7654" w:rsidRPr="00E04CAE">
        <w:rPr>
          <w:rFonts w:cs="Arial"/>
          <w:i/>
          <w:iCs/>
          <w:lang w:val="en-CA"/>
        </w:rPr>
        <w:t>An Act to amend the Common School Laws, and further to promote Elementary Education in Lower Canada</w:t>
      </w:r>
      <w:r w:rsidRPr="00E04CAE">
        <w:rPr>
          <w:rFonts w:cs="Arial"/>
          <w:lang w:val="en-CA"/>
        </w:rPr>
        <w:t>, 1856 (19-20 Vict)</w:t>
      </w:r>
      <w:r w:rsidR="005E166D">
        <w:rPr>
          <w:rFonts w:cs="Arial"/>
          <w:lang w:val="en-CA"/>
        </w:rPr>
        <w:t>,</w:t>
      </w:r>
      <w:r w:rsidR="003255AA" w:rsidRPr="00E04CAE">
        <w:rPr>
          <w:rFonts w:cs="Arial"/>
          <w:lang w:val="en-CA"/>
        </w:rPr>
        <w:t xml:space="preserve"> c </w:t>
      </w:r>
      <w:r w:rsidRPr="00E04CAE">
        <w:rPr>
          <w:rFonts w:cs="Arial"/>
          <w:lang w:val="en-CA"/>
        </w:rPr>
        <w:t>14.</w:t>
      </w:r>
    </w:p>
  </w:footnote>
  <w:footnote w:id="71">
    <w:p w14:paraId="1AF2AE8C" w14:textId="5DC9F2F2" w:rsidR="0096102C" w:rsidRPr="00E04CAE" w:rsidRDefault="0096102C" w:rsidP="00136683">
      <w:pPr>
        <w:pStyle w:val="Notedebasdepage"/>
        <w:ind w:left="426" w:hanging="426"/>
        <w:rPr>
          <w:lang w:val="en-CA"/>
        </w:rPr>
      </w:pPr>
      <w:r w:rsidRPr="00E04CAE">
        <w:rPr>
          <w:rStyle w:val="Appelnotedebasdep"/>
          <w:rFonts w:cs="Arial"/>
        </w:rPr>
        <w:footnoteRef/>
      </w:r>
      <w:r w:rsidRPr="00E04CAE">
        <w:rPr>
          <w:lang w:val="en-CA"/>
        </w:rPr>
        <w:t xml:space="preserve"> </w:t>
      </w:r>
      <w:r w:rsidRPr="00E04CAE">
        <w:rPr>
          <w:lang w:val="en-CA"/>
        </w:rPr>
        <w:tab/>
        <w:t>Parent Report</w:t>
      </w:r>
      <w:r w:rsidR="008A52CC" w:rsidRPr="00E04CAE">
        <w:rPr>
          <w:lang w:val="en-CA"/>
        </w:rPr>
        <w:t xml:space="preserve"> at</w:t>
      </w:r>
      <w:r w:rsidRPr="00E04CAE">
        <w:rPr>
          <w:lang w:val="en-CA"/>
        </w:rPr>
        <w:t xml:space="preserve"> 27; Gilles Report</w:t>
      </w:r>
      <w:r w:rsidR="008A52CC" w:rsidRPr="00E04CAE">
        <w:rPr>
          <w:lang w:val="en-CA"/>
        </w:rPr>
        <w:t xml:space="preserve"> at </w:t>
      </w:r>
      <w:r w:rsidR="005554F5" w:rsidRPr="00E04CAE">
        <w:rPr>
          <w:lang w:val="en-CA"/>
        </w:rPr>
        <w:t xml:space="preserve">para </w:t>
      </w:r>
      <w:r w:rsidRPr="00E04CAE">
        <w:rPr>
          <w:lang w:val="en-CA"/>
        </w:rPr>
        <w:t xml:space="preserve">98. </w:t>
      </w:r>
    </w:p>
  </w:footnote>
  <w:footnote w:id="72">
    <w:p w14:paraId="1F72352E" w14:textId="4FE2068B" w:rsidR="0096102C" w:rsidRPr="00DB0E35" w:rsidRDefault="0096102C" w:rsidP="00136683">
      <w:pPr>
        <w:pStyle w:val="Notedebasdepage"/>
        <w:ind w:left="426" w:hanging="426"/>
        <w:rPr>
          <w:highlight w:val="yellow"/>
          <w:lang w:val="en-CA"/>
        </w:rPr>
      </w:pPr>
      <w:r w:rsidRPr="00E04CAE">
        <w:rPr>
          <w:rStyle w:val="Appelnotedebasdep"/>
        </w:rPr>
        <w:footnoteRef/>
      </w:r>
      <w:r w:rsidRPr="00DB0E35">
        <w:rPr>
          <w:lang w:val="en-CA"/>
        </w:rPr>
        <w:t xml:space="preserve"> </w:t>
      </w:r>
      <w:r w:rsidRPr="00DB0E35">
        <w:rPr>
          <w:lang w:val="en-CA"/>
        </w:rPr>
        <w:tab/>
        <w:t>Gilles</w:t>
      </w:r>
      <w:r w:rsidR="008A52CC" w:rsidRPr="00DB0E35">
        <w:rPr>
          <w:lang w:val="en-CA"/>
        </w:rPr>
        <w:t xml:space="preserve"> Report</w:t>
      </w:r>
      <w:r w:rsidRPr="00DB0E35">
        <w:rPr>
          <w:lang w:val="en-CA"/>
        </w:rPr>
        <w:t xml:space="preserve">, </w:t>
      </w:r>
      <w:r w:rsidR="008A52CC" w:rsidRPr="00DB0E35">
        <w:rPr>
          <w:lang w:val="en-CA"/>
        </w:rPr>
        <w:t>exhibit</w:t>
      </w:r>
      <w:r w:rsidRPr="00DB0E35">
        <w:rPr>
          <w:lang w:val="en-CA"/>
        </w:rPr>
        <w:t xml:space="preserve"> P-44.</w:t>
      </w:r>
    </w:p>
  </w:footnote>
  <w:footnote w:id="73">
    <w:p w14:paraId="48B7649F" w14:textId="078473AD" w:rsidR="00187157" w:rsidRPr="00952C51" w:rsidRDefault="0096102C" w:rsidP="00136683">
      <w:pPr>
        <w:pStyle w:val="Notedebasdepage"/>
        <w:ind w:left="426" w:hanging="426"/>
        <w:rPr>
          <w:rFonts w:cs="Arial"/>
          <w:lang w:val="en-CA"/>
        </w:rPr>
      </w:pPr>
      <w:r w:rsidRPr="005E166D">
        <w:rPr>
          <w:rStyle w:val="Appelnotedebasdep"/>
          <w:rFonts w:cs="Arial"/>
        </w:rPr>
        <w:footnoteRef/>
      </w:r>
      <w:r w:rsidRPr="00952C51">
        <w:rPr>
          <w:rFonts w:cs="Arial"/>
          <w:lang w:val="en-CA"/>
        </w:rPr>
        <w:t xml:space="preserve"> </w:t>
      </w:r>
      <w:r w:rsidRPr="00952C51">
        <w:rPr>
          <w:rFonts w:cs="Arial"/>
          <w:lang w:val="en-CA"/>
        </w:rPr>
        <w:tab/>
      </w:r>
      <w:r w:rsidR="00952C51" w:rsidRPr="00952C51">
        <w:rPr>
          <w:rFonts w:cs="Arial"/>
          <w:lang w:val="en-CA"/>
        </w:rPr>
        <w:t>At</w:t>
      </w:r>
      <w:r w:rsidRPr="00952C51">
        <w:rPr>
          <w:rFonts w:cs="Arial"/>
          <w:lang w:val="en-CA"/>
        </w:rPr>
        <w:t xml:space="preserve"> 30 </w:t>
      </w:r>
      <w:r w:rsidR="005E166D" w:rsidRPr="00952C51">
        <w:rPr>
          <w:rFonts w:cs="Arial"/>
          <w:lang w:val="en-CA"/>
        </w:rPr>
        <w:t>and</w:t>
      </w:r>
      <w:r w:rsidRPr="00952C51">
        <w:rPr>
          <w:rFonts w:cs="Arial"/>
          <w:lang w:val="en-CA"/>
        </w:rPr>
        <w:t xml:space="preserve"> 31. </w:t>
      </w:r>
    </w:p>
  </w:footnote>
  <w:footnote w:id="74">
    <w:p w14:paraId="3E9C0F76" w14:textId="0F6B8A15" w:rsidR="00586C37" w:rsidRPr="005E166D" w:rsidRDefault="0096102C" w:rsidP="00136683">
      <w:pPr>
        <w:pStyle w:val="Notedebasdepage"/>
        <w:ind w:left="426" w:hanging="426"/>
        <w:rPr>
          <w:lang w:val="en-CA"/>
        </w:rPr>
      </w:pPr>
      <w:r w:rsidRPr="005E166D">
        <w:rPr>
          <w:rStyle w:val="Appelnotedebasdep"/>
        </w:rPr>
        <w:footnoteRef/>
      </w:r>
      <w:r w:rsidRPr="005E166D">
        <w:rPr>
          <w:lang w:val="en-CA"/>
        </w:rPr>
        <w:t xml:space="preserve"> </w:t>
      </w:r>
      <w:r w:rsidRPr="005E166D">
        <w:rPr>
          <w:lang w:val="en-CA"/>
        </w:rPr>
        <w:tab/>
        <w:t>Gilles</w:t>
      </w:r>
      <w:r w:rsidR="00C07A56" w:rsidRPr="005E166D">
        <w:rPr>
          <w:lang w:val="en-CA"/>
        </w:rPr>
        <w:t xml:space="preserve"> Report</w:t>
      </w:r>
      <w:r w:rsidR="00E93511" w:rsidRPr="005E166D">
        <w:rPr>
          <w:lang w:val="en-CA"/>
        </w:rPr>
        <w:t xml:space="preserve"> at </w:t>
      </w:r>
      <w:r w:rsidR="005554F5" w:rsidRPr="005E166D">
        <w:rPr>
          <w:lang w:val="en-CA"/>
        </w:rPr>
        <w:t xml:space="preserve">para </w:t>
      </w:r>
      <w:r w:rsidRPr="005E166D">
        <w:rPr>
          <w:lang w:val="en-CA"/>
        </w:rPr>
        <w:t xml:space="preserve">105. </w:t>
      </w:r>
    </w:p>
  </w:footnote>
  <w:footnote w:id="75">
    <w:p w14:paraId="3FFEEED8" w14:textId="29DACD35" w:rsidR="00E93511" w:rsidRPr="008760EC" w:rsidRDefault="00E93511" w:rsidP="00136683">
      <w:pPr>
        <w:pStyle w:val="Notedebasdepage"/>
        <w:ind w:left="426" w:hanging="426"/>
        <w:rPr>
          <w:highlight w:val="yellow"/>
          <w:lang w:val="en-CA"/>
        </w:rPr>
      </w:pPr>
      <w:r w:rsidRPr="005E166D">
        <w:rPr>
          <w:rStyle w:val="Appelnotedebasdep"/>
        </w:rPr>
        <w:footnoteRef/>
      </w:r>
      <w:r w:rsidRPr="005E166D">
        <w:rPr>
          <w:lang w:val="en-CA"/>
        </w:rPr>
        <w:t xml:space="preserve"> </w:t>
      </w:r>
      <w:r w:rsidRPr="005E166D">
        <w:rPr>
          <w:lang w:val="en-CA"/>
        </w:rPr>
        <w:tab/>
      </w:r>
      <w:r w:rsidR="003255AA" w:rsidRPr="005E166D">
        <w:rPr>
          <w:rFonts w:cs="Arial"/>
          <w:color w:val="000000"/>
          <w:spacing w:val="-3"/>
          <w:lang w:val="en-CA"/>
        </w:rPr>
        <w:t>SQ</w:t>
      </w:r>
      <w:r w:rsidRPr="005E166D">
        <w:rPr>
          <w:rFonts w:cs="Arial"/>
          <w:color w:val="000000"/>
          <w:spacing w:val="-3"/>
          <w:lang w:val="en-CA"/>
        </w:rPr>
        <w:t xml:space="preserve"> 1869,</w:t>
      </w:r>
      <w:r w:rsidR="003255AA" w:rsidRPr="005E166D">
        <w:rPr>
          <w:rFonts w:cs="Arial"/>
          <w:color w:val="000000"/>
          <w:spacing w:val="-3"/>
          <w:lang w:val="en-CA"/>
        </w:rPr>
        <w:t xml:space="preserve"> c </w:t>
      </w:r>
      <w:r w:rsidRPr="005E166D">
        <w:rPr>
          <w:rFonts w:cs="Arial"/>
          <w:color w:val="000000"/>
          <w:spacing w:val="-3"/>
          <w:lang w:val="en-CA"/>
        </w:rPr>
        <w:t>16.</w:t>
      </w:r>
    </w:p>
  </w:footnote>
  <w:footnote w:id="76">
    <w:p w14:paraId="2A2FA2E4" w14:textId="1ED3552B" w:rsidR="00E93511" w:rsidRPr="005E166D" w:rsidRDefault="00E93511" w:rsidP="00136683">
      <w:pPr>
        <w:pStyle w:val="Notedebasdepage"/>
        <w:ind w:left="426" w:hanging="426"/>
        <w:rPr>
          <w:rFonts w:cs="Arial"/>
          <w:lang w:val="en-CA"/>
        </w:rPr>
      </w:pPr>
      <w:r w:rsidRPr="005E166D">
        <w:rPr>
          <w:rStyle w:val="Appelnotedebasdep"/>
          <w:rFonts w:cs="Arial"/>
        </w:rPr>
        <w:footnoteRef/>
      </w:r>
      <w:r w:rsidRPr="005E166D">
        <w:rPr>
          <w:rFonts w:cs="Arial"/>
          <w:lang w:val="en-CA"/>
        </w:rPr>
        <w:t xml:space="preserve"> </w:t>
      </w:r>
      <w:r w:rsidRPr="005E166D">
        <w:rPr>
          <w:rFonts w:cs="Arial"/>
          <w:lang w:val="en-CA"/>
        </w:rPr>
        <w:tab/>
        <w:t xml:space="preserve">Parent Report at 33. </w:t>
      </w:r>
    </w:p>
  </w:footnote>
  <w:footnote w:id="77">
    <w:p w14:paraId="4AC6953C" w14:textId="1DB6B47C" w:rsidR="009E0D73" w:rsidRPr="005E166D" w:rsidRDefault="009E0D73" w:rsidP="00136683">
      <w:pPr>
        <w:pStyle w:val="Notedebasdepage"/>
        <w:ind w:left="426" w:hanging="426"/>
        <w:rPr>
          <w:rFonts w:cs="Arial"/>
          <w:lang w:val="en-CA"/>
        </w:rPr>
      </w:pPr>
      <w:r w:rsidRPr="005E166D">
        <w:rPr>
          <w:rStyle w:val="Appelnotedebasdep"/>
          <w:rFonts w:cs="Arial"/>
        </w:rPr>
        <w:footnoteRef/>
      </w:r>
      <w:r w:rsidRPr="005E166D">
        <w:rPr>
          <w:rFonts w:cs="Arial"/>
          <w:lang w:val="en-CA"/>
        </w:rPr>
        <w:t xml:space="preserve"> </w:t>
      </w:r>
      <w:r w:rsidRPr="005E166D">
        <w:rPr>
          <w:rFonts w:cs="Arial"/>
          <w:lang w:val="en-CA"/>
        </w:rPr>
        <w:tab/>
      </w:r>
      <w:r w:rsidRPr="005E166D">
        <w:rPr>
          <w:rFonts w:cs="Arial"/>
          <w:i/>
          <w:iCs/>
          <w:lang w:val="en-CA"/>
        </w:rPr>
        <w:t>Ibid</w:t>
      </w:r>
      <w:r w:rsidR="0000382B" w:rsidRPr="005E166D">
        <w:rPr>
          <w:rFonts w:cs="Arial"/>
          <w:lang w:val="en-CA"/>
        </w:rPr>
        <w:t xml:space="preserve"> at </w:t>
      </w:r>
      <w:r w:rsidRPr="005E166D">
        <w:rPr>
          <w:rFonts w:cs="Arial"/>
          <w:lang w:val="en-CA"/>
        </w:rPr>
        <w:t xml:space="preserve">34. </w:t>
      </w:r>
    </w:p>
  </w:footnote>
  <w:footnote w:id="78">
    <w:p w14:paraId="43F7134F" w14:textId="0536CDDF" w:rsidR="00016F28" w:rsidRPr="005E166D" w:rsidRDefault="00016F28" w:rsidP="00136683">
      <w:pPr>
        <w:pStyle w:val="Notedebasdepage"/>
        <w:ind w:left="426" w:hanging="426"/>
        <w:rPr>
          <w:rFonts w:cs="Arial"/>
          <w:lang w:val="en-CA"/>
        </w:rPr>
      </w:pPr>
      <w:r w:rsidRPr="005E166D">
        <w:rPr>
          <w:rStyle w:val="Appelnotedebasdep"/>
          <w:rFonts w:cs="Arial"/>
        </w:rPr>
        <w:footnoteRef/>
      </w:r>
      <w:r w:rsidRPr="005E166D">
        <w:rPr>
          <w:rFonts w:cs="Arial"/>
          <w:lang w:val="en-CA"/>
        </w:rPr>
        <w:t xml:space="preserve"> </w:t>
      </w:r>
      <w:r w:rsidRPr="005E166D">
        <w:rPr>
          <w:rFonts w:cs="Arial"/>
          <w:lang w:val="en-CA"/>
        </w:rPr>
        <w:tab/>
      </w:r>
      <w:r w:rsidRPr="005E166D">
        <w:rPr>
          <w:rFonts w:cs="Arial"/>
          <w:i/>
          <w:iCs/>
          <w:lang w:val="en-CA"/>
        </w:rPr>
        <w:t>Ibid</w:t>
      </w:r>
      <w:r w:rsidR="0000382B" w:rsidRPr="005E166D">
        <w:rPr>
          <w:rFonts w:cs="Arial"/>
          <w:lang w:val="en-CA"/>
        </w:rPr>
        <w:t xml:space="preserve"> at</w:t>
      </w:r>
      <w:r w:rsidRPr="005E166D">
        <w:rPr>
          <w:rFonts w:cs="Arial"/>
          <w:lang w:val="en-CA"/>
        </w:rPr>
        <w:t xml:space="preserve"> 38. </w:t>
      </w:r>
    </w:p>
  </w:footnote>
  <w:footnote w:id="79">
    <w:p w14:paraId="290EB9C4" w14:textId="5F1DF2D3" w:rsidR="00016F28" w:rsidRPr="005E166D" w:rsidRDefault="00016F28" w:rsidP="00136683">
      <w:pPr>
        <w:pStyle w:val="Notedebasdepage"/>
        <w:ind w:left="426" w:hanging="426"/>
        <w:rPr>
          <w:lang w:val="en-CA"/>
        </w:rPr>
      </w:pPr>
      <w:r w:rsidRPr="005E166D">
        <w:rPr>
          <w:rStyle w:val="Appelnotedebasdep"/>
        </w:rPr>
        <w:footnoteRef/>
      </w:r>
      <w:r w:rsidRPr="005E166D">
        <w:rPr>
          <w:rFonts w:cs="Arial"/>
          <w:lang w:val="en-CA"/>
        </w:rPr>
        <w:t xml:space="preserve"> </w:t>
      </w:r>
      <w:r w:rsidRPr="005E166D">
        <w:rPr>
          <w:rFonts w:cs="Arial"/>
          <w:lang w:val="en-CA"/>
        </w:rPr>
        <w:tab/>
      </w:r>
      <w:r w:rsidR="003255AA" w:rsidRPr="005E166D">
        <w:rPr>
          <w:rFonts w:cs="Arial"/>
          <w:color w:val="000000"/>
          <w:spacing w:val="-3"/>
          <w:lang w:val="en-CA"/>
        </w:rPr>
        <w:t>SQ</w:t>
      </w:r>
      <w:r w:rsidRPr="005E166D">
        <w:rPr>
          <w:rFonts w:cs="Arial"/>
          <w:color w:val="000000"/>
          <w:spacing w:val="-3"/>
          <w:lang w:val="en-CA"/>
        </w:rPr>
        <w:t xml:space="preserve"> 1971,</w:t>
      </w:r>
      <w:r w:rsidR="003255AA" w:rsidRPr="005E166D">
        <w:rPr>
          <w:rFonts w:cs="Arial"/>
          <w:color w:val="000000"/>
          <w:spacing w:val="-3"/>
          <w:lang w:val="en-CA"/>
        </w:rPr>
        <w:t xml:space="preserve"> c </w:t>
      </w:r>
      <w:r w:rsidRPr="005E166D">
        <w:rPr>
          <w:rFonts w:cs="Arial"/>
          <w:color w:val="000000"/>
          <w:spacing w:val="-3"/>
          <w:lang w:val="en-CA"/>
        </w:rPr>
        <w:t xml:space="preserve">67, </w:t>
      </w:r>
      <w:r w:rsidR="0000382B" w:rsidRPr="005E166D">
        <w:rPr>
          <w:rFonts w:cs="Arial"/>
          <w:color w:val="000000"/>
          <w:spacing w:val="-3"/>
          <w:lang w:val="en-CA"/>
        </w:rPr>
        <w:t>“</w:t>
      </w:r>
      <w:r w:rsidR="0000382B" w:rsidRPr="005352DE">
        <w:rPr>
          <w:rFonts w:cs="Arial"/>
          <w:lang w:val="en-CA"/>
        </w:rPr>
        <w:t xml:space="preserve">Bill </w:t>
      </w:r>
      <w:r w:rsidRPr="005352DE">
        <w:rPr>
          <w:rFonts w:cs="Arial"/>
          <w:lang w:val="en-CA"/>
        </w:rPr>
        <w:t>27</w:t>
      </w:r>
      <w:r w:rsidR="0000382B" w:rsidRPr="005E166D">
        <w:rPr>
          <w:rFonts w:cs="Arial"/>
          <w:lang w:val="en-CA"/>
        </w:rPr>
        <w:t>”</w:t>
      </w:r>
      <w:r w:rsidRPr="005E166D">
        <w:rPr>
          <w:rFonts w:cs="Arial"/>
          <w:lang w:val="en-CA"/>
        </w:rPr>
        <w:t>.</w:t>
      </w:r>
    </w:p>
  </w:footnote>
  <w:footnote w:id="80">
    <w:p w14:paraId="76456F48" w14:textId="228488CE" w:rsidR="00016F28" w:rsidRPr="00DB0E35" w:rsidRDefault="00016F28" w:rsidP="00136683">
      <w:pPr>
        <w:pStyle w:val="Notedebasdepage"/>
        <w:ind w:left="426" w:hanging="426"/>
        <w:rPr>
          <w:rFonts w:cs="Arial"/>
        </w:rPr>
      </w:pPr>
      <w:r w:rsidRPr="005E166D">
        <w:rPr>
          <w:rStyle w:val="Appelnotedebasdep"/>
          <w:rFonts w:cs="Arial"/>
        </w:rPr>
        <w:footnoteRef/>
      </w:r>
      <w:r w:rsidRPr="00DB0E35">
        <w:rPr>
          <w:rFonts w:cs="Arial"/>
        </w:rPr>
        <w:t xml:space="preserve"> </w:t>
      </w:r>
      <w:r w:rsidRPr="00DB0E35">
        <w:rPr>
          <w:rFonts w:cs="Arial"/>
        </w:rPr>
        <w:tab/>
        <w:t>Lemieux Report</w:t>
      </w:r>
      <w:r w:rsidR="0000382B" w:rsidRPr="00DB0E35">
        <w:rPr>
          <w:rFonts w:cs="Arial"/>
        </w:rPr>
        <w:t xml:space="preserve"> at </w:t>
      </w:r>
      <w:r w:rsidR="005554F5" w:rsidRPr="00DB0E35">
        <w:rPr>
          <w:rFonts w:cs="Arial"/>
        </w:rPr>
        <w:t xml:space="preserve">para </w:t>
      </w:r>
      <w:r w:rsidRPr="00DB0E35">
        <w:rPr>
          <w:rFonts w:cs="Arial"/>
        </w:rPr>
        <w:t>53.</w:t>
      </w:r>
    </w:p>
  </w:footnote>
  <w:footnote w:id="81">
    <w:p w14:paraId="3011BC25" w14:textId="6C0AD008" w:rsidR="00016F28" w:rsidRPr="00DB0E35" w:rsidRDefault="00016F28" w:rsidP="00136683">
      <w:pPr>
        <w:pStyle w:val="Notedebasdepage"/>
        <w:ind w:left="426" w:hanging="426"/>
        <w:rPr>
          <w:highlight w:val="yellow"/>
        </w:rPr>
      </w:pPr>
      <w:r w:rsidRPr="005E166D">
        <w:rPr>
          <w:rStyle w:val="Appelnotedebasdep"/>
        </w:rPr>
        <w:footnoteRef/>
      </w:r>
      <w:r w:rsidRPr="00DB0E35">
        <w:t xml:space="preserve"> </w:t>
      </w:r>
      <w:r w:rsidRPr="00DB0E35">
        <w:tab/>
      </w:r>
      <w:r w:rsidR="003255AA" w:rsidRPr="00DB0E35">
        <w:t>SQ</w:t>
      </w:r>
      <w:r w:rsidRPr="00DB0E35">
        <w:t xml:space="preserve"> 1972,</w:t>
      </w:r>
      <w:r w:rsidR="003255AA" w:rsidRPr="00DB0E35">
        <w:t xml:space="preserve"> c </w:t>
      </w:r>
      <w:r w:rsidRPr="00DB0E35">
        <w:t>60.</w:t>
      </w:r>
    </w:p>
  </w:footnote>
  <w:footnote w:id="82">
    <w:p w14:paraId="32BA70EF" w14:textId="627714F6" w:rsidR="00016F28" w:rsidRPr="00232D7B" w:rsidRDefault="00016F28" w:rsidP="00136683">
      <w:pPr>
        <w:pStyle w:val="Notedebasdepage"/>
        <w:ind w:left="426" w:hanging="426"/>
        <w:rPr>
          <w:lang w:val="en-CA"/>
        </w:rPr>
      </w:pPr>
      <w:r w:rsidRPr="00232D7B">
        <w:rPr>
          <w:rStyle w:val="Appelnotedebasdep"/>
          <w:rFonts w:cs="Arial"/>
        </w:rPr>
        <w:footnoteRef/>
      </w:r>
      <w:r w:rsidRPr="00232D7B">
        <w:rPr>
          <w:rFonts w:cs="Arial"/>
          <w:lang w:val="en-CA"/>
        </w:rPr>
        <w:t xml:space="preserve"> </w:t>
      </w:r>
      <w:r w:rsidRPr="00232D7B">
        <w:rPr>
          <w:rFonts w:cs="Arial"/>
          <w:lang w:val="en-CA"/>
        </w:rPr>
        <w:tab/>
      </w:r>
      <w:r w:rsidR="00B67A81" w:rsidRPr="00232D7B">
        <w:rPr>
          <w:rFonts w:cs="Arial"/>
          <w:i/>
          <w:iCs/>
          <w:lang w:val="en-CA"/>
        </w:rPr>
        <w:t xml:space="preserve">Ibid </w:t>
      </w:r>
      <w:r w:rsidR="0000382B" w:rsidRPr="00232D7B">
        <w:rPr>
          <w:rFonts w:cs="Arial"/>
          <w:lang w:val="en-CA"/>
        </w:rPr>
        <w:t xml:space="preserve">at </w:t>
      </w:r>
      <w:r w:rsidR="005554F5" w:rsidRPr="00232D7B">
        <w:rPr>
          <w:rFonts w:cs="Arial"/>
          <w:lang w:val="en-CA"/>
        </w:rPr>
        <w:t xml:space="preserve">para </w:t>
      </w:r>
      <w:r w:rsidRPr="00232D7B">
        <w:rPr>
          <w:rFonts w:cs="Arial"/>
          <w:lang w:val="en-CA"/>
        </w:rPr>
        <w:t>55.</w:t>
      </w:r>
    </w:p>
  </w:footnote>
  <w:footnote w:id="83">
    <w:p w14:paraId="13345248" w14:textId="05E25416" w:rsidR="00CD304F" w:rsidRPr="00232D7B" w:rsidRDefault="00CD304F" w:rsidP="00136683">
      <w:pPr>
        <w:pStyle w:val="Notedebasdepage"/>
        <w:ind w:left="426" w:hanging="426"/>
        <w:rPr>
          <w:rFonts w:cs="Arial"/>
          <w:lang w:val="en-CA"/>
        </w:rPr>
      </w:pPr>
      <w:r w:rsidRPr="00232D7B">
        <w:rPr>
          <w:rStyle w:val="Appelnotedebasdep"/>
        </w:rPr>
        <w:footnoteRef/>
      </w:r>
      <w:r w:rsidRPr="00232D7B">
        <w:rPr>
          <w:lang w:val="en-CA"/>
        </w:rPr>
        <w:t xml:space="preserve"> </w:t>
      </w:r>
      <w:r w:rsidRPr="00232D7B">
        <w:rPr>
          <w:lang w:val="en-CA"/>
        </w:rPr>
        <w:tab/>
      </w:r>
      <w:r w:rsidR="00B87291" w:rsidRPr="00232D7B">
        <w:rPr>
          <w:rFonts w:cs="Arial"/>
          <w:i/>
          <w:iCs/>
          <w:color w:val="000000"/>
          <w:spacing w:val="-3"/>
          <w:lang w:val="en-GB"/>
        </w:rPr>
        <w:t>Act respecting public elementary and secondary education</w:t>
      </w:r>
      <w:r w:rsidR="00B87291" w:rsidRPr="00232D7B">
        <w:rPr>
          <w:rFonts w:cs="Arial"/>
          <w:color w:val="000000"/>
          <w:spacing w:val="-3"/>
          <w:lang w:val="en-GB"/>
        </w:rPr>
        <w:t xml:space="preserve">, </w:t>
      </w:r>
      <w:r w:rsidR="003255AA" w:rsidRPr="00232D7B">
        <w:rPr>
          <w:rFonts w:cs="Arial"/>
          <w:color w:val="000000"/>
          <w:spacing w:val="-3"/>
          <w:lang w:val="en-GB"/>
        </w:rPr>
        <w:t>SQ</w:t>
      </w:r>
      <w:r w:rsidR="00B87291" w:rsidRPr="00232D7B">
        <w:rPr>
          <w:rFonts w:cs="Arial"/>
          <w:color w:val="000000"/>
          <w:spacing w:val="-3"/>
          <w:lang w:val="en-GB"/>
        </w:rPr>
        <w:t xml:space="preserve"> 1984,</w:t>
      </w:r>
      <w:r w:rsidR="003255AA" w:rsidRPr="00232D7B">
        <w:rPr>
          <w:rFonts w:cs="Arial"/>
          <w:color w:val="000000"/>
          <w:spacing w:val="-3"/>
          <w:lang w:val="en-GB"/>
        </w:rPr>
        <w:t xml:space="preserve"> c </w:t>
      </w:r>
      <w:r w:rsidR="00B87291" w:rsidRPr="00232D7B">
        <w:rPr>
          <w:rFonts w:cs="Arial"/>
          <w:color w:val="000000"/>
          <w:spacing w:val="-3"/>
          <w:lang w:val="en-GB"/>
        </w:rPr>
        <w:t>39.</w:t>
      </w:r>
    </w:p>
  </w:footnote>
  <w:footnote w:id="84">
    <w:p w14:paraId="46726BC8" w14:textId="098162B0" w:rsidR="00CD304F" w:rsidRPr="00232D7B" w:rsidRDefault="00CD304F" w:rsidP="00136683">
      <w:pPr>
        <w:pStyle w:val="Notedebasdepage"/>
        <w:ind w:left="426" w:hanging="426"/>
        <w:rPr>
          <w:rFonts w:cs="Arial"/>
          <w:lang w:val="en-CA"/>
        </w:rPr>
      </w:pPr>
      <w:r w:rsidRPr="00232D7B">
        <w:rPr>
          <w:rStyle w:val="Appelnotedebasdep"/>
          <w:rFonts w:cs="Arial"/>
        </w:rPr>
        <w:footnoteRef/>
      </w:r>
      <w:r w:rsidRPr="00232D7B">
        <w:rPr>
          <w:rFonts w:cs="Arial"/>
          <w:lang w:val="en-CA"/>
        </w:rPr>
        <w:t xml:space="preserve"> </w:t>
      </w:r>
      <w:r w:rsidRPr="00232D7B">
        <w:rPr>
          <w:rFonts w:cs="Arial"/>
          <w:lang w:val="en-CA"/>
        </w:rPr>
        <w:tab/>
      </w:r>
      <w:r w:rsidRPr="00232D7B">
        <w:rPr>
          <w:rFonts w:cs="Arial"/>
          <w:i/>
          <w:iCs/>
          <w:color w:val="000000"/>
          <w:shd w:val="clear" w:color="auto" w:fill="FFFFFF"/>
          <w:lang w:val="en-CA"/>
        </w:rPr>
        <w:t>Qu</w:t>
      </w:r>
      <w:r w:rsidR="00B97B3A" w:rsidRPr="00232D7B">
        <w:rPr>
          <w:rFonts w:cs="Arial"/>
          <w:i/>
          <w:iCs/>
          <w:color w:val="000000"/>
          <w:shd w:val="clear" w:color="auto" w:fill="FFFFFF"/>
          <w:lang w:val="en-CA"/>
        </w:rPr>
        <w:t>e</w:t>
      </w:r>
      <w:r w:rsidRPr="00232D7B">
        <w:rPr>
          <w:rFonts w:cs="Arial"/>
          <w:i/>
          <w:iCs/>
          <w:color w:val="000000"/>
          <w:shd w:val="clear" w:color="auto" w:fill="FFFFFF"/>
          <w:lang w:val="en-CA"/>
        </w:rPr>
        <w:t>bec Ass</w:t>
      </w:r>
      <w:r w:rsidR="00B97B3A" w:rsidRPr="00232D7B">
        <w:rPr>
          <w:rFonts w:cs="Arial"/>
          <w:i/>
          <w:iCs/>
          <w:color w:val="000000"/>
          <w:shd w:val="clear" w:color="auto" w:fill="FFFFFF"/>
          <w:lang w:val="en-CA"/>
        </w:rPr>
        <w:t>ociation</w:t>
      </w:r>
      <w:r w:rsidR="008A3B98" w:rsidRPr="00232D7B">
        <w:rPr>
          <w:rFonts w:cs="Arial"/>
          <w:i/>
          <w:iCs/>
          <w:color w:val="000000"/>
          <w:shd w:val="clear" w:color="auto" w:fill="FFFFFF"/>
          <w:lang w:val="en-CA"/>
        </w:rPr>
        <w:t xml:space="preserve"> </w:t>
      </w:r>
      <w:r w:rsidRPr="00232D7B">
        <w:rPr>
          <w:rFonts w:cs="Arial"/>
          <w:i/>
          <w:iCs/>
          <w:color w:val="000000"/>
          <w:shd w:val="clear" w:color="auto" w:fill="FFFFFF"/>
          <w:lang w:val="en-CA"/>
        </w:rPr>
        <w:t>of Protestant School Boards</w:t>
      </w:r>
      <w:r w:rsidRPr="00232D7B">
        <w:rPr>
          <w:rFonts w:cs="Arial"/>
          <w:color w:val="000000"/>
          <w:shd w:val="clear" w:color="auto" w:fill="FFFFFF"/>
          <w:lang w:val="en-CA"/>
        </w:rPr>
        <w:t xml:space="preserve"> </w:t>
      </w:r>
      <w:r w:rsidR="003255AA" w:rsidRPr="00232D7B">
        <w:rPr>
          <w:rFonts w:cs="Arial"/>
          <w:i/>
          <w:iCs/>
          <w:color w:val="000000"/>
          <w:shd w:val="clear" w:color="auto" w:fill="FFFFFF"/>
          <w:lang w:val="en-CA"/>
        </w:rPr>
        <w:t xml:space="preserve">v </w:t>
      </w:r>
      <w:r w:rsidR="00B97B3A" w:rsidRPr="00232D7B">
        <w:rPr>
          <w:rFonts w:cs="Arial"/>
          <w:i/>
          <w:iCs/>
          <w:color w:val="000000"/>
          <w:shd w:val="clear" w:color="auto" w:fill="FFFFFF"/>
          <w:lang w:val="en-CA"/>
        </w:rPr>
        <w:t xml:space="preserve">Attorney General of </w:t>
      </w:r>
      <w:r w:rsidR="008552BA" w:rsidRPr="00232D7B">
        <w:rPr>
          <w:rFonts w:cs="Arial"/>
          <w:i/>
          <w:iCs/>
          <w:color w:val="000000"/>
          <w:shd w:val="clear" w:color="auto" w:fill="FFFFFF"/>
          <w:lang w:val="en-CA"/>
        </w:rPr>
        <w:t>Quebec</w:t>
      </w:r>
      <w:r w:rsidR="008552BA" w:rsidRPr="00232D7B">
        <w:rPr>
          <w:rFonts w:cs="Arial"/>
          <w:color w:val="000000"/>
          <w:shd w:val="clear" w:color="auto" w:fill="FFFFFF"/>
          <w:lang w:val="en-CA"/>
        </w:rPr>
        <w:t>, EYB</w:t>
      </w:r>
      <w:r w:rsidRPr="00232D7B">
        <w:rPr>
          <w:rFonts w:cs="Arial"/>
          <w:color w:val="000000"/>
          <w:shd w:val="clear" w:color="auto" w:fill="FFFFFF"/>
          <w:lang w:val="en-CA"/>
        </w:rPr>
        <w:t xml:space="preserve"> 1985-145765 (S</w:t>
      </w:r>
      <w:r w:rsidR="00800026" w:rsidRPr="00232D7B">
        <w:rPr>
          <w:rFonts w:cs="Arial"/>
          <w:color w:val="000000"/>
          <w:shd w:val="clear" w:color="auto" w:fill="FFFFFF"/>
          <w:lang w:val="en-CA"/>
        </w:rPr>
        <w:t>up</w:t>
      </w:r>
      <w:r w:rsidRPr="00232D7B">
        <w:rPr>
          <w:rFonts w:cs="Arial"/>
          <w:color w:val="000000"/>
          <w:shd w:val="clear" w:color="auto" w:fill="FFFFFF"/>
          <w:lang w:val="en-CA"/>
        </w:rPr>
        <w:t>.</w:t>
      </w:r>
      <w:r w:rsidR="00800026" w:rsidRPr="00232D7B">
        <w:rPr>
          <w:rFonts w:cs="Arial"/>
          <w:color w:val="000000"/>
          <w:shd w:val="clear" w:color="auto" w:fill="FFFFFF"/>
          <w:lang w:val="en-CA"/>
        </w:rPr>
        <w:t xml:space="preserve"> Ct.</w:t>
      </w:r>
      <w:r w:rsidRPr="00232D7B">
        <w:rPr>
          <w:rFonts w:cs="Arial"/>
          <w:color w:val="000000"/>
          <w:shd w:val="clear" w:color="auto" w:fill="FFFFFF"/>
          <w:lang w:val="en-CA"/>
        </w:rPr>
        <w:t xml:space="preserve">); </w:t>
      </w:r>
      <w:r w:rsidRPr="00232D7B">
        <w:rPr>
          <w:rFonts w:cs="Arial"/>
          <w:lang w:val="en-CA"/>
        </w:rPr>
        <w:t>Lemieux Report</w:t>
      </w:r>
      <w:r w:rsidR="002F5AA0" w:rsidRPr="00232D7B">
        <w:rPr>
          <w:rFonts w:cs="Arial"/>
          <w:lang w:val="en-CA"/>
        </w:rPr>
        <w:t xml:space="preserve"> at </w:t>
      </w:r>
      <w:r w:rsidR="005554F5" w:rsidRPr="00232D7B">
        <w:rPr>
          <w:rFonts w:cs="Arial"/>
          <w:lang w:val="en-CA"/>
        </w:rPr>
        <w:t xml:space="preserve">para </w:t>
      </w:r>
      <w:r w:rsidRPr="00232D7B">
        <w:rPr>
          <w:rFonts w:cs="Arial"/>
          <w:lang w:val="en-CA"/>
        </w:rPr>
        <w:t xml:space="preserve">69. </w:t>
      </w:r>
    </w:p>
  </w:footnote>
  <w:footnote w:id="85">
    <w:p w14:paraId="0D5636AC" w14:textId="3080BB49" w:rsidR="00016F28" w:rsidRPr="00232D7B" w:rsidRDefault="00016F28" w:rsidP="00136683">
      <w:pPr>
        <w:pStyle w:val="Notedebasdepage"/>
        <w:ind w:left="426" w:hanging="426"/>
        <w:rPr>
          <w:lang w:val="en-CA"/>
        </w:rPr>
      </w:pPr>
      <w:r w:rsidRPr="00232D7B">
        <w:rPr>
          <w:rStyle w:val="Appelnotedebasdep"/>
          <w:rFonts w:cs="Arial"/>
        </w:rPr>
        <w:footnoteRef/>
      </w:r>
      <w:r w:rsidRPr="00232D7B">
        <w:rPr>
          <w:rFonts w:cs="Arial"/>
          <w:lang w:val="en-CA"/>
        </w:rPr>
        <w:t xml:space="preserve"> </w:t>
      </w:r>
      <w:r w:rsidRPr="00232D7B">
        <w:rPr>
          <w:rFonts w:cs="Arial"/>
          <w:lang w:val="en-CA"/>
        </w:rPr>
        <w:tab/>
      </w:r>
      <w:r w:rsidR="003255AA" w:rsidRPr="00232D7B">
        <w:rPr>
          <w:rFonts w:cs="Arial"/>
          <w:color w:val="000000"/>
          <w:spacing w:val="-3"/>
          <w:lang w:val="en-CA"/>
        </w:rPr>
        <w:t>SQ</w:t>
      </w:r>
      <w:r w:rsidRPr="00232D7B">
        <w:rPr>
          <w:rFonts w:cs="Arial"/>
          <w:color w:val="000000"/>
          <w:spacing w:val="-3"/>
          <w:lang w:val="en-CA"/>
        </w:rPr>
        <w:t xml:space="preserve"> 1988,</w:t>
      </w:r>
      <w:r w:rsidR="003255AA" w:rsidRPr="00232D7B">
        <w:rPr>
          <w:rFonts w:cs="Arial"/>
          <w:color w:val="000000"/>
          <w:spacing w:val="-3"/>
          <w:lang w:val="en-CA"/>
        </w:rPr>
        <w:t xml:space="preserve"> c </w:t>
      </w:r>
      <w:r w:rsidRPr="00232D7B">
        <w:rPr>
          <w:rFonts w:cs="Arial"/>
          <w:color w:val="000000"/>
          <w:spacing w:val="-3"/>
          <w:lang w:val="en-CA"/>
        </w:rPr>
        <w:t xml:space="preserve">84, </w:t>
      </w:r>
      <w:r w:rsidR="008A3B98" w:rsidRPr="00232D7B">
        <w:rPr>
          <w:rFonts w:cs="Arial"/>
          <w:color w:val="000000"/>
          <w:spacing w:val="-3"/>
          <w:lang w:val="en-CA"/>
        </w:rPr>
        <w:t>“</w:t>
      </w:r>
      <w:r w:rsidR="008A3B98" w:rsidRPr="005352DE">
        <w:rPr>
          <w:rFonts w:cs="Arial"/>
          <w:color w:val="000000"/>
          <w:spacing w:val="-3"/>
          <w:lang w:val="en-CA"/>
        </w:rPr>
        <w:t xml:space="preserve">Bill </w:t>
      </w:r>
      <w:r w:rsidRPr="005352DE">
        <w:rPr>
          <w:rFonts w:cs="Arial"/>
          <w:lang w:val="en-CA"/>
        </w:rPr>
        <w:t>107</w:t>
      </w:r>
      <w:r w:rsidR="008A3B98" w:rsidRPr="00232D7B">
        <w:rPr>
          <w:rFonts w:cs="Arial"/>
          <w:lang w:val="en-CA"/>
        </w:rPr>
        <w:t>”</w:t>
      </w:r>
      <w:r w:rsidRPr="00232D7B">
        <w:rPr>
          <w:rFonts w:cs="Arial"/>
          <w:lang w:val="en-CA"/>
        </w:rPr>
        <w:t>.</w:t>
      </w:r>
    </w:p>
  </w:footnote>
  <w:footnote w:id="86">
    <w:p w14:paraId="07BCC663" w14:textId="56504D66" w:rsidR="00016F28" w:rsidRPr="00232D7B" w:rsidRDefault="00016F28" w:rsidP="00136683">
      <w:pPr>
        <w:pStyle w:val="Notedebasdepage"/>
        <w:ind w:left="426" w:hanging="426"/>
        <w:rPr>
          <w:lang w:val="en-CA"/>
        </w:rPr>
      </w:pPr>
      <w:r w:rsidRPr="00232D7B">
        <w:rPr>
          <w:rStyle w:val="Appelnotedebasdep"/>
        </w:rPr>
        <w:footnoteRef/>
      </w:r>
      <w:r w:rsidRPr="00232D7B">
        <w:rPr>
          <w:lang w:val="en-CA"/>
        </w:rPr>
        <w:t xml:space="preserve"> </w:t>
      </w:r>
      <w:r w:rsidRPr="00232D7B">
        <w:rPr>
          <w:lang w:val="en-CA"/>
        </w:rPr>
        <w:tab/>
      </w:r>
      <w:r w:rsidRPr="00232D7B">
        <w:rPr>
          <w:rFonts w:cs="Arial"/>
          <w:i/>
          <w:iCs/>
          <w:color w:val="212529"/>
          <w:lang w:val="en-CA"/>
        </w:rPr>
        <w:t>Reference re: Education Act (Que.)</w:t>
      </w:r>
      <w:r w:rsidRPr="00232D7B">
        <w:rPr>
          <w:rFonts w:cs="Arial"/>
          <w:color w:val="212529"/>
          <w:lang w:val="en-CA"/>
        </w:rPr>
        <w:t>,</w:t>
      </w:r>
      <w:r w:rsidRPr="00232D7B">
        <w:rPr>
          <w:rFonts w:cs="Arial"/>
          <w:i/>
          <w:iCs/>
          <w:color w:val="212529"/>
          <w:lang w:val="en-CA"/>
        </w:rPr>
        <w:t xml:space="preserve"> </w:t>
      </w:r>
      <w:r w:rsidRPr="00232D7B">
        <w:rPr>
          <w:rFonts w:cs="Arial"/>
          <w:color w:val="212529"/>
          <w:lang w:val="en-CA"/>
        </w:rPr>
        <w:t xml:space="preserve">1993 CanLII 100 (SCC), </w:t>
      </w:r>
      <w:bookmarkStart w:id="30" w:name="_Hlk148520079"/>
      <w:r w:rsidRPr="00232D7B">
        <w:rPr>
          <w:rFonts w:cs="Arial"/>
          <w:color w:val="212529"/>
          <w:lang w:val="en-CA"/>
        </w:rPr>
        <w:t>[1993] 2 SCR 511.</w:t>
      </w:r>
      <w:bookmarkEnd w:id="30"/>
    </w:p>
  </w:footnote>
  <w:footnote w:id="87">
    <w:p w14:paraId="7FDC98D8" w14:textId="07593254" w:rsidR="00016F28" w:rsidRPr="00232D7B" w:rsidRDefault="00016F28" w:rsidP="00136683">
      <w:pPr>
        <w:pStyle w:val="Notedebasdepage"/>
        <w:ind w:left="426" w:hanging="426"/>
        <w:rPr>
          <w:rFonts w:cs="Arial"/>
          <w:lang w:val="en-CA"/>
        </w:rPr>
      </w:pPr>
      <w:r w:rsidRPr="00232D7B">
        <w:rPr>
          <w:rStyle w:val="Appelnotedebasdep"/>
          <w:rFonts w:cs="Arial"/>
        </w:rPr>
        <w:footnoteRef/>
      </w:r>
      <w:r w:rsidRPr="00232D7B">
        <w:rPr>
          <w:rFonts w:cs="Arial"/>
          <w:lang w:val="en-CA"/>
        </w:rPr>
        <w:t xml:space="preserve"> </w:t>
      </w:r>
      <w:r w:rsidRPr="00232D7B">
        <w:rPr>
          <w:rFonts w:cs="Arial"/>
          <w:lang w:val="en-CA"/>
        </w:rPr>
        <w:tab/>
        <w:t xml:space="preserve">Lemieux Report at 70. </w:t>
      </w:r>
    </w:p>
  </w:footnote>
  <w:footnote w:id="88">
    <w:p w14:paraId="6ECDA4AC" w14:textId="0D6BF9B6" w:rsidR="00016F28" w:rsidRPr="008760EC" w:rsidRDefault="00016F28" w:rsidP="00136683">
      <w:pPr>
        <w:pStyle w:val="Notedebasdepage"/>
        <w:ind w:left="426" w:hanging="426"/>
        <w:rPr>
          <w:rFonts w:cs="Arial"/>
          <w:highlight w:val="yellow"/>
          <w:lang w:val="en-CA"/>
        </w:rPr>
      </w:pPr>
      <w:r w:rsidRPr="00232D7B">
        <w:rPr>
          <w:rStyle w:val="Appelnotedebasdep"/>
          <w:rFonts w:cs="Arial"/>
        </w:rPr>
        <w:footnoteRef/>
      </w:r>
      <w:r w:rsidRPr="00232D7B">
        <w:rPr>
          <w:rFonts w:cs="Arial"/>
          <w:lang w:val="en-CA"/>
        </w:rPr>
        <w:t xml:space="preserve"> </w:t>
      </w:r>
      <w:r w:rsidRPr="00232D7B">
        <w:rPr>
          <w:rFonts w:cs="Arial"/>
          <w:lang w:val="en-CA"/>
        </w:rPr>
        <w:tab/>
      </w:r>
      <w:r w:rsidRPr="00232D7B">
        <w:rPr>
          <w:rFonts w:cs="Arial"/>
          <w:i/>
          <w:iCs/>
          <w:lang w:val="en-CA"/>
        </w:rPr>
        <w:t>Ibid</w:t>
      </w:r>
      <w:r w:rsidRPr="00232D7B">
        <w:rPr>
          <w:rFonts w:cs="Arial"/>
          <w:lang w:val="en-CA"/>
        </w:rPr>
        <w:t xml:space="preserve"> at </w:t>
      </w:r>
      <w:r w:rsidR="005554F5" w:rsidRPr="00232D7B">
        <w:rPr>
          <w:rFonts w:cs="Arial"/>
          <w:lang w:val="en-CA"/>
        </w:rPr>
        <w:t xml:space="preserve">para </w:t>
      </w:r>
      <w:r w:rsidRPr="00232D7B">
        <w:rPr>
          <w:rFonts w:cs="Arial"/>
          <w:lang w:val="en-CA"/>
        </w:rPr>
        <w:t xml:space="preserve">73. </w:t>
      </w:r>
    </w:p>
  </w:footnote>
  <w:footnote w:id="89">
    <w:p w14:paraId="7246B9B2" w14:textId="01ADEF68" w:rsidR="00016F28" w:rsidRPr="00232D7B" w:rsidRDefault="00016F28" w:rsidP="00136683">
      <w:pPr>
        <w:pStyle w:val="Notedebasdepage"/>
        <w:ind w:left="426" w:hanging="426"/>
        <w:rPr>
          <w:lang w:val="en-CA"/>
        </w:rPr>
      </w:pPr>
      <w:r w:rsidRPr="00232D7B">
        <w:rPr>
          <w:rStyle w:val="Appelnotedebasdep"/>
          <w:rFonts w:cs="Arial"/>
        </w:rPr>
        <w:footnoteRef/>
      </w:r>
      <w:r w:rsidRPr="00232D7B">
        <w:rPr>
          <w:rFonts w:cs="Arial"/>
          <w:lang w:val="en-CA"/>
        </w:rPr>
        <w:t xml:space="preserve"> </w:t>
      </w:r>
      <w:r w:rsidRPr="00232D7B">
        <w:rPr>
          <w:rFonts w:cs="Arial"/>
          <w:lang w:val="en-CA"/>
        </w:rPr>
        <w:tab/>
      </w:r>
      <w:r w:rsidRPr="00232D7B">
        <w:rPr>
          <w:rFonts w:cs="Arial"/>
          <w:i/>
          <w:iCs/>
          <w:lang w:val="en-CA"/>
        </w:rPr>
        <w:t>Constitution Act, 1982</w:t>
      </w:r>
      <w:r w:rsidR="00232D7B">
        <w:rPr>
          <w:rFonts w:cs="Arial"/>
          <w:lang w:val="en-CA"/>
        </w:rPr>
        <w:t>, s 43</w:t>
      </w:r>
      <w:r w:rsidRPr="00232D7B">
        <w:rPr>
          <w:lang w:val="en-CA"/>
        </w:rPr>
        <w:t xml:space="preserve">. </w:t>
      </w:r>
    </w:p>
  </w:footnote>
  <w:footnote w:id="90">
    <w:p w14:paraId="33A4750E" w14:textId="56D58565" w:rsidR="00016F28" w:rsidRPr="00232D7B" w:rsidRDefault="00016F28" w:rsidP="00136683">
      <w:pPr>
        <w:pStyle w:val="Notedebasdepage"/>
        <w:ind w:left="426" w:hanging="426"/>
        <w:rPr>
          <w:lang w:val="en-CA"/>
        </w:rPr>
      </w:pPr>
      <w:r w:rsidRPr="00232D7B">
        <w:rPr>
          <w:rStyle w:val="Appelnotedebasdep"/>
        </w:rPr>
        <w:footnoteRef/>
      </w:r>
      <w:r w:rsidRPr="00232D7B">
        <w:rPr>
          <w:lang w:val="en-CA"/>
        </w:rPr>
        <w:t xml:space="preserve"> </w:t>
      </w:r>
      <w:r w:rsidRPr="00232D7B">
        <w:rPr>
          <w:lang w:val="en-CA"/>
        </w:rPr>
        <w:tab/>
      </w:r>
      <w:r w:rsidR="009244D7" w:rsidRPr="00232D7B">
        <w:rPr>
          <w:lang w:val="en-CA"/>
        </w:rPr>
        <w:t xml:space="preserve">Quebec, National Assembly, </w:t>
      </w:r>
      <w:r w:rsidR="009244D7" w:rsidRPr="00232D7B">
        <w:rPr>
          <w:i/>
          <w:iCs/>
          <w:lang w:val="en-CA"/>
        </w:rPr>
        <w:t>Hansard</w:t>
      </w:r>
      <w:r w:rsidR="009244D7" w:rsidRPr="00232D7B">
        <w:rPr>
          <w:lang w:val="en-CA"/>
        </w:rPr>
        <w:t xml:space="preserve">, </w:t>
      </w:r>
      <w:r w:rsidR="006C5514" w:rsidRPr="00232D7B">
        <w:rPr>
          <w:lang w:val="en-CA"/>
        </w:rPr>
        <w:t xml:space="preserve">35-2, Vol 35 No 6 </w:t>
      </w:r>
      <w:r w:rsidR="009244D7" w:rsidRPr="00232D7B">
        <w:rPr>
          <w:lang w:val="en-CA"/>
        </w:rPr>
        <w:t>(</w:t>
      </w:r>
      <w:r w:rsidR="002A0A17">
        <w:rPr>
          <w:lang w:val="en-CA"/>
        </w:rPr>
        <w:t xml:space="preserve">Friday, </w:t>
      </w:r>
      <w:r w:rsidRPr="00232D7B">
        <w:rPr>
          <w:lang w:val="en-CA"/>
        </w:rPr>
        <w:t xml:space="preserve">24 </w:t>
      </w:r>
      <w:r w:rsidR="009244D7" w:rsidRPr="00232D7B">
        <w:rPr>
          <w:lang w:val="en-CA"/>
        </w:rPr>
        <w:t>May</w:t>
      </w:r>
      <w:r w:rsidRPr="00232D7B">
        <w:rPr>
          <w:lang w:val="en-CA"/>
        </w:rPr>
        <w:t xml:space="preserve"> 1996</w:t>
      </w:r>
      <w:r w:rsidR="009244D7" w:rsidRPr="00232D7B">
        <w:rPr>
          <w:lang w:val="en-CA"/>
        </w:rPr>
        <w:t>)</w:t>
      </w:r>
      <w:r w:rsidR="004F27E8" w:rsidRPr="00232D7B">
        <w:rPr>
          <w:lang w:val="en-CA"/>
        </w:rPr>
        <w:t xml:space="preserve"> (Hon. Pauline Marois)</w:t>
      </w:r>
      <w:r w:rsidRPr="00232D7B">
        <w:rPr>
          <w:lang w:val="en-CA"/>
        </w:rPr>
        <w:t xml:space="preserve">. </w:t>
      </w:r>
    </w:p>
  </w:footnote>
  <w:footnote w:id="91">
    <w:p w14:paraId="7C4B2E99" w14:textId="0DC846A8" w:rsidR="00016F28" w:rsidRPr="008760EC" w:rsidRDefault="00016F28" w:rsidP="00136683">
      <w:pPr>
        <w:pStyle w:val="Notedebasdepage"/>
        <w:ind w:left="426" w:hanging="426"/>
        <w:rPr>
          <w:highlight w:val="yellow"/>
          <w:lang w:val="en-CA"/>
        </w:rPr>
      </w:pPr>
      <w:r w:rsidRPr="00232D7B">
        <w:rPr>
          <w:rStyle w:val="Appelnotedebasdep"/>
        </w:rPr>
        <w:footnoteRef/>
      </w:r>
      <w:r w:rsidRPr="00232D7B">
        <w:rPr>
          <w:lang w:val="en-CA"/>
        </w:rPr>
        <w:t xml:space="preserve"> </w:t>
      </w:r>
      <w:r w:rsidRPr="00232D7B">
        <w:rPr>
          <w:lang w:val="en-CA"/>
        </w:rPr>
        <w:tab/>
      </w:r>
      <w:r w:rsidR="009244D7" w:rsidRPr="00232D7B">
        <w:rPr>
          <w:lang w:val="en-CA"/>
        </w:rPr>
        <w:t xml:space="preserve">Quebec, National Assembly, </w:t>
      </w:r>
      <w:r w:rsidR="006C5514" w:rsidRPr="00232D7B">
        <w:rPr>
          <w:i/>
          <w:iCs/>
          <w:lang w:val="en-CA"/>
        </w:rPr>
        <w:t>Assembly Proceedings</w:t>
      </w:r>
      <w:r w:rsidR="009244D7" w:rsidRPr="00232D7B">
        <w:rPr>
          <w:lang w:val="en-CA"/>
        </w:rPr>
        <w:t xml:space="preserve">, </w:t>
      </w:r>
      <w:r w:rsidR="00267ADE" w:rsidRPr="00232D7B">
        <w:rPr>
          <w:lang w:val="en-CA"/>
        </w:rPr>
        <w:t xml:space="preserve">35-2, No 83 </w:t>
      </w:r>
      <w:r w:rsidR="009244D7" w:rsidRPr="00232D7B">
        <w:rPr>
          <w:lang w:val="en-CA"/>
        </w:rPr>
        <w:t>(</w:t>
      </w:r>
      <w:r w:rsidR="002A0A17">
        <w:rPr>
          <w:lang w:val="en-CA"/>
        </w:rPr>
        <w:t xml:space="preserve">Wednesday, </w:t>
      </w:r>
      <w:r w:rsidR="009244D7" w:rsidRPr="00232D7B">
        <w:rPr>
          <w:lang w:val="en-CA"/>
        </w:rPr>
        <w:t>26 March 1997</w:t>
      </w:r>
      <w:r w:rsidR="00267ADE" w:rsidRPr="00232D7B">
        <w:rPr>
          <w:lang w:val="en-CA"/>
        </w:rPr>
        <w:t>), 4:20 pm</w:t>
      </w:r>
      <w:r w:rsidR="00324A15" w:rsidRPr="00232D7B">
        <w:rPr>
          <w:lang w:val="en-CA"/>
        </w:rPr>
        <w:t xml:space="preserve"> </w:t>
      </w:r>
      <w:r w:rsidR="004F27E8" w:rsidRPr="00232D7B">
        <w:rPr>
          <w:lang w:val="en-CA"/>
        </w:rPr>
        <w:t>(Hon. Pauline Marois).</w:t>
      </w:r>
    </w:p>
  </w:footnote>
  <w:footnote w:id="92">
    <w:p w14:paraId="333032C0" w14:textId="19C3236A" w:rsidR="0024728D" w:rsidRPr="002A0A17" w:rsidRDefault="0024728D" w:rsidP="00136683">
      <w:pPr>
        <w:pStyle w:val="Notedebasdepage"/>
        <w:ind w:left="426" w:hanging="426"/>
        <w:rPr>
          <w:lang w:val="en-CA"/>
        </w:rPr>
      </w:pPr>
      <w:r w:rsidRPr="002A0A17">
        <w:rPr>
          <w:rStyle w:val="Appelnotedebasdep"/>
        </w:rPr>
        <w:footnoteRef/>
      </w:r>
      <w:r w:rsidRPr="002A0A17">
        <w:rPr>
          <w:lang w:val="en-CA"/>
        </w:rPr>
        <w:t xml:space="preserve"> </w:t>
      </w:r>
      <w:r w:rsidRPr="002A0A17">
        <w:rPr>
          <w:lang w:val="en-CA"/>
        </w:rPr>
        <w:tab/>
      </w:r>
      <w:r w:rsidR="000C60D6" w:rsidRPr="002A0A17">
        <w:rPr>
          <w:i/>
          <w:iCs/>
          <w:lang w:val="en-CA"/>
        </w:rPr>
        <w:t xml:space="preserve">House of Commons Minutes of Proceedings, </w:t>
      </w:r>
      <w:r w:rsidRPr="002A0A17">
        <w:rPr>
          <w:lang w:val="en-CA"/>
        </w:rPr>
        <w:t xml:space="preserve">Special Joint Committee to Amend Section 93 of the </w:t>
      </w:r>
      <w:r w:rsidRPr="005352DE">
        <w:rPr>
          <w:i/>
          <w:iCs/>
          <w:lang w:val="en-CA"/>
        </w:rPr>
        <w:t>Constitution Act, 1867</w:t>
      </w:r>
      <w:r w:rsidRPr="002A0A17">
        <w:rPr>
          <w:lang w:val="en-CA"/>
        </w:rPr>
        <w:t>, concerning the Quebec School System</w:t>
      </w:r>
      <w:r w:rsidR="000C60D6" w:rsidRPr="002A0A17">
        <w:rPr>
          <w:lang w:val="en-CA"/>
        </w:rPr>
        <w:t xml:space="preserve"> (</w:t>
      </w:r>
      <w:r w:rsidRPr="002A0A17">
        <w:rPr>
          <w:lang w:val="en-CA"/>
        </w:rPr>
        <w:t>30 October</w:t>
      </w:r>
      <w:r w:rsidRPr="002A0A17">
        <w:rPr>
          <w:spacing w:val="-1"/>
          <w:lang w:val="en-CA"/>
        </w:rPr>
        <w:t xml:space="preserve"> </w:t>
      </w:r>
      <w:r w:rsidRPr="002A0A17">
        <w:rPr>
          <w:lang w:val="en-CA"/>
        </w:rPr>
        <w:t>1997</w:t>
      </w:r>
      <w:r w:rsidR="000C60D6" w:rsidRPr="002A0A17">
        <w:rPr>
          <w:lang w:val="en-CA"/>
        </w:rPr>
        <w:t>)</w:t>
      </w:r>
      <w:r w:rsidRPr="002A0A17">
        <w:rPr>
          <w:spacing w:val="-4"/>
          <w:lang w:val="en-CA"/>
        </w:rPr>
        <w:t xml:space="preserve"> </w:t>
      </w:r>
      <w:r w:rsidRPr="002A0A17">
        <w:rPr>
          <w:bCs/>
          <w:lang w:val="en-CA"/>
        </w:rPr>
        <w:t xml:space="preserve">at 3:45 </w:t>
      </w:r>
      <w:r w:rsidR="002A0A17">
        <w:rPr>
          <w:bCs/>
          <w:lang w:val="en-CA"/>
        </w:rPr>
        <w:t>pm</w:t>
      </w:r>
      <w:r w:rsidRPr="002A0A17">
        <w:rPr>
          <w:lang w:val="en-CA"/>
        </w:rPr>
        <w:t xml:space="preserve"> </w:t>
      </w:r>
      <w:r w:rsidR="000C60D6" w:rsidRPr="002A0A17">
        <w:rPr>
          <w:lang w:val="en-CA"/>
        </w:rPr>
        <w:t xml:space="preserve">at </w:t>
      </w:r>
      <w:r w:rsidRPr="002A0A17">
        <w:rPr>
          <w:spacing w:val="-4"/>
          <w:lang w:val="en-CA"/>
        </w:rPr>
        <w:t>1820</w:t>
      </w:r>
      <w:r w:rsidR="000C60D6" w:rsidRPr="002A0A17">
        <w:rPr>
          <w:spacing w:val="-4"/>
          <w:lang w:val="en-CA"/>
        </w:rPr>
        <w:t xml:space="preserve"> (Hon Pauline Marois)</w:t>
      </w:r>
      <w:r w:rsidRPr="002A0A17">
        <w:rPr>
          <w:spacing w:val="-4"/>
          <w:lang w:val="en-CA"/>
        </w:rPr>
        <w:t>.</w:t>
      </w:r>
    </w:p>
  </w:footnote>
  <w:footnote w:id="93">
    <w:p w14:paraId="5BAF5A3D" w14:textId="03EBCAF2" w:rsidR="0024728D" w:rsidRPr="002A0A17" w:rsidRDefault="0024728D" w:rsidP="00136683">
      <w:pPr>
        <w:pStyle w:val="Notedebasdepage"/>
        <w:ind w:left="426" w:hanging="426"/>
        <w:rPr>
          <w:lang w:val="en-CA"/>
        </w:rPr>
      </w:pPr>
      <w:r w:rsidRPr="002A0A17">
        <w:rPr>
          <w:rStyle w:val="Appelnotedebasdep"/>
        </w:rPr>
        <w:footnoteRef/>
      </w:r>
      <w:r w:rsidRPr="002A0A17">
        <w:rPr>
          <w:lang w:val="en-CA"/>
        </w:rPr>
        <w:t xml:space="preserve"> </w:t>
      </w:r>
      <w:r w:rsidRPr="002A0A17">
        <w:rPr>
          <w:lang w:val="en-CA"/>
        </w:rPr>
        <w:tab/>
      </w:r>
      <w:r w:rsidR="005A5BC9" w:rsidRPr="002A0A17">
        <w:rPr>
          <w:i/>
          <w:iCs/>
          <w:lang w:val="en-CA"/>
        </w:rPr>
        <w:t>House of Commons Hansard</w:t>
      </w:r>
      <w:r w:rsidRPr="002A0A17">
        <w:rPr>
          <w:lang w:val="en-CA"/>
        </w:rPr>
        <w:t xml:space="preserve">, </w:t>
      </w:r>
      <w:r w:rsidR="004F27E8" w:rsidRPr="002A0A17">
        <w:rPr>
          <w:lang w:val="en-CA"/>
        </w:rPr>
        <w:t>36-1, No 8 (1 October</w:t>
      </w:r>
      <w:r w:rsidRPr="002A0A17">
        <w:rPr>
          <w:lang w:val="en-CA"/>
        </w:rPr>
        <w:t xml:space="preserve"> 1997</w:t>
      </w:r>
      <w:r w:rsidR="004F27E8" w:rsidRPr="002A0A17">
        <w:rPr>
          <w:lang w:val="en-CA"/>
        </w:rPr>
        <w:t>) at</w:t>
      </w:r>
      <w:r w:rsidRPr="002A0A17">
        <w:rPr>
          <w:lang w:val="en-CA"/>
        </w:rPr>
        <w:t xml:space="preserve"> </w:t>
      </w:r>
      <w:r w:rsidR="004F27E8" w:rsidRPr="002A0A17">
        <w:rPr>
          <w:lang w:val="en-CA"/>
        </w:rPr>
        <w:t>4:25 pm (Hon Stéphane Dion).</w:t>
      </w:r>
      <w:r w:rsidRPr="002A0A17">
        <w:rPr>
          <w:lang w:val="en-CA"/>
        </w:rPr>
        <w:t xml:space="preserve"> </w:t>
      </w:r>
    </w:p>
  </w:footnote>
  <w:footnote w:id="94">
    <w:p w14:paraId="7E6C78CD" w14:textId="07D566BB" w:rsidR="0024728D" w:rsidRPr="008760EC" w:rsidRDefault="0024728D" w:rsidP="00136683">
      <w:pPr>
        <w:pStyle w:val="Notedebasdepage"/>
        <w:ind w:left="426" w:hanging="426"/>
        <w:rPr>
          <w:highlight w:val="yellow"/>
          <w:lang w:val="en-CA"/>
        </w:rPr>
      </w:pPr>
      <w:r w:rsidRPr="00CB01D3">
        <w:rPr>
          <w:rStyle w:val="Appelnotedebasdep"/>
        </w:rPr>
        <w:footnoteRef/>
      </w:r>
      <w:r w:rsidRPr="00CB01D3">
        <w:rPr>
          <w:lang w:val="en-CA"/>
        </w:rPr>
        <w:t xml:space="preserve"> </w:t>
      </w:r>
      <w:r w:rsidRPr="00CB01D3">
        <w:rPr>
          <w:lang w:val="en-CA"/>
        </w:rPr>
        <w:tab/>
      </w:r>
      <w:r w:rsidR="005A5BC9" w:rsidRPr="00CB01D3">
        <w:rPr>
          <w:i/>
          <w:iCs/>
          <w:lang w:val="en-CA"/>
        </w:rPr>
        <w:t>House of Commons Hansard</w:t>
      </w:r>
      <w:r w:rsidRPr="00CB01D3">
        <w:rPr>
          <w:lang w:val="en-CA"/>
        </w:rPr>
        <w:t xml:space="preserve">, </w:t>
      </w:r>
      <w:r w:rsidR="000032F7" w:rsidRPr="00CB01D3">
        <w:rPr>
          <w:lang w:val="en-CA"/>
        </w:rPr>
        <w:t>36-1, No 31 (</w:t>
      </w:r>
      <w:r w:rsidRPr="00CB01D3">
        <w:rPr>
          <w:lang w:val="en-CA"/>
        </w:rPr>
        <w:t>17</w:t>
      </w:r>
      <w:r w:rsidRPr="00CB01D3">
        <w:rPr>
          <w:vertAlign w:val="superscript"/>
          <w:lang w:val="en-CA"/>
        </w:rPr>
        <w:t xml:space="preserve"> </w:t>
      </w:r>
      <w:r w:rsidR="000032F7" w:rsidRPr="00CB01D3">
        <w:rPr>
          <w:lang w:val="en-CA"/>
        </w:rPr>
        <w:t>November</w:t>
      </w:r>
      <w:r w:rsidRPr="00CB01D3">
        <w:rPr>
          <w:lang w:val="en-CA"/>
        </w:rPr>
        <w:t xml:space="preserve"> 1997</w:t>
      </w:r>
      <w:r w:rsidR="000032F7" w:rsidRPr="00CB01D3">
        <w:rPr>
          <w:lang w:val="en-CA"/>
        </w:rPr>
        <w:t>) at</w:t>
      </w:r>
      <w:r w:rsidRPr="00CB01D3">
        <w:rPr>
          <w:lang w:val="en-CA"/>
        </w:rPr>
        <w:t xml:space="preserve"> 12</w:t>
      </w:r>
      <w:r w:rsidR="000032F7" w:rsidRPr="00CB01D3">
        <w:rPr>
          <w:lang w:val="en-CA"/>
        </w:rPr>
        <w:t>:1</w:t>
      </w:r>
      <w:r w:rsidRPr="00CB01D3">
        <w:rPr>
          <w:lang w:val="en-CA"/>
        </w:rPr>
        <w:t>5</w:t>
      </w:r>
      <w:r w:rsidR="000032F7" w:rsidRPr="00CB01D3">
        <w:rPr>
          <w:lang w:val="en-CA"/>
        </w:rPr>
        <w:t xml:space="preserve"> pm (Hon Stéphane Dion)</w:t>
      </w:r>
      <w:r w:rsidRPr="00CB01D3">
        <w:rPr>
          <w:lang w:val="en-CA"/>
        </w:rPr>
        <w:t>.</w:t>
      </w:r>
    </w:p>
  </w:footnote>
  <w:footnote w:id="95">
    <w:p w14:paraId="47B2481A" w14:textId="1CCA8688" w:rsidR="0024728D" w:rsidRPr="00087234" w:rsidRDefault="0024728D" w:rsidP="00136683">
      <w:pPr>
        <w:pStyle w:val="Notedebasdepage"/>
        <w:ind w:left="426" w:hanging="426"/>
        <w:rPr>
          <w:lang w:val="en-CA"/>
        </w:rPr>
      </w:pPr>
      <w:r w:rsidRPr="00087234">
        <w:rPr>
          <w:rStyle w:val="Appelnotedebasdep"/>
        </w:rPr>
        <w:footnoteRef/>
      </w:r>
      <w:r w:rsidRPr="00087234">
        <w:rPr>
          <w:lang w:val="en-CA"/>
        </w:rPr>
        <w:t xml:space="preserve"> </w:t>
      </w:r>
      <w:r w:rsidRPr="00087234">
        <w:rPr>
          <w:lang w:val="en-CA"/>
        </w:rPr>
        <w:tab/>
      </w:r>
      <w:r w:rsidR="005A5BC9" w:rsidRPr="00087234">
        <w:rPr>
          <w:i/>
          <w:iCs/>
          <w:lang w:val="en-CA"/>
        </w:rPr>
        <w:t>Senate Hansard</w:t>
      </w:r>
      <w:r w:rsidRPr="00087234">
        <w:rPr>
          <w:lang w:val="en-CA"/>
        </w:rPr>
        <w:t xml:space="preserve">, </w:t>
      </w:r>
      <w:r w:rsidR="000032F7" w:rsidRPr="00087234">
        <w:rPr>
          <w:lang w:val="en-CA"/>
        </w:rPr>
        <w:t>36-1, Vol 137, Issue 28 (</w:t>
      </w:r>
      <w:r w:rsidRPr="00087234">
        <w:rPr>
          <w:lang w:val="en-CA"/>
        </w:rPr>
        <w:t xml:space="preserve">9 </w:t>
      </w:r>
      <w:r w:rsidR="000032F7" w:rsidRPr="00087234">
        <w:rPr>
          <w:lang w:val="en-CA"/>
        </w:rPr>
        <w:t xml:space="preserve">December </w:t>
      </w:r>
      <w:r w:rsidRPr="00087234">
        <w:rPr>
          <w:lang w:val="en-CA"/>
        </w:rPr>
        <w:t>1997</w:t>
      </w:r>
      <w:r w:rsidR="000032F7" w:rsidRPr="00087234">
        <w:rPr>
          <w:lang w:val="en-CA"/>
        </w:rPr>
        <w:t>) (Hon John Lynch-Stau</w:t>
      </w:r>
      <w:r w:rsidR="00572268">
        <w:rPr>
          <w:lang w:val="en-CA"/>
        </w:rPr>
        <w:t>n</w:t>
      </w:r>
      <w:r w:rsidR="000032F7" w:rsidRPr="00087234">
        <w:rPr>
          <w:lang w:val="en-CA"/>
        </w:rPr>
        <w:t>ton)</w:t>
      </w:r>
      <w:r w:rsidRPr="00087234">
        <w:rPr>
          <w:lang w:val="en-CA"/>
        </w:rPr>
        <w:t xml:space="preserve">. </w:t>
      </w:r>
    </w:p>
  </w:footnote>
  <w:footnote w:id="96">
    <w:p w14:paraId="5EF8A296" w14:textId="51E830ED" w:rsidR="00362A4C" w:rsidRPr="00087234" w:rsidRDefault="0096102C" w:rsidP="00136683">
      <w:pPr>
        <w:pStyle w:val="Notedebasdepage"/>
        <w:ind w:left="426" w:hanging="426"/>
        <w:rPr>
          <w:lang w:val="en-CA"/>
        </w:rPr>
      </w:pPr>
      <w:r w:rsidRPr="00087234">
        <w:rPr>
          <w:rStyle w:val="Appelnotedebasdep"/>
        </w:rPr>
        <w:footnoteRef/>
      </w:r>
      <w:r w:rsidRPr="00087234">
        <w:rPr>
          <w:lang w:val="en-CA"/>
        </w:rPr>
        <w:t xml:space="preserve"> </w:t>
      </w:r>
      <w:r w:rsidRPr="00087234">
        <w:rPr>
          <w:lang w:val="en-CA"/>
        </w:rPr>
        <w:tab/>
      </w:r>
      <w:r w:rsidR="00FD5397" w:rsidRPr="00087234">
        <w:rPr>
          <w:i/>
          <w:iCs/>
          <w:lang w:val="en-CA"/>
        </w:rPr>
        <w:t>House of Commons Debates</w:t>
      </w:r>
      <w:r w:rsidR="00FD5397" w:rsidRPr="00087234">
        <w:rPr>
          <w:lang w:val="en-CA"/>
        </w:rPr>
        <w:t>, 36-1, No. 8 (1 October 1997) at 1630 (Hon Réal Ménard)</w:t>
      </w:r>
      <w:r w:rsidR="00093450" w:rsidRPr="00087234">
        <w:rPr>
          <w:lang w:val="en-CA"/>
        </w:rPr>
        <w:t>.</w:t>
      </w:r>
    </w:p>
  </w:footnote>
  <w:footnote w:id="97">
    <w:p w14:paraId="03824F01" w14:textId="73D05112" w:rsidR="00362A4C" w:rsidRPr="00087234" w:rsidRDefault="0096102C" w:rsidP="00136683">
      <w:pPr>
        <w:pStyle w:val="Notedebasdepage"/>
        <w:ind w:left="426" w:hanging="426"/>
        <w:rPr>
          <w:lang w:val="en-CA"/>
        </w:rPr>
      </w:pPr>
      <w:r w:rsidRPr="00087234">
        <w:rPr>
          <w:rStyle w:val="Appelnotedebasdep"/>
        </w:rPr>
        <w:footnoteRef/>
      </w:r>
      <w:r w:rsidRPr="00087234">
        <w:rPr>
          <w:lang w:val="en-CA"/>
        </w:rPr>
        <w:t xml:space="preserve"> </w:t>
      </w:r>
      <w:r w:rsidRPr="00087234">
        <w:rPr>
          <w:lang w:val="en-CA"/>
        </w:rPr>
        <w:tab/>
      </w:r>
      <w:r w:rsidR="0017540E" w:rsidRPr="00087234">
        <w:rPr>
          <w:i/>
          <w:iCs/>
          <w:lang w:val="en-CA"/>
        </w:rPr>
        <w:t>House of Commons Debates</w:t>
      </w:r>
      <w:r w:rsidR="0017540E" w:rsidRPr="00087234">
        <w:rPr>
          <w:lang w:val="en-CA"/>
        </w:rPr>
        <w:t>, 36-1, No. 31</w:t>
      </w:r>
      <w:r w:rsidR="00087234">
        <w:rPr>
          <w:lang w:val="en-CA"/>
        </w:rPr>
        <w:t xml:space="preserve"> </w:t>
      </w:r>
      <w:r w:rsidR="0017540E" w:rsidRPr="00087234">
        <w:rPr>
          <w:lang w:val="en-CA"/>
        </w:rPr>
        <w:t>(17 November 1997) at 1250 (Hon Réal Ménard)</w:t>
      </w:r>
      <w:r w:rsidR="00093450" w:rsidRPr="00087234">
        <w:rPr>
          <w:lang w:val="en-CA"/>
        </w:rPr>
        <w:t>.</w:t>
      </w:r>
    </w:p>
  </w:footnote>
  <w:footnote w:id="98">
    <w:p w14:paraId="391D8C2A" w14:textId="20D2CBFB" w:rsidR="00362A4C" w:rsidRPr="008760EC" w:rsidRDefault="0096102C" w:rsidP="00136683">
      <w:pPr>
        <w:pStyle w:val="Notedebasdepage"/>
        <w:ind w:left="426" w:hanging="426"/>
        <w:rPr>
          <w:highlight w:val="yellow"/>
          <w:lang w:val="en-CA"/>
        </w:rPr>
      </w:pPr>
      <w:r w:rsidRPr="00087234">
        <w:rPr>
          <w:rStyle w:val="Appelnotedebasdep"/>
        </w:rPr>
        <w:footnoteRef/>
      </w:r>
      <w:r w:rsidRPr="00087234">
        <w:rPr>
          <w:lang w:val="en-CA"/>
        </w:rPr>
        <w:t xml:space="preserve"> </w:t>
      </w:r>
      <w:r w:rsidRPr="00087234">
        <w:rPr>
          <w:lang w:val="en-CA"/>
        </w:rPr>
        <w:tab/>
      </w:r>
      <w:r w:rsidR="000032F7" w:rsidRPr="00087234">
        <w:rPr>
          <w:i/>
          <w:iCs/>
          <w:lang w:val="en-CA"/>
        </w:rPr>
        <w:t>House of Commons Hansard</w:t>
      </w:r>
      <w:r w:rsidR="000032F7" w:rsidRPr="00087234">
        <w:rPr>
          <w:lang w:val="en-CA"/>
        </w:rPr>
        <w:t xml:space="preserve"> </w:t>
      </w:r>
      <w:r w:rsidR="003762E3" w:rsidRPr="00087234">
        <w:rPr>
          <w:lang w:val="en-CA"/>
        </w:rPr>
        <w:t>(Hon Stéphane Dion).</w:t>
      </w:r>
    </w:p>
  </w:footnote>
  <w:footnote w:id="99">
    <w:p w14:paraId="3D9706F1" w14:textId="249E9BEB" w:rsidR="004A3CDE" w:rsidRPr="00EC7EFF" w:rsidRDefault="0096102C"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r>
      <w:r w:rsidR="00B35687" w:rsidRPr="00EC7EFF">
        <w:rPr>
          <w:i/>
          <w:iCs/>
          <w:lang w:val="en-CA"/>
        </w:rPr>
        <w:t>Senate Hansard</w:t>
      </w:r>
      <w:r w:rsidR="00B35687" w:rsidRPr="00EC7EFF">
        <w:rPr>
          <w:lang w:val="en-CA"/>
        </w:rPr>
        <w:t>, 36-1, Vol 137, Issue 26 (4 December 1997) (Hon</w:t>
      </w:r>
      <w:r w:rsidRPr="00EC7EFF">
        <w:rPr>
          <w:lang w:val="en-CA"/>
        </w:rPr>
        <w:t xml:space="preserve"> Lise Bacon </w:t>
      </w:r>
      <w:r w:rsidR="00B35687" w:rsidRPr="00EC7EFF">
        <w:rPr>
          <w:lang w:val="en-CA"/>
        </w:rPr>
        <w:t>and Hon</w:t>
      </w:r>
      <w:r w:rsidRPr="00EC7EFF">
        <w:rPr>
          <w:lang w:val="en-CA"/>
        </w:rPr>
        <w:t xml:space="preserve"> Michael Kirby</w:t>
      </w:r>
      <w:r w:rsidR="00B35687" w:rsidRPr="00EC7EFF">
        <w:rPr>
          <w:lang w:val="en-CA"/>
        </w:rPr>
        <w:t>)</w:t>
      </w:r>
      <w:r w:rsidRPr="00EC7EFF">
        <w:rPr>
          <w:lang w:val="en-CA"/>
        </w:rPr>
        <w:t xml:space="preserve">; </w:t>
      </w:r>
      <w:r w:rsidR="00B35687" w:rsidRPr="00EC7EFF">
        <w:rPr>
          <w:i/>
          <w:iCs/>
          <w:lang w:val="en-CA"/>
        </w:rPr>
        <w:t>Senate Hansard</w:t>
      </w:r>
      <w:r w:rsidR="00B35687" w:rsidRPr="00EC7EFF">
        <w:rPr>
          <w:lang w:val="en-CA"/>
        </w:rPr>
        <w:t xml:space="preserve">, 36-1, Vol. 137, Issue 28 (9 December 1997) (Hon </w:t>
      </w:r>
      <w:r w:rsidRPr="00EC7EFF">
        <w:rPr>
          <w:lang w:val="en-CA"/>
        </w:rPr>
        <w:t>Fernand Robichaud</w:t>
      </w:r>
      <w:r w:rsidR="00B35687" w:rsidRPr="00EC7EFF">
        <w:rPr>
          <w:lang w:val="en-CA"/>
        </w:rPr>
        <w:t>).</w:t>
      </w:r>
    </w:p>
  </w:footnote>
  <w:footnote w:id="100">
    <w:p w14:paraId="7D758E8A" w14:textId="79207197" w:rsidR="007B7032" w:rsidRPr="00EC7EFF" w:rsidRDefault="007B7032"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t>SQ 1997, c 47.</w:t>
      </w:r>
    </w:p>
  </w:footnote>
  <w:footnote w:id="101">
    <w:p w14:paraId="49BC25AD" w14:textId="70E93D32" w:rsidR="007B7032" w:rsidRPr="00EC7EFF" w:rsidRDefault="007B7032"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t>SQ 1997, c 96, ‟</w:t>
      </w:r>
      <w:r w:rsidRPr="005352DE">
        <w:rPr>
          <w:lang w:val="en-CA"/>
        </w:rPr>
        <w:t>Bill 180</w:t>
      </w:r>
      <w:r w:rsidR="00AB2EBD" w:rsidRPr="00EC7EFF">
        <w:rPr>
          <w:lang w:val="en-CA"/>
        </w:rPr>
        <w:t>”.</w:t>
      </w:r>
    </w:p>
  </w:footnote>
  <w:footnote w:id="102">
    <w:p w14:paraId="17D738E8" w14:textId="52605F71" w:rsidR="00411F83" w:rsidRPr="008760EC" w:rsidRDefault="0096102C" w:rsidP="00136683">
      <w:pPr>
        <w:pStyle w:val="Notedebasdepage"/>
        <w:ind w:left="426" w:hanging="426"/>
        <w:rPr>
          <w:highlight w:val="yellow"/>
          <w:lang w:val="en-CA"/>
        </w:rPr>
      </w:pPr>
      <w:r w:rsidRPr="00EC7EFF">
        <w:rPr>
          <w:rStyle w:val="Appelnotedebasdep"/>
        </w:rPr>
        <w:footnoteRef/>
      </w:r>
      <w:r w:rsidRPr="00EC7EFF">
        <w:rPr>
          <w:lang w:val="en-CA"/>
        </w:rPr>
        <w:t xml:space="preserve"> </w:t>
      </w:r>
      <w:r w:rsidRPr="00EC7EFF">
        <w:rPr>
          <w:lang w:val="en-CA"/>
        </w:rPr>
        <w:tab/>
        <w:t>Lemieux Report</w:t>
      </w:r>
      <w:r w:rsidR="007B7032" w:rsidRPr="00EC7EFF">
        <w:rPr>
          <w:lang w:val="en-CA"/>
        </w:rPr>
        <w:t xml:space="preserve"> at </w:t>
      </w:r>
      <w:r w:rsidR="005554F5" w:rsidRPr="00EC7EFF">
        <w:rPr>
          <w:lang w:val="en-CA"/>
        </w:rPr>
        <w:t xml:space="preserve">para </w:t>
      </w:r>
      <w:r w:rsidRPr="00EC7EFF">
        <w:rPr>
          <w:lang w:val="en-CA"/>
        </w:rPr>
        <w:t>77.</w:t>
      </w:r>
    </w:p>
  </w:footnote>
  <w:footnote w:id="103">
    <w:p w14:paraId="03F9CAA1" w14:textId="02577484" w:rsidR="00C32D80" w:rsidRPr="00EC7EFF" w:rsidRDefault="00C32D80"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r>
      <w:r w:rsidRPr="00EC7EFF">
        <w:rPr>
          <w:i/>
          <w:iCs/>
          <w:lang w:val="en-CA"/>
        </w:rPr>
        <w:t xml:space="preserve">Ibid </w:t>
      </w:r>
      <w:r w:rsidRPr="00EC7EFF">
        <w:rPr>
          <w:lang w:val="en-CA"/>
        </w:rPr>
        <w:t xml:space="preserve">at </w:t>
      </w:r>
      <w:r w:rsidR="005554F5" w:rsidRPr="00EC7EFF">
        <w:rPr>
          <w:lang w:val="en-CA"/>
        </w:rPr>
        <w:t xml:space="preserve">para </w:t>
      </w:r>
      <w:r w:rsidRPr="00EC7EFF">
        <w:rPr>
          <w:lang w:val="en-CA"/>
        </w:rPr>
        <w:t>78.</w:t>
      </w:r>
    </w:p>
  </w:footnote>
  <w:footnote w:id="104">
    <w:p w14:paraId="3C58A026" w14:textId="701DA4AC" w:rsidR="00C32D80" w:rsidRPr="00EC7EFF" w:rsidRDefault="00C32D80"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r>
      <w:r w:rsidRPr="00EC7EFF">
        <w:rPr>
          <w:i/>
          <w:iCs/>
          <w:lang w:val="en-CA"/>
        </w:rPr>
        <w:t xml:space="preserve">Ibid </w:t>
      </w:r>
      <w:r w:rsidRPr="00EC7EFF">
        <w:rPr>
          <w:lang w:val="en-CA"/>
        </w:rPr>
        <w:t xml:space="preserve">at </w:t>
      </w:r>
      <w:r w:rsidR="005554F5" w:rsidRPr="00EC7EFF">
        <w:rPr>
          <w:lang w:val="en-CA"/>
        </w:rPr>
        <w:t xml:space="preserve">para </w:t>
      </w:r>
      <w:r w:rsidRPr="00EC7EFF">
        <w:rPr>
          <w:lang w:val="en-CA"/>
        </w:rPr>
        <w:t xml:space="preserve">85. </w:t>
      </w:r>
    </w:p>
  </w:footnote>
  <w:footnote w:id="105">
    <w:p w14:paraId="1AAE8F23" w14:textId="6D759ED1" w:rsidR="00C32D80" w:rsidRPr="008760EC" w:rsidRDefault="00C32D80" w:rsidP="00136683">
      <w:pPr>
        <w:pStyle w:val="Notedebasdepage"/>
        <w:ind w:left="426" w:hanging="426"/>
        <w:rPr>
          <w:highlight w:val="yellow"/>
          <w:lang w:val="en-CA"/>
        </w:rPr>
      </w:pPr>
      <w:r w:rsidRPr="00EC7EFF">
        <w:rPr>
          <w:rStyle w:val="Appelnotedebasdep"/>
        </w:rPr>
        <w:footnoteRef/>
      </w:r>
      <w:r w:rsidRPr="00EC7EFF">
        <w:rPr>
          <w:lang w:val="en-CA"/>
        </w:rPr>
        <w:t xml:space="preserve"> </w:t>
      </w:r>
      <w:r w:rsidRPr="00EC7EFF">
        <w:rPr>
          <w:lang w:val="en-CA"/>
        </w:rPr>
        <w:tab/>
      </w:r>
      <w:r w:rsidR="00C71A80" w:rsidRPr="00EC7EFF">
        <w:rPr>
          <w:lang w:val="en-CA"/>
        </w:rPr>
        <w:t>S</w:t>
      </w:r>
      <w:r w:rsidRPr="00EC7EFF">
        <w:rPr>
          <w:lang w:val="en-CA"/>
        </w:rPr>
        <w:t>Q 2008, c 29.</w:t>
      </w:r>
    </w:p>
  </w:footnote>
  <w:footnote w:id="106">
    <w:p w14:paraId="2935C258" w14:textId="7FBF2B9A" w:rsidR="00C32D80" w:rsidRPr="008760EC" w:rsidRDefault="00C32D80" w:rsidP="00136683">
      <w:pPr>
        <w:pStyle w:val="Notedebasdepage"/>
        <w:ind w:left="426" w:hanging="426"/>
        <w:rPr>
          <w:rFonts w:cs="Arial"/>
          <w:highlight w:val="yellow"/>
          <w:lang w:val="en-CA"/>
        </w:rPr>
      </w:pPr>
      <w:r w:rsidRPr="00EC7EFF">
        <w:rPr>
          <w:rStyle w:val="Appelnotedebasdep"/>
          <w:rFonts w:cs="Arial"/>
        </w:rPr>
        <w:footnoteRef/>
      </w:r>
      <w:r w:rsidRPr="00EC7EFF">
        <w:rPr>
          <w:rFonts w:cs="Arial"/>
          <w:lang w:val="en-CA"/>
        </w:rPr>
        <w:t xml:space="preserve"> </w:t>
      </w:r>
      <w:r w:rsidRPr="00EC7EFF">
        <w:rPr>
          <w:rFonts w:cs="Arial"/>
          <w:lang w:val="en-CA"/>
        </w:rPr>
        <w:tab/>
      </w:r>
      <w:r w:rsidR="00BA1219" w:rsidRPr="00EC7EFF">
        <w:rPr>
          <w:rFonts w:cs="Arial"/>
          <w:lang w:val="en-CA"/>
        </w:rPr>
        <w:t>CQLR</w:t>
      </w:r>
      <w:r w:rsidRPr="00EC7EFF">
        <w:rPr>
          <w:rFonts w:cs="Arial"/>
          <w:lang w:val="en-CA"/>
        </w:rPr>
        <w:t xml:space="preserve"> c C-11. </w:t>
      </w:r>
    </w:p>
  </w:footnote>
  <w:footnote w:id="107">
    <w:p w14:paraId="67F1713F" w14:textId="71D4BA89" w:rsidR="004268A5" w:rsidRPr="00EC7EFF" w:rsidRDefault="0096102C" w:rsidP="00136683">
      <w:pPr>
        <w:pStyle w:val="Notedebasdepage"/>
        <w:ind w:left="426" w:hanging="426"/>
        <w:rPr>
          <w:lang w:val="en-CA"/>
        </w:rPr>
      </w:pPr>
      <w:r w:rsidRPr="00EC7EFF">
        <w:rPr>
          <w:rStyle w:val="Appelnotedebasdep"/>
        </w:rPr>
        <w:footnoteRef/>
      </w:r>
      <w:r w:rsidRPr="00EC7EFF">
        <w:rPr>
          <w:lang w:val="en-CA"/>
        </w:rPr>
        <w:t xml:space="preserve"> </w:t>
      </w:r>
      <w:r w:rsidRPr="00EC7EFF">
        <w:rPr>
          <w:lang w:val="en-CA"/>
        </w:rPr>
        <w:tab/>
      </w:r>
      <w:r w:rsidRPr="00EC7EFF">
        <w:rPr>
          <w:rFonts w:cs="Arial"/>
          <w:color w:val="212529"/>
          <w:lang w:val="en-CA"/>
        </w:rPr>
        <w:t>1993 CanLII 119 (</w:t>
      </w:r>
      <w:r w:rsidR="00F8060B" w:rsidRPr="00EC7EFF">
        <w:rPr>
          <w:rFonts w:cs="Arial"/>
          <w:color w:val="212529"/>
          <w:lang w:val="en-CA"/>
        </w:rPr>
        <w:t>SCC</w:t>
      </w:r>
      <w:r w:rsidRPr="00EC7EFF">
        <w:rPr>
          <w:rFonts w:cs="Arial"/>
          <w:color w:val="212529"/>
          <w:lang w:val="en-CA"/>
        </w:rPr>
        <w:t xml:space="preserve">), [1993] 1 </w:t>
      </w:r>
      <w:r w:rsidR="00F8060B" w:rsidRPr="00EC7EFF">
        <w:rPr>
          <w:rFonts w:cs="Arial"/>
          <w:color w:val="212529"/>
          <w:lang w:val="en-CA"/>
        </w:rPr>
        <w:t>SCR</w:t>
      </w:r>
      <w:r w:rsidRPr="00EC7EFF">
        <w:rPr>
          <w:rFonts w:cs="Arial"/>
          <w:color w:val="212529"/>
          <w:lang w:val="en-CA"/>
        </w:rPr>
        <w:t xml:space="preserve"> 839</w:t>
      </w:r>
      <w:r w:rsidR="002749E2" w:rsidRPr="00EC7EFF">
        <w:rPr>
          <w:rFonts w:cs="Arial"/>
          <w:color w:val="212529"/>
          <w:lang w:val="en-CA"/>
        </w:rPr>
        <w:t xml:space="preserve"> at</w:t>
      </w:r>
      <w:r w:rsidRPr="00EC7EFF">
        <w:rPr>
          <w:rFonts w:cs="Arial"/>
          <w:color w:val="212529"/>
          <w:lang w:val="en-CA"/>
        </w:rPr>
        <w:t xml:space="preserve"> 851.</w:t>
      </w:r>
    </w:p>
  </w:footnote>
  <w:footnote w:id="108">
    <w:p w14:paraId="04135E0F" w14:textId="0843FAA9" w:rsidR="00C32D80" w:rsidRPr="00EC7EFF" w:rsidRDefault="00C32D80" w:rsidP="00136683">
      <w:pPr>
        <w:pStyle w:val="Notedebasdepage"/>
        <w:ind w:left="426" w:hanging="426"/>
      </w:pPr>
      <w:r w:rsidRPr="00EC7EFF">
        <w:rPr>
          <w:rStyle w:val="Appelnotedebasdep"/>
        </w:rPr>
        <w:footnoteRef/>
      </w:r>
      <w:r w:rsidRPr="00EC7EFF">
        <w:t xml:space="preserve"> </w:t>
      </w:r>
      <w:r w:rsidRPr="00EC7EFF">
        <w:tab/>
        <w:t xml:space="preserve">Guillaume Rousseau </w:t>
      </w:r>
      <w:r w:rsidR="002749E2" w:rsidRPr="00EC7EFF">
        <w:t>&amp;</w:t>
      </w:r>
      <w:r w:rsidRPr="00EC7EFF">
        <w:t xml:space="preserve"> Éric Poirier, </w:t>
      </w:r>
      <w:r w:rsidRPr="00EC7EFF">
        <w:rPr>
          <w:i/>
          <w:iCs/>
        </w:rPr>
        <w:t xml:space="preserve">Le droit linguistique au Québec </w:t>
      </w:r>
      <w:r w:rsidRPr="00EC7EFF">
        <w:t xml:space="preserve">(Lexis Nexis, 2017) at 244. </w:t>
      </w:r>
    </w:p>
  </w:footnote>
  <w:footnote w:id="109">
    <w:p w14:paraId="55BD6BD0" w14:textId="4F670E34" w:rsidR="00C32D80" w:rsidRPr="008760EC" w:rsidRDefault="00C32D80" w:rsidP="00136683">
      <w:pPr>
        <w:pStyle w:val="Notedebasdepage"/>
        <w:ind w:left="426" w:hanging="426"/>
        <w:rPr>
          <w:highlight w:val="yellow"/>
          <w:lang w:val="en-CA"/>
        </w:rPr>
      </w:pPr>
      <w:r w:rsidRPr="00EC7EFF">
        <w:rPr>
          <w:rStyle w:val="Appelnotedebasdep"/>
        </w:rPr>
        <w:footnoteRef/>
      </w:r>
      <w:r w:rsidRPr="00EC7EFF">
        <w:rPr>
          <w:rFonts w:cs="Arial"/>
          <w:lang w:val="en-CA"/>
        </w:rPr>
        <w:t xml:space="preserve"> </w:t>
      </w:r>
      <w:r w:rsidRPr="00EC7EFF">
        <w:rPr>
          <w:rFonts w:cs="Arial"/>
          <w:lang w:val="en-CA"/>
        </w:rPr>
        <w:tab/>
      </w:r>
      <w:r w:rsidRPr="00EC7EFF">
        <w:rPr>
          <w:rFonts w:cs="Arial"/>
          <w:i/>
          <w:iCs/>
          <w:lang w:val="en-CA"/>
        </w:rPr>
        <w:t xml:space="preserve">A.B. </w:t>
      </w:r>
      <w:r w:rsidR="003255AA" w:rsidRPr="00EC7EFF">
        <w:rPr>
          <w:rFonts w:cs="Arial"/>
          <w:i/>
          <w:iCs/>
          <w:lang w:val="en-CA"/>
        </w:rPr>
        <w:t xml:space="preserve">v </w:t>
      </w:r>
      <w:r w:rsidRPr="00EC7EFF">
        <w:rPr>
          <w:rFonts w:cs="Arial"/>
          <w:i/>
          <w:iCs/>
          <w:color w:val="212529"/>
          <w:lang w:val="en-CA"/>
        </w:rPr>
        <w:t>Northwest Territories (Minister of Education, Culture and Employment)</w:t>
      </w:r>
      <w:r w:rsidRPr="00EC7EFF">
        <w:rPr>
          <w:rFonts w:cs="Arial"/>
          <w:color w:val="212529"/>
          <w:lang w:val="en-CA"/>
        </w:rPr>
        <w:t xml:space="preserve">, 2021 NWTCA 8; </w:t>
      </w:r>
      <w:r w:rsidR="006A482C" w:rsidRPr="00EC7EFF">
        <w:rPr>
          <w:rFonts w:cs="Arial"/>
          <w:color w:val="212529"/>
          <w:lang w:val="en-CA"/>
        </w:rPr>
        <w:t>under</w:t>
      </w:r>
      <w:r w:rsidR="00D4626C" w:rsidRPr="00EC7EFF">
        <w:rPr>
          <w:rFonts w:cs="Arial"/>
          <w:color w:val="212529"/>
          <w:lang w:val="en-CA"/>
        </w:rPr>
        <w:t xml:space="preserve"> </w:t>
      </w:r>
      <w:r w:rsidRPr="00EC7EFF">
        <w:rPr>
          <w:rFonts w:cs="Arial"/>
          <w:color w:val="212529"/>
          <w:lang w:val="en-CA"/>
        </w:rPr>
        <w:t xml:space="preserve">appeal to the Supreme Court of Canada,  39915 </w:t>
      </w:r>
      <w:r w:rsidR="007C3247" w:rsidRPr="00EC7EFF">
        <w:rPr>
          <w:rFonts w:cs="Arial"/>
          <w:color w:val="212529"/>
          <w:lang w:val="en-CA"/>
        </w:rPr>
        <w:t>(under advisement since</w:t>
      </w:r>
      <w:r w:rsidR="00DB01B0">
        <w:rPr>
          <w:rFonts w:cs="Arial"/>
          <w:color w:val="212529"/>
          <w:lang w:val="en-CA"/>
        </w:rPr>
        <w:t xml:space="preserve"> </w:t>
      </w:r>
      <w:r w:rsidR="007C3247" w:rsidRPr="00EC7EFF">
        <w:rPr>
          <w:rFonts w:cs="Arial"/>
          <w:color w:val="212529"/>
          <w:lang w:val="en-CA"/>
        </w:rPr>
        <w:t>9</w:t>
      </w:r>
      <w:r w:rsidRPr="00EC7EFF">
        <w:rPr>
          <w:rFonts w:cs="Arial"/>
          <w:color w:val="212529"/>
          <w:lang w:val="en-CA"/>
        </w:rPr>
        <w:t xml:space="preserve"> February</w:t>
      </w:r>
      <w:r w:rsidR="007C3247" w:rsidRPr="00EC7EFF">
        <w:rPr>
          <w:rFonts w:cs="Arial"/>
          <w:color w:val="212529"/>
          <w:lang w:val="en-CA"/>
        </w:rPr>
        <w:t xml:space="preserve"> </w:t>
      </w:r>
      <w:r w:rsidRPr="00EC7EFF">
        <w:rPr>
          <w:rFonts w:cs="Arial"/>
          <w:color w:val="212529"/>
          <w:lang w:val="en-CA"/>
        </w:rPr>
        <w:t>2023</w:t>
      </w:r>
      <w:r w:rsidR="007C3247" w:rsidRPr="00EC7EFF">
        <w:rPr>
          <w:rFonts w:cs="Arial"/>
          <w:color w:val="212529"/>
          <w:lang w:val="en-CA"/>
        </w:rPr>
        <w:t>)</w:t>
      </w:r>
      <w:r w:rsidRPr="00EC7EFF">
        <w:rPr>
          <w:rFonts w:cs="Arial"/>
          <w:color w:val="212529"/>
          <w:lang w:val="en-CA"/>
        </w:rPr>
        <w:t>.</w:t>
      </w:r>
      <w:r w:rsidRPr="00EC7EFF">
        <w:rPr>
          <w:rFonts w:ascii="Open Sans" w:hAnsi="Open Sans" w:cs="Open Sans"/>
          <w:color w:val="212529"/>
          <w:lang w:val="en-CA"/>
        </w:rPr>
        <w:t xml:space="preserve"> </w:t>
      </w:r>
    </w:p>
  </w:footnote>
  <w:footnote w:id="110">
    <w:p w14:paraId="5C40A167" w14:textId="4E25464C" w:rsidR="00C32D80" w:rsidRPr="00DB01B0" w:rsidRDefault="00C32D80" w:rsidP="00136683">
      <w:pPr>
        <w:pStyle w:val="Notedebasdepage"/>
        <w:ind w:left="426" w:hanging="426"/>
        <w:rPr>
          <w:lang w:val="en-CA"/>
        </w:rPr>
      </w:pPr>
      <w:r w:rsidRPr="00DB01B0">
        <w:rPr>
          <w:rStyle w:val="Appelnotedebasdep"/>
        </w:rPr>
        <w:footnoteRef/>
      </w:r>
      <w:r w:rsidRPr="00DB01B0">
        <w:rPr>
          <w:lang w:val="en-CA"/>
        </w:rPr>
        <w:t xml:space="preserve"> </w:t>
      </w:r>
      <w:r w:rsidRPr="00DB01B0">
        <w:rPr>
          <w:lang w:val="en-CA"/>
        </w:rPr>
        <w:tab/>
        <w:t>Website of the qesba.qc.ca</w:t>
      </w:r>
      <w:r w:rsidR="00D4626C" w:rsidRPr="00DB01B0">
        <w:rPr>
          <w:lang w:val="en-CA"/>
        </w:rPr>
        <w:t>.</w:t>
      </w:r>
    </w:p>
  </w:footnote>
  <w:footnote w:id="111">
    <w:p w14:paraId="79FA7DD6" w14:textId="006BD598" w:rsidR="00C32D80" w:rsidRPr="008760EC" w:rsidRDefault="00C32D80" w:rsidP="00136683">
      <w:pPr>
        <w:pStyle w:val="Notedebasdepage"/>
        <w:ind w:left="426" w:hanging="426"/>
        <w:rPr>
          <w:highlight w:val="yellow"/>
          <w:lang w:val="en-CA"/>
        </w:rPr>
      </w:pPr>
      <w:r w:rsidRPr="00DB01B0">
        <w:rPr>
          <w:rStyle w:val="Appelnotedebasdep"/>
        </w:rPr>
        <w:footnoteRef/>
      </w:r>
      <w:r w:rsidRPr="00DB01B0">
        <w:rPr>
          <w:lang w:val="en-CA"/>
        </w:rPr>
        <w:t xml:space="preserve"> </w:t>
      </w:r>
      <w:r w:rsidRPr="00DB01B0">
        <w:rPr>
          <w:lang w:val="en-CA"/>
        </w:rPr>
        <w:tab/>
        <w:t xml:space="preserve">Report by Professor Loewen, exhibit P-45 at </w:t>
      </w:r>
      <w:r w:rsidR="005554F5" w:rsidRPr="00DB01B0">
        <w:rPr>
          <w:lang w:val="en-CA"/>
        </w:rPr>
        <w:t xml:space="preserve">para </w:t>
      </w:r>
      <w:r w:rsidRPr="00DB01B0">
        <w:rPr>
          <w:lang w:val="en-CA"/>
        </w:rPr>
        <w:t>25.</w:t>
      </w:r>
    </w:p>
  </w:footnote>
  <w:footnote w:id="112">
    <w:p w14:paraId="3BF96841" w14:textId="568331B2" w:rsidR="00C32D80" w:rsidRPr="00EE62CF" w:rsidRDefault="00C32D80"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t xml:space="preserve">Vitality of Quebec’s English-Language Communities, exhibit P-78 at 4. </w:t>
      </w:r>
    </w:p>
  </w:footnote>
  <w:footnote w:id="113">
    <w:p w14:paraId="04F4E413" w14:textId="7324A529" w:rsidR="00C32D80" w:rsidRPr="00EE62CF" w:rsidRDefault="00C32D80"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r>
      <w:r w:rsidRPr="00EE62CF">
        <w:rPr>
          <w:rFonts w:cs="Arial"/>
          <w:i/>
          <w:iCs/>
          <w:lang w:val="en-CA"/>
        </w:rPr>
        <w:t xml:space="preserve">Arsenault-Cameron </w:t>
      </w:r>
      <w:r w:rsidR="003255AA" w:rsidRPr="00EE62CF">
        <w:rPr>
          <w:rFonts w:cs="Arial"/>
          <w:i/>
          <w:iCs/>
          <w:lang w:val="en-CA"/>
        </w:rPr>
        <w:t xml:space="preserve">v </w:t>
      </w:r>
      <w:r w:rsidR="00C71A80" w:rsidRPr="00EE62CF">
        <w:rPr>
          <w:rFonts w:cs="Arial"/>
          <w:i/>
          <w:iCs/>
          <w:lang w:val="en-CA"/>
        </w:rPr>
        <w:t>Prince Edward Island</w:t>
      </w:r>
      <w:r w:rsidRPr="00EE62CF">
        <w:rPr>
          <w:rFonts w:cs="Arial"/>
          <w:lang w:val="en-CA"/>
        </w:rPr>
        <w:t xml:space="preserve">, </w:t>
      </w:r>
      <w:r w:rsidRPr="00EE62CF">
        <w:rPr>
          <w:rStyle w:val="Hyperlien"/>
          <w:rFonts w:cs="Arial"/>
          <w:color w:val="auto"/>
          <w:u w:val="none"/>
          <w:lang w:val="en-CA"/>
        </w:rPr>
        <w:t>2000 SCC 1 (CanLII)</w:t>
      </w:r>
      <w:r w:rsidRPr="00EE62CF">
        <w:rPr>
          <w:rFonts w:cs="Arial"/>
          <w:lang w:val="en-CA"/>
        </w:rPr>
        <w:t xml:space="preserve">, [2000] 1 </w:t>
      </w:r>
      <w:r w:rsidR="003255AA" w:rsidRPr="00EE62CF">
        <w:rPr>
          <w:rFonts w:cs="Arial"/>
          <w:lang w:val="en-CA"/>
        </w:rPr>
        <w:t>SCR</w:t>
      </w:r>
      <w:r w:rsidRPr="00EE62CF">
        <w:rPr>
          <w:rFonts w:cs="Arial"/>
          <w:lang w:val="en-CA"/>
        </w:rPr>
        <w:t xml:space="preserve"> 3 at </w:t>
      </w:r>
      <w:r w:rsidR="005554F5" w:rsidRPr="00EE62CF">
        <w:rPr>
          <w:rFonts w:cs="Arial"/>
          <w:lang w:val="en-CA"/>
        </w:rPr>
        <w:t xml:space="preserve">para </w:t>
      </w:r>
      <w:r w:rsidR="006D3A44" w:rsidRPr="00EE62CF">
        <w:rPr>
          <w:rFonts w:cs="Arial"/>
          <w:lang w:val="en-CA"/>
        </w:rPr>
        <w:t>4</w:t>
      </w:r>
      <w:r w:rsidRPr="00EE62CF">
        <w:rPr>
          <w:rStyle w:val="Hyperlien"/>
          <w:rFonts w:cs="Arial"/>
          <w:color w:val="auto"/>
          <w:u w:val="none"/>
          <w:lang w:val="en-CA"/>
        </w:rPr>
        <w:t>6</w:t>
      </w:r>
      <w:r w:rsidRPr="00EE62CF">
        <w:rPr>
          <w:rFonts w:cs="Arial"/>
          <w:lang w:val="en-CA"/>
        </w:rPr>
        <w:t>.</w:t>
      </w:r>
    </w:p>
  </w:footnote>
  <w:footnote w:id="114">
    <w:p w14:paraId="03C285B9" w14:textId="2EF36670" w:rsidR="00C32D80" w:rsidRPr="00EE62CF" w:rsidRDefault="00C32D80"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r>
      <w:r w:rsidR="00C71A80" w:rsidRPr="00EE62CF">
        <w:rPr>
          <w:rFonts w:cs="Arial"/>
          <w:i/>
          <w:iCs/>
          <w:color w:val="000000"/>
          <w:shd w:val="clear" w:color="auto" w:fill="FFFFFF"/>
          <w:lang w:val="en-CA"/>
        </w:rPr>
        <w:t>Quebec Association of Protestant School Boards</w:t>
      </w:r>
      <w:r w:rsidR="00C71A80" w:rsidRPr="00EE62CF">
        <w:rPr>
          <w:rFonts w:cs="Arial"/>
          <w:color w:val="000000"/>
          <w:shd w:val="clear" w:color="auto" w:fill="FFFFFF"/>
          <w:lang w:val="en-CA"/>
        </w:rPr>
        <w:t xml:space="preserve"> </w:t>
      </w:r>
      <w:r w:rsidR="003255AA" w:rsidRPr="00EE62CF">
        <w:rPr>
          <w:rFonts w:cs="Arial"/>
          <w:i/>
          <w:iCs/>
          <w:color w:val="000000"/>
          <w:shd w:val="clear" w:color="auto" w:fill="FFFFFF"/>
          <w:lang w:val="en-CA"/>
        </w:rPr>
        <w:t xml:space="preserve">v </w:t>
      </w:r>
      <w:r w:rsidR="00C71A80" w:rsidRPr="00EE62CF">
        <w:rPr>
          <w:rFonts w:cs="Arial"/>
          <w:i/>
          <w:iCs/>
          <w:color w:val="000000"/>
          <w:shd w:val="clear" w:color="auto" w:fill="FFFFFF"/>
          <w:lang w:val="en-CA"/>
        </w:rPr>
        <w:t>Attorney General of Quebec</w:t>
      </w:r>
      <w:r w:rsidRPr="00EE62CF">
        <w:rPr>
          <w:rFonts w:cs="Arial"/>
          <w:i/>
          <w:iCs/>
          <w:color w:val="000000"/>
          <w:shd w:val="clear" w:color="auto" w:fill="FFFFFF"/>
          <w:lang w:val="en-CA"/>
        </w:rPr>
        <w:t>, </w:t>
      </w:r>
      <w:r w:rsidRPr="00EE62CF">
        <w:rPr>
          <w:rFonts w:cs="Arial"/>
          <w:color w:val="000000"/>
          <w:shd w:val="clear" w:color="auto" w:fill="FFFFFF"/>
          <w:lang w:val="en-CA"/>
        </w:rPr>
        <w:t>EYB 1985-145765 (J.E. 85-693) (</w:t>
      </w:r>
      <w:r w:rsidR="00C71A80" w:rsidRPr="00EE62CF">
        <w:rPr>
          <w:rFonts w:cs="Arial"/>
          <w:color w:val="000000"/>
          <w:shd w:val="clear" w:color="auto" w:fill="FFFFFF"/>
          <w:lang w:val="en-CA"/>
        </w:rPr>
        <w:t>Full text</w:t>
      </w:r>
      <w:r w:rsidR="007A4BDD">
        <w:rPr>
          <w:rFonts w:cs="Arial"/>
          <w:color w:val="000000"/>
          <w:shd w:val="clear" w:color="auto" w:fill="FFFFFF"/>
          <w:lang w:val="en-CA"/>
        </w:rPr>
        <w:t xml:space="preserve"> of</w:t>
      </w:r>
      <w:r w:rsidR="00C71A80" w:rsidRPr="00EE62CF">
        <w:rPr>
          <w:rFonts w:cs="Arial"/>
          <w:color w:val="000000"/>
          <w:shd w:val="clear" w:color="auto" w:fill="FFFFFF"/>
          <w:lang w:val="en-CA"/>
        </w:rPr>
        <w:t xml:space="preserve"> English-language version</w:t>
      </w:r>
      <w:r w:rsidRPr="00EE62CF">
        <w:rPr>
          <w:rFonts w:cs="Arial"/>
          <w:color w:val="000000"/>
          <w:shd w:val="clear" w:color="auto" w:fill="FFFFFF"/>
          <w:lang w:val="en-CA"/>
        </w:rPr>
        <w:t xml:space="preserve">) at </w:t>
      </w:r>
      <w:r w:rsidR="00323213" w:rsidRPr="00EE62CF">
        <w:rPr>
          <w:rFonts w:cs="Arial"/>
          <w:color w:val="000000"/>
          <w:shd w:val="clear" w:color="auto" w:fill="FFFFFF"/>
          <w:lang w:val="en-CA"/>
        </w:rPr>
        <w:t>para</w:t>
      </w:r>
      <w:r w:rsidR="00EE62CF">
        <w:rPr>
          <w:rFonts w:cs="Arial"/>
          <w:color w:val="000000"/>
          <w:shd w:val="clear" w:color="auto" w:fill="FFFFFF"/>
          <w:lang w:val="en-CA"/>
        </w:rPr>
        <w:t>s</w:t>
      </w:r>
      <w:r w:rsidR="00323213" w:rsidRPr="00EE62CF">
        <w:rPr>
          <w:rFonts w:cs="Arial"/>
          <w:color w:val="000000"/>
          <w:shd w:val="clear" w:color="auto" w:fill="FFFFFF"/>
          <w:lang w:val="en-CA"/>
        </w:rPr>
        <w:t xml:space="preserve"> </w:t>
      </w:r>
      <w:r w:rsidRPr="00EE62CF">
        <w:rPr>
          <w:rFonts w:cs="Arial"/>
          <w:color w:val="000000"/>
          <w:shd w:val="clear" w:color="auto" w:fill="FFFFFF"/>
          <w:lang w:val="en-CA"/>
        </w:rPr>
        <w:t>236 and 237.</w:t>
      </w:r>
    </w:p>
  </w:footnote>
  <w:footnote w:id="115">
    <w:p w14:paraId="46087332" w14:textId="54F7BE6B" w:rsidR="003C535D" w:rsidRPr="008760EC" w:rsidRDefault="0096102C" w:rsidP="00136683">
      <w:pPr>
        <w:pStyle w:val="Notedebasdepage"/>
        <w:ind w:left="426" w:hanging="426"/>
        <w:rPr>
          <w:highlight w:val="yellow"/>
        </w:rPr>
      </w:pPr>
      <w:r w:rsidRPr="00EE62CF">
        <w:rPr>
          <w:rStyle w:val="Appelnotedebasdep"/>
        </w:rPr>
        <w:footnoteRef/>
      </w:r>
      <w:r w:rsidRPr="00EE62CF">
        <w:t xml:space="preserve"> </w:t>
      </w:r>
      <w:r w:rsidRPr="00EE62CF">
        <w:tab/>
        <w:t>1996 CanLII 1455 (B</w:t>
      </w:r>
      <w:r w:rsidR="00C32D80" w:rsidRPr="00EE62CF">
        <w:t>C</w:t>
      </w:r>
      <w:r w:rsidR="00EE62CF">
        <w:t xml:space="preserve"> </w:t>
      </w:r>
      <w:r w:rsidR="00C32D80" w:rsidRPr="00EE62CF">
        <w:t>S</w:t>
      </w:r>
      <w:r w:rsidR="00F8060B" w:rsidRPr="00EE62CF">
        <w:t>C</w:t>
      </w:r>
      <w:r w:rsidRPr="00EE62CF">
        <w:t>).</w:t>
      </w:r>
    </w:p>
  </w:footnote>
  <w:footnote w:id="116">
    <w:p w14:paraId="04012A9D" w14:textId="1695445C" w:rsidR="00C32D80" w:rsidRPr="001B4C82" w:rsidRDefault="00C32D80" w:rsidP="00136683">
      <w:pPr>
        <w:pStyle w:val="Notedebasdepage"/>
        <w:ind w:left="426" w:hanging="426"/>
        <w:rPr>
          <w:rFonts w:cs="Arial"/>
        </w:rPr>
      </w:pPr>
      <w:r w:rsidRPr="00EE62CF">
        <w:rPr>
          <w:rStyle w:val="Appelnotedebasdep"/>
        </w:rPr>
        <w:footnoteRef/>
      </w:r>
      <w:r w:rsidRPr="00EE62CF">
        <w:t xml:space="preserve"> </w:t>
      </w:r>
      <w:r w:rsidRPr="00EE62CF">
        <w:tab/>
      </w:r>
      <w:r w:rsidRPr="00EE62CF">
        <w:rPr>
          <w:rFonts w:cs="Arial"/>
          <w:i/>
          <w:iCs/>
          <w:color w:val="212529"/>
        </w:rPr>
        <w:t>Hak</w:t>
      </w:r>
      <w:r w:rsidR="003255AA" w:rsidRPr="00EE62CF">
        <w:rPr>
          <w:rFonts w:cs="Arial"/>
          <w:color w:val="212529"/>
        </w:rPr>
        <w:t xml:space="preserve"> c </w:t>
      </w:r>
      <w:r w:rsidRPr="00EE62CF">
        <w:rPr>
          <w:rFonts w:cs="Arial"/>
          <w:i/>
          <w:iCs/>
          <w:color w:val="212529"/>
        </w:rPr>
        <w:t>Procureur général du Québec</w:t>
      </w:r>
      <w:r w:rsidRPr="00EE62CF">
        <w:rPr>
          <w:rFonts w:cs="Arial"/>
          <w:color w:val="212529"/>
        </w:rPr>
        <w:t xml:space="preserve">, 2021 </w:t>
      </w:r>
      <w:r w:rsidRPr="001B4C82">
        <w:rPr>
          <w:rFonts w:cs="Arial"/>
          <w:color w:val="212529"/>
        </w:rPr>
        <w:t>QCCS 1466, under appeal.</w:t>
      </w:r>
    </w:p>
  </w:footnote>
  <w:footnote w:id="117">
    <w:p w14:paraId="039E8893" w14:textId="0DDEAABF" w:rsidR="00C32D80" w:rsidRPr="00EE62CF" w:rsidRDefault="00C32D80" w:rsidP="00136683">
      <w:pPr>
        <w:pStyle w:val="Notedebasdepage"/>
        <w:ind w:left="426" w:hanging="426"/>
        <w:rPr>
          <w:lang w:val="en-CA"/>
        </w:rPr>
      </w:pPr>
      <w:r w:rsidRPr="007A4BDD">
        <w:rPr>
          <w:rStyle w:val="Appelnotedebasdep"/>
          <w:lang w:val="en-CA"/>
        </w:rPr>
        <w:footnoteRef/>
      </w:r>
      <w:r w:rsidRPr="007A4BDD">
        <w:rPr>
          <w:lang w:val="en-CA"/>
        </w:rPr>
        <w:t xml:space="preserve"> </w:t>
      </w:r>
      <w:r w:rsidRPr="007A4BDD">
        <w:rPr>
          <w:lang w:val="en-CA"/>
        </w:rPr>
        <w:tab/>
      </w:r>
      <w:r w:rsidRPr="007A4BDD">
        <w:rPr>
          <w:rFonts w:cs="Arial"/>
          <w:color w:val="212529"/>
          <w:lang w:val="en-CA"/>
        </w:rPr>
        <w:t>CQLR,</w:t>
      </w:r>
      <w:r w:rsidR="003255AA" w:rsidRPr="007A4BDD">
        <w:rPr>
          <w:rFonts w:cs="Arial"/>
          <w:color w:val="212529"/>
          <w:lang w:val="en-CA"/>
        </w:rPr>
        <w:t xml:space="preserve"> c </w:t>
      </w:r>
      <w:r w:rsidRPr="007A4BDD">
        <w:rPr>
          <w:rFonts w:cs="Arial"/>
          <w:color w:val="212529"/>
          <w:lang w:val="en-CA"/>
        </w:rPr>
        <w:t>L-0.3.</w:t>
      </w:r>
    </w:p>
  </w:footnote>
  <w:footnote w:id="118">
    <w:p w14:paraId="2A653ECB" w14:textId="3F51039C" w:rsidR="003B1E68" w:rsidRPr="00EE62CF" w:rsidRDefault="0096102C"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r>
      <w:r w:rsidR="00E52BE0" w:rsidRPr="00EE62CF">
        <w:rPr>
          <w:i/>
          <w:iCs/>
          <w:lang w:val="en-CA"/>
        </w:rPr>
        <w:t xml:space="preserve">Northwest Territories (Attorney General) </w:t>
      </w:r>
      <w:r w:rsidR="003255AA" w:rsidRPr="00EE62CF">
        <w:rPr>
          <w:i/>
          <w:iCs/>
          <w:lang w:val="en-CA"/>
        </w:rPr>
        <w:t xml:space="preserve">v </w:t>
      </w:r>
      <w:r w:rsidR="00E52BE0" w:rsidRPr="00EE62CF">
        <w:rPr>
          <w:i/>
          <w:iCs/>
          <w:lang w:val="en-CA"/>
        </w:rPr>
        <w:t>Commission Scolaire Francophone</w:t>
      </w:r>
      <w:r w:rsidR="00E52BE0" w:rsidRPr="00EE62CF">
        <w:rPr>
          <w:lang w:val="en-CA"/>
        </w:rPr>
        <w:t>, 2015 NWTCA 1</w:t>
      </w:r>
      <w:r w:rsidRPr="00EE62CF">
        <w:rPr>
          <w:rStyle w:val="reflex3-block"/>
          <w:lang w:val="en-CA"/>
        </w:rPr>
        <w:t xml:space="preserve">, 2015 CATN-O 1, </w:t>
      </w:r>
      <w:r w:rsidR="00C32D80" w:rsidRPr="00EE62CF">
        <w:rPr>
          <w:rStyle w:val="reflex3-block"/>
          <w:lang w:val="en-CA"/>
        </w:rPr>
        <w:t xml:space="preserve">at </w:t>
      </w:r>
      <w:r w:rsidR="00323213" w:rsidRPr="00EE62CF">
        <w:rPr>
          <w:rStyle w:val="reflex3-block"/>
          <w:lang w:val="en-CA"/>
        </w:rPr>
        <w:t>para</w:t>
      </w:r>
      <w:r w:rsidR="00EE62CF">
        <w:rPr>
          <w:rStyle w:val="reflex3-block"/>
          <w:lang w:val="en-CA"/>
        </w:rPr>
        <w:t>s</w:t>
      </w:r>
      <w:r w:rsidR="00323213" w:rsidRPr="00EE62CF">
        <w:rPr>
          <w:rStyle w:val="reflex3-block"/>
          <w:lang w:val="en-CA"/>
        </w:rPr>
        <w:t xml:space="preserve"> </w:t>
      </w:r>
      <w:r w:rsidRPr="00EE62CF">
        <w:rPr>
          <w:rStyle w:val="Hyperlien"/>
          <w:color w:val="auto"/>
          <w:u w:val="none"/>
          <w:lang w:val="en-CA"/>
        </w:rPr>
        <w:t xml:space="preserve">21 </w:t>
      </w:r>
      <w:r w:rsidR="00C32D80" w:rsidRPr="00EE62CF">
        <w:rPr>
          <w:rStyle w:val="Hyperlien"/>
          <w:color w:val="auto"/>
          <w:u w:val="none"/>
          <w:lang w:val="en-CA"/>
        </w:rPr>
        <w:t xml:space="preserve">to </w:t>
      </w:r>
      <w:r w:rsidRPr="00EE62CF">
        <w:rPr>
          <w:rStyle w:val="Hyperlien"/>
          <w:color w:val="auto"/>
          <w:u w:val="none"/>
          <w:lang w:val="en-CA"/>
        </w:rPr>
        <w:t>23</w:t>
      </w:r>
      <w:r w:rsidRPr="00EE62CF">
        <w:rPr>
          <w:rStyle w:val="reflex3-block"/>
          <w:lang w:val="en-CA"/>
        </w:rPr>
        <w:t>, [2015] 5 WWR 60</w:t>
      </w:r>
      <w:r w:rsidRPr="00EE62CF">
        <w:rPr>
          <w:lang w:val="en-CA"/>
        </w:rPr>
        <w:t xml:space="preserve">, </w:t>
      </w:r>
      <w:r w:rsidR="00C32D80" w:rsidRPr="00EE62CF">
        <w:rPr>
          <w:lang w:val="en-CA"/>
        </w:rPr>
        <w:t>leave to appeal refused</w:t>
      </w:r>
      <w:r w:rsidRPr="00EE62CF">
        <w:rPr>
          <w:lang w:val="en-CA"/>
        </w:rPr>
        <w:t>.</w:t>
      </w:r>
    </w:p>
  </w:footnote>
  <w:footnote w:id="119">
    <w:p w14:paraId="13B6EB34" w14:textId="0B698514" w:rsidR="00C32D80" w:rsidRPr="00EE62CF" w:rsidRDefault="00C32D80"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t xml:space="preserve">At </w:t>
      </w:r>
      <w:r w:rsidR="005554F5" w:rsidRPr="00EE62CF">
        <w:rPr>
          <w:lang w:val="en-CA"/>
        </w:rPr>
        <w:t xml:space="preserve">para </w:t>
      </w:r>
      <w:r w:rsidRPr="00EE62CF">
        <w:rPr>
          <w:lang w:val="en-CA"/>
        </w:rPr>
        <w:t xml:space="preserve">55. </w:t>
      </w:r>
    </w:p>
  </w:footnote>
  <w:footnote w:id="120">
    <w:p w14:paraId="73A18EF3" w14:textId="77777777" w:rsidR="00C32D80" w:rsidRPr="008760EC" w:rsidRDefault="00C32D80" w:rsidP="00136683">
      <w:pPr>
        <w:pStyle w:val="Notedebasdepage"/>
        <w:ind w:left="426" w:hanging="426"/>
        <w:rPr>
          <w:highlight w:val="yellow"/>
          <w:lang w:val="en-CA"/>
        </w:rPr>
      </w:pPr>
      <w:r w:rsidRPr="00EE62CF">
        <w:rPr>
          <w:rStyle w:val="Appelnotedebasdep"/>
        </w:rPr>
        <w:footnoteRef/>
      </w:r>
      <w:r w:rsidRPr="00EE62CF">
        <w:rPr>
          <w:lang w:val="en-CA"/>
        </w:rPr>
        <w:t xml:space="preserve"> </w:t>
      </w:r>
      <w:r w:rsidRPr="00EE62CF">
        <w:rPr>
          <w:lang w:val="en-CA"/>
        </w:rPr>
        <w:tab/>
      </w:r>
      <w:r w:rsidRPr="00EE62CF">
        <w:rPr>
          <w:rFonts w:cs="Arial"/>
          <w:color w:val="212529"/>
          <w:lang w:val="en-CA"/>
        </w:rPr>
        <w:t>2015 SCC 25, [2015] 2 SCR 282.</w:t>
      </w:r>
    </w:p>
  </w:footnote>
  <w:footnote w:id="121">
    <w:p w14:paraId="3AA0CFCD" w14:textId="28152F89" w:rsidR="00C32D80" w:rsidRPr="00EE62CF" w:rsidRDefault="00C32D80" w:rsidP="00136683">
      <w:pPr>
        <w:pStyle w:val="Notedebasdepage"/>
        <w:ind w:left="426" w:hanging="426"/>
        <w:rPr>
          <w:lang w:val="en-CA"/>
        </w:rPr>
      </w:pPr>
      <w:r w:rsidRPr="00EE62CF">
        <w:rPr>
          <w:rStyle w:val="Appelnotedebasdep"/>
        </w:rPr>
        <w:footnoteRef/>
      </w:r>
      <w:r w:rsidRPr="00EE62CF">
        <w:rPr>
          <w:lang w:val="en-CA"/>
        </w:rPr>
        <w:t xml:space="preserve"> </w:t>
      </w:r>
      <w:r w:rsidRPr="00EE62CF">
        <w:rPr>
          <w:lang w:val="en-CA"/>
        </w:rPr>
        <w:tab/>
      </w:r>
      <w:r w:rsidRPr="00EE62CF">
        <w:rPr>
          <w:rFonts w:cs="Arial"/>
          <w:i/>
          <w:szCs w:val="24"/>
          <w:lang w:val="en-CA"/>
        </w:rPr>
        <w:t>Yukon Francophone School Board</w:t>
      </w:r>
      <w:r w:rsidRPr="00EE62CF">
        <w:rPr>
          <w:rFonts w:cs="Arial"/>
          <w:color w:val="212529"/>
          <w:szCs w:val="24"/>
          <w:lang w:val="en-CA"/>
        </w:rPr>
        <w:t xml:space="preserve"> at </w:t>
      </w:r>
      <w:r w:rsidR="00323213" w:rsidRPr="00EE62CF">
        <w:rPr>
          <w:rFonts w:cs="Arial"/>
          <w:color w:val="212529"/>
          <w:szCs w:val="24"/>
          <w:lang w:val="en-CA"/>
        </w:rPr>
        <w:t xml:space="preserve">para </w:t>
      </w:r>
      <w:r w:rsidRPr="00EE62CF">
        <w:rPr>
          <w:rFonts w:cs="Arial"/>
          <w:color w:val="212529"/>
          <w:szCs w:val="24"/>
          <w:lang w:val="en-CA"/>
        </w:rPr>
        <w:t xml:space="preserve">69 and 71. </w:t>
      </w:r>
    </w:p>
  </w:footnote>
  <w:footnote w:id="122">
    <w:p w14:paraId="43785F48" w14:textId="71C1F51E" w:rsidR="00BF3EAF" w:rsidRPr="00952C51" w:rsidRDefault="00BF3EAF" w:rsidP="00136683">
      <w:pPr>
        <w:pStyle w:val="Notedebasdepage"/>
        <w:ind w:left="426" w:hanging="426"/>
        <w:rPr>
          <w:i/>
          <w:lang w:val="en-CA"/>
        </w:rPr>
      </w:pPr>
      <w:r w:rsidRPr="00952C51">
        <w:rPr>
          <w:rStyle w:val="Appelnotedebasdep"/>
        </w:rPr>
        <w:footnoteRef/>
      </w:r>
      <w:r w:rsidRPr="00952C51">
        <w:rPr>
          <w:bCs/>
          <w:lang w:val="en-CA"/>
        </w:rPr>
        <w:t xml:space="preserve"> </w:t>
      </w:r>
      <w:r w:rsidRPr="00952C51">
        <w:rPr>
          <w:rFonts w:cs="Arial"/>
          <w:bCs/>
          <w:lang w:val="en-CA"/>
        </w:rPr>
        <w:tab/>
        <w:t>British Columbia</w:t>
      </w:r>
      <w:r w:rsidRPr="005352DE">
        <w:rPr>
          <w:rFonts w:cs="Arial"/>
          <w:bCs/>
          <w:lang w:val="en-CA"/>
        </w:rPr>
        <w:t>:</w:t>
      </w:r>
      <w:r w:rsidRPr="00952C51">
        <w:rPr>
          <w:rFonts w:cs="Arial"/>
          <w:b/>
          <w:lang w:val="en-CA"/>
        </w:rPr>
        <w:t xml:space="preserve"> </w:t>
      </w:r>
      <w:r w:rsidRPr="00952C51">
        <w:rPr>
          <w:rFonts w:cs="Arial"/>
          <w:i/>
          <w:lang w:val="en-CA"/>
        </w:rPr>
        <w:t>Conseil scolaire francophone de la Colombie-Britannique Regulation</w:t>
      </w:r>
      <w:r w:rsidRPr="00952C51">
        <w:rPr>
          <w:rFonts w:cs="Arial"/>
          <w:lang w:val="en-CA"/>
        </w:rPr>
        <w:t xml:space="preserve">, </w:t>
      </w:r>
      <w:r w:rsidRPr="00952C51">
        <w:rPr>
          <w:rFonts w:cs="Arial"/>
          <w:u w:color="0462C1"/>
          <w:lang w:val="en-CA"/>
        </w:rPr>
        <w:t>BC Reg</w:t>
      </w:r>
      <w:r w:rsidRPr="00952C51">
        <w:rPr>
          <w:rFonts w:cs="Arial"/>
          <w:lang w:val="en-CA"/>
        </w:rPr>
        <w:t xml:space="preserve"> </w:t>
      </w:r>
      <w:r w:rsidRPr="00952C51">
        <w:rPr>
          <w:rFonts w:cs="Arial"/>
          <w:u w:color="0462C1"/>
          <w:lang w:val="en-CA"/>
        </w:rPr>
        <w:t>2013/99</w:t>
      </w:r>
      <w:r w:rsidRPr="00952C51">
        <w:rPr>
          <w:rFonts w:cs="Arial"/>
          <w:lang w:val="en-CA"/>
        </w:rPr>
        <w:t xml:space="preserve">, s 6; </w:t>
      </w:r>
      <w:r w:rsidRPr="00952C51">
        <w:rPr>
          <w:rFonts w:cs="Arial"/>
          <w:i/>
          <w:lang w:val="en-CA"/>
        </w:rPr>
        <w:t>Francophone Education Authorities Regulation</w:t>
      </w:r>
      <w:r w:rsidRPr="00952C51">
        <w:rPr>
          <w:rFonts w:cs="Arial"/>
          <w:lang w:val="en-CA"/>
        </w:rPr>
        <w:t xml:space="preserve">, </w:t>
      </w:r>
      <w:r w:rsidRPr="00952C51">
        <w:rPr>
          <w:rFonts w:cs="Arial"/>
          <w:u w:color="0462C1"/>
          <w:lang w:val="en-CA"/>
        </w:rPr>
        <w:t>BC Reg 212/99</w:t>
      </w:r>
      <w:r w:rsidRPr="00952C51">
        <w:rPr>
          <w:rFonts w:cs="Arial"/>
          <w:lang w:val="en-CA"/>
        </w:rPr>
        <w:t xml:space="preserve">, ss 2–4; </w:t>
      </w:r>
      <w:r w:rsidRPr="00952C51">
        <w:rPr>
          <w:rFonts w:cs="Arial"/>
          <w:i/>
          <w:lang w:val="en-CA"/>
        </w:rPr>
        <w:t>School Act</w:t>
      </w:r>
      <w:r w:rsidRPr="00952C51">
        <w:rPr>
          <w:rFonts w:cs="Arial"/>
          <w:lang w:val="en-CA"/>
        </w:rPr>
        <w:t xml:space="preserve">, </w:t>
      </w:r>
      <w:r w:rsidRPr="00952C51">
        <w:rPr>
          <w:rFonts w:cs="Arial"/>
          <w:u w:color="0462C1"/>
          <w:lang w:val="en-CA"/>
        </w:rPr>
        <w:t>RSBC 1996, c 412</w:t>
      </w:r>
      <w:r w:rsidRPr="00952C51">
        <w:rPr>
          <w:rFonts w:cs="Arial"/>
          <w:lang w:val="en-CA"/>
        </w:rPr>
        <w:t>, ss 1(1), definition “eligible person”, “immigrant</w:t>
      </w:r>
      <w:r w:rsidRPr="00952C51">
        <w:rPr>
          <w:rFonts w:cs="Arial"/>
          <w:spacing w:val="-4"/>
          <w:lang w:val="en-CA"/>
        </w:rPr>
        <w:t xml:space="preserve"> </w:t>
      </w:r>
      <w:r w:rsidRPr="00952C51">
        <w:rPr>
          <w:rFonts w:cs="Arial"/>
          <w:lang w:val="en-CA"/>
        </w:rPr>
        <w:t>parent”,</w:t>
      </w:r>
      <w:r w:rsidRPr="00952C51">
        <w:rPr>
          <w:rFonts w:cs="Arial"/>
          <w:spacing w:val="-4"/>
          <w:lang w:val="en-CA"/>
        </w:rPr>
        <w:t xml:space="preserve"> </w:t>
      </w:r>
      <w:r w:rsidRPr="00952C51">
        <w:rPr>
          <w:rFonts w:cs="Arial"/>
          <w:lang w:val="en-CA"/>
        </w:rPr>
        <w:t>166.13,</w:t>
      </w:r>
      <w:r w:rsidRPr="00952C51">
        <w:rPr>
          <w:rFonts w:cs="Arial"/>
          <w:spacing w:val="-2"/>
          <w:lang w:val="en-CA"/>
        </w:rPr>
        <w:t xml:space="preserve"> </w:t>
      </w:r>
      <w:r w:rsidRPr="00952C51">
        <w:rPr>
          <w:rFonts w:cs="Arial"/>
          <w:lang w:val="en-CA"/>
        </w:rPr>
        <w:t xml:space="preserve">166.14. </w:t>
      </w:r>
      <w:r w:rsidRPr="00952C51">
        <w:rPr>
          <w:rFonts w:cs="Arial"/>
          <w:bCs/>
          <w:lang w:val="en-CA"/>
        </w:rPr>
        <w:t xml:space="preserve">Alberta: </w:t>
      </w:r>
      <w:r w:rsidRPr="00952C51">
        <w:rPr>
          <w:rFonts w:cs="Arial"/>
          <w:i/>
          <w:lang w:val="en-CA"/>
        </w:rPr>
        <w:t>Education</w:t>
      </w:r>
      <w:r w:rsidRPr="00952C51">
        <w:rPr>
          <w:rFonts w:cs="Arial"/>
          <w:i/>
          <w:spacing w:val="-2"/>
          <w:lang w:val="en-CA"/>
        </w:rPr>
        <w:t xml:space="preserve"> </w:t>
      </w:r>
      <w:r w:rsidRPr="00952C51">
        <w:rPr>
          <w:rFonts w:cs="Arial"/>
          <w:i/>
          <w:lang w:val="en-CA"/>
        </w:rPr>
        <w:t>Act</w:t>
      </w:r>
      <w:r w:rsidRPr="00952C51">
        <w:rPr>
          <w:rFonts w:cs="Arial"/>
          <w:lang w:val="en-CA"/>
        </w:rPr>
        <w:t>,</w:t>
      </w:r>
      <w:r w:rsidRPr="00952C51">
        <w:rPr>
          <w:rFonts w:cs="Arial"/>
          <w:spacing w:val="-3"/>
          <w:lang w:val="en-CA"/>
        </w:rPr>
        <w:t xml:space="preserve"> </w:t>
      </w:r>
      <w:r w:rsidRPr="00952C51">
        <w:rPr>
          <w:rFonts w:cs="Arial"/>
          <w:u w:color="0462C1"/>
          <w:lang w:val="en-CA"/>
        </w:rPr>
        <w:t>SA</w:t>
      </w:r>
      <w:r w:rsidRPr="00952C51">
        <w:rPr>
          <w:rFonts w:cs="Arial"/>
          <w:spacing w:val="-4"/>
          <w:u w:color="0462C1"/>
          <w:lang w:val="en-CA"/>
        </w:rPr>
        <w:t xml:space="preserve"> </w:t>
      </w:r>
      <w:r w:rsidRPr="00952C51">
        <w:rPr>
          <w:rFonts w:cs="Arial"/>
          <w:u w:color="0462C1"/>
          <w:lang w:val="en-CA"/>
        </w:rPr>
        <w:t>2012</w:t>
      </w:r>
      <w:r w:rsidRPr="00952C51">
        <w:rPr>
          <w:rFonts w:cs="Arial"/>
          <w:lang w:val="en-CA"/>
        </w:rPr>
        <w:t>,</w:t>
      </w:r>
      <w:r w:rsidRPr="00952C51">
        <w:rPr>
          <w:rFonts w:cs="Arial"/>
          <w:spacing w:val="-4"/>
          <w:lang w:val="en-CA"/>
        </w:rPr>
        <w:t xml:space="preserve"> </w:t>
      </w:r>
      <w:r w:rsidRPr="00952C51">
        <w:rPr>
          <w:rFonts w:cs="Arial"/>
          <w:lang w:val="en-CA"/>
        </w:rPr>
        <w:t>c</w:t>
      </w:r>
      <w:r w:rsidRPr="00952C51">
        <w:rPr>
          <w:rFonts w:cs="Arial"/>
          <w:spacing w:val="-3"/>
          <w:lang w:val="en-CA"/>
        </w:rPr>
        <w:t xml:space="preserve"> </w:t>
      </w:r>
      <w:r w:rsidRPr="00952C51">
        <w:rPr>
          <w:rFonts w:cs="Arial"/>
          <w:bCs/>
          <w:lang w:val="en-CA"/>
        </w:rPr>
        <w:t xml:space="preserve">E-0.3, ss 1(1)(i), 87(1)(b), 135(2)). Saskatchewan: </w:t>
      </w:r>
      <w:r w:rsidRPr="00952C51">
        <w:rPr>
          <w:rFonts w:cs="Arial"/>
          <w:i/>
          <w:lang w:val="en-CA"/>
        </w:rPr>
        <w:t>The Education Act, 1995</w:t>
      </w:r>
      <w:r w:rsidRPr="00952C51">
        <w:rPr>
          <w:rFonts w:cs="Arial"/>
          <w:lang w:val="en-CA"/>
        </w:rPr>
        <w:t xml:space="preserve">, </w:t>
      </w:r>
      <w:r w:rsidRPr="00952C51">
        <w:rPr>
          <w:rFonts w:cs="Arial"/>
          <w:u w:color="0462C1"/>
          <w:lang w:val="en-CA"/>
        </w:rPr>
        <w:t>SSK, c</w:t>
      </w:r>
      <w:r w:rsidRPr="00952C51">
        <w:rPr>
          <w:rFonts w:cs="Arial"/>
          <w:lang w:val="en-CA"/>
        </w:rPr>
        <w:t xml:space="preserve"> </w:t>
      </w:r>
      <w:r w:rsidRPr="00952C51">
        <w:rPr>
          <w:rFonts w:cs="Arial"/>
          <w:u w:color="0462C1"/>
          <w:lang w:val="en-CA"/>
        </w:rPr>
        <w:t>E-0.2</w:t>
      </w:r>
      <w:r w:rsidRPr="00952C51">
        <w:rPr>
          <w:rFonts w:cs="Arial"/>
          <w:lang w:val="en-CA"/>
        </w:rPr>
        <w:t>,</w:t>
      </w:r>
      <w:r w:rsidRPr="00952C51">
        <w:rPr>
          <w:rFonts w:cs="Arial"/>
          <w:spacing w:val="-2"/>
          <w:lang w:val="en-CA"/>
        </w:rPr>
        <w:t xml:space="preserve"> </w:t>
      </w:r>
      <w:r w:rsidRPr="00952C51">
        <w:rPr>
          <w:rFonts w:cs="Arial"/>
          <w:lang w:val="en-CA"/>
        </w:rPr>
        <w:t>ss</w:t>
      </w:r>
      <w:r w:rsidRPr="00952C51">
        <w:rPr>
          <w:rFonts w:cs="Arial"/>
          <w:spacing w:val="-3"/>
          <w:lang w:val="en-CA"/>
        </w:rPr>
        <w:t xml:space="preserve"> </w:t>
      </w:r>
      <w:r w:rsidRPr="00952C51">
        <w:rPr>
          <w:rFonts w:cs="Arial"/>
          <w:lang w:val="en-CA"/>
        </w:rPr>
        <w:t>2</w:t>
      </w:r>
      <w:r w:rsidR="004547B9" w:rsidRPr="00952C51">
        <w:rPr>
          <w:rFonts w:cs="Arial"/>
          <w:lang w:val="en-CA"/>
        </w:rPr>
        <w:t>,</w:t>
      </w:r>
      <w:r w:rsidRPr="00952C51">
        <w:rPr>
          <w:rFonts w:cs="Arial"/>
          <w:spacing w:val="-4"/>
          <w:lang w:val="en-CA"/>
        </w:rPr>
        <w:t xml:space="preserve"> </w:t>
      </w:r>
      <w:r w:rsidRPr="00952C51">
        <w:rPr>
          <w:rFonts w:cs="Arial"/>
          <w:lang w:val="en-CA"/>
        </w:rPr>
        <w:t>“minority</w:t>
      </w:r>
      <w:r w:rsidRPr="00952C51">
        <w:rPr>
          <w:rFonts w:cs="Arial"/>
          <w:spacing w:val="-1"/>
          <w:lang w:val="en-CA"/>
        </w:rPr>
        <w:t xml:space="preserve"> </w:t>
      </w:r>
      <w:r w:rsidRPr="00952C51">
        <w:rPr>
          <w:rFonts w:cs="Arial"/>
          <w:lang w:val="en-CA"/>
        </w:rPr>
        <w:t>language</w:t>
      </w:r>
      <w:r w:rsidRPr="00952C51">
        <w:rPr>
          <w:rFonts w:cs="Arial"/>
          <w:spacing w:val="-4"/>
          <w:lang w:val="en-CA"/>
        </w:rPr>
        <w:t xml:space="preserve"> </w:t>
      </w:r>
      <w:r w:rsidRPr="00952C51">
        <w:rPr>
          <w:rFonts w:cs="Arial"/>
          <w:lang w:val="en-CA"/>
        </w:rPr>
        <w:t>adult”</w:t>
      </w:r>
      <w:r w:rsidRPr="00952C51">
        <w:rPr>
          <w:rFonts w:cs="Arial"/>
          <w:spacing w:val="-3"/>
          <w:lang w:val="en-CA"/>
        </w:rPr>
        <w:t xml:space="preserve"> </w:t>
      </w:r>
      <w:r w:rsidRPr="00952C51">
        <w:rPr>
          <w:rFonts w:cs="Arial"/>
          <w:lang w:val="en-CA"/>
        </w:rPr>
        <w:t>and “voter”,</w:t>
      </w:r>
      <w:r w:rsidRPr="00952C51">
        <w:rPr>
          <w:rFonts w:cs="Arial"/>
          <w:spacing w:val="-2"/>
          <w:lang w:val="en-CA"/>
        </w:rPr>
        <w:t xml:space="preserve"> </w:t>
      </w:r>
      <w:r w:rsidRPr="00952C51">
        <w:rPr>
          <w:rFonts w:cs="Arial"/>
          <w:lang w:val="en-CA"/>
        </w:rPr>
        <w:t>64(2),</w:t>
      </w:r>
      <w:r w:rsidRPr="00952C51">
        <w:rPr>
          <w:rFonts w:cs="Arial"/>
          <w:spacing w:val="-1"/>
          <w:lang w:val="en-CA"/>
        </w:rPr>
        <w:t xml:space="preserve"> </w:t>
      </w:r>
      <w:r w:rsidRPr="00952C51">
        <w:rPr>
          <w:rFonts w:cs="Arial"/>
          <w:lang w:val="en-CA"/>
        </w:rPr>
        <w:t>65.</w:t>
      </w:r>
      <w:r w:rsidRPr="00952C51">
        <w:rPr>
          <w:rFonts w:cs="Arial"/>
          <w:spacing w:val="-4"/>
          <w:lang w:val="en-CA"/>
        </w:rPr>
        <w:t xml:space="preserve"> </w:t>
      </w:r>
      <w:r w:rsidRPr="00952C51">
        <w:rPr>
          <w:rFonts w:cs="Arial"/>
          <w:bCs/>
          <w:lang w:val="en-CA"/>
        </w:rPr>
        <w:t xml:space="preserve">Manitoba: </w:t>
      </w:r>
      <w:r w:rsidRPr="00952C51">
        <w:rPr>
          <w:rFonts w:cs="Arial"/>
          <w:i/>
          <w:iCs/>
          <w:lang w:val="en-CA"/>
        </w:rPr>
        <w:t xml:space="preserve">The Public Schools </w:t>
      </w:r>
      <w:r w:rsidRPr="00952C51">
        <w:rPr>
          <w:rFonts w:cs="Arial"/>
          <w:lang w:val="en-CA"/>
        </w:rPr>
        <w:t>Act, CCSM</w:t>
      </w:r>
      <w:r w:rsidR="003255AA" w:rsidRPr="00952C51">
        <w:rPr>
          <w:rFonts w:cs="Arial"/>
          <w:lang w:val="en-CA"/>
        </w:rPr>
        <w:t xml:space="preserve"> c </w:t>
      </w:r>
      <w:r w:rsidRPr="00952C51">
        <w:rPr>
          <w:rFonts w:cs="Arial"/>
          <w:lang w:val="en-CA"/>
        </w:rPr>
        <w:t>P250,</w:t>
      </w:r>
      <w:r w:rsidRPr="00952C51">
        <w:rPr>
          <w:rFonts w:cs="Arial"/>
          <w:spacing w:val="-4"/>
          <w:lang w:val="en-CA"/>
        </w:rPr>
        <w:t xml:space="preserve"> </w:t>
      </w:r>
      <w:r w:rsidRPr="00952C51">
        <w:rPr>
          <w:rFonts w:cs="Arial"/>
          <w:lang w:val="en-CA"/>
        </w:rPr>
        <w:t>ss 21.1,</w:t>
      </w:r>
      <w:r w:rsidRPr="00952C51">
        <w:rPr>
          <w:rFonts w:cs="Arial"/>
          <w:spacing w:val="-4"/>
          <w:lang w:val="en-CA"/>
        </w:rPr>
        <w:t xml:space="preserve"> </w:t>
      </w:r>
      <w:r w:rsidRPr="00952C51">
        <w:rPr>
          <w:rFonts w:cs="Arial"/>
          <w:lang w:val="en-CA"/>
        </w:rPr>
        <w:t>21.37,</w:t>
      </w:r>
      <w:r w:rsidRPr="00952C51">
        <w:rPr>
          <w:rFonts w:cs="Arial"/>
          <w:spacing w:val="-2"/>
          <w:lang w:val="en-CA"/>
        </w:rPr>
        <w:t xml:space="preserve"> </w:t>
      </w:r>
      <w:r w:rsidRPr="00952C51">
        <w:rPr>
          <w:rFonts w:cs="Arial"/>
          <w:lang w:val="en-CA"/>
        </w:rPr>
        <w:t>21.38;</w:t>
      </w:r>
      <w:r w:rsidRPr="00952C51">
        <w:rPr>
          <w:rFonts w:cs="Arial"/>
          <w:spacing w:val="-2"/>
          <w:lang w:val="en-CA"/>
        </w:rPr>
        <w:t xml:space="preserve"> </w:t>
      </w:r>
      <w:r w:rsidRPr="00952C51">
        <w:rPr>
          <w:rFonts w:cs="Arial"/>
          <w:i/>
          <w:iCs/>
          <w:lang w:val="en-CA"/>
        </w:rPr>
        <w:t>Francophone Schools Governance Regulation</w:t>
      </w:r>
      <w:r w:rsidRPr="00952C51">
        <w:rPr>
          <w:rFonts w:cs="Arial"/>
          <w:lang w:val="en-CA"/>
        </w:rPr>
        <w:t>, M.R. 202/93</w:t>
      </w:r>
      <w:r w:rsidR="00F70D11" w:rsidRPr="00952C51">
        <w:rPr>
          <w:rFonts w:cs="Arial"/>
          <w:lang w:val="en-CA"/>
        </w:rPr>
        <w:t>,</w:t>
      </w:r>
      <w:r w:rsidR="00952C51">
        <w:rPr>
          <w:rFonts w:cs="Arial"/>
          <w:lang w:val="en-CA"/>
        </w:rPr>
        <w:t xml:space="preserve"> </w:t>
      </w:r>
      <w:r w:rsidRPr="00952C51">
        <w:rPr>
          <w:rFonts w:cs="Arial"/>
          <w:lang w:val="en-CA"/>
        </w:rPr>
        <w:t>s.</w:t>
      </w:r>
      <w:r w:rsidRPr="00952C51">
        <w:rPr>
          <w:rFonts w:cs="Arial"/>
          <w:bCs/>
          <w:lang w:val="en-CA"/>
        </w:rPr>
        <w:t xml:space="preserve">11. </w:t>
      </w:r>
      <w:r w:rsidR="00F70D11" w:rsidRPr="00952C51">
        <w:rPr>
          <w:rFonts w:cs="Arial"/>
          <w:bCs/>
          <w:lang w:val="en-CA"/>
        </w:rPr>
        <w:t>Ontario</w:t>
      </w:r>
      <w:r w:rsidRPr="00952C51">
        <w:rPr>
          <w:rFonts w:cs="Arial"/>
          <w:bCs/>
          <w:lang w:val="en-CA"/>
        </w:rPr>
        <w:t xml:space="preserve">: </w:t>
      </w:r>
      <w:r w:rsidRPr="00952C51">
        <w:rPr>
          <w:rFonts w:cs="Arial"/>
          <w:i/>
          <w:iCs/>
          <w:lang w:val="en-CA"/>
        </w:rPr>
        <w:t>Education Act</w:t>
      </w:r>
      <w:r w:rsidRPr="00952C51">
        <w:rPr>
          <w:rFonts w:cs="Arial"/>
          <w:lang w:val="en-CA"/>
        </w:rPr>
        <w:t>, RSO 1990,</w:t>
      </w:r>
      <w:r w:rsidR="003255AA" w:rsidRPr="00952C51">
        <w:rPr>
          <w:rFonts w:cs="Arial"/>
          <w:lang w:val="en-CA"/>
        </w:rPr>
        <w:t xml:space="preserve"> c </w:t>
      </w:r>
      <w:r w:rsidRPr="00952C51">
        <w:rPr>
          <w:rFonts w:cs="Arial"/>
          <w:lang w:val="en-CA"/>
        </w:rPr>
        <w:t xml:space="preserve">E.2, s </w:t>
      </w:r>
      <w:r w:rsidRPr="00952C51">
        <w:rPr>
          <w:rFonts w:cs="Arial"/>
          <w:bCs/>
          <w:lang w:val="en-CA"/>
        </w:rPr>
        <w:t>1: “French-language rights holder”, and ss. 50.1(2), 54(2), 219(1) and (4). New-Brunswick:</w:t>
      </w:r>
      <w:r w:rsidRPr="00952C51">
        <w:rPr>
          <w:rFonts w:cs="Arial"/>
          <w:b/>
          <w:lang w:val="en-CA"/>
        </w:rPr>
        <w:t xml:space="preserve"> </w:t>
      </w:r>
      <w:r w:rsidRPr="00952C51">
        <w:rPr>
          <w:rFonts w:cs="Arial"/>
          <w:i/>
          <w:iCs/>
          <w:lang w:val="en-CA"/>
        </w:rPr>
        <w:t>Education Act</w:t>
      </w:r>
      <w:r w:rsidRPr="00952C51">
        <w:rPr>
          <w:rFonts w:cs="Arial"/>
          <w:lang w:val="en-CA"/>
        </w:rPr>
        <w:t>, SNB 1997,</w:t>
      </w:r>
      <w:r w:rsidR="003255AA" w:rsidRPr="00952C51">
        <w:rPr>
          <w:rFonts w:cs="Arial"/>
          <w:lang w:val="en-CA"/>
        </w:rPr>
        <w:t xml:space="preserve"> c </w:t>
      </w:r>
      <w:r w:rsidRPr="00952C51">
        <w:rPr>
          <w:rFonts w:cs="Arial"/>
          <w:lang w:val="en-CA"/>
        </w:rPr>
        <w:t xml:space="preserve">E-1.12, ss </w:t>
      </w:r>
      <w:r w:rsidRPr="00952C51">
        <w:rPr>
          <w:rFonts w:cs="Arial"/>
          <w:bCs/>
          <w:lang w:val="en-CA"/>
        </w:rPr>
        <w:t xml:space="preserve">36.31, 36.4, 36.41, 36.5. Nova Scotia: </w:t>
      </w:r>
      <w:r w:rsidRPr="00952C51">
        <w:rPr>
          <w:rFonts w:cs="Arial"/>
          <w:i/>
          <w:lang w:val="en-CA"/>
        </w:rPr>
        <w:t>Education (CSAP) Act</w:t>
      </w:r>
      <w:r w:rsidRPr="00952C51">
        <w:rPr>
          <w:rFonts w:cs="Arial"/>
          <w:lang w:val="en-CA"/>
        </w:rPr>
        <w:t xml:space="preserve">, </w:t>
      </w:r>
      <w:r w:rsidRPr="00952C51">
        <w:rPr>
          <w:rFonts w:cs="Arial"/>
          <w:u w:color="0462C1"/>
          <w:lang w:val="en-CA"/>
        </w:rPr>
        <w:t>RSNS 1995-96</w:t>
      </w:r>
      <w:r w:rsidRPr="00952C51">
        <w:rPr>
          <w:rFonts w:cs="Arial"/>
          <w:bCs/>
          <w:lang w:val="en-CA"/>
        </w:rPr>
        <w:t>, c 1, ss 3(h)-(i), 13, 46-47. Prince Edward Island:</w:t>
      </w:r>
      <w:r w:rsidRPr="00952C51">
        <w:rPr>
          <w:rFonts w:cs="Arial"/>
          <w:b/>
          <w:lang w:val="en-CA"/>
        </w:rPr>
        <w:t xml:space="preserve"> </w:t>
      </w:r>
      <w:r w:rsidRPr="00952C51">
        <w:rPr>
          <w:rFonts w:cs="Arial"/>
          <w:i/>
          <w:lang w:val="en-CA"/>
        </w:rPr>
        <w:t>Education Act</w:t>
      </w:r>
      <w:r w:rsidRPr="00952C51">
        <w:rPr>
          <w:rFonts w:cs="Arial"/>
          <w:lang w:val="en-CA"/>
        </w:rPr>
        <w:t xml:space="preserve">, </w:t>
      </w:r>
      <w:r w:rsidRPr="00952C51">
        <w:rPr>
          <w:rFonts w:cs="Arial"/>
          <w:u w:color="0462C1"/>
          <w:lang w:val="en-CA"/>
        </w:rPr>
        <w:t>RSPEI 1988, c E-.02</w:t>
      </w:r>
      <w:r w:rsidRPr="00952C51">
        <w:rPr>
          <w:rFonts w:cs="Arial"/>
          <w:lang w:val="en-CA"/>
        </w:rPr>
        <w:t>, s</w:t>
      </w:r>
      <w:r w:rsidR="004547B9" w:rsidRPr="00952C51">
        <w:rPr>
          <w:rFonts w:cs="Arial"/>
          <w:lang w:val="en-CA"/>
        </w:rPr>
        <w:t xml:space="preserve"> </w:t>
      </w:r>
      <w:r w:rsidRPr="00952C51">
        <w:rPr>
          <w:rFonts w:cs="Arial"/>
          <w:lang w:val="en-CA"/>
        </w:rPr>
        <w:t>1(1)(i) definition of “eligible parent”</w:t>
      </w:r>
      <w:r w:rsidRPr="00952C51">
        <w:rPr>
          <w:rFonts w:cs="Arial"/>
          <w:spacing w:val="-4"/>
          <w:lang w:val="en-CA"/>
        </w:rPr>
        <w:t xml:space="preserve">, </w:t>
      </w:r>
      <w:r w:rsidRPr="00952C51">
        <w:rPr>
          <w:rFonts w:cs="Arial"/>
          <w:i/>
          <w:lang w:val="en-CA"/>
        </w:rPr>
        <w:t>Education</w:t>
      </w:r>
      <w:r w:rsidRPr="00952C51">
        <w:rPr>
          <w:rFonts w:cs="Arial"/>
          <w:i/>
          <w:spacing w:val="-5"/>
          <w:lang w:val="en-CA"/>
        </w:rPr>
        <w:t xml:space="preserve"> </w:t>
      </w:r>
      <w:r w:rsidRPr="00952C51">
        <w:rPr>
          <w:rFonts w:cs="Arial"/>
          <w:i/>
          <w:lang w:val="en-CA"/>
        </w:rPr>
        <w:t>Act</w:t>
      </w:r>
      <w:r w:rsidRPr="00952C51">
        <w:rPr>
          <w:rFonts w:cs="Arial"/>
          <w:i/>
          <w:spacing w:val="-3"/>
          <w:lang w:val="en-CA"/>
        </w:rPr>
        <w:t xml:space="preserve"> </w:t>
      </w:r>
      <w:r w:rsidRPr="00952C51">
        <w:rPr>
          <w:rFonts w:cs="Arial"/>
          <w:i/>
          <w:lang w:val="en-CA"/>
        </w:rPr>
        <w:t>Election</w:t>
      </w:r>
      <w:r w:rsidRPr="00952C51">
        <w:rPr>
          <w:rFonts w:cs="Arial"/>
          <w:i/>
          <w:spacing w:val="-4"/>
          <w:lang w:val="en-CA"/>
        </w:rPr>
        <w:t xml:space="preserve"> </w:t>
      </w:r>
      <w:r w:rsidRPr="00952C51">
        <w:rPr>
          <w:rFonts w:cs="Arial"/>
          <w:i/>
          <w:lang w:val="en-CA"/>
        </w:rPr>
        <w:t>Regulations</w:t>
      </w:r>
      <w:r w:rsidRPr="00952C51">
        <w:rPr>
          <w:rFonts w:cs="Arial"/>
          <w:lang w:val="en-CA"/>
        </w:rPr>
        <w:t>,</w:t>
      </w:r>
      <w:r w:rsidRPr="00952C51">
        <w:rPr>
          <w:rFonts w:cs="Arial"/>
          <w:spacing w:val="-3"/>
          <w:lang w:val="en-CA"/>
        </w:rPr>
        <w:t xml:space="preserve"> </w:t>
      </w:r>
      <w:r w:rsidRPr="00952C51">
        <w:rPr>
          <w:rFonts w:cs="Arial"/>
          <w:u w:color="0462C1"/>
          <w:lang w:val="en-CA"/>
        </w:rPr>
        <w:t>PEI</w:t>
      </w:r>
      <w:r w:rsidRPr="00952C51">
        <w:rPr>
          <w:rFonts w:cs="Arial"/>
          <w:spacing w:val="-3"/>
          <w:u w:color="0462C1"/>
          <w:lang w:val="en-CA"/>
        </w:rPr>
        <w:t xml:space="preserve"> </w:t>
      </w:r>
      <w:r w:rsidRPr="00952C51">
        <w:rPr>
          <w:rFonts w:cs="Arial"/>
          <w:u w:color="0462C1"/>
          <w:lang w:val="en-CA"/>
        </w:rPr>
        <w:t>Reg</w:t>
      </w:r>
      <w:r w:rsidRPr="00952C51">
        <w:rPr>
          <w:rFonts w:cs="Arial"/>
          <w:spacing w:val="-3"/>
          <w:u w:color="0462C1"/>
          <w:lang w:val="en-CA"/>
        </w:rPr>
        <w:t xml:space="preserve"> </w:t>
      </w:r>
      <w:r w:rsidRPr="00952C51">
        <w:rPr>
          <w:rFonts w:cs="Arial"/>
          <w:u w:color="0462C1"/>
          <w:lang w:val="en-CA"/>
        </w:rPr>
        <w:t>EC2016-525</w:t>
      </w:r>
      <w:r w:rsidRPr="00952C51">
        <w:rPr>
          <w:rFonts w:cs="Arial"/>
          <w:lang w:val="en-CA"/>
        </w:rPr>
        <w:t>,</w:t>
      </w:r>
      <w:r w:rsidRPr="00952C51">
        <w:rPr>
          <w:rFonts w:cs="Arial"/>
          <w:spacing w:val="-3"/>
          <w:lang w:val="en-CA"/>
        </w:rPr>
        <w:t xml:space="preserve"> </w:t>
      </w:r>
      <w:r w:rsidRPr="00952C51">
        <w:rPr>
          <w:rFonts w:cs="Arial"/>
          <w:lang w:val="en-CA"/>
        </w:rPr>
        <w:t>s</w:t>
      </w:r>
      <w:r w:rsidRPr="00952C51">
        <w:rPr>
          <w:rFonts w:cs="Arial"/>
          <w:spacing w:val="-4"/>
          <w:lang w:val="en-CA"/>
        </w:rPr>
        <w:t xml:space="preserve"> </w:t>
      </w:r>
      <w:r w:rsidRPr="00952C51">
        <w:rPr>
          <w:rFonts w:cs="Arial"/>
          <w:lang w:val="en-CA"/>
        </w:rPr>
        <w:t>4</w:t>
      </w:r>
      <w:r w:rsidRPr="00952C51">
        <w:rPr>
          <w:rFonts w:cs="Arial"/>
          <w:spacing w:val="-5"/>
          <w:lang w:val="en-CA"/>
        </w:rPr>
        <w:t xml:space="preserve">, </w:t>
      </w:r>
      <w:r w:rsidRPr="00952C51">
        <w:rPr>
          <w:rFonts w:cs="Arial"/>
          <w:i/>
          <w:lang w:val="en-CA"/>
        </w:rPr>
        <w:t>Education Act Education Authority Regulations</w:t>
      </w:r>
      <w:r w:rsidRPr="00952C51">
        <w:rPr>
          <w:rFonts w:cs="Arial"/>
          <w:lang w:val="en-CA"/>
        </w:rPr>
        <w:t xml:space="preserve">, </w:t>
      </w:r>
      <w:r w:rsidRPr="00952C51">
        <w:rPr>
          <w:rFonts w:cs="Arial"/>
          <w:u w:color="0462C1"/>
          <w:lang w:val="en-CA"/>
        </w:rPr>
        <w:t>PEI Reg EC2016-524</w:t>
      </w:r>
      <w:r w:rsidRPr="00952C51">
        <w:rPr>
          <w:rFonts w:cs="Arial"/>
          <w:lang w:val="en-CA"/>
        </w:rPr>
        <w:t xml:space="preserve">, s 2. </w:t>
      </w:r>
      <w:r w:rsidRPr="00952C51">
        <w:rPr>
          <w:rFonts w:cs="Arial"/>
          <w:bCs/>
          <w:lang w:val="en-CA"/>
        </w:rPr>
        <w:t>Newfoundland and Labrador:</w:t>
      </w:r>
      <w:r w:rsidRPr="00952C51">
        <w:rPr>
          <w:rFonts w:cs="Arial"/>
          <w:b/>
          <w:lang w:val="en-CA"/>
        </w:rPr>
        <w:t xml:space="preserve"> </w:t>
      </w:r>
      <w:r w:rsidRPr="00952C51">
        <w:rPr>
          <w:rFonts w:cs="Arial"/>
          <w:i/>
          <w:lang w:val="en-CA"/>
        </w:rPr>
        <w:t>Schools Act, 1997</w:t>
      </w:r>
      <w:r w:rsidRPr="00952C51">
        <w:rPr>
          <w:rFonts w:cs="Arial"/>
          <w:lang w:val="en-CA"/>
        </w:rPr>
        <w:t xml:space="preserve">, </w:t>
      </w:r>
      <w:r w:rsidRPr="00952C51">
        <w:rPr>
          <w:rFonts w:cs="Arial"/>
          <w:u w:color="0462C1"/>
          <w:lang w:val="en-CA"/>
        </w:rPr>
        <w:t>SNL,</w:t>
      </w:r>
      <w:r w:rsidR="003255AA" w:rsidRPr="00952C51">
        <w:rPr>
          <w:rFonts w:cs="Arial"/>
          <w:u w:color="0462C1"/>
          <w:lang w:val="en-CA"/>
        </w:rPr>
        <w:t xml:space="preserve"> c </w:t>
      </w:r>
      <w:r w:rsidRPr="00952C51">
        <w:rPr>
          <w:rFonts w:cs="Arial"/>
          <w:u w:color="0462C1"/>
          <w:lang w:val="en-CA"/>
        </w:rPr>
        <w:t>S</w:t>
      </w:r>
      <w:r w:rsidRPr="00952C51">
        <w:rPr>
          <w:rFonts w:cs="Arial"/>
          <w:u w:color="0462C1"/>
          <w:lang w:val="en-CA"/>
        </w:rPr>
        <w:noBreakHyphen/>
        <w:t>12.2</w:t>
      </w:r>
      <w:r w:rsidRPr="00952C51">
        <w:rPr>
          <w:rFonts w:cs="Arial"/>
          <w:lang w:val="en-CA"/>
        </w:rPr>
        <w:t>, s 95;</w:t>
      </w:r>
      <w:r w:rsidRPr="00952C51">
        <w:rPr>
          <w:rFonts w:cs="Arial"/>
          <w:i/>
          <w:lang w:val="en-CA"/>
        </w:rPr>
        <w:t xml:space="preserve"> School</w:t>
      </w:r>
      <w:r w:rsidRPr="00952C51">
        <w:rPr>
          <w:rFonts w:cs="Arial"/>
          <w:i/>
          <w:spacing w:val="-5"/>
          <w:lang w:val="en-CA"/>
        </w:rPr>
        <w:t xml:space="preserve"> </w:t>
      </w:r>
      <w:r w:rsidRPr="00952C51">
        <w:rPr>
          <w:rFonts w:cs="Arial"/>
          <w:i/>
          <w:lang w:val="en-CA"/>
        </w:rPr>
        <w:t>Board</w:t>
      </w:r>
      <w:r w:rsidRPr="00952C51">
        <w:rPr>
          <w:rFonts w:cs="Arial"/>
          <w:i/>
          <w:spacing w:val="-2"/>
          <w:lang w:val="en-CA"/>
        </w:rPr>
        <w:t xml:space="preserve"> </w:t>
      </w:r>
      <w:r w:rsidRPr="00952C51">
        <w:rPr>
          <w:rFonts w:cs="Arial"/>
          <w:i/>
          <w:lang w:val="en-CA"/>
        </w:rPr>
        <w:t>Election</w:t>
      </w:r>
      <w:r w:rsidRPr="00952C51">
        <w:rPr>
          <w:rFonts w:cs="Arial"/>
          <w:i/>
          <w:spacing w:val="-2"/>
          <w:lang w:val="en-CA"/>
        </w:rPr>
        <w:t xml:space="preserve"> </w:t>
      </w:r>
      <w:r w:rsidRPr="00952C51">
        <w:rPr>
          <w:rFonts w:cs="Arial"/>
          <w:i/>
          <w:lang w:val="en-CA"/>
        </w:rPr>
        <w:t>Regulations,</w:t>
      </w:r>
      <w:r w:rsidRPr="00952C51">
        <w:rPr>
          <w:rFonts w:cs="Arial"/>
          <w:i/>
          <w:spacing w:val="-1"/>
          <w:lang w:val="en-CA"/>
        </w:rPr>
        <w:t xml:space="preserve"> </w:t>
      </w:r>
      <w:r w:rsidRPr="00952C51">
        <w:rPr>
          <w:rFonts w:cs="Arial"/>
          <w:i/>
          <w:lang w:val="en-CA"/>
        </w:rPr>
        <w:t>1998</w:t>
      </w:r>
      <w:r w:rsidRPr="00952C51">
        <w:rPr>
          <w:rFonts w:cs="Arial"/>
          <w:lang w:val="en-CA"/>
        </w:rPr>
        <w:t>,</w:t>
      </w:r>
      <w:r w:rsidRPr="00952C51">
        <w:rPr>
          <w:rFonts w:cs="Arial"/>
          <w:spacing w:val="-4"/>
          <w:lang w:val="en-CA"/>
        </w:rPr>
        <w:t xml:space="preserve"> </w:t>
      </w:r>
      <w:r w:rsidRPr="00952C51">
        <w:rPr>
          <w:rFonts w:cs="Arial"/>
          <w:u w:color="0462C1"/>
          <w:lang w:val="en-CA"/>
        </w:rPr>
        <w:t>NLR</w:t>
      </w:r>
      <w:r w:rsidRPr="00952C51">
        <w:rPr>
          <w:rFonts w:cs="Arial"/>
          <w:spacing w:val="-1"/>
          <w:u w:color="0462C1"/>
          <w:lang w:val="en-CA"/>
        </w:rPr>
        <w:t xml:space="preserve"> </w:t>
      </w:r>
      <w:r w:rsidRPr="00952C51">
        <w:rPr>
          <w:rFonts w:cs="Arial"/>
          <w:u w:color="0462C1"/>
          <w:lang w:val="en-CA"/>
        </w:rPr>
        <w:t>146/97</w:t>
      </w:r>
      <w:r w:rsidRPr="00952C51">
        <w:rPr>
          <w:rFonts w:cs="Arial"/>
          <w:lang w:val="en-CA"/>
        </w:rPr>
        <w:t>,</w:t>
      </w:r>
      <w:r w:rsidRPr="00952C51">
        <w:rPr>
          <w:rFonts w:cs="Arial"/>
          <w:spacing w:val="-4"/>
          <w:lang w:val="en-CA"/>
        </w:rPr>
        <w:t xml:space="preserve"> </w:t>
      </w:r>
      <w:r w:rsidRPr="00952C51">
        <w:rPr>
          <w:rFonts w:cs="Arial"/>
          <w:lang w:val="en-CA"/>
        </w:rPr>
        <w:t>s</w:t>
      </w:r>
      <w:r w:rsidRPr="00952C51">
        <w:rPr>
          <w:rFonts w:cs="Arial"/>
          <w:spacing w:val="-3"/>
          <w:lang w:val="en-CA"/>
        </w:rPr>
        <w:t xml:space="preserve"> </w:t>
      </w:r>
      <w:r w:rsidRPr="00952C51">
        <w:rPr>
          <w:rFonts w:cs="Arial"/>
          <w:lang w:val="en-CA"/>
        </w:rPr>
        <w:t>6</w:t>
      </w:r>
      <w:r w:rsidRPr="00952C51">
        <w:rPr>
          <w:rFonts w:cs="Arial"/>
          <w:spacing w:val="-4"/>
          <w:lang w:val="en-CA"/>
        </w:rPr>
        <w:t xml:space="preserve">. </w:t>
      </w:r>
      <w:r w:rsidRPr="00952C51">
        <w:rPr>
          <w:rFonts w:cs="Arial"/>
          <w:lang w:val="en-CA"/>
        </w:rPr>
        <w:t xml:space="preserve">Yukon: </w:t>
      </w:r>
      <w:r w:rsidRPr="00952C51">
        <w:rPr>
          <w:rFonts w:cs="Arial"/>
          <w:i/>
          <w:lang w:val="en-CA"/>
        </w:rPr>
        <w:t xml:space="preserve">Education Act, </w:t>
      </w:r>
      <w:r w:rsidRPr="00952C51">
        <w:rPr>
          <w:rFonts w:cs="Arial"/>
          <w:iCs/>
          <w:lang w:val="en-CA"/>
        </w:rPr>
        <w:t>LRY 2002,</w:t>
      </w:r>
      <w:r w:rsidR="003255AA" w:rsidRPr="00952C51">
        <w:rPr>
          <w:rFonts w:cs="Arial"/>
          <w:iCs/>
          <w:lang w:val="en-CA"/>
        </w:rPr>
        <w:t xml:space="preserve"> c </w:t>
      </w:r>
      <w:r w:rsidRPr="00952C51">
        <w:rPr>
          <w:rFonts w:cs="Arial"/>
          <w:iCs/>
          <w:lang w:val="en-CA"/>
        </w:rPr>
        <w:t>61,</w:t>
      </w:r>
      <w:r w:rsidRPr="00952C51">
        <w:rPr>
          <w:rFonts w:cs="Arial"/>
          <w:i/>
          <w:lang w:val="en-CA"/>
        </w:rPr>
        <w:t xml:space="preserve"> </w:t>
      </w:r>
      <w:r w:rsidRPr="00952C51">
        <w:rPr>
          <w:rFonts w:cs="Arial"/>
          <w:iCs/>
          <w:lang w:val="en-CA"/>
        </w:rPr>
        <w:t>ss</w:t>
      </w:r>
      <w:r w:rsidRPr="00952C51">
        <w:rPr>
          <w:rFonts w:cs="Arial"/>
          <w:i/>
          <w:lang w:val="en-CA"/>
        </w:rPr>
        <w:t xml:space="preserve"> </w:t>
      </w:r>
      <w:r w:rsidRPr="00952C51">
        <w:rPr>
          <w:rFonts w:cs="Arial"/>
          <w:bCs/>
          <w:lang w:val="en-CA"/>
        </w:rPr>
        <w:t>82(4), 86, 151. Northwest Territories:</w:t>
      </w:r>
      <w:r w:rsidRPr="00952C51">
        <w:rPr>
          <w:rFonts w:cs="Arial"/>
          <w:b/>
          <w:lang w:val="en-CA"/>
        </w:rPr>
        <w:t xml:space="preserve"> </w:t>
      </w:r>
      <w:r w:rsidRPr="00952C51">
        <w:rPr>
          <w:rFonts w:cs="Arial"/>
          <w:i/>
          <w:lang w:val="en-CA"/>
        </w:rPr>
        <w:t xml:space="preserve">Education Act, </w:t>
      </w:r>
      <w:r w:rsidRPr="00952C51">
        <w:rPr>
          <w:rFonts w:cs="Arial"/>
          <w:iCs/>
          <w:lang w:val="en-CA"/>
        </w:rPr>
        <w:t>SNWT 1995,</w:t>
      </w:r>
      <w:r w:rsidR="003255AA" w:rsidRPr="00952C51">
        <w:rPr>
          <w:rFonts w:cs="Arial"/>
          <w:iCs/>
          <w:lang w:val="en-CA"/>
        </w:rPr>
        <w:t xml:space="preserve"> c </w:t>
      </w:r>
      <w:r w:rsidRPr="00952C51">
        <w:rPr>
          <w:rFonts w:cs="Arial"/>
          <w:iCs/>
          <w:lang w:val="en-CA"/>
        </w:rPr>
        <w:t>28, s 85</w:t>
      </w:r>
      <w:r w:rsidRPr="00952C51">
        <w:rPr>
          <w:rFonts w:cs="Arial"/>
          <w:lang w:val="en-CA"/>
        </w:rPr>
        <w:t xml:space="preserve">; </w:t>
      </w:r>
      <w:r w:rsidRPr="00952C51">
        <w:rPr>
          <w:rFonts w:cs="Arial"/>
          <w:i/>
          <w:lang w:val="en-CA"/>
        </w:rPr>
        <w:t xml:space="preserve">Local Authorities Elections Act, </w:t>
      </w:r>
      <w:r w:rsidRPr="00952C51">
        <w:rPr>
          <w:rFonts w:cs="Arial"/>
          <w:iCs/>
          <w:lang w:val="en-CA"/>
        </w:rPr>
        <w:t>SNWT 1988,</w:t>
      </w:r>
      <w:r w:rsidR="003255AA" w:rsidRPr="00952C51">
        <w:rPr>
          <w:rFonts w:cs="Arial"/>
          <w:iCs/>
          <w:lang w:val="en-CA"/>
        </w:rPr>
        <w:t xml:space="preserve"> c </w:t>
      </w:r>
      <w:r w:rsidRPr="00952C51">
        <w:rPr>
          <w:rFonts w:cs="Arial"/>
          <w:iCs/>
          <w:lang w:val="en-CA"/>
        </w:rPr>
        <w:t>L-10, s</w:t>
      </w:r>
      <w:r w:rsidRPr="00952C51">
        <w:rPr>
          <w:rFonts w:cs="Arial"/>
          <w:i/>
          <w:lang w:val="en-CA"/>
        </w:rPr>
        <w:t xml:space="preserve"> </w:t>
      </w:r>
      <w:r w:rsidRPr="00952C51">
        <w:rPr>
          <w:rFonts w:cs="Arial"/>
          <w:lang w:val="en-CA"/>
        </w:rPr>
        <w:t xml:space="preserve">18, 19; </w:t>
      </w:r>
      <w:r w:rsidRPr="00952C51">
        <w:rPr>
          <w:rFonts w:cs="Arial"/>
          <w:i/>
          <w:lang w:val="en-CA"/>
        </w:rPr>
        <w:t xml:space="preserve">French First Language Education Regulations, </w:t>
      </w:r>
      <w:r w:rsidRPr="00952C51">
        <w:rPr>
          <w:rFonts w:cs="Arial"/>
          <w:bCs/>
          <w:lang w:val="en-CA"/>
        </w:rPr>
        <w:t>NWT Reg. 166-96, s</w:t>
      </w:r>
      <w:r w:rsidR="00DB7832" w:rsidRPr="00952C51">
        <w:rPr>
          <w:rFonts w:cs="Arial"/>
          <w:bCs/>
          <w:lang w:val="en-CA"/>
        </w:rPr>
        <w:t> </w:t>
      </w:r>
      <w:r w:rsidRPr="00952C51">
        <w:rPr>
          <w:rFonts w:cs="Arial"/>
          <w:bCs/>
          <w:lang w:val="en-CA"/>
        </w:rPr>
        <w:t xml:space="preserve">12(2). Nunavut: </w:t>
      </w:r>
      <w:r w:rsidRPr="00952C51">
        <w:rPr>
          <w:rFonts w:cs="Arial"/>
          <w:i/>
          <w:lang w:val="en-CA"/>
        </w:rPr>
        <w:t>Education Act</w:t>
      </w:r>
      <w:r w:rsidRPr="00952C51">
        <w:rPr>
          <w:rFonts w:cs="Arial"/>
          <w:iCs/>
          <w:lang w:val="en-CA"/>
        </w:rPr>
        <w:t>, SNu 2008, c</w:t>
      </w:r>
      <w:r w:rsidRPr="00952C51">
        <w:rPr>
          <w:rFonts w:cs="Arial"/>
          <w:i/>
          <w:lang w:val="en-CA"/>
        </w:rPr>
        <w:t xml:space="preserve"> </w:t>
      </w:r>
      <w:r w:rsidRPr="00952C51">
        <w:rPr>
          <w:rFonts w:cs="Arial"/>
          <w:lang w:val="en-CA"/>
        </w:rPr>
        <w:t xml:space="preserve">15, s 156(1), 166(4); </w:t>
      </w:r>
      <w:r w:rsidRPr="00952C51">
        <w:rPr>
          <w:rFonts w:cs="Arial"/>
          <w:i/>
          <w:lang w:val="en-CA"/>
        </w:rPr>
        <w:t>An Act to Provide for Elections for Municipal Councils and District Education Authorities</w:t>
      </w:r>
      <w:r w:rsidRPr="00952C51">
        <w:rPr>
          <w:rFonts w:cs="Arial"/>
          <w:iCs/>
          <w:lang w:val="en-CA"/>
        </w:rPr>
        <w:t>,</w:t>
      </w:r>
      <w:r w:rsidR="003255AA" w:rsidRPr="00952C51">
        <w:rPr>
          <w:rFonts w:cs="Arial"/>
          <w:iCs/>
          <w:lang w:val="en-CA"/>
        </w:rPr>
        <w:t xml:space="preserve"> c </w:t>
      </w:r>
      <w:r w:rsidRPr="00952C51">
        <w:rPr>
          <w:rFonts w:cs="Arial"/>
          <w:iCs/>
          <w:lang w:val="en-CA"/>
        </w:rPr>
        <w:t>21, art.</w:t>
      </w:r>
      <w:r w:rsidRPr="00952C51">
        <w:rPr>
          <w:rFonts w:cs="Arial"/>
          <w:i/>
          <w:lang w:val="en-CA"/>
        </w:rPr>
        <w:t xml:space="preserve"> </w:t>
      </w:r>
      <w:r w:rsidRPr="00952C51">
        <w:rPr>
          <w:rFonts w:cs="Arial"/>
          <w:lang w:val="en-CA"/>
        </w:rPr>
        <w:t>8(3).</w:t>
      </w:r>
    </w:p>
  </w:footnote>
  <w:footnote w:id="123">
    <w:p w14:paraId="4EA06D5E" w14:textId="51888FEC"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 xml:space="preserve">Report by Professor Peter Loewen, PhD, exhibit P-45 at </w:t>
      </w:r>
      <w:r w:rsidR="00323213" w:rsidRPr="001F158C">
        <w:rPr>
          <w:lang w:val="en-CA"/>
        </w:rPr>
        <w:t>para</w:t>
      </w:r>
      <w:r w:rsidR="001F158C">
        <w:rPr>
          <w:lang w:val="en-CA"/>
        </w:rPr>
        <w:t>s</w:t>
      </w:r>
      <w:r w:rsidR="00323213" w:rsidRPr="001F158C">
        <w:rPr>
          <w:lang w:val="en-CA"/>
        </w:rPr>
        <w:t xml:space="preserve"> </w:t>
      </w:r>
      <w:r w:rsidRPr="001F158C">
        <w:rPr>
          <w:lang w:val="en-CA"/>
        </w:rPr>
        <w:t>12–15.</w:t>
      </w:r>
    </w:p>
  </w:footnote>
  <w:footnote w:id="124">
    <w:p w14:paraId="28238B3F" w14:textId="5A6AB7AE" w:rsidR="00845CB6" w:rsidRPr="001F158C" w:rsidRDefault="0096102C"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F70D11" w:rsidRPr="001F158C">
        <w:rPr>
          <w:lang w:val="en-CA"/>
        </w:rPr>
        <w:t xml:space="preserve">Expert report of </w:t>
      </w:r>
      <w:r w:rsidRPr="001F158C">
        <w:rPr>
          <w:lang w:val="en-CA"/>
        </w:rPr>
        <w:t>Olivier Lemieux</w:t>
      </w:r>
      <w:r w:rsidR="00F70D11" w:rsidRPr="001F158C">
        <w:rPr>
          <w:lang w:val="en-CA"/>
        </w:rPr>
        <w:t xml:space="preserve"> at </w:t>
      </w:r>
      <w:r w:rsidR="005554F5" w:rsidRPr="001F158C">
        <w:rPr>
          <w:lang w:val="en-CA"/>
        </w:rPr>
        <w:t xml:space="preserve">para </w:t>
      </w:r>
      <w:r w:rsidRPr="001F158C">
        <w:rPr>
          <w:lang w:val="en-CA"/>
        </w:rPr>
        <w:t xml:space="preserve">148. </w:t>
      </w:r>
    </w:p>
  </w:footnote>
  <w:footnote w:id="125">
    <w:p w14:paraId="08B8185A" w14:textId="7F063B47"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F70D11" w:rsidRPr="001F158C">
        <w:rPr>
          <w:lang w:val="en-CA"/>
        </w:rPr>
        <w:t>Report by Professor Peter Loewen</w:t>
      </w:r>
      <w:r w:rsidRPr="001F158C">
        <w:rPr>
          <w:lang w:val="en-CA"/>
        </w:rPr>
        <w:t xml:space="preserve">, </w:t>
      </w:r>
      <w:r w:rsidR="00F70D11" w:rsidRPr="001F158C">
        <w:rPr>
          <w:lang w:val="en-CA"/>
        </w:rPr>
        <w:t>exhibit</w:t>
      </w:r>
      <w:r w:rsidRPr="001F158C">
        <w:rPr>
          <w:lang w:val="en-CA"/>
        </w:rPr>
        <w:t xml:space="preserve"> P-45, </w:t>
      </w:r>
      <w:r w:rsidR="00F70D11" w:rsidRPr="001F158C">
        <w:rPr>
          <w:lang w:val="en-CA"/>
        </w:rPr>
        <w:t xml:space="preserve">at </w:t>
      </w:r>
      <w:r w:rsidR="00323213" w:rsidRPr="001F158C">
        <w:rPr>
          <w:lang w:val="en-CA"/>
        </w:rPr>
        <w:t>para</w:t>
      </w:r>
      <w:r w:rsidR="001F158C">
        <w:rPr>
          <w:lang w:val="en-CA"/>
        </w:rPr>
        <w:t>s</w:t>
      </w:r>
      <w:r w:rsidR="00323213" w:rsidRPr="001F158C">
        <w:rPr>
          <w:lang w:val="en-CA"/>
        </w:rPr>
        <w:t xml:space="preserve"> </w:t>
      </w:r>
      <w:r w:rsidRPr="001F158C">
        <w:rPr>
          <w:lang w:val="en-CA"/>
        </w:rPr>
        <w:t>16</w:t>
      </w:r>
      <w:r w:rsidR="00F70D11" w:rsidRPr="001F158C">
        <w:rPr>
          <w:lang w:val="en-CA"/>
        </w:rPr>
        <w:t>–</w:t>
      </w:r>
      <w:r w:rsidRPr="001F158C">
        <w:rPr>
          <w:lang w:val="en-CA"/>
        </w:rPr>
        <w:t>17.</w:t>
      </w:r>
    </w:p>
  </w:footnote>
  <w:footnote w:id="126">
    <w:p w14:paraId="59EA0111" w14:textId="20AD714D" w:rsidR="00BF3EAF" w:rsidRPr="008760EC" w:rsidRDefault="00BF3EAF"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r>
      <w:r w:rsidR="00F70D11" w:rsidRPr="001F158C">
        <w:rPr>
          <w:lang w:val="en-CA"/>
        </w:rPr>
        <w:t>Exhibit</w:t>
      </w:r>
      <w:r w:rsidRPr="001F158C">
        <w:rPr>
          <w:lang w:val="en-CA"/>
        </w:rPr>
        <w:t xml:space="preserve"> P-70.</w:t>
      </w:r>
    </w:p>
  </w:footnote>
  <w:footnote w:id="127">
    <w:p w14:paraId="0E7AE448" w14:textId="3B8AE752" w:rsidR="00BF3EAF" w:rsidRPr="008760EC" w:rsidRDefault="00BF3EAF"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Exhibit</w:t>
      </w:r>
      <w:r w:rsidRPr="001F158C">
        <w:rPr>
          <w:lang w:val="en-CA"/>
        </w:rPr>
        <w:t xml:space="preserve"> P-46.</w:t>
      </w:r>
    </w:p>
  </w:footnote>
  <w:footnote w:id="128">
    <w:p w14:paraId="6084A543" w14:textId="5556BC9F"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845601" w:rsidRPr="001F158C">
        <w:rPr>
          <w:lang w:val="en-CA"/>
        </w:rPr>
        <w:t>Exhibit</w:t>
      </w:r>
      <w:r w:rsidRPr="001F158C">
        <w:rPr>
          <w:lang w:val="en-CA"/>
        </w:rPr>
        <w:t xml:space="preserve"> P-56.</w:t>
      </w:r>
    </w:p>
  </w:footnote>
  <w:footnote w:id="129">
    <w:p w14:paraId="0C7982A4" w14:textId="54E9C28D" w:rsidR="00BF3EAF" w:rsidRPr="008760EC" w:rsidRDefault="00BF3EAF"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r>
      <w:r w:rsidR="00BA1219" w:rsidRPr="001F158C">
        <w:rPr>
          <w:lang w:val="en-CA"/>
        </w:rPr>
        <w:t>CQLR</w:t>
      </w:r>
      <w:r w:rsidRPr="001F158C">
        <w:rPr>
          <w:lang w:val="en-CA"/>
        </w:rPr>
        <w:t xml:space="preserve"> c E-2.3.</w:t>
      </w:r>
    </w:p>
  </w:footnote>
  <w:footnote w:id="130">
    <w:p w14:paraId="43C193FA" w14:textId="5DF16214"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Exhibit</w:t>
      </w:r>
      <w:r w:rsidRPr="001F158C">
        <w:rPr>
          <w:lang w:val="en-CA"/>
        </w:rPr>
        <w:t xml:space="preserve"> P-56.</w:t>
      </w:r>
    </w:p>
  </w:footnote>
  <w:footnote w:id="131">
    <w:p w14:paraId="353C0E36" w14:textId="74113750" w:rsidR="00845CB6" w:rsidRPr="008760EC" w:rsidRDefault="0096102C"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Exhibit</w:t>
      </w:r>
      <w:r w:rsidRPr="001F158C">
        <w:rPr>
          <w:lang w:val="en-CA"/>
        </w:rPr>
        <w:t xml:space="preserve"> P-47.</w:t>
      </w:r>
    </w:p>
  </w:footnote>
  <w:footnote w:id="132">
    <w:p w14:paraId="62B7291B" w14:textId="7B459E21"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Exhibit</w:t>
      </w:r>
      <w:r w:rsidRPr="001F158C">
        <w:rPr>
          <w:lang w:val="en-CA"/>
        </w:rPr>
        <w:t xml:space="preserve"> P-57.</w:t>
      </w:r>
    </w:p>
  </w:footnote>
  <w:footnote w:id="133">
    <w:p w14:paraId="759606E5" w14:textId="389233EB"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 xml:space="preserve">Exhibit </w:t>
      </w:r>
      <w:r w:rsidRPr="001F158C">
        <w:rPr>
          <w:lang w:val="en-CA"/>
        </w:rPr>
        <w:t xml:space="preserve"> P-61. </w:t>
      </w:r>
    </w:p>
  </w:footnote>
  <w:footnote w:id="134">
    <w:p w14:paraId="2EF5CCB2" w14:textId="2D1D1E3C"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Expert report of</w:t>
      </w:r>
      <w:r w:rsidRPr="001F158C">
        <w:rPr>
          <w:lang w:val="en-CA"/>
        </w:rPr>
        <w:t xml:space="preserve"> Roderick</w:t>
      </w:r>
      <w:r w:rsidRPr="001F158C">
        <w:rPr>
          <w:spacing w:val="-3"/>
          <w:lang w:val="en-CA"/>
        </w:rPr>
        <w:t xml:space="preserve"> </w:t>
      </w:r>
      <w:r w:rsidRPr="001F158C">
        <w:rPr>
          <w:lang w:val="en-CA"/>
        </w:rPr>
        <w:t>Macleod</w:t>
      </w:r>
      <w:r w:rsidRPr="001F158C">
        <w:rPr>
          <w:spacing w:val="-5"/>
          <w:lang w:val="en-CA"/>
        </w:rPr>
        <w:t xml:space="preserve"> </w:t>
      </w:r>
      <w:r w:rsidR="005E1015" w:rsidRPr="001F158C">
        <w:rPr>
          <w:lang w:val="en-CA"/>
        </w:rPr>
        <w:t xml:space="preserve">and </w:t>
      </w:r>
      <w:r w:rsidR="005E1015" w:rsidRPr="001F158C">
        <w:rPr>
          <w:spacing w:val="-5"/>
          <w:lang w:val="en-CA"/>
        </w:rPr>
        <w:t>Mary</w:t>
      </w:r>
      <w:r w:rsidRPr="001F158C">
        <w:rPr>
          <w:spacing w:val="-3"/>
          <w:lang w:val="en-CA"/>
        </w:rPr>
        <w:t xml:space="preserve"> </w:t>
      </w:r>
      <w:r w:rsidRPr="001F158C">
        <w:rPr>
          <w:lang w:val="en-CA"/>
        </w:rPr>
        <w:t>Anne</w:t>
      </w:r>
      <w:r w:rsidRPr="001F158C">
        <w:rPr>
          <w:spacing w:val="-4"/>
          <w:lang w:val="en-CA"/>
        </w:rPr>
        <w:t xml:space="preserve"> </w:t>
      </w:r>
      <w:r w:rsidRPr="001F158C">
        <w:rPr>
          <w:lang w:val="en-CA"/>
        </w:rPr>
        <w:t xml:space="preserve">Poutanen, </w:t>
      </w:r>
      <w:r w:rsidR="00333723" w:rsidRPr="001F158C">
        <w:rPr>
          <w:lang w:val="en-CA"/>
        </w:rPr>
        <w:t>exhibit</w:t>
      </w:r>
      <w:r w:rsidRPr="001F158C">
        <w:rPr>
          <w:lang w:val="en-CA"/>
        </w:rPr>
        <w:t xml:space="preserve"> P-43</w:t>
      </w:r>
      <w:r w:rsidR="00333723" w:rsidRPr="001F158C">
        <w:rPr>
          <w:lang w:val="en-CA"/>
        </w:rPr>
        <w:t xml:space="preserve"> at </w:t>
      </w:r>
      <w:r w:rsidR="00323213" w:rsidRPr="001F158C">
        <w:rPr>
          <w:lang w:val="en-CA"/>
        </w:rPr>
        <w:t>para</w:t>
      </w:r>
      <w:r w:rsidR="001F158C">
        <w:rPr>
          <w:lang w:val="en-CA"/>
        </w:rPr>
        <w:t>s</w:t>
      </w:r>
      <w:r w:rsidR="00323213" w:rsidRPr="001F158C">
        <w:rPr>
          <w:lang w:val="en-CA"/>
        </w:rPr>
        <w:t xml:space="preserve"> </w:t>
      </w:r>
      <w:r w:rsidRPr="001F158C">
        <w:rPr>
          <w:lang w:val="en-CA"/>
        </w:rPr>
        <w:t>7</w:t>
      </w:r>
      <w:r w:rsidR="00333723" w:rsidRPr="001F158C">
        <w:rPr>
          <w:lang w:val="en-CA"/>
        </w:rPr>
        <w:t>–</w:t>
      </w:r>
      <w:r w:rsidRPr="001F158C">
        <w:rPr>
          <w:lang w:val="en-CA"/>
        </w:rPr>
        <w:t>8, 60</w:t>
      </w:r>
      <w:r w:rsidR="00333723" w:rsidRPr="001F158C">
        <w:rPr>
          <w:lang w:val="en-CA"/>
        </w:rPr>
        <w:t>–</w:t>
      </w:r>
      <w:r w:rsidRPr="001F158C">
        <w:rPr>
          <w:lang w:val="en-CA"/>
        </w:rPr>
        <w:t xml:space="preserve">63 </w:t>
      </w:r>
      <w:r w:rsidR="00333723" w:rsidRPr="001F158C">
        <w:rPr>
          <w:lang w:val="en-CA"/>
        </w:rPr>
        <w:t>and</w:t>
      </w:r>
      <w:r w:rsidRPr="001F158C">
        <w:rPr>
          <w:lang w:val="en-CA"/>
        </w:rPr>
        <w:t xml:space="preserve"> 74.</w:t>
      </w:r>
    </w:p>
  </w:footnote>
  <w:footnote w:id="135">
    <w:p w14:paraId="4B443C25" w14:textId="32EB8681" w:rsidR="00BF3EAF" w:rsidRPr="008760EC" w:rsidRDefault="00BF3EAF" w:rsidP="00136683">
      <w:pPr>
        <w:pStyle w:val="Notedebasdepage"/>
        <w:ind w:left="426" w:hanging="426"/>
        <w:rPr>
          <w:rFonts w:cs="Arial"/>
          <w:color w:val="000000"/>
          <w:szCs w:val="24"/>
          <w:highlight w:val="yellow"/>
          <w:lang w:val="en-CA"/>
        </w:rPr>
      </w:pPr>
      <w:r w:rsidRPr="001F158C">
        <w:rPr>
          <w:rStyle w:val="Appelnotedebasdep"/>
        </w:rPr>
        <w:footnoteRef/>
      </w:r>
      <w:r w:rsidRPr="001F158C">
        <w:rPr>
          <w:lang w:val="en-CA"/>
        </w:rPr>
        <w:t xml:space="preserve"> </w:t>
      </w:r>
      <w:r w:rsidRPr="001F158C">
        <w:rPr>
          <w:lang w:val="en-CA"/>
        </w:rPr>
        <w:tab/>
      </w:r>
      <w:r w:rsidRPr="001F158C">
        <w:rPr>
          <w:rFonts w:cs="Arial"/>
          <w:i/>
          <w:iCs/>
          <w:color w:val="000000"/>
          <w:lang w:val="en-CA"/>
        </w:rPr>
        <w:t>Hirsch et al.</w:t>
      </w:r>
      <w:r w:rsidRPr="001F158C">
        <w:rPr>
          <w:rFonts w:cs="Arial"/>
          <w:color w:val="000000"/>
          <w:lang w:val="en-CA"/>
        </w:rPr>
        <w:t xml:space="preserve"> </w:t>
      </w:r>
      <w:r w:rsidR="003255AA" w:rsidRPr="001F158C">
        <w:rPr>
          <w:rFonts w:cs="Arial"/>
          <w:i/>
          <w:iCs/>
          <w:color w:val="000000"/>
          <w:lang w:val="en-CA"/>
        </w:rPr>
        <w:t xml:space="preserve">v </w:t>
      </w:r>
      <w:r w:rsidRPr="001F158C">
        <w:rPr>
          <w:rFonts w:cs="Arial"/>
          <w:i/>
          <w:iCs/>
          <w:color w:val="000000"/>
          <w:lang w:val="en-CA"/>
        </w:rPr>
        <w:t>Protestant Board School Com'rs of Montreal et al</w:t>
      </w:r>
      <w:r w:rsidRPr="001F158C">
        <w:rPr>
          <w:rFonts w:cs="Arial"/>
          <w:color w:val="000000"/>
          <w:lang w:val="en-CA"/>
        </w:rPr>
        <w:t xml:space="preserve">., </w:t>
      </w:r>
      <w:r w:rsidRPr="001F158C">
        <w:rPr>
          <w:rStyle w:val="Hyperlien"/>
          <w:rFonts w:cs="Arial"/>
          <w:color w:val="auto"/>
          <w:u w:val="none"/>
          <w:lang w:val="en-CA"/>
        </w:rPr>
        <w:t xml:space="preserve">1928 </w:t>
      </w:r>
      <w:r w:rsidRPr="001F158C">
        <w:rPr>
          <w:lang w:val="en-CA"/>
        </w:rPr>
        <w:t>CanLII</w:t>
      </w:r>
      <w:r w:rsidRPr="001F158C">
        <w:rPr>
          <w:rStyle w:val="Hyperlien"/>
          <w:rFonts w:cs="Arial"/>
          <w:color w:val="auto"/>
          <w:u w:val="none"/>
          <w:lang w:val="en-CA"/>
        </w:rPr>
        <w:t xml:space="preserve"> 500 (UK JCPC)</w:t>
      </w:r>
      <w:r w:rsidR="00333723" w:rsidRPr="001F158C">
        <w:rPr>
          <w:rStyle w:val="Hyperlien"/>
          <w:rFonts w:cs="Arial"/>
          <w:color w:val="auto"/>
          <w:u w:val="none"/>
          <w:lang w:val="en-CA"/>
        </w:rPr>
        <w:t xml:space="preserve"> at</w:t>
      </w:r>
      <w:r w:rsidRPr="001F158C">
        <w:rPr>
          <w:rStyle w:val="Hyperlien"/>
          <w:rFonts w:cs="Arial"/>
          <w:color w:val="auto"/>
          <w:u w:val="none"/>
          <w:lang w:val="en-CA"/>
        </w:rPr>
        <w:t xml:space="preserve"> 1047</w:t>
      </w:r>
      <w:r w:rsidRPr="001F158C">
        <w:rPr>
          <w:rFonts w:cs="Arial"/>
          <w:lang w:val="en-CA"/>
        </w:rPr>
        <w:t>.</w:t>
      </w:r>
    </w:p>
  </w:footnote>
  <w:footnote w:id="136">
    <w:p w14:paraId="6E0B48CA" w14:textId="27D48538"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00333723" w:rsidRPr="001F158C">
        <w:rPr>
          <w:lang w:val="en-CA"/>
        </w:rPr>
        <w:t xml:space="preserve">At </w:t>
      </w:r>
      <w:r w:rsidRPr="001F158C">
        <w:rPr>
          <w:lang w:val="en-CA"/>
        </w:rPr>
        <w:t>1051.</w:t>
      </w:r>
    </w:p>
  </w:footnote>
  <w:footnote w:id="137">
    <w:p w14:paraId="18F21FCD" w14:textId="147DEBF2" w:rsidR="00BF3EAF" w:rsidRPr="001F158C" w:rsidRDefault="00BF3EAF" w:rsidP="00136683">
      <w:pPr>
        <w:pStyle w:val="Notedebasdepage"/>
        <w:ind w:left="426" w:hanging="426"/>
        <w:rPr>
          <w:rFonts w:cs="Arial"/>
          <w:lang w:val="en-CA"/>
        </w:rPr>
      </w:pPr>
      <w:r w:rsidRPr="001F158C">
        <w:rPr>
          <w:rStyle w:val="Appelnotedebasdep"/>
        </w:rPr>
        <w:footnoteRef/>
      </w:r>
      <w:r w:rsidRPr="001F158C">
        <w:rPr>
          <w:lang w:val="en-CA"/>
        </w:rPr>
        <w:t xml:space="preserve"> </w:t>
      </w:r>
      <w:r w:rsidRPr="001F158C">
        <w:rPr>
          <w:lang w:val="en-CA"/>
        </w:rPr>
        <w:tab/>
      </w:r>
      <w:r w:rsidRPr="001F158C">
        <w:rPr>
          <w:rFonts w:cs="Arial"/>
          <w:i/>
          <w:iCs/>
          <w:color w:val="212529"/>
          <w:lang w:val="en-CA"/>
        </w:rPr>
        <w:t>Reference in re Educational System in Island of Montreal</w:t>
      </w:r>
      <w:r w:rsidRPr="001F158C">
        <w:rPr>
          <w:rFonts w:cs="Arial"/>
          <w:color w:val="212529"/>
          <w:lang w:val="en-CA"/>
        </w:rPr>
        <w:t xml:space="preserve"> / </w:t>
      </w:r>
      <w:r w:rsidRPr="001F158C">
        <w:rPr>
          <w:rFonts w:cs="Arial"/>
          <w:i/>
          <w:iCs/>
          <w:color w:val="212529"/>
          <w:lang w:val="en-CA"/>
        </w:rPr>
        <w:t xml:space="preserve">Hirsch </w:t>
      </w:r>
      <w:r w:rsidR="003255AA" w:rsidRPr="001F158C">
        <w:rPr>
          <w:rFonts w:cs="Arial"/>
          <w:i/>
          <w:iCs/>
          <w:color w:val="212529"/>
          <w:lang w:val="en-CA"/>
        </w:rPr>
        <w:t xml:space="preserve">v </w:t>
      </w:r>
      <w:r w:rsidRPr="001F158C">
        <w:rPr>
          <w:rFonts w:cs="Arial"/>
          <w:i/>
          <w:iCs/>
          <w:color w:val="212529"/>
          <w:lang w:val="en-CA"/>
        </w:rPr>
        <w:t>Protestant Board of School Commrs.</w:t>
      </w:r>
      <w:r w:rsidRPr="001F158C">
        <w:rPr>
          <w:rFonts w:cs="Arial"/>
          <w:color w:val="212529"/>
          <w:lang w:val="en-CA"/>
        </w:rPr>
        <w:t>, 1926 CanLII 67 (SCC), [1926] SCR 246</w:t>
      </w:r>
      <w:r w:rsidR="000520C5" w:rsidRPr="001F158C">
        <w:rPr>
          <w:rFonts w:cs="Arial"/>
          <w:color w:val="212529"/>
          <w:lang w:val="en-CA"/>
        </w:rPr>
        <w:t xml:space="preserve"> at</w:t>
      </w:r>
      <w:r w:rsidRPr="001F158C">
        <w:rPr>
          <w:rFonts w:cs="Arial"/>
          <w:color w:val="212529"/>
          <w:lang w:val="en-CA"/>
        </w:rPr>
        <w:t xml:space="preserve"> 257.</w:t>
      </w:r>
    </w:p>
  </w:footnote>
  <w:footnote w:id="138">
    <w:p w14:paraId="2FA0E149" w14:textId="289667C4" w:rsidR="00BF3EAF" w:rsidRPr="001F158C" w:rsidRDefault="00BF3EAF"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r>
      <w:r w:rsidRPr="001F158C">
        <w:rPr>
          <w:rFonts w:cs="Arial"/>
          <w:i/>
          <w:iCs/>
          <w:color w:val="212529"/>
          <w:lang w:val="en-CA"/>
        </w:rPr>
        <w:t>Reference re Education Act of Ontario and Minority Language Education Rights</w:t>
      </w:r>
      <w:r w:rsidRPr="001F158C">
        <w:rPr>
          <w:rFonts w:cs="Arial"/>
          <w:color w:val="212529"/>
          <w:lang w:val="en-CA"/>
        </w:rPr>
        <w:t xml:space="preserve">, 1984 </w:t>
      </w:r>
      <w:r w:rsidRPr="001F158C">
        <w:rPr>
          <w:lang w:val="en-CA"/>
        </w:rPr>
        <w:t>CanLII</w:t>
      </w:r>
      <w:r w:rsidRPr="001F158C">
        <w:rPr>
          <w:rFonts w:cs="Arial"/>
          <w:color w:val="212529"/>
          <w:lang w:val="en-CA"/>
        </w:rPr>
        <w:t xml:space="preserve"> 1832 (ON CA)</w:t>
      </w:r>
      <w:r w:rsidR="001A2B4B" w:rsidRPr="001F158C">
        <w:rPr>
          <w:rFonts w:cs="Arial"/>
          <w:color w:val="212529"/>
          <w:lang w:val="en-CA"/>
        </w:rPr>
        <w:t xml:space="preserve"> at </w:t>
      </w:r>
      <w:r w:rsidRPr="001F158C">
        <w:rPr>
          <w:rFonts w:cs="Arial"/>
          <w:color w:val="212529"/>
          <w:lang w:val="en-CA"/>
        </w:rPr>
        <w:t>42.</w:t>
      </w:r>
    </w:p>
  </w:footnote>
  <w:footnote w:id="139">
    <w:p w14:paraId="5969C718" w14:textId="10B57BD8" w:rsidR="001A2B4B" w:rsidRPr="008760EC" w:rsidRDefault="001A2B4B"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t xml:space="preserve">At </w:t>
      </w:r>
      <w:r w:rsidR="005554F5" w:rsidRPr="001F158C">
        <w:rPr>
          <w:lang w:val="en-CA"/>
        </w:rPr>
        <w:t xml:space="preserve">para </w:t>
      </w:r>
      <w:r w:rsidRPr="001F158C">
        <w:rPr>
          <w:lang w:val="en-CA"/>
        </w:rPr>
        <w:t xml:space="preserve">210 of its arguments. </w:t>
      </w:r>
    </w:p>
  </w:footnote>
  <w:footnote w:id="140">
    <w:p w14:paraId="4D641BF6" w14:textId="77777777" w:rsidR="001A2B4B" w:rsidRPr="00952C51" w:rsidRDefault="001A2B4B" w:rsidP="00136683">
      <w:pPr>
        <w:pStyle w:val="Notedebasdepage"/>
        <w:ind w:left="426" w:hanging="426"/>
        <w:rPr>
          <w:lang w:val="en-CA"/>
        </w:rPr>
      </w:pPr>
      <w:r w:rsidRPr="00952C51">
        <w:rPr>
          <w:rStyle w:val="Appelnotedebasdep"/>
        </w:rPr>
        <w:footnoteRef/>
      </w:r>
      <w:r w:rsidRPr="00952C51">
        <w:rPr>
          <w:lang w:val="en-CA"/>
        </w:rPr>
        <w:t xml:space="preserve"> </w:t>
      </w:r>
      <w:r w:rsidRPr="00952C51">
        <w:rPr>
          <w:lang w:val="en-CA"/>
        </w:rPr>
        <w:tab/>
        <w:t xml:space="preserve">Loewen Report at 87. </w:t>
      </w:r>
    </w:p>
  </w:footnote>
  <w:footnote w:id="141">
    <w:p w14:paraId="47D3B1BD" w14:textId="24C3E7F2" w:rsidR="001A2B4B" w:rsidRPr="00952C51" w:rsidRDefault="001A2B4B" w:rsidP="00136683">
      <w:pPr>
        <w:pStyle w:val="Notedebasdepage"/>
        <w:ind w:left="426" w:hanging="426"/>
        <w:rPr>
          <w:lang w:val="en-CA"/>
        </w:rPr>
      </w:pPr>
      <w:r w:rsidRPr="00952C51">
        <w:rPr>
          <w:rStyle w:val="Appelnotedebasdep"/>
        </w:rPr>
        <w:footnoteRef/>
      </w:r>
      <w:r w:rsidRPr="00952C51">
        <w:rPr>
          <w:lang w:val="en-CA"/>
        </w:rPr>
        <w:t xml:space="preserve"> </w:t>
      </w:r>
      <w:r w:rsidRPr="00952C51">
        <w:rPr>
          <w:lang w:val="en-CA"/>
        </w:rPr>
        <w:tab/>
        <w:t xml:space="preserve">Peter Loewen, Reply to Olivier Lemieux’s Report, </w:t>
      </w:r>
      <w:r w:rsidR="000520C5" w:rsidRPr="00952C51">
        <w:rPr>
          <w:lang w:val="en-CA"/>
        </w:rPr>
        <w:t>exhibit</w:t>
      </w:r>
      <w:r w:rsidRPr="00952C51">
        <w:rPr>
          <w:lang w:val="en-CA"/>
        </w:rPr>
        <w:t xml:space="preserve"> P-76. </w:t>
      </w:r>
    </w:p>
  </w:footnote>
  <w:footnote w:id="142">
    <w:p w14:paraId="66ECDCFA" w14:textId="5B31F422" w:rsidR="001A2B4B" w:rsidRPr="00952C51" w:rsidRDefault="001A2B4B" w:rsidP="00136683">
      <w:pPr>
        <w:pStyle w:val="Notedebasdepage"/>
        <w:ind w:left="426" w:hanging="426"/>
        <w:rPr>
          <w:rFonts w:cs="Arial"/>
          <w:lang w:val="en-CA"/>
        </w:rPr>
      </w:pPr>
      <w:r w:rsidRPr="00952C51">
        <w:rPr>
          <w:rStyle w:val="Appelnotedebasdep"/>
          <w:rFonts w:cs="Arial"/>
        </w:rPr>
        <w:footnoteRef/>
      </w:r>
      <w:r w:rsidRPr="00952C51">
        <w:rPr>
          <w:rFonts w:cs="Arial"/>
          <w:lang w:val="en-CA"/>
        </w:rPr>
        <w:t xml:space="preserve"> </w:t>
      </w:r>
      <w:r w:rsidRPr="00952C51">
        <w:rPr>
          <w:rFonts w:cs="Arial"/>
          <w:lang w:val="en-CA"/>
        </w:rPr>
        <w:tab/>
      </w:r>
      <w:r w:rsidRPr="00952C51">
        <w:rPr>
          <w:rFonts w:cs="Arial"/>
          <w:i/>
          <w:iCs/>
          <w:lang w:val="en-CA"/>
        </w:rPr>
        <w:t>Procureur general du Québec</w:t>
      </w:r>
      <w:r w:rsidR="003255AA" w:rsidRPr="00952C51">
        <w:rPr>
          <w:rFonts w:cs="Arial"/>
          <w:i/>
          <w:iCs/>
          <w:lang w:val="en-CA"/>
        </w:rPr>
        <w:t xml:space="preserve"> c </w:t>
      </w:r>
      <w:r w:rsidRPr="00952C51">
        <w:rPr>
          <w:rFonts w:cs="Arial"/>
          <w:i/>
          <w:iCs/>
          <w:lang w:val="en-CA"/>
        </w:rPr>
        <w:t>Quebec English School Board Association</w:t>
      </w:r>
      <w:r w:rsidRPr="00952C51">
        <w:rPr>
          <w:rFonts w:cs="Arial"/>
          <w:lang w:val="en-CA"/>
        </w:rPr>
        <w:t xml:space="preserve"> at para 53. </w:t>
      </w:r>
    </w:p>
  </w:footnote>
  <w:footnote w:id="143">
    <w:p w14:paraId="51E616F9" w14:textId="38E56A5F" w:rsidR="00085A9D" w:rsidRPr="008760EC" w:rsidRDefault="00085A9D" w:rsidP="00136683">
      <w:pPr>
        <w:pStyle w:val="Notedebasdepage"/>
        <w:ind w:left="426" w:hanging="426"/>
        <w:rPr>
          <w:rFonts w:cs="Arial"/>
          <w:highlight w:val="yellow"/>
          <w:lang w:val="en-CA"/>
        </w:rPr>
      </w:pPr>
      <w:r w:rsidRPr="00952C51">
        <w:rPr>
          <w:rStyle w:val="Appelnotedebasdep"/>
        </w:rPr>
        <w:footnoteRef/>
      </w:r>
      <w:r w:rsidRPr="00952C51">
        <w:rPr>
          <w:lang w:val="en-CA"/>
        </w:rPr>
        <w:t xml:space="preserve"> </w:t>
      </w:r>
      <w:r w:rsidRPr="00952C51">
        <w:rPr>
          <w:lang w:val="en-CA"/>
        </w:rPr>
        <w:tab/>
      </w:r>
      <w:r w:rsidRPr="00952C51">
        <w:rPr>
          <w:rFonts w:cs="Arial"/>
          <w:i/>
          <w:iCs/>
          <w:color w:val="212529"/>
          <w:lang w:val="en-CA"/>
        </w:rPr>
        <w:t xml:space="preserve">Toronto (City) </w:t>
      </w:r>
      <w:r w:rsidR="003255AA" w:rsidRPr="00952C51">
        <w:rPr>
          <w:rFonts w:cs="Arial"/>
          <w:i/>
          <w:iCs/>
          <w:color w:val="212529"/>
          <w:lang w:val="en-CA"/>
        </w:rPr>
        <w:t xml:space="preserve">v </w:t>
      </w:r>
      <w:r w:rsidRPr="00952C51">
        <w:rPr>
          <w:rFonts w:cs="Arial"/>
          <w:i/>
          <w:iCs/>
          <w:color w:val="212529"/>
          <w:lang w:val="en-CA"/>
        </w:rPr>
        <w:t>Ontario (Attorney General)</w:t>
      </w:r>
      <w:r w:rsidRPr="00952C51">
        <w:rPr>
          <w:rFonts w:cs="Arial"/>
          <w:color w:val="212529"/>
          <w:lang w:val="en-CA"/>
        </w:rPr>
        <w:t>, 2021 SCC 34</w:t>
      </w:r>
      <w:r w:rsidR="00FE493C" w:rsidRPr="00952C51">
        <w:rPr>
          <w:rFonts w:cs="Arial"/>
          <w:color w:val="212529"/>
          <w:lang w:val="en-CA"/>
        </w:rPr>
        <w:t>;</w:t>
      </w:r>
      <w:r w:rsidRPr="00952C51">
        <w:rPr>
          <w:rFonts w:cs="Arial"/>
          <w:color w:val="212529"/>
          <w:lang w:val="en-CA"/>
        </w:rPr>
        <w:t xml:space="preserve"> </w:t>
      </w:r>
      <w:r w:rsidRPr="00952C51">
        <w:rPr>
          <w:i/>
          <w:iCs/>
          <w:color w:val="000000"/>
          <w:lang w:val="en-CA"/>
        </w:rPr>
        <w:t xml:space="preserve">Baier </w:t>
      </w:r>
      <w:r w:rsidR="003255AA" w:rsidRPr="00952C51">
        <w:rPr>
          <w:i/>
          <w:iCs/>
          <w:color w:val="000000"/>
          <w:lang w:val="en-CA"/>
        </w:rPr>
        <w:t xml:space="preserve">v </w:t>
      </w:r>
      <w:r w:rsidRPr="00952C51">
        <w:rPr>
          <w:i/>
          <w:iCs/>
          <w:color w:val="000000"/>
          <w:lang w:val="en-CA"/>
        </w:rPr>
        <w:t>Alberta</w:t>
      </w:r>
      <w:r w:rsidRPr="00952C51">
        <w:rPr>
          <w:color w:val="000000"/>
          <w:lang w:val="en-CA"/>
        </w:rPr>
        <w:t xml:space="preserve">, </w:t>
      </w:r>
      <w:r w:rsidRPr="00952C51">
        <w:rPr>
          <w:rStyle w:val="Hyperlien"/>
          <w:color w:val="auto"/>
          <w:u w:val="none"/>
          <w:lang w:val="en-CA"/>
        </w:rPr>
        <w:t>2007 SCC 31</w:t>
      </w:r>
      <w:r w:rsidRPr="00952C51">
        <w:rPr>
          <w:rFonts w:cs="Arial"/>
          <w:lang w:val="en-CA"/>
        </w:rPr>
        <w:t>.</w:t>
      </w:r>
    </w:p>
  </w:footnote>
  <w:footnote w:id="144">
    <w:p w14:paraId="31D26822" w14:textId="3BD9CE61" w:rsidR="00085A9D" w:rsidRPr="00952C51" w:rsidRDefault="00085A9D" w:rsidP="00136683">
      <w:pPr>
        <w:pStyle w:val="Notedebasdepage"/>
        <w:ind w:left="426" w:hanging="426"/>
        <w:rPr>
          <w:lang w:val="en-CA"/>
        </w:rPr>
      </w:pPr>
      <w:r w:rsidRPr="00952C51">
        <w:rPr>
          <w:rStyle w:val="Appelnotedebasdep"/>
        </w:rPr>
        <w:footnoteRef/>
      </w:r>
      <w:r w:rsidRPr="00952C51">
        <w:rPr>
          <w:lang w:val="en-CA"/>
        </w:rPr>
        <w:t xml:space="preserve"> </w:t>
      </w:r>
      <w:r w:rsidR="007B3674">
        <w:rPr>
          <w:lang w:val="en-CA"/>
        </w:rPr>
        <w:tab/>
      </w:r>
      <w:r w:rsidR="00464DDA" w:rsidRPr="00952C51">
        <w:rPr>
          <w:lang w:val="en-CA"/>
        </w:rPr>
        <w:t>At</w:t>
      </w:r>
      <w:r w:rsidRPr="00952C51">
        <w:rPr>
          <w:lang w:val="en-CA"/>
        </w:rPr>
        <w:t xml:space="preserve"> 374. </w:t>
      </w:r>
    </w:p>
  </w:footnote>
  <w:footnote w:id="145">
    <w:p w14:paraId="62F88EF1" w14:textId="01B97250" w:rsidR="0048624B" w:rsidRPr="00952C51" w:rsidRDefault="0096102C" w:rsidP="00136683">
      <w:pPr>
        <w:pStyle w:val="Notedebasdepage"/>
        <w:ind w:left="426" w:hanging="426"/>
        <w:rPr>
          <w:lang w:val="en-CA"/>
        </w:rPr>
      </w:pPr>
      <w:r w:rsidRPr="00952C51">
        <w:rPr>
          <w:rStyle w:val="Appelnotedebasdep"/>
        </w:rPr>
        <w:footnoteRef/>
      </w:r>
      <w:r w:rsidRPr="00952C51">
        <w:rPr>
          <w:lang w:val="en-CA"/>
        </w:rPr>
        <w:t xml:space="preserve"> </w:t>
      </w:r>
      <w:r w:rsidR="007B3674">
        <w:rPr>
          <w:lang w:val="en-CA"/>
        </w:rPr>
        <w:t xml:space="preserve"> </w:t>
      </w:r>
      <w:r w:rsidR="007B3674">
        <w:rPr>
          <w:lang w:val="en-CA"/>
        </w:rPr>
        <w:tab/>
      </w:r>
      <w:r w:rsidR="00464DDA" w:rsidRPr="00952C51">
        <w:rPr>
          <w:lang w:val="en-CA"/>
        </w:rPr>
        <w:t xml:space="preserve">At </w:t>
      </w:r>
      <w:r w:rsidRPr="00952C51">
        <w:rPr>
          <w:lang w:val="en-CA"/>
        </w:rPr>
        <w:t>859.</w:t>
      </w:r>
    </w:p>
  </w:footnote>
  <w:footnote w:id="146">
    <w:p w14:paraId="3BA5A742" w14:textId="4263088E" w:rsidR="00085A9D" w:rsidRPr="00952C51" w:rsidRDefault="00085A9D" w:rsidP="00136683">
      <w:pPr>
        <w:pStyle w:val="Notedebasdepage"/>
        <w:ind w:left="426" w:hanging="426"/>
        <w:rPr>
          <w:lang w:val="en-CA"/>
        </w:rPr>
      </w:pPr>
      <w:r w:rsidRPr="00952C51">
        <w:rPr>
          <w:rStyle w:val="Appelnotedebasdep"/>
        </w:rPr>
        <w:footnoteRef/>
      </w:r>
      <w:r w:rsidRPr="00952C51">
        <w:rPr>
          <w:lang w:val="en-CA"/>
        </w:rPr>
        <w:t xml:space="preserve"> </w:t>
      </w:r>
      <w:r w:rsidR="007B3674">
        <w:rPr>
          <w:lang w:val="en-CA"/>
        </w:rPr>
        <w:tab/>
      </w:r>
      <w:r w:rsidR="00464DDA" w:rsidRPr="00952C51">
        <w:rPr>
          <w:lang w:val="en-CA"/>
        </w:rPr>
        <w:t xml:space="preserve">At </w:t>
      </w:r>
      <w:r w:rsidR="005554F5" w:rsidRPr="00952C51">
        <w:rPr>
          <w:lang w:val="en-CA"/>
        </w:rPr>
        <w:t xml:space="preserve">para </w:t>
      </w:r>
      <w:r w:rsidRPr="00952C51">
        <w:rPr>
          <w:lang w:val="en-CA"/>
        </w:rPr>
        <w:t>42.</w:t>
      </w:r>
    </w:p>
  </w:footnote>
  <w:footnote w:id="147">
    <w:p w14:paraId="19D25017" w14:textId="6C4C10D8" w:rsidR="00085A9D" w:rsidRPr="00B9725D" w:rsidRDefault="00085A9D" w:rsidP="00136683">
      <w:pPr>
        <w:pStyle w:val="Notedebasdepage"/>
        <w:ind w:left="426" w:hanging="426"/>
        <w:rPr>
          <w:lang w:val="en-CA"/>
        </w:rPr>
      </w:pPr>
      <w:r w:rsidRPr="00952C51">
        <w:rPr>
          <w:rStyle w:val="Appelnotedebasdep"/>
        </w:rPr>
        <w:footnoteRef/>
      </w:r>
      <w:r w:rsidRPr="00952C51">
        <w:rPr>
          <w:lang w:val="en-CA"/>
        </w:rPr>
        <w:t xml:space="preserve"> </w:t>
      </w:r>
      <w:r w:rsidR="007B3674">
        <w:rPr>
          <w:lang w:val="en-CA"/>
        </w:rPr>
        <w:tab/>
      </w:r>
      <w:r w:rsidR="00464DDA" w:rsidRPr="00952C51">
        <w:rPr>
          <w:lang w:val="en-CA"/>
        </w:rPr>
        <w:t xml:space="preserve">At </w:t>
      </w:r>
      <w:r w:rsidR="005554F5" w:rsidRPr="00952C51">
        <w:rPr>
          <w:lang w:val="en-CA"/>
        </w:rPr>
        <w:t xml:space="preserve">para </w:t>
      </w:r>
      <w:r w:rsidRPr="00B9725D">
        <w:rPr>
          <w:lang w:val="en-CA"/>
        </w:rPr>
        <w:t xml:space="preserve">29. </w:t>
      </w:r>
    </w:p>
  </w:footnote>
  <w:footnote w:id="148">
    <w:p w14:paraId="0F416B75" w14:textId="3D2F1678" w:rsidR="00085A9D" w:rsidRPr="00B9725D" w:rsidRDefault="00085A9D" w:rsidP="00136683">
      <w:pPr>
        <w:pStyle w:val="Notedebasdepage"/>
        <w:ind w:left="426" w:hanging="426"/>
        <w:rPr>
          <w:highlight w:val="yellow"/>
          <w:lang w:val="en-CA"/>
        </w:rPr>
      </w:pPr>
      <w:r w:rsidRPr="00952C51">
        <w:rPr>
          <w:rStyle w:val="Appelnotedebasdep"/>
        </w:rPr>
        <w:footnoteRef/>
      </w:r>
      <w:r w:rsidRPr="00B9725D">
        <w:rPr>
          <w:lang w:val="en-CA"/>
        </w:rPr>
        <w:t xml:space="preserve"> </w:t>
      </w:r>
      <w:r w:rsidR="007B3674">
        <w:rPr>
          <w:lang w:val="en-CA"/>
        </w:rPr>
        <w:tab/>
      </w:r>
      <w:r w:rsidR="00464DDA" w:rsidRPr="00B9725D">
        <w:rPr>
          <w:lang w:val="en-CA"/>
        </w:rPr>
        <w:t xml:space="preserve">At </w:t>
      </w:r>
      <w:r w:rsidR="005554F5" w:rsidRPr="00952C51">
        <w:rPr>
          <w:lang w:val="en-CA"/>
        </w:rPr>
        <w:t xml:space="preserve">para </w:t>
      </w:r>
      <w:r w:rsidRPr="00B9725D">
        <w:rPr>
          <w:lang w:val="en-CA"/>
        </w:rPr>
        <w:t>86.</w:t>
      </w:r>
    </w:p>
  </w:footnote>
  <w:footnote w:id="149">
    <w:p w14:paraId="1D4BDB48" w14:textId="511DBEFC" w:rsidR="003B1EC4" w:rsidRPr="001F158C" w:rsidRDefault="003B1EC4"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Sworn statements of G. Dugré, exhibit P-67 and M.A. Cooke, exhibit P-68.</w:t>
      </w:r>
    </w:p>
  </w:footnote>
  <w:footnote w:id="150">
    <w:p w14:paraId="02280AB0" w14:textId="77777777" w:rsidR="003B1EC4" w:rsidRPr="001F158C" w:rsidRDefault="003B1EC4"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Exhibit P-75.</w:t>
      </w:r>
    </w:p>
  </w:footnote>
  <w:footnote w:id="151">
    <w:p w14:paraId="552EB7E3" w14:textId="161ABA4A" w:rsidR="003B1EC4" w:rsidRPr="001F158C" w:rsidRDefault="003B1EC4"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(2020) 152 G.O.Q. II, 4515</w:t>
      </w:r>
      <w:r w:rsidR="001F158C">
        <w:rPr>
          <w:lang w:val="en-CA"/>
        </w:rPr>
        <w:t>;</w:t>
      </w:r>
      <w:r w:rsidRPr="001F158C">
        <w:rPr>
          <w:lang w:val="en-CA"/>
        </w:rPr>
        <w:t xml:space="preserve"> </w:t>
      </w:r>
      <w:r w:rsidR="001F158C">
        <w:rPr>
          <w:lang w:val="en-CA"/>
        </w:rPr>
        <w:t>e</w:t>
      </w:r>
      <w:r w:rsidRPr="001F158C">
        <w:rPr>
          <w:lang w:val="en-CA"/>
        </w:rPr>
        <w:t xml:space="preserve">xhibit P-75. </w:t>
      </w:r>
    </w:p>
  </w:footnote>
  <w:footnote w:id="152">
    <w:p w14:paraId="7C5150E9" w14:textId="1A69571E" w:rsidR="003B1EC4" w:rsidRPr="001F158C" w:rsidRDefault="003B1EC4"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 xml:space="preserve">Loewen report, exhibit P-45 at </w:t>
      </w:r>
      <w:r w:rsidR="00323213" w:rsidRPr="001F158C">
        <w:rPr>
          <w:lang w:val="en-CA"/>
        </w:rPr>
        <w:t>para</w:t>
      </w:r>
      <w:r w:rsidR="001F158C">
        <w:rPr>
          <w:lang w:val="en-CA"/>
        </w:rPr>
        <w:t>s</w:t>
      </w:r>
      <w:r w:rsidR="00323213" w:rsidRPr="001F158C">
        <w:rPr>
          <w:lang w:val="en-CA"/>
        </w:rPr>
        <w:t xml:space="preserve"> </w:t>
      </w:r>
      <w:r w:rsidRPr="001F158C">
        <w:rPr>
          <w:lang w:val="en-CA"/>
        </w:rPr>
        <w:t xml:space="preserve">27–28. </w:t>
      </w:r>
    </w:p>
  </w:footnote>
  <w:footnote w:id="153">
    <w:p w14:paraId="5699FC7F" w14:textId="77777777" w:rsidR="003B1EC4" w:rsidRPr="008760EC" w:rsidRDefault="003B1EC4" w:rsidP="00136683">
      <w:pPr>
        <w:pStyle w:val="Notedebasdepage"/>
        <w:ind w:left="426" w:hanging="426"/>
        <w:rPr>
          <w:highlight w:val="yellow"/>
          <w:lang w:val="en-CA"/>
        </w:rPr>
      </w:pPr>
      <w:r w:rsidRPr="001F158C">
        <w:rPr>
          <w:rStyle w:val="Appelnotedebasdep"/>
        </w:rPr>
        <w:footnoteRef/>
      </w:r>
      <w:r w:rsidRPr="001F158C">
        <w:rPr>
          <w:lang w:val="en-CA"/>
        </w:rPr>
        <w:t xml:space="preserve"> </w:t>
      </w:r>
      <w:r w:rsidRPr="001F158C">
        <w:rPr>
          <w:lang w:val="en-CA"/>
        </w:rPr>
        <w:tab/>
        <w:t xml:space="preserve">Exhibit P-47. </w:t>
      </w:r>
    </w:p>
  </w:footnote>
  <w:footnote w:id="154">
    <w:p w14:paraId="6C7865BB" w14:textId="77777777" w:rsidR="003B1EC4" w:rsidRPr="001F158C" w:rsidRDefault="003B1EC4" w:rsidP="00136683">
      <w:pPr>
        <w:pStyle w:val="Notedebasdepage"/>
        <w:ind w:left="426" w:hanging="426"/>
        <w:rPr>
          <w:lang w:val="en-CA"/>
        </w:rPr>
      </w:pPr>
      <w:r w:rsidRPr="001F158C">
        <w:rPr>
          <w:rStyle w:val="Appelnotedebasdep"/>
        </w:rPr>
        <w:footnoteRef/>
      </w:r>
      <w:r w:rsidRPr="001F158C">
        <w:rPr>
          <w:lang w:val="en-CA"/>
        </w:rPr>
        <w:t xml:space="preserve"> </w:t>
      </w:r>
      <w:r w:rsidRPr="001F158C">
        <w:rPr>
          <w:lang w:val="en-CA"/>
        </w:rPr>
        <w:tab/>
        <w:t>Sworn statements, exhibit P-53.</w:t>
      </w:r>
    </w:p>
  </w:footnote>
  <w:footnote w:id="155">
    <w:p w14:paraId="61E3AFB7" w14:textId="77777777" w:rsidR="003B1EC4" w:rsidRPr="001F158C" w:rsidRDefault="003B1EC4" w:rsidP="00136683">
      <w:pPr>
        <w:pStyle w:val="Notedebasdepage"/>
        <w:ind w:left="426" w:hanging="426"/>
      </w:pPr>
      <w:r w:rsidRPr="001F158C">
        <w:rPr>
          <w:rStyle w:val="Appelnotedebasdep"/>
        </w:rPr>
        <w:footnoteRef/>
      </w:r>
      <w:r w:rsidRPr="001F158C">
        <w:t xml:space="preserve"> </w:t>
      </w:r>
      <w:r w:rsidRPr="001F158C">
        <w:tab/>
        <w:t>Exhibit P-54.</w:t>
      </w:r>
    </w:p>
  </w:footnote>
  <w:footnote w:id="156">
    <w:p w14:paraId="76D8F830" w14:textId="6FC5C926" w:rsidR="003B1EC4" w:rsidRPr="001F158C" w:rsidRDefault="003B1EC4" w:rsidP="00136683">
      <w:pPr>
        <w:pStyle w:val="Notedebasdepage"/>
        <w:ind w:left="426" w:hanging="426"/>
      </w:pPr>
      <w:r w:rsidRPr="00B9725D">
        <w:rPr>
          <w:rStyle w:val="Appelnotedebasdep"/>
          <w:lang w:val="en-CA"/>
        </w:rPr>
        <w:footnoteRef/>
      </w:r>
      <w:r w:rsidRPr="001F158C">
        <w:t xml:space="preserve"> </w:t>
      </w:r>
      <w:r w:rsidRPr="001F158C">
        <w:tab/>
      </w:r>
      <w:r w:rsidRPr="001F158C">
        <w:rPr>
          <w:rFonts w:cs="Arial"/>
          <w:color w:val="000000"/>
          <w:shd w:val="clear" w:color="auto" w:fill="FFFFFF"/>
        </w:rPr>
        <w:t>M.</w:t>
      </w:r>
      <w:r w:rsidR="001F158C">
        <w:rPr>
          <w:rFonts w:cs="Arial"/>
          <w:color w:val="000000"/>
          <w:shd w:val="clear" w:color="auto" w:fill="FFFFFF"/>
        </w:rPr>
        <w:t>C.</w:t>
      </w:r>
      <w:r w:rsidR="003255AA" w:rsidRPr="001F158C">
        <w:rPr>
          <w:rFonts w:cs="Arial"/>
          <w:color w:val="000000"/>
          <w:shd w:val="clear" w:color="auto" w:fill="FFFFFF"/>
        </w:rPr>
        <w:t xml:space="preserve"> </w:t>
      </w:r>
      <w:r w:rsidRPr="001F158C">
        <w:rPr>
          <w:rFonts w:cs="Arial"/>
          <w:color w:val="000000"/>
          <w:shd w:val="clear" w:color="auto" w:fill="FFFFFF"/>
        </w:rPr>
        <w:t xml:space="preserve">Power, </w:t>
      </w:r>
      <w:r w:rsidR="009938BC" w:rsidRPr="001F158C">
        <w:rPr>
          <w:rFonts w:cs="Arial"/>
          <w:color w:val="000000"/>
          <w:shd w:val="clear" w:color="auto" w:fill="FFFFFF"/>
        </w:rPr>
        <w:t>“</w:t>
      </w:r>
      <w:r w:rsidRPr="001F158C">
        <w:rPr>
          <w:rFonts w:cs="Arial"/>
          <w:iCs/>
          <w:shd w:val="clear" w:color="auto" w:fill="FFFFFF"/>
        </w:rPr>
        <w:t>Les droits linguistiques en matière d'éducation : La teneur de l'article 23 de la Charte et ses restrictions – Les droits reconnus</w:t>
      </w:r>
      <w:r w:rsidR="009938BC" w:rsidRPr="001F158C">
        <w:rPr>
          <w:rFonts w:cs="Arial"/>
          <w:shd w:val="clear" w:color="auto" w:fill="FFFFFF"/>
        </w:rPr>
        <w:t>” in</w:t>
      </w:r>
      <w:r w:rsidRPr="001F158C">
        <w:rPr>
          <w:rFonts w:cs="Arial"/>
          <w:shd w:val="clear" w:color="auto" w:fill="FFFFFF"/>
        </w:rPr>
        <w:t xml:space="preserve"> </w:t>
      </w:r>
      <w:r w:rsidR="00B8441F" w:rsidRPr="00B8441F">
        <w:rPr>
          <w:rFonts w:cs="Arial"/>
          <w:shd w:val="clear" w:color="auto" w:fill="FFFFFF"/>
        </w:rPr>
        <w:t>M. Bastarache &amp; M. Doucet, eds</w:t>
      </w:r>
      <w:r w:rsidR="00B8441F">
        <w:rPr>
          <w:rFonts w:cs="Arial"/>
          <w:shd w:val="clear" w:color="auto" w:fill="FFFFFF"/>
        </w:rPr>
        <w:t>,</w:t>
      </w:r>
      <w:r w:rsidR="00B8441F" w:rsidRPr="00B8441F">
        <w:rPr>
          <w:rFonts w:cs="Arial"/>
          <w:shd w:val="clear" w:color="auto" w:fill="FFFFFF"/>
        </w:rPr>
        <w:t xml:space="preserve"> </w:t>
      </w:r>
      <w:r w:rsidRPr="001F158C">
        <w:rPr>
          <w:rFonts w:cs="Arial"/>
          <w:i/>
          <w:iCs/>
          <w:shd w:val="clear" w:color="auto" w:fill="FFFFFF"/>
        </w:rPr>
        <w:t>Les droits linguistiques au Canada</w:t>
      </w:r>
      <w:r w:rsidRPr="001F158C">
        <w:rPr>
          <w:rFonts w:cs="Arial"/>
          <w:shd w:val="clear" w:color="auto" w:fill="FFFFFF"/>
        </w:rPr>
        <w:t xml:space="preserve">, </w:t>
      </w:r>
      <w:r w:rsidR="001A4FE5" w:rsidRPr="001F158C">
        <w:rPr>
          <w:rFonts w:cs="Arial"/>
          <w:shd w:val="clear" w:color="auto" w:fill="FFFFFF"/>
        </w:rPr>
        <w:t xml:space="preserve">3rd ed </w:t>
      </w:r>
      <w:r w:rsidR="009938BC" w:rsidRPr="001F158C">
        <w:rPr>
          <w:rFonts w:cs="Arial"/>
          <w:shd w:val="clear" w:color="auto" w:fill="FFFFFF"/>
        </w:rPr>
        <w:t>(</w:t>
      </w:r>
      <w:r w:rsidRPr="001F158C">
        <w:rPr>
          <w:rFonts w:cs="Arial"/>
          <w:shd w:val="clear" w:color="auto" w:fill="FFFFFF"/>
        </w:rPr>
        <w:t xml:space="preserve">Observatoire international des droits linguistiques, </w:t>
      </w:r>
      <w:r w:rsidR="001A4FE5" w:rsidRPr="001F158C">
        <w:rPr>
          <w:rFonts w:cs="Arial"/>
          <w:shd w:val="clear" w:color="auto" w:fill="FFFFFF"/>
        </w:rPr>
        <w:t>Faculté de droit</w:t>
      </w:r>
      <w:r w:rsidRPr="001F158C">
        <w:rPr>
          <w:rFonts w:cs="Arial"/>
          <w:shd w:val="clear" w:color="auto" w:fill="FFFFFF"/>
        </w:rPr>
        <w:t>, Université de Moncton</w:t>
      </w:r>
      <w:r w:rsidR="001A4FE5" w:rsidRPr="00B9725D">
        <w:rPr>
          <w:rFonts w:cs="Arial"/>
          <w:shd w:val="clear" w:color="auto" w:fill="FFFFFF"/>
        </w:rPr>
        <w:t>)</w:t>
      </w:r>
      <w:r w:rsidR="001F158C">
        <w:rPr>
          <w:rFonts w:cs="Arial"/>
          <w:shd w:val="clear" w:color="auto" w:fill="FFFFFF"/>
        </w:rPr>
        <w:t xml:space="preserve"> </w:t>
      </w:r>
      <w:r w:rsidRPr="001F158C">
        <w:rPr>
          <w:rFonts w:cs="Arial"/>
          <w:shd w:val="clear" w:color="auto" w:fill="FFFFFF"/>
        </w:rPr>
        <w:t>2013 EYB2013DLC83.</w:t>
      </w:r>
    </w:p>
  </w:footnote>
  <w:footnote w:id="157">
    <w:p w14:paraId="7CB63B2D" w14:textId="77777777" w:rsidR="003B1EC4" w:rsidRPr="007B3674" w:rsidRDefault="003B1EC4" w:rsidP="00136683">
      <w:pPr>
        <w:pStyle w:val="Notedebasdepage"/>
        <w:ind w:left="426" w:hanging="426"/>
        <w:rPr>
          <w:lang w:val="en-CA"/>
        </w:rPr>
      </w:pPr>
      <w:r w:rsidRPr="007B3674">
        <w:rPr>
          <w:rStyle w:val="Appelnotedebasdep"/>
        </w:rPr>
        <w:footnoteRef/>
      </w:r>
      <w:r w:rsidRPr="007B3674">
        <w:rPr>
          <w:lang w:val="en-CA"/>
        </w:rPr>
        <w:t xml:space="preserve"> </w:t>
      </w:r>
      <w:r w:rsidRPr="007B3674">
        <w:rPr>
          <w:lang w:val="en-CA"/>
        </w:rPr>
        <w:tab/>
        <w:t>Exhibit P-55.</w:t>
      </w:r>
    </w:p>
  </w:footnote>
  <w:footnote w:id="158">
    <w:p w14:paraId="7609235B" w14:textId="77777777" w:rsidR="003B1EC4" w:rsidRPr="007B3674" w:rsidRDefault="003B1EC4" w:rsidP="00136683">
      <w:pPr>
        <w:pStyle w:val="Notedebasdepage"/>
        <w:ind w:left="426" w:hanging="426"/>
        <w:rPr>
          <w:lang w:val="en-CA"/>
        </w:rPr>
      </w:pPr>
      <w:r w:rsidRPr="007B3674">
        <w:rPr>
          <w:rStyle w:val="Appelnotedebasdep"/>
        </w:rPr>
        <w:footnoteRef/>
      </w:r>
      <w:r w:rsidRPr="007B3674">
        <w:rPr>
          <w:lang w:val="en-CA"/>
        </w:rPr>
        <w:t xml:space="preserve"> </w:t>
      </w:r>
      <w:r w:rsidRPr="007B3674">
        <w:rPr>
          <w:lang w:val="en-CA"/>
        </w:rPr>
        <w:tab/>
        <w:t>Exhibit P-53.</w:t>
      </w:r>
    </w:p>
  </w:footnote>
  <w:footnote w:id="159">
    <w:p w14:paraId="579E5D8E" w14:textId="46B6C414" w:rsidR="003B1EC4" w:rsidRPr="007B3674" w:rsidRDefault="003B1EC4" w:rsidP="00136683">
      <w:pPr>
        <w:pStyle w:val="Notedebasdepage"/>
        <w:ind w:left="426" w:hanging="426"/>
        <w:rPr>
          <w:lang w:val="en-CA"/>
        </w:rPr>
      </w:pPr>
      <w:r w:rsidRPr="007B3674">
        <w:rPr>
          <w:rStyle w:val="Appelnotedebasdep"/>
        </w:rPr>
        <w:footnoteRef/>
      </w:r>
      <w:r w:rsidRPr="007B3674">
        <w:rPr>
          <w:lang w:val="en-CA"/>
        </w:rPr>
        <w:t xml:space="preserve"> </w:t>
      </w:r>
      <w:r w:rsidRPr="007B3674">
        <w:rPr>
          <w:lang w:val="en-CA"/>
        </w:rPr>
        <w:tab/>
      </w:r>
      <w:r w:rsidR="005451D0" w:rsidRPr="007B3674">
        <w:rPr>
          <w:lang w:val="en-CA"/>
        </w:rPr>
        <w:t>Argument outline at para</w:t>
      </w:r>
      <w:r w:rsidR="005554F5" w:rsidRPr="007B3674">
        <w:rPr>
          <w:lang w:val="en-CA"/>
        </w:rPr>
        <w:t xml:space="preserve"> </w:t>
      </w:r>
      <w:r w:rsidRPr="007B3674">
        <w:rPr>
          <w:lang w:val="en-CA"/>
        </w:rPr>
        <w:t>434.</w:t>
      </w:r>
    </w:p>
  </w:footnote>
  <w:footnote w:id="160">
    <w:p w14:paraId="71780865" w14:textId="0141294B" w:rsidR="003B1EC4" w:rsidRPr="008760EC" w:rsidRDefault="003B1EC4" w:rsidP="00136683">
      <w:pPr>
        <w:pStyle w:val="Notedebasdepage"/>
        <w:ind w:left="426" w:hanging="426"/>
        <w:rPr>
          <w:highlight w:val="yellow"/>
          <w:lang w:val="en-CA"/>
        </w:rPr>
      </w:pPr>
      <w:r w:rsidRPr="007B3674">
        <w:rPr>
          <w:rStyle w:val="Appelnotedebasdep"/>
        </w:rPr>
        <w:footnoteRef/>
      </w:r>
      <w:r w:rsidRPr="007B3674">
        <w:rPr>
          <w:lang w:val="en-CA"/>
        </w:rPr>
        <w:t xml:space="preserve"> </w:t>
      </w:r>
      <w:r w:rsidRPr="007B3674">
        <w:rPr>
          <w:lang w:val="en-CA"/>
        </w:rPr>
        <w:tab/>
      </w:r>
      <w:r w:rsidRPr="007B3674">
        <w:rPr>
          <w:rFonts w:cs="Arial"/>
          <w:i/>
          <w:iCs/>
          <w:lang w:val="en-CA"/>
        </w:rPr>
        <w:t>A.B. v Northwest Territories (Minister of Education, Culture and Employment)</w:t>
      </w:r>
      <w:r w:rsidRPr="007B3674">
        <w:rPr>
          <w:rFonts w:cs="Arial"/>
          <w:iCs/>
          <w:color w:val="212529"/>
          <w:lang w:val="en-CA"/>
        </w:rPr>
        <w:t xml:space="preserve">, 2021 NWTCA 8 at </w:t>
      </w:r>
      <w:r w:rsidR="005554F5" w:rsidRPr="007B3674">
        <w:rPr>
          <w:rFonts w:cs="Arial"/>
          <w:iCs/>
          <w:color w:val="212529"/>
          <w:lang w:val="en-CA"/>
        </w:rPr>
        <w:t xml:space="preserve">para </w:t>
      </w:r>
      <w:r w:rsidRPr="007B3674">
        <w:rPr>
          <w:rFonts w:cs="Arial"/>
          <w:color w:val="212529"/>
          <w:lang w:val="en-CA"/>
        </w:rPr>
        <w:t xml:space="preserve">141, </w:t>
      </w:r>
      <w:r w:rsidR="00346238" w:rsidRPr="007B3674">
        <w:rPr>
          <w:rFonts w:cs="Arial"/>
          <w:color w:val="212529"/>
          <w:lang w:val="en-CA"/>
        </w:rPr>
        <w:t xml:space="preserve">under </w:t>
      </w:r>
      <w:r w:rsidRPr="007B3674">
        <w:rPr>
          <w:rFonts w:cs="Arial"/>
          <w:color w:val="212529"/>
          <w:lang w:val="en-CA"/>
        </w:rPr>
        <w:t xml:space="preserve">appeal to </w:t>
      </w:r>
      <w:r w:rsidR="00346238" w:rsidRPr="007B3674">
        <w:rPr>
          <w:rFonts w:cs="Arial"/>
          <w:color w:val="212529"/>
          <w:lang w:val="en-CA"/>
        </w:rPr>
        <w:t>SCC</w:t>
      </w:r>
      <w:r w:rsidRPr="007B3674">
        <w:rPr>
          <w:rFonts w:cs="Arial"/>
          <w:color w:val="212529"/>
          <w:lang w:val="en-CA"/>
        </w:rPr>
        <w:t>, 39915</w:t>
      </w:r>
      <w:r w:rsidR="00346238" w:rsidRPr="007B3674">
        <w:rPr>
          <w:rFonts w:cs="Arial"/>
          <w:color w:val="212529"/>
          <w:lang w:val="en-CA"/>
        </w:rPr>
        <w:t xml:space="preserve"> (</w:t>
      </w:r>
      <w:r w:rsidRPr="007B3674">
        <w:rPr>
          <w:rFonts w:cs="Arial"/>
          <w:color w:val="212529"/>
          <w:lang w:val="en-CA"/>
        </w:rPr>
        <w:t xml:space="preserve">under advisement since </w:t>
      </w:r>
      <w:r w:rsidR="00346238" w:rsidRPr="007B3674">
        <w:rPr>
          <w:rFonts w:cs="Arial"/>
          <w:color w:val="212529"/>
          <w:lang w:val="en-CA"/>
        </w:rPr>
        <w:t xml:space="preserve">9 </w:t>
      </w:r>
      <w:r w:rsidRPr="007B3674">
        <w:rPr>
          <w:rFonts w:cs="Arial"/>
          <w:color w:val="212529"/>
          <w:lang w:val="en-CA"/>
        </w:rPr>
        <w:t>February 2023</w:t>
      </w:r>
      <w:r w:rsidR="00346238" w:rsidRPr="007B3674">
        <w:rPr>
          <w:rFonts w:cs="Arial"/>
          <w:color w:val="212529"/>
          <w:lang w:val="en-CA"/>
        </w:rPr>
        <w:t>)</w:t>
      </w:r>
      <w:r w:rsidRPr="007B3674">
        <w:rPr>
          <w:rFonts w:cs="Arial"/>
          <w:color w:val="212529"/>
          <w:lang w:val="en-CA"/>
        </w:rPr>
        <w:t xml:space="preserve">; </w:t>
      </w:r>
      <w:r w:rsidRPr="007B3674">
        <w:rPr>
          <w:rFonts w:cs="Arial"/>
          <w:i/>
          <w:color w:val="212529"/>
          <w:lang w:val="en-CA"/>
        </w:rPr>
        <w:t>Arsenault-Cameron</w:t>
      </w:r>
      <w:r w:rsidRPr="007B3674">
        <w:rPr>
          <w:rFonts w:cs="Arial"/>
          <w:color w:val="212529"/>
          <w:lang w:val="en-CA"/>
        </w:rPr>
        <w:t xml:space="preserve">, </w:t>
      </w:r>
      <w:r w:rsidRPr="007B3674">
        <w:rPr>
          <w:rFonts w:cs="Arial"/>
          <w:i/>
          <w:iCs/>
          <w:color w:val="212529"/>
          <w:lang w:val="en-CA"/>
        </w:rPr>
        <w:t>supra</w:t>
      </w:r>
      <w:r w:rsidRPr="007B3674">
        <w:rPr>
          <w:rFonts w:cs="Arial"/>
          <w:color w:val="212529"/>
          <w:lang w:val="en-CA"/>
        </w:rPr>
        <w:t xml:space="preserve"> at </w:t>
      </w:r>
      <w:r w:rsidR="005554F5" w:rsidRPr="007B3674">
        <w:rPr>
          <w:rFonts w:cs="Arial"/>
          <w:color w:val="212529"/>
          <w:lang w:val="en-CA"/>
        </w:rPr>
        <w:t xml:space="preserve">para </w:t>
      </w:r>
      <w:r w:rsidRPr="007B3674">
        <w:rPr>
          <w:rFonts w:cs="Arial"/>
          <w:color w:val="212529"/>
          <w:lang w:val="en-CA"/>
        </w:rPr>
        <w:t xml:space="preserve">43. </w:t>
      </w:r>
    </w:p>
  </w:footnote>
  <w:footnote w:id="161">
    <w:p w14:paraId="24E6F58B" w14:textId="0E0AD3C3" w:rsidR="003B1EC4" w:rsidRPr="007B3674" w:rsidRDefault="003B1EC4" w:rsidP="00136683">
      <w:pPr>
        <w:pStyle w:val="Notedebasdepage"/>
        <w:ind w:left="426" w:hanging="426"/>
        <w:rPr>
          <w:lang w:val="en-CA"/>
        </w:rPr>
      </w:pPr>
      <w:r w:rsidRPr="007B3674">
        <w:rPr>
          <w:rStyle w:val="Appelnotedebasdep"/>
        </w:rPr>
        <w:footnoteRef/>
      </w:r>
      <w:r w:rsidRPr="007B3674">
        <w:rPr>
          <w:lang w:val="en-CA"/>
        </w:rPr>
        <w:t xml:space="preserve"> </w:t>
      </w:r>
      <w:r w:rsidRPr="007B3674">
        <w:rPr>
          <w:lang w:val="en-CA"/>
        </w:rPr>
        <w:tab/>
        <w:t xml:space="preserve">Argument outline at </w:t>
      </w:r>
      <w:r w:rsidR="005554F5" w:rsidRPr="007B3674">
        <w:rPr>
          <w:lang w:val="en-CA"/>
        </w:rPr>
        <w:t xml:space="preserve">para </w:t>
      </w:r>
      <w:r w:rsidRPr="007B3674">
        <w:rPr>
          <w:lang w:val="en-CA"/>
        </w:rPr>
        <w:t>438.</w:t>
      </w:r>
    </w:p>
  </w:footnote>
  <w:footnote w:id="162">
    <w:p w14:paraId="4B6689DF" w14:textId="2541510C" w:rsidR="003B1EC4" w:rsidRPr="008760EC" w:rsidRDefault="003B1EC4" w:rsidP="00136683">
      <w:pPr>
        <w:pStyle w:val="Notedebasdepage"/>
        <w:ind w:left="426" w:hanging="426"/>
        <w:rPr>
          <w:highlight w:val="yellow"/>
          <w:lang w:val="en-CA"/>
        </w:rPr>
      </w:pPr>
      <w:r w:rsidRPr="007B3674">
        <w:rPr>
          <w:rStyle w:val="Appelnotedebasdep"/>
        </w:rPr>
        <w:footnoteRef/>
      </w:r>
      <w:r w:rsidRPr="007B3674">
        <w:rPr>
          <w:lang w:val="en-CA"/>
        </w:rPr>
        <w:t xml:space="preserve"> </w:t>
      </w:r>
      <w:r w:rsidRPr="007B3674">
        <w:rPr>
          <w:lang w:val="en-CA"/>
        </w:rPr>
        <w:tab/>
        <w:t xml:space="preserve">See in particular </w:t>
      </w:r>
      <w:r w:rsidR="005451D0" w:rsidRPr="007B3674">
        <w:rPr>
          <w:lang w:val="en-CA"/>
        </w:rPr>
        <w:t>e</w:t>
      </w:r>
      <w:r w:rsidRPr="007B3674">
        <w:rPr>
          <w:lang w:val="en-CA"/>
        </w:rPr>
        <w:t xml:space="preserve">xhibit SBU-9 at 33. </w:t>
      </w:r>
    </w:p>
  </w:footnote>
  <w:footnote w:id="163">
    <w:p w14:paraId="37C40894" w14:textId="77777777" w:rsidR="003B1EC4" w:rsidRPr="00317F86" w:rsidRDefault="003B1EC4" w:rsidP="00136683">
      <w:pPr>
        <w:pStyle w:val="Notedebasdepage"/>
        <w:ind w:left="426" w:hanging="426"/>
        <w:rPr>
          <w:lang w:val="en-CA"/>
        </w:rPr>
      </w:pPr>
      <w:r w:rsidRPr="00317F86">
        <w:rPr>
          <w:rStyle w:val="Appelnotedebasdep"/>
        </w:rPr>
        <w:footnoteRef/>
      </w:r>
      <w:r w:rsidRPr="00317F86">
        <w:rPr>
          <w:lang w:val="en-CA"/>
        </w:rPr>
        <w:t xml:space="preserve"> </w:t>
      </w:r>
      <w:r w:rsidRPr="00317F86">
        <w:rPr>
          <w:lang w:val="en-CA"/>
        </w:rPr>
        <w:tab/>
        <w:t xml:space="preserve">Exhibit P-53. </w:t>
      </w:r>
    </w:p>
  </w:footnote>
  <w:footnote w:id="164">
    <w:p w14:paraId="7689E410" w14:textId="77777777" w:rsidR="003B1EC4" w:rsidRPr="008760EC" w:rsidRDefault="003B1EC4" w:rsidP="00136683">
      <w:pPr>
        <w:pStyle w:val="Notedebasdepage"/>
        <w:ind w:left="426" w:hanging="426"/>
        <w:rPr>
          <w:highlight w:val="yellow"/>
          <w:lang w:val="en-CA"/>
        </w:rPr>
      </w:pPr>
      <w:r w:rsidRPr="00317F86">
        <w:rPr>
          <w:rStyle w:val="Appelnotedebasdep"/>
        </w:rPr>
        <w:footnoteRef/>
      </w:r>
      <w:r w:rsidRPr="00317F86">
        <w:rPr>
          <w:lang w:val="en-CA"/>
        </w:rPr>
        <w:t xml:space="preserve"> </w:t>
      </w:r>
      <w:r w:rsidRPr="00317F86">
        <w:rPr>
          <w:lang w:val="en-CA"/>
        </w:rPr>
        <w:tab/>
        <w:t xml:space="preserve">Exhibit P-55. </w:t>
      </w:r>
    </w:p>
  </w:footnote>
  <w:footnote w:id="165">
    <w:p w14:paraId="22FF32E6" w14:textId="77777777" w:rsidR="003B1EC4" w:rsidRPr="00317F86" w:rsidRDefault="003B1EC4" w:rsidP="00136683">
      <w:pPr>
        <w:pStyle w:val="Notedebasdepage"/>
        <w:ind w:left="426" w:hanging="426"/>
        <w:rPr>
          <w:lang w:val="en-CA"/>
        </w:rPr>
      </w:pPr>
      <w:r w:rsidRPr="00317F86">
        <w:rPr>
          <w:rStyle w:val="Appelnotedebasdep"/>
        </w:rPr>
        <w:footnoteRef/>
      </w:r>
      <w:r w:rsidRPr="00317F86">
        <w:rPr>
          <w:lang w:val="en-CA"/>
        </w:rPr>
        <w:t xml:space="preserve"> </w:t>
      </w:r>
      <w:r w:rsidRPr="00317F86">
        <w:rPr>
          <w:lang w:val="en-CA"/>
        </w:rPr>
        <w:tab/>
      </w:r>
      <w:r w:rsidRPr="00317F86">
        <w:rPr>
          <w:i/>
          <w:iCs/>
          <w:lang w:val="en-CA"/>
        </w:rPr>
        <w:t>Reference re Judicature Act</w:t>
      </w:r>
      <w:r w:rsidRPr="00317F86">
        <w:rPr>
          <w:iCs/>
          <w:lang w:val="en-CA"/>
        </w:rPr>
        <w:t>, 1988 CanLII 1363 (PE SCAD).</w:t>
      </w:r>
      <w:r w:rsidRPr="00317F86">
        <w:rPr>
          <w:lang w:val="en-CA"/>
        </w:rPr>
        <w:t xml:space="preserve"> </w:t>
      </w:r>
    </w:p>
  </w:footnote>
  <w:footnote w:id="166">
    <w:p w14:paraId="33506969" w14:textId="77777777" w:rsidR="003B1EC4" w:rsidRPr="00317F86" w:rsidRDefault="003B1EC4" w:rsidP="00136683">
      <w:pPr>
        <w:pStyle w:val="Notedebasdepage"/>
        <w:ind w:left="426" w:hanging="426"/>
        <w:rPr>
          <w:lang w:val="en-CA"/>
        </w:rPr>
      </w:pPr>
      <w:r w:rsidRPr="00317F86">
        <w:rPr>
          <w:rStyle w:val="Appelnotedebasdep"/>
        </w:rPr>
        <w:footnoteRef/>
      </w:r>
      <w:r w:rsidRPr="00317F86">
        <w:rPr>
          <w:lang w:val="en-CA"/>
        </w:rPr>
        <w:t xml:space="preserve"> </w:t>
      </w:r>
      <w:r w:rsidRPr="00317F86">
        <w:rPr>
          <w:lang w:val="en-CA"/>
        </w:rPr>
        <w:tab/>
      </w:r>
      <w:r w:rsidRPr="00317F86">
        <w:rPr>
          <w:rFonts w:cs="Arial"/>
          <w:color w:val="212529"/>
          <w:lang w:val="en-CA"/>
        </w:rPr>
        <w:t>1993 CanLII 119 (SCC), [1993] 1 SCR 839 at 856.</w:t>
      </w:r>
    </w:p>
  </w:footnote>
  <w:footnote w:id="167">
    <w:p w14:paraId="2EE8C267" w14:textId="55CF11B3" w:rsidR="003B1EC4" w:rsidRPr="00317F86" w:rsidRDefault="003B1EC4" w:rsidP="00136683">
      <w:pPr>
        <w:pStyle w:val="Notedebasdepage"/>
        <w:ind w:left="426" w:hanging="426"/>
        <w:rPr>
          <w:lang w:val="en-CA"/>
        </w:rPr>
      </w:pPr>
      <w:r w:rsidRPr="00317F86">
        <w:rPr>
          <w:rStyle w:val="Appelnotedebasdep"/>
        </w:rPr>
        <w:footnoteRef/>
      </w:r>
      <w:r w:rsidRPr="00317F86">
        <w:rPr>
          <w:lang w:val="en-CA"/>
        </w:rPr>
        <w:t xml:space="preserve"> </w:t>
      </w:r>
      <w:r w:rsidRPr="00317F86">
        <w:rPr>
          <w:lang w:val="en-CA"/>
        </w:rPr>
        <w:tab/>
        <w:t xml:space="preserve">See also, </w:t>
      </w:r>
      <w:r w:rsidRPr="00317F86">
        <w:rPr>
          <w:i/>
          <w:color w:val="212529"/>
          <w:lang w:val="en-CA"/>
        </w:rPr>
        <w:t>Northwest Territories (Attorney General) v Association des parents ayants droit de Yellowknife</w:t>
      </w:r>
      <w:r w:rsidRPr="00317F86">
        <w:rPr>
          <w:color w:val="212529"/>
          <w:lang w:val="en-CA"/>
        </w:rPr>
        <w:t xml:space="preserve">, 2015 NWTCA 2 at </w:t>
      </w:r>
      <w:r w:rsidR="005554F5" w:rsidRPr="00317F86">
        <w:rPr>
          <w:color w:val="212529"/>
          <w:lang w:val="en-CA"/>
        </w:rPr>
        <w:t xml:space="preserve">para </w:t>
      </w:r>
      <w:r w:rsidRPr="00317F86">
        <w:rPr>
          <w:rFonts w:cs="Arial"/>
          <w:color w:val="212529"/>
          <w:lang w:val="en-CA"/>
        </w:rPr>
        <w:t xml:space="preserve"> 123.</w:t>
      </w:r>
      <w:r w:rsidRPr="00317F86">
        <w:rPr>
          <w:rFonts w:ascii="Open Sans" w:hAnsi="Open Sans" w:cs="Open Sans"/>
          <w:color w:val="212529"/>
          <w:sz w:val="21"/>
          <w:szCs w:val="21"/>
          <w:lang w:val="en-CA"/>
        </w:rPr>
        <w:t xml:space="preserve"> </w:t>
      </w:r>
      <w:r w:rsidRPr="00317F86">
        <w:rPr>
          <w:rFonts w:cs="Arial"/>
          <w:color w:val="212529"/>
          <w:lang w:val="en-CA"/>
        </w:rPr>
        <w:t xml:space="preserve">Leave to appeal to </w:t>
      </w:r>
      <w:r w:rsidR="00216FF3" w:rsidRPr="00317F86">
        <w:rPr>
          <w:rFonts w:cs="Arial"/>
          <w:color w:val="212529"/>
          <w:lang w:val="en-CA"/>
        </w:rPr>
        <w:t xml:space="preserve">SCC </w:t>
      </w:r>
      <w:r w:rsidRPr="00317F86">
        <w:rPr>
          <w:rFonts w:cs="Arial"/>
          <w:color w:val="212529"/>
          <w:lang w:val="en-CA"/>
        </w:rPr>
        <w:t>refused, 2015 CanLII</w:t>
      </w:r>
      <w:r w:rsidRPr="00317F86">
        <w:rPr>
          <w:rFonts w:cs="Arial"/>
          <w:lang w:val="en-CA"/>
        </w:rPr>
        <w:t xml:space="preserve"> 69437 (SCC). </w:t>
      </w:r>
    </w:p>
  </w:footnote>
  <w:footnote w:id="168">
    <w:p w14:paraId="3276BA6B" w14:textId="77777777" w:rsidR="003B1EC4" w:rsidRPr="00317F86" w:rsidRDefault="003B1EC4" w:rsidP="00136683">
      <w:pPr>
        <w:pStyle w:val="Notedebasdepage"/>
        <w:ind w:left="426" w:hanging="426"/>
        <w:rPr>
          <w:lang w:val="en-CA"/>
        </w:rPr>
      </w:pPr>
      <w:r w:rsidRPr="00317F86">
        <w:rPr>
          <w:rStyle w:val="Appelnotedebasdep"/>
        </w:rPr>
        <w:footnoteRef/>
      </w:r>
      <w:r w:rsidRPr="00317F86">
        <w:rPr>
          <w:lang w:val="en-CA"/>
        </w:rPr>
        <w:t xml:space="preserve"> </w:t>
      </w:r>
      <w:r w:rsidRPr="00317F86">
        <w:rPr>
          <w:lang w:val="en-CA"/>
        </w:rPr>
        <w:tab/>
        <w:t>Sworn statement of Shadie Bourget, exhibit P-51.</w:t>
      </w:r>
    </w:p>
  </w:footnote>
  <w:footnote w:id="169">
    <w:p w14:paraId="0FDA5BEA" w14:textId="25FF3B04" w:rsidR="003B1EC4" w:rsidRPr="008760EC" w:rsidRDefault="003B1EC4" w:rsidP="00136683">
      <w:pPr>
        <w:pStyle w:val="Notedebasdepage"/>
        <w:ind w:left="426" w:hanging="426"/>
        <w:rPr>
          <w:highlight w:val="yellow"/>
        </w:rPr>
      </w:pPr>
      <w:r w:rsidRPr="00317F86">
        <w:rPr>
          <w:rStyle w:val="Appelnotedebasdep"/>
        </w:rPr>
        <w:footnoteRef/>
      </w:r>
      <w:r w:rsidRPr="00317F86">
        <w:t xml:space="preserve"> </w:t>
      </w:r>
      <w:r w:rsidRPr="00317F86">
        <w:tab/>
        <w:t xml:space="preserve">2019 BCCA 228 at </w:t>
      </w:r>
      <w:r w:rsidR="00323213" w:rsidRPr="00317F86">
        <w:t xml:space="preserve">para </w:t>
      </w:r>
      <w:r w:rsidRPr="00317F86">
        <w:t xml:space="preserve">261 to 265. </w:t>
      </w:r>
    </w:p>
  </w:footnote>
  <w:footnote w:id="170">
    <w:p w14:paraId="4704C699" w14:textId="3F4B2F8B" w:rsidR="003B1EC4" w:rsidRPr="00317F86" w:rsidRDefault="003B1EC4" w:rsidP="00136683">
      <w:pPr>
        <w:pStyle w:val="Notedebasdepage"/>
        <w:ind w:left="426" w:hanging="426"/>
      </w:pPr>
      <w:r w:rsidRPr="00317F86">
        <w:rPr>
          <w:rStyle w:val="Appelnotedebasdep"/>
        </w:rPr>
        <w:footnoteRef/>
      </w:r>
      <w:r w:rsidRPr="00317F86">
        <w:t xml:space="preserve"> </w:t>
      </w:r>
      <w:r w:rsidRPr="00317F86">
        <w:tab/>
      </w:r>
      <w:r w:rsidRPr="00317F86">
        <w:rPr>
          <w:rFonts w:cs="Arial"/>
          <w:color w:val="000000"/>
          <w:shd w:val="clear" w:color="auto" w:fill="FFFFFF"/>
        </w:rPr>
        <w:t xml:space="preserve">M. Rivard, </w:t>
      </w:r>
      <w:r w:rsidRPr="00B9725D">
        <w:rPr>
          <w:rFonts w:cs="Arial"/>
          <w:iCs/>
          <w:shd w:val="clear" w:color="auto" w:fill="FFFFFF"/>
        </w:rPr>
        <w:t>Article 10</w:t>
      </w:r>
      <w:r w:rsidR="00844E3A" w:rsidRPr="00317F86">
        <w:rPr>
          <w:rFonts w:cs="Arial"/>
          <w:i/>
          <w:shd w:val="clear" w:color="auto" w:fill="FFFFFF"/>
        </w:rPr>
        <w:t>,</w:t>
      </w:r>
      <w:r w:rsidRPr="00B9725D">
        <w:rPr>
          <w:rFonts w:cs="Arial"/>
          <w:i/>
          <w:shd w:val="clear" w:color="auto" w:fill="FFFFFF"/>
        </w:rPr>
        <w:t xml:space="preserve"> Le grand collectif – Code de procédure civile : Commentaires et annotations</w:t>
      </w:r>
      <w:r w:rsidRPr="00317F86">
        <w:rPr>
          <w:rFonts w:cs="Arial"/>
          <w:shd w:val="clear" w:color="auto" w:fill="FFFFFF"/>
        </w:rPr>
        <w:t xml:space="preserve">, </w:t>
      </w:r>
      <w:r w:rsidRPr="00317F86">
        <w:rPr>
          <w:rFonts w:cs="Arial"/>
          <w:i/>
          <w:iCs/>
          <w:shd w:val="clear" w:color="auto" w:fill="FFFFFF"/>
        </w:rPr>
        <w:t>Volume 1 (Articles 1 à 390</w:t>
      </w:r>
      <w:r w:rsidR="00317F86">
        <w:rPr>
          <w:rFonts w:cs="Arial"/>
          <w:i/>
          <w:iCs/>
          <w:shd w:val="clear" w:color="auto" w:fill="FFFFFF"/>
        </w:rPr>
        <w:t>)</w:t>
      </w:r>
      <w:r w:rsidRPr="00317F86">
        <w:rPr>
          <w:rFonts w:cs="Arial"/>
          <w:shd w:val="clear" w:color="auto" w:fill="FFFFFF"/>
        </w:rPr>
        <w:t>, 7th ed., L. Chamberland (</w:t>
      </w:r>
      <w:r w:rsidR="00844E3A" w:rsidRPr="00317F86">
        <w:rPr>
          <w:rFonts w:cs="Arial"/>
          <w:shd w:val="clear" w:color="auto" w:fill="FFFFFF"/>
        </w:rPr>
        <w:t>ed</w:t>
      </w:r>
      <w:r w:rsidRPr="00317F86">
        <w:rPr>
          <w:rFonts w:cs="Arial"/>
          <w:shd w:val="clear" w:color="auto" w:fill="FFFFFF"/>
        </w:rPr>
        <w:t>.), 2022 EYB2022GCO17.</w:t>
      </w:r>
    </w:p>
  </w:footnote>
  <w:footnote w:id="171">
    <w:p w14:paraId="1D43A3F7" w14:textId="64319B55" w:rsidR="003B1EC4" w:rsidRPr="008760EC" w:rsidRDefault="003B1EC4" w:rsidP="00136683">
      <w:pPr>
        <w:pStyle w:val="Notedebasdepage"/>
        <w:ind w:left="426" w:hanging="426"/>
        <w:rPr>
          <w:highlight w:val="yellow"/>
          <w:lang w:val="es-ES"/>
        </w:rPr>
      </w:pPr>
      <w:r w:rsidRPr="00317F86">
        <w:rPr>
          <w:rStyle w:val="Appelnotedebasdep"/>
        </w:rPr>
        <w:footnoteRef/>
      </w:r>
      <w:r w:rsidRPr="00317F86">
        <w:rPr>
          <w:lang w:val="es-ES"/>
        </w:rPr>
        <w:t xml:space="preserve"> </w:t>
      </w:r>
      <w:r w:rsidRPr="00317F86">
        <w:rPr>
          <w:lang w:val="es-ES"/>
        </w:rPr>
        <w:tab/>
      </w:r>
      <w:r w:rsidR="005554F5" w:rsidRPr="00317F86">
        <w:rPr>
          <w:lang w:val="es-ES"/>
        </w:rPr>
        <w:t xml:space="preserve">Para </w:t>
      </w:r>
      <w:r w:rsidRPr="00317F86">
        <w:rPr>
          <w:lang w:val="es-ES"/>
        </w:rPr>
        <w:t>265.</w:t>
      </w:r>
    </w:p>
  </w:footnote>
  <w:footnote w:id="172">
    <w:p w14:paraId="46F6000A" w14:textId="1F7DC8DB" w:rsidR="003B1EC4" w:rsidRPr="008760EC" w:rsidRDefault="003B1EC4" w:rsidP="00136683">
      <w:pPr>
        <w:pStyle w:val="Notedebasdepage"/>
        <w:ind w:left="426" w:hanging="426"/>
        <w:rPr>
          <w:highlight w:val="yellow"/>
          <w:lang w:val="es-ES"/>
        </w:rPr>
      </w:pPr>
      <w:r w:rsidRPr="00317F86">
        <w:rPr>
          <w:rStyle w:val="Appelnotedebasdep"/>
        </w:rPr>
        <w:footnoteRef/>
      </w:r>
      <w:r w:rsidRPr="00317F86">
        <w:rPr>
          <w:lang w:val="es-ES"/>
        </w:rPr>
        <w:t xml:space="preserve"> </w:t>
      </w:r>
      <w:r w:rsidRPr="00317F86">
        <w:rPr>
          <w:lang w:val="es-ES"/>
        </w:rPr>
        <w:tab/>
      </w:r>
      <w:r w:rsidR="003255AA" w:rsidRPr="00317F86">
        <w:rPr>
          <w:lang w:val="es-ES"/>
        </w:rPr>
        <w:t>SQ</w:t>
      </w:r>
      <w:r w:rsidRPr="00317F86">
        <w:rPr>
          <w:lang w:val="es-ES"/>
        </w:rPr>
        <w:t xml:space="preserve"> 2016,</w:t>
      </w:r>
      <w:r w:rsidR="003255AA" w:rsidRPr="00317F86">
        <w:rPr>
          <w:lang w:val="es-ES"/>
        </w:rPr>
        <w:t xml:space="preserve"> c </w:t>
      </w:r>
      <w:r w:rsidRPr="00317F86">
        <w:rPr>
          <w:lang w:val="es-ES"/>
        </w:rPr>
        <w:t>26 (</w:t>
      </w:r>
      <w:r w:rsidR="0093736A" w:rsidRPr="00317F86">
        <w:rPr>
          <w:lang w:val="es-ES"/>
        </w:rPr>
        <w:t>“</w:t>
      </w:r>
      <w:r w:rsidRPr="00317F86">
        <w:rPr>
          <w:lang w:val="es-ES"/>
        </w:rPr>
        <w:t>Bill 105</w:t>
      </w:r>
      <w:r w:rsidR="0093736A" w:rsidRPr="00317F86">
        <w:rPr>
          <w:lang w:val="es-ES"/>
        </w:rPr>
        <w:t>”</w:t>
      </w:r>
      <w:r w:rsidRPr="00317F86">
        <w:rPr>
          <w:lang w:val="es-ES"/>
        </w:rPr>
        <w:t>).</w:t>
      </w:r>
    </w:p>
  </w:footnote>
  <w:footnote w:id="173">
    <w:p w14:paraId="666C5A25" w14:textId="77777777" w:rsidR="003B1EC4" w:rsidRPr="0084321F" w:rsidRDefault="003B1EC4" w:rsidP="00136683">
      <w:pPr>
        <w:pStyle w:val="Notedebasdepage"/>
        <w:ind w:left="426" w:hanging="426"/>
        <w:rPr>
          <w:lang w:val="en-CA"/>
        </w:rPr>
      </w:pPr>
      <w:r w:rsidRPr="0084321F">
        <w:rPr>
          <w:rStyle w:val="Appelnotedebasdep"/>
        </w:rPr>
        <w:footnoteRef/>
      </w:r>
      <w:r w:rsidRPr="0084321F">
        <w:rPr>
          <w:lang w:val="en-CA"/>
        </w:rPr>
        <w:t xml:space="preserve"> </w:t>
      </w:r>
      <w:r w:rsidRPr="0084321F">
        <w:rPr>
          <w:lang w:val="en-CA"/>
        </w:rPr>
        <w:tab/>
        <w:t xml:space="preserve">Exhibit P-65. </w:t>
      </w:r>
    </w:p>
  </w:footnote>
  <w:footnote w:id="174">
    <w:p w14:paraId="65CB2777" w14:textId="01DBA772" w:rsidR="003B1EC4" w:rsidRPr="0021732E" w:rsidRDefault="003B1EC4" w:rsidP="00136683">
      <w:pPr>
        <w:pStyle w:val="Notedebasdepage"/>
        <w:ind w:left="426" w:hanging="426"/>
        <w:rPr>
          <w:lang w:val="en-CA"/>
        </w:rPr>
      </w:pPr>
      <w:r w:rsidRPr="0021732E">
        <w:rPr>
          <w:rStyle w:val="Appelnotedebasdep"/>
        </w:rPr>
        <w:footnoteRef/>
      </w:r>
      <w:r w:rsidRPr="0021732E">
        <w:rPr>
          <w:lang w:val="en-CA"/>
        </w:rPr>
        <w:t xml:space="preserve"> </w:t>
      </w:r>
      <w:r w:rsidRPr="0021732E">
        <w:rPr>
          <w:lang w:val="en-CA"/>
        </w:rPr>
        <w:tab/>
        <w:t xml:space="preserve">Sworn statement of Ms. Nassivera dated </w:t>
      </w:r>
      <w:r w:rsidR="00021072" w:rsidRPr="0021732E">
        <w:rPr>
          <w:lang w:val="en-CA"/>
        </w:rPr>
        <w:t xml:space="preserve">12 </w:t>
      </w:r>
      <w:r w:rsidRPr="0021732E">
        <w:rPr>
          <w:lang w:val="en-CA"/>
        </w:rPr>
        <w:t xml:space="preserve">February 2021. </w:t>
      </w:r>
    </w:p>
  </w:footnote>
  <w:footnote w:id="175">
    <w:p w14:paraId="3DB5DAE5" w14:textId="3C70EB8F" w:rsidR="003B1EC4" w:rsidRPr="005554F5" w:rsidRDefault="003B1EC4" w:rsidP="00136683">
      <w:pPr>
        <w:pStyle w:val="Notedebasdepage"/>
        <w:ind w:left="426" w:hanging="426"/>
        <w:rPr>
          <w:highlight w:val="yellow"/>
          <w:lang w:val="en-CA"/>
        </w:rPr>
      </w:pPr>
      <w:r w:rsidRPr="0021732E">
        <w:rPr>
          <w:rStyle w:val="Appelnotedebasdep"/>
        </w:rPr>
        <w:footnoteRef/>
      </w:r>
      <w:r w:rsidRPr="0021732E">
        <w:rPr>
          <w:lang w:val="en-CA"/>
        </w:rPr>
        <w:t xml:space="preserve"> </w:t>
      </w:r>
      <w:r w:rsidRPr="0021732E">
        <w:rPr>
          <w:lang w:val="en-CA"/>
        </w:rPr>
        <w:tab/>
      </w:r>
      <w:r w:rsidRPr="0021732E">
        <w:rPr>
          <w:rFonts w:cs="Arial"/>
          <w:i/>
          <w:iCs/>
          <w:lang w:val="en-CA"/>
        </w:rPr>
        <w:t xml:space="preserve">Arsenault-Cameron </w:t>
      </w:r>
      <w:r w:rsidR="003255AA" w:rsidRPr="0021732E">
        <w:rPr>
          <w:rFonts w:cs="Arial"/>
          <w:i/>
          <w:iCs/>
          <w:lang w:val="en-CA"/>
        </w:rPr>
        <w:t xml:space="preserve">v </w:t>
      </w:r>
      <w:r w:rsidRPr="0021732E">
        <w:rPr>
          <w:rFonts w:cs="Arial"/>
          <w:i/>
          <w:iCs/>
          <w:lang w:val="en-CA"/>
        </w:rPr>
        <w:t>Prince Edward Island</w:t>
      </w:r>
      <w:r w:rsidRPr="0021732E">
        <w:rPr>
          <w:rFonts w:cs="Arial"/>
          <w:iCs/>
          <w:lang w:val="en-CA"/>
        </w:rPr>
        <w:t xml:space="preserve">, 2000 SCC 1, [2000] 1 SCR </w:t>
      </w:r>
      <w:r w:rsidRPr="0021732E">
        <w:rPr>
          <w:rFonts w:cs="Arial"/>
          <w:lang w:val="en-CA"/>
        </w:rPr>
        <w:t xml:space="preserve"> 3 at </w:t>
      </w:r>
      <w:r w:rsidR="005554F5" w:rsidRPr="0021732E">
        <w:rPr>
          <w:rFonts w:cs="Arial"/>
          <w:lang w:val="en-CA"/>
        </w:rPr>
        <w:t xml:space="preserve">para </w:t>
      </w:r>
      <w:r w:rsidRPr="0021732E">
        <w:rPr>
          <w:rStyle w:val="Hyperlien"/>
          <w:rFonts w:cs="Arial"/>
          <w:color w:val="auto"/>
          <w:u w:val="none"/>
          <w:lang w:val="en-CA"/>
        </w:rPr>
        <w:t>43.</w:t>
      </w:r>
    </w:p>
  </w:footnote>
  <w:footnote w:id="176">
    <w:p w14:paraId="049B54CB" w14:textId="62B3608E" w:rsidR="003B1EC4" w:rsidRPr="0021732E" w:rsidRDefault="003B1EC4" w:rsidP="00136683">
      <w:pPr>
        <w:pStyle w:val="Notedebasdepage"/>
        <w:ind w:left="426" w:hanging="426"/>
      </w:pPr>
      <w:r w:rsidRPr="0021732E">
        <w:rPr>
          <w:rStyle w:val="Appelnotedebasdep"/>
        </w:rPr>
        <w:footnoteRef/>
      </w:r>
      <w:r w:rsidRPr="0021732E">
        <w:t xml:space="preserve"> </w:t>
      </w:r>
      <w:r w:rsidRPr="0021732E">
        <w:tab/>
      </w:r>
      <w:r w:rsidRPr="0021732E">
        <w:rPr>
          <w:rFonts w:cs="Arial"/>
          <w:i/>
          <w:iCs/>
          <w:color w:val="212529"/>
        </w:rPr>
        <w:t xml:space="preserve">L'association Des Parents Francophones De La Colombie-Britannique, La Federation Des Francophones De La Colombie-Britannique </w:t>
      </w:r>
      <w:r w:rsidR="003255AA" w:rsidRPr="0021732E">
        <w:rPr>
          <w:rFonts w:cs="Arial"/>
          <w:i/>
          <w:iCs/>
          <w:color w:val="212529"/>
        </w:rPr>
        <w:t xml:space="preserve">v </w:t>
      </w:r>
      <w:r w:rsidRPr="0021732E">
        <w:rPr>
          <w:rFonts w:cs="Arial"/>
          <w:i/>
          <w:iCs/>
          <w:color w:val="212529"/>
        </w:rPr>
        <w:t>Woods</w:t>
      </w:r>
      <w:r w:rsidRPr="0021732E">
        <w:rPr>
          <w:rFonts w:cs="Arial"/>
          <w:iCs/>
        </w:rPr>
        <w:t>, 1996 CanLII 1455 (BC SC).</w:t>
      </w:r>
    </w:p>
  </w:footnote>
  <w:footnote w:id="177">
    <w:p w14:paraId="56109BCE" w14:textId="77777777" w:rsidR="003B1EC4" w:rsidRPr="008760EC" w:rsidRDefault="003B1EC4" w:rsidP="00136683">
      <w:pPr>
        <w:pStyle w:val="Notedebasdepage"/>
        <w:ind w:left="426" w:hanging="426"/>
        <w:rPr>
          <w:highlight w:val="yellow"/>
          <w:lang w:val="en-CA"/>
        </w:rPr>
      </w:pPr>
      <w:r w:rsidRPr="0021732E">
        <w:rPr>
          <w:rStyle w:val="Appelnotedebasdep"/>
        </w:rPr>
        <w:footnoteRef/>
      </w:r>
      <w:r w:rsidRPr="0021732E">
        <w:rPr>
          <w:lang w:val="en-CA"/>
        </w:rPr>
        <w:t xml:space="preserve"> </w:t>
      </w:r>
      <w:r w:rsidRPr="0021732E">
        <w:rPr>
          <w:lang w:val="en-CA"/>
        </w:rPr>
        <w:tab/>
        <w:t>Exhibit P-53.</w:t>
      </w:r>
    </w:p>
  </w:footnote>
  <w:footnote w:id="178">
    <w:p w14:paraId="5636002E" w14:textId="384BFD23" w:rsidR="003B1EC4" w:rsidRPr="0021732E" w:rsidRDefault="003B1EC4" w:rsidP="00136683">
      <w:pPr>
        <w:pStyle w:val="Notedebasdepage"/>
        <w:ind w:left="426" w:hanging="426"/>
        <w:rPr>
          <w:lang w:val="en-CA"/>
        </w:rPr>
      </w:pPr>
      <w:r w:rsidRPr="0021732E">
        <w:rPr>
          <w:rStyle w:val="Appelnotedebasdep"/>
        </w:rPr>
        <w:footnoteRef/>
      </w:r>
      <w:r w:rsidRPr="0021732E">
        <w:rPr>
          <w:lang w:val="en-CA"/>
        </w:rPr>
        <w:t xml:space="preserve"> </w:t>
      </w:r>
      <w:r w:rsidRPr="0021732E">
        <w:rPr>
          <w:lang w:val="en-CA"/>
        </w:rPr>
        <w:tab/>
        <w:t xml:space="preserve">At </w:t>
      </w:r>
      <w:r w:rsidR="005554F5" w:rsidRPr="0021732E">
        <w:rPr>
          <w:lang w:val="en-CA"/>
        </w:rPr>
        <w:t xml:space="preserve">para </w:t>
      </w:r>
      <w:r w:rsidRPr="0021732E">
        <w:rPr>
          <w:lang w:val="en-CA"/>
        </w:rPr>
        <w:t>58.</w:t>
      </w:r>
    </w:p>
  </w:footnote>
  <w:footnote w:id="179">
    <w:p w14:paraId="70B1D673" w14:textId="77777777" w:rsidR="003B1EC4" w:rsidRPr="0021732E" w:rsidRDefault="003B1EC4" w:rsidP="00136683">
      <w:pPr>
        <w:pStyle w:val="Notedebasdepage"/>
        <w:ind w:left="426" w:hanging="426"/>
        <w:rPr>
          <w:lang w:val="en-CA"/>
        </w:rPr>
      </w:pPr>
      <w:r w:rsidRPr="0021732E">
        <w:rPr>
          <w:rStyle w:val="Appelnotedebasdep"/>
        </w:rPr>
        <w:footnoteRef/>
      </w:r>
      <w:r w:rsidRPr="0021732E">
        <w:rPr>
          <w:lang w:val="en-CA"/>
        </w:rPr>
        <w:t xml:space="preserve"> </w:t>
      </w:r>
      <w:r w:rsidRPr="0021732E">
        <w:rPr>
          <w:lang w:val="en-CA"/>
        </w:rPr>
        <w:tab/>
        <w:t>At 380.</w:t>
      </w:r>
    </w:p>
  </w:footnote>
  <w:footnote w:id="180">
    <w:p w14:paraId="149402B5" w14:textId="69FB2CA7" w:rsidR="00EC0EC3" w:rsidRPr="00B9725D" w:rsidRDefault="00EC0EC3" w:rsidP="00136683">
      <w:pPr>
        <w:pStyle w:val="Notedebasdepage"/>
        <w:ind w:left="426" w:hanging="426"/>
        <w:rPr>
          <w:lang w:val="en-CA"/>
        </w:rPr>
      </w:pPr>
      <w:r w:rsidRPr="0021732E">
        <w:rPr>
          <w:rStyle w:val="Appelnotedebasdep"/>
        </w:rPr>
        <w:footnoteRef/>
      </w:r>
      <w:r w:rsidRPr="00B9725D">
        <w:rPr>
          <w:lang w:val="en-CA"/>
        </w:rPr>
        <w:t xml:space="preserve">  </w:t>
      </w:r>
      <w:r w:rsidR="0021732E" w:rsidRPr="0021732E">
        <w:rPr>
          <w:lang w:val="en-CA"/>
        </w:rPr>
        <w:tab/>
      </w:r>
      <w:r w:rsidRPr="00B9725D">
        <w:rPr>
          <w:lang w:val="en-CA"/>
        </w:rPr>
        <w:t>1966 CanLII 1455 (BC SC).</w:t>
      </w:r>
    </w:p>
  </w:footnote>
  <w:footnote w:id="181">
    <w:p w14:paraId="610235C7" w14:textId="77777777" w:rsidR="003B1EC4" w:rsidRPr="0021732E" w:rsidRDefault="003B1EC4" w:rsidP="00136683">
      <w:pPr>
        <w:pStyle w:val="Notedebasdepage"/>
        <w:ind w:left="426" w:hanging="426"/>
        <w:rPr>
          <w:lang w:val="en-CA"/>
        </w:rPr>
      </w:pPr>
      <w:r w:rsidRPr="0021732E">
        <w:rPr>
          <w:rStyle w:val="Appelnotedebasdep"/>
        </w:rPr>
        <w:footnoteRef/>
      </w:r>
      <w:r w:rsidRPr="0021732E">
        <w:rPr>
          <w:lang w:val="en-CA"/>
        </w:rPr>
        <w:t xml:space="preserve"> </w:t>
      </w:r>
      <w:r w:rsidRPr="0021732E">
        <w:rPr>
          <w:lang w:val="en-CA"/>
        </w:rPr>
        <w:tab/>
        <w:t>At 376 and 378.</w:t>
      </w:r>
    </w:p>
  </w:footnote>
  <w:footnote w:id="182">
    <w:p w14:paraId="2CD5ECFC" w14:textId="0994C1C7" w:rsidR="003B1EC4" w:rsidRPr="00B9725D" w:rsidRDefault="003B1EC4" w:rsidP="00136683">
      <w:pPr>
        <w:pStyle w:val="Notedebasdepage"/>
        <w:ind w:left="426" w:hanging="426"/>
        <w:rPr>
          <w:highlight w:val="yellow"/>
        </w:rPr>
      </w:pPr>
      <w:r w:rsidRPr="0021732E">
        <w:rPr>
          <w:rStyle w:val="Appelnotedebasdep"/>
        </w:rPr>
        <w:footnoteRef/>
      </w:r>
      <w:r w:rsidRPr="00B9725D">
        <w:t xml:space="preserve"> </w:t>
      </w:r>
      <w:r w:rsidRPr="00B9725D">
        <w:tab/>
      </w:r>
      <w:r w:rsidRPr="00B9725D">
        <w:rPr>
          <w:rFonts w:cs="Arial"/>
          <w:i/>
          <w:iCs/>
        </w:rPr>
        <w:t>Procureur général du Québec</w:t>
      </w:r>
      <w:r w:rsidR="003255AA" w:rsidRPr="0021732E">
        <w:rPr>
          <w:rFonts w:cs="Arial"/>
          <w:i/>
          <w:iCs/>
        </w:rPr>
        <w:t xml:space="preserve"> c </w:t>
      </w:r>
      <w:r w:rsidRPr="00B9725D">
        <w:rPr>
          <w:rFonts w:cs="Arial"/>
          <w:i/>
          <w:iCs/>
        </w:rPr>
        <w:t>Quebec English School Board Association</w:t>
      </w:r>
      <w:r w:rsidRPr="00B9725D">
        <w:rPr>
          <w:rFonts w:cs="Arial"/>
          <w:iCs/>
        </w:rPr>
        <w:t>, 2020 QCCA 1171.</w:t>
      </w:r>
    </w:p>
  </w:footnote>
  <w:footnote w:id="183">
    <w:p w14:paraId="25F14349" w14:textId="121BEA29" w:rsidR="003B1EC4" w:rsidRPr="0021732E" w:rsidRDefault="003B1EC4" w:rsidP="00136683">
      <w:pPr>
        <w:pStyle w:val="Notedebasdepage"/>
        <w:ind w:left="426" w:hanging="426"/>
      </w:pPr>
      <w:r w:rsidRPr="0021732E">
        <w:rPr>
          <w:rStyle w:val="Appelnotedebasdep"/>
        </w:rPr>
        <w:footnoteRef/>
      </w:r>
      <w:r w:rsidRPr="00B9725D">
        <w:t xml:space="preserve"> </w:t>
      </w:r>
      <w:r w:rsidRPr="00B9725D">
        <w:tab/>
      </w:r>
      <w:r w:rsidRPr="00B9725D">
        <w:rPr>
          <w:rFonts w:cs="Arial"/>
          <w:i/>
          <w:iCs/>
          <w:color w:val="212529"/>
        </w:rPr>
        <w:t>Dostie</w:t>
      </w:r>
      <w:r w:rsidR="003255AA" w:rsidRPr="0021732E">
        <w:rPr>
          <w:rFonts w:cs="Arial"/>
          <w:iCs/>
        </w:rPr>
        <w:t xml:space="preserve"> c </w:t>
      </w:r>
      <w:r w:rsidRPr="00B9725D">
        <w:rPr>
          <w:rFonts w:cs="Arial"/>
          <w:i/>
          <w:iCs/>
        </w:rPr>
        <w:t>Procureur général du Canada</w:t>
      </w:r>
      <w:r w:rsidRPr="00B9725D">
        <w:rPr>
          <w:rFonts w:cs="Arial"/>
          <w:iCs/>
        </w:rPr>
        <w:t xml:space="preserve">, 2022 QCCA 1652, leave to appeal to </w:t>
      </w:r>
      <w:r w:rsidR="00243516" w:rsidRPr="0021732E">
        <w:rPr>
          <w:rFonts w:cs="Arial"/>
          <w:iCs/>
        </w:rPr>
        <w:t>SCC</w:t>
      </w:r>
      <w:r w:rsidRPr="0021732E">
        <w:rPr>
          <w:rFonts w:cs="Arial"/>
          <w:iCs/>
        </w:rPr>
        <w:t xml:space="preserve"> refused, </w:t>
      </w:r>
      <w:r w:rsidRPr="0021732E">
        <w:rPr>
          <w:rFonts w:cs="Arial"/>
          <w:i/>
          <w:iCs/>
        </w:rPr>
        <w:t>Gaétan Dostie, et al.</w:t>
      </w:r>
      <w:r w:rsidR="003255AA" w:rsidRPr="0021732E">
        <w:rPr>
          <w:rFonts w:cs="Arial"/>
          <w:iCs/>
        </w:rPr>
        <w:t xml:space="preserve"> c </w:t>
      </w:r>
      <w:r w:rsidRPr="0021732E">
        <w:rPr>
          <w:rFonts w:cs="Arial"/>
          <w:i/>
          <w:iCs/>
        </w:rPr>
        <w:t>Procureur général du Canada</w:t>
      </w:r>
      <w:r w:rsidRPr="0021732E">
        <w:rPr>
          <w:rFonts w:cs="Arial"/>
          <w:iCs/>
        </w:rPr>
        <w:t>, 2023 CanLII 67200 (SCC).</w:t>
      </w:r>
    </w:p>
  </w:footnote>
  <w:footnote w:id="184">
    <w:p w14:paraId="33AF02CA" w14:textId="01A61437" w:rsidR="003B1EC4" w:rsidRPr="000C0210" w:rsidRDefault="003B1EC4" w:rsidP="00136683">
      <w:pPr>
        <w:pStyle w:val="Notedebasdepage"/>
        <w:ind w:left="426" w:hanging="426"/>
        <w:rPr>
          <w:highlight w:val="yellow"/>
        </w:rPr>
      </w:pPr>
      <w:r w:rsidRPr="0021732E">
        <w:rPr>
          <w:rStyle w:val="Appelnotedebasdep"/>
          <w:lang w:val="en-CA"/>
        </w:rPr>
        <w:footnoteRef/>
      </w:r>
      <w:r w:rsidRPr="0021732E">
        <w:t xml:space="preserve"> </w:t>
      </w:r>
      <w:r w:rsidRPr="0021732E">
        <w:tab/>
      </w:r>
      <w:r w:rsidRPr="0021732E">
        <w:rPr>
          <w:rFonts w:cs="Arial"/>
          <w:color w:val="000000"/>
        </w:rPr>
        <w:t xml:space="preserve">D Ferland </w:t>
      </w:r>
      <w:r w:rsidR="00243516" w:rsidRPr="0021732E">
        <w:rPr>
          <w:rFonts w:cs="Arial"/>
          <w:color w:val="000000"/>
        </w:rPr>
        <w:t xml:space="preserve">&amp; </w:t>
      </w:r>
      <w:r w:rsidRPr="0021732E">
        <w:rPr>
          <w:rFonts w:cs="Arial"/>
          <w:color w:val="000000"/>
        </w:rPr>
        <w:t xml:space="preserve">B Emery, </w:t>
      </w:r>
      <w:r w:rsidR="003E0859" w:rsidRPr="0021732E">
        <w:rPr>
          <w:rFonts w:cs="Arial"/>
          <w:color w:val="000000"/>
        </w:rPr>
        <w:t>“</w:t>
      </w:r>
      <w:r w:rsidRPr="0021732E">
        <w:rPr>
          <w:rFonts w:cs="Arial"/>
          <w:color w:val="000000"/>
        </w:rPr>
        <w:t>La demande en justice introductive d'instance (art. 141-144)</w:t>
      </w:r>
      <w:r w:rsidR="003E0859" w:rsidRPr="0021732E">
        <w:rPr>
          <w:rFonts w:cs="Arial"/>
          <w:color w:val="000000"/>
        </w:rPr>
        <w:t>” in</w:t>
      </w:r>
      <w:r w:rsidRPr="0021732E">
        <w:rPr>
          <w:rFonts w:cs="Arial"/>
          <w:color w:val="000000"/>
        </w:rPr>
        <w:t xml:space="preserve"> </w:t>
      </w:r>
      <w:r w:rsidR="00243516" w:rsidRPr="0021732E">
        <w:rPr>
          <w:rFonts w:cs="Arial"/>
          <w:color w:val="000000"/>
        </w:rPr>
        <w:t xml:space="preserve">D Ferland &amp; B Emery, </w:t>
      </w:r>
      <w:r w:rsidRPr="0021732E">
        <w:rPr>
          <w:rFonts w:cs="Arial"/>
          <w:i/>
        </w:rPr>
        <w:t>Précis de procédure civile du Québec, Volume 1 (Art. 1-301, 321-344 C.p.c.)</w:t>
      </w:r>
      <w:r w:rsidRPr="0021732E">
        <w:rPr>
          <w:rFonts w:cs="Arial"/>
        </w:rPr>
        <w:t>,</w:t>
      </w:r>
      <w:r w:rsidR="0021732E">
        <w:rPr>
          <w:rFonts w:cs="Arial"/>
        </w:rPr>
        <w:t xml:space="preserve"> </w:t>
      </w:r>
      <w:r w:rsidRPr="0021732E">
        <w:rPr>
          <w:rFonts w:cs="Arial"/>
        </w:rPr>
        <w:t>6th ed, 2020 EYB2020PPC34.</w:t>
      </w:r>
    </w:p>
  </w:footnote>
  <w:footnote w:id="185">
    <w:p w14:paraId="5C0ACCDB" w14:textId="6230C434" w:rsidR="003B1EC4" w:rsidRPr="008760EC" w:rsidRDefault="003B1EC4" w:rsidP="00136683">
      <w:pPr>
        <w:pStyle w:val="Notedebasdepage"/>
        <w:ind w:left="426" w:hanging="426"/>
        <w:rPr>
          <w:highlight w:val="yellow"/>
          <w:lang w:val="en-CA"/>
        </w:rPr>
      </w:pPr>
      <w:r w:rsidRPr="0021732E">
        <w:rPr>
          <w:rStyle w:val="Appelnotedebasdep"/>
        </w:rPr>
        <w:footnoteRef/>
      </w:r>
      <w:r w:rsidRPr="00B9725D">
        <w:rPr>
          <w:bCs/>
        </w:rPr>
        <w:t xml:space="preserve"> </w:t>
      </w:r>
      <w:r w:rsidRPr="00B9725D">
        <w:rPr>
          <w:bCs/>
        </w:rPr>
        <w:tab/>
        <w:t xml:space="preserve">British Columbia: </w:t>
      </w:r>
      <w:r w:rsidRPr="00B9725D">
        <w:rPr>
          <w:bCs/>
          <w:i/>
        </w:rPr>
        <w:t>Conseil scolaire francophone de la Colombie-Britannique Regulation</w:t>
      </w:r>
      <w:r w:rsidRPr="00B9725D">
        <w:rPr>
          <w:bCs/>
        </w:rPr>
        <w:t xml:space="preserve">, BC Reg 2013/99, s 6;  </w:t>
      </w:r>
      <w:r w:rsidRPr="00B9725D">
        <w:rPr>
          <w:bCs/>
          <w:i/>
        </w:rPr>
        <w:t>Francophone Education Authorities Regulation</w:t>
      </w:r>
      <w:r w:rsidRPr="00B9725D">
        <w:rPr>
          <w:bCs/>
        </w:rPr>
        <w:t xml:space="preserve">, BC Reg 212/99, ss 2-4; </w:t>
      </w:r>
      <w:r w:rsidRPr="00B9725D">
        <w:rPr>
          <w:bCs/>
          <w:i/>
        </w:rPr>
        <w:t>School Act</w:t>
      </w:r>
      <w:r w:rsidRPr="00B9725D">
        <w:rPr>
          <w:bCs/>
        </w:rPr>
        <w:t>, RSBC 1996, c 412, ss 1(1), definition of “eligible person”, “immigrant parent”, 166.13, 166.14.</w:t>
      </w:r>
      <w:r w:rsidRPr="00B9725D">
        <w:t xml:space="preserve"> </w:t>
      </w:r>
      <w:r w:rsidRPr="0021732E">
        <w:rPr>
          <w:bCs/>
          <w:lang w:val="en-CA"/>
        </w:rPr>
        <w:t xml:space="preserve">Alberta: </w:t>
      </w:r>
      <w:r w:rsidRPr="0021732E">
        <w:rPr>
          <w:bCs/>
          <w:i/>
          <w:lang w:val="en-CA"/>
        </w:rPr>
        <w:t>Education Act</w:t>
      </w:r>
      <w:r w:rsidRPr="0021732E">
        <w:rPr>
          <w:bCs/>
          <w:lang w:val="en-CA"/>
        </w:rPr>
        <w:t>, SA 2012, c E-0.3, ss 1(1)(i), 87(1)(b), 135(2)). Saskatchewan</w:t>
      </w:r>
      <w:r w:rsidR="00163B63" w:rsidRPr="0021732E">
        <w:rPr>
          <w:lang w:val="en-CA"/>
        </w:rPr>
        <w:t>:</w:t>
      </w:r>
      <w:r w:rsidRPr="0021732E">
        <w:rPr>
          <w:lang w:val="en-CA"/>
        </w:rPr>
        <w:t xml:space="preserve"> </w:t>
      </w:r>
      <w:r w:rsidRPr="0021732E">
        <w:rPr>
          <w:bCs/>
          <w:i/>
          <w:lang w:val="en-CA"/>
        </w:rPr>
        <w:t>The Education Act, 1995</w:t>
      </w:r>
      <w:r w:rsidRPr="0021732E">
        <w:rPr>
          <w:bCs/>
          <w:lang w:val="en-CA"/>
        </w:rPr>
        <w:t>, SSK, c E-0.2, ss 2 “minority language adult” &amp; “voter”, 64(2), 65.</w:t>
      </w:r>
      <w:r w:rsidRPr="0021732E">
        <w:rPr>
          <w:spacing w:val="-4"/>
          <w:lang w:val="en-CA"/>
        </w:rPr>
        <w:t xml:space="preserve"> </w:t>
      </w:r>
      <w:r w:rsidRPr="0021732E">
        <w:rPr>
          <w:bCs/>
          <w:lang w:val="en-CA"/>
        </w:rPr>
        <w:t>Manitoba:</w:t>
      </w:r>
      <w:r w:rsidRPr="0021732E">
        <w:rPr>
          <w:b/>
          <w:bCs/>
          <w:lang w:val="en-CA"/>
        </w:rPr>
        <w:t xml:space="preserve"> </w:t>
      </w:r>
      <w:r w:rsidRPr="0021732E">
        <w:rPr>
          <w:bCs/>
          <w:i/>
          <w:lang w:val="en-CA"/>
        </w:rPr>
        <w:t>Public Schools Act</w:t>
      </w:r>
      <w:r w:rsidRPr="0021732E">
        <w:rPr>
          <w:bCs/>
          <w:lang w:val="en-CA"/>
        </w:rPr>
        <w:t>, CCSM c P250, ss</w:t>
      </w:r>
      <w:r w:rsidRPr="0021732E">
        <w:rPr>
          <w:lang w:val="en-CA"/>
        </w:rPr>
        <w:t xml:space="preserve"> </w:t>
      </w:r>
      <w:r w:rsidRPr="0021732E">
        <w:rPr>
          <w:spacing w:val="-3"/>
          <w:lang w:val="en-CA"/>
        </w:rPr>
        <w:t xml:space="preserve"> </w:t>
      </w:r>
      <w:r w:rsidRPr="0021732E">
        <w:rPr>
          <w:lang w:val="en-CA"/>
        </w:rPr>
        <w:t xml:space="preserve">21.1, 21.37, 21.38; </w:t>
      </w:r>
      <w:r w:rsidRPr="0021732E">
        <w:rPr>
          <w:i/>
          <w:lang w:val="en-CA"/>
        </w:rPr>
        <w:t>Francophone Schools Governance Regulation</w:t>
      </w:r>
      <w:r w:rsidRPr="0021732E">
        <w:rPr>
          <w:lang w:val="en-CA"/>
        </w:rPr>
        <w:t>, Man Reg 202/93, s</w:t>
      </w:r>
      <w:r w:rsidRPr="0021732E">
        <w:rPr>
          <w:bCs/>
          <w:lang w:val="en-CA"/>
        </w:rPr>
        <w:t xml:space="preserve"> 11. Ontario:</w:t>
      </w:r>
      <w:r w:rsidRPr="00B9725D">
        <w:rPr>
          <w:bCs/>
          <w:i/>
          <w:iCs/>
          <w:lang w:val="en-CA"/>
        </w:rPr>
        <w:t xml:space="preserve"> Education Act</w:t>
      </w:r>
      <w:r w:rsidRPr="0021732E">
        <w:rPr>
          <w:bCs/>
          <w:lang w:val="en-CA"/>
        </w:rPr>
        <w:t>, RSO 1990 c E.2, s</w:t>
      </w:r>
      <w:r w:rsidRPr="0021732E">
        <w:rPr>
          <w:rFonts w:ascii="Open Sans" w:hAnsi="Open Sans" w:cs="Open Sans"/>
          <w:sz w:val="21"/>
          <w:szCs w:val="21"/>
          <w:lang w:val="en-CA"/>
        </w:rPr>
        <w:t xml:space="preserve"> </w:t>
      </w:r>
      <w:r w:rsidRPr="0021732E">
        <w:rPr>
          <w:bCs/>
          <w:lang w:val="en-CA"/>
        </w:rPr>
        <w:t xml:space="preserve">1: “French-language rights holder” and ss 50.1(2), 54(2), 219(1) and (4). New Brunswick: </w:t>
      </w:r>
      <w:r w:rsidRPr="0021732E">
        <w:rPr>
          <w:bCs/>
          <w:i/>
          <w:lang w:val="en-CA"/>
        </w:rPr>
        <w:t>Education Act</w:t>
      </w:r>
      <w:r w:rsidRPr="0021732E">
        <w:rPr>
          <w:bCs/>
          <w:lang w:val="en-CA"/>
        </w:rPr>
        <w:t>, SNB 1997, c E-1.12, ss</w:t>
      </w:r>
      <w:r w:rsidRPr="0021732E">
        <w:rPr>
          <w:rFonts w:ascii="Open Sans" w:hAnsi="Open Sans" w:cs="Open Sans"/>
          <w:sz w:val="21"/>
          <w:szCs w:val="21"/>
          <w:lang w:val="en-CA"/>
        </w:rPr>
        <w:t xml:space="preserve"> </w:t>
      </w:r>
      <w:r w:rsidRPr="0021732E">
        <w:rPr>
          <w:bCs/>
          <w:lang w:val="en-CA"/>
        </w:rPr>
        <w:t xml:space="preserve">36.31, 36.4, 36.41, 36.5. Nova Scotia: </w:t>
      </w:r>
      <w:r w:rsidRPr="0021732E">
        <w:rPr>
          <w:bCs/>
          <w:i/>
          <w:lang w:val="en-CA"/>
        </w:rPr>
        <w:t>Education (CSAP) Act</w:t>
      </w:r>
      <w:r w:rsidRPr="0021732E">
        <w:rPr>
          <w:bCs/>
          <w:lang w:val="en-CA"/>
        </w:rPr>
        <w:t xml:space="preserve">, RSNS 1995-96, c 1, ss 3(h)-(i), 13, 46-47. Prince Edward Island: </w:t>
      </w:r>
      <w:r w:rsidRPr="0021732E">
        <w:rPr>
          <w:bCs/>
          <w:i/>
          <w:lang w:val="en-CA"/>
        </w:rPr>
        <w:t>Education Act</w:t>
      </w:r>
      <w:r w:rsidRPr="0021732E">
        <w:rPr>
          <w:bCs/>
          <w:lang w:val="en-CA"/>
        </w:rPr>
        <w:t xml:space="preserve">, RSPEI 1988, c E-.02, s1(1)(i) definition of “eligible parent”, </w:t>
      </w:r>
      <w:r w:rsidRPr="0021732E">
        <w:rPr>
          <w:bCs/>
          <w:i/>
          <w:lang w:val="en-CA"/>
        </w:rPr>
        <w:t>Education Act Election Regulations</w:t>
      </w:r>
      <w:r w:rsidRPr="0021732E">
        <w:rPr>
          <w:bCs/>
          <w:lang w:val="en-CA"/>
        </w:rPr>
        <w:t xml:space="preserve">, PEI Reg EC2016-525, s 4, </w:t>
      </w:r>
      <w:r w:rsidRPr="0021732E">
        <w:rPr>
          <w:bCs/>
          <w:i/>
          <w:lang w:val="en-CA"/>
        </w:rPr>
        <w:t>Education Act Education Authority Regulations</w:t>
      </w:r>
      <w:r w:rsidRPr="0021732E">
        <w:rPr>
          <w:bCs/>
          <w:lang w:val="en-CA"/>
        </w:rPr>
        <w:t>, PEI Reg EC2016-524, s 2.</w:t>
      </w:r>
      <w:r w:rsidRPr="0021732E">
        <w:rPr>
          <w:lang w:val="en-CA"/>
        </w:rPr>
        <w:t xml:space="preserve"> </w:t>
      </w:r>
      <w:r w:rsidRPr="0021732E">
        <w:rPr>
          <w:bCs/>
          <w:lang w:val="en-CA"/>
        </w:rPr>
        <w:t xml:space="preserve">Newfoundland and Labrador: </w:t>
      </w:r>
      <w:r w:rsidRPr="0021732E">
        <w:rPr>
          <w:bCs/>
          <w:i/>
          <w:lang w:val="en-CA"/>
        </w:rPr>
        <w:t>Schools Act, 1997</w:t>
      </w:r>
      <w:r w:rsidRPr="0021732E">
        <w:rPr>
          <w:bCs/>
          <w:lang w:val="en-CA"/>
        </w:rPr>
        <w:t>, SNL, c S-12.2, s 95;</w:t>
      </w:r>
      <w:r w:rsidRPr="0021732E">
        <w:rPr>
          <w:bCs/>
          <w:i/>
          <w:lang w:val="en-CA"/>
        </w:rPr>
        <w:t xml:space="preserve"> School Board Election Regulations, 1998</w:t>
      </w:r>
      <w:r w:rsidRPr="0021732E">
        <w:rPr>
          <w:bCs/>
          <w:lang w:val="en-CA"/>
        </w:rPr>
        <w:t>, NLR 146/97, s 6.</w:t>
      </w:r>
      <w:r w:rsidRPr="0021732E">
        <w:rPr>
          <w:spacing w:val="-4"/>
          <w:lang w:val="en-CA"/>
        </w:rPr>
        <w:t xml:space="preserve"> </w:t>
      </w:r>
      <w:r w:rsidRPr="0021732E">
        <w:rPr>
          <w:lang w:val="en-CA"/>
        </w:rPr>
        <w:t xml:space="preserve">Yukon: </w:t>
      </w:r>
      <w:r w:rsidRPr="0021732E">
        <w:rPr>
          <w:i/>
          <w:lang w:val="en-CA"/>
        </w:rPr>
        <w:t>Education Act</w:t>
      </w:r>
      <w:r w:rsidRPr="0021732E">
        <w:rPr>
          <w:lang w:val="en-CA"/>
        </w:rPr>
        <w:t>, RSY 2002, c 61, ss</w:t>
      </w:r>
      <w:r w:rsidRPr="0021732E">
        <w:rPr>
          <w:i/>
          <w:lang w:val="en-CA"/>
        </w:rPr>
        <w:t xml:space="preserve"> </w:t>
      </w:r>
      <w:r w:rsidRPr="0021732E">
        <w:rPr>
          <w:bCs/>
          <w:lang w:val="en-CA"/>
        </w:rPr>
        <w:t xml:space="preserve">82(4), 86, 151. Northwest Territories: </w:t>
      </w:r>
      <w:r w:rsidRPr="0021732E">
        <w:rPr>
          <w:bCs/>
          <w:i/>
          <w:lang w:val="en-CA"/>
        </w:rPr>
        <w:t>Education Act</w:t>
      </w:r>
      <w:r w:rsidRPr="0021732E">
        <w:rPr>
          <w:bCs/>
          <w:lang w:val="en-CA"/>
        </w:rPr>
        <w:t>, SNWT 1995, c 28, s</w:t>
      </w:r>
      <w:r w:rsidRPr="0021732E">
        <w:rPr>
          <w:i/>
          <w:lang w:val="en-CA"/>
        </w:rPr>
        <w:t xml:space="preserve"> </w:t>
      </w:r>
      <w:r w:rsidRPr="0021732E">
        <w:rPr>
          <w:lang w:val="en-CA"/>
        </w:rPr>
        <w:t xml:space="preserve">85; </w:t>
      </w:r>
      <w:r w:rsidRPr="0021732E">
        <w:rPr>
          <w:i/>
          <w:lang w:val="en-CA"/>
        </w:rPr>
        <w:t>Local Authorities Elections Act</w:t>
      </w:r>
      <w:r w:rsidRPr="0021732E">
        <w:rPr>
          <w:lang w:val="en-CA"/>
        </w:rPr>
        <w:t>, RSNWT 1988, c L-10, ss</w:t>
      </w:r>
      <w:r w:rsidRPr="0021732E">
        <w:rPr>
          <w:i/>
          <w:lang w:val="en-CA"/>
        </w:rPr>
        <w:t xml:space="preserve"> </w:t>
      </w:r>
      <w:r w:rsidRPr="0021732E">
        <w:rPr>
          <w:lang w:val="en-CA"/>
        </w:rPr>
        <w:t xml:space="preserve">18, 19; </w:t>
      </w:r>
      <w:r w:rsidRPr="0021732E">
        <w:rPr>
          <w:i/>
          <w:lang w:val="en-CA"/>
        </w:rPr>
        <w:t>French First Language Education Regulations</w:t>
      </w:r>
      <w:r w:rsidRPr="0021732E">
        <w:rPr>
          <w:lang w:val="en-CA"/>
        </w:rPr>
        <w:t>, NWT Reg 166-96, s</w:t>
      </w:r>
      <w:r w:rsidRPr="0021732E">
        <w:rPr>
          <w:i/>
          <w:lang w:val="en-CA"/>
        </w:rPr>
        <w:t xml:space="preserve"> </w:t>
      </w:r>
      <w:r w:rsidRPr="0021732E">
        <w:rPr>
          <w:bCs/>
          <w:lang w:val="en-CA"/>
        </w:rPr>
        <w:t xml:space="preserve">12(2). Nunavut: </w:t>
      </w:r>
      <w:r w:rsidRPr="0021732E">
        <w:rPr>
          <w:bCs/>
          <w:i/>
          <w:lang w:val="en-CA"/>
        </w:rPr>
        <w:t>Education Act</w:t>
      </w:r>
      <w:r w:rsidRPr="0021732E">
        <w:rPr>
          <w:bCs/>
          <w:lang w:val="en-CA"/>
        </w:rPr>
        <w:t>, SNu 2008, c 15, ss</w:t>
      </w:r>
      <w:r w:rsidRPr="0021732E">
        <w:rPr>
          <w:lang w:val="en-CA"/>
        </w:rPr>
        <w:t xml:space="preserve"> 156(1), 166(4); </w:t>
      </w:r>
      <w:r w:rsidRPr="0021732E">
        <w:rPr>
          <w:i/>
          <w:lang w:val="en-CA"/>
        </w:rPr>
        <w:t>Act to Provide for Elections for Municipal Councils and District Education Authorities</w:t>
      </w:r>
      <w:r w:rsidRPr="0021732E">
        <w:rPr>
          <w:lang w:val="en-CA"/>
        </w:rPr>
        <w:t>, SNu 2017, c 21, s</w:t>
      </w:r>
      <w:r w:rsidRPr="0021732E">
        <w:rPr>
          <w:i/>
          <w:lang w:val="en-CA"/>
        </w:rPr>
        <w:t xml:space="preserve"> </w:t>
      </w:r>
      <w:r w:rsidRPr="0021732E">
        <w:rPr>
          <w:lang w:val="en-CA"/>
        </w:rPr>
        <w:t>8(3).</w:t>
      </w:r>
    </w:p>
  </w:footnote>
  <w:footnote w:id="186">
    <w:p w14:paraId="2561E6B8" w14:textId="6774A8ED" w:rsidR="003B1EC4" w:rsidRPr="00704266" w:rsidRDefault="003B1EC4" w:rsidP="00136683">
      <w:pPr>
        <w:pStyle w:val="Notedebasdepage"/>
        <w:ind w:left="426" w:hanging="426"/>
        <w:rPr>
          <w:rFonts w:cs="Arial"/>
        </w:rPr>
      </w:pPr>
      <w:r w:rsidRPr="00704266">
        <w:rPr>
          <w:rStyle w:val="Appelnotedebasdep"/>
        </w:rPr>
        <w:footnoteRef/>
      </w:r>
      <w:r w:rsidRPr="00704266">
        <w:rPr>
          <w:rFonts w:cs="Arial"/>
          <w:i/>
          <w:iCs/>
          <w:color w:val="212529"/>
        </w:rPr>
        <w:t xml:space="preserve"> </w:t>
      </w:r>
      <w:r w:rsidRPr="00704266">
        <w:rPr>
          <w:rFonts w:cs="Arial"/>
          <w:i/>
          <w:iCs/>
          <w:color w:val="212529"/>
        </w:rPr>
        <w:tab/>
        <w:t>Hak</w:t>
      </w:r>
      <w:r w:rsidR="003255AA" w:rsidRPr="00704266">
        <w:rPr>
          <w:rFonts w:cs="Arial"/>
          <w:iCs/>
        </w:rPr>
        <w:t xml:space="preserve"> </w:t>
      </w:r>
      <w:r w:rsidR="003255AA" w:rsidRPr="00704266">
        <w:rPr>
          <w:rFonts w:cs="Arial"/>
          <w:i/>
        </w:rPr>
        <w:t>c</w:t>
      </w:r>
      <w:r w:rsidR="003255AA" w:rsidRPr="00704266">
        <w:rPr>
          <w:rFonts w:cs="Arial"/>
          <w:iCs/>
        </w:rPr>
        <w:t xml:space="preserve"> </w:t>
      </w:r>
      <w:r w:rsidRPr="00704266">
        <w:rPr>
          <w:rFonts w:cs="Arial"/>
          <w:i/>
          <w:iCs/>
        </w:rPr>
        <w:t>Procureur général du Québec</w:t>
      </w:r>
      <w:r w:rsidRPr="00704266">
        <w:rPr>
          <w:rFonts w:cs="Arial"/>
          <w:iCs/>
        </w:rPr>
        <w:t>, 2021 QCCS 1466.</w:t>
      </w:r>
    </w:p>
  </w:footnote>
  <w:footnote w:id="187">
    <w:p w14:paraId="37DCEFAB" w14:textId="0F8C07F4" w:rsidR="003B1EC4" w:rsidRPr="00704266" w:rsidRDefault="003B1EC4" w:rsidP="00136683">
      <w:pPr>
        <w:pStyle w:val="Notedebasdepage"/>
        <w:ind w:left="426" w:hanging="426"/>
        <w:rPr>
          <w:lang w:val="en-CA"/>
        </w:rPr>
      </w:pPr>
      <w:r w:rsidRPr="00704266">
        <w:rPr>
          <w:rStyle w:val="Appelnotedebasdep"/>
        </w:rPr>
        <w:footnoteRef/>
      </w:r>
      <w:r w:rsidRPr="00704266">
        <w:rPr>
          <w:lang w:val="en-CA"/>
        </w:rPr>
        <w:t xml:space="preserve"> </w:t>
      </w:r>
      <w:r w:rsidRPr="00704266">
        <w:rPr>
          <w:lang w:val="en-CA"/>
        </w:rPr>
        <w:tab/>
      </w:r>
      <w:r w:rsidRPr="00704266">
        <w:rPr>
          <w:rFonts w:cs="Arial"/>
          <w:i/>
          <w:iCs/>
          <w:lang w:val="en-CA"/>
        </w:rPr>
        <w:t xml:space="preserve">Mahe </w:t>
      </w:r>
      <w:r w:rsidR="003255AA" w:rsidRPr="00704266">
        <w:rPr>
          <w:rFonts w:cs="Arial"/>
          <w:i/>
          <w:iCs/>
          <w:lang w:val="en-CA"/>
        </w:rPr>
        <w:t xml:space="preserve">v </w:t>
      </w:r>
      <w:r w:rsidRPr="00704266">
        <w:rPr>
          <w:rFonts w:cs="Arial"/>
          <w:i/>
          <w:iCs/>
          <w:lang w:val="en-CA"/>
        </w:rPr>
        <w:t>Alberta</w:t>
      </w:r>
      <w:r w:rsidRPr="00704266">
        <w:rPr>
          <w:rFonts w:cs="Arial"/>
          <w:iCs/>
          <w:lang w:val="en-CA"/>
        </w:rPr>
        <w:t>, 1990 CanLII 133 (SCC), [1990] 1 SCR</w:t>
      </w:r>
      <w:r w:rsidRPr="00704266">
        <w:rPr>
          <w:rFonts w:cs="Arial"/>
          <w:lang w:val="en-CA"/>
        </w:rPr>
        <w:t xml:space="preserve"> 342 at 372.</w:t>
      </w:r>
    </w:p>
  </w:footnote>
  <w:footnote w:id="188">
    <w:p w14:paraId="31E35042" w14:textId="77777777" w:rsidR="003B1EC4" w:rsidRPr="008760EC" w:rsidRDefault="003B1EC4" w:rsidP="00136683">
      <w:pPr>
        <w:pStyle w:val="Notedebasdepage"/>
        <w:ind w:left="426" w:hanging="426"/>
        <w:rPr>
          <w:highlight w:val="yellow"/>
          <w:lang w:val="en-CA"/>
        </w:rPr>
      </w:pPr>
      <w:r w:rsidRPr="00704266">
        <w:rPr>
          <w:rStyle w:val="Appelnotedebasdep"/>
        </w:rPr>
        <w:footnoteRef/>
      </w:r>
      <w:r w:rsidRPr="00704266">
        <w:rPr>
          <w:lang w:val="en-CA"/>
        </w:rPr>
        <w:t xml:space="preserve"> </w:t>
      </w:r>
      <w:r w:rsidRPr="00704266">
        <w:rPr>
          <w:lang w:val="en-CA"/>
        </w:rPr>
        <w:tab/>
      </w:r>
      <w:r w:rsidRPr="00704266">
        <w:rPr>
          <w:rFonts w:cs="Arial"/>
          <w:i/>
          <w:iCs/>
          <w:lang w:val="en-CA"/>
        </w:rPr>
        <w:t>Ibid</w:t>
      </w:r>
      <w:r w:rsidRPr="00704266">
        <w:rPr>
          <w:rFonts w:cs="Arial"/>
          <w:iCs/>
          <w:lang w:val="en-CA"/>
        </w:rPr>
        <w:t>.</w:t>
      </w:r>
    </w:p>
  </w:footnote>
  <w:footnote w:id="189">
    <w:p w14:paraId="788AC558" w14:textId="60FA68F9" w:rsidR="003B1EC4" w:rsidRPr="00463A36" w:rsidRDefault="003B1EC4" w:rsidP="00136683">
      <w:pPr>
        <w:pStyle w:val="Notedebasdepage"/>
        <w:ind w:left="426" w:hanging="426"/>
        <w:rPr>
          <w:lang w:val="en-CA"/>
        </w:rPr>
      </w:pPr>
      <w:r w:rsidRPr="00463A36">
        <w:rPr>
          <w:rStyle w:val="Appelnotedebasdep"/>
        </w:rPr>
        <w:footnoteRef/>
      </w:r>
      <w:r w:rsidRPr="00463A36">
        <w:rPr>
          <w:lang w:val="en-CA"/>
        </w:rPr>
        <w:t xml:space="preserve"> </w:t>
      </w:r>
      <w:r w:rsidRPr="00463A36">
        <w:rPr>
          <w:lang w:val="en-CA"/>
        </w:rPr>
        <w:tab/>
      </w:r>
      <w:r w:rsidRPr="00463A36">
        <w:rPr>
          <w:i/>
          <w:iCs/>
          <w:lang w:val="en-CA"/>
        </w:rPr>
        <w:t xml:space="preserve">Arsenault-Cameron </w:t>
      </w:r>
      <w:r w:rsidR="003255AA" w:rsidRPr="00463A36">
        <w:rPr>
          <w:i/>
          <w:iCs/>
          <w:lang w:val="en-CA"/>
        </w:rPr>
        <w:t xml:space="preserve">v </w:t>
      </w:r>
      <w:r w:rsidRPr="00463A36">
        <w:rPr>
          <w:i/>
          <w:iCs/>
          <w:lang w:val="en-CA"/>
        </w:rPr>
        <w:t>Prince Edward Island</w:t>
      </w:r>
      <w:r w:rsidRPr="00463A36">
        <w:rPr>
          <w:iCs/>
          <w:lang w:val="en-CA"/>
        </w:rPr>
        <w:t xml:space="preserve">, 2000 SCC 1, [2000] 1 SCR </w:t>
      </w:r>
      <w:r w:rsidRPr="00463A36">
        <w:rPr>
          <w:lang w:val="en-CA"/>
        </w:rPr>
        <w:t>3.</w:t>
      </w:r>
    </w:p>
  </w:footnote>
  <w:footnote w:id="190">
    <w:p w14:paraId="7EC1CB35" w14:textId="34568E54" w:rsidR="003B1EC4" w:rsidRPr="008760EC" w:rsidRDefault="003B1EC4" w:rsidP="00136683">
      <w:pPr>
        <w:pStyle w:val="Notedebasdepage"/>
        <w:ind w:left="426" w:hanging="426"/>
        <w:rPr>
          <w:highlight w:val="yellow"/>
          <w:lang w:val="en-CA"/>
        </w:rPr>
      </w:pPr>
      <w:r w:rsidRPr="00463A36">
        <w:rPr>
          <w:rStyle w:val="Appelnotedebasdep"/>
        </w:rPr>
        <w:footnoteRef/>
      </w:r>
      <w:r w:rsidRPr="00463A36">
        <w:rPr>
          <w:lang w:val="en-CA"/>
        </w:rPr>
        <w:t xml:space="preserve"> </w:t>
      </w:r>
      <w:r w:rsidRPr="00463A36">
        <w:rPr>
          <w:lang w:val="en-CA"/>
        </w:rPr>
        <w:tab/>
      </w:r>
      <w:r w:rsidRPr="00463A36">
        <w:rPr>
          <w:i/>
          <w:iCs/>
          <w:lang w:val="en-CA"/>
        </w:rPr>
        <w:t>Reference re Public Schools Act (Man.)</w:t>
      </w:r>
      <w:r w:rsidRPr="00463A36">
        <w:rPr>
          <w:iCs/>
          <w:lang w:val="en-CA"/>
        </w:rPr>
        <w:t xml:space="preserve">, [1993] 1 </w:t>
      </w:r>
      <w:r w:rsidR="003255AA" w:rsidRPr="00463A36">
        <w:rPr>
          <w:iCs/>
          <w:lang w:val="en-CA"/>
        </w:rPr>
        <w:t>SCR</w:t>
      </w:r>
      <w:r w:rsidRPr="00463A36">
        <w:rPr>
          <w:lang w:val="en-CA"/>
        </w:rPr>
        <w:t xml:space="preserve"> 839 at 862 and 863.</w:t>
      </w:r>
      <w:r w:rsidRPr="00463A36">
        <w:rPr>
          <w:sz w:val="22"/>
          <w:szCs w:val="22"/>
          <w:lang w:val="en-CA"/>
        </w:rPr>
        <w:t xml:space="preserve"> </w:t>
      </w:r>
    </w:p>
  </w:footnote>
  <w:footnote w:id="191">
    <w:p w14:paraId="6B9DB566" w14:textId="5D5B6C68" w:rsidR="003B1EC4" w:rsidRPr="00463A36" w:rsidRDefault="003B1EC4" w:rsidP="00136683">
      <w:pPr>
        <w:pStyle w:val="Notedebasdepage"/>
        <w:ind w:left="426" w:hanging="426"/>
        <w:rPr>
          <w:lang w:val="en-CA"/>
        </w:rPr>
      </w:pPr>
      <w:r w:rsidRPr="00463A36">
        <w:rPr>
          <w:rStyle w:val="Appelnotedebasdep"/>
        </w:rPr>
        <w:footnoteRef/>
      </w:r>
      <w:r w:rsidRPr="00463A36">
        <w:rPr>
          <w:lang w:val="en-CA"/>
        </w:rPr>
        <w:t xml:space="preserve"> </w:t>
      </w:r>
      <w:r w:rsidRPr="00463A36">
        <w:rPr>
          <w:lang w:val="en-CA"/>
        </w:rPr>
        <w:tab/>
      </w:r>
      <w:r w:rsidRPr="00463A36">
        <w:rPr>
          <w:rFonts w:cs="Arial"/>
          <w:i/>
          <w:iCs/>
          <w:color w:val="212529"/>
          <w:lang w:val="en-CA"/>
        </w:rPr>
        <w:t>Procureur général du Québec</w:t>
      </w:r>
      <w:r w:rsidR="003255AA" w:rsidRPr="00463A36">
        <w:rPr>
          <w:rFonts w:cs="Arial"/>
          <w:i/>
          <w:iCs/>
          <w:color w:val="212529"/>
          <w:lang w:val="en-CA"/>
        </w:rPr>
        <w:t xml:space="preserve"> c </w:t>
      </w:r>
      <w:r w:rsidRPr="00463A36">
        <w:rPr>
          <w:rFonts w:cs="Arial"/>
          <w:i/>
          <w:iCs/>
          <w:lang w:val="en-CA"/>
        </w:rPr>
        <w:t>Quebec English School Board Association</w:t>
      </w:r>
      <w:r w:rsidRPr="00463A36">
        <w:rPr>
          <w:rFonts w:cs="Arial"/>
          <w:iCs/>
          <w:lang w:val="en-CA"/>
        </w:rPr>
        <w:t>, 2020 QCCA 1171.</w:t>
      </w:r>
    </w:p>
  </w:footnote>
  <w:footnote w:id="192">
    <w:p w14:paraId="1C4501B8" w14:textId="6082F02F" w:rsidR="003B1EC4" w:rsidRPr="00463A36" w:rsidRDefault="003B1EC4" w:rsidP="00136683">
      <w:pPr>
        <w:pStyle w:val="Notedebasdepage"/>
        <w:ind w:left="426" w:hanging="426"/>
        <w:rPr>
          <w:rFonts w:cs="Arial"/>
          <w:lang w:val="en-CA"/>
        </w:rPr>
      </w:pPr>
      <w:r w:rsidRPr="00463A36">
        <w:rPr>
          <w:rStyle w:val="Appelnotedebasdep"/>
        </w:rPr>
        <w:footnoteRef/>
      </w:r>
      <w:r w:rsidRPr="00463A36">
        <w:rPr>
          <w:lang w:val="en-CA"/>
        </w:rPr>
        <w:t xml:space="preserve"> </w:t>
      </w:r>
      <w:r w:rsidRPr="00463A36">
        <w:rPr>
          <w:lang w:val="en-CA"/>
        </w:rPr>
        <w:tab/>
      </w:r>
      <w:r w:rsidRPr="00463A36">
        <w:rPr>
          <w:rFonts w:cs="Arial"/>
          <w:i/>
          <w:iCs/>
          <w:color w:val="212529"/>
          <w:lang w:val="en-CA"/>
        </w:rPr>
        <w:t xml:space="preserve">Haida Nation </w:t>
      </w:r>
      <w:r w:rsidR="003255AA" w:rsidRPr="00463A36">
        <w:rPr>
          <w:rFonts w:cs="Arial"/>
          <w:i/>
          <w:iCs/>
          <w:color w:val="212529"/>
          <w:lang w:val="en-CA"/>
        </w:rPr>
        <w:t xml:space="preserve">v </w:t>
      </w:r>
      <w:r w:rsidRPr="00463A36">
        <w:rPr>
          <w:rFonts w:cs="Arial"/>
          <w:i/>
          <w:iCs/>
          <w:color w:val="212529"/>
          <w:lang w:val="en-CA"/>
        </w:rPr>
        <w:t>British Columbia (Minister of Forests)</w:t>
      </w:r>
      <w:r w:rsidRPr="00463A36">
        <w:rPr>
          <w:rFonts w:cs="Arial"/>
          <w:iCs/>
          <w:color w:val="212529"/>
          <w:lang w:val="en-CA"/>
        </w:rPr>
        <w:t xml:space="preserve">, 2004 SCC 73 (CanLII), [2004] 3 SCR 511 at </w:t>
      </w:r>
      <w:r w:rsidR="005554F5" w:rsidRPr="00463A36">
        <w:rPr>
          <w:rFonts w:cs="Arial"/>
          <w:iCs/>
          <w:color w:val="212529"/>
          <w:lang w:val="en-CA"/>
        </w:rPr>
        <w:t xml:space="preserve">para </w:t>
      </w:r>
      <w:r w:rsidRPr="00463A36">
        <w:rPr>
          <w:rFonts w:cs="Arial"/>
          <w:color w:val="212529"/>
          <w:lang w:val="en-CA"/>
        </w:rPr>
        <w:t xml:space="preserve">48; </w:t>
      </w:r>
      <w:r w:rsidRPr="00463A36">
        <w:rPr>
          <w:rFonts w:cs="Arial"/>
          <w:i/>
          <w:color w:val="212529"/>
          <w:lang w:val="en-CA"/>
        </w:rPr>
        <w:t xml:space="preserve">Mikisew Cree First Nation </w:t>
      </w:r>
      <w:r w:rsidR="003255AA" w:rsidRPr="00463A36">
        <w:rPr>
          <w:rFonts w:cs="Arial"/>
          <w:i/>
          <w:color w:val="212529"/>
          <w:lang w:val="en-CA"/>
        </w:rPr>
        <w:t xml:space="preserve">v </w:t>
      </w:r>
      <w:r w:rsidRPr="00463A36">
        <w:rPr>
          <w:rFonts w:cs="Arial"/>
          <w:i/>
          <w:color w:val="212529"/>
          <w:lang w:val="en-CA"/>
        </w:rPr>
        <w:t>Canada (Minister of Canadian Heritage)</w:t>
      </w:r>
      <w:r w:rsidRPr="00463A36">
        <w:rPr>
          <w:rFonts w:cs="Arial"/>
          <w:color w:val="212529"/>
          <w:lang w:val="en-CA"/>
        </w:rPr>
        <w:t xml:space="preserve">, 2005 SCC 69 (CanLII), [2005] 3 SCR 388 at </w:t>
      </w:r>
      <w:r w:rsidR="005554F5" w:rsidRPr="00463A36">
        <w:rPr>
          <w:rFonts w:cs="Arial"/>
          <w:color w:val="212529"/>
          <w:lang w:val="en-CA"/>
        </w:rPr>
        <w:t xml:space="preserve">para </w:t>
      </w:r>
      <w:r w:rsidRPr="00463A36">
        <w:rPr>
          <w:rFonts w:cs="Arial"/>
          <w:color w:val="212529"/>
          <w:lang w:val="en-CA"/>
        </w:rPr>
        <w:t xml:space="preserve">66; </w:t>
      </w:r>
      <w:r w:rsidRPr="00463A36">
        <w:rPr>
          <w:rFonts w:cs="Arial"/>
          <w:i/>
          <w:color w:val="212529"/>
          <w:lang w:val="en-CA"/>
        </w:rPr>
        <w:t xml:space="preserve">Chippewas of the Thames First Nation </w:t>
      </w:r>
      <w:r w:rsidR="003255AA" w:rsidRPr="00463A36">
        <w:rPr>
          <w:rFonts w:cs="Arial"/>
          <w:i/>
          <w:color w:val="212529"/>
          <w:lang w:val="en-CA"/>
        </w:rPr>
        <w:t xml:space="preserve">v </w:t>
      </w:r>
      <w:r w:rsidRPr="00463A36">
        <w:rPr>
          <w:rFonts w:cs="Arial"/>
          <w:i/>
          <w:color w:val="212529"/>
          <w:lang w:val="en-CA"/>
        </w:rPr>
        <w:t>Enbridge Pipelines Inc.</w:t>
      </w:r>
      <w:r w:rsidRPr="00463A36">
        <w:rPr>
          <w:rFonts w:cs="Arial"/>
          <w:color w:val="212529"/>
          <w:lang w:val="en-CA"/>
        </w:rPr>
        <w:t xml:space="preserve">, 2017 SCC 41 (CanLII), [2017] 1 SCR 1099 at </w:t>
      </w:r>
      <w:r w:rsidR="005554F5" w:rsidRPr="00463A36">
        <w:rPr>
          <w:rFonts w:cs="Arial"/>
          <w:color w:val="212529"/>
          <w:lang w:val="en-CA"/>
        </w:rPr>
        <w:t xml:space="preserve">para </w:t>
      </w:r>
      <w:r w:rsidRPr="00463A36">
        <w:rPr>
          <w:rFonts w:cs="Arial"/>
          <w:color w:val="212529"/>
          <w:lang w:val="en-CA"/>
        </w:rPr>
        <w:t xml:space="preserve">59; </w:t>
      </w:r>
      <w:r w:rsidRPr="00463A36">
        <w:rPr>
          <w:rFonts w:cs="Arial"/>
          <w:i/>
          <w:color w:val="212529"/>
          <w:lang w:val="en-CA"/>
        </w:rPr>
        <w:t xml:space="preserve">Ktunaxa Nation </w:t>
      </w:r>
      <w:r w:rsidR="003255AA" w:rsidRPr="00463A36">
        <w:rPr>
          <w:rFonts w:cs="Arial"/>
          <w:i/>
          <w:color w:val="212529"/>
          <w:lang w:val="en-CA"/>
        </w:rPr>
        <w:t xml:space="preserve">v </w:t>
      </w:r>
      <w:r w:rsidRPr="00463A36">
        <w:rPr>
          <w:rFonts w:cs="Arial"/>
          <w:i/>
          <w:color w:val="212529"/>
          <w:lang w:val="en-CA"/>
        </w:rPr>
        <w:t>British Columbia (Forests, Lands and Natural Resource Operations)</w:t>
      </w:r>
      <w:r w:rsidRPr="00463A36">
        <w:rPr>
          <w:rFonts w:cs="Arial"/>
          <w:color w:val="212529"/>
          <w:lang w:val="en-CA"/>
        </w:rPr>
        <w:t xml:space="preserve">, 2017 SCC 54 (CanLII), [2017] 2 SCR 386 at </w:t>
      </w:r>
      <w:r w:rsidR="005554F5" w:rsidRPr="00463A36">
        <w:rPr>
          <w:rFonts w:cs="Arial"/>
          <w:color w:val="212529"/>
          <w:lang w:val="en-CA"/>
        </w:rPr>
        <w:t xml:space="preserve">para </w:t>
      </w:r>
      <w:r w:rsidRPr="00463A36">
        <w:rPr>
          <w:rFonts w:cs="Arial"/>
          <w:color w:val="212529"/>
          <w:lang w:val="en-CA"/>
        </w:rPr>
        <w:t>83.</w:t>
      </w:r>
    </w:p>
  </w:footnote>
  <w:footnote w:id="193">
    <w:p w14:paraId="1E5FA678" w14:textId="77777777" w:rsidR="003B1EC4" w:rsidRPr="008760EC" w:rsidRDefault="003B1EC4" w:rsidP="00136683">
      <w:pPr>
        <w:pStyle w:val="Notedebasdepage"/>
        <w:ind w:left="426" w:hanging="426"/>
        <w:rPr>
          <w:highlight w:val="yellow"/>
          <w:lang w:val="en-CA"/>
        </w:rPr>
      </w:pPr>
      <w:r w:rsidRPr="00463A36">
        <w:rPr>
          <w:rStyle w:val="Appelnotedebasdep"/>
        </w:rPr>
        <w:footnoteRef/>
      </w:r>
      <w:r w:rsidRPr="00463A36">
        <w:rPr>
          <w:lang w:val="en-CA"/>
        </w:rPr>
        <w:t xml:space="preserve"> </w:t>
      </w:r>
      <w:r w:rsidRPr="00463A36">
        <w:rPr>
          <w:lang w:val="en-CA"/>
        </w:rPr>
        <w:tab/>
        <w:t xml:space="preserve">Exhibit KH-1. </w:t>
      </w:r>
    </w:p>
  </w:footnote>
  <w:footnote w:id="194">
    <w:p w14:paraId="56820D07" w14:textId="77777777" w:rsidR="003B1EC4" w:rsidRPr="00463A36" w:rsidRDefault="003B1EC4" w:rsidP="00136683">
      <w:pPr>
        <w:pStyle w:val="Notedebasdepage"/>
        <w:ind w:left="426" w:hanging="426"/>
        <w:rPr>
          <w:lang w:val="en-CA"/>
        </w:rPr>
      </w:pPr>
      <w:r w:rsidRPr="00463A36">
        <w:rPr>
          <w:rStyle w:val="Appelnotedebasdep"/>
        </w:rPr>
        <w:footnoteRef/>
      </w:r>
      <w:r w:rsidRPr="00463A36">
        <w:rPr>
          <w:lang w:val="en-CA"/>
        </w:rPr>
        <w:t xml:space="preserve"> </w:t>
      </w:r>
      <w:r w:rsidRPr="00463A36">
        <w:rPr>
          <w:lang w:val="en-CA"/>
        </w:rPr>
        <w:tab/>
        <w:t>At 5.</w:t>
      </w:r>
    </w:p>
  </w:footnote>
  <w:footnote w:id="195">
    <w:p w14:paraId="563AB1AA" w14:textId="77777777" w:rsidR="003B1EC4" w:rsidRPr="00463A36" w:rsidRDefault="003B1EC4" w:rsidP="00136683">
      <w:pPr>
        <w:pStyle w:val="Notedebasdepage"/>
        <w:ind w:left="426" w:hanging="426"/>
        <w:rPr>
          <w:lang w:val="en-CA"/>
        </w:rPr>
      </w:pPr>
      <w:r w:rsidRPr="00463A36">
        <w:rPr>
          <w:rStyle w:val="Appelnotedebasdep"/>
        </w:rPr>
        <w:footnoteRef/>
      </w:r>
      <w:r w:rsidRPr="00463A36">
        <w:rPr>
          <w:lang w:val="en-CA"/>
        </w:rPr>
        <w:t xml:space="preserve"> </w:t>
      </w:r>
      <w:r w:rsidRPr="00463A36">
        <w:rPr>
          <w:lang w:val="en-CA"/>
        </w:rPr>
        <w:tab/>
        <w:t xml:space="preserve">Sworn statement of Kimberley Hamilton, interim Chair of the QESBA, dated January 22, 2021, and exhibit KH-2. </w:t>
      </w:r>
    </w:p>
  </w:footnote>
  <w:footnote w:id="196">
    <w:p w14:paraId="24BEA4B8" w14:textId="2396642F" w:rsidR="003B1EC4" w:rsidRPr="00463A36" w:rsidRDefault="003B1EC4" w:rsidP="00136683">
      <w:pPr>
        <w:pStyle w:val="Notedebasdepage"/>
        <w:ind w:left="426" w:hanging="426"/>
        <w:rPr>
          <w:lang w:val="en-CA"/>
        </w:rPr>
      </w:pPr>
      <w:r w:rsidRPr="00463A36">
        <w:rPr>
          <w:rStyle w:val="Appelnotedebasdep"/>
        </w:rPr>
        <w:footnoteRef/>
      </w:r>
      <w:r w:rsidRPr="00463A36">
        <w:rPr>
          <w:lang w:val="en-CA"/>
        </w:rPr>
        <w:t xml:space="preserve"> </w:t>
      </w:r>
      <w:r w:rsidRPr="00463A36">
        <w:rPr>
          <w:lang w:val="en-CA"/>
        </w:rPr>
        <w:tab/>
      </w:r>
      <w:r w:rsidR="005554F5" w:rsidRPr="00463A36">
        <w:rPr>
          <w:lang w:val="en-CA"/>
        </w:rPr>
        <w:t xml:space="preserve">Para </w:t>
      </w:r>
      <w:r w:rsidRPr="00463A36">
        <w:rPr>
          <w:lang w:val="en-CA"/>
        </w:rPr>
        <w:t xml:space="preserve">8 of her sworn statement. </w:t>
      </w:r>
    </w:p>
  </w:footnote>
  <w:footnote w:id="197">
    <w:p w14:paraId="40C1F824" w14:textId="0199FDFD" w:rsidR="003B1EC4" w:rsidRPr="00463A36" w:rsidRDefault="003B1EC4" w:rsidP="00136683">
      <w:pPr>
        <w:pStyle w:val="Notedebasdepage"/>
        <w:ind w:left="426" w:hanging="426"/>
        <w:rPr>
          <w:lang w:val="en-CA"/>
        </w:rPr>
      </w:pPr>
      <w:r w:rsidRPr="00463A36">
        <w:rPr>
          <w:rStyle w:val="Appelnotedebasdep"/>
        </w:rPr>
        <w:footnoteRef/>
      </w:r>
      <w:r w:rsidRPr="00463A36">
        <w:rPr>
          <w:szCs w:val="22"/>
          <w:lang w:val="en-CA"/>
        </w:rPr>
        <w:t xml:space="preserve"> </w:t>
      </w:r>
      <w:r w:rsidRPr="00463A36">
        <w:rPr>
          <w:szCs w:val="22"/>
          <w:lang w:val="en-CA"/>
        </w:rPr>
        <w:tab/>
        <w:t xml:space="preserve">Letter of </w:t>
      </w:r>
      <w:r w:rsidR="00161447" w:rsidRPr="00463A36">
        <w:rPr>
          <w:szCs w:val="22"/>
          <w:lang w:val="en-CA"/>
        </w:rPr>
        <w:t xml:space="preserve">29 </w:t>
      </w:r>
      <w:r w:rsidRPr="00463A36">
        <w:rPr>
          <w:szCs w:val="22"/>
          <w:lang w:val="en-CA"/>
        </w:rPr>
        <w:t>January 2019, Exhibit KH-3.</w:t>
      </w:r>
    </w:p>
  </w:footnote>
  <w:footnote w:id="198">
    <w:p w14:paraId="6C5959FD" w14:textId="77777777"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 xml:space="preserve">Email, exhibit KH-5. </w:t>
      </w:r>
    </w:p>
  </w:footnote>
  <w:footnote w:id="199">
    <w:p w14:paraId="3ADE21BE" w14:textId="20025906" w:rsidR="003B1EC4" w:rsidRPr="008760EC" w:rsidRDefault="003B1EC4" w:rsidP="00136683">
      <w:pPr>
        <w:pStyle w:val="Notedebasdepage"/>
        <w:ind w:left="426" w:hanging="426"/>
        <w:rPr>
          <w:highlight w:val="yellow"/>
          <w:lang w:val="en-CA"/>
        </w:rPr>
      </w:pPr>
      <w:r w:rsidRPr="009E7ABB">
        <w:rPr>
          <w:rStyle w:val="Appelnotedebasdep"/>
        </w:rPr>
        <w:footnoteRef/>
      </w:r>
      <w:r w:rsidRPr="009E7ABB">
        <w:rPr>
          <w:lang w:val="en-CA"/>
        </w:rPr>
        <w:t xml:space="preserve"> </w:t>
      </w:r>
      <w:r w:rsidRPr="009E7ABB">
        <w:rPr>
          <w:lang w:val="en-CA"/>
        </w:rPr>
        <w:tab/>
        <w:t xml:space="preserve">Sworn statement of Kimberley Hamilton at </w:t>
      </w:r>
      <w:r w:rsidR="005554F5" w:rsidRPr="009E7ABB">
        <w:rPr>
          <w:lang w:val="en-CA"/>
        </w:rPr>
        <w:t xml:space="preserve">para </w:t>
      </w:r>
      <w:r w:rsidRPr="009E7ABB">
        <w:rPr>
          <w:lang w:val="en-CA"/>
        </w:rPr>
        <w:t>17.</w:t>
      </w:r>
    </w:p>
  </w:footnote>
  <w:footnote w:id="200">
    <w:p w14:paraId="76C13FFA" w14:textId="77777777"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“APPELE-Quebec”.</w:t>
      </w:r>
    </w:p>
  </w:footnote>
  <w:footnote w:id="201">
    <w:p w14:paraId="6EC03E5F" w14:textId="77777777"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Exhibit P-64.</w:t>
      </w:r>
    </w:p>
  </w:footnote>
  <w:footnote w:id="202">
    <w:p w14:paraId="6025B9B9" w14:textId="3215224F"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Letter of</w:t>
      </w:r>
      <w:r w:rsidR="009E7ABB">
        <w:rPr>
          <w:lang w:val="en-CA"/>
        </w:rPr>
        <w:t xml:space="preserve"> 2</w:t>
      </w:r>
      <w:r w:rsidRPr="009E7ABB">
        <w:rPr>
          <w:lang w:val="en-CA"/>
        </w:rPr>
        <w:t xml:space="preserve"> May 2019</w:t>
      </w:r>
      <w:r w:rsidR="009E7ABB">
        <w:rPr>
          <w:lang w:val="en-CA"/>
        </w:rPr>
        <w:t>,</w:t>
      </w:r>
      <w:r w:rsidRPr="009E7ABB">
        <w:rPr>
          <w:lang w:val="en-CA"/>
        </w:rPr>
        <w:t xml:space="preserve"> Exhibit GK-2.</w:t>
      </w:r>
    </w:p>
  </w:footnote>
  <w:footnote w:id="203">
    <w:p w14:paraId="2252C7C0" w14:textId="4A2BD57E" w:rsidR="003B1EC4" w:rsidRPr="008760EC" w:rsidRDefault="003B1EC4" w:rsidP="00136683">
      <w:pPr>
        <w:pStyle w:val="Notedebasdepage"/>
        <w:ind w:left="426" w:hanging="426"/>
        <w:rPr>
          <w:highlight w:val="yellow"/>
          <w:lang w:val="en-CA"/>
        </w:rPr>
      </w:pPr>
      <w:r w:rsidRPr="009E7ABB">
        <w:rPr>
          <w:rStyle w:val="Appelnotedebasdep"/>
        </w:rPr>
        <w:footnoteRef/>
      </w:r>
      <w:r w:rsidRPr="009E7ABB">
        <w:rPr>
          <w:lang w:val="en-CA"/>
        </w:rPr>
        <w:t xml:space="preserve"> </w:t>
      </w:r>
      <w:r w:rsidRPr="009E7ABB">
        <w:rPr>
          <w:lang w:val="en-CA"/>
        </w:rPr>
        <w:tab/>
        <w:t xml:space="preserve">Email of </w:t>
      </w:r>
      <w:r w:rsidR="009E7ABB">
        <w:rPr>
          <w:lang w:val="en-CA"/>
        </w:rPr>
        <w:t xml:space="preserve">2 </w:t>
      </w:r>
      <w:r w:rsidRPr="009E7ABB">
        <w:rPr>
          <w:lang w:val="en-CA"/>
        </w:rPr>
        <w:t>May 2019, Exhibit GK-3.</w:t>
      </w:r>
    </w:p>
  </w:footnote>
  <w:footnote w:id="204">
    <w:p w14:paraId="5CC5C68C" w14:textId="0288B021"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 xml:space="preserve">Letter of </w:t>
      </w:r>
      <w:r w:rsidR="009E7ABB" w:rsidRPr="009E7ABB">
        <w:rPr>
          <w:lang w:val="en-CA"/>
        </w:rPr>
        <w:t xml:space="preserve">19 </w:t>
      </w:r>
      <w:r w:rsidRPr="009E7ABB">
        <w:rPr>
          <w:lang w:val="en-CA"/>
        </w:rPr>
        <w:t>September 2019, Exhibit GK-5.</w:t>
      </w:r>
    </w:p>
  </w:footnote>
  <w:footnote w:id="205">
    <w:p w14:paraId="2A5ED2BC" w14:textId="5FBDAE37" w:rsidR="003B1EC4" w:rsidRPr="009E7ABB" w:rsidRDefault="003B1EC4" w:rsidP="00136683">
      <w:pPr>
        <w:pStyle w:val="Notedebasdepage"/>
        <w:ind w:left="426" w:hanging="426"/>
        <w:rPr>
          <w:lang w:val="en-CA"/>
        </w:rPr>
      </w:pPr>
      <w:r w:rsidRPr="009E7ABB">
        <w:rPr>
          <w:rStyle w:val="Appelnotedebasdep"/>
        </w:rPr>
        <w:footnoteRef/>
      </w:r>
      <w:r w:rsidRPr="009E7ABB">
        <w:rPr>
          <w:lang w:val="en-CA"/>
        </w:rPr>
        <w:t xml:space="preserve"> </w:t>
      </w:r>
      <w:r w:rsidRPr="009E7ABB">
        <w:rPr>
          <w:lang w:val="en-CA"/>
        </w:rPr>
        <w:tab/>
        <w:t xml:space="preserve">Email of </w:t>
      </w:r>
      <w:r w:rsidR="009E7ABB" w:rsidRPr="009E7ABB">
        <w:rPr>
          <w:lang w:val="en-CA"/>
        </w:rPr>
        <w:t xml:space="preserve">23 </w:t>
      </w:r>
      <w:r w:rsidRPr="009E7ABB">
        <w:rPr>
          <w:lang w:val="en-CA"/>
        </w:rPr>
        <w:t>September 2019, Exhibit GK-5.1.</w:t>
      </w:r>
    </w:p>
  </w:footnote>
  <w:footnote w:id="206">
    <w:p w14:paraId="12C74307" w14:textId="77777777" w:rsidR="003B1EC4" w:rsidRPr="008760EC" w:rsidRDefault="003B1EC4" w:rsidP="00136683">
      <w:pPr>
        <w:pStyle w:val="Notedebasdepage"/>
        <w:ind w:left="426" w:hanging="426"/>
        <w:rPr>
          <w:highlight w:val="yellow"/>
          <w:lang w:val="en-CA"/>
        </w:rPr>
      </w:pPr>
      <w:r w:rsidRPr="009E7ABB">
        <w:rPr>
          <w:rStyle w:val="Appelnotedebasdep"/>
        </w:rPr>
        <w:footnoteRef/>
      </w:r>
      <w:r w:rsidRPr="009E7ABB">
        <w:rPr>
          <w:lang w:val="en-CA"/>
        </w:rPr>
        <w:t xml:space="preserve"> </w:t>
      </w:r>
      <w:r w:rsidRPr="009E7ABB">
        <w:rPr>
          <w:lang w:val="en-CA"/>
        </w:rPr>
        <w:tab/>
        <w:t>Exhibit GK-6.</w:t>
      </w:r>
    </w:p>
  </w:footnote>
  <w:footnote w:id="207">
    <w:p w14:paraId="01631706" w14:textId="4D61967B" w:rsidR="003B1EC4" w:rsidRPr="00BD01A9" w:rsidRDefault="003B1EC4" w:rsidP="00136683">
      <w:pPr>
        <w:pStyle w:val="Notedebasdepage"/>
        <w:ind w:left="426" w:hanging="426"/>
        <w:rPr>
          <w:lang w:val="en-CA"/>
        </w:rPr>
      </w:pPr>
      <w:r w:rsidRPr="00BD01A9">
        <w:rPr>
          <w:rStyle w:val="Appelnotedebasdep"/>
        </w:rPr>
        <w:footnoteRef/>
      </w:r>
      <w:r w:rsidRPr="00BD01A9">
        <w:rPr>
          <w:lang w:val="en-CA"/>
        </w:rPr>
        <w:t xml:space="preserve"> </w:t>
      </w:r>
      <w:r w:rsidRPr="00BD01A9">
        <w:rPr>
          <w:lang w:val="en-CA"/>
        </w:rPr>
        <w:tab/>
        <w:t xml:space="preserve">Letter of </w:t>
      </w:r>
      <w:r w:rsidR="00BD01A9" w:rsidRPr="00BD01A9">
        <w:rPr>
          <w:lang w:val="en-CA"/>
        </w:rPr>
        <w:t xml:space="preserve">4 </w:t>
      </w:r>
      <w:r w:rsidRPr="00BD01A9">
        <w:rPr>
          <w:lang w:val="en-CA"/>
        </w:rPr>
        <w:t>October 2019, Exhibit GK-7.</w:t>
      </w:r>
    </w:p>
  </w:footnote>
  <w:footnote w:id="208">
    <w:p w14:paraId="5176EC7D" w14:textId="77777777" w:rsidR="003B1EC4" w:rsidRPr="00BD01A9" w:rsidRDefault="003B1EC4" w:rsidP="00136683">
      <w:pPr>
        <w:pStyle w:val="Notedebasdepage"/>
        <w:ind w:left="426" w:hanging="426"/>
        <w:rPr>
          <w:lang w:val="en-CA"/>
        </w:rPr>
      </w:pPr>
      <w:r w:rsidRPr="00BD01A9">
        <w:rPr>
          <w:rStyle w:val="Appelnotedebasdep"/>
        </w:rPr>
        <w:footnoteRef/>
      </w:r>
      <w:r w:rsidRPr="00BD01A9">
        <w:rPr>
          <w:lang w:val="en-CA"/>
        </w:rPr>
        <w:t xml:space="preserve"> </w:t>
      </w:r>
      <w:r w:rsidRPr="00BD01A9">
        <w:rPr>
          <w:lang w:val="en-CA"/>
        </w:rPr>
        <w:tab/>
        <w:t>Exhibit S82-6/GK-8.</w:t>
      </w:r>
    </w:p>
  </w:footnote>
  <w:footnote w:id="209">
    <w:p w14:paraId="5A5B50CD" w14:textId="100ECA4E" w:rsidR="003B1EC4" w:rsidRPr="00BD01A9" w:rsidRDefault="003B1EC4" w:rsidP="00136683">
      <w:pPr>
        <w:pStyle w:val="Notedebasdepage"/>
        <w:ind w:left="426" w:hanging="426"/>
        <w:rPr>
          <w:lang w:val="en-CA"/>
        </w:rPr>
      </w:pPr>
      <w:r w:rsidRPr="00BD01A9">
        <w:rPr>
          <w:rStyle w:val="Appelnotedebasdep"/>
        </w:rPr>
        <w:footnoteRef/>
      </w:r>
      <w:r w:rsidRPr="00BD01A9">
        <w:rPr>
          <w:lang w:val="en-CA"/>
        </w:rPr>
        <w:t xml:space="preserve"> </w:t>
      </w:r>
      <w:r w:rsidRPr="00BD01A9">
        <w:rPr>
          <w:lang w:val="en-CA"/>
        </w:rPr>
        <w:tab/>
        <w:t xml:space="preserve">Letter of </w:t>
      </w:r>
      <w:r w:rsidR="00BD01A9" w:rsidRPr="00BD01A9">
        <w:rPr>
          <w:lang w:val="en-CA"/>
        </w:rPr>
        <w:t xml:space="preserve">25 </w:t>
      </w:r>
      <w:r w:rsidRPr="00BD01A9">
        <w:rPr>
          <w:lang w:val="en-CA"/>
        </w:rPr>
        <w:t>November 2019, Exhibit GK-9.</w:t>
      </w:r>
    </w:p>
  </w:footnote>
  <w:footnote w:id="210">
    <w:p w14:paraId="7C37A229" w14:textId="1A0C5AF1" w:rsidR="003B1EC4" w:rsidRPr="008760EC" w:rsidRDefault="003B1EC4" w:rsidP="00136683">
      <w:pPr>
        <w:pStyle w:val="Notedebasdepage"/>
        <w:ind w:left="426" w:hanging="426"/>
        <w:rPr>
          <w:highlight w:val="yellow"/>
          <w:lang w:val="en-CA"/>
        </w:rPr>
      </w:pPr>
      <w:r w:rsidRPr="00BD01A9">
        <w:rPr>
          <w:rStyle w:val="Appelnotedebasdep"/>
        </w:rPr>
        <w:footnoteRef/>
      </w:r>
      <w:r w:rsidRPr="00BD01A9">
        <w:rPr>
          <w:lang w:val="en-CA"/>
        </w:rPr>
        <w:t xml:space="preserve"> </w:t>
      </w:r>
      <w:r w:rsidRPr="00BD01A9">
        <w:rPr>
          <w:lang w:val="en-CA"/>
        </w:rPr>
        <w:tab/>
      </w:r>
      <w:r w:rsidRPr="00BD01A9">
        <w:rPr>
          <w:rFonts w:cs="Arial"/>
          <w:spacing w:val="-3"/>
          <w:szCs w:val="24"/>
          <w:lang w:val="en-CA" w:eastAsia="fr-CA"/>
        </w:rPr>
        <w:t xml:space="preserve">Transcript of the presentation </w:t>
      </w:r>
      <w:r w:rsidR="008332AA" w:rsidRPr="00BD01A9">
        <w:rPr>
          <w:rFonts w:cs="Arial"/>
          <w:spacing w:val="-3"/>
          <w:szCs w:val="24"/>
          <w:lang w:val="en-CA" w:eastAsia="fr-CA"/>
        </w:rPr>
        <w:t xml:space="preserve">given </w:t>
      </w:r>
      <w:r w:rsidRPr="00BD01A9">
        <w:rPr>
          <w:rFonts w:cs="Arial"/>
          <w:spacing w:val="-3"/>
          <w:szCs w:val="24"/>
          <w:lang w:val="en-CA" w:eastAsia="fr-CA"/>
        </w:rPr>
        <w:t>by Rhonda Boucher on behalf of the English Parents’ Committee Association</w:t>
      </w:r>
      <w:r w:rsidR="00BD01A9">
        <w:rPr>
          <w:rFonts w:cs="Arial"/>
          <w:spacing w:val="-3"/>
          <w:szCs w:val="24"/>
          <w:lang w:val="en-CA" w:eastAsia="fr-CA"/>
        </w:rPr>
        <w:t xml:space="preserve"> and the Association’s brief</w:t>
      </w:r>
      <w:r w:rsidRPr="00BD01A9">
        <w:rPr>
          <w:rFonts w:cs="Arial"/>
          <w:spacing w:val="-3"/>
          <w:szCs w:val="24"/>
          <w:lang w:val="en-CA" w:eastAsia="fr-CA"/>
        </w:rPr>
        <w:t>, exhibit PGQ-6.</w:t>
      </w:r>
      <w:r w:rsidRPr="00BD01A9">
        <w:rPr>
          <w:lang w:val="en-CA"/>
        </w:rPr>
        <w:t xml:space="preserve"> </w:t>
      </w:r>
    </w:p>
  </w:footnote>
  <w:footnote w:id="211">
    <w:p w14:paraId="7D54E8FD" w14:textId="6A3424AA" w:rsidR="003B1EC4" w:rsidRPr="008760EC" w:rsidRDefault="003B1EC4" w:rsidP="00136683">
      <w:pPr>
        <w:pStyle w:val="Notedebasdepage"/>
        <w:ind w:left="426" w:hanging="426"/>
        <w:rPr>
          <w:highlight w:val="yellow"/>
          <w:lang w:val="en-CA"/>
        </w:rPr>
      </w:pPr>
      <w:r w:rsidRPr="00550F2E">
        <w:rPr>
          <w:rStyle w:val="Appelnotedebasdep"/>
        </w:rPr>
        <w:footnoteRef/>
      </w:r>
      <w:r w:rsidRPr="00550F2E">
        <w:rPr>
          <w:lang w:val="en-CA"/>
        </w:rPr>
        <w:t xml:space="preserve"> </w:t>
      </w:r>
      <w:r w:rsidRPr="00550F2E">
        <w:rPr>
          <w:lang w:val="en-CA"/>
        </w:rPr>
        <w:tab/>
      </w:r>
      <w:r w:rsidRPr="00550F2E">
        <w:rPr>
          <w:rFonts w:cs="Arial"/>
          <w:i/>
          <w:iCs/>
          <w:color w:val="212529"/>
          <w:lang w:val="en-CA"/>
        </w:rPr>
        <w:t xml:space="preserve">Mikisew Cree First Nation </w:t>
      </w:r>
      <w:r w:rsidR="003255AA" w:rsidRPr="00550F2E">
        <w:rPr>
          <w:rFonts w:cs="Arial"/>
          <w:i/>
          <w:iCs/>
          <w:color w:val="212529"/>
          <w:lang w:val="en-CA"/>
        </w:rPr>
        <w:t xml:space="preserve">v </w:t>
      </w:r>
      <w:r w:rsidRPr="00550F2E">
        <w:rPr>
          <w:rFonts w:cs="Arial"/>
          <w:i/>
          <w:iCs/>
          <w:color w:val="212529"/>
          <w:lang w:val="en-CA"/>
        </w:rPr>
        <w:t>Canada (Governor General in Council)</w:t>
      </w:r>
      <w:r w:rsidRPr="00550F2E">
        <w:rPr>
          <w:rFonts w:cs="Arial"/>
          <w:iCs/>
          <w:lang w:val="en-CA"/>
        </w:rPr>
        <w:t>, 2018 SCC 40, [2018] 2 SCR 765.</w:t>
      </w:r>
    </w:p>
  </w:footnote>
  <w:footnote w:id="212">
    <w:p w14:paraId="3D7B39E8" w14:textId="6A21D97F" w:rsidR="003B1EC4" w:rsidRPr="00550F2E" w:rsidRDefault="003B1EC4" w:rsidP="00136683">
      <w:pPr>
        <w:pStyle w:val="Notedebasdepage"/>
        <w:ind w:left="426" w:hanging="426"/>
        <w:rPr>
          <w:lang w:val="en-CA"/>
        </w:rPr>
      </w:pPr>
      <w:r w:rsidRPr="00550F2E">
        <w:rPr>
          <w:rStyle w:val="Appelnotedebasdep"/>
        </w:rPr>
        <w:footnoteRef/>
      </w:r>
      <w:r w:rsidRPr="00550F2E">
        <w:rPr>
          <w:lang w:val="en-CA"/>
        </w:rPr>
        <w:t xml:space="preserve"> </w:t>
      </w:r>
      <w:r w:rsidRPr="00550F2E">
        <w:rPr>
          <w:lang w:val="en-CA"/>
        </w:rPr>
        <w:tab/>
      </w:r>
      <w:r w:rsidRPr="00550F2E">
        <w:rPr>
          <w:rFonts w:cs="Arial"/>
          <w:i/>
          <w:iCs/>
          <w:color w:val="212529"/>
          <w:lang w:val="en-CA"/>
        </w:rPr>
        <w:t>British Columbia Teachers' Federation</w:t>
      </w:r>
      <w:r w:rsidRPr="00550F2E">
        <w:rPr>
          <w:rFonts w:cs="Arial"/>
          <w:iCs/>
          <w:lang w:val="en-CA"/>
        </w:rPr>
        <w:t xml:space="preserve"> </w:t>
      </w:r>
      <w:r w:rsidR="003255AA" w:rsidRPr="00550F2E">
        <w:rPr>
          <w:rFonts w:cs="Arial"/>
          <w:i/>
          <w:iCs/>
          <w:lang w:val="en-CA"/>
        </w:rPr>
        <w:t xml:space="preserve">v </w:t>
      </w:r>
      <w:r w:rsidRPr="00550F2E">
        <w:rPr>
          <w:rFonts w:cs="Arial"/>
          <w:i/>
          <w:iCs/>
          <w:lang w:val="en-CA"/>
        </w:rPr>
        <w:t>British Columbia</w:t>
      </w:r>
      <w:r w:rsidRPr="00550F2E">
        <w:rPr>
          <w:rFonts w:cs="Arial"/>
          <w:iCs/>
          <w:lang w:val="en-CA"/>
        </w:rPr>
        <w:t>, 2016 SCC 49, [2016] 2 RCS 407.</w:t>
      </w:r>
    </w:p>
  </w:footnote>
  <w:footnote w:id="213">
    <w:p w14:paraId="3B6946D5" w14:textId="6CC9C5E6" w:rsidR="003B1EC4" w:rsidRPr="008760EC" w:rsidRDefault="003B1EC4" w:rsidP="00136683">
      <w:pPr>
        <w:pStyle w:val="Notedebasdepage"/>
        <w:ind w:left="426" w:hanging="426"/>
        <w:rPr>
          <w:rFonts w:cs="Arial"/>
          <w:highlight w:val="yellow"/>
          <w:lang w:val="en-CA"/>
        </w:rPr>
      </w:pPr>
      <w:r w:rsidRPr="00550F2E">
        <w:rPr>
          <w:rStyle w:val="Appelnotedebasdep"/>
        </w:rPr>
        <w:footnoteRef/>
      </w:r>
      <w:r w:rsidRPr="00550F2E">
        <w:rPr>
          <w:rFonts w:cs="Arial"/>
          <w:lang w:val="en-CA"/>
        </w:rPr>
        <w:t xml:space="preserve"> </w:t>
      </w:r>
      <w:r w:rsidRPr="00550F2E">
        <w:rPr>
          <w:rFonts w:cs="Arial"/>
          <w:lang w:val="en-CA"/>
        </w:rPr>
        <w:tab/>
      </w:r>
      <w:r w:rsidRPr="00550F2E">
        <w:rPr>
          <w:rFonts w:cs="Arial"/>
          <w:i/>
          <w:iCs/>
          <w:color w:val="212529"/>
          <w:lang w:val="en-CA"/>
        </w:rPr>
        <w:t xml:space="preserve">British Columbia Teachers’ Federation </w:t>
      </w:r>
      <w:r w:rsidR="003255AA" w:rsidRPr="00550F2E">
        <w:rPr>
          <w:rFonts w:cs="Arial"/>
          <w:i/>
          <w:iCs/>
          <w:color w:val="212529"/>
          <w:lang w:val="en-CA"/>
        </w:rPr>
        <w:t xml:space="preserve">v </w:t>
      </w:r>
      <w:r w:rsidRPr="00550F2E">
        <w:rPr>
          <w:rFonts w:cs="Arial"/>
          <w:i/>
          <w:iCs/>
          <w:color w:val="212529"/>
          <w:lang w:val="en-CA"/>
        </w:rPr>
        <w:t>British Columbia</w:t>
      </w:r>
      <w:r w:rsidRPr="00550F2E">
        <w:rPr>
          <w:rFonts w:cs="Arial"/>
          <w:iCs/>
          <w:lang w:val="en-CA"/>
        </w:rPr>
        <w:t>, 2015 BCCA 184.</w:t>
      </w:r>
    </w:p>
  </w:footnote>
  <w:footnote w:id="214">
    <w:p w14:paraId="50CF3324" w14:textId="77777777" w:rsidR="003B1EC4" w:rsidRPr="00550F2E" w:rsidRDefault="003B1EC4" w:rsidP="00136683">
      <w:pPr>
        <w:pStyle w:val="Notedebasdepage"/>
        <w:ind w:left="426" w:hanging="426"/>
      </w:pPr>
      <w:r w:rsidRPr="00550F2E">
        <w:rPr>
          <w:rStyle w:val="Appelnotedebasdep"/>
        </w:rPr>
        <w:footnoteRef/>
      </w:r>
      <w:r w:rsidRPr="00550F2E">
        <w:t xml:space="preserve"> </w:t>
      </w:r>
      <w:r w:rsidRPr="00550F2E">
        <w:tab/>
        <w:t xml:space="preserve">2011 SCC 20. </w:t>
      </w:r>
    </w:p>
  </w:footnote>
  <w:footnote w:id="215">
    <w:p w14:paraId="37E9DD25" w14:textId="77777777" w:rsidR="003B1EC4" w:rsidRPr="00550F2E" w:rsidRDefault="003B1EC4" w:rsidP="00136683">
      <w:pPr>
        <w:pStyle w:val="Notedebasdepage"/>
        <w:ind w:left="426" w:hanging="426"/>
      </w:pPr>
      <w:r w:rsidRPr="00550F2E">
        <w:rPr>
          <w:rStyle w:val="Appelnotedebasdep"/>
        </w:rPr>
        <w:footnoteRef/>
      </w:r>
      <w:r w:rsidRPr="00550F2E">
        <w:t xml:space="preserve"> </w:t>
      </w:r>
      <w:r w:rsidRPr="00550F2E">
        <w:tab/>
      </w:r>
      <w:r w:rsidRPr="00550F2E">
        <w:rPr>
          <w:rFonts w:cs="Arial"/>
          <w:color w:val="212529"/>
        </w:rPr>
        <w:t>2015 SCC 1, [2015] 1 SCR 3.</w:t>
      </w:r>
    </w:p>
  </w:footnote>
  <w:footnote w:id="216">
    <w:p w14:paraId="21D5B1F4" w14:textId="77777777" w:rsidR="003B1EC4" w:rsidRPr="008760EC" w:rsidRDefault="003B1EC4" w:rsidP="00136683">
      <w:pPr>
        <w:pStyle w:val="Notedebasdepage"/>
        <w:ind w:left="426" w:hanging="426"/>
        <w:rPr>
          <w:highlight w:val="yellow"/>
        </w:rPr>
      </w:pPr>
      <w:r w:rsidRPr="00550F2E">
        <w:rPr>
          <w:rStyle w:val="Appelnotedebasdep"/>
        </w:rPr>
        <w:footnoteRef/>
      </w:r>
      <w:r w:rsidRPr="00550F2E">
        <w:t xml:space="preserve"> </w:t>
      </w:r>
      <w:r w:rsidRPr="00550F2E">
        <w:tab/>
        <w:t>At 369.</w:t>
      </w:r>
    </w:p>
  </w:footnote>
  <w:footnote w:id="217">
    <w:p w14:paraId="1E18AB7E" w14:textId="64D5C2B1" w:rsidR="003B1EC4" w:rsidRPr="00550F2E" w:rsidRDefault="003B1EC4" w:rsidP="00136683">
      <w:pPr>
        <w:pStyle w:val="Notedebasdepage"/>
        <w:ind w:left="426" w:hanging="426"/>
      </w:pPr>
      <w:r w:rsidRPr="00550F2E">
        <w:rPr>
          <w:rStyle w:val="Appelnotedebasdep"/>
        </w:rPr>
        <w:footnoteRef/>
      </w:r>
      <w:r w:rsidRPr="00550F2E">
        <w:t xml:space="preserve"> </w:t>
      </w:r>
      <w:r w:rsidRPr="00550F2E">
        <w:tab/>
      </w:r>
      <w:r w:rsidRPr="00550F2E">
        <w:rPr>
          <w:rFonts w:cs="Arial"/>
          <w:i/>
          <w:iCs/>
          <w:color w:val="212529"/>
        </w:rPr>
        <w:t xml:space="preserve">L'association Des Parents Francophones De La Colombie-Britannique, La Federation Des Francophones De La Colombie-Britannique </w:t>
      </w:r>
      <w:r w:rsidR="003255AA" w:rsidRPr="00550F2E">
        <w:rPr>
          <w:rFonts w:cs="Arial"/>
          <w:i/>
          <w:iCs/>
          <w:color w:val="212529"/>
        </w:rPr>
        <w:t xml:space="preserve">v </w:t>
      </w:r>
      <w:r w:rsidRPr="00550F2E">
        <w:rPr>
          <w:rFonts w:cs="Arial"/>
          <w:i/>
          <w:iCs/>
          <w:color w:val="212529"/>
        </w:rPr>
        <w:t>Woods</w:t>
      </w:r>
      <w:r w:rsidRPr="00550F2E">
        <w:rPr>
          <w:rFonts w:cs="Arial"/>
          <w:iCs/>
          <w:color w:val="212529"/>
        </w:rPr>
        <w:t xml:space="preserve">, 1996 CanLII 1455 (BC SC) at </w:t>
      </w:r>
      <w:r w:rsidR="005554F5" w:rsidRPr="00550F2E">
        <w:rPr>
          <w:rFonts w:cs="Arial"/>
          <w:iCs/>
          <w:color w:val="212529"/>
        </w:rPr>
        <w:t xml:space="preserve">para </w:t>
      </w:r>
      <w:r w:rsidRPr="00550F2E">
        <w:rPr>
          <w:rFonts w:cs="Arial"/>
          <w:color w:val="212529"/>
        </w:rPr>
        <w:t>5.</w:t>
      </w:r>
    </w:p>
  </w:footnote>
  <w:footnote w:id="218">
    <w:p w14:paraId="3377D00C" w14:textId="77777777" w:rsidR="003B1EC4" w:rsidRPr="00550F2E" w:rsidRDefault="003B1EC4" w:rsidP="00136683">
      <w:pPr>
        <w:pStyle w:val="Notedebasdepage"/>
        <w:ind w:left="426" w:hanging="426"/>
        <w:rPr>
          <w:lang w:val="en-CA"/>
        </w:rPr>
      </w:pPr>
      <w:r w:rsidRPr="00550F2E">
        <w:rPr>
          <w:rStyle w:val="Appelnotedebasdep"/>
        </w:rPr>
        <w:footnoteRef/>
      </w:r>
      <w:r w:rsidRPr="00550F2E">
        <w:rPr>
          <w:lang w:val="en-CA"/>
        </w:rPr>
        <w:t xml:space="preserve"> </w:t>
      </w:r>
      <w:r w:rsidRPr="00550F2E">
        <w:rPr>
          <w:lang w:val="en-CA"/>
        </w:rPr>
        <w:tab/>
        <w:t xml:space="preserve">Exhibits PGQ-34 and PGQ-18. </w:t>
      </w:r>
    </w:p>
  </w:footnote>
  <w:footnote w:id="219">
    <w:p w14:paraId="16753CF2" w14:textId="77777777" w:rsidR="003B1EC4" w:rsidRPr="008760EC" w:rsidRDefault="003B1EC4" w:rsidP="00136683">
      <w:pPr>
        <w:pStyle w:val="Notedebasdepage"/>
        <w:ind w:left="426" w:hanging="426"/>
        <w:rPr>
          <w:highlight w:val="yellow"/>
          <w:lang w:val="en-CA"/>
        </w:rPr>
      </w:pPr>
      <w:r w:rsidRPr="00550F2E">
        <w:rPr>
          <w:rStyle w:val="Appelnotedebasdep"/>
        </w:rPr>
        <w:footnoteRef/>
      </w:r>
      <w:r w:rsidRPr="00550F2E">
        <w:rPr>
          <w:lang w:val="en-CA"/>
        </w:rPr>
        <w:t xml:space="preserve"> </w:t>
      </w:r>
      <w:r w:rsidRPr="00550F2E">
        <w:rPr>
          <w:lang w:val="en-CA"/>
        </w:rPr>
        <w:tab/>
        <w:t xml:space="preserve">For example, </w:t>
      </w:r>
      <w:r w:rsidRPr="00550F2E">
        <w:rPr>
          <w:i/>
          <w:lang w:val="en-CA"/>
        </w:rPr>
        <w:t>Conseil Scolaire Acadien Provincial (Re)</w:t>
      </w:r>
      <w:r w:rsidRPr="00550F2E">
        <w:rPr>
          <w:lang w:val="en-CA"/>
        </w:rPr>
        <w:t xml:space="preserve">, 2016 NSUARB 115 and </w:t>
      </w:r>
      <w:r w:rsidRPr="00550F2E">
        <w:rPr>
          <w:i/>
          <w:lang w:val="en-CA"/>
        </w:rPr>
        <w:t>Conseil Scolaire Acadien Provincial (Re)</w:t>
      </w:r>
      <w:r w:rsidRPr="00550F2E">
        <w:rPr>
          <w:lang w:val="en-CA"/>
        </w:rPr>
        <w:t>, 2008 NSUARB 78.</w:t>
      </w:r>
    </w:p>
  </w:footnote>
  <w:footnote w:id="220">
    <w:p w14:paraId="2AAFC890"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 xml:space="preserve">Exhibit PGQ-25: Report from the Committee on Culture and Education, specific consultations and public hearings on Bill 40. </w:t>
      </w:r>
    </w:p>
  </w:footnote>
  <w:footnote w:id="221">
    <w:p w14:paraId="34ADFC14" w14:textId="77777777" w:rsidR="003B1EC4" w:rsidRPr="008760EC" w:rsidRDefault="003B1EC4" w:rsidP="00136683">
      <w:pPr>
        <w:pStyle w:val="Notedebasdepage"/>
        <w:ind w:left="426" w:hanging="426"/>
        <w:rPr>
          <w:highlight w:val="yellow"/>
          <w:lang w:val="en-CA"/>
        </w:rPr>
      </w:pPr>
      <w:r w:rsidRPr="00D0634D">
        <w:rPr>
          <w:rStyle w:val="Appelnotedebasdep"/>
        </w:rPr>
        <w:footnoteRef/>
      </w:r>
      <w:r w:rsidRPr="00D0634D">
        <w:rPr>
          <w:lang w:val="en-CA"/>
        </w:rPr>
        <w:t xml:space="preserve"> </w:t>
      </w:r>
      <w:r w:rsidRPr="00D0634D">
        <w:rPr>
          <w:lang w:val="en-CA"/>
        </w:rPr>
        <w:tab/>
        <w:t xml:space="preserve">Exhibit P-21. </w:t>
      </w:r>
    </w:p>
  </w:footnote>
  <w:footnote w:id="222">
    <w:p w14:paraId="11AC54D9" w14:textId="42FCCCBC"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r>
      <w:r w:rsidR="00D0634D">
        <w:rPr>
          <w:lang w:val="en-CA"/>
        </w:rPr>
        <w:t xml:space="preserve">24 </w:t>
      </w:r>
      <w:r w:rsidRPr="00D0634D">
        <w:rPr>
          <w:lang w:val="en-CA"/>
        </w:rPr>
        <w:t>September</w:t>
      </w:r>
      <w:r w:rsidR="00D0634D">
        <w:rPr>
          <w:lang w:val="en-CA"/>
        </w:rPr>
        <w:t xml:space="preserve"> </w:t>
      </w:r>
      <w:r w:rsidRPr="00D0634D">
        <w:rPr>
          <w:lang w:val="en-CA"/>
        </w:rPr>
        <w:t>2019, exhibit P-24.</w:t>
      </w:r>
    </w:p>
  </w:footnote>
  <w:footnote w:id="223">
    <w:p w14:paraId="1B3FCA8C"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Exhibit P-23.</w:t>
      </w:r>
    </w:p>
  </w:footnote>
  <w:footnote w:id="224">
    <w:p w14:paraId="794A1BCC"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 xml:space="preserve">Exhibit P-24. </w:t>
      </w:r>
    </w:p>
  </w:footnote>
  <w:footnote w:id="225">
    <w:p w14:paraId="2B195121"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 xml:space="preserve">Exhibit P-25. </w:t>
      </w:r>
    </w:p>
  </w:footnote>
  <w:footnote w:id="226">
    <w:p w14:paraId="054A27BF"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Exhibit P-26.</w:t>
      </w:r>
    </w:p>
  </w:footnote>
  <w:footnote w:id="227">
    <w:p w14:paraId="08E38C2D"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Exhibit P-28.</w:t>
      </w:r>
    </w:p>
  </w:footnote>
  <w:footnote w:id="228">
    <w:p w14:paraId="1C856042" w14:textId="77777777" w:rsidR="003B1EC4" w:rsidRPr="00D0634D" w:rsidRDefault="003B1EC4" w:rsidP="00136683">
      <w:pPr>
        <w:pStyle w:val="Notedebasdepage"/>
        <w:ind w:left="426" w:hanging="426"/>
        <w:rPr>
          <w:lang w:val="en-CA"/>
        </w:rPr>
      </w:pPr>
      <w:r w:rsidRPr="00D0634D">
        <w:rPr>
          <w:rStyle w:val="Appelnotedebasdep"/>
        </w:rPr>
        <w:footnoteRef/>
      </w:r>
      <w:r w:rsidRPr="00D0634D">
        <w:rPr>
          <w:lang w:val="en-CA"/>
        </w:rPr>
        <w:t xml:space="preserve"> </w:t>
      </w:r>
      <w:r w:rsidRPr="00D0634D">
        <w:rPr>
          <w:lang w:val="en-CA"/>
        </w:rPr>
        <w:tab/>
        <w:t>Exhibit P-29.</w:t>
      </w:r>
    </w:p>
  </w:footnote>
  <w:footnote w:id="229">
    <w:p w14:paraId="43CA8983" w14:textId="77777777" w:rsidR="003B1EC4" w:rsidRPr="00DB0E35" w:rsidRDefault="003B1EC4" w:rsidP="00136683">
      <w:pPr>
        <w:pStyle w:val="Notedebasdepage"/>
        <w:ind w:left="426" w:hanging="426"/>
        <w:rPr>
          <w:lang w:val="en-CA"/>
        </w:rPr>
      </w:pPr>
      <w:r w:rsidRPr="00D0634D">
        <w:rPr>
          <w:rStyle w:val="Appelnotedebasdep"/>
        </w:rPr>
        <w:footnoteRef/>
      </w:r>
      <w:r w:rsidRPr="00DB0E35">
        <w:rPr>
          <w:lang w:val="en-CA"/>
        </w:rPr>
        <w:t xml:space="preserve"> </w:t>
      </w:r>
      <w:r w:rsidRPr="00DB0E35">
        <w:rPr>
          <w:lang w:val="en-CA"/>
        </w:rPr>
        <w:tab/>
        <w:t xml:space="preserve">Exhibit P-33. </w:t>
      </w:r>
    </w:p>
  </w:footnote>
  <w:footnote w:id="230">
    <w:p w14:paraId="4C0A2FA5" w14:textId="0C99B5A7" w:rsidR="003B1EC4" w:rsidRPr="00D0634D" w:rsidRDefault="003B1EC4" w:rsidP="00136683">
      <w:pPr>
        <w:pStyle w:val="Notedebasdepage"/>
        <w:ind w:left="426" w:hanging="426"/>
        <w:rPr>
          <w:highlight w:val="yellow"/>
          <w:lang w:val="en-CA"/>
        </w:rPr>
      </w:pPr>
      <w:r w:rsidRPr="00D0634D">
        <w:rPr>
          <w:rStyle w:val="Appelnotedebasdep"/>
        </w:rPr>
        <w:footnoteRef/>
      </w:r>
      <w:r w:rsidRPr="00D0634D">
        <w:rPr>
          <w:lang w:val="en-CA"/>
        </w:rPr>
        <w:t xml:space="preserve"> </w:t>
      </w:r>
      <w:r w:rsidRPr="00D0634D">
        <w:rPr>
          <w:lang w:val="en-CA"/>
        </w:rPr>
        <w:tab/>
        <w:t xml:space="preserve">Bill 86, </w:t>
      </w:r>
      <w:r w:rsidR="00D0634D" w:rsidRPr="00D0634D">
        <w:rPr>
          <w:i/>
          <w:lang w:val="en-CA"/>
        </w:rPr>
        <w:t>An Act to modify the organization and governance of school boards to give schools a greater say in decision-making and ensure parents’ presence within each school board’s decision-making body</w:t>
      </w:r>
      <w:r w:rsidRPr="00D0634D">
        <w:rPr>
          <w:i/>
          <w:lang w:val="en-CA"/>
        </w:rPr>
        <w:t>.</w:t>
      </w:r>
    </w:p>
  </w:footnote>
  <w:footnote w:id="231">
    <w:p w14:paraId="3DD2AA9A" w14:textId="112859D8" w:rsidR="003B1EC4" w:rsidRPr="00AD1A09" w:rsidRDefault="003B1EC4" w:rsidP="00136683">
      <w:pPr>
        <w:pStyle w:val="Notedebasdepage"/>
        <w:ind w:left="426" w:hanging="426"/>
      </w:pPr>
      <w:r w:rsidRPr="00AD1A09">
        <w:rPr>
          <w:rStyle w:val="Appelnotedebasdep"/>
        </w:rPr>
        <w:footnoteRef/>
      </w:r>
      <w:r w:rsidRPr="00AD1A09">
        <w:rPr>
          <w:lang w:val="en-CA"/>
        </w:rPr>
        <w:t xml:space="preserve"> </w:t>
      </w:r>
      <w:r w:rsidRPr="00AD1A09">
        <w:rPr>
          <w:lang w:val="en-CA"/>
        </w:rPr>
        <w:tab/>
      </w:r>
      <w:r w:rsidRPr="00AD1A09">
        <w:rPr>
          <w:rFonts w:cs="Arial"/>
          <w:i/>
          <w:iCs/>
          <w:color w:val="212529"/>
          <w:lang w:val="en-CA"/>
        </w:rPr>
        <w:t xml:space="preserve">Haida Nation </w:t>
      </w:r>
      <w:r w:rsidR="003255AA" w:rsidRPr="00AD1A09">
        <w:rPr>
          <w:rFonts w:cs="Arial"/>
          <w:i/>
          <w:iCs/>
          <w:color w:val="212529"/>
          <w:lang w:val="en-CA"/>
        </w:rPr>
        <w:t xml:space="preserve">v </w:t>
      </w:r>
      <w:r w:rsidRPr="00AD1A09">
        <w:rPr>
          <w:rFonts w:cs="Arial"/>
          <w:i/>
          <w:iCs/>
          <w:color w:val="212529"/>
          <w:lang w:val="en-CA"/>
        </w:rPr>
        <w:t>British Columbia (Minister of Forests)</w:t>
      </w:r>
      <w:r w:rsidRPr="00AD1A09">
        <w:rPr>
          <w:rFonts w:cs="Arial"/>
          <w:iCs/>
          <w:color w:val="212529"/>
          <w:lang w:val="en-CA"/>
        </w:rPr>
        <w:t xml:space="preserve">, 2004 SCC 73 (CanLII), [2004] 3 SCR 511 at </w:t>
      </w:r>
      <w:r w:rsidR="005554F5" w:rsidRPr="00AD1A09">
        <w:rPr>
          <w:rFonts w:cs="Arial"/>
          <w:iCs/>
          <w:color w:val="212529"/>
          <w:lang w:val="en-CA"/>
        </w:rPr>
        <w:t xml:space="preserve">para </w:t>
      </w:r>
      <w:r w:rsidRPr="00AD1A09">
        <w:rPr>
          <w:rFonts w:cs="Arial"/>
          <w:color w:val="212529"/>
          <w:lang w:val="en-CA"/>
        </w:rPr>
        <w:t xml:space="preserve">46. </w:t>
      </w:r>
      <w:r w:rsidRPr="00AD1A09">
        <w:rPr>
          <w:rFonts w:cs="Arial"/>
        </w:rPr>
        <w:t xml:space="preserve">See </w:t>
      </w:r>
      <w:r w:rsidRPr="00AD1A09">
        <w:rPr>
          <w:rFonts w:cs="Arial"/>
          <w:i/>
          <w:color w:val="212529"/>
        </w:rPr>
        <w:t>Corporation Makivik</w:t>
      </w:r>
      <w:r w:rsidR="003255AA" w:rsidRPr="00AD1A09">
        <w:rPr>
          <w:rFonts w:cs="Arial"/>
          <w:color w:val="212529"/>
        </w:rPr>
        <w:t xml:space="preserve"> c </w:t>
      </w:r>
      <w:r w:rsidRPr="00AD1A09">
        <w:rPr>
          <w:rFonts w:cs="Arial"/>
          <w:i/>
          <w:color w:val="212529"/>
        </w:rPr>
        <w:t>Québec (Procureure générale)</w:t>
      </w:r>
      <w:r w:rsidRPr="00AD1A09">
        <w:rPr>
          <w:rFonts w:cs="Arial"/>
          <w:color w:val="212529"/>
        </w:rPr>
        <w:t xml:space="preserve">, 2014 QCCA 1455 at </w:t>
      </w:r>
      <w:r w:rsidR="005554F5" w:rsidRPr="00AD1A09">
        <w:rPr>
          <w:rFonts w:cs="Arial"/>
          <w:color w:val="212529"/>
        </w:rPr>
        <w:t xml:space="preserve">para </w:t>
      </w:r>
      <w:r w:rsidRPr="00AD1A09">
        <w:rPr>
          <w:rFonts w:cs="Arial"/>
          <w:color w:val="212529"/>
        </w:rPr>
        <w:t>74.</w:t>
      </w:r>
    </w:p>
  </w:footnote>
  <w:footnote w:id="232">
    <w:p w14:paraId="55E7B1BB" w14:textId="7671B016" w:rsidR="003B1EC4" w:rsidRPr="008760EC" w:rsidRDefault="003B1EC4" w:rsidP="00136683">
      <w:pPr>
        <w:pStyle w:val="Notedebasdepage"/>
        <w:ind w:left="426" w:hanging="426"/>
        <w:rPr>
          <w:highlight w:val="yellow"/>
        </w:rPr>
      </w:pPr>
      <w:r w:rsidRPr="00AD1A09">
        <w:rPr>
          <w:rStyle w:val="Appelnotedebasdep"/>
        </w:rPr>
        <w:footnoteRef/>
      </w:r>
      <w:r w:rsidRPr="00AD1A09">
        <w:t xml:space="preserve"> </w:t>
      </w:r>
      <w:r w:rsidRPr="00AD1A09">
        <w:tab/>
      </w:r>
      <w:r w:rsidRPr="00AD1A09">
        <w:rPr>
          <w:rFonts w:cs="Arial"/>
          <w:i/>
          <w:iCs/>
          <w:color w:val="000000"/>
          <w:shd w:val="clear" w:color="auto" w:fill="FFFFFF"/>
          <w:lang w:eastAsia="fr-CA"/>
        </w:rPr>
        <w:t>Provencher</w:t>
      </w:r>
      <w:r w:rsidR="003255AA" w:rsidRPr="00AD1A09">
        <w:rPr>
          <w:rFonts w:cs="Arial"/>
          <w:i/>
          <w:iCs/>
          <w:color w:val="000000"/>
          <w:shd w:val="clear" w:color="auto" w:fill="FFFFFF"/>
          <w:lang w:eastAsia="fr-CA"/>
        </w:rPr>
        <w:t xml:space="preserve"> c </w:t>
      </w:r>
      <w:r w:rsidRPr="00AD1A09">
        <w:rPr>
          <w:rFonts w:cs="Arial"/>
          <w:i/>
          <w:iCs/>
          <w:color w:val="000000"/>
          <w:shd w:val="clear" w:color="auto" w:fill="FFFFFF"/>
          <w:lang w:eastAsia="fr-CA"/>
        </w:rPr>
        <w:t>Commission scolaire Des Chênes, </w:t>
      </w:r>
      <w:r w:rsidRPr="00AD1A09">
        <w:rPr>
          <w:rFonts w:cs="Arial"/>
          <w:iCs/>
          <w:color w:val="000000"/>
          <w:shd w:val="clear" w:color="auto" w:fill="FFFFFF"/>
          <w:lang w:eastAsia="fr-CA"/>
        </w:rPr>
        <w:t>EYB 1994-75672, [1994] R.J.Q.</w:t>
      </w:r>
      <w:r w:rsidRPr="00AD1A09">
        <w:rPr>
          <w:rFonts w:cs="Arial"/>
          <w:color w:val="000000"/>
          <w:shd w:val="clear" w:color="auto" w:fill="FFFFFF"/>
          <w:lang w:eastAsia="fr-CA"/>
        </w:rPr>
        <w:t xml:space="preserve"> 2231 (Sup Ct).</w:t>
      </w:r>
    </w:p>
  </w:footnote>
  <w:footnote w:id="233">
    <w:p w14:paraId="349A4054" w14:textId="77777777" w:rsidR="003B1EC4" w:rsidRPr="008760EC" w:rsidRDefault="003B1EC4" w:rsidP="00136683">
      <w:pPr>
        <w:pStyle w:val="Notedebasdepage"/>
        <w:ind w:left="426" w:hanging="426"/>
        <w:rPr>
          <w:highlight w:val="yellow"/>
          <w:lang w:val="en-CA"/>
        </w:rPr>
      </w:pPr>
      <w:r w:rsidRPr="00465DEE">
        <w:rPr>
          <w:rStyle w:val="Appelnotedebasdep"/>
        </w:rPr>
        <w:footnoteRef/>
      </w:r>
      <w:r w:rsidRPr="00465DEE">
        <w:rPr>
          <w:lang w:val="en-CA"/>
        </w:rPr>
        <w:t xml:space="preserve"> </w:t>
      </w:r>
      <w:r w:rsidRPr="00465DEE">
        <w:rPr>
          <w:lang w:val="en-CA"/>
        </w:rPr>
        <w:tab/>
        <w:t>Exhibit GK-8 at 6.</w:t>
      </w:r>
    </w:p>
  </w:footnote>
  <w:footnote w:id="234">
    <w:p w14:paraId="1CA2B7DA" w14:textId="77777777" w:rsidR="003B1EC4" w:rsidRPr="00276888" w:rsidRDefault="003B1EC4" w:rsidP="00136683">
      <w:pPr>
        <w:pStyle w:val="Notedebasdepage"/>
        <w:ind w:left="426" w:hanging="426"/>
        <w:rPr>
          <w:lang w:val="en-CA"/>
        </w:rPr>
      </w:pPr>
      <w:r w:rsidRPr="00276888">
        <w:rPr>
          <w:rStyle w:val="Appelnotedebasdep"/>
        </w:rPr>
        <w:footnoteRef/>
      </w:r>
      <w:r w:rsidRPr="00276888">
        <w:rPr>
          <w:lang w:val="en-CA"/>
        </w:rPr>
        <w:t xml:space="preserve"> </w:t>
      </w:r>
      <w:r w:rsidRPr="00276888">
        <w:rPr>
          <w:lang w:val="en-CA"/>
        </w:rPr>
        <w:tab/>
        <w:t xml:space="preserve">In that it adds section 155 of the </w:t>
      </w:r>
      <w:r w:rsidRPr="00276888">
        <w:rPr>
          <w:i/>
          <w:iCs/>
          <w:lang w:val="en-CA"/>
        </w:rPr>
        <w:t>EA</w:t>
      </w:r>
      <w:r w:rsidRPr="00276888">
        <w:rPr>
          <w:lang w:val="en-CA"/>
        </w:rPr>
        <w:t>.</w:t>
      </w:r>
    </w:p>
  </w:footnote>
  <w:footnote w:id="235">
    <w:p w14:paraId="2973D7CD" w14:textId="1ABA65E8"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i/>
          <w:iCs/>
          <w:lang w:val="en-CA"/>
        </w:rPr>
        <w:tab/>
      </w:r>
      <w:r w:rsidRPr="00276888">
        <w:rPr>
          <w:rFonts w:cs="Arial"/>
          <w:i/>
          <w:iCs/>
          <w:color w:val="212529"/>
          <w:lang w:val="en-CA"/>
        </w:rPr>
        <w:t xml:space="preserve">R. </w:t>
      </w:r>
      <w:r w:rsidR="003255AA" w:rsidRPr="00276888">
        <w:rPr>
          <w:rFonts w:cs="Arial"/>
          <w:i/>
          <w:iCs/>
          <w:color w:val="212529"/>
          <w:lang w:val="en-CA"/>
        </w:rPr>
        <w:t xml:space="preserve">v </w:t>
      </w:r>
      <w:r w:rsidRPr="00276888">
        <w:rPr>
          <w:rFonts w:cs="Arial"/>
          <w:i/>
          <w:iCs/>
          <w:color w:val="212529"/>
          <w:lang w:val="en-CA"/>
        </w:rPr>
        <w:t>Oakes</w:t>
      </w:r>
      <w:r w:rsidRPr="00276888">
        <w:rPr>
          <w:rFonts w:cs="Arial"/>
          <w:iCs/>
          <w:lang w:val="en-CA"/>
        </w:rPr>
        <w:t>, 1986 CanLII 46 (SCC), [1986] 1 SCR 103.</w:t>
      </w:r>
    </w:p>
  </w:footnote>
  <w:footnote w:id="236">
    <w:p w14:paraId="5C2A9063" w14:textId="21206B52"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lang w:val="en-CA"/>
        </w:rPr>
        <w:tab/>
        <w:t xml:space="preserve">Argument outline at </w:t>
      </w:r>
      <w:r w:rsidR="005554F5" w:rsidRPr="00276888">
        <w:rPr>
          <w:lang w:val="en-CA"/>
        </w:rPr>
        <w:t xml:space="preserve">para </w:t>
      </w:r>
      <w:r w:rsidRPr="00276888">
        <w:rPr>
          <w:lang w:val="en-CA"/>
        </w:rPr>
        <w:t xml:space="preserve">570. </w:t>
      </w:r>
    </w:p>
  </w:footnote>
  <w:footnote w:id="237">
    <w:p w14:paraId="67F219A7" w14:textId="6F4E6CD2" w:rsidR="003B1EC4" w:rsidRPr="00276888" w:rsidRDefault="003B1EC4" w:rsidP="00136683">
      <w:pPr>
        <w:pStyle w:val="Notedebasdepage"/>
        <w:ind w:left="426" w:hanging="426"/>
        <w:rPr>
          <w:lang w:val="en-CA"/>
        </w:rPr>
      </w:pPr>
      <w:r w:rsidRPr="00276888">
        <w:rPr>
          <w:rStyle w:val="Appelnotedebasdep"/>
        </w:rPr>
        <w:footnoteRef/>
      </w:r>
      <w:r w:rsidRPr="00276888">
        <w:rPr>
          <w:lang w:val="en-CA"/>
        </w:rPr>
        <w:t xml:space="preserve"> </w:t>
      </w:r>
      <w:r w:rsidRPr="00276888">
        <w:rPr>
          <w:lang w:val="en-CA"/>
        </w:rPr>
        <w:tab/>
      </w:r>
      <w:r w:rsidR="005554F5" w:rsidRPr="00276888">
        <w:rPr>
          <w:lang w:val="en-CA"/>
        </w:rPr>
        <w:t xml:space="preserve">Para </w:t>
      </w:r>
      <w:r w:rsidRPr="00276888">
        <w:rPr>
          <w:lang w:val="en-CA"/>
        </w:rPr>
        <w:t>150.</w:t>
      </w:r>
    </w:p>
  </w:footnote>
  <w:footnote w:id="238">
    <w:p w14:paraId="4DCF06E4" w14:textId="7E6924B3"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lang w:val="en-CA"/>
        </w:rPr>
        <w:tab/>
      </w:r>
      <w:r w:rsidRPr="00276888">
        <w:rPr>
          <w:i/>
          <w:iCs/>
          <w:lang w:val="en-CA"/>
        </w:rPr>
        <w:t xml:space="preserve">Health Services and Support – Facilities Subsector Bargaining Assn. </w:t>
      </w:r>
      <w:r w:rsidR="003255AA" w:rsidRPr="00276888">
        <w:rPr>
          <w:i/>
          <w:iCs/>
          <w:lang w:val="en-CA"/>
        </w:rPr>
        <w:t xml:space="preserve">v </w:t>
      </w:r>
      <w:r w:rsidRPr="00276888">
        <w:rPr>
          <w:i/>
          <w:iCs/>
          <w:lang w:val="en-CA"/>
        </w:rPr>
        <w:t>British Columbia</w:t>
      </w:r>
      <w:r w:rsidRPr="00276888">
        <w:rPr>
          <w:iCs/>
          <w:lang w:val="en-CA"/>
        </w:rPr>
        <w:t xml:space="preserve">, 2007 SCC 27 at </w:t>
      </w:r>
      <w:r w:rsidR="005554F5" w:rsidRPr="00276888">
        <w:rPr>
          <w:iCs/>
          <w:lang w:val="en-CA"/>
        </w:rPr>
        <w:t xml:space="preserve">para </w:t>
      </w:r>
      <w:r w:rsidRPr="00276888">
        <w:rPr>
          <w:lang w:val="en-CA"/>
        </w:rPr>
        <w:t>157.</w:t>
      </w:r>
    </w:p>
  </w:footnote>
  <w:footnote w:id="239">
    <w:p w14:paraId="1A482FE6" w14:textId="71D8AE87"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lang w:val="en-CA"/>
        </w:rPr>
        <w:tab/>
        <w:t xml:space="preserve">AGQ’s argument outline at </w:t>
      </w:r>
      <w:r w:rsidR="00323213" w:rsidRPr="00276888">
        <w:rPr>
          <w:lang w:val="en-CA"/>
        </w:rPr>
        <w:t>para</w:t>
      </w:r>
      <w:r w:rsidR="00276888">
        <w:rPr>
          <w:lang w:val="en-CA"/>
        </w:rPr>
        <w:t>s</w:t>
      </w:r>
      <w:r w:rsidR="00323213" w:rsidRPr="00276888">
        <w:rPr>
          <w:lang w:val="en-CA"/>
        </w:rPr>
        <w:t xml:space="preserve"> </w:t>
      </w:r>
      <w:r w:rsidRPr="00276888">
        <w:rPr>
          <w:lang w:val="en-CA"/>
        </w:rPr>
        <w:t>563 and 565.</w:t>
      </w:r>
    </w:p>
  </w:footnote>
  <w:footnote w:id="240">
    <w:p w14:paraId="5E624094" w14:textId="3978FD48"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lang w:val="en-CA"/>
        </w:rPr>
        <w:tab/>
        <w:t xml:space="preserve">At </w:t>
      </w:r>
      <w:r w:rsidR="005554F5" w:rsidRPr="00276888">
        <w:rPr>
          <w:lang w:val="en-CA"/>
        </w:rPr>
        <w:t xml:space="preserve">para </w:t>
      </w:r>
      <w:r w:rsidRPr="00276888">
        <w:rPr>
          <w:lang w:val="en-CA"/>
        </w:rPr>
        <w:t>21.</w:t>
      </w:r>
    </w:p>
  </w:footnote>
  <w:footnote w:id="241">
    <w:p w14:paraId="7A54462E" w14:textId="4AE6D4E4" w:rsidR="003B1EC4" w:rsidRPr="00276888" w:rsidRDefault="003B1EC4" w:rsidP="00136683">
      <w:pPr>
        <w:pStyle w:val="Notedebasdepage"/>
        <w:ind w:left="426" w:hanging="426"/>
        <w:rPr>
          <w:lang w:val="en-CA"/>
        </w:rPr>
      </w:pPr>
      <w:r w:rsidRPr="00276888">
        <w:rPr>
          <w:rStyle w:val="Appelnotedebasdep"/>
        </w:rPr>
        <w:footnoteRef/>
      </w:r>
      <w:r w:rsidRPr="00276888">
        <w:rPr>
          <w:lang w:val="en-CA"/>
        </w:rPr>
        <w:t xml:space="preserve"> </w:t>
      </w:r>
      <w:r w:rsidRPr="00276888">
        <w:rPr>
          <w:lang w:val="en-CA"/>
        </w:rPr>
        <w:tab/>
        <w:t xml:space="preserve">Argument outline at </w:t>
      </w:r>
      <w:r w:rsidR="00323213" w:rsidRPr="00276888">
        <w:rPr>
          <w:lang w:val="en-CA"/>
        </w:rPr>
        <w:t>para</w:t>
      </w:r>
      <w:r w:rsidR="00993D5D">
        <w:rPr>
          <w:lang w:val="en-CA"/>
        </w:rPr>
        <w:t>s</w:t>
      </w:r>
      <w:r w:rsidR="00323213" w:rsidRPr="00276888">
        <w:rPr>
          <w:lang w:val="en-CA"/>
        </w:rPr>
        <w:t xml:space="preserve"> </w:t>
      </w:r>
      <w:r w:rsidRPr="00276888">
        <w:rPr>
          <w:lang w:val="en-CA"/>
        </w:rPr>
        <w:t>565 and 566.</w:t>
      </w:r>
    </w:p>
  </w:footnote>
  <w:footnote w:id="242">
    <w:p w14:paraId="0E153971" w14:textId="2A868707" w:rsidR="003B1EC4" w:rsidRPr="008760EC" w:rsidRDefault="003B1EC4" w:rsidP="00136683">
      <w:pPr>
        <w:pStyle w:val="Notedebasdepage"/>
        <w:ind w:left="426" w:hanging="426"/>
        <w:rPr>
          <w:highlight w:val="yellow"/>
          <w:lang w:val="en-CA"/>
        </w:rPr>
      </w:pPr>
      <w:r w:rsidRPr="00276888">
        <w:rPr>
          <w:rStyle w:val="Appelnotedebasdep"/>
        </w:rPr>
        <w:footnoteRef/>
      </w:r>
      <w:r w:rsidRPr="00276888">
        <w:rPr>
          <w:lang w:val="en-CA"/>
        </w:rPr>
        <w:t xml:space="preserve"> </w:t>
      </w:r>
      <w:r w:rsidRPr="00276888">
        <w:rPr>
          <w:lang w:val="en-CA"/>
        </w:rPr>
        <w:tab/>
        <w:t xml:space="preserve">Argument outline at </w:t>
      </w:r>
      <w:r w:rsidR="005554F5" w:rsidRPr="00276888">
        <w:rPr>
          <w:lang w:val="en-CA"/>
        </w:rPr>
        <w:t xml:space="preserve">para </w:t>
      </w:r>
      <w:r w:rsidRPr="00276888">
        <w:rPr>
          <w:lang w:val="en-CA"/>
        </w:rPr>
        <w:t>560.</w:t>
      </w:r>
    </w:p>
  </w:footnote>
  <w:footnote w:id="243">
    <w:p w14:paraId="5F4958B9" w14:textId="3360D853" w:rsidR="003B1EC4" w:rsidRPr="00993D5D" w:rsidRDefault="003B1EC4" w:rsidP="00136683">
      <w:pPr>
        <w:ind w:left="426" w:hanging="426"/>
        <w:jc w:val="both"/>
        <w:rPr>
          <w:rFonts w:cs="Arial"/>
          <w:color w:val="212529"/>
          <w:szCs w:val="24"/>
          <w:lang w:val="en-CA"/>
        </w:rPr>
      </w:pPr>
      <w:r w:rsidRPr="00993D5D">
        <w:rPr>
          <w:rStyle w:val="Appelnotedebasdep"/>
        </w:rPr>
        <w:footnoteRef/>
      </w:r>
      <w:r w:rsidRPr="00993D5D">
        <w:rPr>
          <w:lang w:val="en-CA"/>
        </w:rPr>
        <w:t xml:space="preserve">   </w:t>
      </w:r>
      <w:r w:rsidRPr="00993D5D">
        <w:rPr>
          <w:i/>
          <w:iCs/>
          <w:sz w:val="20"/>
          <w:lang w:val="en-CA"/>
        </w:rPr>
        <w:t>Mahe</w:t>
      </w:r>
      <w:r w:rsidRPr="00993D5D">
        <w:rPr>
          <w:iCs/>
          <w:color w:val="212529"/>
          <w:sz w:val="20"/>
          <w:lang w:val="en-CA"/>
        </w:rPr>
        <w:t xml:space="preserve"> at 393; see also </w:t>
      </w:r>
      <w:r w:rsidRPr="00993D5D">
        <w:rPr>
          <w:i/>
          <w:iCs/>
          <w:color w:val="212529"/>
          <w:sz w:val="20"/>
          <w:lang w:val="en-CA"/>
        </w:rPr>
        <w:t>Reference re Public Schools Act (Man.)</w:t>
      </w:r>
      <w:r w:rsidRPr="00993D5D">
        <w:rPr>
          <w:iCs/>
          <w:color w:val="212529"/>
          <w:sz w:val="20"/>
          <w:lang w:val="en-CA"/>
        </w:rPr>
        <w:t>, ss</w:t>
      </w:r>
      <w:r w:rsidRPr="00993D5D">
        <w:rPr>
          <w:rFonts w:cs="Arial"/>
          <w:i/>
          <w:iCs/>
          <w:color w:val="212529"/>
          <w:sz w:val="20"/>
          <w:lang w:val="en-CA"/>
        </w:rPr>
        <w:t xml:space="preserve"> 79(3), (4) and(7)</w:t>
      </w:r>
      <w:r w:rsidRPr="00B9725D">
        <w:rPr>
          <w:rFonts w:cs="Arial"/>
          <w:color w:val="212529"/>
          <w:sz w:val="20"/>
          <w:lang w:val="en-CA"/>
        </w:rPr>
        <w:t xml:space="preserve">, </w:t>
      </w:r>
      <w:r w:rsidRPr="00993D5D">
        <w:rPr>
          <w:rFonts w:cs="Arial"/>
          <w:color w:val="212529"/>
          <w:sz w:val="20"/>
          <w:lang w:val="en-CA"/>
        </w:rPr>
        <w:t>1993 CanLII 119 (SCC), [1993] 1 SCR 839 at 864.</w:t>
      </w:r>
    </w:p>
  </w:footnote>
  <w:footnote w:id="244">
    <w:p w14:paraId="1BDDA5A6" w14:textId="4139B684" w:rsidR="003B1EC4" w:rsidRPr="00993D5D" w:rsidRDefault="003B1EC4" w:rsidP="00136683">
      <w:pPr>
        <w:ind w:left="426" w:hanging="426"/>
        <w:jc w:val="both"/>
        <w:rPr>
          <w:rFonts w:cs="Arial"/>
          <w:color w:val="212529"/>
          <w:sz w:val="20"/>
        </w:rPr>
      </w:pPr>
      <w:r w:rsidRPr="00993D5D">
        <w:rPr>
          <w:rStyle w:val="Appelnotedebasdep"/>
          <w:sz w:val="20"/>
        </w:rPr>
        <w:footnoteRef/>
      </w:r>
      <w:r w:rsidRPr="00993D5D">
        <w:rPr>
          <w:sz w:val="20"/>
        </w:rPr>
        <w:t xml:space="preserve"> </w:t>
      </w:r>
      <w:r w:rsidR="00993D5D" w:rsidRPr="00993D5D">
        <w:rPr>
          <w:sz w:val="20"/>
        </w:rPr>
        <w:tab/>
      </w:r>
      <w:r w:rsidRPr="00993D5D">
        <w:rPr>
          <w:rFonts w:cs="Arial"/>
          <w:i/>
          <w:iCs/>
          <w:color w:val="212529"/>
          <w:sz w:val="20"/>
        </w:rPr>
        <w:t>Procureur général des Territoires du Nord-Ouest</w:t>
      </w:r>
      <w:r w:rsidR="003255AA" w:rsidRPr="00993D5D">
        <w:rPr>
          <w:rFonts w:cs="Arial"/>
          <w:i/>
          <w:iCs/>
          <w:color w:val="212529"/>
          <w:sz w:val="20"/>
        </w:rPr>
        <w:t xml:space="preserve"> c </w:t>
      </w:r>
      <w:r w:rsidRPr="00993D5D">
        <w:rPr>
          <w:rFonts w:cs="Arial"/>
          <w:i/>
          <w:iCs/>
          <w:color w:val="212529"/>
          <w:sz w:val="20"/>
        </w:rPr>
        <w:t>Fédération Franco-Ténoise</w:t>
      </w:r>
      <w:r w:rsidRPr="00993D5D">
        <w:rPr>
          <w:rFonts w:cs="Arial"/>
          <w:iCs/>
          <w:color w:val="212529"/>
          <w:sz w:val="20"/>
        </w:rPr>
        <w:t>, 2008 NWTCA 5.</w:t>
      </w:r>
    </w:p>
  </w:footnote>
  <w:footnote w:id="245">
    <w:p w14:paraId="21288F1F" w14:textId="69418031" w:rsidR="003B1EC4" w:rsidRPr="00993D5D" w:rsidRDefault="003B1EC4" w:rsidP="00136683">
      <w:pPr>
        <w:pStyle w:val="Notedebasdepage"/>
        <w:ind w:left="426" w:hanging="426"/>
      </w:pPr>
      <w:r w:rsidRPr="00993D5D">
        <w:rPr>
          <w:rStyle w:val="Appelnotedebasdep"/>
        </w:rPr>
        <w:footnoteRef/>
      </w:r>
      <w:r w:rsidRPr="00993D5D">
        <w:rPr>
          <w:lang w:val="es-ES"/>
        </w:rPr>
        <w:t xml:space="preserve"> </w:t>
      </w:r>
      <w:r w:rsidRPr="00993D5D">
        <w:rPr>
          <w:lang w:val="es-ES"/>
        </w:rPr>
        <w:tab/>
      </w:r>
      <w:r w:rsidRPr="00993D5D">
        <w:rPr>
          <w:i/>
          <w:lang w:val="es-ES"/>
        </w:rPr>
        <w:t>Arsenault-Cameron</w:t>
      </w:r>
      <w:r w:rsidRPr="00993D5D">
        <w:rPr>
          <w:lang w:val="es-ES"/>
        </w:rPr>
        <w:t xml:space="preserve">, </w:t>
      </w:r>
      <w:r w:rsidRPr="00993D5D">
        <w:rPr>
          <w:i/>
          <w:lang w:val="es-ES"/>
        </w:rPr>
        <w:t>supra</w:t>
      </w:r>
      <w:r w:rsidRPr="00993D5D">
        <w:rPr>
          <w:lang w:val="es-ES"/>
        </w:rPr>
        <w:t xml:space="preserve"> at </w:t>
      </w:r>
      <w:r w:rsidR="005554F5" w:rsidRPr="00993D5D">
        <w:rPr>
          <w:lang w:val="es-ES"/>
        </w:rPr>
        <w:t xml:space="preserve">para </w:t>
      </w:r>
      <w:r w:rsidRPr="00993D5D">
        <w:t>52.</w:t>
      </w:r>
    </w:p>
  </w:footnote>
  <w:footnote w:id="246">
    <w:p w14:paraId="2C076C7C" w14:textId="77777777" w:rsidR="003B1EC4" w:rsidRPr="00993D5D" w:rsidRDefault="003B1EC4" w:rsidP="00136683">
      <w:pPr>
        <w:pStyle w:val="Notedebasdepage"/>
        <w:ind w:left="426" w:hanging="426"/>
      </w:pPr>
      <w:r w:rsidRPr="00993D5D">
        <w:rPr>
          <w:rStyle w:val="Appelnotedebasdep"/>
        </w:rPr>
        <w:footnoteRef/>
      </w:r>
      <w:r w:rsidRPr="00993D5D">
        <w:t xml:space="preserve"> </w:t>
      </w:r>
      <w:r w:rsidRPr="00993D5D">
        <w:tab/>
        <w:t>2020 QCCA 1171.</w:t>
      </w:r>
    </w:p>
  </w:footnote>
  <w:footnote w:id="247">
    <w:p w14:paraId="33D98AD1" w14:textId="461D1965" w:rsidR="003B1EC4" w:rsidRPr="008760EC" w:rsidRDefault="003B1EC4" w:rsidP="00136683">
      <w:pPr>
        <w:pStyle w:val="Notedebasdepage"/>
        <w:ind w:left="426" w:hanging="426"/>
        <w:rPr>
          <w:highlight w:val="yellow"/>
        </w:rPr>
      </w:pPr>
      <w:r w:rsidRPr="00993D5D">
        <w:rPr>
          <w:rStyle w:val="Appelnotedebasdep"/>
        </w:rPr>
        <w:footnoteRef/>
      </w:r>
      <w:r w:rsidRPr="00993D5D">
        <w:t xml:space="preserve"> </w:t>
      </w:r>
      <w:r w:rsidRPr="00993D5D">
        <w:tab/>
      </w:r>
      <w:r w:rsidRPr="00993D5D">
        <w:rPr>
          <w:rFonts w:cs="Arial"/>
          <w:i/>
          <w:iCs/>
          <w:color w:val="212529"/>
        </w:rPr>
        <w:t xml:space="preserve">L'association Des Parents Francophones De La Colombie-Britannique, La </w:t>
      </w:r>
      <w:r w:rsidR="00993D5D" w:rsidRPr="00993D5D">
        <w:rPr>
          <w:rFonts w:cs="Arial"/>
          <w:i/>
          <w:iCs/>
          <w:color w:val="212529"/>
        </w:rPr>
        <w:t>Fédération</w:t>
      </w:r>
      <w:r w:rsidRPr="00993D5D">
        <w:rPr>
          <w:rFonts w:cs="Arial"/>
          <w:i/>
          <w:iCs/>
          <w:color w:val="212529"/>
        </w:rPr>
        <w:t xml:space="preserve"> Des Francophones De La Colombie-Britannique </w:t>
      </w:r>
      <w:r w:rsidR="003255AA" w:rsidRPr="00993D5D">
        <w:rPr>
          <w:rFonts w:cs="Arial"/>
          <w:i/>
          <w:iCs/>
          <w:color w:val="212529"/>
        </w:rPr>
        <w:t xml:space="preserve">v </w:t>
      </w:r>
      <w:r w:rsidRPr="00993D5D">
        <w:rPr>
          <w:rFonts w:cs="Arial"/>
          <w:i/>
          <w:iCs/>
          <w:color w:val="212529"/>
        </w:rPr>
        <w:t>Woods</w:t>
      </w:r>
      <w:r w:rsidRPr="00993D5D">
        <w:rPr>
          <w:rFonts w:cs="Arial"/>
          <w:iCs/>
        </w:rPr>
        <w:t>, 1996 CanLII 1455 (BC SC).</w:t>
      </w:r>
    </w:p>
  </w:footnote>
  <w:footnote w:id="248">
    <w:p w14:paraId="3BAF4F7D" w14:textId="7349943E" w:rsidR="003B1EC4" w:rsidRPr="00993D5D" w:rsidRDefault="003B1EC4" w:rsidP="00136683">
      <w:pPr>
        <w:pStyle w:val="Notedebasdepage"/>
        <w:ind w:left="426" w:hanging="426"/>
      </w:pPr>
      <w:r w:rsidRPr="00993D5D">
        <w:rPr>
          <w:rStyle w:val="Appelnotedebasdep"/>
        </w:rPr>
        <w:footnoteRef/>
      </w:r>
      <w:r w:rsidRPr="00993D5D">
        <w:rPr>
          <w:lang w:val="es-ES"/>
        </w:rPr>
        <w:t xml:space="preserve"> </w:t>
      </w:r>
      <w:r w:rsidRPr="00993D5D">
        <w:rPr>
          <w:lang w:val="es-ES"/>
        </w:rPr>
        <w:tab/>
      </w:r>
      <w:r w:rsidRPr="00993D5D">
        <w:rPr>
          <w:i/>
          <w:iCs/>
          <w:lang w:val="es-ES"/>
        </w:rPr>
        <w:t>Arsenault-Cameron</w:t>
      </w:r>
      <w:r w:rsidRPr="00993D5D">
        <w:rPr>
          <w:iCs/>
          <w:lang w:val="es-ES"/>
        </w:rPr>
        <w:t xml:space="preserve">, </w:t>
      </w:r>
      <w:r w:rsidRPr="00993D5D">
        <w:rPr>
          <w:i/>
          <w:iCs/>
          <w:lang w:val="es-ES"/>
        </w:rPr>
        <w:t>supra</w:t>
      </w:r>
      <w:r w:rsidRPr="00993D5D">
        <w:rPr>
          <w:iCs/>
          <w:lang w:val="es-ES"/>
        </w:rPr>
        <w:t xml:space="preserve"> at </w:t>
      </w:r>
      <w:r w:rsidR="005554F5" w:rsidRPr="00993D5D">
        <w:rPr>
          <w:iCs/>
          <w:lang w:val="es-ES"/>
        </w:rPr>
        <w:t xml:space="preserve">para </w:t>
      </w:r>
      <w:r w:rsidRPr="00993D5D">
        <w:t xml:space="preserve">43. </w:t>
      </w:r>
    </w:p>
  </w:footnote>
  <w:footnote w:id="249">
    <w:p w14:paraId="4F8946E6" w14:textId="77777777" w:rsidR="003B1EC4" w:rsidRDefault="003B1EC4" w:rsidP="00136683">
      <w:pPr>
        <w:pStyle w:val="Notedebasdepage"/>
        <w:ind w:left="426" w:hanging="426"/>
      </w:pPr>
      <w:r w:rsidRPr="00993D5D">
        <w:rPr>
          <w:rStyle w:val="Appelnotedebasdep"/>
        </w:rPr>
        <w:footnoteRef/>
      </w:r>
      <w:r w:rsidRPr="00993D5D">
        <w:t xml:space="preserve"> </w:t>
      </w:r>
      <w:r w:rsidRPr="00993D5D">
        <w:tab/>
        <w:t>2020 SCC 38.</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66FB" w14:textId="5824C5E8" w:rsidR="00930CBC" w:rsidRDefault="0007747E">
    <w:pPr>
      <w:pStyle w:val="En-tte"/>
    </w:pPr>
    <w:r>
      <w:rPr>
        <w:noProof/>
      </w:rPr>
      <w:pict w14:anchorId="34666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44407" o:spid="_x0000_s1026" type="#_x0000_t136" style="position:absolute;margin-left:0;margin-top:0;width:594pt;height:66pt;rotation:315;z-index:-251655168;mso-position-horizontal:center;mso-position-horizontal-relative:margin;mso-position-vertical:center;mso-position-vertical-relative:margin" o:allowincell="f" fillcolor="#bfbfbf [2412]" stroked="f">
          <v:fill opacity=".5"/>
          <v:textpath style="font-family:&quot;Arial&quot;;font-size:1pt" string="Courtesy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CEC3" w14:textId="0B51DFA5" w:rsidR="00845CB6" w:rsidRDefault="0007747E" w:rsidP="00F127D3">
    <w:pPr>
      <w:tabs>
        <w:tab w:val="center" w:pos="4709"/>
        <w:tab w:val="right" w:pos="9360"/>
      </w:tabs>
      <w:ind w:right="524"/>
    </w:pPr>
    <w:r>
      <w:rPr>
        <w:noProof/>
      </w:rPr>
      <w:pict w14:anchorId="5E4B5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44408" o:spid="_x0000_s1027" type="#_x0000_t136" style="position:absolute;margin-left:0;margin-top:0;width:594pt;height:66pt;rotation:315;z-index:-251653120;mso-position-horizontal:center;mso-position-horizontal-relative:margin;mso-position-vertical:center;mso-position-vertical-relative:margin" o:allowincell="f" fillcolor="#bfbfbf [2412]" stroked="f">
          <v:fill opacity=".5"/>
          <v:textpath style="font-family:&quot;Arial&quot;;font-size:1pt" string="Courtesy Translation"/>
          <w10:wrap anchorx="margin" anchory="margin"/>
        </v:shape>
      </w:pict>
    </w:r>
    <w:r w:rsidR="0096102C">
      <w:t>500-17-112190-205</w:t>
    </w:r>
    <w:r w:rsidR="0096102C">
      <w:tab/>
    </w:r>
    <w:r w:rsidR="0096102C">
      <w:tab/>
    </w:r>
    <w:r w:rsidR="0096102C" w:rsidRPr="006B7726">
      <w:t>PAGE:</w:t>
    </w:r>
    <w:r w:rsidR="0096102C">
      <w:t xml:space="preserve"> </w:t>
    </w:r>
    <w:r w:rsidR="0096102C">
      <w:fldChar w:fldCharType="begin"/>
    </w:r>
    <w:r w:rsidR="0096102C">
      <w:instrText xml:space="preserve"> PAGE </w:instrText>
    </w:r>
    <w:r w:rsidR="0096102C">
      <w:fldChar w:fldCharType="separate"/>
    </w:r>
    <w:r w:rsidR="0096102C">
      <w:t>128</w:t>
    </w:r>
    <w:r w:rsidR="0096102C">
      <w:fldChar w:fldCharType="end"/>
    </w:r>
  </w:p>
  <w:p w14:paraId="59896FC6" w14:textId="77777777" w:rsidR="00BF5DE9" w:rsidRDefault="00BF5DE9"/>
  <w:p w14:paraId="0891D613" w14:textId="77777777" w:rsidR="00243760" w:rsidRDefault="0024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6B48E" w14:textId="2A4554FE" w:rsidR="00930CBC" w:rsidRDefault="0007747E">
    <w:pPr>
      <w:pStyle w:val="En-tte"/>
    </w:pPr>
    <w:r>
      <w:rPr>
        <w:noProof/>
      </w:rPr>
      <w:pict w14:anchorId="641C3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544406" o:spid="_x0000_s1025" type="#_x0000_t136" style="position:absolute;margin-left:0;margin-top:0;width:594pt;height:66pt;rotation:315;z-index:-251657216;mso-position-horizontal:center;mso-position-horizontal-relative:margin;mso-position-vertical:center;mso-position-vertical-relative:margin" o:allowincell="f" fillcolor="#bfbfbf [2412]" stroked="f">
          <v:fill opacity=".5"/>
          <v:textpath style="font-family:&quot;Arial&quot;;font-size:1pt" string="Courtesy Transl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36485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1D5185"/>
    <w:multiLevelType w:val="hybridMultilevel"/>
    <w:tmpl w:val="3528ACEC"/>
    <w:lvl w:ilvl="0" w:tplc="73A85E4A">
      <w:start w:val="1"/>
      <w:numFmt w:val="bullet"/>
      <w:lvlText w:val=""/>
      <w:lvlJc w:val="left"/>
      <w:pPr>
        <w:ind w:left="1451" w:hanging="360"/>
      </w:pPr>
      <w:rPr>
        <w:rFonts w:ascii="Symbol" w:hAnsi="Symbol" w:hint="default"/>
      </w:rPr>
    </w:lvl>
    <w:lvl w:ilvl="1" w:tplc="BB762954" w:tentative="1">
      <w:start w:val="1"/>
      <w:numFmt w:val="bullet"/>
      <w:lvlText w:val="o"/>
      <w:lvlJc w:val="left"/>
      <w:pPr>
        <w:ind w:left="2171" w:hanging="360"/>
      </w:pPr>
      <w:rPr>
        <w:rFonts w:ascii="Courier New" w:hAnsi="Courier New" w:cs="Courier New" w:hint="default"/>
      </w:rPr>
    </w:lvl>
    <w:lvl w:ilvl="2" w:tplc="E2427A90" w:tentative="1">
      <w:start w:val="1"/>
      <w:numFmt w:val="bullet"/>
      <w:lvlText w:val=""/>
      <w:lvlJc w:val="left"/>
      <w:pPr>
        <w:ind w:left="2891" w:hanging="360"/>
      </w:pPr>
      <w:rPr>
        <w:rFonts w:ascii="Wingdings" w:hAnsi="Wingdings" w:hint="default"/>
      </w:rPr>
    </w:lvl>
    <w:lvl w:ilvl="3" w:tplc="54720CB4" w:tentative="1">
      <w:start w:val="1"/>
      <w:numFmt w:val="bullet"/>
      <w:lvlText w:val=""/>
      <w:lvlJc w:val="left"/>
      <w:pPr>
        <w:ind w:left="3611" w:hanging="360"/>
      </w:pPr>
      <w:rPr>
        <w:rFonts w:ascii="Symbol" w:hAnsi="Symbol" w:hint="default"/>
      </w:rPr>
    </w:lvl>
    <w:lvl w:ilvl="4" w:tplc="D060847E" w:tentative="1">
      <w:start w:val="1"/>
      <w:numFmt w:val="bullet"/>
      <w:lvlText w:val="o"/>
      <w:lvlJc w:val="left"/>
      <w:pPr>
        <w:ind w:left="4331" w:hanging="360"/>
      </w:pPr>
      <w:rPr>
        <w:rFonts w:ascii="Courier New" w:hAnsi="Courier New" w:cs="Courier New" w:hint="default"/>
      </w:rPr>
    </w:lvl>
    <w:lvl w:ilvl="5" w:tplc="41D62EDC" w:tentative="1">
      <w:start w:val="1"/>
      <w:numFmt w:val="bullet"/>
      <w:lvlText w:val=""/>
      <w:lvlJc w:val="left"/>
      <w:pPr>
        <w:ind w:left="5051" w:hanging="360"/>
      </w:pPr>
      <w:rPr>
        <w:rFonts w:ascii="Wingdings" w:hAnsi="Wingdings" w:hint="default"/>
      </w:rPr>
    </w:lvl>
    <w:lvl w:ilvl="6" w:tplc="0A3E3986" w:tentative="1">
      <w:start w:val="1"/>
      <w:numFmt w:val="bullet"/>
      <w:lvlText w:val=""/>
      <w:lvlJc w:val="left"/>
      <w:pPr>
        <w:ind w:left="5771" w:hanging="360"/>
      </w:pPr>
      <w:rPr>
        <w:rFonts w:ascii="Symbol" w:hAnsi="Symbol" w:hint="default"/>
      </w:rPr>
    </w:lvl>
    <w:lvl w:ilvl="7" w:tplc="152804CA" w:tentative="1">
      <w:start w:val="1"/>
      <w:numFmt w:val="bullet"/>
      <w:lvlText w:val="o"/>
      <w:lvlJc w:val="left"/>
      <w:pPr>
        <w:ind w:left="6491" w:hanging="360"/>
      </w:pPr>
      <w:rPr>
        <w:rFonts w:ascii="Courier New" w:hAnsi="Courier New" w:cs="Courier New" w:hint="default"/>
      </w:rPr>
    </w:lvl>
    <w:lvl w:ilvl="8" w:tplc="2766C6B6" w:tentative="1">
      <w:start w:val="1"/>
      <w:numFmt w:val="bullet"/>
      <w:lvlText w:val=""/>
      <w:lvlJc w:val="left"/>
      <w:pPr>
        <w:ind w:left="7211" w:hanging="360"/>
      </w:pPr>
      <w:rPr>
        <w:rFonts w:ascii="Wingdings" w:hAnsi="Wingdings" w:hint="default"/>
      </w:rPr>
    </w:lvl>
  </w:abstractNum>
  <w:abstractNum w:abstractNumId="2" w15:restartNumberingAfterBreak="0">
    <w:nsid w:val="0F0449A1"/>
    <w:multiLevelType w:val="hybridMultilevel"/>
    <w:tmpl w:val="AFC80FCA"/>
    <w:lvl w:ilvl="0" w:tplc="79067320">
      <w:start w:val="1"/>
      <w:numFmt w:val="bullet"/>
      <w:lvlText w:val=""/>
      <w:lvlJc w:val="left"/>
      <w:pPr>
        <w:ind w:left="1584" w:hanging="360"/>
      </w:pPr>
      <w:rPr>
        <w:rFonts w:ascii="Symbol" w:hAnsi="Symbol" w:hint="default"/>
      </w:rPr>
    </w:lvl>
    <w:lvl w:ilvl="1" w:tplc="2E18957A" w:tentative="1">
      <w:start w:val="1"/>
      <w:numFmt w:val="bullet"/>
      <w:lvlText w:val="o"/>
      <w:lvlJc w:val="left"/>
      <w:pPr>
        <w:ind w:left="2304" w:hanging="360"/>
      </w:pPr>
      <w:rPr>
        <w:rFonts w:ascii="Courier New" w:hAnsi="Courier New" w:cs="Courier New" w:hint="default"/>
      </w:rPr>
    </w:lvl>
    <w:lvl w:ilvl="2" w:tplc="04FC9478" w:tentative="1">
      <w:start w:val="1"/>
      <w:numFmt w:val="bullet"/>
      <w:lvlText w:val=""/>
      <w:lvlJc w:val="left"/>
      <w:pPr>
        <w:ind w:left="3024" w:hanging="360"/>
      </w:pPr>
      <w:rPr>
        <w:rFonts w:ascii="Wingdings" w:hAnsi="Wingdings" w:hint="default"/>
      </w:rPr>
    </w:lvl>
    <w:lvl w:ilvl="3" w:tplc="630C1A9E" w:tentative="1">
      <w:start w:val="1"/>
      <w:numFmt w:val="bullet"/>
      <w:lvlText w:val=""/>
      <w:lvlJc w:val="left"/>
      <w:pPr>
        <w:ind w:left="3744" w:hanging="360"/>
      </w:pPr>
      <w:rPr>
        <w:rFonts w:ascii="Symbol" w:hAnsi="Symbol" w:hint="default"/>
      </w:rPr>
    </w:lvl>
    <w:lvl w:ilvl="4" w:tplc="81A4D64C" w:tentative="1">
      <w:start w:val="1"/>
      <w:numFmt w:val="bullet"/>
      <w:lvlText w:val="o"/>
      <w:lvlJc w:val="left"/>
      <w:pPr>
        <w:ind w:left="4464" w:hanging="360"/>
      </w:pPr>
      <w:rPr>
        <w:rFonts w:ascii="Courier New" w:hAnsi="Courier New" w:cs="Courier New" w:hint="default"/>
      </w:rPr>
    </w:lvl>
    <w:lvl w:ilvl="5" w:tplc="9E244AFA" w:tentative="1">
      <w:start w:val="1"/>
      <w:numFmt w:val="bullet"/>
      <w:lvlText w:val=""/>
      <w:lvlJc w:val="left"/>
      <w:pPr>
        <w:ind w:left="5184" w:hanging="360"/>
      </w:pPr>
      <w:rPr>
        <w:rFonts w:ascii="Wingdings" w:hAnsi="Wingdings" w:hint="default"/>
      </w:rPr>
    </w:lvl>
    <w:lvl w:ilvl="6" w:tplc="E3B41606" w:tentative="1">
      <w:start w:val="1"/>
      <w:numFmt w:val="bullet"/>
      <w:lvlText w:val=""/>
      <w:lvlJc w:val="left"/>
      <w:pPr>
        <w:ind w:left="5904" w:hanging="360"/>
      </w:pPr>
      <w:rPr>
        <w:rFonts w:ascii="Symbol" w:hAnsi="Symbol" w:hint="default"/>
      </w:rPr>
    </w:lvl>
    <w:lvl w:ilvl="7" w:tplc="521A4924" w:tentative="1">
      <w:start w:val="1"/>
      <w:numFmt w:val="bullet"/>
      <w:lvlText w:val="o"/>
      <w:lvlJc w:val="left"/>
      <w:pPr>
        <w:ind w:left="6624" w:hanging="360"/>
      </w:pPr>
      <w:rPr>
        <w:rFonts w:ascii="Courier New" w:hAnsi="Courier New" w:cs="Courier New" w:hint="default"/>
      </w:rPr>
    </w:lvl>
    <w:lvl w:ilvl="8" w:tplc="6424134A" w:tentative="1">
      <w:start w:val="1"/>
      <w:numFmt w:val="bullet"/>
      <w:lvlText w:val=""/>
      <w:lvlJc w:val="left"/>
      <w:pPr>
        <w:ind w:left="7344" w:hanging="360"/>
      </w:pPr>
      <w:rPr>
        <w:rFonts w:ascii="Wingdings" w:hAnsi="Wingdings" w:hint="default"/>
      </w:rPr>
    </w:lvl>
  </w:abstractNum>
  <w:abstractNum w:abstractNumId="3" w15:restartNumberingAfterBreak="0">
    <w:nsid w:val="1F5C56C1"/>
    <w:multiLevelType w:val="hybridMultilevel"/>
    <w:tmpl w:val="D3005E1C"/>
    <w:lvl w:ilvl="0" w:tplc="80A6005E">
      <w:start w:val="1"/>
      <w:numFmt w:val="lowerLetter"/>
      <w:pStyle w:val="Titre2"/>
      <w:lvlText w:val="%1)"/>
      <w:lvlJc w:val="left"/>
      <w:pPr>
        <w:ind w:left="720" w:hanging="360"/>
      </w:pPr>
    </w:lvl>
    <w:lvl w:ilvl="1" w:tplc="55CAB0C6" w:tentative="1">
      <w:start w:val="1"/>
      <w:numFmt w:val="lowerLetter"/>
      <w:lvlText w:val="%2."/>
      <w:lvlJc w:val="left"/>
      <w:pPr>
        <w:ind w:left="1440" w:hanging="360"/>
      </w:pPr>
    </w:lvl>
    <w:lvl w:ilvl="2" w:tplc="0D98EB4C" w:tentative="1">
      <w:start w:val="1"/>
      <w:numFmt w:val="lowerRoman"/>
      <w:lvlText w:val="%3."/>
      <w:lvlJc w:val="right"/>
      <w:pPr>
        <w:ind w:left="2160" w:hanging="180"/>
      </w:pPr>
    </w:lvl>
    <w:lvl w:ilvl="3" w:tplc="79CE38B2" w:tentative="1">
      <w:start w:val="1"/>
      <w:numFmt w:val="decimal"/>
      <w:lvlText w:val="%4."/>
      <w:lvlJc w:val="left"/>
      <w:pPr>
        <w:ind w:left="2880" w:hanging="360"/>
      </w:pPr>
    </w:lvl>
    <w:lvl w:ilvl="4" w:tplc="97F29CB8" w:tentative="1">
      <w:start w:val="1"/>
      <w:numFmt w:val="lowerLetter"/>
      <w:lvlText w:val="%5."/>
      <w:lvlJc w:val="left"/>
      <w:pPr>
        <w:ind w:left="3600" w:hanging="360"/>
      </w:pPr>
    </w:lvl>
    <w:lvl w:ilvl="5" w:tplc="CF5CB0A2" w:tentative="1">
      <w:start w:val="1"/>
      <w:numFmt w:val="lowerRoman"/>
      <w:lvlText w:val="%6."/>
      <w:lvlJc w:val="right"/>
      <w:pPr>
        <w:ind w:left="4320" w:hanging="180"/>
      </w:pPr>
    </w:lvl>
    <w:lvl w:ilvl="6" w:tplc="A33254D6" w:tentative="1">
      <w:start w:val="1"/>
      <w:numFmt w:val="decimal"/>
      <w:lvlText w:val="%7."/>
      <w:lvlJc w:val="left"/>
      <w:pPr>
        <w:ind w:left="5040" w:hanging="360"/>
      </w:pPr>
    </w:lvl>
    <w:lvl w:ilvl="7" w:tplc="2DD829AE" w:tentative="1">
      <w:start w:val="1"/>
      <w:numFmt w:val="lowerLetter"/>
      <w:lvlText w:val="%8."/>
      <w:lvlJc w:val="left"/>
      <w:pPr>
        <w:ind w:left="5760" w:hanging="360"/>
      </w:pPr>
    </w:lvl>
    <w:lvl w:ilvl="8" w:tplc="67E07FF4" w:tentative="1">
      <w:start w:val="1"/>
      <w:numFmt w:val="lowerRoman"/>
      <w:lvlText w:val="%9."/>
      <w:lvlJc w:val="right"/>
      <w:pPr>
        <w:ind w:left="6480" w:hanging="180"/>
      </w:pPr>
    </w:lvl>
  </w:abstractNum>
  <w:abstractNum w:abstractNumId="4" w15:restartNumberingAfterBreak="0">
    <w:nsid w:val="28BA1B9E"/>
    <w:multiLevelType w:val="hybridMultilevel"/>
    <w:tmpl w:val="863405AA"/>
    <w:lvl w:ilvl="0" w:tplc="81948F2A">
      <w:start w:val="1"/>
      <w:numFmt w:val="decimal"/>
      <w:lvlText w:val="%1."/>
      <w:lvlJc w:val="left"/>
      <w:pPr>
        <w:ind w:left="966" w:hanging="567"/>
        <w:jc w:val="right"/>
      </w:pPr>
      <w:rPr>
        <w:rFonts w:ascii="Arial" w:eastAsia="Arial" w:hAnsi="Arial" w:cs="Arial" w:hint="default"/>
        <w:b w:val="0"/>
        <w:bCs w:val="0"/>
        <w:i w:val="0"/>
        <w:iCs w:val="0"/>
        <w:w w:val="100"/>
        <w:sz w:val="24"/>
        <w:szCs w:val="24"/>
        <w:lang w:val="fr-FR" w:eastAsia="en-US" w:bidi="ar-SA"/>
      </w:rPr>
    </w:lvl>
    <w:lvl w:ilvl="1" w:tplc="DB90AF08">
      <w:numFmt w:val="bullet"/>
      <w:lvlText w:val=""/>
      <w:lvlJc w:val="left"/>
      <w:pPr>
        <w:ind w:left="1391" w:hanging="425"/>
      </w:pPr>
      <w:rPr>
        <w:rFonts w:ascii="Symbol" w:eastAsia="Symbol" w:hAnsi="Symbol" w:cs="Symbol" w:hint="default"/>
        <w:b w:val="0"/>
        <w:bCs w:val="0"/>
        <w:i w:val="0"/>
        <w:iCs w:val="0"/>
        <w:w w:val="100"/>
        <w:sz w:val="24"/>
        <w:szCs w:val="24"/>
        <w:lang w:val="fr-FR" w:eastAsia="en-US" w:bidi="ar-SA"/>
      </w:rPr>
    </w:lvl>
    <w:lvl w:ilvl="2" w:tplc="7BA27D3A">
      <w:numFmt w:val="bullet"/>
      <w:lvlText w:val="•"/>
      <w:lvlJc w:val="left"/>
      <w:pPr>
        <w:ind w:left="1540" w:hanging="425"/>
      </w:pPr>
      <w:rPr>
        <w:rFonts w:hint="default"/>
        <w:lang w:val="fr-FR" w:eastAsia="en-US" w:bidi="ar-SA"/>
      </w:rPr>
    </w:lvl>
    <w:lvl w:ilvl="3" w:tplc="97227EC6">
      <w:numFmt w:val="bullet"/>
      <w:lvlText w:val="•"/>
      <w:lvlJc w:val="left"/>
      <w:pPr>
        <w:ind w:left="1840" w:hanging="425"/>
      </w:pPr>
      <w:rPr>
        <w:rFonts w:hint="default"/>
        <w:lang w:val="fr-FR" w:eastAsia="en-US" w:bidi="ar-SA"/>
      </w:rPr>
    </w:lvl>
    <w:lvl w:ilvl="4" w:tplc="063EC39E">
      <w:numFmt w:val="bullet"/>
      <w:lvlText w:val="•"/>
      <w:lvlJc w:val="left"/>
      <w:pPr>
        <w:ind w:left="1960" w:hanging="425"/>
      </w:pPr>
      <w:rPr>
        <w:rFonts w:hint="default"/>
        <w:lang w:val="fr-FR" w:eastAsia="en-US" w:bidi="ar-SA"/>
      </w:rPr>
    </w:lvl>
    <w:lvl w:ilvl="5" w:tplc="FCB42E80">
      <w:numFmt w:val="bullet"/>
      <w:lvlText w:val="•"/>
      <w:lvlJc w:val="left"/>
      <w:pPr>
        <w:ind w:left="3286" w:hanging="425"/>
      </w:pPr>
      <w:rPr>
        <w:rFonts w:hint="default"/>
        <w:lang w:val="fr-FR" w:eastAsia="en-US" w:bidi="ar-SA"/>
      </w:rPr>
    </w:lvl>
    <w:lvl w:ilvl="6" w:tplc="302E9E0A">
      <w:numFmt w:val="bullet"/>
      <w:lvlText w:val="•"/>
      <w:lvlJc w:val="left"/>
      <w:pPr>
        <w:ind w:left="4613" w:hanging="425"/>
      </w:pPr>
      <w:rPr>
        <w:rFonts w:hint="default"/>
        <w:lang w:val="fr-FR" w:eastAsia="en-US" w:bidi="ar-SA"/>
      </w:rPr>
    </w:lvl>
    <w:lvl w:ilvl="7" w:tplc="67023092">
      <w:numFmt w:val="bullet"/>
      <w:lvlText w:val="•"/>
      <w:lvlJc w:val="left"/>
      <w:pPr>
        <w:ind w:left="5940" w:hanging="425"/>
      </w:pPr>
      <w:rPr>
        <w:rFonts w:hint="default"/>
        <w:lang w:val="fr-FR" w:eastAsia="en-US" w:bidi="ar-SA"/>
      </w:rPr>
    </w:lvl>
    <w:lvl w:ilvl="8" w:tplc="CBEA66FA">
      <w:numFmt w:val="bullet"/>
      <w:lvlText w:val="•"/>
      <w:lvlJc w:val="left"/>
      <w:pPr>
        <w:ind w:left="7266" w:hanging="425"/>
      </w:pPr>
      <w:rPr>
        <w:rFonts w:hint="default"/>
        <w:lang w:val="fr-FR" w:eastAsia="en-US" w:bidi="ar-SA"/>
      </w:rPr>
    </w:lvl>
  </w:abstractNum>
  <w:abstractNum w:abstractNumId="5" w15:restartNumberingAfterBreak="0">
    <w:nsid w:val="29B11B71"/>
    <w:multiLevelType w:val="multilevel"/>
    <w:tmpl w:val="78E43A60"/>
    <w:name w:val="Style1"/>
    <w:styleLink w:val="Style1"/>
    <w:lvl w:ilvl="0">
      <w:start w:val="1"/>
      <w:numFmt w:val="decimal"/>
      <w:lvlText w:val="%1."/>
      <w:lvlJc w:val="left"/>
      <w:pPr>
        <w:ind w:left="431" w:hanging="431"/>
      </w:pPr>
      <w:rPr>
        <w:rFonts w:hint="default"/>
      </w:rPr>
    </w:lvl>
    <w:lvl w:ilvl="1">
      <w:start w:val="1"/>
      <w:numFmt w:val="decimal"/>
      <w:lvlText w:val="%1.%2"/>
      <w:lvlJc w:val="left"/>
      <w:pPr>
        <w:ind w:left="199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7" w15:restartNumberingAfterBreak="0">
    <w:nsid w:val="32AE07B2"/>
    <w:multiLevelType w:val="hybridMultilevel"/>
    <w:tmpl w:val="49D62F2E"/>
    <w:lvl w:ilvl="0" w:tplc="37ECAEC2">
      <w:start w:val="1"/>
      <w:numFmt w:val="bullet"/>
      <w:lvlText w:val=""/>
      <w:lvlJc w:val="left"/>
      <w:pPr>
        <w:ind w:left="1584" w:hanging="360"/>
      </w:pPr>
      <w:rPr>
        <w:rFonts w:ascii="Symbol" w:hAnsi="Symbol" w:hint="default"/>
      </w:rPr>
    </w:lvl>
    <w:lvl w:ilvl="1" w:tplc="C5EEC53E" w:tentative="1">
      <w:start w:val="1"/>
      <w:numFmt w:val="bullet"/>
      <w:lvlText w:val="o"/>
      <w:lvlJc w:val="left"/>
      <w:pPr>
        <w:ind w:left="2304" w:hanging="360"/>
      </w:pPr>
      <w:rPr>
        <w:rFonts w:ascii="Courier New" w:hAnsi="Courier New" w:cs="Courier New" w:hint="default"/>
      </w:rPr>
    </w:lvl>
    <w:lvl w:ilvl="2" w:tplc="786EB68E" w:tentative="1">
      <w:start w:val="1"/>
      <w:numFmt w:val="bullet"/>
      <w:lvlText w:val=""/>
      <w:lvlJc w:val="left"/>
      <w:pPr>
        <w:ind w:left="3024" w:hanging="360"/>
      </w:pPr>
      <w:rPr>
        <w:rFonts w:ascii="Wingdings" w:hAnsi="Wingdings" w:hint="default"/>
      </w:rPr>
    </w:lvl>
    <w:lvl w:ilvl="3" w:tplc="1C2C396A" w:tentative="1">
      <w:start w:val="1"/>
      <w:numFmt w:val="bullet"/>
      <w:lvlText w:val=""/>
      <w:lvlJc w:val="left"/>
      <w:pPr>
        <w:ind w:left="3744" w:hanging="360"/>
      </w:pPr>
      <w:rPr>
        <w:rFonts w:ascii="Symbol" w:hAnsi="Symbol" w:hint="default"/>
      </w:rPr>
    </w:lvl>
    <w:lvl w:ilvl="4" w:tplc="218EA55E" w:tentative="1">
      <w:start w:val="1"/>
      <w:numFmt w:val="bullet"/>
      <w:lvlText w:val="o"/>
      <w:lvlJc w:val="left"/>
      <w:pPr>
        <w:ind w:left="4464" w:hanging="360"/>
      </w:pPr>
      <w:rPr>
        <w:rFonts w:ascii="Courier New" w:hAnsi="Courier New" w:cs="Courier New" w:hint="default"/>
      </w:rPr>
    </w:lvl>
    <w:lvl w:ilvl="5" w:tplc="99EC6F14" w:tentative="1">
      <w:start w:val="1"/>
      <w:numFmt w:val="bullet"/>
      <w:lvlText w:val=""/>
      <w:lvlJc w:val="left"/>
      <w:pPr>
        <w:ind w:left="5184" w:hanging="360"/>
      </w:pPr>
      <w:rPr>
        <w:rFonts w:ascii="Wingdings" w:hAnsi="Wingdings" w:hint="default"/>
      </w:rPr>
    </w:lvl>
    <w:lvl w:ilvl="6" w:tplc="F3DCC354" w:tentative="1">
      <w:start w:val="1"/>
      <w:numFmt w:val="bullet"/>
      <w:lvlText w:val=""/>
      <w:lvlJc w:val="left"/>
      <w:pPr>
        <w:ind w:left="5904" w:hanging="360"/>
      </w:pPr>
      <w:rPr>
        <w:rFonts w:ascii="Symbol" w:hAnsi="Symbol" w:hint="default"/>
      </w:rPr>
    </w:lvl>
    <w:lvl w:ilvl="7" w:tplc="2A626F14" w:tentative="1">
      <w:start w:val="1"/>
      <w:numFmt w:val="bullet"/>
      <w:lvlText w:val="o"/>
      <w:lvlJc w:val="left"/>
      <w:pPr>
        <w:ind w:left="6624" w:hanging="360"/>
      </w:pPr>
      <w:rPr>
        <w:rFonts w:ascii="Courier New" w:hAnsi="Courier New" w:cs="Courier New" w:hint="default"/>
      </w:rPr>
    </w:lvl>
    <w:lvl w:ilvl="8" w:tplc="DBD4E3A6" w:tentative="1">
      <w:start w:val="1"/>
      <w:numFmt w:val="bullet"/>
      <w:lvlText w:val=""/>
      <w:lvlJc w:val="left"/>
      <w:pPr>
        <w:ind w:left="7344" w:hanging="360"/>
      </w:pPr>
      <w:rPr>
        <w:rFonts w:ascii="Wingdings" w:hAnsi="Wingdings" w:hint="default"/>
      </w:rPr>
    </w:lvl>
  </w:abstractNum>
  <w:abstractNum w:abstractNumId="8" w15:restartNumberingAfterBreak="0">
    <w:nsid w:val="355F34D8"/>
    <w:multiLevelType w:val="hybridMultilevel"/>
    <w:tmpl w:val="0CD46F6C"/>
    <w:lvl w:ilvl="0" w:tplc="2E2E12B6">
      <w:start w:val="1"/>
      <w:numFmt w:val="bullet"/>
      <w:lvlText w:val=""/>
      <w:lvlJc w:val="left"/>
      <w:pPr>
        <w:ind w:left="1584" w:hanging="360"/>
      </w:pPr>
      <w:rPr>
        <w:rFonts w:ascii="Symbol" w:hAnsi="Symbol" w:hint="default"/>
      </w:rPr>
    </w:lvl>
    <w:lvl w:ilvl="1" w:tplc="51B02150" w:tentative="1">
      <w:start w:val="1"/>
      <w:numFmt w:val="bullet"/>
      <w:lvlText w:val="o"/>
      <w:lvlJc w:val="left"/>
      <w:pPr>
        <w:ind w:left="2304" w:hanging="360"/>
      </w:pPr>
      <w:rPr>
        <w:rFonts w:ascii="Courier New" w:hAnsi="Courier New" w:cs="Courier New" w:hint="default"/>
      </w:rPr>
    </w:lvl>
    <w:lvl w:ilvl="2" w:tplc="6540D964" w:tentative="1">
      <w:start w:val="1"/>
      <w:numFmt w:val="bullet"/>
      <w:lvlText w:val=""/>
      <w:lvlJc w:val="left"/>
      <w:pPr>
        <w:ind w:left="3024" w:hanging="360"/>
      </w:pPr>
      <w:rPr>
        <w:rFonts w:ascii="Wingdings" w:hAnsi="Wingdings" w:hint="default"/>
      </w:rPr>
    </w:lvl>
    <w:lvl w:ilvl="3" w:tplc="581C8882" w:tentative="1">
      <w:start w:val="1"/>
      <w:numFmt w:val="bullet"/>
      <w:lvlText w:val=""/>
      <w:lvlJc w:val="left"/>
      <w:pPr>
        <w:ind w:left="3744" w:hanging="360"/>
      </w:pPr>
      <w:rPr>
        <w:rFonts w:ascii="Symbol" w:hAnsi="Symbol" w:hint="default"/>
      </w:rPr>
    </w:lvl>
    <w:lvl w:ilvl="4" w:tplc="5142D228" w:tentative="1">
      <w:start w:val="1"/>
      <w:numFmt w:val="bullet"/>
      <w:lvlText w:val="o"/>
      <w:lvlJc w:val="left"/>
      <w:pPr>
        <w:ind w:left="4464" w:hanging="360"/>
      </w:pPr>
      <w:rPr>
        <w:rFonts w:ascii="Courier New" w:hAnsi="Courier New" w:cs="Courier New" w:hint="default"/>
      </w:rPr>
    </w:lvl>
    <w:lvl w:ilvl="5" w:tplc="FD16C764" w:tentative="1">
      <w:start w:val="1"/>
      <w:numFmt w:val="bullet"/>
      <w:lvlText w:val=""/>
      <w:lvlJc w:val="left"/>
      <w:pPr>
        <w:ind w:left="5184" w:hanging="360"/>
      </w:pPr>
      <w:rPr>
        <w:rFonts w:ascii="Wingdings" w:hAnsi="Wingdings" w:hint="default"/>
      </w:rPr>
    </w:lvl>
    <w:lvl w:ilvl="6" w:tplc="ECC4AD5A" w:tentative="1">
      <w:start w:val="1"/>
      <w:numFmt w:val="bullet"/>
      <w:lvlText w:val=""/>
      <w:lvlJc w:val="left"/>
      <w:pPr>
        <w:ind w:left="5904" w:hanging="360"/>
      </w:pPr>
      <w:rPr>
        <w:rFonts w:ascii="Symbol" w:hAnsi="Symbol" w:hint="default"/>
      </w:rPr>
    </w:lvl>
    <w:lvl w:ilvl="7" w:tplc="CF86F3C4" w:tentative="1">
      <w:start w:val="1"/>
      <w:numFmt w:val="bullet"/>
      <w:lvlText w:val="o"/>
      <w:lvlJc w:val="left"/>
      <w:pPr>
        <w:ind w:left="6624" w:hanging="360"/>
      </w:pPr>
      <w:rPr>
        <w:rFonts w:ascii="Courier New" w:hAnsi="Courier New" w:cs="Courier New" w:hint="default"/>
      </w:rPr>
    </w:lvl>
    <w:lvl w:ilvl="8" w:tplc="40708BD0" w:tentative="1">
      <w:start w:val="1"/>
      <w:numFmt w:val="bullet"/>
      <w:lvlText w:val=""/>
      <w:lvlJc w:val="left"/>
      <w:pPr>
        <w:ind w:left="7344" w:hanging="360"/>
      </w:pPr>
      <w:rPr>
        <w:rFonts w:ascii="Wingdings" w:hAnsi="Wingdings" w:hint="default"/>
      </w:rPr>
    </w:lvl>
  </w:abstractNum>
  <w:abstractNum w:abstractNumId="9" w15:restartNumberingAfterBreak="0">
    <w:nsid w:val="3FAA2A0C"/>
    <w:multiLevelType w:val="hybridMultilevel"/>
    <w:tmpl w:val="CFB014D8"/>
    <w:lvl w:ilvl="0" w:tplc="E5D818A6">
      <w:start w:val="1"/>
      <w:numFmt w:val="lowerLetter"/>
      <w:lvlText w:val="(%1)"/>
      <w:lvlJc w:val="left"/>
      <w:pPr>
        <w:ind w:left="2102" w:hanging="640"/>
      </w:pPr>
      <w:rPr>
        <w:rFonts w:hint="default"/>
      </w:rPr>
    </w:lvl>
    <w:lvl w:ilvl="1" w:tplc="E2AA370A" w:tentative="1">
      <w:start w:val="1"/>
      <w:numFmt w:val="lowerLetter"/>
      <w:lvlText w:val="%2."/>
      <w:lvlJc w:val="left"/>
      <w:pPr>
        <w:ind w:left="2542" w:hanging="360"/>
      </w:pPr>
    </w:lvl>
    <w:lvl w:ilvl="2" w:tplc="E2AA2FF0" w:tentative="1">
      <w:start w:val="1"/>
      <w:numFmt w:val="lowerRoman"/>
      <w:lvlText w:val="%3."/>
      <w:lvlJc w:val="right"/>
      <w:pPr>
        <w:ind w:left="3262" w:hanging="180"/>
      </w:pPr>
    </w:lvl>
    <w:lvl w:ilvl="3" w:tplc="8B803F06" w:tentative="1">
      <w:start w:val="1"/>
      <w:numFmt w:val="decimal"/>
      <w:lvlText w:val="%4."/>
      <w:lvlJc w:val="left"/>
      <w:pPr>
        <w:ind w:left="3982" w:hanging="360"/>
      </w:pPr>
    </w:lvl>
    <w:lvl w:ilvl="4" w:tplc="1DEA191A" w:tentative="1">
      <w:start w:val="1"/>
      <w:numFmt w:val="lowerLetter"/>
      <w:lvlText w:val="%5."/>
      <w:lvlJc w:val="left"/>
      <w:pPr>
        <w:ind w:left="4702" w:hanging="360"/>
      </w:pPr>
    </w:lvl>
    <w:lvl w:ilvl="5" w:tplc="8468165A" w:tentative="1">
      <w:start w:val="1"/>
      <w:numFmt w:val="lowerRoman"/>
      <w:lvlText w:val="%6."/>
      <w:lvlJc w:val="right"/>
      <w:pPr>
        <w:ind w:left="5422" w:hanging="180"/>
      </w:pPr>
    </w:lvl>
    <w:lvl w:ilvl="6" w:tplc="CA6ABB76" w:tentative="1">
      <w:start w:val="1"/>
      <w:numFmt w:val="decimal"/>
      <w:lvlText w:val="%7."/>
      <w:lvlJc w:val="left"/>
      <w:pPr>
        <w:ind w:left="6142" w:hanging="360"/>
      </w:pPr>
    </w:lvl>
    <w:lvl w:ilvl="7" w:tplc="165AD7B8" w:tentative="1">
      <w:start w:val="1"/>
      <w:numFmt w:val="lowerLetter"/>
      <w:lvlText w:val="%8."/>
      <w:lvlJc w:val="left"/>
      <w:pPr>
        <w:ind w:left="6862" w:hanging="360"/>
      </w:pPr>
    </w:lvl>
    <w:lvl w:ilvl="8" w:tplc="2D36DAF4" w:tentative="1">
      <w:start w:val="1"/>
      <w:numFmt w:val="lowerRoman"/>
      <w:lvlText w:val="%9."/>
      <w:lvlJc w:val="right"/>
      <w:pPr>
        <w:ind w:left="7582" w:hanging="180"/>
      </w:pPr>
    </w:lvl>
  </w:abstractNum>
  <w:abstractNum w:abstractNumId="10" w15:restartNumberingAfterBreak="0">
    <w:nsid w:val="47DD1E4F"/>
    <w:multiLevelType w:val="hybridMultilevel"/>
    <w:tmpl w:val="11623070"/>
    <w:lvl w:ilvl="0" w:tplc="EBEC53F2">
      <w:start w:val="1"/>
      <w:numFmt w:val="upperLetter"/>
      <w:pStyle w:val="Titre1"/>
      <w:lvlText w:val="%1."/>
      <w:lvlJc w:val="left"/>
      <w:pPr>
        <w:ind w:left="720" w:hanging="360"/>
      </w:pPr>
    </w:lvl>
    <w:lvl w:ilvl="1" w:tplc="F03E0D62" w:tentative="1">
      <w:start w:val="1"/>
      <w:numFmt w:val="lowerLetter"/>
      <w:lvlText w:val="%2."/>
      <w:lvlJc w:val="left"/>
      <w:pPr>
        <w:ind w:left="1440" w:hanging="360"/>
      </w:pPr>
    </w:lvl>
    <w:lvl w:ilvl="2" w:tplc="AEA20A3A" w:tentative="1">
      <w:start w:val="1"/>
      <w:numFmt w:val="lowerRoman"/>
      <w:lvlText w:val="%3."/>
      <w:lvlJc w:val="right"/>
      <w:pPr>
        <w:ind w:left="2160" w:hanging="180"/>
      </w:pPr>
    </w:lvl>
    <w:lvl w:ilvl="3" w:tplc="CA00F310" w:tentative="1">
      <w:start w:val="1"/>
      <w:numFmt w:val="decimal"/>
      <w:lvlText w:val="%4."/>
      <w:lvlJc w:val="left"/>
      <w:pPr>
        <w:ind w:left="2880" w:hanging="360"/>
      </w:pPr>
    </w:lvl>
    <w:lvl w:ilvl="4" w:tplc="568E11D6" w:tentative="1">
      <w:start w:val="1"/>
      <w:numFmt w:val="lowerLetter"/>
      <w:lvlText w:val="%5."/>
      <w:lvlJc w:val="left"/>
      <w:pPr>
        <w:ind w:left="3600" w:hanging="360"/>
      </w:pPr>
    </w:lvl>
    <w:lvl w:ilvl="5" w:tplc="9AA058E4" w:tentative="1">
      <w:start w:val="1"/>
      <w:numFmt w:val="lowerRoman"/>
      <w:lvlText w:val="%6."/>
      <w:lvlJc w:val="right"/>
      <w:pPr>
        <w:ind w:left="4320" w:hanging="180"/>
      </w:pPr>
    </w:lvl>
    <w:lvl w:ilvl="6" w:tplc="868E7C06" w:tentative="1">
      <w:start w:val="1"/>
      <w:numFmt w:val="decimal"/>
      <w:lvlText w:val="%7."/>
      <w:lvlJc w:val="left"/>
      <w:pPr>
        <w:ind w:left="5040" w:hanging="360"/>
      </w:pPr>
    </w:lvl>
    <w:lvl w:ilvl="7" w:tplc="6ADE32D8" w:tentative="1">
      <w:start w:val="1"/>
      <w:numFmt w:val="lowerLetter"/>
      <w:lvlText w:val="%8."/>
      <w:lvlJc w:val="left"/>
      <w:pPr>
        <w:ind w:left="5760" w:hanging="360"/>
      </w:pPr>
    </w:lvl>
    <w:lvl w:ilvl="8" w:tplc="DA684662" w:tentative="1">
      <w:start w:val="1"/>
      <w:numFmt w:val="lowerRoman"/>
      <w:lvlText w:val="%9."/>
      <w:lvlJc w:val="right"/>
      <w:pPr>
        <w:ind w:left="6480" w:hanging="180"/>
      </w:pPr>
    </w:lvl>
  </w:abstractNum>
  <w:abstractNum w:abstractNumId="11" w15:restartNumberingAfterBreak="0">
    <w:nsid w:val="4BF423AA"/>
    <w:multiLevelType w:val="multilevel"/>
    <w:tmpl w:val="78E43A60"/>
    <w:name w:val="Style12"/>
    <w:numStyleLink w:val="Style1"/>
  </w:abstractNum>
  <w:abstractNum w:abstractNumId="12" w15:restartNumberingAfterBreak="0">
    <w:nsid w:val="4C785623"/>
    <w:multiLevelType w:val="hybridMultilevel"/>
    <w:tmpl w:val="F8A2009C"/>
    <w:lvl w:ilvl="0" w:tplc="9BF4863C">
      <w:start w:val="1"/>
      <w:numFmt w:val="lowerRoman"/>
      <w:pStyle w:val="Titre3"/>
      <w:lvlText w:val="%1."/>
      <w:lvlJc w:val="right"/>
      <w:pPr>
        <w:ind w:left="1720" w:hanging="360"/>
      </w:pPr>
      <w:rPr>
        <w:b/>
        <w:bCs/>
        <w:i w:val="0"/>
        <w:iCs/>
      </w:rPr>
    </w:lvl>
    <w:lvl w:ilvl="1" w:tplc="3662B22C" w:tentative="1">
      <w:start w:val="1"/>
      <w:numFmt w:val="lowerLetter"/>
      <w:lvlText w:val="%2."/>
      <w:lvlJc w:val="left"/>
      <w:pPr>
        <w:ind w:left="2440" w:hanging="360"/>
      </w:pPr>
    </w:lvl>
    <w:lvl w:ilvl="2" w:tplc="B3DA4BE4" w:tentative="1">
      <w:start w:val="1"/>
      <w:numFmt w:val="lowerRoman"/>
      <w:lvlText w:val="%3."/>
      <w:lvlJc w:val="right"/>
      <w:pPr>
        <w:ind w:left="3160" w:hanging="180"/>
      </w:pPr>
    </w:lvl>
    <w:lvl w:ilvl="3" w:tplc="BD54BF80" w:tentative="1">
      <w:start w:val="1"/>
      <w:numFmt w:val="decimal"/>
      <w:lvlText w:val="%4."/>
      <w:lvlJc w:val="left"/>
      <w:pPr>
        <w:ind w:left="3880" w:hanging="360"/>
      </w:pPr>
    </w:lvl>
    <w:lvl w:ilvl="4" w:tplc="4698A642" w:tentative="1">
      <w:start w:val="1"/>
      <w:numFmt w:val="lowerLetter"/>
      <w:lvlText w:val="%5."/>
      <w:lvlJc w:val="left"/>
      <w:pPr>
        <w:ind w:left="4600" w:hanging="360"/>
      </w:pPr>
    </w:lvl>
    <w:lvl w:ilvl="5" w:tplc="E370E36A" w:tentative="1">
      <w:start w:val="1"/>
      <w:numFmt w:val="lowerRoman"/>
      <w:lvlText w:val="%6."/>
      <w:lvlJc w:val="right"/>
      <w:pPr>
        <w:ind w:left="5320" w:hanging="180"/>
      </w:pPr>
    </w:lvl>
    <w:lvl w:ilvl="6" w:tplc="1A22ECFE" w:tentative="1">
      <w:start w:val="1"/>
      <w:numFmt w:val="decimal"/>
      <w:lvlText w:val="%7."/>
      <w:lvlJc w:val="left"/>
      <w:pPr>
        <w:ind w:left="6040" w:hanging="360"/>
      </w:pPr>
    </w:lvl>
    <w:lvl w:ilvl="7" w:tplc="87B81DE4" w:tentative="1">
      <w:start w:val="1"/>
      <w:numFmt w:val="lowerLetter"/>
      <w:lvlText w:val="%8."/>
      <w:lvlJc w:val="left"/>
      <w:pPr>
        <w:ind w:left="6760" w:hanging="360"/>
      </w:pPr>
    </w:lvl>
    <w:lvl w:ilvl="8" w:tplc="1314273A" w:tentative="1">
      <w:start w:val="1"/>
      <w:numFmt w:val="lowerRoman"/>
      <w:lvlText w:val="%9."/>
      <w:lvlJc w:val="right"/>
      <w:pPr>
        <w:ind w:left="7480" w:hanging="180"/>
      </w:pPr>
    </w:lvl>
  </w:abstractNum>
  <w:abstractNum w:abstractNumId="13" w15:restartNumberingAfterBreak="0">
    <w:nsid w:val="51AC6FB4"/>
    <w:multiLevelType w:val="hybridMultilevel"/>
    <w:tmpl w:val="10E44D0C"/>
    <w:lvl w:ilvl="0" w:tplc="AF92E6F6">
      <w:start w:val="1"/>
      <w:numFmt w:val="decimal"/>
      <w:lvlText w:val="(%1)  "/>
      <w:lvlJc w:val="left"/>
      <w:pPr>
        <w:ind w:left="833" w:hanging="356"/>
        <w:jc w:val="right"/>
      </w:pPr>
      <w:rPr>
        <w:rFonts w:hint="default"/>
        <w:i w:val="0"/>
        <w:iCs/>
        <w:w w:val="99"/>
        <w:lang w:val="en-US" w:eastAsia="en-US" w:bidi="ar-SA"/>
      </w:rPr>
    </w:lvl>
    <w:lvl w:ilvl="1" w:tplc="01A8E3E8">
      <w:numFmt w:val="bullet"/>
      <w:lvlText w:val="•"/>
      <w:lvlJc w:val="left"/>
      <w:pPr>
        <w:ind w:left="1644" w:hanging="356"/>
      </w:pPr>
      <w:rPr>
        <w:rFonts w:hint="default"/>
        <w:lang w:val="en-US" w:eastAsia="en-US" w:bidi="ar-SA"/>
      </w:rPr>
    </w:lvl>
    <w:lvl w:ilvl="2" w:tplc="EF02E228">
      <w:numFmt w:val="bullet"/>
      <w:lvlText w:val="•"/>
      <w:lvlJc w:val="left"/>
      <w:pPr>
        <w:ind w:left="2448" w:hanging="356"/>
      </w:pPr>
      <w:rPr>
        <w:rFonts w:hint="default"/>
        <w:lang w:val="en-US" w:eastAsia="en-US" w:bidi="ar-SA"/>
      </w:rPr>
    </w:lvl>
    <w:lvl w:ilvl="3" w:tplc="9B1882B6">
      <w:numFmt w:val="bullet"/>
      <w:lvlText w:val="•"/>
      <w:lvlJc w:val="left"/>
      <w:pPr>
        <w:ind w:left="3252" w:hanging="356"/>
      </w:pPr>
      <w:rPr>
        <w:rFonts w:hint="default"/>
        <w:lang w:val="en-US" w:eastAsia="en-US" w:bidi="ar-SA"/>
      </w:rPr>
    </w:lvl>
    <w:lvl w:ilvl="4" w:tplc="183637F6">
      <w:numFmt w:val="bullet"/>
      <w:lvlText w:val="•"/>
      <w:lvlJc w:val="left"/>
      <w:pPr>
        <w:ind w:left="4056" w:hanging="356"/>
      </w:pPr>
      <w:rPr>
        <w:rFonts w:hint="default"/>
        <w:lang w:val="en-US" w:eastAsia="en-US" w:bidi="ar-SA"/>
      </w:rPr>
    </w:lvl>
    <w:lvl w:ilvl="5" w:tplc="440AB8E4">
      <w:numFmt w:val="bullet"/>
      <w:lvlText w:val="•"/>
      <w:lvlJc w:val="left"/>
      <w:pPr>
        <w:ind w:left="4860" w:hanging="356"/>
      </w:pPr>
      <w:rPr>
        <w:rFonts w:hint="default"/>
        <w:lang w:val="en-US" w:eastAsia="en-US" w:bidi="ar-SA"/>
      </w:rPr>
    </w:lvl>
    <w:lvl w:ilvl="6" w:tplc="76DC4096">
      <w:numFmt w:val="bullet"/>
      <w:lvlText w:val="•"/>
      <w:lvlJc w:val="left"/>
      <w:pPr>
        <w:ind w:left="5664" w:hanging="356"/>
      </w:pPr>
      <w:rPr>
        <w:rFonts w:hint="default"/>
        <w:lang w:val="en-US" w:eastAsia="en-US" w:bidi="ar-SA"/>
      </w:rPr>
    </w:lvl>
    <w:lvl w:ilvl="7" w:tplc="0AB89380">
      <w:numFmt w:val="bullet"/>
      <w:lvlText w:val="•"/>
      <w:lvlJc w:val="left"/>
      <w:pPr>
        <w:ind w:left="6468" w:hanging="356"/>
      </w:pPr>
      <w:rPr>
        <w:rFonts w:hint="default"/>
        <w:lang w:val="en-US" w:eastAsia="en-US" w:bidi="ar-SA"/>
      </w:rPr>
    </w:lvl>
    <w:lvl w:ilvl="8" w:tplc="F968C294">
      <w:numFmt w:val="bullet"/>
      <w:lvlText w:val="•"/>
      <w:lvlJc w:val="left"/>
      <w:pPr>
        <w:ind w:left="7272" w:hanging="356"/>
      </w:pPr>
      <w:rPr>
        <w:rFonts w:hint="default"/>
        <w:lang w:val="en-US" w:eastAsia="en-US" w:bidi="ar-SA"/>
      </w:rPr>
    </w:lvl>
  </w:abstractNum>
  <w:abstractNum w:abstractNumId="14" w15:restartNumberingAfterBreak="0">
    <w:nsid w:val="5A0C4719"/>
    <w:multiLevelType w:val="multilevel"/>
    <w:tmpl w:val="78E43A60"/>
    <w:name w:val="Style13"/>
    <w:numStyleLink w:val="Style1"/>
  </w:abstractNum>
  <w:abstractNum w:abstractNumId="15" w15:restartNumberingAfterBreak="0">
    <w:nsid w:val="5AF353C6"/>
    <w:multiLevelType w:val="hybridMultilevel"/>
    <w:tmpl w:val="4AA405D4"/>
    <w:lvl w:ilvl="0" w:tplc="ECC4B2CA">
      <w:start w:val="1"/>
      <w:numFmt w:val="bullet"/>
      <w:lvlText w:val=""/>
      <w:lvlJc w:val="left"/>
      <w:pPr>
        <w:ind w:left="720" w:hanging="360"/>
      </w:pPr>
      <w:rPr>
        <w:rFonts w:ascii="Symbol" w:hAnsi="Symbol" w:hint="default"/>
      </w:rPr>
    </w:lvl>
    <w:lvl w:ilvl="1" w:tplc="A06AABF2" w:tentative="1">
      <w:start w:val="1"/>
      <w:numFmt w:val="bullet"/>
      <w:lvlText w:val="o"/>
      <w:lvlJc w:val="left"/>
      <w:pPr>
        <w:ind w:left="1440" w:hanging="360"/>
      </w:pPr>
      <w:rPr>
        <w:rFonts w:ascii="Courier New" w:hAnsi="Courier New" w:cs="Courier New" w:hint="default"/>
      </w:rPr>
    </w:lvl>
    <w:lvl w:ilvl="2" w:tplc="E458942A" w:tentative="1">
      <w:start w:val="1"/>
      <w:numFmt w:val="bullet"/>
      <w:lvlText w:val=""/>
      <w:lvlJc w:val="left"/>
      <w:pPr>
        <w:ind w:left="2160" w:hanging="360"/>
      </w:pPr>
      <w:rPr>
        <w:rFonts w:ascii="Wingdings" w:hAnsi="Wingdings" w:hint="default"/>
      </w:rPr>
    </w:lvl>
    <w:lvl w:ilvl="3" w:tplc="81E82018" w:tentative="1">
      <w:start w:val="1"/>
      <w:numFmt w:val="bullet"/>
      <w:lvlText w:val=""/>
      <w:lvlJc w:val="left"/>
      <w:pPr>
        <w:ind w:left="2880" w:hanging="360"/>
      </w:pPr>
      <w:rPr>
        <w:rFonts w:ascii="Symbol" w:hAnsi="Symbol" w:hint="default"/>
      </w:rPr>
    </w:lvl>
    <w:lvl w:ilvl="4" w:tplc="9634F318" w:tentative="1">
      <w:start w:val="1"/>
      <w:numFmt w:val="bullet"/>
      <w:lvlText w:val="o"/>
      <w:lvlJc w:val="left"/>
      <w:pPr>
        <w:ind w:left="3600" w:hanging="360"/>
      </w:pPr>
      <w:rPr>
        <w:rFonts w:ascii="Courier New" w:hAnsi="Courier New" w:cs="Courier New" w:hint="default"/>
      </w:rPr>
    </w:lvl>
    <w:lvl w:ilvl="5" w:tplc="633209B0" w:tentative="1">
      <w:start w:val="1"/>
      <w:numFmt w:val="bullet"/>
      <w:lvlText w:val=""/>
      <w:lvlJc w:val="left"/>
      <w:pPr>
        <w:ind w:left="4320" w:hanging="360"/>
      </w:pPr>
      <w:rPr>
        <w:rFonts w:ascii="Wingdings" w:hAnsi="Wingdings" w:hint="default"/>
      </w:rPr>
    </w:lvl>
    <w:lvl w:ilvl="6" w:tplc="1326196A" w:tentative="1">
      <w:start w:val="1"/>
      <w:numFmt w:val="bullet"/>
      <w:lvlText w:val=""/>
      <w:lvlJc w:val="left"/>
      <w:pPr>
        <w:ind w:left="5040" w:hanging="360"/>
      </w:pPr>
      <w:rPr>
        <w:rFonts w:ascii="Symbol" w:hAnsi="Symbol" w:hint="default"/>
      </w:rPr>
    </w:lvl>
    <w:lvl w:ilvl="7" w:tplc="5128DAD8" w:tentative="1">
      <w:start w:val="1"/>
      <w:numFmt w:val="bullet"/>
      <w:lvlText w:val="o"/>
      <w:lvlJc w:val="left"/>
      <w:pPr>
        <w:ind w:left="5760" w:hanging="360"/>
      </w:pPr>
      <w:rPr>
        <w:rFonts w:ascii="Courier New" w:hAnsi="Courier New" w:cs="Courier New" w:hint="default"/>
      </w:rPr>
    </w:lvl>
    <w:lvl w:ilvl="8" w:tplc="33AA9288" w:tentative="1">
      <w:start w:val="1"/>
      <w:numFmt w:val="bullet"/>
      <w:lvlText w:val=""/>
      <w:lvlJc w:val="left"/>
      <w:pPr>
        <w:ind w:left="6480" w:hanging="360"/>
      </w:pPr>
      <w:rPr>
        <w:rFonts w:ascii="Wingdings" w:hAnsi="Wingdings" w:hint="default"/>
      </w:rPr>
    </w:lvl>
  </w:abstractNum>
  <w:abstractNum w:abstractNumId="16" w15:restartNumberingAfterBreak="0">
    <w:nsid w:val="5B562A7A"/>
    <w:multiLevelType w:val="hybridMultilevel"/>
    <w:tmpl w:val="40CAEAA0"/>
    <w:lvl w:ilvl="0" w:tplc="4EE0367E">
      <w:start w:val="1"/>
      <w:numFmt w:val="bullet"/>
      <w:lvlText w:val=""/>
      <w:lvlJc w:val="left"/>
      <w:pPr>
        <w:ind w:left="1440" w:hanging="360"/>
      </w:pPr>
      <w:rPr>
        <w:rFonts w:ascii="Symbol" w:hAnsi="Symbol" w:hint="default"/>
      </w:rPr>
    </w:lvl>
    <w:lvl w:ilvl="1" w:tplc="F950FB4C" w:tentative="1">
      <w:start w:val="1"/>
      <w:numFmt w:val="bullet"/>
      <w:lvlText w:val="o"/>
      <w:lvlJc w:val="left"/>
      <w:pPr>
        <w:ind w:left="2160" w:hanging="360"/>
      </w:pPr>
      <w:rPr>
        <w:rFonts w:ascii="Courier New" w:hAnsi="Courier New" w:cs="Courier New" w:hint="default"/>
      </w:rPr>
    </w:lvl>
    <w:lvl w:ilvl="2" w:tplc="4B36C52E" w:tentative="1">
      <w:start w:val="1"/>
      <w:numFmt w:val="bullet"/>
      <w:lvlText w:val=""/>
      <w:lvlJc w:val="left"/>
      <w:pPr>
        <w:ind w:left="2880" w:hanging="360"/>
      </w:pPr>
      <w:rPr>
        <w:rFonts w:ascii="Wingdings" w:hAnsi="Wingdings" w:hint="default"/>
      </w:rPr>
    </w:lvl>
    <w:lvl w:ilvl="3" w:tplc="EA80D4A4" w:tentative="1">
      <w:start w:val="1"/>
      <w:numFmt w:val="bullet"/>
      <w:lvlText w:val=""/>
      <w:lvlJc w:val="left"/>
      <w:pPr>
        <w:ind w:left="3600" w:hanging="360"/>
      </w:pPr>
      <w:rPr>
        <w:rFonts w:ascii="Symbol" w:hAnsi="Symbol" w:hint="default"/>
      </w:rPr>
    </w:lvl>
    <w:lvl w:ilvl="4" w:tplc="373E960C" w:tentative="1">
      <w:start w:val="1"/>
      <w:numFmt w:val="bullet"/>
      <w:lvlText w:val="o"/>
      <w:lvlJc w:val="left"/>
      <w:pPr>
        <w:ind w:left="4320" w:hanging="360"/>
      </w:pPr>
      <w:rPr>
        <w:rFonts w:ascii="Courier New" w:hAnsi="Courier New" w:cs="Courier New" w:hint="default"/>
      </w:rPr>
    </w:lvl>
    <w:lvl w:ilvl="5" w:tplc="B0007AA8" w:tentative="1">
      <w:start w:val="1"/>
      <w:numFmt w:val="bullet"/>
      <w:lvlText w:val=""/>
      <w:lvlJc w:val="left"/>
      <w:pPr>
        <w:ind w:left="5040" w:hanging="360"/>
      </w:pPr>
      <w:rPr>
        <w:rFonts w:ascii="Wingdings" w:hAnsi="Wingdings" w:hint="default"/>
      </w:rPr>
    </w:lvl>
    <w:lvl w:ilvl="6" w:tplc="041643EA" w:tentative="1">
      <w:start w:val="1"/>
      <w:numFmt w:val="bullet"/>
      <w:lvlText w:val=""/>
      <w:lvlJc w:val="left"/>
      <w:pPr>
        <w:ind w:left="5760" w:hanging="360"/>
      </w:pPr>
      <w:rPr>
        <w:rFonts w:ascii="Symbol" w:hAnsi="Symbol" w:hint="default"/>
      </w:rPr>
    </w:lvl>
    <w:lvl w:ilvl="7" w:tplc="D4149064" w:tentative="1">
      <w:start w:val="1"/>
      <w:numFmt w:val="bullet"/>
      <w:lvlText w:val="o"/>
      <w:lvlJc w:val="left"/>
      <w:pPr>
        <w:ind w:left="6480" w:hanging="360"/>
      </w:pPr>
      <w:rPr>
        <w:rFonts w:ascii="Courier New" w:hAnsi="Courier New" w:cs="Courier New" w:hint="default"/>
      </w:rPr>
    </w:lvl>
    <w:lvl w:ilvl="8" w:tplc="D47667FA" w:tentative="1">
      <w:start w:val="1"/>
      <w:numFmt w:val="bullet"/>
      <w:lvlText w:val=""/>
      <w:lvlJc w:val="left"/>
      <w:pPr>
        <w:ind w:left="7200" w:hanging="360"/>
      </w:pPr>
      <w:rPr>
        <w:rFonts w:ascii="Wingdings" w:hAnsi="Wingdings" w:hint="default"/>
      </w:rPr>
    </w:lvl>
  </w:abstractNum>
  <w:abstractNum w:abstractNumId="17" w15:restartNumberingAfterBreak="0">
    <w:nsid w:val="600030A1"/>
    <w:multiLevelType w:val="hybridMultilevel"/>
    <w:tmpl w:val="982C40C2"/>
    <w:lvl w:ilvl="0" w:tplc="FF46AEFC">
      <w:start w:val="1"/>
      <w:numFmt w:val="bullet"/>
      <w:lvlText w:val=""/>
      <w:lvlJc w:val="left"/>
      <w:pPr>
        <w:ind w:left="1440" w:hanging="360"/>
      </w:pPr>
      <w:rPr>
        <w:rFonts w:ascii="Symbol" w:hAnsi="Symbol" w:hint="default"/>
      </w:rPr>
    </w:lvl>
    <w:lvl w:ilvl="1" w:tplc="747076EC" w:tentative="1">
      <w:start w:val="1"/>
      <w:numFmt w:val="bullet"/>
      <w:lvlText w:val="o"/>
      <w:lvlJc w:val="left"/>
      <w:pPr>
        <w:ind w:left="2160" w:hanging="360"/>
      </w:pPr>
      <w:rPr>
        <w:rFonts w:ascii="Courier New" w:hAnsi="Courier New" w:cs="Courier New" w:hint="default"/>
      </w:rPr>
    </w:lvl>
    <w:lvl w:ilvl="2" w:tplc="9E70C3FA" w:tentative="1">
      <w:start w:val="1"/>
      <w:numFmt w:val="bullet"/>
      <w:lvlText w:val=""/>
      <w:lvlJc w:val="left"/>
      <w:pPr>
        <w:ind w:left="2880" w:hanging="360"/>
      </w:pPr>
      <w:rPr>
        <w:rFonts w:ascii="Wingdings" w:hAnsi="Wingdings" w:hint="default"/>
      </w:rPr>
    </w:lvl>
    <w:lvl w:ilvl="3" w:tplc="0B4498EA">
      <w:start w:val="1"/>
      <w:numFmt w:val="bullet"/>
      <w:lvlText w:val=""/>
      <w:lvlJc w:val="left"/>
      <w:pPr>
        <w:ind w:left="3600" w:hanging="360"/>
      </w:pPr>
      <w:rPr>
        <w:rFonts w:ascii="Symbol" w:hAnsi="Symbol" w:hint="default"/>
      </w:rPr>
    </w:lvl>
    <w:lvl w:ilvl="4" w:tplc="D1346EDA" w:tentative="1">
      <w:start w:val="1"/>
      <w:numFmt w:val="bullet"/>
      <w:lvlText w:val="o"/>
      <w:lvlJc w:val="left"/>
      <w:pPr>
        <w:ind w:left="4320" w:hanging="360"/>
      </w:pPr>
      <w:rPr>
        <w:rFonts w:ascii="Courier New" w:hAnsi="Courier New" w:cs="Courier New" w:hint="default"/>
      </w:rPr>
    </w:lvl>
    <w:lvl w:ilvl="5" w:tplc="FA38D6BA" w:tentative="1">
      <w:start w:val="1"/>
      <w:numFmt w:val="bullet"/>
      <w:lvlText w:val=""/>
      <w:lvlJc w:val="left"/>
      <w:pPr>
        <w:ind w:left="5040" w:hanging="360"/>
      </w:pPr>
      <w:rPr>
        <w:rFonts w:ascii="Wingdings" w:hAnsi="Wingdings" w:hint="default"/>
      </w:rPr>
    </w:lvl>
    <w:lvl w:ilvl="6" w:tplc="3552022A" w:tentative="1">
      <w:start w:val="1"/>
      <w:numFmt w:val="bullet"/>
      <w:lvlText w:val=""/>
      <w:lvlJc w:val="left"/>
      <w:pPr>
        <w:ind w:left="5760" w:hanging="360"/>
      </w:pPr>
      <w:rPr>
        <w:rFonts w:ascii="Symbol" w:hAnsi="Symbol" w:hint="default"/>
      </w:rPr>
    </w:lvl>
    <w:lvl w:ilvl="7" w:tplc="82A68F2E" w:tentative="1">
      <w:start w:val="1"/>
      <w:numFmt w:val="bullet"/>
      <w:lvlText w:val="o"/>
      <w:lvlJc w:val="left"/>
      <w:pPr>
        <w:ind w:left="6480" w:hanging="360"/>
      </w:pPr>
      <w:rPr>
        <w:rFonts w:ascii="Courier New" w:hAnsi="Courier New" w:cs="Courier New" w:hint="default"/>
      </w:rPr>
    </w:lvl>
    <w:lvl w:ilvl="8" w:tplc="3D4266FA" w:tentative="1">
      <w:start w:val="1"/>
      <w:numFmt w:val="bullet"/>
      <w:lvlText w:val=""/>
      <w:lvlJc w:val="left"/>
      <w:pPr>
        <w:ind w:left="7200" w:hanging="360"/>
      </w:pPr>
      <w:rPr>
        <w:rFonts w:ascii="Wingdings" w:hAnsi="Wingdings" w:hint="default"/>
      </w:rPr>
    </w:lvl>
  </w:abstractNum>
  <w:abstractNum w:abstractNumId="18" w15:restartNumberingAfterBreak="0">
    <w:nsid w:val="609C0DCC"/>
    <w:multiLevelType w:val="multilevel"/>
    <w:tmpl w:val="C658CC18"/>
    <w:lvl w:ilvl="0">
      <w:start w:val="1"/>
      <w:numFmt w:val="decimal"/>
      <w:pStyle w:val="Paragrdouble"/>
      <w:lvlText w:val="[%1]"/>
      <w:lvlJc w:val="left"/>
      <w:pPr>
        <w:tabs>
          <w:tab w:val="num" w:pos="360"/>
        </w:tabs>
        <w:ind w:left="0" w:firstLine="0"/>
      </w:pPr>
      <w:rPr>
        <w:rFonts w:ascii="Arial" w:hAnsi="Arial" w:cs="Arial" w:hint="default"/>
        <w:b w:val="0"/>
        <w:bCs w:val="0"/>
        <w:sz w:val="24"/>
        <w:szCs w:val="24"/>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61F077D6"/>
    <w:multiLevelType w:val="multilevel"/>
    <w:tmpl w:val="2E22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A42DB"/>
    <w:multiLevelType w:val="hybridMultilevel"/>
    <w:tmpl w:val="FDCC0AE4"/>
    <w:lvl w:ilvl="0" w:tplc="31B2E048">
      <w:start w:val="1"/>
      <w:numFmt w:val="bullet"/>
      <w:lvlText w:val=""/>
      <w:lvlJc w:val="left"/>
      <w:pPr>
        <w:ind w:left="1720" w:hanging="360"/>
      </w:pPr>
      <w:rPr>
        <w:rFonts w:ascii="Symbol" w:hAnsi="Symbol" w:hint="default"/>
      </w:rPr>
    </w:lvl>
    <w:lvl w:ilvl="1" w:tplc="E26CCC56" w:tentative="1">
      <w:start w:val="1"/>
      <w:numFmt w:val="bullet"/>
      <w:lvlText w:val="o"/>
      <w:lvlJc w:val="left"/>
      <w:pPr>
        <w:ind w:left="2440" w:hanging="360"/>
      </w:pPr>
      <w:rPr>
        <w:rFonts w:ascii="Courier New" w:hAnsi="Courier New" w:cs="Courier New" w:hint="default"/>
      </w:rPr>
    </w:lvl>
    <w:lvl w:ilvl="2" w:tplc="A4666F9A" w:tentative="1">
      <w:start w:val="1"/>
      <w:numFmt w:val="bullet"/>
      <w:lvlText w:val=""/>
      <w:lvlJc w:val="left"/>
      <w:pPr>
        <w:ind w:left="3160" w:hanging="360"/>
      </w:pPr>
      <w:rPr>
        <w:rFonts w:ascii="Wingdings" w:hAnsi="Wingdings" w:hint="default"/>
      </w:rPr>
    </w:lvl>
    <w:lvl w:ilvl="3" w:tplc="C4269AEA" w:tentative="1">
      <w:start w:val="1"/>
      <w:numFmt w:val="bullet"/>
      <w:lvlText w:val=""/>
      <w:lvlJc w:val="left"/>
      <w:pPr>
        <w:ind w:left="3880" w:hanging="360"/>
      </w:pPr>
      <w:rPr>
        <w:rFonts w:ascii="Symbol" w:hAnsi="Symbol" w:hint="default"/>
      </w:rPr>
    </w:lvl>
    <w:lvl w:ilvl="4" w:tplc="7E168F76" w:tentative="1">
      <w:start w:val="1"/>
      <w:numFmt w:val="bullet"/>
      <w:lvlText w:val="o"/>
      <w:lvlJc w:val="left"/>
      <w:pPr>
        <w:ind w:left="4600" w:hanging="360"/>
      </w:pPr>
      <w:rPr>
        <w:rFonts w:ascii="Courier New" w:hAnsi="Courier New" w:cs="Courier New" w:hint="default"/>
      </w:rPr>
    </w:lvl>
    <w:lvl w:ilvl="5" w:tplc="0D444BA8" w:tentative="1">
      <w:start w:val="1"/>
      <w:numFmt w:val="bullet"/>
      <w:lvlText w:val=""/>
      <w:lvlJc w:val="left"/>
      <w:pPr>
        <w:ind w:left="5320" w:hanging="360"/>
      </w:pPr>
      <w:rPr>
        <w:rFonts w:ascii="Wingdings" w:hAnsi="Wingdings" w:hint="default"/>
      </w:rPr>
    </w:lvl>
    <w:lvl w:ilvl="6" w:tplc="F94C82F4" w:tentative="1">
      <w:start w:val="1"/>
      <w:numFmt w:val="bullet"/>
      <w:lvlText w:val=""/>
      <w:lvlJc w:val="left"/>
      <w:pPr>
        <w:ind w:left="6040" w:hanging="360"/>
      </w:pPr>
      <w:rPr>
        <w:rFonts w:ascii="Symbol" w:hAnsi="Symbol" w:hint="default"/>
      </w:rPr>
    </w:lvl>
    <w:lvl w:ilvl="7" w:tplc="52AE77E0" w:tentative="1">
      <w:start w:val="1"/>
      <w:numFmt w:val="bullet"/>
      <w:lvlText w:val="o"/>
      <w:lvlJc w:val="left"/>
      <w:pPr>
        <w:ind w:left="6760" w:hanging="360"/>
      </w:pPr>
      <w:rPr>
        <w:rFonts w:ascii="Courier New" w:hAnsi="Courier New" w:cs="Courier New" w:hint="default"/>
      </w:rPr>
    </w:lvl>
    <w:lvl w:ilvl="8" w:tplc="3168CC4E" w:tentative="1">
      <w:start w:val="1"/>
      <w:numFmt w:val="bullet"/>
      <w:lvlText w:val=""/>
      <w:lvlJc w:val="left"/>
      <w:pPr>
        <w:ind w:left="7480" w:hanging="360"/>
      </w:pPr>
      <w:rPr>
        <w:rFonts w:ascii="Wingdings" w:hAnsi="Wingdings" w:hint="default"/>
      </w:rPr>
    </w:lvl>
  </w:abstractNum>
  <w:abstractNum w:abstractNumId="21" w15:restartNumberingAfterBreak="0">
    <w:nsid w:val="71F50AF8"/>
    <w:multiLevelType w:val="hybridMultilevel"/>
    <w:tmpl w:val="12745734"/>
    <w:lvl w:ilvl="0" w:tplc="A240F48E">
      <w:start w:val="1"/>
      <w:numFmt w:val="bullet"/>
      <w:lvlText w:val=""/>
      <w:lvlJc w:val="left"/>
      <w:pPr>
        <w:ind w:left="720" w:hanging="360"/>
      </w:pPr>
      <w:rPr>
        <w:rFonts w:ascii="Symbol" w:hAnsi="Symbol" w:hint="default"/>
      </w:rPr>
    </w:lvl>
    <w:lvl w:ilvl="1" w:tplc="9B3E06AE" w:tentative="1">
      <w:start w:val="1"/>
      <w:numFmt w:val="bullet"/>
      <w:lvlText w:val="o"/>
      <w:lvlJc w:val="left"/>
      <w:pPr>
        <w:ind w:left="1440" w:hanging="360"/>
      </w:pPr>
      <w:rPr>
        <w:rFonts w:ascii="Courier New" w:hAnsi="Courier New" w:cs="Courier New" w:hint="default"/>
      </w:rPr>
    </w:lvl>
    <w:lvl w:ilvl="2" w:tplc="B98EEECC" w:tentative="1">
      <w:start w:val="1"/>
      <w:numFmt w:val="bullet"/>
      <w:lvlText w:val=""/>
      <w:lvlJc w:val="left"/>
      <w:pPr>
        <w:ind w:left="2160" w:hanging="360"/>
      </w:pPr>
      <w:rPr>
        <w:rFonts w:ascii="Wingdings" w:hAnsi="Wingdings" w:hint="default"/>
      </w:rPr>
    </w:lvl>
    <w:lvl w:ilvl="3" w:tplc="D19A82EE" w:tentative="1">
      <w:start w:val="1"/>
      <w:numFmt w:val="bullet"/>
      <w:lvlText w:val=""/>
      <w:lvlJc w:val="left"/>
      <w:pPr>
        <w:ind w:left="2880" w:hanging="360"/>
      </w:pPr>
      <w:rPr>
        <w:rFonts w:ascii="Symbol" w:hAnsi="Symbol" w:hint="default"/>
      </w:rPr>
    </w:lvl>
    <w:lvl w:ilvl="4" w:tplc="8640A936" w:tentative="1">
      <w:start w:val="1"/>
      <w:numFmt w:val="bullet"/>
      <w:lvlText w:val="o"/>
      <w:lvlJc w:val="left"/>
      <w:pPr>
        <w:ind w:left="3600" w:hanging="360"/>
      </w:pPr>
      <w:rPr>
        <w:rFonts w:ascii="Courier New" w:hAnsi="Courier New" w:cs="Courier New" w:hint="default"/>
      </w:rPr>
    </w:lvl>
    <w:lvl w:ilvl="5" w:tplc="0616F4BE" w:tentative="1">
      <w:start w:val="1"/>
      <w:numFmt w:val="bullet"/>
      <w:lvlText w:val=""/>
      <w:lvlJc w:val="left"/>
      <w:pPr>
        <w:ind w:left="4320" w:hanging="360"/>
      </w:pPr>
      <w:rPr>
        <w:rFonts w:ascii="Wingdings" w:hAnsi="Wingdings" w:hint="default"/>
      </w:rPr>
    </w:lvl>
    <w:lvl w:ilvl="6" w:tplc="BA7E1A64" w:tentative="1">
      <w:start w:val="1"/>
      <w:numFmt w:val="bullet"/>
      <w:lvlText w:val=""/>
      <w:lvlJc w:val="left"/>
      <w:pPr>
        <w:ind w:left="5040" w:hanging="360"/>
      </w:pPr>
      <w:rPr>
        <w:rFonts w:ascii="Symbol" w:hAnsi="Symbol" w:hint="default"/>
      </w:rPr>
    </w:lvl>
    <w:lvl w:ilvl="7" w:tplc="D682DEB0" w:tentative="1">
      <w:start w:val="1"/>
      <w:numFmt w:val="bullet"/>
      <w:lvlText w:val="o"/>
      <w:lvlJc w:val="left"/>
      <w:pPr>
        <w:ind w:left="5760" w:hanging="360"/>
      </w:pPr>
      <w:rPr>
        <w:rFonts w:ascii="Courier New" w:hAnsi="Courier New" w:cs="Courier New" w:hint="default"/>
      </w:rPr>
    </w:lvl>
    <w:lvl w:ilvl="8" w:tplc="CA2A5C78" w:tentative="1">
      <w:start w:val="1"/>
      <w:numFmt w:val="bullet"/>
      <w:lvlText w:val=""/>
      <w:lvlJc w:val="left"/>
      <w:pPr>
        <w:ind w:left="6480" w:hanging="360"/>
      </w:pPr>
      <w:rPr>
        <w:rFonts w:ascii="Wingdings" w:hAnsi="Wingdings" w:hint="default"/>
      </w:rPr>
    </w:lvl>
  </w:abstractNum>
  <w:num w:numId="1" w16cid:durableId="1837651484">
    <w:abstractNumId w:val="18"/>
  </w:num>
  <w:num w:numId="2" w16cid:durableId="1141923470">
    <w:abstractNumId w:val="18"/>
  </w:num>
  <w:num w:numId="3" w16cid:durableId="344988696">
    <w:abstractNumId w:val="6"/>
  </w:num>
  <w:num w:numId="4" w16cid:durableId="1932740370">
    <w:abstractNumId w:val="5"/>
  </w:num>
  <w:num w:numId="5" w16cid:durableId="817767732">
    <w:abstractNumId w:val="10"/>
  </w:num>
  <w:num w:numId="6" w16cid:durableId="1985425588">
    <w:abstractNumId w:val="3"/>
  </w:num>
  <w:num w:numId="7" w16cid:durableId="212085408">
    <w:abstractNumId w:val="16"/>
  </w:num>
  <w:num w:numId="8" w16cid:durableId="822695766">
    <w:abstractNumId w:val="20"/>
  </w:num>
  <w:num w:numId="9" w16cid:durableId="372771531">
    <w:abstractNumId w:val="21"/>
  </w:num>
  <w:num w:numId="10" w16cid:durableId="1620605282">
    <w:abstractNumId w:val="12"/>
  </w:num>
  <w:num w:numId="11" w16cid:durableId="1097405280">
    <w:abstractNumId w:val="17"/>
  </w:num>
  <w:num w:numId="12" w16cid:durableId="1322273820">
    <w:abstractNumId w:val="9"/>
  </w:num>
  <w:num w:numId="13" w16cid:durableId="663121713">
    <w:abstractNumId w:val="4"/>
  </w:num>
  <w:num w:numId="14" w16cid:durableId="814640124">
    <w:abstractNumId w:val="10"/>
    <w:lvlOverride w:ilvl="0">
      <w:startOverride w:val="1"/>
    </w:lvlOverride>
  </w:num>
  <w:num w:numId="15" w16cid:durableId="963924169">
    <w:abstractNumId w:val="15"/>
  </w:num>
  <w:num w:numId="16" w16cid:durableId="1301836642">
    <w:abstractNumId w:val="7"/>
  </w:num>
  <w:num w:numId="17" w16cid:durableId="1146625442">
    <w:abstractNumId w:val="2"/>
  </w:num>
  <w:num w:numId="18" w16cid:durableId="541601498">
    <w:abstractNumId w:val="8"/>
  </w:num>
  <w:num w:numId="19" w16cid:durableId="428889510">
    <w:abstractNumId w:val="13"/>
  </w:num>
  <w:num w:numId="20" w16cid:durableId="1779450011">
    <w:abstractNumId w:val="1"/>
  </w:num>
  <w:num w:numId="21" w16cid:durableId="702680346">
    <w:abstractNumId w:val="19"/>
  </w:num>
  <w:num w:numId="22" w16cid:durableId="1523667106">
    <w:abstractNumId w:val="0"/>
  </w:num>
  <w:num w:numId="23" w16cid:durableId="153133290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57"/>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8F"/>
    <w:rsid w:val="00001418"/>
    <w:rsid w:val="000017B5"/>
    <w:rsid w:val="000032F7"/>
    <w:rsid w:val="000036A2"/>
    <w:rsid w:val="0000382B"/>
    <w:rsid w:val="000048ED"/>
    <w:rsid w:val="000070AA"/>
    <w:rsid w:val="000074E4"/>
    <w:rsid w:val="00007687"/>
    <w:rsid w:val="00010321"/>
    <w:rsid w:val="000106E4"/>
    <w:rsid w:val="00011428"/>
    <w:rsid w:val="00012DDC"/>
    <w:rsid w:val="00013A43"/>
    <w:rsid w:val="00015952"/>
    <w:rsid w:val="00016F28"/>
    <w:rsid w:val="00020EAA"/>
    <w:rsid w:val="00021072"/>
    <w:rsid w:val="0002151E"/>
    <w:rsid w:val="00022EE6"/>
    <w:rsid w:val="00023425"/>
    <w:rsid w:val="00025548"/>
    <w:rsid w:val="0002588D"/>
    <w:rsid w:val="00026B4F"/>
    <w:rsid w:val="00026C30"/>
    <w:rsid w:val="00027626"/>
    <w:rsid w:val="00030AB2"/>
    <w:rsid w:val="0003383A"/>
    <w:rsid w:val="000400C9"/>
    <w:rsid w:val="000402FD"/>
    <w:rsid w:val="000408F2"/>
    <w:rsid w:val="0004112A"/>
    <w:rsid w:val="000426CC"/>
    <w:rsid w:val="00042EC2"/>
    <w:rsid w:val="00043624"/>
    <w:rsid w:val="0004608A"/>
    <w:rsid w:val="000468AD"/>
    <w:rsid w:val="00046C92"/>
    <w:rsid w:val="000479E0"/>
    <w:rsid w:val="00050976"/>
    <w:rsid w:val="00050DC8"/>
    <w:rsid w:val="00051BB4"/>
    <w:rsid w:val="000520C5"/>
    <w:rsid w:val="00052E50"/>
    <w:rsid w:val="00054076"/>
    <w:rsid w:val="00054D28"/>
    <w:rsid w:val="00061364"/>
    <w:rsid w:val="0007187E"/>
    <w:rsid w:val="0007207B"/>
    <w:rsid w:val="00075A58"/>
    <w:rsid w:val="00077120"/>
    <w:rsid w:val="0007747E"/>
    <w:rsid w:val="00080E3D"/>
    <w:rsid w:val="00081BA8"/>
    <w:rsid w:val="000824B2"/>
    <w:rsid w:val="000825ED"/>
    <w:rsid w:val="00083258"/>
    <w:rsid w:val="0008475B"/>
    <w:rsid w:val="000851DE"/>
    <w:rsid w:val="00085604"/>
    <w:rsid w:val="00085A9D"/>
    <w:rsid w:val="000866E8"/>
    <w:rsid w:val="00087234"/>
    <w:rsid w:val="00087392"/>
    <w:rsid w:val="00090FD0"/>
    <w:rsid w:val="00092372"/>
    <w:rsid w:val="00093450"/>
    <w:rsid w:val="0009517E"/>
    <w:rsid w:val="00096BE4"/>
    <w:rsid w:val="00097746"/>
    <w:rsid w:val="000A0C11"/>
    <w:rsid w:val="000A1868"/>
    <w:rsid w:val="000A2BD7"/>
    <w:rsid w:val="000A3312"/>
    <w:rsid w:val="000A5A22"/>
    <w:rsid w:val="000A6A5B"/>
    <w:rsid w:val="000A72F6"/>
    <w:rsid w:val="000B2865"/>
    <w:rsid w:val="000B332B"/>
    <w:rsid w:val="000B7262"/>
    <w:rsid w:val="000C0210"/>
    <w:rsid w:val="000C2F28"/>
    <w:rsid w:val="000C4651"/>
    <w:rsid w:val="000C4A1F"/>
    <w:rsid w:val="000C60D6"/>
    <w:rsid w:val="000D0B7A"/>
    <w:rsid w:val="000D0BDC"/>
    <w:rsid w:val="000D5D04"/>
    <w:rsid w:val="000D60E7"/>
    <w:rsid w:val="000E1DC6"/>
    <w:rsid w:val="000E2522"/>
    <w:rsid w:val="000E4F33"/>
    <w:rsid w:val="000E56A1"/>
    <w:rsid w:val="000E6029"/>
    <w:rsid w:val="000F01D0"/>
    <w:rsid w:val="000F285B"/>
    <w:rsid w:val="000F2B4B"/>
    <w:rsid w:val="000F378F"/>
    <w:rsid w:val="000F5C17"/>
    <w:rsid w:val="001008BD"/>
    <w:rsid w:val="001034E9"/>
    <w:rsid w:val="0010723F"/>
    <w:rsid w:val="00110D35"/>
    <w:rsid w:val="0011143D"/>
    <w:rsid w:val="00115A95"/>
    <w:rsid w:val="001163B7"/>
    <w:rsid w:val="00121A72"/>
    <w:rsid w:val="0012341A"/>
    <w:rsid w:val="001275CF"/>
    <w:rsid w:val="001278ED"/>
    <w:rsid w:val="0013033E"/>
    <w:rsid w:val="0013059B"/>
    <w:rsid w:val="00130710"/>
    <w:rsid w:val="001340CC"/>
    <w:rsid w:val="00136683"/>
    <w:rsid w:val="0013759C"/>
    <w:rsid w:val="00143308"/>
    <w:rsid w:val="001509D3"/>
    <w:rsid w:val="00151ABD"/>
    <w:rsid w:val="00151CBA"/>
    <w:rsid w:val="00152B3C"/>
    <w:rsid w:val="0015465C"/>
    <w:rsid w:val="001555DC"/>
    <w:rsid w:val="00155938"/>
    <w:rsid w:val="00157A61"/>
    <w:rsid w:val="00161447"/>
    <w:rsid w:val="00161C6E"/>
    <w:rsid w:val="00163B63"/>
    <w:rsid w:val="001640D0"/>
    <w:rsid w:val="00165150"/>
    <w:rsid w:val="00165830"/>
    <w:rsid w:val="00166056"/>
    <w:rsid w:val="00166138"/>
    <w:rsid w:val="001662A2"/>
    <w:rsid w:val="001677F8"/>
    <w:rsid w:val="00170CDF"/>
    <w:rsid w:val="00170F34"/>
    <w:rsid w:val="00171A57"/>
    <w:rsid w:val="00173126"/>
    <w:rsid w:val="00173136"/>
    <w:rsid w:val="001738F9"/>
    <w:rsid w:val="00173A8A"/>
    <w:rsid w:val="00175340"/>
    <w:rsid w:val="0017540E"/>
    <w:rsid w:val="00175DBE"/>
    <w:rsid w:val="001765D1"/>
    <w:rsid w:val="00186499"/>
    <w:rsid w:val="00187157"/>
    <w:rsid w:val="00187CA8"/>
    <w:rsid w:val="00190D13"/>
    <w:rsid w:val="001A2825"/>
    <w:rsid w:val="001A2A9B"/>
    <w:rsid w:val="001A2B4B"/>
    <w:rsid w:val="001A366E"/>
    <w:rsid w:val="001A3670"/>
    <w:rsid w:val="001A4FE5"/>
    <w:rsid w:val="001A5B28"/>
    <w:rsid w:val="001A6F33"/>
    <w:rsid w:val="001A786C"/>
    <w:rsid w:val="001B0A1C"/>
    <w:rsid w:val="001B0DA6"/>
    <w:rsid w:val="001B2256"/>
    <w:rsid w:val="001B362D"/>
    <w:rsid w:val="001B4C82"/>
    <w:rsid w:val="001C20AB"/>
    <w:rsid w:val="001C58EB"/>
    <w:rsid w:val="001C5BA3"/>
    <w:rsid w:val="001D3E41"/>
    <w:rsid w:val="001D44D7"/>
    <w:rsid w:val="001D5ED2"/>
    <w:rsid w:val="001D5F69"/>
    <w:rsid w:val="001D63DA"/>
    <w:rsid w:val="001D6D2C"/>
    <w:rsid w:val="001D7E30"/>
    <w:rsid w:val="001E02EC"/>
    <w:rsid w:val="001E0C4E"/>
    <w:rsid w:val="001E0F27"/>
    <w:rsid w:val="001E270B"/>
    <w:rsid w:val="001E3602"/>
    <w:rsid w:val="001E3B7D"/>
    <w:rsid w:val="001E6D42"/>
    <w:rsid w:val="001F0E42"/>
    <w:rsid w:val="001F13D7"/>
    <w:rsid w:val="001F158C"/>
    <w:rsid w:val="001F1C40"/>
    <w:rsid w:val="001F20CB"/>
    <w:rsid w:val="001F2C77"/>
    <w:rsid w:val="001F5163"/>
    <w:rsid w:val="002013CD"/>
    <w:rsid w:val="00201721"/>
    <w:rsid w:val="00203F3D"/>
    <w:rsid w:val="00205D36"/>
    <w:rsid w:val="00205DD6"/>
    <w:rsid w:val="00210BB6"/>
    <w:rsid w:val="002112E2"/>
    <w:rsid w:val="002113CE"/>
    <w:rsid w:val="002119DB"/>
    <w:rsid w:val="00212619"/>
    <w:rsid w:val="00212F4E"/>
    <w:rsid w:val="002132E4"/>
    <w:rsid w:val="002153B2"/>
    <w:rsid w:val="00215909"/>
    <w:rsid w:val="0021595C"/>
    <w:rsid w:val="00216C3A"/>
    <w:rsid w:val="00216FF3"/>
    <w:rsid w:val="0021732E"/>
    <w:rsid w:val="00230D30"/>
    <w:rsid w:val="00231438"/>
    <w:rsid w:val="00232D7B"/>
    <w:rsid w:val="00233645"/>
    <w:rsid w:val="00233C51"/>
    <w:rsid w:val="002353D6"/>
    <w:rsid w:val="002401F3"/>
    <w:rsid w:val="00240A30"/>
    <w:rsid w:val="00240C2A"/>
    <w:rsid w:val="00240EE7"/>
    <w:rsid w:val="002416D9"/>
    <w:rsid w:val="00242542"/>
    <w:rsid w:val="00243516"/>
    <w:rsid w:val="0024363A"/>
    <w:rsid w:val="00243760"/>
    <w:rsid w:val="00243E6C"/>
    <w:rsid w:val="0024728D"/>
    <w:rsid w:val="002475C7"/>
    <w:rsid w:val="002519CB"/>
    <w:rsid w:val="00252356"/>
    <w:rsid w:val="002528CF"/>
    <w:rsid w:val="00252A82"/>
    <w:rsid w:val="00254270"/>
    <w:rsid w:val="002544DE"/>
    <w:rsid w:val="002553BB"/>
    <w:rsid w:val="00255F50"/>
    <w:rsid w:val="0026177C"/>
    <w:rsid w:val="00263C51"/>
    <w:rsid w:val="00264485"/>
    <w:rsid w:val="00264F6E"/>
    <w:rsid w:val="00265BDE"/>
    <w:rsid w:val="00265CB0"/>
    <w:rsid w:val="00265F38"/>
    <w:rsid w:val="00266F91"/>
    <w:rsid w:val="00267ADE"/>
    <w:rsid w:val="00270318"/>
    <w:rsid w:val="00270475"/>
    <w:rsid w:val="002723E6"/>
    <w:rsid w:val="002749E2"/>
    <w:rsid w:val="00276682"/>
    <w:rsid w:val="00276888"/>
    <w:rsid w:val="00280158"/>
    <w:rsid w:val="00281ADF"/>
    <w:rsid w:val="00283636"/>
    <w:rsid w:val="0029279A"/>
    <w:rsid w:val="00294968"/>
    <w:rsid w:val="00296369"/>
    <w:rsid w:val="00297FBE"/>
    <w:rsid w:val="002A0A17"/>
    <w:rsid w:val="002A563F"/>
    <w:rsid w:val="002A6609"/>
    <w:rsid w:val="002A6BC1"/>
    <w:rsid w:val="002A6BF1"/>
    <w:rsid w:val="002A7741"/>
    <w:rsid w:val="002A7B92"/>
    <w:rsid w:val="002A7F5A"/>
    <w:rsid w:val="002B06A0"/>
    <w:rsid w:val="002B0CA1"/>
    <w:rsid w:val="002B27C2"/>
    <w:rsid w:val="002B33E0"/>
    <w:rsid w:val="002B500B"/>
    <w:rsid w:val="002B650A"/>
    <w:rsid w:val="002B78CB"/>
    <w:rsid w:val="002B79F0"/>
    <w:rsid w:val="002C11CB"/>
    <w:rsid w:val="002C231F"/>
    <w:rsid w:val="002C458E"/>
    <w:rsid w:val="002C5DAB"/>
    <w:rsid w:val="002C63E9"/>
    <w:rsid w:val="002C7D33"/>
    <w:rsid w:val="002C7F74"/>
    <w:rsid w:val="002D2BD3"/>
    <w:rsid w:val="002D48C4"/>
    <w:rsid w:val="002E103C"/>
    <w:rsid w:val="002E4661"/>
    <w:rsid w:val="002E60A3"/>
    <w:rsid w:val="002F28DC"/>
    <w:rsid w:val="002F3084"/>
    <w:rsid w:val="002F4672"/>
    <w:rsid w:val="002F5AA0"/>
    <w:rsid w:val="00303737"/>
    <w:rsid w:val="0030528C"/>
    <w:rsid w:val="00305C58"/>
    <w:rsid w:val="00307439"/>
    <w:rsid w:val="00310C40"/>
    <w:rsid w:val="00313D33"/>
    <w:rsid w:val="003142F2"/>
    <w:rsid w:val="00317F86"/>
    <w:rsid w:val="00320BB3"/>
    <w:rsid w:val="00321707"/>
    <w:rsid w:val="0032206A"/>
    <w:rsid w:val="00322427"/>
    <w:rsid w:val="00323213"/>
    <w:rsid w:val="0032401E"/>
    <w:rsid w:val="00324A15"/>
    <w:rsid w:val="00324A7E"/>
    <w:rsid w:val="003255AA"/>
    <w:rsid w:val="00327709"/>
    <w:rsid w:val="00327C71"/>
    <w:rsid w:val="0033001F"/>
    <w:rsid w:val="00330687"/>
    <w:rsid w:val="00331DEC"/>
    <w:rsid w:val="00332669"/>
    <w:rsid w:val="00333723"/>
    <w:rsid w:val="00334BC4"/>
    <w:rsid w:val="00334C07"/>
    <w:rsid w:val="00335D6A"/>
    <w:rsid w:val="003375A9"/>
    <w:rsid w:val="00341977"/>
    <w:rsid w:val="003419CD"/>
    <w:rsid w:val="00343C12"/>
    <w:rsid w:val="00346238"/>
    <w:rsid w:val="00346FAD"/>
    <w:rsid w:val="00350084"/>
    <w:rsid w:val="003501CB"/>
    <w:rsid w:val="0035069F"/>
    <w:rsid w:val="00357A7E"/>
    <w:rsid w:val="00360EA8"/>
    <w:rsid w:val="00362A4C"/>
    <w:rsid w:val="0036350E"/>
    <w:rsid w:val="00366077"/>
    <w:rsid w:val="0036798B"/>
    <w:rsid w:val="00370F8B"/>
    <w:rsid w:val="00371D66"/>
    <w:rsid w:val="00372042"/>
    <w:rsid w:val="00372087"/>
    <w:rsid w:val="00372312"/>
    <w:rsid w:val="00374305"/>
    <w:rsid w:val="003752DF"/>
    <w:rsid w:val="00376197"/>
    <w:rsid w:val="003761E0"/>
    <w:rsid w:val="003762E3"/>
    <w:rsid w:val="00377E25"/>
    <w:rsid w:val="0038256B"/>
    <w:rsid w:val="00383C44"/>
    <w:rsid w:val="0038779C"/>
    <w:rsid w:val="00387863"/>
    <w:rsid w:val="00390876"/>
    <w:rsid w:val="003916DF"/>
    <w:rsid w:val="00391FAC"/>
    <w:rsid w:val="003935A3"/>
    <w:rsid w:val="00393B58"/>
    <w:rsid w:val="0039453E"/>
    <w:rsid w:val="003959B2"/>
    <w:rsid w:val="0039793C"/>
    <w:rsid w:val="003A09FC"/>
    <w:rsid w:val="003A0B38"/>
    <w:rsid w:val="003A14E3"/>
    <w:rsid w:val="003A1F34"/>
    <w:rsid w:val="003A3141"/>
    <w:rsid w:val="003A3CF1"/>
    <w:rsid w:val="003A4392"/>
    <w:rsid w:val="003A6FB7"/>
    <w:rsid w:val="003B0268"/>
    <w:rsid w:val="003B056E"/>
    <w:rsid w:val="003B1382"/>
    <w:rsid w:val="003B1E68"/>
    <w:rsid w:val="003B1EC4"/>
    <w:rsid w:val="003B238C"/>
    <w:rsid w:val="003B239D"/>
    <w:rsid w:val="003B269B"/>
    <w:rsid w:val="003B5CA7"/>
    <w:rsid w:val="003B6195"/>
    <w:rsid w:val="003C0C38"/>
    <w:rsid w:val="003C3336"/>
    <w:rsid w:val="003C535D"/>
    <w:rsid w:val="003C5904"/>
    <w:rsid w:val="003C7CCC"/>
    <w:rsid w:val="003D1746"/>
    <w:rsid w:val="003D23FB"/>
    <w:rsid w:val="003D28BC"/>
    <w:rsid w:val="003D32ED"/>
    <w:rsid w:val="003D4DFA"/>
    <w:rsid w:val="003D7654"/>
    <w:rsid w:val="003E0859"/>
    <w:rsid w:val="003E0A38"/>
    <w:rsid w:val="003E32B1"/>
    <w:rsid w:val="003E43E2"/>
    <w:rsid w:val="003E55E0"/>
    <w:rsid w:val="003E5EDA"/>
    <w:rsid w:val="003E64F2"/>
    <w:rsid w:val="003F0328"/>
    <w:rsid w:val="003F09A8"/>
    <w:rsid w:val="003F199F"/>
    <w:rsid w:val="003F24E3"/>
    <w:rsid w:val="003F42B6"/>
    <w:rsid w:val="003F53F1"/>
    <w:rsid w:val="003F744A"/>
    <w:rsid w:val="0040179B"/>
    <w:rsid w:val="00401C39"/>
    <w:rsid w:val="00404506"/>
    <w:rsid w:val="00404649"/>
    <w:rsid w:val="004071A0"/>
    <w:rsid w:val="00410602"/>
    <w:rsid w:val="00411F83"/>
    <w:rsid w:val="0041449F"/>
    <w:rsid w:val="004162B0"/>
    <w:rsid w:val="004163F1"/>
    <w:rsid w:val="00416646"/>
    <w:rsid w:val="0042568E"/>
    <w:rsid w:val="004268A5"/>
    <w:rsid w:val="00427844"/>
    <w:rsid w:val="00433B37"/>
    <w:rsid w:val="00433D02"/>
    <w:rsid w:val="004350A0"/>
    <w:rsid w:val="00435DE5"/>
    <w:rsid w:val="004372DE"/>
    <w:rsid w:val="00437E7F"/>
    <w:rsid w:val="0044234B"/>
    <w:rsid w:val="0044389C"/>
    <w:rsid w:val="00443FBE"/>
    <w:rsid w:val="00446FA6"/>
    <w:rsid w:val="00446FE9"/>
    <w:rsid w:val="00450F6B"/>
    <w:rsid w:val="004547B9"/>
    <w:rsid w:val="0045486F"/>
    <w:rsid w:val="00456F81"/>
    <w:rsid w:val="00460CFA"/>
    <w:rsid w:val="00461BCF"/>
    <w:rsid w:val="00461FE0"/>
    <w:rsid w:val="00463770"/>
    <w:rsid w:val="00463A36"/>
    <w:rsid w:val="004642C7"/>
    <w:rsid w:val="00464DDA"/>
    <w:rsid w:val="00464ED6"/>
    <w:rsid w:val="00465DEE"/>
    <w:rsid w:val="004713A9"/>
    <w:rsid w:val="004713AE"/>
    <w:rsid w:val="00471B9A"/>
    <w:rsid w:val="004721C7"/>
    <w:rsid w:val="004750AA"/>
    <w:rsid w:val="004812F6"/>
    <w:rsid w:val="004826B9"/>
    <w:rsid w:val="0048308A"/>
    <w:rsid w:val="0048624B"/>
    <w:rsid w:val="00491579"/>
    <w:rsid w:val="0049496C"/>
    <w:rsid w:val="004958C1"/>
    <w:rsid w:val="004974E2"/>
    <w:rsid w:val="00497D21"/>
    <w:rsid w:val="004A1219"/>
    <w:rsid w:val="004A1290"/>
    <w:rsid w:val="004A2CE9"/>
    <w:rsid w:val="004A3CDE"/>
    <w:rsid w:val="004A4470"/>
    <w:rsid w:val="004B0093"/>
    <w:rsid w:val="004B2FFE"/>
    <w:rsid w:val="004B3260"/>
    <w:rsid w:val="004B3A68"/>
    <w:rsid w:val="004B6788"/>
    <w:rsid w:val="004C01A2"/>
    <w:rsid w:val="004C440C"/>
    <w:rsid w:val="004C48B1"/>
    <w:rsid w:val="004D3566"/>
    <w:rsid w:val="004D63C7"/>
    <w:rsid w:val="004E0BAA"/>
    <w:rsid w:val="004E14BB"/>
    <w:rsid w:val="004E4DFF"/>
    <w:rsid w:val="004E59F6"/>
    <w:rsid w:val="004E6A3B"/>
    <w:rsid w:val="004F0BEB"/>
    <w:rsid w:val="004F27E8"/>
    <w:rsid w:val="004F2E97"/>
    <w:rsid w:val="004F46BC"/>
    <w:rsid w:val="004F59F7"/>
    <w:rsid w:val="004F63D2"/>
    <w:rsid w:val="005009EC"/>
    <w:rsid w:val="00505D2A"/>
    <w:rsid w:val="005070AD"/>
    <w:rsid w:val="005079E4"/>
    <w:rsid w:val="0051160F"/>
    <w:rsid w:val="00513626"/>
    <w:rsid w:val="00516C8A"/>
    <w:rsid w:val="00517047"/>
    <w:rsid w:val="0051778C"/>
    <w:rsid w:val="005200E4"/>
    <w:rsid w:val="005223AB"/>
    <w:rsid w:val="00523E30"/>
    <w:rsid w:val="00527F5A"/>
    <w:rsid w:val="005352DE"/>
    <w:rsid w:val="00536590"/>
    <w:rsid w:val="0054069B"/>
    <w:rsid w:val="0054179C"/>
    <w:rsid w:val="005451D0"/>
    <w:rsid w:val="005502BD"/>
    <w:rsid w:val="00550F2E"/>
    <w:rsid w:val="00551785"/>
    <w:rsid w:val="0055261B"/>
    <w:rsid w:val="005529DD"/>
    <w:rsid w:val="0055471F"/>
    <w:rsid w:val="005554F5"/>
    <w:rsid w:val="005557CD"/>
    <w:rsid w:val="00555ACE"/>
    <w:rsid w:val="00555D7D"/>
    <w:rsid w:val="00561913"/>
    <w:rsid w:val="00572268"/>
    <w:rsid w:val="005722E8"/>
    <w:rsid w:val="00574FE8"/>
    <w:rsid w:val="0057791D"/>
    <w:rsid w:val="00580C9F"/>
    <w:rsid w:val="00582BDF"/>
    <w:rsid w:val="005852F3"/>
    <w:rsid w:val="005866B5"/>
    <w:rsid w:val="00586C37"/>
    <w:rsid w:val="00586F8D"/>
    <w:rsid w:val="0058709B"/>
    <w:rsid w:val="00591787"/>
    <w:rsid w:val="005951CE"/>
    <w:rsid w:val="00595946"/>
    <w:rsid w:val="0059652F"/>
    <w:rsid w:val="0059672D"/>
    <w:rsid w:val="005A1DB4"/>
    <w:rsid w:val="005A2366"/>
    <w:rsid w:val="005A5BC9"/>
    <w:rsid w:val="005A6BD1"/>
    <w:rsid w:val="005A6E10"/>
    <w:rsid w:val="005B13FD"/>
    <w:rsid w:val="005B2318"/>
    <w:rsid w:val="005B2C44"/>
    <w:rsid w:val="005B5C98"/>
    <w:rsid w:val="005B688F"/>
    <w:rsid w:val="005B709D"/>
    <w:rsid w:val="005C0F27"/>
    <w:rsid w:val="005C39FC"/>
    <w:rsid w:val="005C6428"/>
    <w:rsid w:val="005D014E"/>
    <w:rsid w:val="005D04B0"/>
    <w:rsid w:val="005D22CF"/>
    <w:rsid w:val="005D6415"/>
    <w:rsid w:val="005E0114"/>
    <w:rsid w:val="005E1015"/>
    <w:rsid w:val="005E166D"/>
    <w:rsid w:val="005E2BFB"/>
    <w:rsid w:val="005E45A1"/>
    <w:rsid w:val="005E56D6"/>
    <w:rsid w:val="005E749E"/>
    <w:rsid w:val="005F2C14"/>
    <w:rsid w:val="005F42A4"/>
    <w:rsid w:val="005F466C"/>
    <w:rsid w:val="005F60A9"/>
    <w:rsid w:val="005F7F67"/>
    <w:rsid w:val="006003B8"/>
    <w:rsid w:val="006018FB"/>
    <w:rsid w:val="006073CF"/>
    <w:rsid w:val="00610528"/>
    <w:rsid w:val="006126FB"/>
    <w:rsid w:val="00612969"/>
    <w:rsid w:val="00612F60"/>
    <w:rsid w:val="00622D27"/>
    <w:rsid w:val="0062416E"/>
    <w:rsid w:val="00626BBD"/>
    <w:rsid w:val="00631423"/>
    <w:rsid w:val="00631A70"/>
    <w:rsid w:val="00633B6C"/>
    <w:rsid w:val="00634322"/>
    <w:rsid w:val="00636DA2"/>
    <w:rsid w:val="006404B9"/>
    <w:rsid w:val="00641149"/>
    <w:rsid w:val="006457A0"/>
    <w:rsid w:val="006539F6"/>
    <w:rsid w:val="00653F14"/>
    <w:rsid w:val="00653FC6"/>
    <w:rsid w:val="00656CDE"/>
    <w:rsid w:val="0066117D"/>
    <w:rsid w:val="006613C5"/>
    <w:rsid w:val="00666845"/>
    <w:rsid w:val="006673B2"/>
    <w:rsid w:val="006727D0"/>
    <w:rsid w:val="00672EEB"/>
    <w:rsid w:val="00673025"/>
    <w:rsid w:val="00673963"/>
    <w:rsid w:val="00681CE5"/>
    <w:rsid w:val="006829F2"/>
    <w:rsid w:val="006831A0"/>
    <w:rsid w:val="0068395F"/>
    <w:rsid w:val="006844E0"/>
    <w:rsid w:val="0068575C"/>
    <w:rsid w:val="00685F60"/>
    <w:rsid w:val="00686D2D"/>
    <w:rsid w:val="0069017C"/>
    <w:rsid w:val="00690375"/>
    <w:rsid w:val="00691B96"/>
    <w:rsid w:val="00692256"/>
    <w:rsid w:val="00692FED"/>
    <w:rsid w:val="00693087"/>
    <w:rsid w:val="0069356A"/>
    <w:rsid w:val="006940FC"/>
    <w:rsid w:val="00694171"/>
    <w:rsid w:val="00694A21"/>
    <w:rsid w:val="006A00FD"/>
    <w:rsid w:val="006A1846"/>
    <w:rsid w:val="006A1BC3"/>
    <w:rsid w:val="006A3179"/>
    <w:rsid w:val="006A3904"/>
    <w:rsid w:val="006A3D7B"/>
    <w:rsid w:val="006A482C"/>
    <w:rsid w:val="006B0328"/>
    <w:rsid w:val="006B04D7"/>
    <w:rsid w:val="006B068C"/>
    <w:rsid w:val="006B185D"/>
    <w:rsid w:val="006B7726"/>
    <w:rsid w:val="006B7C9C"/>
    <w:rsid w:val="006C01F8"/>
    <w:rsid w:val="006C0FBC"/>
    <w:rsid w:val="006C1FFC"/>
    <w:rsid w:val="006C5514"/>
    <w:rsid w:val="006C6322"/>
    <w:rsid w:val="006C637F"/>
    <w:rsid w:val="006C7AD3"/>
    <w:rsid w:val="006D0384"/>
    <w:rsid w:val="006D0AC2"/>
    <w:rsid w:val="006D12BC"/>
    <w:rsid w:val="006D3612"/>
    <w:rsid w:val="006D3A44"/>
    <w:rsid w:val="006D421A"/>
    <w:rsid w:val="006D4F4A"/>
    <w:rsid w:val="006D4FEC"/>
    <w:rsid w:val="006D6417"/>
    <w:rsid w:val="006D7DEF"/>
    <w:rsid w:val="006E1693"/>
    <w:rsid w:val="006E184B"/>
    <w:rsid w:val="006E1F87"/>
    <w:rsid w:val="006E3A82"/>
    <w:rsid w:val="006E4989"/>
    <w:rsid w:val="006F4882"/>
    <w:rsid w:val="006F5075"/>
    <w:rsid w:val="006F6777"/>
    <w:rsid w:val="0070024F"/>
    <w:rsid w:val="00700583"/>
    <w:rsid w:val="00701F75"/>
    <w:rsid w:val="00703539"/>
    <w:rsid w:val="00704266"/>
    <w:rsid w:val="007069AA"/>
    <w:rsid w:val="00706BA0"/>
    <w:rsid w:val="00707088"/>
    <w:rsid w:val="0071635E"/>
    <w:rsid w:val="00716468"/>
    <w:rsid w:val="00720329"/>
    <w:rsid w:val="0072036F"/>
    <w:rsid w:val="00720783"/>
    <w:rsid w:val="00720FAF"/>
    <w:rsid w:val="00722F1D"/>
    <w:rsid w:val="00723D6D"/>
    <w:rsid w:val="007310D7"/>
    <w:rsid w:val="007313F2"/>
    <w:rsid w:val="00731621"/>
    <w:rsid w:val="007359E1"/>
    <w:rsid w:val="007365D6"/>
    <w:rsid w:val="0074265A"/>
    <w:rsid w:val="00742C55"/>
    <w:rsid w:val="00743D54"/>
    <w:rsid w:val="007442C8"/>
    <w:rsid w:val="007511A4"/>
    <w:rsid w:val="007516F2"/>
    <w:rsid w:val="007519AC"/>
    <w:rsid w:val="007543E2"/>
    <w:rsid w:val="00757FAF"/>
    <w:rsid w:val="00760399"/>
    <w:rsid w:val="00761460"/>
    <w:rsid w:val="00762696"/>
    <w:rsid w:val="00763204"/>
    <w:rsid w:val="007639CE"/>
    <w:rsid w:val="00764840"/>
    <w:rsid w:val="00772542"/>
    <w:rsid w:val="0077268D"/>
    <w:rsid w:val="0077577A"/>
    <w:rsid w:val="00775BDF"/>
    <w:rsid w:val="00776E82"/>
    <w:rsid w:val="007804C8"/>
    <w:rsid w:val="00780D9F"/>
    <w:rsid w:val="00781653"/>
    <w:rsid w:val="00787230"/>
    <w:rsid w:val="00795DD3"/>
    <w:rsid w:val="007A128F"/>
    <w:rsid w:val="007A41BF"/>
    <w:rsid w:val="007A4BDD"/>
    <w:rsid w:val="007A7D53"/>
    <w:rsid w:val="007B0478"/>
    <w:rsid w:val="007B3674"/>
    <w:rsid w:val="007B4ADC"/>
    <w:rsid w:val="007B7032"/>
    <w:rsid w:val="007B767F"/>
    <w:rsid w:val="007C01FA"/>
    <w:rsid w:val="007C0944"/>
    <w:rsid w:val="007C2B4A"/>
    <w:rsid w:val="007C3247"/>
    <w:rsid w:val="007D0148"/>
    <w:rsid w:val="007D31D1"/>
    <w:rsid w:val="007D477E"/>
    <w:rsid w:val="007D4C93"/>
    <w:rsid w:val="007D526D"/>
    <w:rsid w:val="007E167A"/>
    <w:rsid w:val="007E22B7"/>
    <w:rsid w:val="007E28FA"/>
    <w:rsid w:val="007E6C5F"/>
    <w:rsid w:val="007E78A1"/>
    <w:rsid w:val="007F1A9D"/>
    <w:rsid w:val="007F23BE"/>
    <w:rsid w:val="007F29F3"/>
    <w:rsid w:val="007F2BAE"/>
    <w:rsid w:val="007F4BD5"/>
    <w:rsid w:val="007F4BF9"/>
    <w:rsid w:val="007F53DA"/>
    <w:rsid w:val="007F6D10"/>
    <w:rsid w:val="007F753F"/>
    <w:rsid w:val="00800026"/>
    <w:rsid w:val="00800B91"/>
    <w:rsid w:val="00801094"/>
    <w:rsid w:val="00801245"/>
    <w:rsid w:val="008034D9"/>
    <w:rsid w:val="0080354A"/>
    <w:rsid w:val="00805191"/>
    <w:rsid w:val="00806B6F"/>
    <w:rsid w:val="00807E9B"/>
    <w:rsid w:val="0081070D"/>
    <w:rsid w:val="00810F4F"/>
    <w:rsid w:val="00812F1F"/>
    <w:rsid w:val="008136FB"/>
    <w:rsid w:val="008154C6"/>
    <w:rsid w:val="00817EAB"/>
    <w:rsid w:val="00821C83"/>
    <w:rsid w:val="00822021"/>
    <w:rsid w:val="00822668"/>
    <w:rsid w:val="00823F78"/>
    <w:rsid w:val="00824A65"/>
    <w:rsid w:val="0082601B"/>
    <w:rsid w:val="00830A2A"/>
    <w:rsid w:val="00831DB8"/>
    <w:rsid w:val="008332AA"/>
    <w:rsid w:val="00834FB8"/>
    <w:rsid w:val="00835447"/>
    <w:rsid w:val="00840E04"/>
    <w:rsid w:val="00841EA4"/>
    <w:rsid w:val="00842227"/>
    <w:rsid w:val="008423B4"/>
    <w:rsid w:val="0084321F"/>
    <w:rsid w:val="008445F6"/>
    <w:rsid w:val="00844E3A"/>
    <w:rsid w:val="00845601"/>
    <w:rsid w:val="00845CB6"/>
    <w:rsid w:val="0085062A"/>
    <w:rsid w:val="00851417"/>
    <w:rsid w:val="00851803"/>
    <w:rsid w:val="00852328"/>
    <w:rsid w:val="00853293"/>
    <w:rsid w:val="00853675"/>
    <w:rsid w:val="008552BA"/>
    <w:rsid w:val="008557E7"/>
    <w:rsid w:val="00856AA5"/>
    <w:rsid w:val="0086081F"/>
    <w:rsid w:val="00862908"/>
    <w:rsid w:val="00866C3D"/>
    <w:rsid w:val="00866E15"/>
    <w:rsid w:val="0086763F"/>
    <w:rsid w:val="008705B5"/>
    <w:rsid w:val="00870E53"/>
    <w:rsid w:val="008743F6"/>
    <w:rsid w:val="008760EC"/>
    <w:rsid w:val="00876891"/>
    <w:rsid w:val="00877C63"/>
    <w:rsid w:val="0088355B"/>
    <w:rsid w:val="00883D78"/>
    <w:rsid w:val="008852AD"/>
    <w:rsid w:val="00887AA7"/>
    <w:rsid w:val="00890B03"/>
    <w:rsid w:val="00890B9B"/>
    <w:rsid w:val="00891F69"/>
    <w:rsid w:val="00892DF2"/>
    <w:rsid w:val="00893921"/>
    <w:rsid w:val="00896420"/>
    <w:rsid w:val="008A092D"/>
    <w:rsid w:val="008A3B98"/>
    <w:rsid w:val="008A3FC4"/>
    <w:rsid w:val="008A4532"/>
    <w:rsid w:val="008A4F32"/>
    <w:rsid w:val="008A5221"/>
    <w:rsid w:val="008A52CC"/>
    <w:rsid w:val="008A53AA"/>
    <w:rsid w:val="008A5FCC"/>
    <w:rsid w:val="008A7DDE"/>
    <w:rsid w:val="008B154B"/>
    <w:rsid w:val="008B205D"/>
    <w:rsid w:val="008B4D5E"/>
    <w:rsid w:val="008B69A3"/>
    <w:rsid w:val="008B7407"/>
    <w:rsid w:val="008C0354"/>
    <w:rsid w:val="008C0ECB"/>
    <w:rsid w:val="008C1B63"/>
    <w:rsid w:val="008C34D0"/>
    <w:rsid w:val="008C449D"/>
    <w:rsid w:val="008C4B6D"/>
    <w:rsid w:val="008D0996"/>
    <w:rsid w:val="008D1921"/>
    <w:rsid w:val="008D1B57"/>
    <w:rsid w:val="008D2AB8"/>
    <w:rsid w:val="008D2EAC"/>
    <w:rsid w:val="008D30C7"/>
    <w:rsid w:val="008D33A4"/>
    <w:rsid w:val="008D463B"/>
    <w:rsid w:val="008D4CBF"/>
    <w:rsid w:val="008D5CBC"/>
    <w:rsid w:val="008D5FEB"/>
    <w:rsid w:val="008E0A5B"/>
    <w:rsid w:val="008E1080"/>
    <w:rsid w:val="008E5F08"/>
    <w:rsid w:val="008E67A6"/>
    <w:rsid w:val="008F1719"/>
    <w:rsid w:val="008F419A"/>
    <w:rsid w:val="008F489A"/>
    <w:rsid w:val="008F74C9"/>
    <w:rsid w:val="00901F33"/>
    <w:rsid w:val="00904945"/>
    <w:rsid w:val="00905B0F"/>
    <w:rsid w:val="0091198F"/>
    <w:rsid w:val="009137A3"/>
    <w:rsid w:val="00914735"/>
    <w:rsid w:val="009154E8"/>
    <w:rsid w:val="00915647"/>
    <w:rsid w:val="009165E9"/>
    <w:rsid w:val="00917BE0"/>
    <w:rsid w:val="009204EB"/>
    <w:rsid w:val="00921006"/>
    <w:rsid w:val="00921A3E"/>
    <w:rsid w:val="0092342D"/>
    <w:rsid w:val="009244D7"/>
    <w:rsid w:val="009251D9"/>
    <w:rsid w:val="0092693E"/>
    <w:rsid w:val="00927619"/>
    <w:rsid w:val="00930865"/>
    <w:rsid w:val="00930CBC"/>
    <w:rsid w:val="00934292"/>
    <w:rsid w:val="00935109"/>
    <w:rsid w:val="00936FC8"/>
    <w:rsid w:val="00937219"/>
    <w:rsid w:val="0093736A"/>
    <w:rsid w:val="00942BBF"/>
    <w:rsid w:val="00944EEA"/>
    <w:rsid w:val="009459A9"/>
    <w:rsid w:val="009520D7"/>
    <w:rsid w:val="00952C51"/>
    <w:rsid w:val="009534BE"/>
    <w:rsid w:val="00956FF9"/>
    <w:rsid w:val="00957917"/>
    <w:rsid w:val="00960198"/>
    <w:rsid w:val="009602FF"/>
    <w:rsid w:val="0096102C"/>
    <w:rsid w:val="009644B9"/>
    <w:rsid w:val="009650A2"/>
    <w:rsid w:val="00966D7E"/>
    <w:rsid w:val="0097038F"/>
    <w:rsid w:val="00972835"/>
    <w:rsid w:val="0097521C"/>
    <w:rsid w:val="009829F1"/>
    <w:rsid w:val="00983520"/>
    <w:rsid w:val="00983FA2"/>
    <w:rsid w:val="0098444D"/>
    <w:rsid w:val="00984FF9"/>
    <w:rsid w:val="0098669E"/>
    <w:rsid w:val="00986BB2"/>
    <w:rsid w:val="00987131"/>
    <w:rsid w:val="00992155"/>
    <w:rsid w:val="00992D23"/>
    <w:rsid w:val="009938BC"/>
    <w:rsid w:val="00993D5D"/>
    <w:rsid w:val="00994362"/>
    <w:rsid w:val="009953D7"/>
    <w:rsid w:val="00995788"/>
    <w:rsid w:val="00996615"/>
    <w:rsid w:val="00996C02"/>
    <w:rsid w:val="009A483D"/>
    <w:rsid w:val="009A4885"/>
    <w:rsid w:val="009A4AFD"/>
    <w:rsid w:val="009A57F6"/>
    <w:rsid w:val="009B21DD"/>
    <w:rsid w:val="009B4FE5"/>
    <w:rsid w:val="009B5373"/>
    <w:rsid w:val="009B6AF5"/>
    <w:rsid w:val="009B7445"/>
    <w:rsid w:val="009C0B4D"/>
    <w:rsid w:val="009C3DFF"/>
    <w:rsid w:val="009C5CD2"/>
    <w:rsid w:val="009D020E"/>
    <w:rsid w:val="009D47AD"/>
    <w:rsid w:val="009D48A3"/>
    <w:rsid w:val="009D575D"/>
    <w:rsid w:val="009D60F1"/>
    <w:rsid w:val="009D617F"/>
    <w:rsid w:val="009D7B3C"/>
    <w:rsid w:val="009E0D73"/>
    <w:rsid w:val="009E3F9D"/>
    <w:rsid w:val="009E3FF6"/>
    <w:rsid w:val="009E4605"/>
    <w:rsid w:val="009E4992"/>
    <w:rsid w:val="009E6EA1"/>
    <w:rsid w:val="009E7ABB"/>
    <w:rsid w:val="009E7E11"/>
    <w:rsid w:val="009F0DD8"/>
    <w:rsid w:val="009F1ED5"/>
    <w:rsid w:val="009F309C"/>
    <w:rsid w:val="009F3D46"/>
    <w:rsid w:val="009F62F4"/>
    <w:rsid w:val="009F66A3"/>
    <w:rsid w:val="009F77E9"/>
    <w:rsid w:val="009F791F"/>
    <w:rsid w:val="009F7E7A"/>
    <w:rsid w:val="00A0077B"/>
    <w:rsid w:val="00A01AD6"/>
    <w:rsid w:val="00A03B8A"/>
    <w:rsid w:val="00A1181F"/>
    <w:rsid w:val="00A11B8B"/>
    <w:rsid w:val="00A11EBE"/>
    <w:rsid w:val="00A163FA"/>
    <w:rsid w:val="00A201A0"/>
    <w:rsid w:val="00A246DA"/>
    <w:rsid w:val="00A31EAC"/>
    <w:rsid w:val="00A32E01"/>
    <w:rsid w:val="00A3455B"/>
    <w:rsid w:val="00A368F4"/>
    <w:rsid w:val="00A36F15"/>
    <w:rsid w:val="00A36FB9"/>
    <w:rsid w:val="00A41380"/>
    <w:rsid w:val="00A414B0"/>
    <w:rsid w:val="00A414E9"/>
    <w:rsid w:val="00A43566"/>
    <w:rsid w:val="00A46005"/>
    <w:rsid w:val="00A47A79"/>
    <w:rsid w:val="00A47D04"/>
    <w:rsid w:val="00A507C3"/>
    <w:rsid w:val="00A50E44"/>
    <w:rsid w:val="00A545B1"/>
    <w:rsid w:val="00A551CA"/>
    <w:rsid w:val="00A572BB"/>
    <w:rsid w:val="00A602CB"/>
    <w:rsid w:val="00A6247C"/>
    <w:rsid w:val="00A629BD"/>
    <w:rsid w:val="00A70514"/>
    <w:rsid w:val="00A717FA"/>
    <w:rsid w:val="00A71A7D"/>
    <w:rsid w:val="00A71B8F"/>
    <w:rsid w:val="00A72507"/>
    <w:rsid w:val="00A75313"/>
    <w:rsid w:val="00A75C1C"/>
    <w:rsid w:val="00A82355"/>
    <w:rsid w:val="00A8362C"/>
    <w:rsid w:val="00A84260"/>
    <w:rsid w:val="00A858C2"/>
    <w:rsid w:val="00A85CEF"/>
    <w:rsid w:val="00A90461"/>
    <w:rsid w:val="00A90607"/>
    <w:rsid w:val="00A91D4D"/>
    <w:rsid w:val="00A92A32"/>
    <w:rsid w:val="00A9342F"/>
    <w:rsid w:val="00A973FB"/>
    <w:rsid w:val="00AA2072"/>
    <w:rsid w:val="00AA2A36"/>
    <w:rsid w:val="00AA4AC7"/>
    <w:rsid w:val="00AA59C8"/>
    <w:rsid w:val="00AA5C05"/>
    <w:rsid w:val="00AA61EA"/>
    <w:rsid w:val="00AA7A70"/>
    <w:rsid w:val="00AB0029"/>
    <w:rsid w:val="00AB0B57"/>
    <w:rsid w:val="00AB0C11"/>
    <w:rsid w:val="00AB2570"/>
    <w:rsid w:val="00AB2A74"/>
    <w:rsid w:val="00AB2EBD"/>
    <w:rsid w:val="00AB463A"/>
    <w:rsid w:val="00AB52E7"/>
    <w:rsid w:val="00AB5EB8"/>
    <w:rsid w:val="00AC1494"/>
    <w:rsid w:val="00AC22B5"/>
    <w:rsid w:val="00AC3B02"/>
    <w:rsid w:val="00AC441A"/>
    <w:rsid w:val="00AC551A"/>
    <w:rsid w:val="00AC655B"/>
    <w:rsid w:val="00AC7144"/>
    <w:rsid w:val="00AD1401"/>
    <w:rsid w:val="00AD1A09"/>
    <w:rsid w:val="00AD4A41"/>
    <w:rsid w:val="00AD5E38"/>
    <w:rsid w:val="00AE0095"/>
    <w:rsid w:val="00AE075C"/>
    <w:rsid w:val="00AE2982"/>
    <w:rsid w:val="00AE48BF"/>
    <w:rsid w:val="00AE5D08"/>
    <w:rsid w:val="00AE6AC0"/>
    <w:rsid w:val="00AE7218"/>
    <w:rsid w:val="00AE79EC"/>
    <w:rsid w:val="00AE7B1C"/>
    <w:rsid w:val="00AF1575"/>
    <w:rsid w:val="00AF1616"/>
    <w:rsid w:val="00AF2952"/>
    <w:rsid w:val="00AF2ADD"/>
    <w:rsid w:val="00AF32B2"/>
    <w:rsid w:val="00AF4B8F"/>
    <w:rsid w:val="00AF6873"/>
    <w:rsid w:val="00AF766B"/>
    <w:rsid w:val="00AF7D26"/>
    <w:rsid w:val="00B000BF"/>
    <w:rsid w:val="00B005EA"/>
    <w:rsid w:val="00B01E8F"/>
    <w:rsid w:val="00B03114"/>
    <w:rsid w:val="00B07DEE"/>
    <w:rsid w:val="00B114F1"/>
    <w:rsid w:val="00B12369"/>
    <w:rsid w:val="00B12D03"/>
    <w:rsid w:val="00B141D6"/>
    <w:rsid w:val="00B157E0"/>
    <w:rsid w:val="00B21C38"/>
    <w:rsid w:val="00B236EF"/>
    <w:rsid w:val="00B313D5"/>
    <w:rsid w:val="00B32057"/>
    <w:rsid w:val="00B3471B"/>
    <w:rsid w:val="00B35687"/>
    <w:rsid w:val="00B37506"/>
    <w:rsid w:val="00B40052"/>
    <w:rsid w:val="00B400ED"/>
    <w:rsid w:val="00B4184F"/>
    <w:rsid w:val="00B43EF4"/>
    <w:rsid w:val="00B46155"/>
    <w:rsid w:val="00B461E8"/>
    <w:rsid w:val="00B47B60"/>
    <w:rsid w:val="00B51DAE"/>
    <w:rsid w:val="00B51F50"/>
    <w:rsid w:val="00B52B1D"/>
    <w:rsid w:val="00B53C20"/>
    <w:rsid w:val="00B557F3"/>
    <w:rsid w:val="00B55EE6"/>
    <w:rsid w:val="00B60C3F"/>
    <w:rsid w:val="00B66FC9"/>
    <w:rsid w:val="00B67A81"/>
    <w:rsid w:val="00B67E17"/>
    <w:rsid w:val="00B70258"/>
    <w:rsid w:val="00B760F7"/>
    <w:rsid w:val="00B8441F"/>
    <w:rsid w:val="00B848CC"/>
    <w:rsid w:val="00B8554E"/>
    <w:rsid w:val="00B87291"/>
    <w:rsid w:val="00B917E2"/>
    <w:rsid w:val="00B93A27"/>
    <w:rsid w:val="00B94B99"/>
    <w:rsid w:val="00B96F3F"/>
    <w:rsid w:val="00B9725D"/>
    <w:rsid w:val="00B97B3A"/>
    <w:rsid w:val="00BA1219"/>
    <w:rsid w:val="00BA153A"/>
    <w:rsid w:val="00BA2112"/>
    <w:rsid w:val="00BA24F4"/>
    <w:rsid w:val="00BA2CED"/>
    <w:rsid w:val="00BA48F4"/>
    <w:rsid w:val="00BA54A1"/>
    <w:rsid w:val="00BB2413"/>
    <w:rsid w:val="00BB2D7E"/>
    <w:rsid w:val="00BB2F1C"/>
    <w:rsid w:val="00BB35D3"/>
    <w:rsid w:val="00BB4291"/>
    <w:rsid w:val="00BB48B6"/>
    <w:rsid w:val="00BB4F24"/>
    <w:rsid w:val="00BB76BD"/>
    <w:rsid w:val="00BC4CCB"/>
    <w:rsid w:val="00BC6A8B"/>
    <w:rsid w:val="00BC6DE4"/>
    <w:rsid w:val="00BD01A9"/>
    <w:rsid w:val="00BD1286"/>
    <w:rsid w:val="00BD360F"/>
    <w:rsid w:val="00BD3B2C"/>
    <w:rsid w:val="00BE2219"/>
    <w:rsid w:val="00BE3436"/>
    <w:rsid w:val="00BE676D"/>
    <w:rsid w:val="00BE6DAE"/>
    <w:rsid w:val="00BE7833"/>
    <w:rsid w:val="00BF015A"/>
    <w:rsid w:val="00BF1DAA"/>
    <w:rsid w:val="00BF3EAF"/>
    <w:rsid w:val="00BF5125"/>
    <w:rsid w:val="00BF5DE9"/>
    <w:rsid w:val="00C00B28"/>
    <w:rsid w:val="00C025FC"/>
    <w:rsid w:val="00C06FB6"/>
    <w:rsid w:val="00C07A56"/>
    <w:rsid w:val="00C07BCE"/>
    <w:rsid w:val="00C11B18"/>
    <w:rsid w:val="00C11FD9"/>
    <w:rsid w:val="00C13C75"/>
    <w:rsid w:val="00C22352"/>
    <w:rsid w:val="00C25F36"/>
    <w:rsid w:val="00C26686"/>
    <w:rsid w:val="00C26944"/>
    <w:rsid w:val="00C305D2"/>
    <w:rsid w:val="00C314C4"/>
    <w:rsid w:val="00C31E92"/>
    <w:rsid w:val="00C32D80"/>
    <w:rsid w:val="00C33C8A"/>
    <w:rsid w:val="00C355EB"/>
    <w:rsid w:val="00C37C20"/>
    <w:rsid w:val="00C4027A"/>
    <w:rsid w:val="00C41A57"/>
    <w:rsid w:val="00C44156"/>
    <w:rsid w:val="00C4625C"/>
    <w:rsid w:val="00C50FD2"/>
    <w:rsid w:val="00C52E5C"/>
    <w:rsid w:val="00C55FD3"/>
    <w:rsid w:val="00C60798"/>
    <w:rsid w:val="00C61952"/>
    <w:rsid w:val="00C627DE"/>
    <w:rsid w:val="00C64C6C"/>
    <w:rsid w:val="00C715B0"/>
    <w:rsid w:val="00C71A80"/>
    <w:rsid w:val="00C72974"/>
    <w:rsid w:val="00C72FA6"/>
    <w:rsid w:val="00C75E40"/>
    <w:rsid w:val="00C77573"/>
    <w:rsid w:val="00C77EDD"/>
    <w:rsid w:val="00C80106"/>
    <w:rsid w:val="00C849C0"/>
    <w:rsid w:val="00C8573E"/>
    <w:rsid w:val="00C86787"/>
    <w:rsid w:val="00C902DC"/>
    <w:rsid w:val="00C90E52"/>
    <w:rsid w:val="00C9164C"/>
    <w:rsid w:val="00C91D00"/>
    <w:rsid w:val="00C931A8"/>
    <w:rsid w:val="00C9493F"/>
    <w:rsid w:val="00C97122"/>
    <w:rsid w:val="00CA0547"/>
    <w:rsid w:val="00CA47E3"/>
    <w:rsid w:val="00CA5C0F"/>
    <w:rsid w:val="00CA61C5"/>
    <w:rsid w:val="00CB01D3"/>
    <w:rsid w:val="00CB02BD"/>
    <w:rsid w:val="00CB313C"/>
    <w:rsid w:val="00CB6647"/>
    <w:rsid w:val="00CB66D2"/>
    <w:rsid w:val="00CC2692"/>
    <w:rsid w:val="00CC464C"/>
    <w:rsid w:val="00CD01E7"/>
    <w:rsid w:val="00CD0F4F"/>
    <w:rsid w:val="00CD23EE"/>
    <w:rsid w:val="00CD25DA"/>
    <w:rsid w:val="00CD304F"/>
    <w:rsid w:val="00CD4220"/>
    <w:rsid w:val="00CE030B"/>
    <w:rsid w:val="00CE1CAF"/>
    <w:rsid w:val="00CE3E87"/>
    <w:rsid w:val="00CE5A4C"/>
    <w:rsid w:val="00CF0529"/>
    <w:rsid w:val="00CF0694"/>
    <w:rsid w:val="00CF06FA"/>
    <w:rsid w:val="00CF24F9"/>
    <w:rsid w:val="00CF51ED"/>
    <w:rsid w:val="00CF5F6E"/>
    <w:rsid w:val="00CF6AEE"/>
    <w:rsid w:val="00CF779F"/>
    <w:rsid w:val="00D00775"/>
    <w:rsid w:val="00D015D8"/>
    <w:rsid w:val="00D04F1A"/>
    <w:rsid w:val="00D04F2D"/>
    <w:rsid w:val="00D0634D"/>
    <w:rsid w:val="00D0640C"/>
    <w:rsid w:val="00D10093"/>
    <w:rsid w:val="00D1152A"/>
    <w:rsid w:val="00D124E0"/>
    <w:rsid w:val="00D12D92"/>
    <w:rsid w:val="00D139A0"/>
    <w:rsid w:val="00D144A3"/>
    <w:rsid w:val="00D15CF6"/>
    <w:rsid w:val="00D16D75"/>
    <w:rsid w:val="00D176FC"/>
    <w:rsid w:val="00D20385"/>
    <w:rsid w:val="00D20630"/>
    <w:rsid w:val="00D2180C"/>
    <w:rsid w:val="00D21A81"/>
    <w:rsid w:val="00D238A4"/>
    <w:rsid w:val="00D26929"/>
    <w:rsid w:val="00D27FF3"/>
    <w:rsid w:val="00D33F33"/>
    <w:rsid w:val="00D3535F"/>
    <w:rsid w:val="00D35C2B"/>
    <w:rsid w:val="00D36E9C"/>
    <w:rsid w:val="00D37C52"/>
    <w:rsid w:val="00D401DD"/>
    <w:rsid w:val="00D415BE"/>
    <w:rsid w:val="00D42500"/>
    <w:rsid w:val="00D42570"/>
    <w:rsid w:val="00D429EF"/>
    <w:rsid w:val="00D4626C"/>
    <w:rsid w:val="00D47A26"/>
    <w:rsid w:val="00D51A11"/>
    <w:rsid w:val="00D51B43"/>
    <w:rsid w:val="00D53BF9"/>
    <w:rsid w:val="00D57078"/>
    <w:rsid w:val="00D571A7"/>
    <w:rsid w:val="00D57B1F"/>
    <w:rsid w:val="00D63440"/>
    <w:rsid w:val="00D63C26"/>
    <w:rsid w:val="00D647FA"/>
    <w:rsid w:val="00D64974"/>
    <w:rsid w:val="00D66F21"/>
    <w:rsid w:val="00D713AF"/>
    <w:rsid w:val="00D72FDB"/>
    <w:rsid w:val="00D75481"/>
    <w:rsid w:val="00D7607E"/>
    <w:rsid w:val="00D763BD"/>
    <w:rsid w:val="00D766FD"/>
    <w:rsid w:val="00D768BB"/>
    <w:rsid w:val="00D77D06"/>
    <w:rsid w:val="00D80C3F"/>
    <w:rsid w:val="00D8160D"/>
    <w:rsid w:val="00D8375E"/>
    <w:rsid w:val="00D84653"/>
    <w:rsid w:val="00D8530D"/>
    <w:rsid w:val="00D85DD7"/>
    <w:rsid w:val="00D911A3"/>
    <w:rsid w:val="00D91CC0"/>
    <w:rsid w:val="00D91EEA"/>
    <w:rsid w:val="00D93513"/>
    <w:rsid w:val="00D944AC"/>
    <w:rsid w:val="00D97356"/>
    <w:rsid w:val="00D9749D"/>
    <w:rsid w:val="00D9783E"/>
    <w:rsid w:val="00DA02E6"/>
    <w:rsid w:val="00DA04D4"/>
    <w:rsid w:val="00DA157A"/>
    <w:rsid w:val="00DA1B11"/>
    <w:rsid w:val="00DA2BDA"/>
    <w:rsid w:val="00DA43A6"/>
    <w:rsid w:val="00DA582C"/>
    <w:rsid w:val="00DB01B0"/>
    <w:rsid w:val="00DB0E35"/>
    <w:rsid w:val="00DB11EC"/>
    <w:rsid w:val="00DB2965"/>
    <w:rsid w:val="00DB2994"/>
    <w:rsid w:val="00DB32F8"/>
    <w:rsid w:val="00DB5410"/>
    <w:rsid w:val="00DB71EC"/>
    <w:rsid w:val="00DB7832"/>
    <w:rsid w:val="00DC0E4B"/>
    <w:rsid w:val="00DC1A98"/>
    <w:rsid w:val="00DC2FEE"/>
    <w:rsid w:val="00DC3BC9"/>
    <w:rsid w:val="00DC4761"/>
    <w:rsid w:val="00DC5904"/>
    <w:rsid w:val="00DC6331"/>
    <w:rsid w:val="00DD2409"/>
    <w:rsid w:val="00DD42B2"/>
    <w:rsid w:val="00DE2161"/>
    <w:rsid w:val="00DE4BF5"/>
    <w:rsid w:val="00DE60EB"/>
    <w:rsid w:val="00DF1F99"/>
    <w:rsid w:val="00DF3540"/>
    <w:rsid w:val="00DF3F57"/>
    <w:rsid w:val="00DF48A0"/>
    <w:rsid w:val="00DF64F7"/>
    <w:rsid w:val="00DF6FAC"/>
    <w:rsid w:val="00DF7B16"/>
    <w:rsid w:val="00E02636"/>
    <w:rsid w:val="00E029B7"/>
    <w:rsid w:val="00E04CAE"/>
    <w:rsid w:val="00E05BB7"/>
    <w:rsid w:val="00E11361"/>
    <w:rsid w:val="00E14C89"/>
    <w:rsid w:val="00E15296"/>
    <w:rsid w:val="00E15E04"/>
    <w:rsid w:val="00E209B9"/>
    <w:rsid w:val="00E230C4"/>
    <w:rsid w:val="00E2385D"/>
    <w:rsid w:val="00E24C9E"/>
    <w:rsid w:val="00E24DAA"/>
    <w:rsid w:val="00E25069"/>
    <w:rsid w:val="00E25DFA"/>
    <w:rsid w:val="00E26139"/>
    <w:rsid w:val="00E266FA"/>
    <w:rsid w:val="00E3142D"/>
    <w:rsid w:val="00E32F56"/>
    <w:rsid w:val="00E33CC6"/>
    <w:rsid w:val="00E34CCB"/>
    <w:rsid w:val="00E3518E"/>
    <w:rsid w:val="00E35E52"/>
    <w:rsid w:val="00E44D79"/>
    <w:rsid w:val="00E4651E"/>
    <w:rsid w:val="00E47E49"/>
    <w:rsid w:val="00E5050E"/>
    <w:rsid w:val="00E52BE0"/>
    <w:rsid w:val="00E52C55"/>
    <w:rsid w:val="00E534E5"/>
    <w:rsid w:val="00E54157"/>
    <w:rsid w:val="00E56ECB"/>
    <w:rsid w:val="00E57E37"/>
    <w:rsid w:val="00E653C7"/>
    <w:rsid w:val="00E67583"/>
    <w:rsid w:val="00E7069F"/>
    <w:rsid w:val="00E72776"/>
    <w:rsid w:val="00E73A37"/>
    <w:rsid w:val="00E74AD6"/>
    <w:rsid w:val="00E81323"/>
    <w:rsid w:val="00E81770"/>
    <w:rsid w:val="00E82448"/>
    <w:rsid w:val="00E84C1E"/>
    <w:rsid w:val="00E8633F"/>
    <w:rsid w:val="00E872C4"/>
    <w:rsid w:val="00E87792"/>
    <w:rsid w:val="00E91627"/>
    <w:rsid w:val="00E92B1D"/>
    <w:rsid w:val="00E93511"/>
    <w:rsid w:val="00E94C7F"/>
    <w:rsid w:val="00E97175"/>
    <w:rsid w:val="00E975A3"/>
    <w:rsid w:val="00E97723"/>
    <w:rsid w:val="00EA139F"/>
    <w:rsid w:val="00EA15A2"/>
    <w:rsid w:val="00EA4E07"/>
    <w:rsid w:val="00EA6814"/>
    <w:rsid w:val="00EB0229"/>
    <w:rsid w:val="00EB0302"/>
    <w:rsid w:val="00EB3EED"/>
    <w:rsid w:val="00EB4F85"/>
    <w:rsid w:val="00EB6383"/>
    <w:rsid w:val="00EB6669"/>
    <w:rsid w:val="00EB6DA6"/>
    <w:rsid w:val="00EC0C8E"/>
    <w:rsid w:val="00EC0EC3"/>
    <w:rsid w:val="00EC1370"/>
    <w:rsid w:val="00EC16D5"/>
    <w:rsid w:val="00EC2A49"/>
    <w:rsid w:val="00EC4031"/>
    <w:rsid w:val="00EC4868"/>
    <w:rsid w:val="00EC4921"/>
    <w:rsid w:val="00EC52EA"/>
    <w:rsid w:val="00EC705F"/>
    <w:rsid w:val="00EC76E0"/>
    <w:rsid w:val="00EC7EFF"/>
    <w:rsid w:val="00ED20EC"/>
    <w:rsid w:val="00ED21F2"/>
    <w:rsid w:val="00ED4E85"/>
    <w:rsid w:val="00ED590A"/>
    <w:rsid w:val="00ED5E9B"/>
    <w:rsid w:val="00ED6DC6"/>
    <w:rsid w:val="00EE0F97"/>
    <w:rsid w:val="00EE1103"/>
    <w:rsid w:val="00EE2208"/>
    <w:rsid w:val="00EE3D99"/>
    <w:rsid w:val="00EE41DD"/>
    <w:rsid w:val="00EE421B"/>
    <w:rsid w:val="00EE62CF"/>
    <w:rsid w:val="00EE78C6"/>
    <w:rsid w:val="00EF1122"/>
    <w:rsid w:val="00EF22ED"/>
    <w:rsid w:val="00EF2412"/>
    <w:rsid w:val="00EF719B"/>
    <w:rsid w:val="00EF7486"/>
    <w:rsid w:val="00EF75C0"/>
    <w:rsid w:val="00EF7FE9"/>
    <w:rsid w:val="00F0074A"/>
    <w:rsid w:val="00F017EB"/>
    <w:rsid w:val="00F038FF"/>
    <w:rsid w:val="00F03B3D"/>
    <w:rsid w:val="00F04C2C"/>
    <w:rsid w:val="00F05E09"/>
    <w:rsid w:val="00F07433"/>
    <w:rsid w:val="00F1055D"/>
    <w:rsid w:val="00F11389"/>
    <w:rsid w:val="00F127D3"/>
    <w:rsid w:val="00F148AC"/>
    <w:rsid w:val="00F15A4E"/>
    <w:rsid w:val="00F15AF0"/>
    <w:rsid w:val="00F21AA6"/>
    <w:rsid w:val="00F21B0B"/>
    <w:rsid w:val="00F22104"/>
    <w:rsid w:val="00F22572"/>
    <w:rsid w:val="00F22DCB"/>
    <w:rsid w:val="00F23F66"/>
    <w:rsid w:val="00F248F3"/>
    <w:rsid w:val="00F27044"/>
    <w:rsid w:val="00F27437"/>
    <w:rsid w:val="00F324D7"/>
    <w:rsid w:val="00F3365A"/>
    <w:rsid w:val="00F3372C"/>
    <w:rsid w:val="00F344F4"/>
    <w:rsid w:val="00F379D5"/>
    <w:rsid w:val="00F379DC"/>
    <w:rsid w:val="00F4189C"/>
    <w:rsid w:val="00F41986"/>
    <w:rsid w:val="00F42A4E"/>
    <w:rsid w:val="00F44369"/>
    <w:rsid w:val="00F467C9"/>
    <w:rsid w:val="00F46BCF"/>
    <w:rsid w:val="00F46F79"/>
    <w:rsid w:val="00F4770B"/>
    <w:rsid w:val="00F502AC"/>
    <w:rsid w:val="00F50936"/>
    <w:rsid w:val="00F52165"/>
    <w:rsid w:val="00F52361"/>
    <w:rsid w:val="00F52BD6"/>
    <w:rsid w:val="00F53F88"/>
    <w:rsid w:val="00F578D9"/>
    <w:rsid w:val="00F630DE"/>
    <w:rsid w:val="00F63FD1"/>
    <w:rsid w:val="00F66332"/>
    <w:rsid w:val="00F70281"/>
    <w:rsid w:val="00F70D11"/>
    <w:rsid w:val="00F71EBD"/>
    <w:rsid w:val="00F74455"/>
    <w:rsid w:val="00F8060B"/>
    <w:rsid w:val="00F827DB"/>
    <w:rsid w:val="00F85AAB"/>
    <w:rsid w:val="00F86363"/>
    <w:rsid w:val="00F86C42"/>
    <w:rsid w:val="00F87AFE"/>
    <w:rsid w:val="00F87D16"/>
    <w:rsid w:val="00F90DB3"/>
    <w:rsid w:val="00FA2207"/>
    <w:rsid w:val="00FA57C1"/>
    <w:rsid w:val="00FB1504"/>
    <w:rsid w:val="00FB39F1"/>
    <w:rsid w:val="00FB4F7E"/>
    <w:rsid w:val="00FC0489"/>
    <w:rsid w:val="00FC1DC9"/>
    <w:rsid w:val="00FC791B"/>
    <w:rsid w:val="00FD086E"/>
    <w:rsid w:val="00FD244D"/>
    <w:rsid w:val="00FD3DC3"/>
    <w:rsid w:val="00FD4AC4"/>
    <w:rsid w:val="00FD5397"/>
    <w:rsid w:val="00FD5C7B"/>
    <w:rsid w:val="00FD6972"/>
    <w:rsid w:val="00FE03EB"/>
    <w:rsid w:val="00FE1971"/>
    <w:rsid w:val="00FE493C"/>
    <w:rsid w:val="00FE53EB"/>
    <w:rsid w:val="00FF0AF1"/>
    <w:rsid w:val="00FF107E"/>
    <w:rsid w:val="00FF54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C7D03"/>
  <w15:chartTrackingRefBased/>
  <w15:docId w15:val="{D8921CB3-E011-4395-AA74-7FAD3CD7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fr-FR"/>
    </w:rPr>
  </w:style>
  <w:style w:type="paragraph" w:styleId="Titre1">
    <w:name w:val="heading 1"/>
    <w:basedOn w:val="Paragrdouble"/>
    <w:next w:val="Paragrdouble"/>
    <w:qFormat/>
    <w:rsid w:val="00AC655B"/>
    <w:pPr>
      <w:numPr>
        <w:numId w:val="5"/>
      </w:numPr>
      <w:spacing w:line="240" w:lineRule="auto"/>
      <w:outlineLvl w:val="0"/>
    </w:pPr>
    <w:rPr>
      <w:b/>
      <w:bCs/>
      <w:szCs w:val="24"/>
    </w:rPr>
  </w:style>
  <w:style w:type="paragraph" w:styleId="Titre2">
    <w:name w:val="heading 2"/>
    <w:basedOn w:val="Paragrdouble"/>
    <w:next w:val="Paragrdouble"/>
    <w:link w:val="Titre2Car"/>
    <w:qFormat/>
    <w:rsid w:val="00AC655B"/>
    <w:pPr>
      <w:numPr>
        <w:numId w:val="6"/>
      </w:numPr>
      <w:spacing w:line="240" w:lineRule="auto"/>
      <w:outlineLvl w:val="1"/>
    </w:pPr>
    <w:rPr>
      <w:b/>
      <w:bCs/>
    </w:rPr>
  </w:style>
  <w:style w:type="paragraph" w:styleId="Titre3">
    <w:name w:val="heading 3"/>
    <w:basedOn w:val="Sous-paragraphe"/>
    <w:next w:val="Paragrdouble"/>
    <w:qFormat/>
    <w:rsid w:val="00C4027A"/>
    <w:pPr>
      <w:numPr>
        <w:ilvl w:val="0"/>
        <w:numId w:val="10"/>
      </w:numPr>
      <w:outlineLvl w:val="2"/>
    </w:pPr>
    <w:rPr>
      <w:b/>
      <w:bCs/>
    </w:rPr>
  </w:style>
  <w:style w:type="paragraph" w:styleId="Titre4">
    <w:name w:val="heading 4"/>
    <w:basedOn w:val="Titre"/>
    <w:next w:val="Paragrdouble"/>
    <w:qFormat/>
    <w:rsid w:val="004F46BC"/>
    <w:pPr>
      <w:outlineLvl w:val="3"/>
    </w:pPr>
  </w:style>
  <w:style w:type="paragraph" w:styleId="Titre5">
    <w:name w:val="heading 5"/>
    <w:basedOn w:val="Titre4"/>
    <w:next w:val="Paragrdouble"/>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3"/>
      </w:numPr>
      <w:spacing w:before="240" w:after="60"/>
      <w:outlineLvl w:val="6"/>
    </w:pPr>
    <w:rPr>
      <w:sz w:val="20"/>
    </w:rPr>
  </w:style>
  <w:style w:type="paragraph" w:styleId="Titre8">
    <w:name w:val="heading 8"/>
    <w:basedOn w:val="Normal"/>
    <w:next w:val="Normal"/>
    <w:qFormat/>
    <w:pPr>
      <w:numPr>
        <w:ilvl w:val="7"/>
        <w:numId w:val="3"/>
      </w:numPr>
      <w:spacing w:before="240" w:after="60"/>
      <w:outlineLvl w:val="7"/>
    </w:pPr>
    <w:rPr>
      <w:i/>
      <w:sz w:val="20"/>
    </w:rPr>
  </w:style>
  <w:style w:type="paragraph" w:styleId="Titre9">
    <w:name w:val="heading 9"/>
    <w:basedOn w:val="Normal"/>
    <w:next w:val="Normal"/>
    <w:qFormat/>
    <w:pPr>
      <w:numPr>
        <w:ilvl w:val="8"/>
        <w:numId w:val="3"/>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1"/>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uiPriority w:val="99"/>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CF51ED"/>
    <w:pPr>
      <w:widowControl w:val="0"/>
      <w:numPr>
        <w:ilvl w:val="1"/>
        <w:numId w:val="2"/>
      </w:numPr>
      <w:spacing w:before="120"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4"/>
      </w:numPr>
    </w:pPr>
  </w:style>
  <w:style w:type="paragraph" w:customStyle="1" w:styleId="Paragrsimple">
    <w:name w:val="Paragr. simple"/>
    <w:basedOn w:val="Paragrdouble"/>
    <w:next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val="0"/>
      <w:color w:val="365F91"/>
      <w:kern w:val="0"/>
      <w:sz w:val="28"/>
      <w:szCs w:val="28"/>
      <w:lang w:eastAsia="fr-CA"/>
    </w:rPr>
  </w:style>
  <w:style w:type="paragraph" w:styleId="TM1">
    <w:name w:val="toc 1"/>
    <w:basedOn w:val="Normal"/>
    <w:next w:val="Normal"/>
    <w:autoRedefine/>
    <w:uiPriority w:val="39"/>
    <w:unhideWhenUsed/>
    <w:rsid w:val="0032401E"/>
    <w:pPr>
      <w:tabs>
        <w:tab w:val="left" w:pos="480"/>
        <w:tab w:val="right" w:leader="dot" w:pos="9352"/>
      </w:tabs>
      <w:spacing w:before="120" w:after="80"/>
    </w:pPr>
    <w:rPr>
      <w:rFonts w:asciiTheme="minorHAnsi" w:hAnsiTheme="minorHAnsi" w:cstheme="minorHAnsi"/>
      <w:b/>
      <w:bCs/>
      <w:iCs/>
      <w:sz w:val="22"/>
      <w:szCs w:val="24"/>
    </w:rPr>
  </w:style>
  <w:style w:type="paragraph" w:styleId="TM2">
    <w:name w:val="toc 2"/>
    <w:basedOn w:val="Normal"/>
    <w:next w:val="Normal"/>
    <w:autoRedefine/>
    <w:uiPriority w:val="39"/>
    <w:unhideWhenUsed/>
    <w:rsid w:val="00B000BF"/>
    <w:pPr>
      <w:tabs>
        <w:tab w:val="left" w:pos="960"/>
        <w:tab w:val="right" w:leader="dot" w:pos="9352"/>
      </w:tabs>
      <w:spacing w:before="80"/>
      <w:ind w:left="238"/>
    </w:pPr>
    <w:rPr>
      <w:rFonts w:asciiTheme="minorHAnsi" w:eastAsiaTheme="minorHAnsi" w:hAnsiTheme="minorHAnsi" w:cstheme="minorHAnsi"/>
      <w:b/>
      <w:bCs/>
      <w:sz w:val="22"/>
      <w:szCs w:val="22"/>
      <w:lang w:val="en-CA"/>
    </w:rPr>
  </w:style>
  <w:style w:type="paragraph" w:styleId="TM3">
    <w:name w:val="toc 3"/>
    <w:basedOn w:val="Normal"/>
    <w:next w:val="Normal"/>
    <w:autoRedefine/>
    <w:uiPriority w:val="39"/>
    <w:unhideWhenUsed/>
    <w:rsid w:val="002013CD"/>
    <w:pPr>
      <w:tabs>
        <w:tab w:val="left" w:pos="960"/>
        <w:tab w:val="right" w:leader="dot" w:pos="9352"/>
      </w:tabs>
      <w:ind w:left="480"/>
    </w:pPr>
    <w:rPr>
      <w:rFonts w:asciiTheme="minorHAnsi" w:hAnsiTheme="minorHAnsi" w:cstheme="minorHAnsi"/>
      <w:sz w:val="20"/>
    </w:r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Paragrdouble"/>
    <w:link w:val="TitreCar"/>
    <w:qFormat/>
    <w:rsid w:val="00AC655B"/>
    <w:pPr>
      <w:numPr>
        <w:numId w:val="0"/>
      </w:numPr>
      <w:spacing w:line="240" w:lineRule="auto"/>
    </w:pPr>
    <w:rPr>
      <w:b/>
      <w:bCs/>
      <w:szCs w:val="24"/>
    </w:rPr>
  </w:style>
  <w:style w:type="character" w:styleId="Appelnotedebasdep">
    <w:name w:val="footnote reference"/>
    <w:basedOn w:val="Policepardfaut"/>
    <w:uiPriority w:val="99"/>
    <w:unhideWhenUsed/>
    <w:rsid w:val="00810F4F"/>
    <w:rPr>
      <w:vertAlign w:val="superscript"/>
    </w:rPr>
  </w:style>
  <w:style w:type="paragraph" w:styleId="Textedebulles">
    <w:name w:val="Balloon Text"/>
    <w:basedOn w:val="Normal"/>
    <w:link w:val="TextedebullesCar"/>
    <w:uiPriority w:val="99"/>
    <w:semiHidden/>
    <w:unhideWhenUsed/>
    <w:rsid w:val="000D0B7A"/>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0B7A"/>
    <w:rPr>
      <w:rFonts w:ascii="Segoe UI" w:hAnsi="Segoe UI" w:cs="Segoe UI"/>
      <w:sz w:val="18"/>
      <w:szCs w:val="18"/>
      <w:lang w:eastAsia="fr-FR"/>
    </w:rPr>
  </w:style>
  <w:style w:type="paragraph" w:styleId="En-tte">
    <w:name w:val="header"/>
    <w:basedOn w:val="Normal"/>
    <w:link w:val="En-tteCar"/>
    <w:uiPriority w:val="99"/>
    <w:unhideWhenUsed/>
    <w:rsid w:val="000D0B7A"/>
    <w:pPr>
      <w:tabs>
        <w:tab w:val="center" w:pos="4320"/>
        <w:tab w:val="right" w:pos="8640"/>
      </w:tabs>
    </w:pPr>
  </w:style>
  <w:style w:type="character" w:customStyle="1" w:styleId="En-tteCar">
    <w:name w:val="En-tête Car"/>
    <w:basedOn w:val="Policepardfaut"/>
    <w:link w:val="En-tte"/>
    <w:uiPriority w:val="99"/>
    <w:rsid w:val="000D0B7A"/>
    <w:rPr>
      <w:rFonts w:ascii="Arial" w:hAnsi="Arial"/>
      <w:sz w:val="24"/>
      <w:lang w:eastAsia="fr-FR"/>
    </w:rPr>
  </w:style>
  <w:style w:type="paragraph" w:styleId="Pieddepage">
    <w:name w:val="footer"/>
    <w:basedOn w:val="Normal"/>
    <w:link w:val="PieddepageCar"/>
    <w:uiPriority w:val="99"/>
    <w:unhideWhenUsed/>
    <w:rsid w:val="000D0B7A"/>
    <w:pPr>
      <w:tabs>
        <w:tab w:val="center" w:pos="4320"/>
        <w:tab w:val="right" w:pos="8640"/>
      </w:tabs>
    </w:pPr>
  </w:style>
  <w:style w:type="character" w:customStyle="1" w:styleId="PieddepageCar">
    <w:name w:val="Pied de page Car"/>
    <w:basedOn w:val="Policepardfaut"/>
    <w:link w:val="Pieddepage"/>
    <w:uiPriority w:val="99"/>
    <w:rsid w:val="000D0B7A"/>
    <w:rPr>
      <w:rFonts w:ascii="Arial" w:hAnsi="Arial"/>
      <w:sz w:val="24"/>
      <w:lang w:eastAsia="fr-FR"/>
    </w:rPr>
  </w:style>
  <w:style w:type="character" w:customStyle="1" w:styleId="italic">
    <w:name w:val="italic"/>
    <w:basedOn w:val="Policepardfaut"/>
    <w:rsid w:val="00505D2A"/>
  </w:style>
  <w:style w:type="character" w:customStyle="1" w:styleId="searchterm">
    <w:name w:val="searchterm"/>
    <w:basedOn w:val="Policepardfaut"/>
    <w:rsid w:val="00505D2A"/>
  </w:style>
  <w:style w:type="paragraph" w:customStyle="1" w:styleId="paragrdouble0">
    <w:name w:val="paragrdouble"/>
    <w:basedOn w:val="Normal"/>
    <w:rsid w:val="00EF719B"/>
    <w:pPr>
      <w:spacing w:before="100" w:beforeAutospacing="1" w:after="100" w:afterAutospacing="1"/>
    </w:pPr>
    <w:rPr>
      <w:rFonts w:ascii="Times New Roman" w:hAnsi="Times New Roman"/>
      <w:szCs w:val="24"/>
      <w:lang w:eastAsia="fr-CA"/>
    </w:rPr>
  </w:style>
  <w:style w:type="paragraph" w:customStyle="1" w:styleId="paragrsimple0">
    <w:name w:val="paragrsimple"/>
    <w:basedOn w:val="Normal"/>
    <w:rsid w:val="00EF719B"/>
    <w:pPr>
      <w:spacing w:before="100" w:beforeAutospacing="1" w:after="100" w:afterAutospacing="1"/>
    </w:pPr>
    <w:rPr>
      <w:rFonts w:ascii="Times New Roman" w:hAnsi="Times New Roman"/>
      <w:szCs w:val="24"/>
      <w:lang w:eastAsia="fr-CA"/>
    </w:rPr>
  </w:style>
  <w:style w:type="paragraph" w:customStyle="1" w:styleId="citationenretrait0">
    <w:name w:val="citationenretrait"/>
    <w:basedOn w:val="Normal"/>
    <w:rsid w:val="00EF719B"/>
    <w:pPr>
      <w:spacing w:before="100" w:beforeAutospacing="1" w:after="100" w:afterAutospacing="1"/>
    </w:pPr>
    <w:rPr>
      <w:rFonts w:ascii="Times New Roman" w:hAnsi="Times New Roman"/>
      <w:szCs w:val="24"/>
      <w:lang w:eastAsia="fr-CA"/>
    </w:rPr>
  </w:style>
  <w:style w:type="paragraph" w:customStyle="1" w:styleId="subsection">
    <w:name w:val="subsection"/>
    <w:basedOn w:val="Normal"/>
    <w:rsid w:val="00D91EEA"/>
    <w:pPr>
      <w:spacing w:before="100" w:beforeAutospacing="1" w:after="100" w:afterAutospacing="1"/>
    </w:pPr>
    <w:rPr>
      <w:rFonts w:ascii="Times New Roman" w:hAnsi="Times New Roman"/>
      <w:szCs w:val="24"/>
      <w:lang w:eastAsia="fr-CA"/>
    </w:rPr>
  </w:style>
  <w:style w:type="character" w:customStyle="1" w:styleId="sectionlabel">
    <w:name w:val="sectionlabel"/>
    <w:basedOn w:val="Policepardfaut"/>
    <w:rsid w:val="00D91EEA"/>
  </w:style>
  <w:style w:type="paragraph" w:customStyle="1" w:styleId="paragraph">
    <w:name w:val="paragraph"/>
    <w:basedOn w:val="Normal"/>
    <w:rsid w:val="00D91EEA"/>
    <w:pPr>
      <w:spacing w:before="100" w:beforeAutospacing="1" w:after="100" w:afterAutospacing="1"/>
    </w:pPr>
    <w:rPr>
      <w:rFonts w:ascii="Times New Roman" w:hAnsi="Times New Roman"/>
      <w:szCs w:val="24"/>
      <w:lang w:eastAsia="fr-CA"/>
    </w:rPr>
  </w:style>
  <w:style w:type="character" w:styleId="Accentuation">
    <w:name w:val="Emphasis"/>
    <w:basedOn w:val="Policepardfaut"/>
    <w:uiPriority w:val="20"/>
    <w:qFormat/>
    <w:rsid w:val="00D91EEA"/>
    <w:rPr>
      <w:i/>
      <w:iCs/>
    </w:rPr>
  </w:style>
  <w:style w:type="paragraph" w:customStyle="1" w:styleId="continuedsectionsubsection">
    <w:name w:val="continuedsectionsubsection"/>
    <w:basedOn w:val="Normal"/>
    <w:rsid w:val="00D91EEA"/>
    <w:pPr>
      <w:spacing w:before="100" w:beforeAutospacing="1" w:after="100" w:afterAutospacing="1"/>
    </w:pPr>
    <w:rPr>
      <w:rFonts w:ascii="Times New Roman" w:hAnsi="Times New Roman"/>
      <w:szCs w:val="24"/>
      <w:lang w:eastAsia="fr-CA"/>
    </w:rPr>
  </w:style>
  <w:style w:type="paragraph" w:customStyle="1" w:styleId="Default">
    <w:name w:val="Default"/>
    <w:rsid w:val="001F13D7"/>
    <w:pPr>
      <w:autoSpaceDE w:val="0"/>
      <w:autoSpaceDN w:val="0"/>
      <w:adjustRightInd w:val="0"/>
    </w:pPr>
    <w:rPr>
      <w:rFonts w:ascii="Arial" w:hAnsi="Arial" w:cs="Arial"/>
      <w:color w:val="000000"/>
      <w:sz w:val="24"/>
      <w:szCs w:val="24"/>
    </w:rPr>
  </w:style>
  <w:style w:type="character" w:styleId="CitationHTML">
    <w:name w:val="HTML Cite"/>
    <w:basedOn w:val="Policepardfaut"/>
    <w:uiPriority w:val="99"/>
    <w:semiHidden/>
    <w:unhideWhenUsed/>
    <w:rsid w:val="001F13D7"/>
    <w:rPr>
      <w:i/>
      <w:iCs/>
    </w:rPr>
  </w:style>
  <w:style w:type="character" w:customStyle="1" w:styleId="reflex">
    <w:name w:val="reflex"/>
    <w:basedOn w:val="Policepardfaut"/>
    <w:rsid w:val="00673025"/>
  </w:style>
  <w:style w:type="character" w:customStyle="1" w:styleId="reflex3-block">
    <w:name w:val="reflex3-block"/>
    <w:basedOn w:val="Policepardfaut"/>
    <w:rsid w:val="00673025"/>
  </w:style>
  <w:style w:type="character" w:customStyle="1" w:styleId="solexhl">
    <w:name w:val="solexhl"/>
    <w:basedOn w:val="Policepardfaut"/>
    <w:rsid w:val="00334BC4"/>
  </w:style>
  <w:style w:type="character" w:customStyle="1" w:styleId="reflex2-link">
    <w:name w:val="reflex2-link"/>
    <w:basedOn w:val="Policepardfaut"/>
    <w:rsid w:val="006A00FD"/>
  </w:style>
  <w:style w:type="paragraph" w:customStyle="1" w:styleId="paranondepar-altn">
    <w:name w:val="paranondepar-altn"/>
    <w:basedOn w:val="Normal"/>
    <w:rsid w:val="007516F2"/>
    <w:pPr>
      <w:spacing w:before="100" w:beforeAutospacing="1" w:after="100" w:afterAutospacing="1"/>
    </w:pPr>
    <w:rPr>
      <w:rFonts w:ascii="Times New Roman" w:hAnsi="Times New Roman"/>
      <w:szCs w:val="24"/>
      <w:lang w:eastAsia="fr-CA"/>
    </w:rPr>
  </w:style>
  <w:style w:type="character" w:customStyle="1" w:styleId="Titre2Car">
    <w:name w:val="Titre 2 Car"/>
    <w:basedOn w:val="Policepardfaut"/>
    <w:link w:val="Titre2"/>
    <w:rsid w:val="00AC655B"/>
    <w:rPr>
      <w:rFonts w:ascii="Arial" w:hAnsi="Arial"/>
      <w:b/>
      <w:bCs/>
      <w:kern w:val="28"/>
      <w:sz w:val="24"/>
      <w:lang w:eastAsia="fr-FR"/>
    </w:rPr>
  </w:style>
  <w:style w:type="table" w:styleId="Grilledutableau">
    <w:name w:val="Table Grid"/>
    <w:basedOn w:val="TableauNormal"/>
    <w:uiPriority w:val="39"/>
    <w:rsid w:val="001A3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3C0C38"/>
    <w:pPr>
      <w:ind w:left="720"/>
      <w:contextualSpacing/>
    </w:pPr>
  </w:style>
  <w:style w:type="paragraph" w:customStyle="1" w:styleId="section">
    <w:name w:val="section"/>
    <w:basedOn w:val="Normal"/>
    <w:rsid w:val="00A70514"/>
    <w:pPr>
      <w:spacing w:before="100" w:beforeAutospacing="1" w:after="100" w:afterAutospacing="1"/>
    </w:pPr>
    <w:rPr>
      <w:rFonts w:ascii="Times New Roman" w:hAnsi="Times New Roman"/>
      <w:szCs w:val="24"/>
      <w:lang w:eastAsia="fr-CA"/>
    </w:rPr>
  </w:style>
  <w:style w:type="character" w:customStyle="1" w:styleId="canliisection">
    <w:name w:val="canlii_section"/>
    <w:basedOn w:val="Policepardfaut"/>
    <w:rsid w:val="00A70514"/>
  </w:style>
  <w:style w:type="character" w:customStyle="1" w:styleId="lawlabel">
    <w:name w:val="lawlabel"/>
    <w:basedOn w:val="Policepardfaut"/>
    <w:rsid w:val="00A70514"/>
  </w:style>
  <w:style w:type="character" w:customStyle="1" w:styleId="otherlang">
    <w:name w:val="otherlang"/>
    <w:basedOn w:val="Policepardfaut"/>
    <w:rsid w:val="00A70514"/>
  </w:style>
  <w:style w:type="paragraph" w:customStyle="1" w:styleId="paragraphe">
    <w:name w:val="paragraphe"/>
    <w:basedOn w:val="Normal"/>
    <w:rsid w:val="00054D28"/>
    <w:pPr>
      <w:spacing w:before="100" w:beforeAutospacing="1" w:after="100" w:afterAutospacing="1"/>
    </w:pPr>
    <w:rPr>
      <w:rFonts w:ascii="Times New Roman" w:hAnsi="Times New Roman"/>
      <w:szCs w:val="24"/>
      <w:lang w:eastAsia="fr-CA"/>
    </w:rPr>
  </w:style>
  <w:style w:type="paragraph" w:customStyle="1" w:styleId="level1">
    <w:name w:val="level1"/>
    <w:basedOn w:val="Normal"/>
    <w:rsid w:val="002723E6"/>
    <w:pPr>
      <w:spacing w:before="100" w:beforeAutospacing="1" w:after="100" w:afterAutospacing="1"/>
    </w:pPr>
    <w:rPr>
      <w:rFonts w:ascii="Times New Roman" w:hAnsi="Times New Roman"/>
      <w:szCs w:val="24"/>
      <w:lang w:eastAsia="fr-CA"/>
    </w:rPr>
  </w:style>
  <w:style w:type="paragraph" w:customStyle="1" w:styleId="scjnumber">
    <w:name w:val="scjnumber"/>
    <w:basedOn w:val="Normal"/>
    <w:rsid w:val="00C80106"/>
    <w:pPr>
      <w:spacing w:before="100" w:beforeAutospacing="1" w:after="100" w:afterAutospacing="1"/>
    </w:pPr>
    <w:rPr>
      <w:rFonts w:ascii="Times New Roman" w:hAnsi="Times New Roman"/>
      <w:szCs w:val="24"/>
      <w:lang w:eastAsia="fr-CA"/>
    </w:rPr>
  </w:style>
  <w:style w:type="character" w:customStyle="1" w:styleId="NotedebasdepageCar">
    <w:name w:val="Note de bas de page Car"/>
    <w:basedOn w:val="Policepardfaut"/>
    <w:link w:val="Notedebasdepage"/>
    <w:uiPriority w:val="99"/>
    <w:rsid w:val="008D1B57"/>
    <w:rPr>
      <w:rFonts w:ascii="Arial" w:hAnsi="Arial"/>
      <w:lang w:eastAsia="fr-FR"/>
    </w:rPr>
  </w:style>
  <w:style w:type="character" w:customStyle="1" w:styleId="term210">
    <w:name w:val="term210"/>
    <w:basedOn w:val="Policepardfaut"/>
    <w:rsid w:val="00C64C6C"/>
  </w:style>
  <w:style w:type="paragraph" w:customStyle="1" w:styleId="citation-altc">
    <w:name w:val="citation-altc"/>
    <w:basedOn w:val="Normal"/>
    <w:rsid w:val="00C64C6C"/>
    <w:pPr>
      <w:spacing w:before="100" w:beforeAutospacing="1" w:after="100" w:afterAutospacing="1"/>
    </w:pPr>
    <w:rPr>
      <w:rFonts w:ascii="Times New Roman" w:hAnsi="Times New Roman"/>
      <w:szCs w:val="24"/>
      <w:lang w:eastAsia="fr-CA"/>
    </w:rPr>
  </w:style>
  <w:style w:type="table" w:customStyle="1" w:styleId="TableNormal0">
    <w:name w:val="Table Normal_0"/>
    <w:uiPriority w:val="2"/>
    <w:semiHidden/>
    <w:unhideWhenUsed/>
    <w:qFormat/>
    <w:rsid w:val="00F248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M4">
    <w:name w:val="toc 4"/>
    <w:basedOn w:val="Normal"/>
    <w:next w:val="Normal"/>
    <w:autoRedefine/>
    <w:uiPriority w:val="39"/>
    <w:unhideWhenUsed/>
    <w:rsid w:val="00252356"/>
    <w:pPr>
      <w:tabs>
        <w:tab w:val="right" w:leader="dot" w:pos="9352"/>
      </w:tabs>
    </w:pPr>
    <w:rPr>
      <w:rFonts w:asciiTheme="minorHAnsi" w:eastAsiaTheme="minorHAnsi" w:hAnsiTheme="minorHAnsi" w:cstheme="minorHAnsi"/>
      <w:sz w:val="20"/>
      <w:szCs w:val="22"/>
    </w:rPr>
  </w:style>
  <w:style w:type="character" w:customStyle="1" w:styleId="label-section">
    <w:name w:val="label-section"/>
    <w:basedOn w:val="Policepardfaut"/>
    <w:rsid w:val="00A414E9"/>
  </w:style>
  <w:style w:type="character" w:customStyle="1" w:styleId="label-z">
    <w:name w:val="label-z"/>
    <w:basedOn w:val="Policepardfaut"/>
    <w:rsid w:val="00A414E9"/>
  </w:style>
  <w:style w:type="character" w:customStyle="1" w:styleId="widthfixforlabel">
    <w:name w:val="widthfixforlabel"/>
    <w:basedOn w:val="Policepardfaut"/>
    <w:rsid w:val="00A414E9"/>
  </w:style>
  <w:style w:type="paragraph" w:customStyle="1" w:styleId="paragnum">
    <w:name w:val="paragnum"/>
    <w:basedOn w:val="Normal"/>
    <w:rsid w:val="009F791F"/>
    <w:pPr>
      <w:spacing w:before="100" w:beforeAutospacing="1" w:after="100" w:afterAutospacing="1"/>
    </w:pPr>
    <w:rPr>
      <w:rFonts w:ascii="Times New Roman" w:hAnsi="Times New Roman"/>
      <w:szCs w:val="24"/>
      <w:lang w:eastAsia="fr-CA"/>
    </w:rPr>
  </w:style>
  <w:style w:type="character" w:styleId="lev">
    <w:name w:val="Strong"/>
    <w:basedOn w:val="Policepardfaut"/>
    <w:uiPriority w:val="22"/>
    <w:qFormat/>
    <w:rsid w:val="00A75C1C"/>
    <w:rPr>
      <w:b/>
      <w:bCs/>
    </w:rPr>
  </w:style>
  <w:style w:type="paragraph" w:customStyle="1" w:styleId="scjnon-number">
    <w:name w:val="scjnon-number"/>
    <w:basedOn w:val="Normal"/>
    <w:rsid w:val="00574FE8"/>
    <w:pPr>
      <w:spacing w:before="100" w:beforeAutospacing="1" w:after="100" w:afterAutospacing="1"/>
    </w:pPr>
    <w:rPr>
      <w:rFonts w:ascii="Times New Roman" w:hAnsi="Times New Roman"/>
      <w:szCs w:val="24"/>
      <w:lang w:eastAsia="fr-CA"/>
    </w:rPr>
  </w:style>
  <w:style w:type="paragraph" w:customStyle="1" w:styleId="1">
    <w:name w:val="1"/>
    <w:basedOn w:val="Normal"/>
    <w:rsid w:val="000A2BD7"/>
    <w:pPr>
      <w:spacing w:before="100" w:beforeAutospacing="1" w:after="100" w:afterAutospacing="1"/>
    </w:pPr>
    <w:rPr>
      <w:rFonts w:ascii="Times New Roman" w:hAnsi="Times New Roman"/>
      <w:szCs w:val="24"/>
      <w:lang w:eastAsia="fr-CA"/>
    </w:rPr>
  </w:style>
  <w:style w:type="paragraph" w:styleId="NormalWeb">
    <w:name w:val="Normal (Web)"/>
    <w:basedOn w:val="Normal"/>
    <w:uiPriority w:val="99"/>
    <w:semiHidden/>
    <w:unhideWhenUsed/>
    <w:rsid w:val="00307439"/>
    <w:pPr>
      <w:spacing w:before="100" w:beforeAutospacing="1" w:after="100" w:afterAutospacing="1"/>
    </w:pPr>
    <w:rPr>
      <w:rFonts w:ascii="Times New Roman" w:hAnsi="Times New Roman"/>
      <w:szCs w:val="24"/>
      <w:lang w:eastAsia="fr-CA"/>
    </w:rPr>
  </w:style>
  <w:style w:type="paragraph" w:customStyle="1" w:styleId="headnote">
    <w:name w:val="headnote"/>
    <w:basedOn w:val="Normal"/>
    <w:rsid w:val="00307439"/>
    <w:pPr>
      <w:spacing w:before="100" w:beforeAutospacing="1" w:after="100" w:afterAutospacing="1"/>
    </w:pPr>
    <w:rPr>
      <w:rFonts w:ascii="Times New Roman" w:hAnsi="Times New Roman"/>
      <w:szCs w:val="24"/>
      <w:lang w:eastAsia="fr-CA"/>
    </w:rPr>
  </w:style>
  <w:style w:type="character" w:customStyle="1" w:styleId="canliisectionwithsubsection">
    <w:name w:val="canlii_section_with_subsection"/>
    <w:basedOn w:val="Policepardfaut"/>
    <w:rsid w:val="00307439"/>
  </w:style>
  <w:style w:type="character" w:customStyle="1" w:styleId="canliisubsection">
    <w:name w:val="canlii_subsection"/>
    <w:basedOn w:val="Policepardfaut"/>
    <w:rsid w:val="00307439"/>
  </w:style>
  <w:style w:type="character" w:customStyle="1" w:styleId="secnum">
    <w:name w:val="secnum"/>
    <w:basedOn w:val="Policepardfaut"/>
    <w:rsid w:val="00307439"/>
  </w:style>
  <w:style w:type="character" w:customStyle="1" w:styleId="clause">
    <w:name w:val="clause"/>
    <w:basedOn w:val="Policepardfaut"/>
    <w:rsid w:val="00307439"/>
  </w:style>
  <w:style w:type="paragraph" w:customStyle="1" w:styleId="ind1">
    <w:name w:val="ind1"/>
    <w:basedOn w:val="Normal"/>
    <w:rsid w:val="00307439"/>
    <w:pPr>
      <w:spacing w:before="100" w:beforeAutospacing="1" w:after="100" w:afterAutospacing="1"/>
    </w:pPr>
    <w:rPr>
      <w:rFonts w:ascii="Times New Roman" w:hAnsi="Times New Roman"/>
      <w:szCs w:val="24"/>
      <w:lang w:eastAsia="fr-CA"/>
    </w:rPr>
  </w:style>
  <w:style w:type="paragraph" w:styleId="TM5">
    <w:name w:val="toc 5"/>
    <w:basedOn w:val="Normal"/>
    <w:next w:val="Normal"/>
    <w:autoRedefine/>
    <w:uiPriority w:val="39"/>
    <w:unhideWhenUsed/>
    <w:rsid w:val="00B55EE6"/>
    <w:pPr>
      <w:ind w:left="960"/>
    </w:pPr>
    <w:rPr>
      <w:rFonts w:asciiTheme="minorHAnsi" w:hAnsiTheme="minorHAnsi" w:cstheme="minorHAnsi"/>
      <w:sz w:val="20"/>
    </w:rPr>
  </w:style>
  <w:style w:type="paragraph" w:styleId="TM6">
    <w:name w:val="toc 6"/>
    <w:basedOn w:val="Normal"/>
    <w:next w:val="Normal"/>
    <w:autoRedefine/>
    <w:uiPriority w:val="39"/>
    <w:unhideWhenUsed/>
    <w:rsid w:val="00B55EE6"/>
    <w:pPr>
      <w:ind w:left="1200"/>
    </w:pPr>
    <w:rPr>
      <w:rFonts w:asciiTheme="minorHAnsi" w:hAnsiTheme="minorHAnsi" w:cstheme="minorHAnsi"/>
      <w:sz w:val="20"/>
    </w:rPr>
  </w:style>
  <w:style w:type="paragraph" w:styleId="TM7">
    <w:name w:val="toc 7"/>
    <w:basedOn w:val="Normal"/>
    <w:next w:val="Normal"/>
    <w:autoRedefine/>
    <w:uiPriority w:val="39"/>
    <w:unhideWhenUsed/>
    <w:rsid w:val="00B55EE6"/>
    <w:pPr>
      <w:ind w:left="1440"/>
    </w:pPr>
    <w:rPr>
      <w:rFonts w:asciiTheme="minorHAnsi" w:hAnsiTheme="minorHAnsi" w:cstheme="minorHAnsi"/>
      <w:sz w:val="20"/>
    </w:rPr>
  </w:style>
  <w:style w:type="paragraph" w:styleId="TM8">
    <w:name w:val="toc 8"/>
    <w:basedOn w:val="Normal"/>
    <w:next w:val="Normal"/>
    <w:autoRedefine/>
    <w:uiPriority w:val="39"/>
    <w:unhideWhenUsed/>
    <w:rsid w:val="00B55EE6"/>
    <w:pPr>
      <w:ind w:left="1680"/>
    </w:pPr>
    <w:rPr>
      <w:rFonts w:asciiTheme="minorHAnsi" w:hAnsiTheme="minorHAnsi" w:cstheme="minorHAnsi"/>
      <w:sz w:val="20"/>
    </w:rPr>
  </w:style>
  <w:style w:type="paragraph" w:styleId="TM9">
    <w:name w:val="toc 9"/>
    <w:basedOn w:val="Normal"/>
    <w:next w:val="Normal"/>
    <w:autoRedefine/>
    <w:uiPriority w:val="39"/>
    <w:unhideWhenUsed/>
    <w:rsid w:val="00B55EE6"/>
    <w:pPr>
      <w:ind w:left="1920"/>
    </w:pPr>
    <w:rPr>
      <w:rFonts w:asciiTheme="minorHAnsi" w:hAnsiTheme="minorHAnsi" w:cstheme="minorHAnsi"/>
      <w:sz w:val="20"/>
    </w:rPr>
  </w:style>
  <w:style w:type="character" w:styleId="Lienvisit">
    <w:name w:val="FollowedHyperlink"/>
    <w:basedOn w:val="Policepardfaut"/>
    <w:uiPriority w:val="99"/>
    <w:semiHidden/>
    <w:unhideWhenUsed/>
    <w:rsid w:val="00B32057"/>
    <w:rPr>
      <w:color w:val="954F72" w:themeColor="followedHyperlink"/>
      <w:u w:val="single"/>
    </w:rPr>
  </w:style>
  <w:style w:type="character" w:styleId="Titredulivre">
    <w:name w:val="Book Title"/>
    <w:uiPriority w:val="33"/>
    <w:qFormat/>
    <w:rsid w:val="00E73A37"/>
    <w:rPr>
      <w:rFonts w:eastAsiaTheme="minorHAnsi"/>
      <w:b/>
      <w:bCs/>
      <w:sz w:val="22"/>
      <w:szCs w:val="22"/>
    </w:rPr>
  </w:style>
  <w:style w:type="paragraph" w:styleId="Citation">
    <w:name w:val="Quote"/>
    <w:basedOn w:val="Normal"/>
    <w:next w:val="Normal"/>
    <w:link w:val="CitationCar"/>
    <w:uiPriority w:val="29"/>
    <w:qFormat/>
    <w:rsid w:val="00CE3E87"/>
    <w:pPr>
      <w:spacing w:before="200" w:after="160"/>
      <w:ind w:left="864" w:right="864"/>
      <w:jc w:val="both"/>
    </w:pPr>
    <w:rPr>
      <w:sz w:val="22"/>
      <w:szCs w:val="22"/>
    </w:rPr>
  </w:style>
  <w:style w:type="character" w:customStyle="1" w:styleId="CitationCar">
    <w:name w:val="Citation Car"/>
    <w:basedOn w:val="Policepardfaut"/>
    <w:link w:val="Citation"/>
    <w:uiPriority w:val="29"/>
    <w:rsid w:val="00CE3E87"/>
    <w:rPr>
      <w:rFonts w:ascii="Arial" w:hAnsi="Arial"/>
      <w:sz w:val="22"/>
      <w:szCs w:val="22"/>
      <w:lang w:eastAsia="fr-FR"/>
    </w:rPr>
  </w:style>
  <w:style w:type="paragraph" w:styleId="Citationintense">
    <w:name w:val="Intense Quote"/>
    <w:basedOn w:val="Citation"/>
    <w:next w:val="Normal"/>
    <w:link w:val="CitationintenseCar"/>
    <w:uiPriority w:val="30"/>
    <w:qFormat/>
    <w:rsid w:val="00CE3E87"/>
    <w:pPr>
      <w:ind w:left="1276" w:right="1282"/>
    </w:pPr>
  </w:style>
  <w:style w:type="character" w:customStyle="1" w:styleId="CitationintenseCar">
    <w:name w:val="Citation intense Car"/>
    <w:basedOn w:val="Policepardfaut"/>
    <w:link w:val="Citationintense"/>
    <w:uiPriority w:val="30"/>
    <w:rsid w:val="00CE3E87"/>
    <w:rPr>
      <w:rFonts w:ascii="Arial" w:hAnsi="Arial"/>
      <w:sz w:val="22"/>
      <w:szCs w:val="22"/>
      <w:lang w:eastAsia="fr-FR"/>
    </w:rPr>
  </w:style>
  <w:style w:type="paragraph" w:styleId="Rvision">
    <w:name w:val="Revision"/>
    <w:hidden/>
    <w:uiPriority w:val="99"/>
    <w:semiHidden/>
    <w:rsid w:val="000A5A22"/>
    <w:rPr>
      <w:rFonts w:ascii="Arial" w:hAnsi="Arial"/>
      <w:sz w:val="24"/>
      <w:lang w:eastAsia="fr-FR"/>
    </w:rPr>
  </w:style>
  <w:style w:type="character" w:styleId="Marquedecommentaire">
    <w:name w:val="annotation reference"/>
    <w:basedOn w:val="Policepardfaut"/>
    <w:uiPriority w:val="99"/>
    <w:semiHidden/>
    <w:unhideWhenUsed/>
    <w:rsid w:val="00050DC8"/>
    <w:rPr>
      <w:sz w:val="16"/>
      <w:szCs w:val="16"/>
    </w:rPr>
  </w:style>
  <w:style w:type="paragraph" w:styleId="Commentaire">
    <w:name w:val="annotation text"/>
    <w:basedOn w:val="Normal"/>
    <w:link w:val="CommentaireCar"/>
    <w:uiPriority w:val="99"/>
    <w:unhideWhenUsed/>
    <w:rsid w:val="00050DC8"/>
    <w:rPr>
      <w:sz w:val="20"/>
    </w:rPr>
  </w:style>
  <w:style w:type="character" w:customStyle="1" w:styleId="CommentaireCar">
    <w:name w:val="Commentaire Car"/>
    <w:basedOn w:val="Policepardfaut"/>
    <w:link w:val="Commentaire"/>
    <w:uiPriority w:val="99"/>
    <w:rsid w:val="00050DC8"/>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050DC8"/>
    <w:rPr>
      <w:b/>
      <w:bCs/>
    </w:rPr>
  </w:style>
  <w:style w:type="character" w:customStyle="1" w:styleId="ObjetducommentaireCar">
    <w:name w:val="Objet du commentaire Car"/>
    <w:basedOn w:val="CommentaireCar"/>
    <w:link w:val="Objetducommentaire"/>
    <w:uiPriority w:val="99"/>
    <w:semiHidden/>
    <w:rsid w:val="00050DC8"/>
    <w:rPr>
      <w:rFonts w:ascii="Arial" w:hAnsi="Arial"/>
      <w:b/>
      <w:bCs/>
      <w:lang w:eastAsia="fr-FR"/>
    </w:rPr>
  </w:style>
  <w:style w:type="character" w:customStyle="1" w:styleId="TitreCar">
    <w:name w:val="Titre Car"/>
    <w:basedOn w:val="Policepardfaut"/>
    <w:link w:val="Titre"/>
    <w:rsid w:val="00D04F2D"/>
    <w:rPr>
      <w:rFonts w:ascii="Arial" w:hAnsi="Arial"/>
      <w:b/>
      <w:bCs/>
      <w:kern w:val="28"/>
      <w:sz w:val="24"/>
      <w:szCs w:val="24"/>
      <w:lang w:eastAsia="fr-FR"/>
    </w:rPr>
  </w:style>
  <w:style w:type="paragraph" w:customStyle="1" w:styleId="TableParagraph">
    <w:name w:val="Table Paragraph"/>
    <w:basedOn w:val="Normal"/>
    <w:uiPriority w:val="1"/>
    <w:qFormat/>
    <w:rsid w:val="005079E4"/>
    <w:pPr>
      <w:widowControl w:val="0"/>
      <w:autoSpaceDE w:val="0"/>
      <w:autoSpaceDN w:val="0"/>
      <w:ind w:left="50"/>
    </w:pPr>
    <w:rPr>
      <w:rFonts w:eastAsia="Arial" w:cs="Arial"/>
      <w:sz w:val="22"/>
      <w:szCs w:val="22"/>
      <w:lang w:val="en-US" w:eastAsia="en-US"/>
    </w:rPr>
  </w:style>
  <w:style w:type="character" w:styleId="Mentionnonrsolue">
    <w:name w:val="Unresolved Mention"/>
    <w:basedOn w:val="Policepardfaut"/>
    <w:uiPriority w:val="99"/>
    <w:semiHidden/>
    <w:unhideWhenUsed/>
    <w:rsid w:val="001163B7"/>
    <w:rPr>
      <w:color w:val="605E5C"/>
      <w:shd w:val="clear" w:color="auto" w:fill="E1DFDD"/>
    </w:rPr>
  </w:style>
  <w:style w:type="paragraph" w:styleId="Listepuces">
    <w:name w:val="List Bullet"/>
    <w:basedOn w:val="Normal"/>
    <w:uiPriority w:val="99"/>
    <w:unhideWhenUsed/>
    <w:rsid w:val="004547B9"/>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3098">
      <w:bodyDiv w:val="1"/>
      <w:marLeft w:val="0"/>
      <w:marRight w:val="0"/>
      <w:marTop w:val="0"/>
      <w:marBottom w:val="0"/>
      <w:divBdr>
        <w:top w:val="none" w:sz="0" w:space="0" w:color="auto"/>
        <w:left w:val="none" w:sz="0" w:space="0" w:color="auto"/>
        <w:bottom w:val="none" w:sz="0" w:space="0" w:color="auto"/>
        <w:right w:val="none" w:sz="0" w:space="0" w:color="auto"/>
      </w:divBdr>
    </w:div>
    <w:div w:id="741831971">
      <w:bodyDiv w:val="1"/>
      <w:marLeft w:val="0"/>
      <w:marRight w:val="0"/>
      <w:marTop w:val="0"/>
      <w:marBottom w:val="0"/>
      <w:divBdr>
        <w:top w:val="none" w:sz="0" w:space="0" w:color="auto"/>
        <w:left w:val="none" w:sz="0" w:space="0" w:color="auto"/>
        <w:bottom w:val="none" w:sz="0" w:space="0" w:color="auto"/>
        <w:right w:val="none" w:sz="0" w:space="0" w:color="auto"/>
      </w:divBdr>
    </w:div>
    <w:div w:id="793521073">
      <w:bodyDiv w:val="1"/>
      <w:marLeft w:val="0"/>
      <w:marRight w:val="0"/>
      <w:marTop w:val="0"/>
      <w:marBottom w:val="0"/>
      <w:divBdr>
        <w:top w:val="none" w:sz="0" w:space="0" w:color="auto"/>
        <w:left w:val="none" w:sz="0" w:space="0" w:color="auto"/>
        <w:bottom w:val="none" w:sz="0" w:space="0" w:color="auto"/>
        <w:right w:val="none" w:sz="0" w:space="0" w:color="auto"/>
      </w:divBdr>
    </w:div>
    <w:div w:id="133865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E00FA-8DD8-4DF7-AD22-3DB046F8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113</Pages>
  <Words>40180</Words>
  <Characters>212572</Characters>
  <Application>Microsoft Office Word</Application>
  <DocSecurity>0</DocSecurity>
  <Lines>1771</Lines>
  <Paragraphs>504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ghunter@soquij.qc.ca</dc:creator>
  <cp:lastModifiedBy>trad-rev</cp:lastModifiedBy>
  <cp:revision>4</cp:revision>
  <dcterms:created xsi:type="dcterms:W3CDTF">2023-11-28T15:19:00Z</dcterms:created>
  <dcterms:modified xsi:type="dcterms:W3CDTF">2023-12-01T21:10:00Z</dcterms:modified>
</cp:coreProperties>
</file>