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B32E9" w:rsidRPr="00AF78D8" w:rsidRDefault="007B32E9">
      <w:pPr>
        <w:rPr>
          <w:lang w:val="en-CA"/>
        </w:rPr>
      </w:pPr>
      <w:r w:rsidRPr="00AF78D8">
        <w:rPr>
          <w:lang w:val="en-CA"/>
        </w:rPr>
        <w:t>Translated from the original French</w:t>
      </w:r>
    </w:p>
    <w:tbl>
      <w:tblPr>
        <w:tblW w:w="9505" w:type="dxa"/>
        <w:tblLayout w:type="fixed"/>
        <w:tblCellMar>
          <w:left w:w="70" w:type="dxa"/>
          <w:right w:w="70" w:type="dxa"/>
        </w:tblCellMar>
        <w:tblLook w:val="0000" w:firstRow="0" w:lastRow="0" w:firstColumn="0" w:lastColumn="0" w:noHBand="0" w:noVBand="0"/>
      </w:tblPr>
      <w:tblGrid>
        <w:gridCol w:w="1035"/>
        <w:gridCol w:w="69"/>
        <w:gridCol w:w="525"/>
        <w:gridCol w:w="37"/>
        <w:gridCol w:w="2373"/>
        <w:gridCol w:w="3042"/>
        <w:gridCol w:w="2424"/>
      </w:tblGrid>
      <w:tr w:rsidR="009110B8" w:rsidRPr="00AF78D8" w:rsidTr="00677283">
        <w:trPr>
          <w:trHeight w:val="360"/>
        </w:trPr>
        <w:tc>
          <w:tcPr>
            <w:tcW w:w="7081" w:type="dxa"/>
            <w:gridSpan w:val="6"/>
          </w:tcPr>
          <w:p w:rsidR="00012101" w:rsidRPr="00AF78D8" w:rsidRDefault="00823364" w:rsidP="00823364">
            <w:pPr>
              <w:pStyle w:val="zSoquijdatRepertorie"/>
              <w:rPr>
                <w:rFonts w:cs="Arial"/>
                <w:noProof w:val="0"/>
              </w:rPr>
            </w:pPr>
            <w:r w:rsidRPr="00AF78D8">
              <w:rPr>
                <w:rFonts w:cs="Arial"/>
                <w:noProof w:val="0"/>
              </w:rPr>
              <w:t>Nguyen c. Directrice des poursuites</w:t>
            </w:r>
            <w:r w:rsidR="00E5763B" w:rsidRPr="00AF78D8">
              <w:rPr>
                <w:rFonts w:cs="Arial"/>
                <w:noProof w:val="0"/>
              </w:rPr>
              <w:t xml:space="preserve"> </w:t>
            </w:r>
            <w:r w:rsidRPr="00AF78D8">
              <w:rPr>
                <w:rFonts w:cs="Arial"/>
                <w:noProof w:val="0"/>
              </w:rPr>
              <w:t>criminelles et pénales</w:t>
            </w:r>
          </w:p>
        </w:tc>
        <w:tc>
          <w:tcPr>
            <w:tcW w:w="2424" w:type="dxa"/>
          </w:tcPr>
          <w:p w:rsidR="00012101" w:rsidRPr="00AF78D8" w:rsidRDefault="00C602B4" w:rsidP="00C602B4">
            <w:pPr>
              <w:pStyle w:val="zSoquijdatRefNeutre"/>
              <w:jc w:val="right"/>
              <w:rPr>
                <w:rFonts w:cs="Arial"/>
                <w:noProof w:val="0"/>
                <w:lang w:val="en-CA"/>
              </w:rPr>
            </w:pPr>
            <w:r w:rsidRPr="00AF78D8">
              <w:rPr>
                <w:rFonts w:cs="Arial"/>
                <w:noProof w:val="0"/>
                <w:lang w:val="en-CA"/>
              </w:rPr>
              <w:t>2021 QCCQ 2722</w:t>
            </w:r>
          </w:p>
        </w:tc>
      </w:tr>
      <w:tr w:rsidR="009110B8" w:rsidRPr="00AF78D8" w:rsidTr="001C711E">
        <w:trPr>
          <w:trHeight w:val="900"/>
        </w:trPr>
        <w:tc>
          <w:tcPr>
            <w:tcW w:w="9505" w:type="dxa"/>
            <w:gridSpan w:val="7"/>
            <w:vAlign w:val="bottom"/>
          </w:tcPr>
          <w:p w:rsidR="00012101" w:rsidRPr="00AF78D8" w:rsidRDefault="00012101" w:rsidP="001C711E">
            <w:pPr>
              <w:pStyle w:val="zSoquijlblCour"/>
              <w:rPr>
                <w:sz w:val="32"/>
                <w:szCs w:val="32"/>
                <w:lang w:val="en-CA"/>
              </w:rPr>
            </w:pPr>
            <w:r w:rsidRPr="00AF78D8">
              <w:rPr>
                <w:sz w:val="32"/>
                <w:szCs w:val="32"/>
                <w:lang w:val="en-CA"/>
              </w:rPr>
              <w:t>COUR</w:t>
            </w:r>
            <w:r w:rsidR="00585DB3" w:rsidRPr="00AF78D8">
              <w:rPr>
                <w:sz w:val="32"/>
                <w:szCs w:val="32"/>
                <w:lang w:val="en-CA"/>
              </w:rPr>
              <w:t xml:space="preserve">T OF </w:t>
            </w:r>
            <w:r w:rsidRPr="00AF78D8">
              <w:rPr>
                <w:sz w:val="32"/>
                <w:szCs w:val="32"/>
                <w:lang w:val="en-CA"/>
              </w:rPr>
              <w:t>QUÉBEC</w:t>
            </w:r>
          </w:p>
        </w:tc>
      </w:tr>
      <w:tr w:rsidR="009110B8" w:rsidRPr="00AF78D8" w:rsidTr="001C711E">
        <w:trPr>
          <w:trHeight w:val="540"/>
        </w:trPr>
        <w:tc>
          <w:tcPr>
            <w:tcW w:w="9505" w:type="dxa"/>
            <w:gridSpan w:val="7"/>
          </w:tcPr>
          <w:p w:rsidR="00012101" w:rsidRPr="00AF78D8" w:rsidRDefault="00012101" w:rsidP="001C711E">
            <w:pPr>
              <w:pStyle w:val="zSoquijdatDivision"/>
              <w:rPr>
                <w:sz w:val="16"/>
                <w:szCs w:val="16"/>
                <w:lang w:val="en-CA"/>
              </w:rPr>
            </w:pPr>
          </w:p>
        </w:tc>
      </w:tr>
      <w:tr w:rsidR="009110B8" w:rsidRPr="00AF78D8" w:rsidTr="001C711E">
        <w:tc>
          <w:tcPr>
            <w:tcW w:w="9505" w:type="dxa"/>
            <w:gridSpan w:val="7"/>
          </w:tcPr>
          <w:p w:rsidR="00012101" w:rsidRPr="00AF78D8" w:rsidRDefault="00012101" w:rsidP="001C711E">
            <w:pPr>
              <w:pStyle w:val="zSoquijlblPays"/>
              <w:rPr>
                <w:lang w:val="en-CA"/>
              </w:rPr>
            </w:pPr>
            <w:r w:rsidRPr="00AF78D8">
              <w:rPr>
                <w:lang w:val="en-CA"/>
              </w:rPr>
              <w:t>CANADA</w:t>
            </w:r>
          </w:p>
        </w:tc>
      </w:tr>
      <w:tr w:rsidR="009110B8" w:rsidRPr="00AF78D8" w:rsidTr="001C711E">
        <w:tc>
          <w:tcPr>
            <w:tcW w:w="9505" w:type="dxa"/>
            <w:gridSpan w:val="7"/>
          </w:tcPr>
          <w:p w:rsidR="00012101" w:rsidRPr="00AF78D8" w:rsidRDefault="0052797D" w:rsidP="001C711E">
            <w:pPr>
              <w:pStyle w:val="zSoquijlblProvince"/>
              <w:rPr>
                <w:lang w:val="en-CA"/>
              </w:rPr>
            </w:pPr>
            <w:r w:rsidRPr="00AF78D8">
              <w:rPr>
                <w:lang w:val="en-CA"/>
              </w:rPr>
              <w:t>PROVINCE OF QUEBEC</w:t>
            </w:r>
          </w:p>
        </w:tc>
      </w:tr>
      <w:tr w:rsidR="009110B8" w:rsidRPr="00AF78D8" w:rsidTr="00677283">
        <w:tblPrEx>
          <w:tblCellMar>
            <w:left w:w="0" w:type="dxa"/>
            <w:right w:w="0" w:type="dxa"/>
          </w:tblCellMar>
        </w:tblPrEx>
        <w:trPr>
          <w:cantSplit/>
        </w:trPr>
        <w:tc>
          <w:tcPr>
            <w:tcW w:w="1629" w:type="dxa"/>
            <w:gridSpan w:val="3"/>
          </w:tcPr>
          <w:p w:rsidR="00012101" w:rsidRPr="00AF78D8" w:rsidRDefault="0052797D" w:rsidP="001C711E">
            <w:pPr>
              <w:pStyle w:val="zSoquijlblGreffe"/>
              <w:rPr>
                <w:lang w:val="en-CA"/>
              </w:rPr>
            </w:pPr>
            <w:r w:rsidRPr="00AF78D8">
              <w:rPr>
                <w:lang w:val="en-CA"/>
              </w:rPr>
              <w:t>DISTRICT OF</w:t>
            </w:r>
          </w:p>
        </w:tc>
        <w:tc>
          <w:tcPr>
            <w:tcW w:w="7876" w:type="dxa"/>
            <w:gridSpan w:val="4"/>
          </w:tcPr>
          <w:p w:rsidR="00012101" w:rsidRPr="00AF78D8" w:rsidRDefault="0052797D" w:rsidP="001C711E">
            <w:pPr>
              <w:pStyle w:val="zSoquijdatGreffe"/>
              <w:rPr>
                <w:lang w:val="en-CA"/>
              </w:rPr>
            </w:pPr>
            <w:r w:rsidRPr="00AF78D8">
              <w:rPr>
                <w:lang w:val="en-CA"/>
              </w:rPr>
              <w:t>MONTREAL</w:t>
            </w:r>
          </w:p>
        </w:tc>
      </w:tr>
      <w:tr w:rsidR="009110B8" w:rsidRPr="00AF78D8" w:rsidTr="00677283">
        <w:tblPrEx>
          <w:tblCellMar>
            <w:left w:w="0" w:type="dxa"/>
            <w:right w:w="0" w:type="dxa"/>
          </w:tblCellMar>
        </w:tblPrEx>
        <w:trPr>
          <w:cantSplit/>
        </w:trPr>
        <w:tc>
          <w:tcPr>
            <w:tcW w:w="1666" w:type="dxa"/>
            <w:gridSpan w:val="4"/>
          </w:tcPr>
          <w:p w:rsidR="00012101" w:rsidRPr="00AF78D8" w:rsidRDefault="0052797D" w:rsidP="001C711E">
            <w:pPr>
              <w:pStyle w:val="zSoquijlblLocalite"/>
              <w:rPr>
                <w:lang w:val="en-CA"/>
              </w:rPr>
            </w:pPr>
            <w:r w:rsidRPr="00AF78D8">
              <w:rPr>
                <w:lang w:val="en-CA"/>
              </w:rPr>
              <w:t>LOCALITY OF</w:t>
            </w:r>
          </w:p>
        </w:tc>
        <w:tc>
          <w:tcPr>
            <w:tcW w:w="7839" w:type="dxa"/>
            <w:gridSpan w:val="3"/>
          </w:tcPr>
          <w:p w:rsidR="00012101" w:rsidRPr="00AF78D8" w:rsidRDefault="0052797D" w:rsidP="001C711E">
            <w:pPr>
              <w:pStyle w:val="zSoquijdatLocalite"/>
              <w:ind w:left="0"/>
              <w:rPr>
                <w:lang w:val="en-CA"/>
              </w:rPr>
            </w:pPr>
            <w:r w:rsidRPr="00AF78D8">
              <w:rPr>
                <w:lang w:val="en-CA"/>
              </w:rPr>
              <w:t>MONTREAL</w:t>
            </w:r>
          </w:p>
        </w:tc>
      </w:tr>
      <w:tr w:rsidR="009110B8" w:rsidRPr="00AF78D8" w:rsidTr="001C711E">
        <w:trPr>
          <w:trHeight w:val="540"/>
        </w:trPr>
        <w:tc>
          <w:tcPr>
            <w:tcW w:w="9505" w:type="dxa"/>
            <w:gridSpan w:val="7"/>
          </w:tcPr>
          <w:p w:rsidR="00012101" w:rsidRPr="00AF78D8" w:rsidRDefault="0052797D" w:rsidP="001C711E">
            <w:pPr>
              <w:pStyle w:val="zSoquijlblNomChambre"/>
              <w:rPr>
                <w:lang w:val="en-CA"/>
              </w:rPr>
            </w:pPr>
            <w:r w:rsidRPr="00AF78D8">
              <w:rPr>
                <w:lang w:val="en-CA"/>
              </w:rPr>
              <w:t>“Criminal and Penal Division”</w:t>
            </w:r>
          </w:p>
        </w:tc>
      </w:tr>
      <w:tr w:rsidR="009110B8" w:rsidRPr="00AF78D8" w:rsidTr="00677283">
        <w:tc>
          <w:tcPr>
            <w:tcW w:w="1104" w:type="dxa"/>
            <w:gridSpan w:val="2"/>
          </w:tcPr>
          <w:p w:rsidR="00012101" w:rsidRPr="00AF78D8" w:rsidRDefault="0052797D" w:rsidP="001C711E">
            <w:pPr>
              <w:pStyle w:val="zSoquijlblNoDossier"/>
              <w:rPr>
                <w:lang w:val="en-CA"/>
              </w:rPr>
            </w:pPr>
            <w:r w:rsidRPr="00AF78D8">
              <w:rPr>
                <w:lang w:val="en-CA"/>
              </w:rPr>
              <w:t>Nos.:</w:t>
            </w:r>
          </w:p>
        </w:tc>
        <w:tc>
          <w:tcPr>
            <w:tcW w:w="8401" w:type="dxa"/>
            <w:gridSpan w:val="5"/>
          </w:tcPr>
          <w:p w:rsidR="00012101" w:rsidRPr="00AF78D8" w:rsidRDefault="00012101" w:rsidP="001C711E">
            <w:pPr>
              <w:pStyle w:val="zSoquijdatNoDossier"/>
              <w:tabs>
                <w:tab w:val="left" w:pos="3441"/>
              </w:tabs>
              <w:rPr>
                <w:b/>
                <w:lang w:val="en-CA"/>
              </w:rPr>
            </w:pPr>
            <w:r w:rsidRPr="00AF78D8">
              <w:rPr>
                <w:b/>
                <w:lang w:val="en-CA"/>
              </w:rPr>
              <w:t>500-01-091480-134            500-21-079604-133</w:t>
            </w:r>
          </w:p>
          <w:p w:rsidR="00012101" w:rsidRPr="00AF78D8" w:rsidRDefault="00012101" w:rsidP="001C711E">
            <w:pPr>
              <w:pStyle w:val="zSoquijdatNoDossier"/>
              <w:rPr>
                <w:b/>
                <w:lang w:val="en-CA"/>
              </w:rPr>
            </w:pPr>
            <w:r w:rsidRPr="00AF78D8">
              <w:rPr>
                <w:b/>
                <w:lang w:val="en-CA"/>
              </w:rPr>
              <w:t>500-26-082614-144            500-38-017678-136</w:t>
            </w:r>
          </w:p>
          <w:p w:rsidR="00012101" w:rsidRPr="00AF78D8" w:rsidRDefault="00012101" w:rsidP="001C711E">
            <w:pPr>
              <w:pStyle w:val="zSoquijdatNoDossier"/>
              <w:rPr>
                <w:b/>
                <w:lang w:val="en-CA"/>
              </w:rPr>
            </w:pPr>
            <w:r w:rsidRPr="00AF78D8">
              <w:rPr>
                <w:b/>
                <w:lang w:val="en-CA"/>
              </w:rPr>
              <w:t>500-26-082615-141            500-38-017680-132</w:t>
            </w:r>
          </w:p>
          <w:p w:rsidR="00012101" w:rsidRPr="00AF78D8" w:rsidRDefault="00012101" w:rsidP="001C711E">
            <w:pPr>
              <w:pStyle w:val="zSoquijdatNoDossier"/>
              <w:rPr>
                <w:b/>
                <w:lang w:val="en-CA"/>
              </w:rPr>
            </w:pPr>
            <w:r w:rsidRPr="00AF78D8">
              <w:rPr>
                <w:b/>
                <w:lang w:val="en-CA"/>
              </w:rPr>
              <w:t>500-26-082613-146            500-38-018621-143</w:t>
            </w:r>
          </w:p>
          <w:p w:rsidR="00012101" w:rsidRPr="00AF78D8" w:rsidRDefault="00012101" w:rsidP="001C711E">
            <w:pPr>
              <w:pStyle w:val="zSoquijdatNoDossier"/>
              <w:rPr>
                <w:b/>
                <w:lang w:val="en-CA"/>
              </w:rPr>
            </w:pPr>
            <w:r w:rsidRPr="00AF78D8">
              <w:rPr>
                <w:b/>
                <w:lang w:val="en-CA"/>
              </w:rPr>
              <w:t>500-26-082931-142            500-38-018617-141</w:t>
            </w:r>
          </w:p>
          <w:p w:rsidR="00012101" w:rsidRPr="00AF78D8" w:rsidRDefault="00012101" w:rsidP="001C711E">
            <w:pPr>
              <w:pStyle w:val="zSoquijdatNoDossier"/>
              <w:rPr>
                <w:b/>
                <w:lang w:val="en-CA"/>
              </w:rPr>
            </w:pPr>
            <w:r w:rsidRPr="00AF78D8">
              <w:rPr>
                <w:b/>
                <w:lang w:val="en-CA"/>
              </w:rPr>
              <w:t>500-26-077860-132            500-38-018671-148</w:t>
            </w:r>
          </w:p>
          <w:p w:rsidR="00012101" w:rsidRPr="00AF78D8" w:rsidRDefault="00012101" w:rsidP="001C711E">
            <w:pPr>
              <w:pStyle w:val="zSoquijdatNoDossier"/>
              <w:rPr>
                <w:b/>
                <w:lang w:val="en-CA"/>
              </w:rPr>
            </w:pPr>
            <w:r w:rsidRPr="00AF78D8">
              <w:rPr>
                <w:b/>
                <w:lang w:val="en-CA"/>
              </w:rPr>
              <w:t>500-26-077668-139            500-38-018618-149</w:t>
            </w:r>
          </w:p>
          <w:p w:rsidR="00012101" w:rsidRPr="00AF78D8" w:rsidRDefault="00012101" w:rsidP="001C711E">
            <w:pPr>
              <w:pStyle w:val="zSoquijdatNoDossier"/>
              <w:rPr>
                <w:b/>
                <w:lang w:val="en-CA"/>
              </w:rPr>
            </w:pPr>
            <w:r w:rsidRPr="00AF78D8">
              <w:rPr>
                <w:b/>
                <w:lang w:val="en-CA"/>
              </w:rPr>
              <w:t>500-26-077670-135            500-38-018622-141</w:t>
            </w:r>
          </w:p>
          <w:p w:rsidR="00012101" w:rsidRPr="00AF78D8" w:rsidRDefault="00012101" w:rsidP="001C711E">
            <w:pPr>
              <w:pStyle w:val="zSoquijdatNoDossier"/>
              <w:rPr>
                <w:b/>
                <w:lang w:val="en-CA"/>
              </w:rPr>
            </w:pPr>
            <w:r w:rsidRPr="00AF78D8">
              <w:rPr>
                <w:b/>
                <w:lang w:val="en-CA"/>
              </w:rPr>
              <w:t>500-26-077750-135            500-38-018623-149</w:t>
            </w:r>
          </w:p>
          <w:p w:rsidR="00012101" w:rsidRPr="00AF78D8" w:rsidRDefault="00012101" w:rsidP="001C711E">
            <w:pPr>
              <w:pStyle w:val="zSoquijdatNoDossier"/>
              <w:rPr>
                <w:b/>
                <w:lang w:val="en-CA"/>
              </w:rPr>
            </w:pPr>
            <w:r w:rsidRPr="00AF78D8">
              <w:rPr>
                <w:b/>
                <w:lang w:val="en-CA"/>
              </w:rPr>
              <w:t>500-26-077672-131            500-38-018619-147</w:t>
            </w:r>
          </w:p>
          <w:p w:rsidR="00012101" w:rsidRPr="00AF78D8" w:rsidRDefault="00012101" w:rsidP="001C711E">
            <w:pPr>
              <w:pStyle w:val="zSoquijdatNoDossier"/>
              <w:rPr>
                <w:b/>
                <w:lang w:val="en-CA"/>
              </w:rPr>
            </w:pPr>
            <w:r w:rsidRPr="00AF78D8">
              <w:rPr>
                <w:b/>
                <w:lang w:val="en-CA"/>
              </w:rPr>
              <w:t>500-26-077679-136</w:t>
            </w:r>
          </w:p>
          <w:p w:rsidR="00012101" w:rsidRPr="00AF78D8" w:rsidRDefault="00012101" w:rsidP="001C711E">
            <w:pPr>
              <w:pStyle w:val="zSoquijdatNoDossier"/>
              <w:rPr>
                <w:b/>
                <w:lang w:val="en-CA"/>
              </w:rPr>
            </w:pPr>
          </w:p>
        </w:tc>
      </w:tr>
      <w:tr w:rsidR="009110B8" w:rsidRPr="00AF78D8" w:rsidTr="001C711E">
        <w:trPr>
          <w:cantSplit/>
          <w:trHeight w:val="235"/>
        </w:trPr>
        <w:tc>
          <w:tcPr>
            <w:tcW w:w="9505" w:type="dxa"/>
            <w:gridSpan w:val="7"/>
          </w:tcPr>
          <w:p w:rsidR="00012101" w:rsidRPr="00AF78D8" w:rsidRDefault="00012101" w:rsidP="001C711E">
            <w:pPr>
              <w:rPr>
                <w:sz w:val="18"/>
                <w:szCs w:val="18"/>
                <w:lang w:val="en-CA"/>
              </w:rPr>
            </w:pPr>
          </w:p>
        </w:tc>
      </w:tr>
      <w:tr w:rsidR="009110B8" w:rsidRPr="00AF78D8" w:rsidTr="00677283">
        <w:tc>
          <w:tcPr>
            <w:tcW w:w="1035" w:type="dxa"/>
          </w:tcPr>
          <w:p w:rsidR="00012101" w:rsidRPr="00AF78D8" w:rsidRDefault="0052797D" w:rsidP="001C711E">
            <w:pPr>
              <w:pStyle w:val="zSoquijlblDateJugement"/>
              <w:rPr>
                <w:lang w:val="en-CA"/>
              </w:rPr>
            </w:pPr>
            <w:r w:rsidRPr="00AF78D8">
              <w:rPr>
                <w:lang w:val="en-CA"/>
              </w:rPr>
              <w:t>DATE:</w:t>
            </w:r>
          </w:p>
        </w:tc>
        <w:tc>
          <w:tcPr>
            <w:tcW w:w="8470" w:type="dxa"/>
            <w:gridSpan w:val="6"/>
          </w:tcPr>
          <w:p w:rsidR="00012101" w:rsidRPr="00AF78D8" w:rsidRDefault="00012101" w:rsidP="001C711E">
            <w:pPr>
              <w:pStyle w:val="zSoquijdatDateJugement"/>
              <w:rPr>
                <w:b/>
                <w:lang w:val="en-CA"/>
              </w:rPr>
            </w:pPr>
            <w:r w:rsidRPr="00AF78D8">
              <w:rPr>
                <w:b/>
                <w:lang w:val="en-CA"/>
              </w:rPr>
              <w:t xml:space="preserve"> </w:t>
            </w:r>
            <w:r w:rsidR="0052797D" w:rsidRPr="00AF78D8">
              <w:rPr>
                <w:b/>
                <w:lang w:val="en-CA"/>
              </w:rPr>
              <w:t>April 9, 2021</w:t>
            </w:r>
          </w:p>
        </w:tc>
      </w:tr>
      <w:tr w:rsidR="009110B8" w:rsidRPr="00AF78D8" w:rsidTr="001C711E">
        <w:tc>
          <w:tcPr>
            <w:tcW w:w="9505" w:type="dxa"/>
            <w:gridSpan w:val="7"/>
          </w:tcPr>
          <w:p w:rsidR="00012101" w:rsidRPr="00AF78D8" w:rsidRDefault="00012101" w:rsidP="001C711E">
            <w:pPr>
              <w:ind w:left="11" w:right="-68"/>
              <w:rPr>
                <w:lang w:val="en-CA"/>
              </w:rPr>
            </w:pPr>
            <w:r w:rsidRPr="00AF78D8">
              <w:rPr>
                <w:lang w:val="en-CA"/>
              </w:rPr>
              <w:t>______________________________________________________________________</w:t>
            </w:r>
          </w:p>
        </w:tc>
      </w:tr>
      <w:tr w:rsidR="009110B8" w:rsidRPr="00AF78D8" w:rsidTr="001C711E">
        <w:tc>
          <w:tcPr>
            <w:tcW w:w="9505" w:type="dxa"/>
            <w:gridSpan w:val="7"/>
          </w:tcPr>
          <w:p w:rsidR="00012101" w:rsidRPr="00AF78D8" w:rsidRDefault="00012101" w:rsidP="001C711E">
            <w:pPr>
              <w:rPr>
                <w:lang w:val="en-CA"/>
              </w:rPr>
            </w:pPr>
          </w:p>
        </w:tc>
      </w:tr>
      <w:tr w:rsidR="009110B8" w:rsidRPr="00AF78D8" w:rsidTr="00677283">
        <w:tblPrEx>
          <w:tblCellMar>
            <w:left w:w="0" w:type="dxa"/>
            <w:right w:w="0" w:type="dxa"/>
          </w:tblCellMar>
        </w:tblPrEx>
        <w:tc>
          <w:tcPr>
            <w:tcW w:w="1629" w:type="dxa"/>
            <w:gridSpan w:val="3"/>
          </w:tcPr>
          <w:p w:rsidR="00012101" w:rsidRPr="00AF78D8" w:rsidRDefault="0052797D" w:rsidP="001C711E">
            <w:pPr>
              <w:pStyle w:val="zSoquijlblJuge"/>
              <w:rPr>
                <w:lang w:val="en-CA"/>
              </w:rPr>
            </w:pPr>
            <w:r w:rsidRPr="00AF78D8">
              <w:rPr>
                <w:lang w:val="en-CA"/>
              </w:rPr>
              <w:t>PRESIDING:</w:t>
            </w:r>
          </w:p>
        </w:tc>
        <w:tc>
          <w:tcPr>
            <w:tcW w:w="2410" w:type="dxa"/>
            <w:gridSpan w:val="2"/>
          </w:tcPr>
          <w:p w:rsidR="00012101" w:rsidRPr="00AF78D8" w:rsidRDefault="0052797D" w:rsidP="001C711E">
            <w:pPr>
              <w:pStyle w:val="zSoquijdatQteJuge"/>
              <w:rPr>
                <w:lang w:val="en-CA"/>
              </w:rPr>
            </w:pPr>
            <w:r w:rsidRPr="00AF78D8">
              <w:rPr>
                <w:lang w:val="en-CA"/>
              </w:rPr>
              <w:t>THE HONOURABLE</w:t>
            </w:r>
          </w:p>
        </w:tc>
        <w:tc>
          <w:tcPr>
            <w:tcW w:w="5466" w:type="dxa"/>
            <w:gridSpan w:val="2"/>
          </w:tcPr>
          <w:p w:rsidR="00012101" w:rsidRPr="00AF78D8" w:rsidRDefault="00012101" w:rsidP="001C711E">
            <w:pPr>
              <w:pStyle w:val="zSoquijdatJuge"/>
              <w:ind w:left="6"/>
            </w:pPr>
            <w:r w:rsidRPr="00AF78D8">
              <w:t>ANDRÉ PERREAULT, J.C.Q.</w:t>
            </w:r>
          </w:p>
        </w:tc>
      </w:tr>
      <w:tr w:rsidR="009110B8" w:rsidRPr="00AF78D8" w:rsidTr="001C711E">
        <w:tc>
          <w:tcPr>
            <w:tcW w:w="9505" w:type="dxa"/>
            <w:gridSpan w:val="7"/>
          </w:tcPr>
          <w:p w:rsidR="00012101" w:rsidRPr="00AF78D8" w:rsidRDefault="00012101" w:rsidP="001C711E">
            <w:pPr>
              <w:ind w:left="14" w:right="-67"/>
              <w:rPr>
                <w:lang w:val="en-CA"/>
              </w:rPr>
            </w:pPr>
            <w:r w:rsidRPr="00AF78D8">
              <w:rPr>
                <w:lang w:val="en-CA"/>
              </w:rPr>
              <w:t>______________________________________________________________________</w:t>
            </w:r>
          </w:p>
        </w:tc>
      </w:tr>
      <w:tr w:rsidR="009110B8" w:rsidRPr="00AF78D8" w:rsidTr="001C711E">
        <w:tc>
          <w:tcPr>
            <w:tcW w:w="9505" w:type="dxa"/>
            <w:gridSpan w:val="7"/>
          </w:tcPr>
          <w:p w:rsidR="00012101" w:rsidRPr="00AF78D8" w:rsidRDefault="00012101" w:rsidP="001C711E">
            <w:pPr>
              <w:pStyle w:val="zSoquijlblTitrePartie"/>
              <w:rPr>
                <w:sz w:val="18"/>
                <w:szCs w:val="18"/>
              </w:rPr>
            </w:pPr>
          </w:p>
          <w:p w:rsidR="00012101" w:rsidRPr="00AF78D8" w:rsidRDefault="00012101" w:rsidP="001C711E">
            <w:pPr>
              <w:pStyle w:val="zSoquijlblTitrePartie"/>
              <w:spacing w:before="40" w:after="40"/>
              <w:rPr>
                <w:b/>
              </w:rPr>
            </w:pPr>
            <w:r w:rsidRPr="00AF78D8">
              <w:rPr>
                <w:b/>
              </w:rPr>
              <w:t>THI HUYEN NGUYEN</w:t>
            </w:r>
          </w:p>
          <w:p w:rsidR="00012101" w:rsidRPr="00AF78D8" w:rsidRDefault="00012101" w:rsidP="001C711E">
            <w:pPr>
              <w:pStyle w:val="zSoquijlblTitrePartie"/>
              <w:spacing w:before="40" w:after="40"/>
              <w:rPr>
                <w:b/>
              </w:rPr>
            </w:pPr>
            <w:r w:rsidRPr="00AF78D8">
              <w:rPr>
                <w:b/>
              </w:rPr>
              <w:t>THI HONG CUN</w:t>
            </w:r>
          </w:p>
          <w:p w:rsidR="00012101" w:rsidRPr="00AF78D8" w:rsidRDefault="00012101" w:rsidP="001C711E">
            <w:pPr>
              <w:pStyle w:val="zSoquijlblTitrePartie"/>
              <w:spacing w:before="40" w:after="40"/>
              <w:rPr>
                <w:b/>
              </w:rPr>
            </w:pPr>
            <w:r w:rsidRPr="00AF78D8">
              <w:rPr>
                <w:b/>
              </w:rPr>
              <w:t>ALEXANDRE NGUYEN</w:t>
            </w:r>
          </w:p>
          <w:p w:rsidR="00012101" w:rsidRPr="00AF78D8" w:rsidRDefault="0052797D" w:rsidP="001C711E">
            <w:pPr>
              <w:pStyle w:val="zSoquijdatQtePartieDem"/>
              <w:spacing w:before="20" w:after="40"/>
              <w:ind w:left="709"/>
              <w:rPr>
                <w:lang w:val="en-CA"/>
              </w:rPr>
            </w:pPr>
            <w:r w:rsidRPr="00AF78D8">
              <w:rPr>
                <w:lang w:val="en-CA"/>
              </w:rPr>
              <w:t>Applicants</w:t>
            </w:r>
          </w:p>
          <w:p w:rsidR="00012101" w:rsidRPr="00AF78D8" w:rsidRDefault="0052797D" w:rsidP="001C711E">
            <w:pPr>
              <w:pStyle w:val="zSoquijdatQtePartieDem"/>
              <w:spacing w:before="120" w:after="120"/>
              <w:ind w:left="0"/>
              <w:rPr>
                <w:lang w:val="en-CA"/>
              </w:rPr>
            </w:pPr>
            <w:r w:rsidRPr="00AF78D8">
              <w:rPr>
                <w:lang w:val="en-CA"/>
              </w:rPr>
              <w:t>v.</w:t>
            </w:r>
          </w:p>
        </w:tc>
      </w:tr>
      <w:tr w:rsidR="009110B8" w:rsidRPr="00AF78D8" w:rsidTr="001C711E">
        <w:tc>
          <w:tcPr>
            <w:tcW w:w="9505" w:type="dxa"/>
            <w:gridSpan w:val="7"/>
          </w:tcPr>
          <w:p w:rsidR="00012101" w:rsidRPr="00AF78D8" w:rsidRDefault="0052797D" w:rsidP="001C711E">
            <w:pPr>
              <w:pStyle w:val="zSoquijdatNomPartieDem"/>
              <w:spacing w:before="40" w:after="40"/>
              <w:rPr>
                <w:lang w:val="en-CA"/>
              </w:rPr>
            </w:pPr>
            <w:r w:rsidRPr="00AF78D8">
              <w:rPr>
                <w:lang w:val="en-CA"/>
              </w:rPr>
              <w:t>DIRECTOR OF CRIMINAL AND PENAL PROSECUTIONS</w:t>
            </w:r>
          </w:p>
        </w:tc>
      </w:tr>
      <w:tr w:rsidR="009110B8" w:rsidRPr="00AF78D8" w:rsidTr="001C711E">
        <w:tc>
          <w:tcPr>
            <w:tcW w:w="9505" w:type="dxa"/>
            <w:gridSpan w:val="7"/>
          </w:tcPr>
          <w:p w:rsidR="00012101" w:rsidRPr="00AF78D8" w:rsidRDefault="0052797D" w:rsidP="001C711E">
            <w:pPr>
              <w:pStyle w:val="zSoquijdatQtePartieDem"/>
              <w:spacing w:before="20" w:after="40"/>
              <w:ind w:left="709"/>
              <w:rPr>
                <w:lang w:val="en-CA"/>
              </w:rPr>
            </w:pPr>
            <w:r w:rsidRPr="00AF78D8">
              <w:rPr>
                <w:lang w:val="en-CA"/>
              </w:rPr>
              <w:t>Respondent</w:t>
            </w:r>
          </w:p>
        </w:tc>
      </w:tr>
      <w:tr w:rsidR="009110B8" w:rsidRPr="00AF78D8" w:rsidTr="001C711E">
        <w:tc>
          <w:tcPr>
            <w:tcW w:w="9505" w:type="dxa"/>
            <w:gridSpan w:val="7"/>
            <w:tcBorders>
              <w:bottom w:val="single" w:sz="4" w:space="0" w:color="auto"/>
            </w:tcBorders>
          </w:tcPr>
          <w:p w:rsidR="00012101" w:rsidRPr="00AF78D8" w:rsidRDefault="00012101" w:rsidP="001C711E">
            <w:pPr>
              <w:ind w:left="11" w:right="-68"/>
              <w:rPr>
                <w:b/>
                <w:sz w:val="16"/>
                <w:szCs w:val="16"/>
                <w:lang w:val="en-CA"/>
              </w:rPr>
            </w:pPr>
          </w:p>
        </w:tc>
      </w:tr>
      <w:tr w:rsidR="009110B8" w:rsidRPr="00AF78D8" w:rsidTr="001C711E">
        <w:tc>
          <w:tcPr>
            <w:tcW w:w="9505" w:type="dxa"/>
            <w:gridSpan w:val="7"/>
            <w:tcBorders>
              <w:top w:val="single" w:sz="4" w:space="0" w:color="auto"/>
            </w:tcBorders>
          </w:tcPr>
          <w:tbl>
            <w:tblPr>
              <w:tblW w:w="9505" w:type="dxa"/>
              <w:tblLayout w:type="fixed"/>
              <w:tblCellMar>
                <w:left w:w="70" w:type="dxa"/>
                <w:right w:w="70" w:type="dxa"/>
              </w:tblCellMar>
              <w:tblLook w:val="0000" w:firstRow="0" w:lastRow="0" w:firstColumn="0" w:lastColumn="0" w:noHBand="0" w:noVBand="0"/>
            </w:tblPr>
            <w:tblGrid>
              <w:gridCol w:w="9505"/>
            </w:tblGrid>
            <w:tr w:rsidR="009110B8" w:rsidRPr="00AF78D8" w:rsidTr="001C711E">
              <w:tc>
                <w:tcPr>
                  <w:tcW w:w="9505" w:type="dxa"/>
                </w:tcPr>
                <w:p w:rsidR="00012101" w:rsidRPr="00AF78D8" w:rsidRDefault="00012101" w:rsidP="001C711E">
                  <w:pPr>
                    <w:jc w:val="center"/>
                    <w:rPr>
                      <w:b/>
                      <w:sz w:val="16"/>
                      <w:szCs w:val="16"/>
                      <w:lang w:val="en-CA"/>
                    </w:rPr>
                  </w:pPr>
                </w:p>
              </w:tc>
            </w:tr>
            <w:tr w:rsidR="009110B8" w:rsidRPr="00AF78D8" w:rsidTr="001C711E">
              <w:trPr>
                <w:trHeight w:val="70"/>
              </w:trPr>
              <w:tc>
                <w:tcPr>
                  <w:tcW w:w="9505" w:type="dxa"/>
                  <w:tcBorders>
                    <w:bottom w:val="single" w:sz="4" w:space="0" w:color="auto"/>
                  </w:tcBorders>
                </w:tcPr>
                <w:p w:rsidR="00012101" w:rsidRPr="00AF78D8" w:rsidRDefault="0052797D" w:rsidP="001C711E">
                  <w:pPr>
                    <w:pStyle w:val="zSoquijlblTypeDocument"/>
                    <w:rPr>
                      <w:b/>
                      <w:szCs w:val="24"/>
                      <w:lang w:val="en-CA"/>
                    </w:rPr>
                  </w:pPr>
                  <w:r w:rsidRPr="00AF78D8">
                    <w:rPr>
                      <w:b/>
                      <w:szCs w:val="24"/>
                      <w:lang w:val="en-CA"/>
                    </w:rPr>
                    <w:t>CORRECTION OF THE JUDGMENT RENDERED ON APRIL 8, 2021</w:t>
                  </w:r>
                </w:p>
                <w:p w:rsidR="00012101" w:rsidRPr="00AF78D8" w:rsidRDefault="00012101" w:rsidP="001C711E">
                  <w:pPr>
                    <w:pStyle w:val="zSoquijlblTypeDocument"/>
                    <w:rPr>
                      <w:b/>
                      <w:sz w:val="16"/>
                      <w:szCs w:val="16"/>
                      <w:lang w:val="en-CA"/>
                    </w:rPr>
                  </w:pPr>
                </w:p>
              </w:tc>
            </w:tr>
          </w:tbl>
          <w:p w:rsidR="00012101" w:rsidRPr="00AF78D8" w:rsidRDefault="00012101" w:rsidP="001C711E">
            <w:pPr>
              <w:rPr>
                <w:b/>
                <w:lang w:val="en-CA"/>
              </w:rPr>
            </w:pPr>
          </w:p>
        </w:tc>
      </w:tr>
    </w:tbl>
    <w:p w:rsidR="00012101" w:rsidRPr="00AF78D8" w:rsidRDefault="00012101" w:rsidP="00012101">
      <w:pPr>
        <w:pStyle w:val="Paragraphe"/>
        <w:numPr>
          <w:ilvl w:val="0"/>
          <w:numId w:val="0"/>
        </w:numPr>
        <w:spacing w:line="240" w:lineRule="auto"/>
        <w:rPr>
          <w:lang w:val="en-CA"/>
        </w:rPr>
      </w:pPr>
    </w:p>
    <w:p w:rsidR="00012101" w:rsidRPr="00AF78D8" w:rsidRDefault="0052797D" w:rsidP="00012101">
      <w:pPr>
        <w:pStyle w:val="Paragraphe"/>
        <w:numPr>
          <w:ilvl w:val="0"/>
          <w:numId w:val="1"/>
        </w:numPr>
        <w:tabs>
          <w:tab w:val="clear" w:pos="360"/>
          <w:tab w:val="num" w:pos="709"/>
        </w:tabs>
        <w:spacing w:line="240" w:lineRule="auto"/>
        <w:rPr>
          <w:lang w:val="en-CA"/>
        </w:rPr>
      </w:pPr>
      <w:r w:rsidRPr="00AF78D8">
        <w:rPr>
          <w:lang w:val="en-CA"/>
        </w:rPr>
        <w:t>Considering that the name of the applicant</w:t>
      </w:r>
      <w:r w:rsidR="00744062" w:rsidRPr="00AF78D8">
        <w:rPr>
          <w:lang w:val="en-CA"/>
        </w:rPr>
        <w:t>’</w:t>
      </w:r>
      <w:r w:rsidRPr="00AF78D8">
        <w:rPr>
          <w:lang w:val="en-CA"/>
        </w:rPr>
        <w:t>s lawyer is Annik Magri.</w:t>
      </w:r>
    </w:p>
    <w:p w:rsidR="00012101" w:rsidRPr="00AF78D8" w:rsidRDefault="0052797D" w:rsidP="00012101">
      <w:pPr>
        <w:pStyle w:val="Titre1"/>
        <w:rPr>
          <w:sz w:val="24"/>
          <w:szCs w:val="24"/>
          <w:lang w:val="en-CA"/>
        </w:rPr>
      </w:pPr>
      <w:r w:rsidRPr="00AF78D8">
        <w:rPr>
          <w:sz w:val="24"/>
          <w:szCs w:val="24"/>
          <w:lang w:val="en-CA"/>
        </w:rPr>
        <w:t>FOR THESE REASONS:</w:t>
      </w:r>
    </w:p>
    <w:p w:rsidR="00012101" w:rsidRPr="00AF78D8" w:rsidRDefault="0052797D" w:rsidP="00012101">
      <w:pPr>
        <w:pStyle w:val="Paragraphe"/>
        <w:numPr>
          <w:ilvl w:val="0"/>
          <w:numId w:val="1"/>
        </w:numPr>
        <w:tabs>
          <w:tab w:val="clear" w:pos="360"/>
          <w:tab w:val="num" w:pos="709"/>
        </w:tabs>
        <w:spacing w:line="240" w:lineRule="auto"/>
        <w:rPr>
          <w:lang w:val="en-CA"/>
        </w:rPr>
      </w:pPr>
      <w:r w:rsidRPr="00AF78D8">
        <w:rPr>
          <w:lang w:val="en-CA"/>
        </w:rPr>
        <w:t xml:space="preserve">The judgment rendered </w:t>
      </w:r>
      <w:r w:rsidR="00744062" w:rsidRPr="00AF78D8">
        <w:rPr>
          <w:lang w:val="en-CA"/>
        </w:rPr>
        <w:t xml:space="preserve">by the undersigned </w:t>
      </w:r>
      <w:r w:rsidRPr="00AF78D8">
        <w:rPr>
          <w:lang w:val="en-CA"/>
        </w:rPr>
        <w:t xml:space="preserve">on April 8, 2021, should be corrected so that the name of counsel for the applicants, Mtre Annik Magri, replaces the name Mtre Annick Maori at the </w:t>
      </w:r>
      <w:r w:rsidR="00F218DF" w:rsidRPr="00AF78D8">
        <w:rPr>
          <w:lang w:val="en-CA"/>
        </w:rPr>
        <w:t xml:space="preserve">very </w:t>
      </w:r>
      <w:r w:rsidRPr="00AF78D8">
        <w:rPr>
          <w:lang w:val="en-CA"/>
        </w:rPr>
        <w:t>end of the judgment.</w:t>
      </w:r>
    </w:p>
    <w:tbl>
      <w:tblPr>
        <w:tblW w:w="9505" w:type="dxa"/>
        <w:tblLayout w:type="fixed"/>
        <w:tblCellMar>
          <w:left w:w="70" w:type="dxa"/>
          <w:right w:w="70" w:type="dxa"/>
        </w:tblCellMar>
        <w:tblLook w:val="0000" w:firstRow="0" w:lastRow="0" w:firstColumn="0" w:lastColumn="0" w:noHBand="0" w:noVBand="0"/>
      </w:tblPr>
      <w:tblGrid>
        <w:gridCol w:w="2068"/>
        <w:gridCol w:w="2799"/>
        <w:gridCol w:w="4638"/>
      </w:tblGrid>
      <w:tr w:rsidR="009110B8" w:rsidRPr="00AF78D8" w:rsidTr="001C711E">
        <w:trPr>
          <w:trHeight w:val="576"/>
        </w:trPr>
        <w:tc>
          <w:tcPr>
            <w:tcW w:w="9505" w:type="dxa"/>
            <w:gridSpan w:val="3"/>
          </w:tcPr>
          <w:p w:rsidR="00012101" w:rsidRPr="00AF78D8" w:rsidRDefault="00012101" w:rsidP="001C711E">
            <w:pPr>
              <w:keepNext/>
              <w:keepLines/>
              <w:rPr>
                <w:lang w:val="en-CA"/>
              </w:rPr>
            </w:pPr>
          </w:p>
          <w:p w:rsidR="00012101" w:rsidRPr="00AF78D8" w:rsidRDefault="00012101" w:rsidP="001C711E">
            <w:pPr>
              <w:keepNext/>
              <w:keepLines/>
              <w:rPr>
                <w:lang w:val="en-CA"/>
              </w:rPr>
            </w:pPr>
          </w:p>
          <w:p w:rsidR="00012101" w:rsidRPr="00AF78D8" w:rsidRDefault="00012101" w:rsidP="001C711E">
            <w:pPr>
              <w:keepNext/>
              <w:keepLines/>
              <w:rPr>
                <w:lang w:val="en-CA"/>
              </w:rPr>
            </w:pPr>
          </w:p>
          <w:p w:rsidR="00012101" w:rsidRPr="00AF78D8" w:rsidRDefault="00012101" w:rsidP="001C711E">
            <w:pPr>
              <w:keepNext/>
              <w:keepLines/>
              <w:rPr>
                <w:lang w:val="en-CA"/>
              </w:rPr>
            </w:pPr>
          </w:p>
          <w:p w:rsidR="00012101" w:rsidRPr="00AF78D8" w:rsidRDefault="00012101" w:rsidP="001C711E">
            <w:pPr>
              <w:keepNext/>
              <w:keepLines/>
              <w:rPr>
                <w:lang w:val="en-CA"/>
              </w:rPr>
            </w:pPr>
          </w:p>
          <w:p w:rsidR="00012101" w:rsidRPr="00AF78D8" w:rsidRDefault="00012101" w:rsidP="001C711E">
            <w:pPr>
              <w:keepNext/>
              <w:keepLines/>
              <w:rPr>
                <w:lang w:val="en-CA"/>
              </w:rPr>
            </w:pPr>
          </w:p>
          <w:p w:rsidR="00012101" w:rsidRPr="00AF78D8" w:rsidRDefault="00012101" w:rsidP="001C711E">
            <w:pPr>
              <w:keepNext/>
              <w:keepLines/>
              <w:rPr>
                <w:lang w:val="en-CA"/>
              </w:rPr>
            </w:pPr>
          </w:p>
          <w:p w:rsidR="00012101" w:rsidRPr="00AF78D8" w:rsidRDefault="00012101" w:rsidP="001C711E">
            <w:pPr>
              <w:keepNext/>
              <w:keepLines/>
              <w:rPr>
                <w:lang w:val="en-CA"/>
              </w:rPr>
            </w:pPr>
          </w:p>
        </w:tc>
      </w:tr>
      <w:tr w:rsidR="009110B8" w:rsidRPr="00AF78D8" w:rsidTr="001C711E">
        <w:tblPrEx>
          <w:tblCellMar>
            <w:left w:w="0" w:type="dxa"/>
            <w:right w:w="0" w:type="dxa"/>
          </w:tblCellMar>
        </w:tblPrEx>
        <w:trPr>
          <w:cantSplit/>
        </w:trPr>
        <w:tc>
          <w:tcPr>
            <w:tcW w:w="4867" w:type="dxa"/>
            <w:gridSpan w:val="2"/>
          </w:tcPr>
          <w:p w:rsidR="00012101" w:rsidRPr="00AF78D8" w:rsidRDefault="00012101" w:rsidP="001C711E">
            <w:pPr>
              <w:rPr>
                <w:lang w:val="en-CA"/>
              </w:rPr>
            </w:pPr>
          </w:p>
        </w:tc>
        <w:tc>
          <w:tcPr>
            <w:tcW w:w="4638" w:type="dxa"/>
          </w:tcPr>
          <w:p w:rsidR="00012101" w:rsidRPr="00AF78D8" w:rsidRDefault="00012101" w:rsidP="001C711E">
            <w:pPr>
              <w:pStyle w:val="zSoquijdatSignature3Juge"/>
            </w:pPr>
            <w:r w:rsidRPr="00AF78D8">
              <w:t>__________________________________</w:t>
            </w:r>
          </w:p>
          <w:p w:rsidR="00012101" w:rsidRPr="00AF78D8" w:rsidRDefault="00012101" w:rsidP="001C711E">
            <w:pPr>
              <w:pStyle w:val="zSoquijdatSignature3Juge"/>
              <w:spacing w:before="40"/>
              <w:rPr>
                <w:b/>
              </w:rPr>
            </w:pPr>
            <w:r w:rsidRPr="00AF78D8">
              <w:t xml:space="preserve">          </w:t>
            </w:r>
            <w:r w:rsidRPr="00AF78D8">
              <w:rPr>
                <w:b/>
              </w:rPr>
              <w:t>ANDRÉ PERREAULT, J.C.Q.</w:t>
            </w:r>
          </w:p>
        </w:tc>
      </w:tr>
      <w:tr w:rsidR="009110B8" w:rsidRPr="00AF78D8" w:rsidTr="001C711E">
        <w:tc>
          <w:tcPr>
            <w:tcW w:w="9505" w:type="dxa"/>
            <w:gridSpan w:val="3"/>
          </w:tcPr>
          <w:p w:rsidR="00012101" w:rsidRPr="00AF78D8" w:rsidRDefault="00012101" w:rsidP="001C711E"/>
        </w:tc>
      </w:tr>
      <w:tr w:rsidR="009110B8" w:rsidRPr="00AF78D8" w:rsidTr="001C711E">
        <w:trPr>
          <w:cantSplit/>
        </w:trPr>
        <w:tc>
          <w:tcPr>
            <w:tcW w:w="9505" w:type="dxa"/>
            <w:gridSpan w:val="3"/>
          </w:tcPr>
          <w:p w:rsidR="00012101" w:rsidRPr="00AF78D8" w:rsidRDefault="00012101" w:rsidP="001C711E">
            <w:pPr>
              <w:pStyle w:val="zSoquijdatNomProcureurDem"/>
            </w:pPr>
          </w:p>
          <w:p w:rsidR="00012101" w:rsidRPr="00AF78D8" w:rsidRDefault="00012101" w:rsidP="001C711E">
            <w:pPr>
              <w:pStyle w:val="zSoquijdatNomProcureurDem"/>
            </w:pPr>
          </w:p>
          <w:p w:rsidR="00012101" w:rsidRPr="00AF78D8" w:rsidRDefault="00012101" w:rsidP="001C711E">
            <w:pPr>
              <w:pStyle w:val="zSoquijdatNomProcureurDem"/>
            </w:pPr>
          </w:p>
        </w:tc>
      </w:tr>
      <w:tr w:rsidR="009110B8" w:rsidRPr="00AF78D8" w:rsidTr="001C711E">
        <w:trPr>
          <w:cantSplit/>
        </w:trPr>
        <w:tc>
          <w:tcPr>
            <w:tcW w:w="9505" w:type="dxa"/>
            <w:gridSpan w:val="3"/>
          </w:tcPr>
          <w:p w:rsidR="00012101" w:rsidRPr="00AF78D8" w:rsidRDefault="00012101" w:rsidP="001C711E">
            <w:pPr>
              <w:pStyle w:val="zSoquijdatCabinetProcureurDem"/>
            </w:pPr>
          </w:p>
        </w:tc>
      </w:tr>
      <w:tr w:rsidR="009110B8" w:rsidRPr="00AF78D8" w:rsidTr="001C711E">
        <w:trPr>
          <w:cantSplit/>
        </w:trPr>
        <w:tc>
          <w:tcPr>
            <w:tcW w:w="9505" w:type="dxa"/>
            <w:gridSpan w:val="3"/>
          </w:tcPr>
          <w:p w:rsidR="00012101" w:rsidRPr="00AF78D8" w:rsidRDefault="00012101" w:rsidP="001C711E">
            <w:pPr>
              <w:pStyle w:val="zSoquijlblProcureurDem"/>
            </w:pPr>
          </w:p>
        </w:tc>
      </w:tr>
      <w:tr w:rsidR="009110B8" w:rsidRPr="00AF78D8" w:rsidTr="001C711E">
        <w:trPr>
          <w:cantSplit/>
        </w:trPr>
        <w:tc>
          <w:tcPr>
            <w:tcW w:w="9505" w:type="dxa"/>
            <w:gridSpan w:val="3"/>
          </w:tcPr>
          <w:p w:rsidR="00012101" w:rsidRPr="00AF78D8" w:rsidRDefault="00012101" w:rsidP="001C711E">
            <w:pPr>
              <w:pStyle w:val="zSoquijdatNomProcureurDef"/>
            </w:pPr>
          </w:p>
        </w:tc>
      </w:tr>
      <w:tr w:rsidR="009110B8" w:rsidRPr="00AF78D8" w:rsidTr="001C711E">
        <w:trPr>
          <w:cantSplit/>
        </w:trPr>
        <w:tc>
          <w:tcPr>
            <w:tcW w:w="9505" w:type="dxa"/>
            <w:gridSpan w:val="3"/>
          </w:tcPr>
          <w:p w:rsidR="00012101" w:rsidRPr="00AF78D8" w:rsidRDefault="00012101" w:rsidP="001C711E">
            <w:pPr>
              <w:pStyle w:val="zSoquijdatCabinetProcureurDef"/>
            </w:pPr>
          </w:p>
        </w:tc>
      </w:tr>
      <w:tr w:rsidR="009110B8" w:rsidRPr="00AF78D8" w:rsidTr="001C711E">
        <w:trPr>
          <w:cantSplit/>
        </w:trPr>
        <w:tc>
          <w:tcPr>
            <w:tcW w:w="9505" w:type="dxa"/>
            <w:gridSpan w:val="3"/>
          </w:tcPr>
          <w:p w:rsidR="00012101" w:rsidRPr="00AF78D8" w:rsidRDefault="00012101" w:rsidP="001C711E">
            <w:pPr>
              <w:pStyle w:val="zSoquijlblProcureurDef"/>
            </w:pPr>
          </w:p>
        </w:tc>
      </w:tr>
      <w:tr w:rsidR="009110B8" w:rsidRPr="00AF78D8" w:rsidTr="001C711E">
        <w:tc>
          <w:tcPr>
            <w:tcW w:w="2068" w:type="dxa"/>
          </w:tcPr>
          <w:p w:rsidR="00012101" w:rsidRPr="00AF78D8" w:rsidRDefault="00012101" w:rsidP="001C711E">
            <w:pPr>
              <w:pStyle w:val="zSoquijlblDateAudience"/>
            </w:pPr>
          </w:p>
        </w:tc>
        <w:tc>
          <w:tcPr>
            <w:tcW w:w="7437" w:type="dxa"/>
            <w:gridSpan w:val="2"/>
          </w:tcPr>
          <w:p w:rsidR="00012101" w:rsidRPr="00AF78D8" w:rsidRDefault="00012101" w:rsidP="001C711E">
            <w:pPr>
              <w:pStyle w:val="zSoquijdatDateAudience"/>
            </w:pPr>
          </w:p>
        </w:tc>
      </w:tr>
      <w:tr w:rsidR="009110B8" w:rsidRPr="00AF78D8" w:rsidTr="001C711E">
        <w:trPr>
          <w:cantSplit/>
        </w:trPr>
        <w:tc>
          <w:tcPr>
            <w:tcW w:w="9505" w:type="dxa"/>
            <w:gridSpan w:val="3"/>
          </w:tcPr>
          <w:p w:rsidR="00012101" w:rsidRPr="00AF78D8" w:rsidRDefault="0052797D" w:rsidP="001C711E">
            <w:pPr>
              <w:pStyle w:val="zSoquijdatNomProcureurDem"/>
              <w:rPr>
                <w:lang w:val="en-CA"/>
              </w:rPr>
            </w:pPr>
            <w:r w:rsidRPr="00AF78D8">
              <w:rPr>
                <w:lang w:val="en-CA"/>
              </w:rPr>
              <w:t>Mtre Andrew Barbacki</w:t>
            </w:r>
          </w:p>
          <w:p w:rsidR="00012101" w:rsidRPr="00AF78D8" w:rsidRDefault="0052797D" w:rsidP="001C711E">
            <w:pPr>
              <w:pStyle w:val="zSoquijdatNomProcureurDem"/>
              <w:rPr>
                <w:lang w:val="en-CA"/>
              </w:rPr>
            </w:pPr>
            <w:r w:rsidRPr="00AF78D8">
              <w:rPr>
                <w:lang w:val="en-CA"/>
              </w:rPr>
              <w:t>Mtre Annik Magri</w:t>
            </w:r>
          </w:p>
        </w:tc>
      </w:tr>
      <w:tr w:rsidR="009110B8" w:rsidRPr="00AF78D8" w:rsidTr="001C711E">
        <w:trPr>
          <w:cantSplit/>
        </w:trPr>
        <w:tc>
          <w:tcPr>
            <w:tcW w:w="9505" w:type="dxa"/>
            <w:gridSpan w:val="3"/>
          </w:tcPr>
          <w:p w:rsidR="00012101" w:rsidRPr="00AF78D8" w:rsidRDefault="0052797D" w:rsidP="001C711E">
            <w:pPr>
              <w:pStyle w:val="zSoquijdatCabinetProcureurDem"/>
              <w:rPr>
                <w:lang w:val="en-CA"/>
              </w:rPr>
            </w:pPr>
            <w:r w:rsidRPr="00AF78D8">
              <w:rPr>
                <w:lang w:val="en-CA"/>
              </w:rPr>
              <w:t>Counsel for the applicants</w:t>
            </w:r>
          </w:p>
        </w:tc>
      </w:tr>
      <w:tr w:rsidR="009110B8" w:rsidRPr="00AF78D8" w:rsidTr="001C711E">
        <w:trPr>
          <w:cantSplit/>
        </w:trPr>
        <w:tc>
          <w:tcPr>
            <w:tcW w:w="9505" w:type="dxa"/>
            <w:gridSpan w:val="3"/>
          </w:tcPr>
          <w:p w:rsidR="00012101" w:rsidRPr="00AF78D8" w:rsidRDefault="00012101" w:rsidP="001C711E">
            <w:pPr>
              <w:pStyle w:val="zSoquijlblProcureurDem"/>
              <w:rPr>
                <w:lang w:val="en-CA"/>
              </w:rPr>
            </w:pPr>
          </w:p>
        </w:tc>
      </w:tr>
      <w:tr w:rsidR="009110B8" w:rsidRPr="00AF78D8" w:rsidTr="001C711E">
        <w:trPr>
          <w:cantSplit/>
        </w:trPr>
        <w:tc>
          <w:tcPr>
            <w:tcW w:w="9505" w:type="dxa"/>
            <w:gridSpan w:val="3"/>
          </w:tcPr>
          <w:p w:rsidR="00012101" w:rsidRPr="00AF78D8" w:rsidRDefault="0052797D" w:rsidP="001C711E">
            <w:pPr>
              <w:pStyle w:val="zSoquijdatNomProcureurDef"/>
              <w:rPr>
                <w:lang w:val="en-CA"/>
              </w:rPr>
            </w:pPr>
            <w:r w:rsidRPr="00AF78D8">
              <w:rPr>
                <w:lang w:val="en-CA"/>
              </w:rPr>
              <w:t>Mtre Émilie Robert</w:t>
            </w:r>
          </w:p>
        </w:tc>
      </w:tr>
      <w:tr w:rsidR="009110B8" w:rsidRPr="00AF78D8" w:rsidTr="001C711E">
        <w:trPr>
          <w:cantSplit/>
        </w:trPr>
        <w:tc>
          <w:tcPr>
            <w:tcW w:w="9505" w:type="dxa"/>
            <w:gridSpan w:val="3"/>
          </w:tcPr>
          <w:p w:rsidR="00012101" w:rsidRPr="00AF78D8" w:rsidRDefault="0052797D" w:rsidP="001C711E">
            <w:pPr>
              <w:pStyle w:val="zSoquijdatCabinetProcureurDef"/>
              <w:rPr>
                <w:lang w:val="en-CA"/>
              </w:rPr>
            </w:pPr>
            <w:r w:rsidRPr="00AF78D8">
              <w:rPr>
                <w:lang w:val="en-CA"/>
              </w:rPr>
              <w:t>Counsel for the respondent</w:t>
            </w:r>
          </w:p>
        </w:tc>
      </w:tr>
    </w:tbl>
    <w:p w:rsidR="00012101" w:rsidRPr="00AF78D8" w:rsidRDefault="00012101" w:rsidP="00012101">
      <w:pPr>
        <w:rPr>
          <w:lang w:val="en-CA"/>
        </w:rPr>
      </w:pPr>
    </w:p>
    <w:p w:rsidR="00012101" w:rsidRPr="00AF78D8" w:rsidRDefault="00012101" w:rsidP="006D3B44">
      <w:pPr>
        <w:pStyle w:val="zSoquijdatRepertorie"/>
        <w:rPr>
          <w:noProof w:val="0"/>
          <w:sz w:val="16"/>
          <w:szCs w:val="16"/>
          <w:lang w:val="en-CA"/>
        </w:rPr>
        <w:sectPr w:rsidR="00012101" w:rsidRPr="00AF78D8" w:rsidSect="00FB2B41">
          <w:headerReference w:type="even" r:id="rId8"/>
          <w:headerReference w:type="default" r:id="rId9"/>
          <w:footerReference w:type="even" r:id="rId10"/>
          <w:headerReference w:type="first" r:id="rId11"/>
          <w:footnotePr>
            <w:numRestart w:val="eachSect"/>
          </w:footnotePr>
          <w:pgSz w:w="12242" w:h="15842" w:code="1"/>
          <w:pgMar w:top="1276" w:right="1008" w:bottom="1440" w:left="1872" w:header="1440" w:footer="792" w:gutter="0"/>
          <w:pgNumType w:start="1"/>
          <w:cols w:space="720"/>
          <w:titlePg/>
        </w:sectPr>
      </w:pPr>
    </w:p>
    <w:tbl>
      <w:tblPr>
        <w:tblW w:w="9505" w:type="dxa"/>
        <w:tblLayout w:type="fixed"/>
        <w:tblCellMar>
          <w:left w:w="70" w:type="dxa"/>
          <w:right w:w="70" w:type="dxa"/>
        </w:tblCellMar>
        <w:tblLook w:val="0000" w:firstRow="0" w:lastRow="0" w:firstColumn="0" w:lastColumn="0" w:noHBand="0" w:noVBand="0"/>
      </w:tblPr>
      <w:tblGrid>
        <w:gridCol w:w="1036"/>
        <w:gridCol w:w="69"/>
        <w:gridCol w:w="520"/>
        <w:gridCol w:w="42"/>
        <w:gridCol w:w="388"/>
        <w:gridCol w:w="2410"/>
        <w:gridCol w:w="2620"/>
        <w:gridCol w:w="2420"/>
      </w:tblGrid>
      <w:tr w:rsidR="009110B8" w:rsidRPr="00AF78D8">
        <w:trPr>
          <w:trHeight w:val="360"/>
        </w:trPr>
        <w:tc>
          <w:tcPr>
            <w:tcW w:w="7085" w:type="dxa"/>
            <w:gridSpan w:val="7"/>
          </w:tcPr>
          <w:p w:rsidR="0055216E" w:rsidRPr="00AF78D8" w:rsidRDefault="00B45BE5" w:rsidP="006D3B44">
            <w:pPr>
              <w:pStyle w:val="zSoquijdatRepertorie"/>
              <w:rPr>
                <w:noProof w:val="0"/>
                <w:sz w:val="16"/>
                <w:szCs w:val="16"/>
                <w:lang w:val="en-CA"/>
              </w:rPr>
            </w:pPr>
            <w:r w:rsidRPr="00AF78D8">
              <w:rPr>
                <w:sz w:val="16"/>
                <w:szCs w:val="16"/>
                <w:lang w:val="en-CA"/>
              </w:rPr>
              <w:lastRenderedPageBreak/>
              <mc:AlternateContent>
                <mc:Choice Requires="wps">
                  <w:drawing>
                    <wp:anchor distT="0" distB="0" distL="114300" distR="114300" simplePos="0" relativeHeight="251657728" behindDoc="0" locked="1" layoutInCell="0" allowOverlap="1">
                      <wp:simplePos x="0" y="0"/>
                      <wp:positionH relativeFrom="column">
                        <wp:posOffset>-972185</wp:posOffset>
                      </wp:positionH>
                      <wp:positionV relativeFrom="page">
                        <wp:posOffset>7944485</wp:posOffset>
                      </wp:positionV>
                      <wp:extent cx="731520" cy="7562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756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1170"/>
                                  </w:tblGrid>
                                  <w:tr w:rsidR="009110B8">
                                    <w:trPr>
                                      <w:trHeight w:val="1173"/>
                                    </w:trPr>
                                    <w:tc>
                                      <w:tcPr>
                                        <w:tcW w:w="1170" w:type="dxa"/>
                                        <w:vAlign w:val="bottom"/>
                                      </w:tcPr>
                                      <w:p w:rsidR="00955D4C" w:rsidRPr="00E5763B" w:rsidRDefault="00955D4C">
                                        <w:pPr>
                                          <w:pStyle w:val="zSoquijdatIdJuge"/>
                                          <w:rPr>
                                            <w:b/>
                                            <w:sz w:val="22"/>
                                            <w:szCs w:val="22"/>
                                          </w:rPr>
                                        </w:pPr>
                                        <w:r w:rsidRPr="00E5763B">
                                          <w:rPr>
                                            <w:b/>
                                            <w:sz w:val="22"/>
                                            <w:szCs w:val="22"/>
                                          </w:rPr>
                                          <w:t>JP1728</w:t>
                                        </w:r>
                                      </w:p>
                                    </w:tc>
                                  </w:tr>
                                </w:tbl>
                                <w:p w:rsidR="00955D4C" w:rsidRDefault="00955D4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6.55pt;margin-top:625.55pt;width:57.6pt;height:59.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" o:allowincell="f" filled="f" stroked="f">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1170"/>
                            </w:tblGrid>
                            <w:tr w:rsidR="009110B8">
                              <w:trPr>
                                <w:trHeight w:val="1173"/>
                              </w:trPr>
                              <w:tc>
                                <w:tcPr>
                                  <w:tcW w:w="1170" w:type="dxa"/>
                                  <w:vAlign w:val="bottom"/>
                                </w:tcPr>
                                <w:p w:rsidR="00955D4C" w:rsidRPr="00E5763B" w:rsidRDefault="00955D4C">
                                  <w:pPr>
                                    <w:pStyle w:val="zSoquijdatIdJuge"/>
                                    <w:rPr>
                                      <w:b/>
                                      <w:sz w:val="22"/>
                                      <w:szCs w:val="22"/>
                                    </w:rPr>
                                  </w:pPr>
                                  <w:r w:rsidRPr="00E5763B">
                                    <w:rPr>
                                      <w:b/>
                                      <w:sz w:val="22"/>
                                      <w:szCs w:val="22"/>
                                    </w:rPr>
                                    <w:t>JP1728</w:t>
                                  </w:r>
                                </w:p>
                              </w:tc>
                            </w:tr>
                          </w:tbl>
                          <w:p w:rsidR="00955D4C" w:rsidRDefault="00955D4C"/>
                        </w:txbxContent>
                      </v:textbox>
                      <w10:wrap anchory="page"/>
                      <w10:anchorlock/>
                    </v:shape>
                  </w:pict>
                </mc:Fallback>
              </mc:AlternateContent>
            </w:r>
          </w:p>
        </w:tc>
        <w:tc>
          <w:tcPr>
            <w:tcW w:w="2420" w:type="dxa"/>
          </w:tcPr>
          <w:p w:rsidR="0055216E" w:rsidRPr="00AF78D8" w:rsidRDefault="0055216E" w:rsidP="006D3B44">
            <w:pPr>
              <w:pStyle w:val="zSoquijdatRefNeutre"/>
              <w:rPr>
                <w:noProof w:val="0"/>
                <w:sz w:val="16"/>
                <w:szCs w:val="16"/>
                <w:lang w:val="en-CA"/>
              </w:rPr>
            </w:pPr>
          </w:p>
        </w:tc>
      </w:tr>
      <w:tr w:rsidR="009110B8" w:rsidRPr="00AF78D8">
        <w:trPr>
          <w:trHeight w:val="900"/>
        </w:trPr>
        <w:tc>
          <w:tcPr>
            <w:tcW w:w="9505" w:type="dxa"/>
            <w:gridSpan w:val="8"/>
            <w:vAlign w:val="bottom"/>
          </w:tcPr>
          <w:p w:rsidR="0055216E" w:rsidRPr="00AF78D8" w:rsidRDefault="0055216E" w:rsidP="009D5C65">
            <w:pPr>
              <w:pStyle w:val="zSoquijlblCour"/>
              <w:rPr>
                <w:sz w:val="32"/>
                <w:szCs w:val="32"/>
                <w:lang w:val="en-CA"/>
              </w:rPr>
            </w:pPr>
            <w:r w:rsidRPr="00AF78D8">
              <w:rPr>
                <w:sz w:val="32"/>
                <w:szCs w:val="32"/>
                <w:lang w:val="en-CA"/>
              </w:rPr>
              <w:t>COUR</w:t>
            </w:r>
            <w:r w:rsidR="00585DB3" w:rsidRPr="00AF78D8">
              <w:rPr>
                <w:sz w:val="32"/>
                <w:szCs w:val="32"/>
                <w:lang w:val="en-CA"/>
              </w:rPr>
              <w:t xml:space="preserve">T OF </w:t>
            </w:r>
            <w:r w:rsidRPr="00AF78D8">
              <w:rPr>
                <w:sz w:val="32"/>
                <w:szCs w:val="32"/>
                <w:lang w:val="en-CA"/>
              </w:rPr>
              <w:t>QUÉBEC</w:t>
            </w:r>
          </w:p>
        </w:tc>
      </w:tr>
      <w:tr w:rsidR="009110B8" w:rsidRPr="00AF78D8">
        <w:trPr>
          <w:trHeight w:val="540"/>
        </w:trPr>
        <w:tc>
          <w:tcPr>
            <w:tcW w:w="9505" w:type="dxa"/>
            <w:gridSpan w:val="8"/>
          </w:tcPr>
          <w:p w:rsidR="0055216E" w:rsidRPr="00AF78D8" w:rsidRDefault="0055216E">
            <w:pPr>
              <w:pStyle w:val="zSoquijdatDivision"/>
              <w:rPr>
                <w:sz w:val="16"/>
                <w:szCs w:val="16"/>
                <w:lang w:val="en-CA"/>
              </w:rPr>
            </w:pPr>
          </w:p>
        </w:tc>
      </w:tr>
      <w:tr w:rsidR="009110B8" w:rsidRPr="00AF78D8">
        <w:tc>
          <w:tcPr>
            <w:tcW w:w="9505" w:type="dxa"/>
            <w:gridSpan w:val="8"/>
          </w:tcPr>
          <w:p w:rsidR="0055216E" w:rsidRPr="00AF78D8" w:rsidRDefault="0055216E">
            <w:pPr>
              <w:pStyle w:val="zSoquijlblPays"/>
              <w:rPr>
                <w:lang w:val="en-CA"/>
              </w:rPr>
            </w:pPr>
            <w:r w:rsidRPr="00AF78D8">
              <w:rPr>
                <w:lang w:val="en-CA"/>
              </w:rPr>
              <w:t>CANADA</w:t>
            </w:r>
          </w:p>
        </w:tc>
      </w:tr>
      <w:tr w:rsidR="009110B8" w:rsidRPr="00AF78D8">
        <w:tc>
          <w:tcPr>
            <w:tcW w:w="9505" w:type="dxa"/>
            <w:gridSpan w:val="8"/>
          </w:tcPr>
          <w:p w:rsidR="0055216E" w:rsidRPr="00AF78D8" w:rsidRDefault="0052797D">
            <w:pPr>
              <w:pStyle w:val="zSoquijlblProvince"/>
              <w:rPr>
                <w:lang w:val="en-CA"/>
              </w:rPr>
            </w:pPr>
            <w:r w:rsidRPr="00AF78D8">
              <w:rPr>
                <w:lang w:val="en-CA"/>
              </w:rPr>
              <w:t>PROVINCE OF QUEBEC</w:t>
            </w:r>
          </w:p>
        </w:tc>
      </w:tr>
      <w:tr w:rsidR="009110B8" w:rsidRPr="00AF78D8">
        <w:tblPrEx>
          <w:tblCellMar>
            <w:left w:w="0" w:type="dxa"/>
            <w:right w:w="0" w:type="dxa"/>
          </w:tblCellMar>
        </w:tblPrEx>
        <w:trPr>
          <w:cantSplit/>
        </w:trPr>
        <w:tc>
          <w:tcPr>
            <w:tcW w:w="1625" w:type="dxa"/>
            <w:gridSpan w:val="3"/>
          </w:tcPr>
          <w:p w:rsidR="0055216E" w:rsidRPr="00AF78D8" w:rsidRDefault="0052797D">
            <w:pPr>
              <w:pStyle w:val="zSoquijlblGreffe"/>
              <w:rPr>
                <w:lang w:val="en-CA"/>
              </w:rPr>
            </w:pPr>
            <w:r w:rsidRPr="00AF78D8">
              <w:rPr>
                <w:lang w:val="en-CA"/>
              </w:rPr>
              <w:t>DISTRICT OF</w:t>
            </w:r>
          </w:p>
        </w:tc>
        <w:tc>
          <w:tcPr>
            <w:tcW w:w="7880" w:type="dxa"/>
            <w:gridSpan w:val="5"/>
          </w:tcPr>
          <w:p w:rsidR="0055216E" w:rsidRPr="00AF78D8" w:rsidRDefault="0052797D" w:rsidP="009A0019">
            <w:pPr>
              <w:pStyle w:val="zSoquijdatGreffe"/>
              <w:rPr>
                <w:lang w:val="en-CA"/>
              </w:rPr>
            </w:pPr>
            <w:r w:rsidRPr="00AF78D8">
              <w:rPr>
                <w:lang w:val="en-CA"/>
              </w:rPr>
              <w:t>MONTREAL</w:t>
            </w:r>
          </w:p>
        </w:tc>
      </w:tr>
      <w:tr w:rsidR="009110B8" w:rsidRPr="00AF78D8">
        <w:tblPrEx>
          <w:tblCellMar>
            <w:left w:w="0" w:type="dxa"/>
            <w:right w:w="0" w:type="dxa"/>
          </w:tblCellMar>
        </w:tblPrEx>
        <w:trPr>
          <w:cantSplit/>
        </w:trPr>
        <w:tc>
          <w:tcPr>
            <w:tcW w:w="1667" w:type="dxa"/>
            <w:gridSpan w:val="4"/>
          </w:tcPr>
          <w:p w:rsidR="0055216E" w:rsidRPr="00AF78D8" w:rsidRDefault="0052797D">
            <w:pPr>
              <w:pStyle w:val="zSoquijlblLocalite"/>
              <w:rPr>
                <w:lang w:val="en-CA"/>
              </w:rPr>
            </w:pPr>
            <w:r w:rsidRPr="00AF78D8">
              <w:rPr>
                <w:lang w:val="en-CA"/>
              </w:rPr>
              <w:t>LOCALITY OF</w:t>
            </w:r>
          </w:p>
        </w:tc>
        <w:tc>
          <w:tcPr>
            <w:tcW w:w="7838" w:type="dxa"/>
            <w:gridSpan w:val="4"/>
          </w:tcPr>
          <w:p w:rsidR="0055216E" w:rsidRPr="00AF78D8" w:rsidRDefault="0052797D" w:rsidP="009A0019">
            <w:pPr>
              <w:pStyle w:val="zSoquijdatLocalite"/>
              <w:ind w:left="0"/>
              <w:rPr>
                <w:lang w:val="en-CA"/>
              </w:rPr>
            </w:pPr>
            <w:r w:rsidRPr="00AF78D8">
              <w:rPr>
                <w:lang w:val="en-CA"/>
              </w:rPr>
              <w:t>MONTREAL</w:t>
            </w:r>
          </w:p>
        </w:tc>
      </w:tr>
      <w:tr w:rsidR="009110B8" w:rsidRPr="00AF78D8">
        <w:trPr>
          <w:trHeight w:val="540"/>
        </w:trPr>
        <w:tc>
          <w:tcPr>
            <w:tcW w:w="9505" w:type="dxa"/>
            <w:gridSpan w:val="8"/>
          </w:tcPr>
          <w:p w:rsidR="0055216E" w:rsidRPr="00AF78D8" w:rsidRDefault="0052797D">
            <w:pPr>
              <w:pStyle w:val="zSoquijlblNomChambre"/>
              <w:rPr>
                <w:lang w:val="en-CA"/>
              </w:rPr>
            </w:pPr>
            <w:r w:rsidRPr="00AF78D8">
              <w:rPr>
                <w:lang w:val="en-CA"/>
              </w:rPr>
              <w:t>“Criminal and Penal Division”</w:t>
            </w:r>
          </w:p>
        </w:tc>
      </w:tr>
      <w:tr w:rsidR="009110B8" w:rsidRPr="00AF78D8">
        <w:tc>
          <w:tcPr>
            <w:tcW w:w="1105" w:type="dxa"/>
            <w:gridSpan w:val="2"/>
          </w:tcPr>
          <w:p w:rsidR="0055216E" w:rsidRPr="00AF78D8" w:rsidRDefault="0052797D" w:rsidP="00A632D1">
            <w:pPr>
              <w:pStyle w:val="zSoquijlblNoDossier"/>
              <w:rPr>
                <w:lang w:val="en-CA"/>
              </w:rPr>
            </w:pPr>
            <w:r w:rsidRPr="00AF78D8">
              <w:rPr>
                <w:lang w:val="en-CA"/>
              </w:rPr>
              <w:t>Nos.:</w:t>
            </w:r>
          </w:p>
        </w:tc>
        <w:tc>
          <w:tcPr>
            <w:tcW w:w="8400" w:type="dxa"/>
            <w:gridSpan w:val="6"/>
          </w:tcPr>
          <w:p w:rsidR="0055216E" w:rsidRPr="00AF78D8" w:rsidRDefault="002E689A" w:rsidP="009E65B5">
            <w:pPr>
              <w:pStyle w:val="zSoquijdatNoDossier"/>
              <w:tabs>
                <w:tab w:val="left" w:pos="3441"/>
              </w:tabs>
              <w:rPr>
                <w:b/>
                <w:lang w:val="en-CA"/>
              </w:rPr>
            </w:pPr>
            <w:r w:rsidRPr="00AF78D8">
              <w:rPr>
                <w:b/>
                <w:lang w:val="en-CA"/>
              </w:rPr>
              <w:t>500-01-091480-134            500-21-079604-133</w:t>
            </w:r>
          </w:p>
          <w:p w:rsidR="004D52EC" w:rsidRPr="00AF78D8" w:rsidRDefault="002E689A" w:rsidP="000748F5">
            <w:pPr>
              <w:pStyle w:val="zSoquijdatNoDossier"/>
              <w:rPr>
                <w:b/>
                <w:lang w:val="en-CA"/>
              </w:rPr>
            </w:pPr>
            <w:r w:rsidRPr="00AF78D8">
              <w:rPr>
                <w:b/>
                <w:lang w:val="en-CA"/>
              </w:rPr>
              <w:t>500-26-082614-144            500-38-017678-136</w:t>
            </w:r>
          </w:p>
          <w:p w:rsidR="00AE3D64" w:rsidRPr="00AF78D8" w:rsidRDefault="009E65B5" w:rsidP="000748F5">
            <w:pPr>
              <w:pStyle w:val="zSoquijdatNoDossier"/>
              <w:rPr>
                <w:b/>
                <w:lang w:val="en-CA"/>
              </w:rPr>
            </w:pPr>
            <w:r w:rsidRPr="00AF78D8">
              <w:rPr>
                <w:b/>
                <w:lang w:val="en-CA"/>
              </w:rPr>
              <w:t>500-26-082615-141            500-38-017680-132</w:t>
            </w:r>
          </w:p>
          <w:p w:rsidR="00AE3D64" w:rsidRPr="00AF78D8" w:rsidRDefault="009E65B5" w:rsidP="000748F5">
            <w:pPr>
              <w:pStyle w:val="zSoquijdatNoDossier"/>
              <w:rPr>
                <w:b/>
                <w:lang w:val="en-CA"/>
              </w:rPr>
            </w:pPr>
            <w:r w:rsidRPr="00AF78D8">
              <w:rPr>
                <w:b/>
                <w:lang w:val="en-CA"/>
              </w:rPr>
              <w:t>500-26-082613-146            500-38-018621-143</w:t>
            </w:r>
          </w:p>
          <w:p w:rsidR="00AE3D64" w:rsidRPr="00AF78D8" w:rsidRDefault="009E65B5" w:rsidP="000748F5">
            <w:pPr>
              <w:pStyle w:val="zSoquijdatNoDossier"/>
              <w:rPr>
                <w:b/>
                <w:lang w:val="en-CA"/>
              </w:rPr>
            </w:pPr>
            <w:r w:rsidRPr="00AF78D8">
              <w:rPr>
                <w:b/>
                <w:lang w:val="en-CA"/>
              </w:rPr>
              <w:t>500-26-082931-142            500-38-018617-141</w:t>
            </w:r>
          </w:p>
          <w:p w:rsidR="00AE3D64" w:rsidRPr="00AF78D8" w:rsidRDefault="009E65B5" w:rsidP="000748F5">
            <w:pPr>
              <w:pStyle w:val="zSoquijdatNoDossier"/>
              <w:rPr>
                <w:b/>
                <w:lang w:val="en-CA"/>
              </w:rPr>
            </w:pPr>
            <w:r w:rsidRPr="00AF78D8">
              <w:rPr>
                <w:b/>
                <w:lang w:val="en-CA"/>
              </w:rPr>
              <w:t>500-26-077860-132            500-38-018671-148</w:t>
            </w:r>
          </w:p>
          <w:p w:rsidR="00AE3D64" w:rsidRPr="00AF78D8" w:rsidRDefault="009E65B5" w:rsidP="000748F5">
            <w:pPr>
              <w:pStyle w:val="zSoquijdatNoDossier"/>
              <w:rPr>
                <w:b/>
                <w:lang w:val="en-CA"/>
              </w:rPr>
            </w:pPr>
            <w:r w:rsidRPr="00AF78D8">
              <w:rPr>
                <w:b/>
                <w:lang w:val="en-CA"/>
              </w:rPr>
              <w:t>500-26-077668-139            500-38-018618-149</w:t>
            </w:r>
          </w:p>
          <w:p w:rsidR="00AE3D64" w:rsidRPr="00AF78D8" w:rsidRDefault="009E65B5" w:rsidP="000748F5">
            <w:pPr>
              <w:pStyle w:val="zSoquijdatNoDossier"/>
              <w:rPr>
                <w:b/>
                <w:lang w:val="en-CA"/>
              </w:rPr>
            </w:pPr>
            <w:r w:rsidRPr="00AF78D8">
              <w:rPr>
                <w:b/>
                <w:lang w:val="en-CA"/>
              </w:rPr>
              <w:t>500-26-077670-135            500-38-018622-141</w:t>
            </w:r>
          </w:p>
          <w:p w:rsidR="00AE3D64" w:rsidRPr="00AF78D8" w:rsidRDefault="009E65B5" w:rsidP="000748F5">
            <w:pPr>
              <w:pStyle w:val="zSoquijdatNoDossier"/>
              <w:rPr>
                <w:b/>
                <w:lang w:val="en-CA"/>
              </w:rPr>
            </w:pPr>
            <w:r w:rsidRPr="00AF78D8">
              <w:rPr>
                <w:b/>
                <w:lang w:val="en-CA"/>
              </w:rPr>
              <w:t>500-26-077750-135            500-38-018623-149</w:t>
            </w:r>
          </w:p>
          <w:p w:rsidR="00AE3D64" w:rsidRPr="00AF78D8" w:rsidRDefault="009E65B5" w:rsidP="000748F5">
            <w:pPr>
              <w:pStyle w:val="zSoquijdatNoDossier"/>
              <w:rPr>
                <w:b/>
                <w:lang w:val="en-CA"/>
              </w:rPr>
            </w:pPr>
            <w:r w:rsidRPr="00AF78D8">
              <w:rPr>
                <w:b/>
                <w:lang w:val="en-CA"/>
              </w:rPr>
              <w:t>500-26-077672-131            500-38-018619-147</w:t>
            </w:r>
          </w:p>
          <w:p w:rsidR="002E689A" w:rsidRPr="00AF78D8" w:rsidRDefault="002E689A" w:rsidP="000748F5">
            <w:pPr>
              <w:pStyle w:val="zSoquijdatNoDossier"/>
              <w:rPr>
                <w:b/>
                <w:lang w:val="en-CA"/>
              </w:rPr>
            </w:pPr>
            <w:r w:rsidRPr="00AF78D8">
              <w:rPr>
                <w:b/>
                <w:lang w:val="en-CA"/>
              </w:rPr>
              <w:t>500-26-077679-136</w:t>
            </w:r>
          </w:p>
          <w:p w:rsidR="00AE3D64" w:rsidRPr="00AF78D8" w:rsidRDefault="00AE3D64" w:rsidP="000748F5">
            <w:pPr>
              <w:pStyle w:val="zSoquijdatNoDossier"/>
              <w:rPr>
                <w:b/>
                <w:lang w:val="en-CA"/>
              </w:rPr>
            </w:pPr>
          </w:p>
        </w:tc>
      </w:tr>
      <w:tr w:rsidR="009110B8" w:rsidRPr="00AF78D8">
        <w:trPr>
          <w:cantSplit/>
          <w:trHeight w:val="235"/>
        </w:trPr>
        <w:tc>
          <w:tcPr>
            <w:tcW w:w="9505" w:type="dxa"/>
            <w:gridSpan w:val="8"/>
          </w:tcPr>
          <w:p w:rsidR="0055216E" w:rsidRPr="00AF78D8" w:rsidRDefault="0055216E">
            <w:pPr>
              <w:rPr>
                <w:sz w:val="18"/>
                <w:szCs w:val="18"/>
                <w:lang w:val="en-CA"/>
              </w:rPr>
            </w:pPr>
          </w:p>
        </w:tc>
      </w:tr>
      <w:tr w:rsidR="009110B8" w:rsidRPr="00AF78D8">
        <w:tc>
          <w:tcPr>
            <w:tcW w:w="1036" w:type="dxa"/>
          </w:tcPr>
          <w:p w:rsidR="0055216E" w:rsidRPr="00AF78D8" w:rsidRDefault="0052797D">
            <w:pPr>
              <w:pStyle w:val="zSoquijlblDateJugement"/>
              <w:rPr>
                <w:lang w:val="en-CA"/>
              </w:rPr>
            </w:pPr>
            <w:r w:rsidRPr="00AF78D8">
              <w:rPr>
                <w:lang w:val="en-CA"/>
              </w:rPr>
              <w:t>DATE:</w:t>
            </w:r>
          </w:p>
        </w:tc>
        <w:tc>
          <w:tcPr>
            <w:tcW w:w="8469" w:type="dxa"/>
            <w:gridSpan w:val="7"/>
          </w:tcPr>
          <w:p w:rsidR="0055216E" w:rsidRPr="00AF78D8" w:rsidRDefault="00E47F58" w:rsidP="005F4F54">
            <w:pPr>
              <w:pStyle w:val="zSoquijdatDateJugement"/>
              <w:rPr>
                <w:b/>
                <w:lang w:val="en-CA"/>
              </w:rPr>
            </w:pPr>
            <w:r w:rsidRPr="00AF78D8">
              <w:rPr>
                <w:b/>
                <w:lang w:val="en-CA"/>
              </w:rPr>
              <w:t xml:space="preserve"> </w:t>
            </w:r>
            <w:r w:rsidR="0052797D" w:rsidRPr="00AF78D8">
              <w:rPr>
                <w:b/>
                <w:lang w:val="en-CA"/>
              </w:rPr>
              <w:t>April 8, 2021</w:t>
            </w:r>
          </w:p>
        </w:tc>
      </w:tr>
      <w:tr w:rsidR="009110B8" w:rsidRPr="00AF78D8">
        <w:tc>
          <w:tcPr>
            <w:tcW w:w="9505" w:type="dxa"/>
            <w:gridSpan w:val="8"/>
          </w:tcPr>
          <w:p w:rsidR="0055216E" w:rsidRPr="00AF78D8" w:rsidRDefault="0055216E" w:rsidP="009D5C65">
            <w:pPr>
              <w:ind w:left="11" w:right="-68"/>
              <w:rPr>
                <w:lang w:val="en-CA"/>
              </w:rPr>
            </w:pPr>
            <w:r w:rsidRPr="00AF78D8">
              <w:rPr>
                <w:lang w:val="en-CA"/>
              </w:rPr>
              <w:t>______________________________________________________________________</w:t>
            </w:r>
          </w:p>
        </w:tc>
      </w:tr>
      <w:tr w:rsidR="009110B8" w:rsidRPr="00AF78D8">
        <w:tc>
          <w:tcPr>
            <w:tcW w:w="9505" w:type="dxa"/>
            <w:gridSpan w:val="8"/>
          </w:tcPr>
          <w:p w:rsidR="0055216E" w:rsidRPr="00AF78D8" w:rsidRDefault="0055216E">
            <w:pPr>
              <w:rPr>
                <w:lang w:val="en-CA"/>
              </w:rPr>
            </w:pPr>
          </w:p>
        </w:tc>
      </w:tr>
      <w:tr w:rsidR="009110B8" w:rsidRPr="00AF78D8" w:rsidTr="00744062">
        <w:tblPrEx>
          <w:tblCellMar>
            <w:left w:w="0" w:type="dxa"/>
            <w:right w:w="0" w:type="dxa"/>
          </w:tblCellMar>
        </w:tblPrEx>
        <w:tc>
          <w:tcPr>
            <w:tcW w:w="2055" w:type="dxa"/>
            <w:gridSpan w:val="5"/>
          </w:tcPr>
          <w:p w:rsidR="0055216E" w:rsidRPr="00AF78D8" w:rsidRDefault="0052797D">
            <w:pPr>
              <w:pStyle w:val="zSoquijlblJuge"/>
              <w:rPr>
                <w:lang w:val="en-CA"/>
              </w:rPr>
            </w:pPr>
            <w:r w:rsidRPr="00AF78D8">
              <w:rPr>
                <w:lang w:val="en-CA"/>
              </w:rPr>
              <w:t>PRESIDING:</w:t>
            </w:r>
          </w:p>
        </w:tc>
        <w:tc>
          <w:tcPr>
            <w:tcW w:w="2410" w:type="dxa"/>
          </w:tcPr>
          <w:p w:rsidR="0055216E" w:rsidRPr="00AF78D8" w:rsidRDefault="0052797D">
            <w:pPr>
              <w:pStyle w:val="zSoquijdatQteJuge"/>
              <w:rPr>
                <w:lang w:val="en-CA"/>
              </w:rPr>
            </w:pPr>
            <w:r w:rsidRPr="00AF78D8">
              <w:rPr>
                <w:lang w:val="en-CA"/>
              </w:rPr>
              <w:t>THE HONOURABLE</w:t>
            </w:r>
          </w:p>
        </w:tc>
        <w:tc>
          <w:tcPr>
            <w:tcW w:w="5040" w:type="dxa"/>
            <w:gridSpan w:val="2"/>
          </w:tcPr>
          <w:p w:rsidR="0055216E" w:rsidRPr="00AF78D8" w:rsidRDefault="0055216E" w:rsidP="00A954AE">
            <w:pPr>
              <w:pStyle w:val="zSoquijdatJuge"/>
              <w:ind w:left="6"/>
            </w:pPr>
            <w:r w:rsidRPr="00AF78D8">
              <w:t>ANDRÉ PERREAULT, J.C.Q.</w:t>
            </w:r>
          </w:p>
        </w:tc>
      </w:tr>
      <w:tr w:rsidR="009110B8" w:rsidRPr="00AF78D8">
        <w:tc>
          <w:tcPr>
            <w:tcW w:w="9505" w:type="dxa"/>
            <w:gridSpan w:val="8"/>
          </w:tcPr>
          <w:p w:rsidR="0055216E" w:rsidRPr="00AF78D8" w:rsidRDefault="0055216E">
            <w:pPr>
              <w:ind w:left="14" w:right="-67"/>
              <w:rPr>
                <w:lang w:val="en-CA"/>
              </w:rPr>
            </w:pPr>
            <w:r w:rsidRPr="00AF78D8">
              <w:rPr>
                <w:lang w:val="en-CA"/>
              </w:rPr>
              <w:t>______________________________________________________________________</w:t>
            </w:r>
          </w:p>
        </w:tc>
      </w:tr>
      <w:tr w:rsidR="009110B8" w:rsidRPr="00AF78D8">
        <w:tc>
          <w:tcPr>
            <w:tcW w:w="9505" w:type="dxa"/>
            <w:gridSpan w:val="8"/>
          </w:tcPr>
          <w:p w:rsidR="0055216E" w:rsidRPr="00AF78D8" w:rsidRDefault="0055216E">
            <w:pPr>
              <w:pStyle w:val="zSoquijlblTitrePartie"/>
              <w:rPr>
                <w:sz w:val="18"/>
                <w:szCs w:val="18"/>
              </w:rPr>
            </w:pPr>
          </w:p>
          <w:p w:rsidR="006C2578" w:rsidRPr="00AF78D8" w:rsidRDefault="00AE3D64" w:rsidP="006D3B44">
            <w:pPr>
              <w:pStyle w:val="zSoquijlblTitrePartie"/>
              <w:spacing w:before="40" w:after="40"/>
              <w:rPr>
                <w:b/>
              </w:rPr>
            </w:pPr>
            <w:r w:rsidRPr="00AF78D8">
              <w:rPr>
                <w:b/>
              </w:rPr>
              <w:t>THI HUYEN NGUYEN</w:t>
            </w:r>
          </w:p>
          <w:p w:rsidR="00AE3D64" w:rsidRPr="00AF78D8" w:rsidRDefault="00AE3D64" w:rsidP="006D3B44">
            <w:pPr>
              <w:pStyle w:val="zSoquijlblTitrePartie"/>
              <w:spacing w:before="40" w:after="40"/>
              <w:rPr>
                <w:b/>
              </w:rPr>
            </w:pPr>
            <w:r w:rsidRPr="00AF78D8">
              <w:rPr>
                <w:b/>
              </w:rPr>
              <w:t>THI HONG CUN</w:t>
            </w:r>
          </w:p>
          <w:p w:rsidR="00AE3D64" w:rsidRPr="00AF78D8" w:rsidRDefault="00AE3D64" w:rsidP="006D3B44">
            <w:pPr>
              <w:pStyle w:val="zSoquijlblTitrePartie"/>
              <w:spacing w:before="40" w:after="40"/>
              <w:rPr>
                <w:b/>
              </w:rPr>
            </w:pPr>
            <w:r w:rsidRPr="00AF78D8">
              <w:rPr>
                <w:b/>
              </w:rPr>
              <w:t>ALEXANDRE NGUYEN</w:t>
            </w:r>
          </w:p>
          <w:p w:rsidR="00DD0B57" w:rsidRPr="00AF78D8" w:rsidRDefault="0052797D" w:rsidP="000B4433">
            <w:pPr>
              <w:pStyle w:val="zSoquijdatQtePartieDem"/>
              <w:spacing w:before="20" w:after="40"/>
              <w:ind w:left="709"/>
              <w:rPr>
                <w:lang w:val="en-CA"/>
              </w:rPr>
            </w:pPr>
            <w:r w:rsidRPr="00AF78D8">
              <w:rPr>
                <w:lang w:val="en-CA"/>
              </w:rPr>
              <w:t>Applicants</w:t>
            </w:r>
          </w:p>
          <w:p w:rsidR="00DD0B57" w:rsidRPr="00AF78D8" w:rsidRDefault="0052797D" w:rsidP="00F7448D">
            <w:pPr>
              <w:pStyle w:val="zSoquijdatQtePartieDem"/>
              <w:spacing w:before="120" w:after="120"/>
              <w:ind w:left="0"/>
              <w:rPr>
                <w:lang w:val="en-CA"/>
              </w:rPr>
            </w:pPr>
            <w:r w:rsidRPr="00AF78D8">
              <w:rPr>
                <w:lang w:val="en-CA"/>
              </w:rPr>
              <w:t>v.</w:t>
            </w:r>
          </w:p>
        </w:tc>
      </w:tr>
      <w:tr w:rsidR="009110B8" w:rsidRPr="00AF78D8">
        <w:tc>
          <w:tcPr>
            <w:tcW w:w="9505" w:type="dxa"/>
            <w:gridSpan w:val="8"/>
          </w:tcPr>
          <w:p w:rsidR="0055216E" w:rsidRPr="00AF78D8" w:rsidRDefault="0052797D" w:rsidP="006D3B44">
            <w:pPr>
              <w:pStyle w:val="zSoquijdatNomPartieDem"/>
              <w:spacing w:before="40" w:after="40"/>
              <w:rPr>
                <w:lang w:val="en-CA"/>
              </w:rPr>
            </w:pPr>
            <w:r w:rsidRPr="00AF78D8">
              <w:rPr>
                <w:lang w:val="en-CA"/>
              </w:rPr>
              <w:t>DIRECTOR OF CRIMINAL AND PENAL PROSECUTIONS</w:t>
            </w:r>
          </w:p>
        </w:tc>
      </w:tr>
      <w:tr w:rsidR="009110B8" w:rsidRPr="00AF78D8">
        <w:tc>
          <w:tcPr>
            <w:tcW w:w="9505" w:type="dxa"/>
            <w:gridSpan w:val="8"/>
          </w:tcPr>
          <w:p w:rsidR="0055216E" w:rsidRPr="00AF78D8" w:rsidRDefault="0052797D" w:rsidP="000B4433">
            <w:pPr>
              <w:pStyle w:val="zSoquijdatQtePartieDem"/>
              <w:spacing w:before="20" w:after="40"/>
              <w:ind w:left="709"/>
              <w:rPr>
                <w:lang w:val="en-CA"/>
              </w:rPr>
            </w:pPr>
            <w:r w:rsidRPr="00AF78D8">
              <w:rPr>
                <w:lang w:val="en-CA"/>
              </w:rPr>
              <w:t>Respondent</w:t>
            </w:r>
          </w:p>
        </w:tc>
      </w:tr>
      <w:tr w:rsidR="009110B8" w:rsidRPr="00AF78D8" w:rsidTr="000B4433">
        <w:tc>
          <w:tcPr>
            <w:tcW w:w="9505" w:type="dxa"/>
            <w:gridSpan w:val="8"/>
            <w:tcBorders>
              <w:bottom w:val="single" w:sz="4" w:space="0" w:color="auto"/>
            </w:tcBorders>
          </w:tcPr>
          <w:p w:rsidR="004A6695" w:rsidRPr="00AF78D8" w:rsidRDefault="004A6695" w:rsidP="000031D0">
            <w:pPr>
              <w:ind w:left="11" w:right="-68"/>
              <w:rPr>
                <w:b/>
                <w:sz w:val="16"/>
                <w:szCs w:val="16"/>
                <w:lang w:val="en-CA"/>
              </w:rPr>
            </w:pPr>
          </w:p>
        </w:tc>
      </w:tr>
      <w:tr w:rsidR="009110B8" w:rsidRPr="00AF78D8" w:rsidTr="000B4433">
        <w:tc>
          <w:tcPr>
            <w:tcW w:w="9505" w:type="dxa"/>
            <w:gridSpan w:val="8"/>
            <w:tcBorders>
              <w:top w:val="single" w:sz="4" w:space="0" w:color="auto"/>
            </w:tcBorders>
          </w:tcPr>
          <w:tbl>
            <w:tblPr>
              <w:tblW w:w="9505" w:type="dxa"/>
              <w:tblLayout w:type="fixed"/>
              <w:tblCellMar>
                <w:left w:w="70" w:type="dxa"/>
                <w:right w:w="70" w:type="dxa"/>
              </w:tblCellMar>
              <w:tblLook w:val="0000" w:firstRow="0" w:lastRow="0" w:firstColumn="0" w:lastColumn="0" w:noHBand="0" w:noVBand="0"/>
            </w:tblPr>
            <w:tblGrid>
              <w:gridCol w:w="9505"/>
            </w:tblGrid>
            <w:tr w:rsidR="009110B8" w:rsidRPr="00AF78D8" w:rsidTr="006D3B44">
              <w:tc>
                <w:tcPr>
                  <w:tcW w:w="9505" w:type="dxa"/>
                </w:tcPr>
                <w:p w:rsidR="006C2578" w:rsidRPr="00AF78D8" w:rsidRDefault="006C2578" w:rsidP="008D0DEB">
                  <w:pPr>
                    <w:keepNext/>
                    <w:jc w:val="center"/>
                    <w:rPr>
                      <w:b/>
                      <w:sz w:val="16"/>
                      <w:szCs w:val="16"/>
                      <w:lang w:val="en-CA"/>
                    </w:rPr>
                  </w:pPr>
                </w:p>
              </w:tc>
            </w:tr>
            <w:tr w:rsidR="009110B8" w:rsidRPr="00AF78D8" w:rsidTr="00BF5584">
              <w:trPr>
                <w:trHeight w:val="70"/>
              </w:trPr>
              <w:tc>
                <w:tcPr>
                  <w:tcW w:w="9505" w:type="dxa"/>
                  <w:tcBorders>
                    <w:bottom w:val="single" w:sz="4" w:space="0" w:color="auto"/>
                  </w:tcBorders>
                </w:tcPr>
                <w:p w:rsidR="00F7448D" w:rsidRPr="00AF78D8" w:rsidRDefault="0052797D" w:rsidP="008D0DEB">
                  <w:pPr>
                    <w:pStyle w:val="zSoquijlblTypeDocument"/>
                    <w:keepNext/>
                    <w:rPr>
                      <w:b/>
                      <w:szCs w:val="24"/>
                      <w:lang w:val="en-CA"/>
                    </w:rPr>
                  </w:pPr>
                  <w:r w:rsidRPr="00AF78D8">
                    <w:rPr>
                      <w:b/>
                      <w:szCs w:val="24"/>
                      <w:lang w:val="en-CA"/>
                    </w:rPr>
                    <w:t>JUDGMENT ON THE APPLICATION TO DISMISS THE RESPONDENT</w:t>
                  </w:r>
                  <w:r w:rsidR="00744062" w:rsidRPr="00AF78D8">
                    <w:rPr>
                      <w:b/>
                      <w:szCs w:val="24"/>
                      <w:lang w:val="en-CA"/>
                    </w:rPr>
                    <w:t>’</w:t>
                  </w:r>
                  <w:r w:rsidRPr="00AF78D8">
                    <w:rPr>
                      <w:b/>
                      <w:szCs w:val="24"/>
                      <w:lang w:val="en-CA"/>
                    </w:rPr>
                    <w:t>S APPLICATION FOR FORFEITURE, FOR THE RETURN OF SEIZED PROPERTY, AND TO CANCEL THE RESTRAINT ORDERS</w:t>
                  </w:r>
                </w:p>
                <w:p w:rsidR="00F7448D" w:rsidRPr="00AF78D8" w:rsidRDefault="00744062" w:rsidP="008D0DEB">
                  <w:pPr>
                    <w:pStyle w:val="zSoquijlblTypeDocument"/>
                    <w:keepNext/>
                    <w:rPr>
                      <w:b/>
                      <w:sz w:val="16"/>
                      <w:szCs w:val="16"/>
                      <w:lang w:val="en-CA"/>
                    </w:rPr>
                  </w:pPr>
                  <w:r w:rsidRPr="00AF78D8">
                    <w:rPr>
                      <w:b/>
                      <w:szCs w:val="24"/>
                      <w:lang w:val="en-CA"/>
                    </w:rPr>
                    <w:t>Sections</w:t>
                  </w:r>
                  <w:r w:rsidR="00724532" w:rsidRPr="00AF78D8">
                    <w:rPr>
                      <w:b/>
                      <w:szCs w:val="24"/>
                      <w:lang w:val="en-CA"/>
                    </w:rPr>
                    <w:t xml:space="preserve"> 490(4), </w:t>
                  </w:r>
                  <w:r w:rsidR="0052797D" w:rsidRPr="00AF78D8">
                    <w:rPr>
                      <w:b/>
                      <w:szCs w:val="24"/>
                      <w:lang w:val="en-CA"/>
                    </w:rPr>
                    <w:t xml:space="preserve">462.37, and 462.43 </w:t>
                  </w:r>
                  <w:r w:rsidR="0052797D" w:rsidRPr="00AF78D8">
                    <w:rPr>
                      <w:b/>
                      <w:i/>
                      <w:iCs/>
                      <w:szCs w:val="24"/>
                      <w:lang w:val="en-CA"/>
                    </w:rPr>
                    <w:t>Cr. C</w:t>
                  </w:r>
                  <w:r w:rsidR="0052797D" w:rsidRPr="00AF78D8">
                    <w:rPr>
                      <w:b/>
                      <w:szCs w:val="24"/>
                      <w:lang w:val="en-CA"/>
                    </w:rPr>
                    <w:t>., s.</w:t>
                  </w:r>
                  <w:r w:rsidR="00724532" w:rsidRPr="00AF78D8">
                    <w:rPr>
                      <w:b/>
                      <w:szCs w:val="24"/>
                      <w:lang w:val="en-CA"/>
                    </w:rPr>
                    <w:t xml:space="preserve"> </w:t>
                  </w:r>
                  <w:r w:rsidR="0052797D" w:rsidRPr="00AF78D8">
                    <w:rPr>
                      <w:b/>
                      <w:bCs/>
                      <w:szCs w:val="24"/>
                      <w:lang w:val="en-CA"/>
                    </w:rPr>
                    <w:t xml:space="preserve">16 </w:t>
                  </w:r>
                  <w:r w:rsidR="0052797D" w:rsidRPr="00AF78D8">
                    <w:rPr>
                      <w:b/>
                      <w:bCs/>
                      <w:i/>
                      <w:szCs w:val="24"/>
                      <w:lang w:val="en-CA"/>
                    </w:rPr>
                    <w:t>CDSA</w:t>
                  </w:r>
                  <w:r w:rsidR="0052797D" w:rsidRPr="00AF78D8">
                    <w:rPr>
                      <w:b/>
                      <w:bCs/>
                      <w:szCs w:val="24"/>
                      <w:lang w:val="en-CA"/>
                    </w:rPr>
                    <w:t xml:space="preserve">, ss. </w:t>
                  </w:r>
                  <w:r w:rsidR="00724532" w:rsidRPr="00AF78D8">
                    <w:rPr>
                      <w:b/>
                      <w:bCs/>
                      <w:szCs w:val="24"/>
                      <w:lang w:val="en-CA"/>
                    </w:rPr>
                    <w:t xml:space="preserve"> </w:t>
                  </w:r>
                  <w:r w:rsidR="0052797D" w:rsidRPr="00AF78D8">
                    <w:rPr>
                      <w:b/>
                      <w:bCs/>
                      <w:szCs w:val="24"/>
                      <w:lang w:val="en-CA"/>
                    </w:rPr>
                    <w:t xml:space="preserve">7, 11(b) and (d) and 24 of the </w:t>
                  </w:r>
                  <w:r w:rsidR="0052797D" w:rsidRPr="00AF78D8">
                    <w:rPr>
                      <w:b/>
                      <w:bCs/>
                      <w:i/>
                      <w:szCs w:val="24"/>
                      <w:lang w:val="en-CA"/>
                    </w:rPr>
                    <w:t>Canadian Charter of Rights and Freedoms</w:t>
                  </w:r>
                </w:p>
              </w:tc>
            </w:tr>
          </w:tbl>
          <w:p w:rsidR="004A6695" w:rsidRPr="00AF78D8" w:rsidRDefault="004A6695" w:rsidP="008D0DEB">
            <w:pPr>
              <w:keepNext/>
              <w:rPr>
                <w:b/>
                <w:lang w:val="en-CA"/>
              </w:rPr>
            </w:pPr>
          </w:p>
        </w:tc>
      </w:tr>
    </w:tbl>
    <w:p w:rsidR="000748F5" w:rsidRPr="00AF78D8" w:rsidRDefault="0052797D" w:rsidP="00E47F58">
      <w:pPr>
        <w:pStyle w:val="Titre1"/>
        <w:rPr>
          <w:sz w:val="24"/>
          <w:szCs w:val="24"/>
          <w:lang w:val="en-CA"/>
        </w:rPr>
      </w:pPr>
      <w:r w:rsidRPr="00AF78D8">
        <w:rPr>
          <w:sz w:val="24"/>
          <w:szCs w:val="24"/>
          <w:lang w:val="en-CA"/>
        </w:rPr>
        <w:t>INTRODUCTION</w:t>
      </w:r>
    </w:p>
    <w:p w:rsidR="00F7448D" w:rsidRPr="00AF78D8" w:rsidRDefault="005C0DA5" w:rsidP="00012101">
      <w:pPr>
        <w:pStyle w:val="Paragraphe"/>
        <w:numPr>
          <w:ilvl w:val="0"/>
          <w:numId w:val="35"/>
        </w:numPr>
        <w:tabs>
          <w:tab w:val="clear" w:pos="360"/>
          <w:tab w:val="num" w:pos="709"/>
        </w:tabs>
        <w:spacing w:line="240" w:lineRule="auto"/>
        <w:rPr>
          <w:lang w:val="en-CA"/>
        </w:rPr>
      </w:pPr>
      <w:r w:rsidRPr="00AF78D8">
        <w:rPr>
          <w:lang w:val="en-CA"/>
        </w:rPr>
        <w:t>This judgment concerns the power of a judge of the Court of Québec to hear an application for forf</w:t>
      </w:r>
      <w:r w:rsidR="001044DB" w:rsidRPr="00AF78D8">
        <w:rPr>
          <w:lang w:val="en-CA"/>
        </w:rPr>
        <w:t>e</w:t>
      </w:r>
      <w:r w:rsidRPr="00AF78D8">
        <w:rPr>
          <w:lang w:val="en-CA"/>
        </w:rPr>
        <w:t>iture of things seized (s.</w:t>
      </w:r>
      <w:r w:rsidR="00724532" w:rsidRPr="00AF78D8">
        <w:rPr>
          <w:lang w:val="en-CA"/>
        </w:rPr>
        <w:t xml:space="preserve"> </w:t>
      </w:r>
      <w:r w:rsidRPr="00AF78D8">
        <w:rPr>
          <w:lang w:val="en-CA"/>
        </w:rPr>
        <w:t xml:space="preserve">490(9) </w:t>
      </w:r>
      <w:r w:rsidRPr="00AF78D8">
        <w:rPr>
          <w:i/>
          <w:iCs/>
          <w:lang w:val="en-CA"/>
        </w:rPr>
        <w:t>Cr. C</w:t>
      </w:r>
      <w:r w:rsidRPr="00AF78D8">
        <w:rPr>
          <w:lang w:val="en-CA"/>
        </w:rPr>
        <w:t xml:space="preserve">.), forfeiture of property obtained by crime (s. </w:t>
      </w:r>
      <w:r w:rsidR="00724532" w:rsidRPr="00AF78D8">
        <w:rPr>
          <w:lang w:val="en-CA"/>
        </w:rPr>
        <w:t xml:space="preserve"> </w:t>
      </w:r>
      <w:r w:rsidRPr="00AF78D8">
        <w:rPr>
          <w:lang w:val="en-CA"/>
        </w:rPr>
        <w:t xml:space="preserve">491.1 </w:t>
      </w:r>
      <w:r w:rsidRPr="00AF78D8">
        <w:rPr>
          <w:i/>
          <w:iCs/>
          <w:lang w:val="en-CA"/>
        </w:rPr>
        <w:t>Cr. C</w:t>
      </w:r>
      <w:r w:rsidRPr="00AF78D8">
        <w:rPr>
          <w:lang w:val="en-CA"/>
        </w:rPr>
        <w:t>.), forfeiture of proceeds of crime (</w:t>
      </w:r>
      <w:r w:rsidR="003A1849" w:rsidRPr="00AF78D8">
        <w:rPr>
          <w:lang w:val="en-CA"/>
        </w:rPr>
        <w:t>s</w:t>
      </w:r>
      <w:r w:rsidRPr="00AF78D8">
        <w:rPr>
          <w:lang w:val="en-CA"/>
        </w:rPr>
        <w:t xml:space="preserve">s. 462.37(2) </w:t>
      </w:r>
      <w:r w:rsidRPr="00AF78D8">
        <w:rPr>
          <w:i/>
          <w:iCs/>
          <w:lang w:val="en-CA"/>
        </w:rPr>
        <w:t>Cr.</w:t>
      </w:r>
      <w:r w:rsidR="00020C09" w:rsidRPr="00AF78D8">
        <w:rPr>
          <w:i/>
          <w:iCs/>
          <w:lang w:val="en-CA"/>
        </w:rPr>
        <w:t> </w:t>
      </w:r>
      <w:r w:rsidRPr="00AF78D8">
        <w:rPr>
          <w:i/>
          <w:iCs/>
          <w:lang w:val="en-CA"/>
        </w:rPr>
        <w:t>C.</w:t>
      </w:r>
      <w:r w:rsidRPr="00AF78D8">
        <w:rPr>
          <w:lang w:val="en-CA"/>
        </w:rPr>
        <w:t>)</w:t>
      </w:r>
      <w:r w:rsidR="006D72AE">
        <w:rPr>
          <w:lang w:val="en-CA"/>
        </w:rPr>
        <w:t>,</w:t>
      </w:r>
      <w:r w:rsidRPr="00AF78D8">
        <w:rPr>
          <w:lang w:val="en-CA"/>
        </w:rPr>
        <w:t xml:space="preserve"> and forfeiture of non-chemical offence-related property (s.</w:t>
      </w:r>
      <w:r w:rsidR="00724532" w:rsidRPr="00AF78D8">
        <w:rPr>
          <w:lang w:val="en-CA"/>
        </w:rPr>
        <w:t xml:space="preserve"> </w:t>
      </w:r>
      <w:r w:rsidRPr="00AF78D8">
        <w:rPr>
          <w:lang w:val="en-CA"/>
        </w:rPr>
        <w:t xml:space="preserve">16(2) of the </w:t>
      </w:r>
      <w:r w:rsidRPr="00AF78D8">
        <w:rPr>
          <w:i/>
          <w:lang w:val="en-CA"/>
        </w:rPr>
        <w:t>Controlled Drugs and Substances Act</w:t>
      </w:r>
      <w:r w:rsidRPr="00AF78D8">
        <w:rPr>
          <w:lang w:val="en-CA"/>
        </w:rPr>
        <w:t xml:space="preserve"> (</w:t>
      </w:r>
      <w:r w:rsidRPr="00AF78D8">
        <w:rPr>
          <w:i/>
          <w:iCs/>
          <w:lang w:val="en-CA"/>
        </w:rPr>
        <w:t>CDSA</w:t>
      </w:r>
      <w:r w:rsidRPr="00AF78D8">
        <w:rPr>
          <w:lang w:val="en-CA"/>
        </w:rPr>
        <w:t>)</w:t>
      </w:r>
      <w:r w:rsidR="006D72AE">
        <w:rPr>
          <w:lang w:val="en-CA"/>
        </w:rPr>
        <w:t>)</w:t>
      </w:r>
      <w:r w:rsidRPr="00AF78D8">
        <w:rPr>
          <w:lang w:val="en-CA"/>
        </w:rPr>
        <w:t>, when another judge of the Court of Québec acting as case management judge has stay</w:t>
      </w:r>
      <w:r w:rsidR="00744062" w:rsidRPr="00AF78D8">
        <w:rPr>
          <w:lang w:val="en-CA"/>
        </w:rPr>
        <w:t>ed</w:t>
      </w:r>
      <w:r w:rsidRPr="00AF78D8">
        <w:rPr>
          <w:lang w:val="en-CA"/>
        </w:rPr>
        <w:t xml:space="preserve"> the proceedings for unreasonable delay with respect to the three applicant</w:t>
      </w:r>
      <w:r w:rsidR="00744062" w:rsidRPr="00AF78D8">
        <w:rPr>
          <w:lang w:val="en-CA"/>
        </w:rPr>
        <w:t>s</w:t>
      </w:r>
      <w:r w:rsidRPr="00AF78D8">
        <w:rPr>
          <w:lang w:val="en-CA"/>
        </w:rPr>
        <w:t xml:space="preserve"> </w:t>
      </w:r>
      <w:r w:rsidR="006D72AE">
        <w:rPr>
          <w:lang w:val="en-CA"/>
        </w:rPr>
        <w:t>who seek</w:t>
      </w:r>
      <w:r w:rsidRPr="00AF78D8">
        <w:rPr>
          <w:lang w:val="en-CA"/>
        </w:rPr>
        <w:t xml:space="preserve"> the return of the property,</w:t>
      </w:r>
      <w:r w:rsidR="00744062" w:rsidRPr="00AF78D8">
        <w:rPr>
          <w:lang w:val="en-CA"/>
        </w:rPr>
        <w:t xml:space="preserve"> </w:t>
      </w:r>
      <w:r w:rsidRPr="00AF78D8">
        <w:rPr>
          <w:lang w:val="en-CA"/>
        </w:rPr>
        <w:t xml:space="preserve">after </w:t>
      </w:r>
      <w:r w:rsidR="002E3A67" w:rsidRPr="00AF78D8">
        <w:rPr>
          <w:lang w:val="en-CA"/>
        </w:rPr>
        <w:t>another</w:t>
      </w:r>
      <w:r w:rsidRPr="00AF78D8">
        <w:rPr>
          <w:lang w:val="en-CA"/>
        </w:rPr>
        <w:t xml:space="preserve"> co</w:t>
      </w:r>
      <w:r w:rsidR="003A1849" w:rsidRPr="00AF78D8">
        <w:rPr>
          <w:lang w:val="en-CA"/>
        </w:rPr>
        <w:t>-</w:t>
      </w:r>
      <w:r w:rsidRPr="00AF78D8">
        <w:rPr>
          <w:lang w:val="en-CA"/>
        </w:rPr>
        <w:t>accused pleaded guilty to the count of production of cannabis.</w:t>
      </w:r>
    </w:p>
    <w:p w:rsidR="0075626E" w:rsidRPr="00AF78D8" w:rsidRDefault="005C0DA5" w:rsidP="0075626E">
      <w:pPr>
        <w:pStyle w:val="Titre1"/>
        <w:rPr>
          <w:sz w:val="24"/>
          <w:szCs w:val="24"/>
          <w:lang w:val="en-CA"/>
        </w:rPr>
      </w:pPr>
      <w:r w:rsidRPr="00AF78D8">
        <w:rPr>
          <w:sz w:val="24"/>
          <w:szCs w:val="24"/>
          <w:lang w:val="en-CA"/>
        </w:rPr>
        <w:t>BACKGROUND</w:t>
      </w:r>
    </w:p>
    <w:p w:rsidR="00997BDB" w:rsidRPr="00AF78D8" w:rsidRDefault="005C0DA5" w:rsidP="000748F5">
      <w:pPr>
        <w:pStyle w:val="Paragraphe"/>
        <w:tabs>
          <w:tab w:val="clear" w:pos="360"/>
          <w:tab w:val="num" w:pos="709"/>
        </w:tabs>
        <w:spacing w:line="240" w:lineRule="auto"/>
        <w:rPr>
          <w:lang w:val="en-CA"/>
        </w:rPr>
      </w:pPr>
      <w:r w:rsidRPr="00AF78D8">
        <w:rPr>
          <w:lang w:val="en-CA"/>
        </w:rPr>
        <w:t xml:space="preserve">Following an investigation conducted by the Service de police de la Ville de Montréal (SPVM) in the file </w:t>
      </w:r>
      <w:r w:rsidR="000625EC" w:rsidRPr="00AF78D8">
        <w:rPr>
          <w:lang w:val="en-CA"/>
        </w:rPr>
        <w:t>“</w:t>
      </w:r>
      <w:r w:rsidRPr="00AF78D8">
        <w:rPr>
          <w:lang w:val="en-CA"/>
        </w:rPr>
        <w:t>PROPAGATION</w:t>
      </w:r>
      <w:r w:rsidR="000625EC" w:rsidRPr="00AF78D8">
        <w:rPr>
          <w:lang w:val="en-CA"/>
        </w:rPr>
        <w:t>”</w:t>
      </w:r>
      <w:r w:rsidRPr="00AF78D8">
        <w:rPr>
          <w:lang w:val="en-CA"/>
        </w:rPr>
        <w:t xml:space="preserve">, the three applicants, along with eight other persons, were charged with various counts under the </w:t>
      </w:r>
      <w:r w:rsidRPr="00AF78D8">
        <w:rPr>
          <w:i/>
          <w:lang w:val="en-CA"/>
        </w:rPr>
        <w:t>CDSA</w:t>
      </w:r>
      <w:r w:rsidRPr="00AF78D8">
        <w:rPr>
          <w:lang w:val="en-CA"/>
        </w:rPr>
        <w:t xml:space="preserve">, </w:t>
      </w:r>
      <w:r w:rsidR="00FA3570" w:rsidRPr="00AF78D8">
        <w:rPr>
          <w:lang w:val="en-CA"/>
        </w:rPr>
        <w:t xml:space="preserve">and with </w:t>
      </w:r>
      <w:r w:rsidRPr="00AF78D8">
        <w:rPr>
          <w:lang w:val="en-CA"/>
        </w:rPr>
        <w:t>theft</w:t>
      </w:r>
      <w:r w:rsidR="000625EC" w:rsidRPr="00AF78D8">
        <w:rPr>
          <w:lang w:val="en-CA"/>
        </w:rPr>
        <w:t>,</w:t>
      </w:r>
      <w:r w:rsidRPr="00AF78D8">
        <w:rPr>
          <w:lang w:val="en-CA"/>
        </w:rPr>
        <w:t xml:space="preserve"> possession of stolen goods, and conspiracy to produce cannabis under the </w:t>
      </w:r>
      <w:r w:rsidRPr="00AF78D8">
        <w:rPr>
          <w:i/>
          <w:lang w:val="en-CA"/>
        </w:rPr>
        <w:t>Criminal Code</w:t>
      </w:r>
      <w:r w:rsidRPr="00AF78D8">
        <w:rPr>
          <w:lang w:val="en-CA"/>
        </w:rPr>
        <w:t>.</w:t>
      </w:r>
    </w:p>
    <w:p w:rsidR="005C12C6" w:rsidRPr="00AF78D8" w:rsidRDefault="005C0DA5" w:rsidP="000748F5">
      <w:pPr>
        <w:pStyle w:val="Paragraphe"/>
        <w:tabs>
          <w:tab w:val="clear" w:pos="360"/>
          <w:tab w:val="num" w:pos="709"/>
        </w:tabs>
        <w:spacing w:line="240" w:lineRule="auto"/>
        <w:rPr>
          <w:lang w:val="en-CA"/>
        </w:rPr>
      </w:pPr>
      <w:r w:rsidRPr="00AF78D8">
        <w:rPr>
          <w:lang w:val="en-CA"/>
        </w:rPr>
        <w:t>The applicants Thi Nuyen Nguyen and Thi Hong Cun were arrested on June</w:t>
      </w:r>
      <w:r w:rsidR="000625EC" w:rsidRPr="00AF78D8">
        <w:rPr>
          <w:lang w:val="en-CA"/>
        </w:rPr>
        <w:t> </w:t>
      </w:r>
      <w:r w:rsidRPr="00AF78D8">
        <w:rPr>
          <w:lang w:val="en-CA"/>
        </w:rPr>
        <w:t>20,</w:t>
      </w:r>
      <w:r w:rsidR="000625EC" w:rsidRPr="00AF78D8">
        <w:rPr>
          <w:lang w:val="en-CA"/>
        </w:rPr>
        <w:t> </w:t>
      </w:r>
      <w:r w:rsidRPr="00AF78D8">
        <w:rPr>
          <w:lang w:val="en-CA"/>
        </w:rPr>
        <w:t>2013, and July 3, 201</w:t>
      </w:r>
      <w:r w:rsidR="00FA3570" w:rsidRPr="00AF78D8">
        <w:rPr>
          <w:lang w:val="en-CA"/>
        </w:rPr>
        <w:t>3</w:t>
      </w:r>
      <w:r w:rsidRPr="00AF78D8">
        <w:rPr>
          <w:lang w:val="en-CA"/>
        </w:rPr>
        <w:t xml:space="preserve">, respectively, </w:t>
      </w:r>
      <w:r w:rsidR="000625EC" w:rsidRPr="00AF78D8">
        <w:rPr>
          <w:lang w:val="en-CA"/>
        </w:rPr>
        <w:t>pursuant to</w:t>
      </w:r>
      <w:r w:rsidRPr="00AF78D8">
        <w:rPr>
          <w:lang w:val="en-CA"/>
        </w:rPr>
        <w:t xml:space="preserve"> an arrest warrant issued on June 20, 2013, containing 11 counts, </w:t>
      </w:r>
      <w:r w:rsidR="000625EC" w:rsidRPr="00AF78D8">
        <w:rPr>
          <w:lang w:val="en-CA"/>
        </w:rPr>
        <w:t>while</w:t>
      </w:r>
      <w:r w:rsidRPr="00AF78D8">
        <w:rPr>
          <w:lang w:val="en-CA"/>
        </w:rPr>
        <w:t xml:space="preserve"> Alexandre Nguyen was arrested on April</w:t>
      </w:r>
      <w:r w:rsidR="000625EC" w:rsidRPr="00AF78D8">
        <w:rPr>
          <w:lang w:val="en-CA"/>
        </w:rPr>
        <w:t> </w:t>
      </w:r>
      <w:r w:rsidRPr="00AF78D8">
        <w:rPr>
          <w:lang w:val="en-CA"/>
        </w:rPr>
        <w:t>29,</w:t>
      </w:r>
      <w:r w:rsidR="000625EC" w:rsidRPr="00AF78D8">
        <w:rPr>
          <w:lang w:val="en-CA"/>
        </w:rPr>
        <w:t> </w:t>
      </w:r>
      <w:r w:rsidRPr="00AF78D8">
        <w:rPr>
          <w:lang w:val="en-CA"/>
        </w:rPr>
        <w:t xml:space="preserve">2014, </w:t>
      </w:r>
      <w:r w:rsidR="000625EC" w:rsidRPr="00AF78D8">
        <w:rPr>
          <w:lang w:val="en-CA"/>
        </w:rPr>
        <w:t>pursuant to</w:t>
      </w:r>
      <w:r w:rsidRPr="00AF78D8">
        <w:rPr>
          <w:lang w:val="en-CA"/>
        </w:rPr>
        <w:t xml:space="preserve"> an arrest warrant issued on January 26, 2014, containing only the count of conspiracy.</w:t>
      </w:r>
    </w:p>
    <w:p w:rsidR="00997BDB" w:rsidRPr="00AF78D8" w:rsidRDefault="005C0DA5" w:rsidP="000748F5">
      <w:pPr>
        <w:pStyle w:val="Paragraphe"/>
        <w:tabs>
          <w:tab w:val="clear" w:pos="360"/>
          <w:tab w:val="num" w:pos="709"/>
        </w:tabs>
        <w:spacing w:line="240" w:lineRule="auto"/>
        <w:rPr>
          <w:lang w:val="en-CA"/>
        </w:rPr>
      </w:pPr>
      <w:r w:rsidRPr="00AF78D8">
        <w:rPr>
          <w:lang w:val="en-CA"/>
        </w:rPr>
        <w:t>Over the course of this investigation</w:t>
      </w:r>
      <w:r w:rsidR="00CC0DA6">
        <w:rPr>
          <w:lang w:val="en-CA"/>
        </w:rPr>
        <w:t>,</w:t>
      </w:r>
      <w:r w:rsidRPr="00AF78D8">
        <w:rPr>
          <w:lang w:val="en-CA"/>
        </w:rPr>
        <w:t xml:space="preserve"> numerous </w:t>
      </w:r>
      <w:r w:rsidR="00DD58BB" w:rsidRPr="00AF78D8">
        <w:rPr>
          <w:lang w:val="en-CA"/>
        </w:rPr>
        <w:t>assets</w:t>
      </w:r>
      <w:r w:rsidRPr="00AF78D8">
        <w:rPr>
          <w:lang w:val="en-CA"/>
        </w:rPr>
        <w:t xml:space="preserve"> were seized during the </w:t>
      </w:r>
      <w:r w:rsidR="00585DB3" w:rsidRPr="00AF78D8">
        <w:rPr>
          <w:lang w:val="en-CA"/>
        </w:rPr>
        <w:t>execution</w:t>
      </w:r>
      <w:r w:rsidRPr="00AF78D8">
        <w:rPr>
          <w:lang w:val="en-CA"/>
        </w:rPr>
        <w:t xml:space="preserve"> of multiple judicial authorizations in </w:t>
      </w:r>
      <w:r w:rsidR="00DD58BB" w:rsidRPr="00AF78D8">
        <w:rPr>
          <w:lang w:val="en-CA"/>
        </w:rPr>
        <w:t xml:space="preserve">Quebec </w:t>
      </w:r>
      <w:r w:rsidRPr="00AF78D8">
        <w:rPr>
          <w:lang w:val="en-CA"/>
        </w:rPr>
        <w:t>and British Columbia</w:t>
      </w:r>
      <w:r w:rsidR="00CC0DA6">
        <w:rPr>
          <w:lang w:val="en-CA"/>
        </w:rPr>
        <w:t xml:space="preserve"> (t</w:t>
      </w:r>
      <w:r w:rsidRPr="00AF78D8">
        <w:rPr>
          <w:lang w:val="en-CA"/>
        </w:rPr>
        <w:t>hose concerning the applicant</w:t>
      </w:r>
      <w:r w:rsidR="000625EC" w:rsidRPr="00AF78D8">
        <w:rPr>
          <w:lang w:val="en-CA"/>
        </w:rPr>
        <w:t>s</w:t>
      </w:r>
      <w:r w:rsidRPr="00AF78D8">
        <w:rPr>
          <w:lang w:val="en-CA"/>
        </w:rPr>
        <w:t xml:space="preserve"> </w:t>
      </w:r>
      <w:r w:rsidR="000625EC" w:rsidRPr="00AF78D8">
        <w:rPr>
          <w:lang w:val="en-CA"/>
        </w:rPr>
        <w:t>are</w:t>
      </w:r>
      <w:r w:rsidRPr="00AF78D8">
        <w:rPr>
          <w:lang w:val="en-CA"/>
        </w:rPr>
        <w:t xml:space="preserve"> listed in the title of this application</w:t>
      </w:r>
      <w:r w:rsidR="00CC0DA6">
        <w:rPr>
          <w:lang w:val="en-CA"/>
        </w:rPr>
        <w:t>)</w:t>
      </w:r>
      <w:r w:rsidR="00656AF4" w:rsidRPr="00AF78D8">
        <w:rPr>
          <w:lang w:val="en-CA"/>
        </w:rPr>
        <w:t xml:space="preserve">, </w:t>
      </w:r>
      <w:r w:rsidR="00B234D9" w:rsidRPr="00AF78D8">
        <w:rPr>
          <w:lang w:val="en-CA"/>
        </w:rPr>
        <w:t>as well as</w:t>
      </w:r>
      <w:r w:rsidR="00656AF4" w:rsidRPr="00AF78D8">
        <w:rPr>
          <w:lang w:val="en-CA"/>
        </w:rPr>
        <w:t xml:space="preserve"> through warrantless seizures.</w:t>
      </w:r>
    </w:p>
    <w:p w:rsidR="00A96209" w:rsidRPr="00AF78D8" w:rsidRDefault="00EC66C6" w:rsidP="000748F5">
      <w:pPr>
        <w:pStyle w:val="Paragraphe"/>
        <w:tabs>
          <w:tab w:val="clear" w:pos="360"/>
          <w:tab w:val="num" w:pos="709"/>
        </w:tabs>
        <w:spacing w:line="240" w:lineRule="auto"/>
        <w:rPr>
          <w:lang w:val="en-CA"/>
        </w:rPr>
      </w:pPr>
      <w:r w:rsidRPr="00AF78D8">
        <w:rPr>
          <w:lang w:val="en-CA"/>
        </w:rPr>
        <w:t xml:space="preserve">Other </w:t>
      </w:r>
      <w:r w:rsidR="00FA3570" w:rsidRPr="00AF78D8">
        <w:rPr>
          <w:lang w:val="en-CA"/>
        </w:rPr>
        <w:t>assets</w:t>
      </w:r>
      <w:r w:rsidRPr="00AF78D8">
        <w:rPr>
          <w:lang w:val="en-CA"/>
        </w:rPr>
        <w:t xml:space="preserve"> were subject to restraint orders as offence</w:t>
      </w:r>
      <w:r w:rsidR="000625EC" w:rsidRPr="00AF78D8">
        <w:rPr>
          <w:lang w:val="en-CA"/>
        </w:rPr>
        <w:t>-</w:t>
      </w:r>
      <w:r w:rsidRPr="00AF78D8">
        <w:rPr>
          <w:lang w:val="en-CA"/>
        </w:rPr>
        <w:t>related property or the proceeds of crime</w:t>
      </w:r>
      <w:r w:rsidR="00CC0DA6">
        <w:rPr>
          <w:lang w:val="en-CA"/>
        </w:rPr>
        <w:t>,</w:t>
      </w:r>
      <w:r w:rsidRPr="00AF78D8">
        <w:rPr>
          <w:lang w:val="en-CA"/>
        </w:rPr>
        <w:t xml:space="preserve"> as </w:t>
      </w:r>
      <w:r w:rsidR="00CC0DA6">
        <w:rPr>
          <w:lang w:val="en-CA"/>
        </w:rPr>
        <w:t xml:space="preserve">it </w:t>
      </w:r>
      <w:r w:rsidRPr="00AF78D8">
        <w:rPr>
          <w:lang w:val="en-CA"/>
        </w:rPr>
        <w:t>appears from exhibit R-2.</w:t>
      </w:r>
      <w:r w:rsidR="00A96209" w:rsidRPr="00AF78D8">
        <w:rPr>
          <w:lang w:val="en-CA"/>
        </w:rPr>
        <w:t xml:space="preserve"> </w:t>
      </w:r>
      <w:r w:rsidR="000625EC" w:rsidRPr="00AF78D8">
        <w:rPr>
          <w:lang w:val="en-CA"/>
        </w:rPr>
        <w:t>Specifically,</w:t>
      </w:r>
      <w:r w:rsidRPr="00AF78D8">
        <w:rPr>
          <w:lang w:val="en-CA"/>
        </w:rPr>
        <w:t xml:space="preserve"> </w:t>
      </w:r>
      <w:r w:rsidR="00CC0DA6">
        <w:rPr>
          <w:lang w:val="en-CA"/>
        </w:rPr>
        <w:t xml:space="preserve">this property includes </w:t>
      </w:r>
      <w:r w:rsidR="002B3C43" w:rsidRPr="00AF78D8">
        <w:rPr>
          <w:lang w:val="en-CA"/>
        </w:rPr>
        <w:t>money</w:t>
      </w:r>
      <w:r w:rsidRPr="00AF78D8">
        <w:rPr>
          <w:lang w:val="en-CA"/>
        </w:rPr>
        <w:t>, immovables, bank accounts, documents</w:t>
      </w:r>
      <w:r w:rsidR="003A1849" w:rsidRPr="00AF78D8">
        <w:rPr>
          <w:lang w:val="en-CA"/>
        </w:rPr>
        <w:t>,</w:t>
      </w:r>
      <w:r w:rsidRPr="00AF78D8">
        <w:rPr>
          <w:lang w:val="en-CA"/>
        </w:rPr>
        <w:t xml:space="preserve"> and a ring.</w:t>
      </w:r>
    </w:p>
    <w:p w:rsidR="00A96209" w:rsidRPr="00AF78D8" w:rsidRDefault="00020C09" w:rsidP="00620510">
      <w:pPr>
        <w:pStyle w:val="Paragraphe"/>
        <w:tabs>
          <w:tab w:val="clear" w:pos="360"/>
          <w:tab w:val="num" w:pos="709"/>
        </w:tabs>
        <w:suppressAutoHyphens/>
        <w:spacing w:line="240" w:lineRule="auto"/>
        <w:rPr>
          <w:lang w:val="en-CA"/>
        </w:rPr>
      </w:pPr>
      <w:r w:rsidRPr="00AF78D8">
        <w:rPr>
          <w:lang w:val="en-CA"/>
        </w:rPr>
        <w:t>S</w:t>
      </w:r>
      <w:r w:rsidR="004502CE" w:rsidRPr="00AF78D8">
        <w:rPr>
          <w:lang w:val="en-CA"/>
        </w:rPr>
        <w:t>earch warrants 500-26-082614-144, 500-26-082615-141, 500-26-082613-146</w:t>
      </w:r>
      <w:r w:rsidRPr="00AF78D8">
        <w:rPr>
          <w:lang w:val="en-CA"/>
        </w:rPr>
        <w:t>,</w:t>
      </w:r>
      <w:r w:rsidR="004502CE" w:rsidRPr="00AF78D8">
        <w:rPr>
          <w:lang w:val="en-CA"/>
        </w:rPr>
        <w:t xml:space="preserve"> and 500-26-082931-142</w:t>
      </w:r>
      <w:r w:rsidRPr="00AF78D8">
        <w:rPr>
          <w:lang w:val="en-CA"/>
        </w:rPr>
        <w:t xml:space="preserve"> were issued under s. 487 </w:t>
      </w:r>
      <w:r w:rsidRPr="00AF78D8">
        <w:rPr>
          <w:i/>
          <w:iCs/>
          <w:lang w:val="en-CA"/>
        </w:rPr>
        <w:t>Cr. C</w:t>
      </w:r>
      <w:r w:rsidRPr="00AF78D8">
        <w:rPr>
          <w:lang w:val="en-CA"/>
        </w:rPr>
        <w:t>.</w:t>
      </w:r>
      <w:r w:rsidR="00CB7114">
        <w:rPr>
          <w:lang w:val="en-CA"/>
        </w:rPr>
        <w:t xml:space="preserve"> T</w:t>
      </w:r>
      <w:r w:rsidR="004502CE" w:rsidRPr="00AF78D8">
        <w:rPr>
          <w:lang w:val="en-CA"/>
        </w:rPr>
        <w:t xml:space="preserve">he property seized in British Columbia was </w:t>
      </w:r>
      <w:r w:rsidR="00412852" w:rsidRPr="00AF78D8">
        <w:rPr>
          <w:lang w:val="en-CA"/>
        </w:rPr>
        <w:t>cash</w:t>
      </w:r>
      <w:r w:rsidR="004502CE" w:rsidRPr="00AF78D8">
        <w:rPr>
          <w:lang w:val="en-CA"/>
        </w:rPr>
        <w:t xml:space="preserve"> and documents.</w:t>
      </w:r>
    </w:p>
    <w:p w:rsidR="00A96209" w:rsidRPr="00AF78D8" w:rsidRDefault="00917CFE" w:rsidP="000748F5">
      <w:pPr>
        <w:pStyle w:val="Paragraphe"/>
        <w:tabs>
          <w:tab w:val="clear" w:pos="360"/>
          <w:tab w:val="num" w:pos="709"/>
        </w:tabs>
        <w:spacing w:line="240" w:lineRule="auto"/>
        <w:rPr>
          <w:lang w:val="en-CA"/>
        </w:rPr>
      </w:pPr>
      <w:r w:rsidRPr="00AF78D8">
        <w:rPr>
          <w:lang w:val="en-CA"/>
        </w:rPr>
        <w:lastRenderedPageBreak/>
        <w:t>Search warrants 500-26-077860-132, 500-26-077668-139, 500-26-077670-135, 500-26-077750-135, 500-26-077672-131</w:t>
      </w:r>
      <w:r w:rsidR="00020C09" w:rsidRPr="00AF78D8">
        <w:rPr>
          <w:lang w:val="en-CA"/>
        </w:rPr>
        <w:t>,</w:t>
      </w:r>
      <w:r w:rsidRPr="00AF78D8">
        <w:rPr>
          <w:lang w:val="en-CA"/>
        </w:rPr>
        <w:t xml:space="preserve"> and 500-26-077679-136 were issued under </w:t>
      </w:r>
      <w:r w:rsidR="00020C09" w:rsidRPr="00AF78D8">
        <w:rPr>
          <w:lang w:val="en-CA"/>
        </w:rPr>
        <w:t>s. </w:t>
      </w:r>
      <w:r w:rsidRPr="00AF78D8">
        <w:rPr>
          <w:lang w:val="en-CA"/>
        </w:rPr>
        <w:t xml:space="preserve">11 of the </w:t>
      </w:r>
      <w:r w:rsidRPr="00AF78D8">
        <w:rPr>
          <w:i/>
          <w:iCs/>
          <w:lang w:val="en-CA"/>
        </w:rPr>
        <w:t>CDSA</w:t>
      </w:r>
      <w:r w:rsidR="00CB7114">
        <w:rPr>
          <w:i/>
          <w:iCs/>
          <w:lang w:val="en-CA"/>
        </w:rPr>
        <w:t>.</w:t>
      </w:r>
      <w:r w:rsidRPr="00AF78D8">
        <w:rPr>
          <w:lang w:val="en-CA"/>
        </w:rPr>
        <w:t xml:space="preserve"> </w:t>
      </w:r>
      <w:r w:rsidR="00CB7114">
        <w:rPr>
          <w:lang w:val="en-CA"/>
        </w:rPr>
        <w:t>T</w:t>
      </w:r>
      <w:r w:rsidRPr="00AF78D8">
        <w:rPr>
          <w:lang w:val="en-CA"/>
        </w:rPr>
        <w:t xml:space="preserve">he property seized in Montreal </w:t>
      </w:r>
      <w:r w:rsidR="00020C09" w:rsidRPr="00AF78D8">
        <w:rPr>
          <w:lang w:val="en-CA"/>
        </w:rPr>
        <w:t>was</w:t>
      </w:r>
      <w:r w:rsidRPr="00AF78D8">
        <w:rPr>
          <w:lang w:val="en-CA"/>
        </w:rPr>
        <w:t xml:space="preserve"> </w:t>
      </w:r>
      <w:r w:rsidR="002B3C43" w:rsidRPr="00AF78D8">
        <w:rPr>
          <w:lang w:val="en-CA"/>
        </w:rPr>
        <w:t>money</w:t>
      </w:r>
      <w:r w:rsidRPr="00AF78D8">
        <w:rPr>
          <w:lang w:val="en-CA"/>
        </w:rPr>
        <w:t>, documents, items that the Crown consider</w:t>
      </w:r>
      <w:r w:rsidR="00020C09" w:rsidRPr="00AF78D8">
        <w:rPr>
          <w:lang w:val="en-CA"/>
        </w:rPr>
        <w:t>s</w:t>
      </w:r>
      <w:r w:rsidRPr="00AF78D8">
        <w:rPr>
          <w:lang w:val="en-CA"/>
        </w:rPr>
        <w:t xml:space="preserve"> to be cannabis production equipment, a recorder/camera</w:t>
      </w:r>
      <w:r w:rsidR="00020C09" w:rsidRPr="00AF78D8">
        <w:rPr>
          <w:lang w:val="en-CA"/>
        </w:rPr>
        <w:t>,</w:t>
      </w:r>
      <w:r w:rsidRPr="00AF78D8">
        <w:rPr>
          <w:lang w:val="en-CA"/>
        </w:rPr>
        <w:t xml:space="preserve"> and </w:t>
      </w:r>
      <w:r w:rsidR="00412852" w:rsidRPr="00AF78D8">
        <w:rPr>
          <w:lang w:val="en-CA"/>
        </w:rPr>
        <w:t xml:space="preserve">a </w:t>
      </w:r>
      <w:r w:rsidRPr="00AF78D8">
        <w:rPr>
          <w:lang w:val="en-CA"/>
        </w:rPr>
        <w:t>computer.</w:t>
      </w:r>
    </w:p>
    <w:p w:rsidR="00A96209" w:rsidRPr="00AF78D8" w:rsidRDefault="00310825" w:rsidP="000748F5">
      <w:pPr>
        <w:pStyle w:val="Paragraphe"/>
        <w:tabs>
          <w:tab w:val="clear" w:pos="360"/>
          <w:tab w:val="num" w:pos="709"/>
        </w:tabs>
        <w:spacing w:line="240" w:lineRule="auto"/>
        <w:rPr>
          <w:lang w:val="en-CA"/>
        </w:rPr>
      </w:pPr>
      <w:r w:rsidRPr="00AF78D8">
        <w:rPr>
          <w:lang w:val="en-CA"/>
        </w:rPr>
        <w:t>File</w:t>
      </w:r>
      <w:r w:rsidR="00917CFE" w:rsidRPr="00AF78D8">
        <w:rPr>
          <w:lang w:val="en-CA"/>
        </w:rPr>
        <w:t xml:space="preserve"> 500-21-079604-133 was open</w:t>
      </w:r>
      <w:r w:rsidR="00020C09" w:rsidRPr="00AF78D8">
        <w:rPr>
          <w:lang w:val="en-CA"/>
        </w:rPr>
        <w:t>ed</w:t>
      </w:r>
      <w:r w:rsidR="00917CFE" w:rsidRPr="00AF78D8">
        <w:rPr>
          <w:lang w:val="en-CA"/>
        </w:rPr>
        <w:t xml:space="preserve"> following a warrantless seizure report to a justice of the peace </w:t>
      </w:r>
      <w:r w:rsidRPr="00AF78D8">
        <w:rPr>
          <w:lang w:val="en-CA"/>
        </w:rPr>
        <w:t>when</w:t>
      </w:r>
      <w:r w:rsidR="00917CFE" w:rsidRPr="00AF78D8">
        <w:rPr>
          <w:lang w:val="en-CA"/>
        </w:rPr>
        <w:t xml:space="preserve"> applicant Thi Huyen Nguyen</w:t>
      </w:r>
      <w:r w:rsidR="003A1849" w:rsidRPr="00AF78D8">
        <w:rPr>
          <w:lang w:val="en-CA"/>
        </w:rPr>
        <w:t>’</w:t>
      </w:r>
      <w:r w:rsidR="00917CFE" w:rsidRPr="00AF78D8">
        <w:rPr>
          <w:lang w:val="en-CA"/>
        </w:rPr>
        <w:t>s</w:t>
      </w:r>
      <w:r w:rsidRPr="00AF78D8">
        <w:rPr>
          <w:lang w:val="en-CA"/>
        </w:rPr>
        <w:t xml:space="preserve"> was</w:t>
      </w:r>
      <w:r w:rsidR="00917CFE" w:rsidRPr="00AF78D8">
        <w:rPr>
          <w:lang w:val="en-CA"/>
        </w:rPr>
        <w:t xml:space="preserve"> arrest</w:t>
      </w:r>
      <w:r w:rsidRPr="00AF78D8">
        <w:rPr>
          <w:lang w:val="en-CA"/>
        </w:rPr>
        <w:t>ed</w:t>
      </w:r>
      <w:r w:rsidR="00917CFE" w:rsidRPr="00AF78D8">
        <w:rPr>
          <w:lang w:val="en-CA"/>
        </w:rPr>
        <w:t>.</w:t>
      </w:r>
    </w:p>
    <w:p w:rsidR="00A96209" w:rsidRPr="00AF78D8" w:rsidRDefault="00917CFE" w:rsidP="000748F5">
      <w:pPr>
        <w:pStyle w:val="Paragraphe"/>
        <w:tabs>
          <w:tab w:val="clear" w:pos="360"/>
          <w:tab w:val="num" w:pos="709"/>
        </w:tabs>
        <w:spacing w:line="240" w:lineRule="auto"/>
        <w:rPr>
          <w:lang w:val="en-CA"/>
        </w:rPr>
      </w:pPr>
      <w:r w:rsidRPr="00AF78D8">
        <w:rPr>
          <w:lang w:val="en-CA"/>
        </w:rPr>
        <w:t xml:space="preserve">On June 25, 2013, restraint orders 500-38-017678-136 and 500-38-017680-132 were made under </w:t>
      </w:r>
      <w:r w:rsidR="00020C09" w:rsidRPr="00AF78D8">
        <w:rPr>
          <w:lang w:val="en-CA"/>
        </w:rPr>
        <w:t>s.</w:t>
      </w:r>
      <w:r w:rsidRPr="00AF78D8">
        <w:rPr>
          <w:lang w:val="en-CA"/>
        </w:rPr>
        <w:t xml:space="preserve"> 14 </w:t>
      </w:r>
      <w:r w:rsidRPr="00AF78D8">
        <w:rPr>
          <w:i/>
          <w:iCs/>
          <w:lang w:val="en-CA"/>
        </w:rPr>
        <w:t>et seq</w:t>
      </w:r>
      <w:r w:rsidRPr="00AF78D8">
        <w:rPr>
          <w:lang w:val="en-CA"/>
        </w:rPr>
        <w:t xml:space="preserve">. of the </w:t>
      </w:r>
      <w:r w:rsidRPr="00AF78D8">
        <w:rPr>
          <w:i/>
          <w:iCs/>
          <w:lang w:val="en-CA"/>
        </w:rPr>
        <w:t>CDSA</w:t>
      </w:r>
      <w:r w:rsidRPr="00AF78D8">
        <w:rPr>
          <w:lang w:val="en-CA"/>
        </w:rPr>
        <w:t xml:space="preserve"> </w:t>
      </w:r>
      <w:r w:rsidR="00020C09" w:rsidRPr="00AF78D8">
        <w:rPr>
          <w:lang w:val="en-CA"/>
        </w:rPr>
        <w:t>concerning</w:t>
      </w:r>
      <w:r w:rsidRPr="00AF78D8">
        <w:rPr>
          <w:lang w:val="en-CA"/>
        </w:rPr>
        <w:t xml:space="preserve"> money restrained instead of five immovables located in Montreal. </w:t>
      </w:r>
    </w:p>
    <w:p w:rsidR="00A96209" w:rsidRPr="00AF78D8" w:rsidRDefault="00917CFE" w:rsidP="000748F5">
      <w:pPr>
        <w:pStyle w:val="Paragraphe"/>
        <w:tabs>
          <w:tab w:val="clear" w:pos="360"/>
          <w:tab w:val="num" w:pos="709"/>
        </w:tabs>
        <w:spacing w:line="240" w:lineRule="auto"/>
        <w:rPr>
          <w:lang w:val="en-CA"/>
        </w:rPr>
      </w:pPr>
      <w:r w:rsidRPr="00AF78D8">
        <w:rPr>
          <w:lang w:val="en-CA"/>
        </w:rPr>
        <w:t xml:space="preserve">These orders were made in anticipation of potential applications for forfeiture of property under </w:t>
      </w:r>
      <w:r w:rsidR="00D97C91" w:rsidRPr="00AF78D8">
        <w:rPr>
          <w:lang w:val="en-CA"/>
        </w:rPr>
        <w:t>s.</w:t>
      </w:r>
      <w:r w:rsidRPr="00AF78D8">
        <w:rPr>
          <w:lang w:val="en-CA"/>
        </w:rPr>
        <w:t xml:space="preserve"> 16 </w:t>
      </w:r>
      <w:r w:rsidRPr="00AF78D8">
        <w:rPr>
          <w:i/>
          <w:iCs/>
          <w:lang w:val="en-CA"/>
        </w:rPr>
        <w:t>et seq.</w:t>
      </w:r>
      <w:r w:rsidRPr="00AF78D8">
        <w:rPr>
          <w:lang w:val="en-CA"/>
        </w:rPr>
        <w:t xml:space="preserve"> </w:t>
      </w:r>
      <w:r w:rsidRPr="00AF78D8">
        <w:rPr>
          <w:i/>
          <w:lang w:val="en-CA"/>
        </w:rPr>
        <w:t>CDSA</w:t>
      </w:r>
      <w:r w:rsidRPr="00AF78D8">
        <w:rPr>
          <w:lang w:val="en-CA"/>
        </w:rPr>
        <w:t>.</w:t>
      </w:r>
    </w:p>
    <w:p w:rsidR="00677A7E" w:rsidRPr="00AF78D8" w:rsidRDefault="00284FF7" w:rsidP="000748F5">
      <w:pPr>
        <w:pStyle w:val="Paragraphe"/>
        <w:tabs>
          <w:tab w:val="clear" w:pos="360"/>
          <w:tab w:val="num" w:pos="709"/>
        </w:tabs>
        <w:spacing w:line="240" w:lineRule="auto"/>
        <w:rPr>
          <w:lang w:val="en-CA"/>
        </w:rPr>
      </w:pPr>
      <w:r w:rsidRPr="00AF78D8">
        <w:rPr>
          <w:lang w:val="en-CA"/>
        </w:rPr>
        <w:t>The Crown alleges that the applicant Thi Hong Cun was the owner of one of the immovables</w:t>
      </w:r>
      <w:r w:rsidR="00DD61FA">
        <w:rPr>
          <w:lang w:val="en-CA"/>
        </w:rPr>
        <w:t>, namely the one</w:t>
      </w:r>
      <w:r w:rsidR="00CB7114">
        <w:rPr>
          <w:lang w:val="en-CA"/>
        </w:rPr>
        <w:t xml:space="preserve"> </w:t>
      </w:r>
      <w:r w:rsidRPr="00AF78D8">
        <w:rPr>
          <w:lang w:val="en-CA"/>
        </w:rPr>
        <w:t xml:space="preserve">located on </w:t>
      </w:r>
      <w:r w:rsidR="00DD61FA">
        <w:rPr>
          <w:lang w:val="en-CA"/>
        </w:rPr>
        <w:t>De L</w:t>
      </w:r>
      <w:r w:rsidR="00AA5320" w:rsidRPr="00AF78D8">
        <w:rPr>
          <w:lang w:val="en-CA"/>
        </w:rPr>
        <w:t>’</w:t>
      </w:r>
      <w:r w:rsidRPr="00AF78D8">
        <w:rPr>
          <w:lang w:val="en-CA"/>
        </w:rPr>
        <w:t xml:space="preserve">Assomption </w:t>
      </w:r>
      <w:r w:rsidR="00D97C91" w:rsidRPr="00AF78D8">
        <w:rPr>
          <w:lang w:val="en-CA"/>
        </w:rPr>
        <w:t>B</w:t>
      </w:r>
      <w:r w:rsidRPr="00AF78D8">
        <w:rPr>
          <w:lang w:val="en-CA"/>
        </w:rPr>
        <w:t>oulevard</w:t>
      </w:r>
      <w:r w:rsidR="00CB7114">
        <w:rPr>
          <w:lang w:val="en-CA"/>
        </w:rPr>
        <w:t>,</w:t>
      </w:r>
      <w:r w:rsidRPr="00AF78D8">
        <w:rPr>
          <w:lang w:val="en-CA"/>
        </w:rPr>
        <w:t xml:space="preserve"> and that she was involved in the </w:t>
      </w:r>
      <w:r w:rsidR="00D97C91" w:rsidRPr="00AF78D8">
        <w:rPr>
          <w:lang w:val="en-CA"/>
        </w:rPr>
        <w:t xml:space="preserve">plantation </w:t>
      </w:r>
      <w:r w:rsidR="0045035F" w:rsidRPr="00AF78D8">
        <w:rPr>
          <w:lang w:val="en-CA"/>
        </w:rPr>
        <w:t xml:space="preserve">in the </w:t>
      </w:r>
      <w:r w:rsidR="00D97C91" w:rsidRPr="00AF78D8">
        <w:rPr>
          <w:lang w:val="en-CA"/>
        </w:rPr>
        <w:t xml:space="preserve">immovable on </w:t>
      </w:r>
      <w:r w:rsidRPr="00AF78D8">
        <w:rPr>
          <w:lang w:val="en-CA"/>
        </w:rPr>
        <w:t>Châteauneuf Street</w:t>
      </w:r>
      <w:r w:rsidR="0045035F" w:rsidRPr="00AF78D8">
        <w:rPr>
          <w:lang w:val="en-CA"/>
        </w:rPr>
        <w:t>, which belonged to applicant Thi Huyen Nguyen</w:t>
      </w:r>
      <w:r w:rsidRPr="00AF78D8">
        <w:rPr>
          <w:lang w:val="en-CA"/>
        </w:rPr>
        <w:t>.</w:t>
      </w:r>
    </w:p>
    <w:p w:rsidR="00677A7E" w:rsidRPr="00AF78D8" w:rsidRDefault="00AA5320" w:rsidP="000748F5">
      <w:pPr>
        <w:pStyle w:val="Paragraphe"/>
        <w:tabs>
          <w:tab w:val="clear" w:pos="360"/>
          <w:tab w:val="num" w:pos="709"/>
        </w:tabs>
        <w:spacing w:line="240" w:lineRule="auto"/>
        <w:rPr>
          <w:lang w:val="en-CA"/>
        </w:rPr>
      </w:pPr>
      <w:r w:rsidRPr="00AF78D8">
        <w:rPr>
          <w:lang w:val="en-CA"/>
        </w:rPr>
        <w:t>The Crown intend</w:t>
      </w:r>
      <w:r w:rsidR="00BF719C" w:rsidRPr="00AF78D8">
        <w:rPr>
          <w:lang w:val="en-CA"/>
        </w:rPr>
        <w:t>s</w:t>
      </w:r>
      <w:r w:rsidRPr="00AF78D8">
        <w:rPr>
          <w:lang w:val="en-CA"/>
        </w:rPr>
        <w:t xml:space="preserve"> to prove that Manh Hung Nguyen, the co</w:t>
      </w:r>
      <w:r w:rsidR="001044DB" w:rsidRPr="00AF78D8">
        <w:rPr>
          <w:lang w:val="en-CA"/>
        </w:rPr>
        <w:t>-</w:t>
      </w:r>
      <w:r w:rsidRPr="00AF78D8">
        <w:rPr>
          <w:lang w:val="en-CA"/>
        </w:rPr>
        <w:t>accused who pleaded guilty to the production of cannabis</w:t>
      </w:r>
      <w:r w:rsidR="00BF719C" w:rsidRPr="00AF78D8">
        <w:rPr>
          <w:lang w:val="en-CA"/>
        </w:rPr>
        <w:t>,</w:t>
      </w:r>
      <w:r w:rsidRPr="00AF78D8">
        <w:rPr>
          <w:lang w:val="en-CA"/>
        </w:rPr>
        <w:t xml:space="preserve"> lived in the immovable on </w:t>
      </w:r>
      <w:r w:rsidR="00DD61FA">
        <w:rPr>
          <w:lang w:val="en-CA"/>
        </w:rPr>
        <w:t>De L</w:t>
      </w:r>
      <w:r w:rsidRPr="00AF78D8">
        <w:rPr>
          <w:lang w:val="en-CA"/>
        </w:rPr>
        <w:t>’Assomption Boulevard with his family, where 400 cannabis plants were seized</w:t>
      </w:r>
      <w:r w:rsidR="002B3C43" w:rsidRPr="00AF78D8">
        <w:rPr>
          <w:lang w:val="en-CA"/>
        </w:rPr>
        <w:t>,</w:t>
      </w:r>
      <w:r w:rsidRPr="00AF78D8">
        <w:rPr>
          <w:lang w:val="en-CA"/>
        </w:rPr>
        <w:t xml:space="preserve"> and that he tended to a plantation of 845 cannabis plants in the </w:t>
      </w:r>
      <w:r w:rsidR="0045035F" w:rsidRPr="00AF78D8">
        <w:rPr>
          <w:lang w:val="en-CA"/>
        </w:rPr>
        <w:t xml:space="preserve">immovable on </w:t>
      </w:r>
      <w:r w:rsidRPr="00AF78D8">
        <w:rPr>
          <w:lang w:val="en-CA"/>
        </w:rPr>
        <w:t>Châteauneuf Street.</w:t>
      </w:r>
    </w:p>
    <w:p w:rsidR="00677A7E" w:rsidRPr="00AF78D8" w:rsidRDefault="00AA5320" w:rsidP="000748F5">
      <w:pPr>
        <w:pStyle w:val="Paragraphe"/>
        <w:tabs>
          <w:tab w:val="clear" w:pos="360"/>
          <w:tab w:val="num" w:pos="709"/>
        </w:tabs>
        <w:spacing w:line="240" w:lineRule="auto"/>
        <w:rPr>
          <w:lang w:val="en-CA"/>
        </w:rPr>
      </w:pPr>
      <w:r w:rsidRPr="00AF78D8">
        <w:rPr>
          <w:lang w:val="en-CA"/>
        </w:rPr>
        <w:t xml:space="preserve">The Crown seeks the forfeiture of various </w:t>
      </w:r>
      <w:r w:rsidR="0088482C" w:rsidRPr="00AF78D8">
        <w:rPr>
          <w:lang w:val="en-CA"/>
        </w:rPr>
        <w:t>assets</w:t>
      </w:r>
      <w:r w:rsidRPr="00AF78D8">
        <w:rPr>
          <w:lang w:val="en-CA"/>
        </w:rPr>
        <w:t xml:space="preserve"> seized in the</w:t>
      </w:r>
      <w:r w:rsidR="00BF719C" w:rsidRPr="00AF78D8">
        <w:rPr>
          <w:lang w:val="en-CA"/>
        </w:rPr>
        <w:t>se</w:t>
      </w:r>
      <w:r w:rsidRPr="00AF78D8">
        <w:rPr>
          <w:lang w:val="en-CA"/>
        </w:rPr>
        <w:t xml:space="preserve"> five immovables and other </w:t>
      </w:r>
      <w:r w:rsidR="00BF719C" w:rsidRPr="00AF78D8">
        <w:rPr>
          <w:lang w:val="en-CA"/>
        </w:rPr>
        <w:t xml:space="preserve">searched </w:t>
      </w:r>
      <w:r w:rsidRPr="00AF78D8">
        <w:rPr>
          <w:lang w:val="en-CA"/>
        </w:rPr>
        <w:t xml:space="preserve">immovables connected to the accused as offence-related property within the meaning of the </w:t>
      </w:r>
      <w:r w:rsidRPr="00AF78D8">
        <w:rPr>
          <w:i/>
          <w:iCs/>
          <w:lang w:val="en-CA"/>
        </w:rPr>
        <w:t>CDSA</w:t>
      </w:r>
      <w:r w:rsidRPr="00AF78D8">
        <w:rPr>
          <w:lang w:val="en-CA"/>
        </w:rPr>
        <w:t>.</w:t>
      </w:r>
    </w:p>
    <w:p w:rsidR="00677A7E" w:rsidRPr="00AF78D8" w:rsidRDefault="00AA5320" w:rsidP="000748F5">
      <w:pPr>
        <w:pStyle w:val="Paragraphe"/>
        <w:tabs>
          <w:tab w:val="clear" w:pos="360"/>
          <w:tab w:val="num" w:pos="709"/>
        </w:tabs>
        <w:spacing w:line="240" w:lineRule="auto"/>
        <w:rPr>
          <w:lang w:val="en-CA"/>
        </w:rPr>
      </w:pPr>
      <w:r w:rsidRPr="00AF78D8">
        <w:rPr>
          <w:lang w:val="en-CA"/>
        </w:rPr>
        <w:t>Three of the five immovables were sold during the proceedings, but the positive balances were restrained instead.</w:t>
      </w:r>
      <w:r w:rsidR="00F16870" w:rsidRPr="00AF78D8">
        <w:rPr>
          <w:lang w:val="en-CA"/>
        </w:rPr>
        <w:t xml:space="preserve"> </w:t>
      </w:r>
      <w:r w:rsidRPr="00AF78D8">
        <w:rPr>
          <w:lang w:val="en-CA"/>
        </w:rPr>
        <w:t xml:space="preserve">These </w:t>
      </w:r>
      <w:r w:rsidR="00952727" w:rsidRPr="00AF78D8">
        <w:rPr>
          <w:lang w:val="en-CA"/>
        </w:rPr>
        <w:t>amounts</w:t>
      </w:r>
      <w:r w:rsidRPr="00AF78D8">
        <w:rPr>
          <w:lang w:val="en-CA"/>
        </w:rPr>
        <w:t xml:space="preserve"> are today the object of an application for </w:t>
      </w:r>
      <w:r w:rsidR="003A1849" w:rsidRPr="00AF78D8">
        <w:rPr>
          <w:lang w:val="en-CA"/>
        </w:rPr>
        <w:t>forfeiture</w:t>
      </w:r>
      <w:r w:rsidRPr="00AF78D8">
        <w:rPr>
          <w:lang w:val="en-CA"/>
        </w:rPr>
        <w:t xml:space="preserve"> by the Crown as offence-related property within the meaning of the </w:t>
      </w:r>
      <w:r w:rsidRPr="00AF78D8">
        <w:rPr>
          <w:i/>
          <w:iCs/>
          <w:lang w:val="en-CA"/>
        </w:rPr>
        <w:t>CDSA</w:t>
      </w:r>
      <w:r w:rsidRPr="00AF78D8">
        <w:rPr>
          <w:lang w:val="en-CA"/>
        </w:rPr>
        <w:t>.</w:t>
      </w:r>
    </w:p>
    <w:p w:rsidR="00F16870" w:rsidRPr="00AF78D8" w:rsidRDefault="00AA5320" w:rsidP="000748F5">
      <w:pPr>
        <w:pStyle w:val="Paragraphe"/>
        <w:tabs>
          <w:tab w:val="clear" w:pos="360"/>
          <w:tab w:val="num" w:pos="709"/>
        </w:tabs>
        <w:spacing w:line="240" w:lineRule="auto"/>
        <w:rPr>
          <w:lang w:val="en-CA"/>
        </w:rPr>
      </w:pPr>
      <w:r w:rsidRPr="00AF78D8">
        <w:rPr>
          <w:lang w:val="en-CA"/>
        </w:rPr>
        <w:t xml:space="preserve">The Crown </w:t>
      </w:r>
      <w:r w:rsidR="006B244D" w:rsidRPr="00AF78D8">
        <w:rPr>
          <w:lang w:val="en-CA"/>
        </w:rPr>
        <w:t>seeks</w:t>
      </w:r>
      <w:r w:rsidRPr="00AF78D8">
        <w:rPr>
          <w:lang w:val="en-CA"/>
        </w:rPr>
        <w:t xml:space="preserve"> the forfeiture of</w:t>
      </w:r>
      <w:r w:rsidR="00952727" w:rsidRPr="00AF78D8">
        <w:rPr>
          <w:lang w:val="en-CA"/>
        </w:rPr>
        <w:t xml:space="preserve"> the </w:t>
      </w:r>
      <w:r w:rsidRPr="00AF78D8">
        <w:rPr>
          <w:lang w:val="en-CA"/>
        </w:rPr>
        <w:t xml:space="preserve">$129,085.87 restrained </w:t>
      </w:r>
      <w:r w:rsidR="006B244D" w:rsidRPr="00AF78D8">
        <w:rPr>
          <w:lang w:val="en-CA"/>
        </w:rPr>
        <w:t>instead</w:t>
      </w:r>
      <w:r w:rsidRPr="00AF78D8">
        <w:rPr>
          <w:lang w:val="en-CA"/>
        </w:rPr>
        <w:t xml:space="preserve"> of the </w:t>
      </w:r>
      <w:r w:rsidR="00A03F0E">
        <w:rPr>
          <w:lang w:val="en-CA"/>
        </w:rPr>
        <w:t>immovable on De L</w:t>
      </w:r>
      <w:r w:rsidRPr="00AF78D8">
        <w:rPr>
          <w:lang w:val="en-CA"/>
        </w:rPr>
        <w:t xml:space="preserve">’Assomption </w:t>
      </w:r>
      <w:r w:rsidR="00952727" w:rsidRPr="00AF78D8">
        <w:rPr>
          <w:lang w:val="en-CA"/>
        </w:rPr>
        <w:t>B</w:t>
      </w:r>
      <w:r w:rsidRPr="00AF78D8">
        <w:rPr>
          <w:lang w:val="en-CA"/>
        </w:rPr>
        <w:t xml:space="preserve">oulevard owned by the applicant Thi Hong Cun and </w:t>
      </w:r>
      <w:r w:rsidR="00A03F0E">
        <w:rPr>
          <w:lang w:val="en-CA"/>
        </w:rPr>
        <w:t xml:space="preserve">of </w:t>
      </w:r>
      <w:r w:rsidRPr="00AF78D8">
        <w:rPr>
          <w:lang w:val="en-CA"/>
        </w:rPr>
        <w:t xml:space="preserve">the $84,565.19 restrained </w:t>
      </w:r>
      <w:r w:rsidR="006B244D" w:rsidRPr="00AF78D8">
        <w:rPr>
          <w:lang w:val="en-CA"/>
        </w:rPr>
        <w:t>instead</w:t>
      </w:r>
      <w:r w:rsidRPr="00AF78D8">
        <w:rPr>
          <w:lang w:val="en-CA"/>
        </w:rPr>
        <w:t xml:space="preserve"> of the immovable located on Châteauneuf Street owned by</w:t>
      </w:r>
      <w:r w:rsidR="00952727" w:rsidRPr="00AF78D8">
        <w:rPr>
          <w:lang w:val="en-CA"/>
        </w:rPr>
        <w:t xml:space="preserve"> the applicant</w:t>
      </w:r>
      <w:r w:rsidRPr="00AF78D8">
        <w:rPr>
          <w:lang w:val="en-CA"/>
        </w:rPr>
        <w:t xml:space="preserve"> Thi Hong Cun.</w:t>
      </w:r>
    </w:p>
    <w:p w:rsidR="00F16870" w:rsidRPr="00AF78D8" w:rsidRDefault="006B244D" w:rsidP="000748F5">
      <w:pPr>
        <w:pStyle w:val="Paragraphe"/>
        <w:tabs>
          <w:tab w:val="clear" w:pos="360"/>
          <w:tab w:val="num" w:pos="709"/>
        </w:tabs>
        <w:spacing w:line="240" w:lineRule="auto"/>
        <w:rPr>
          <w:lang w:val="en-CA"/>
        </w:rPr>
      </w:pPr>
      <w:r w:rsidRPr="00AF78D8">
        <w:rPr>
          <w:lang w:val="en-CA"/>
        </w:rPr>
        <w:t>R</w:t>
      </w:r>
      <w:r w:rsidR="00AA5320" w:rsidRPr="00AF78D8">
        <w:rPr>
          <w:lang w:val="en-CA"/>
        </w:rPr>
        <w:t xml:space="preserve">estraint orders 500-38-018621-143, 500-38-018617-141, 500-38-018671-148, and 500-38-018618-149 were made on April 24 and 30, 2014, </w:t>
      </w:r>
      <w:r w:rsidR="003C66E3" w:rsidRPr="00AF78D8">
        <w:rPr>
          <w:lang w:val="en-CA"/>
        </w:rPr>
        <w:t xml:space="preserve">pursuant to </w:t>
      </w:r>
      <w:r w:rsidR="00952727" w:rsidRPr="00AF78D8">
        <w:rPr>
          <w:lang w:val="en-CA"/>
        </w:rPr>
        <w:t>s.</w:t>
      </w:r>
      <w:r w:rsidR="00AA5320" w:rsidRPr="00AF78D8">
        <w:rPr>
          <w:lang w:val="en-CA"/>
        </w:rPr>
        <w:t xml:space="preserve"> 462.33 </w:t>
      </w:r>
      <w:r w:rsidR="00AA5320" w:rsidRPr="00AF78D8">
        <w:rPr>
          <w:i/>
          <w:iCs/>
          <w:lang w:val="en-CA"/>
        </w:rPr>
        <w:t>Cr.</w:t>
      </w:r>
      <w:r w:rsidR="003C66E3" w:rsidRPr="00AF78D8">
        <w:rPr>
          <w:i/>
          <w:iCs/>
          <w:lang w:val="en-CA"/>
        </w:rPr>
        <w:t> </w:t>
      </w:r>
      <w:r w:rsidR="00AA5320" w:rsidRPr="00AF78D8">
        <w:rPr>
          <w:i/>
          <w:iCs/>
          <w:lang w:val="en-CA"/>
        </w:rPr>
        <w:t>C</w:t>
      </w:r>
      <w:r w:rsidR="00AA5320" w:rsidRPr="00AF78D8">
        <w:rPr>
          <w:lang w:val="en-CA"/>
        </w:rPr>
        <w:t xml:space="preserve">. </w:t>
      </w:r>
      <w:r w:rsidR="00A03F0E">
        <w:rPr>
          <w:lang w:val="en-CA"/>
        </w:rPr>
        <w:t>in respect of</w:t>
      </w:r>
      <w:r w:rsidR="00AA5320" w:rsidRPr="00AF78D8">
        <w:rPr>
          <w:lang w:val="en-CA"/>
        </w:rPr>
        <w:t xml:space="preserve"> three immovables located in British Columbia and $29,4695 held in trust at a law firm for the applicant Alexandre Nguyen, as the justice of the peace was </w:t>
      </w:r>
      <w:r w:rsidR="00D625CC" w:rsidRPr="00AF78D8">
        <w:rPr>
          <w:lang w:val="en-CA"/>
        </w:rPr>
        <w:t>satisfied</w:t>
      </w:r>
      <w:r w:rsidR="00AA5320" w:rsidRPr="00AF78D8">
        <w:rPr>
          <w:lang w:val="en-CA"/>
        </w:rPr>
        <w:t xml:space="preserve"> that there were reasonable grounds to believe that this property could be th</w:t>
      </w:r>
      <w:r w:rsidR="003A1849" w:rsidRPr="00AF78D8">
        <w:rPr>
          <w:lang w:val="en-CA"/>
        </w:rPr>
        <w:t>e</w:t>
      </w:r>
      <w:r w:rsidR="00AA5320" w:rsidRPr="00AF78D8">
        <w:rPr>
          <w:lang w:val="en-CA"/>
        </w:rPr>
        <w:t xml:space="preserve"> </w:t>
      </w:r>
      <w:r w:rsidRPr="00AF78D8">
        <w:rPr>
          <w:lang w:val="en-CA"/>
        </w:rPr>
        <w:lastRenderedPageBreak/>
        <w:t xml:space="preserve">subject </w:t>
      </w:r>
      <w:r w:rsidR="00AA5320" w:rsidRPr="00AF78D8">
        <w:rPr>
          <w:lang w:val="en-CA"/>
        </w:rPr>
        <w:t xml:space="preserve">of an application for forfeiture as </w:t>
      </w:r>
      <w:r w:rsidR="004C43E6" w:rsidRPr="00AF78D8">
        <w:rPr>
          <w:lang w:val="en-CA"/>
        </w:rPr>
        <w:t>proceeds of crime</w:t>
      </w:r>
      <w:r w:rsidR="00AA5320" w:rsidRPr="00AF78D8">
        <w:rPr>
          <w:lang w:val="en-CA"/>
        </w:rPr>
        <w:t xml:space="preserve"> in accordance with </w:t>
      </w:r>
      <w:r w:rsidR="00952727" w:rsidRPr="00AF78D8">
        <w:rPr>
          <w:lang w:val="en-CA"/>
        </w:rPr>
        <w:t>s.</w:t>
      </w:r>
      <w:r w:rsidR="003C66E3" w:rsidRPr="00AF78D8">
        <w:rPr>
          <w:lang w:val="en-CA"/>
        </w:rPr>
        <w:t> </w:t>
      </w:r>
      <w:r w:rsidR="00AA5320" w:rsidRPr="00AF78D8">
        <w:rPr>
          <w:lang w:val="en-CA"/>
        </w:rPr>
        <w:t xml:space="preserve">462.37(2.01) or </w:t>
      </w:r>
      <w:r w:rsidR="003C66E3" w:rsidRPr="00AF78D8">
        <w:rPr>
          <w:lang w:val="en-CA"/>
        </w:rPr>
        <w:t xml:space="preserve">s. </w:t>
      </w:r>
      <w:r w:rsidR="00AA5320" w:rsidRPr="00AF78D8">
        <w:rPr>
          <w:lang w:val="en-CA"/>
        </w:rPr>
        <w:t xml:space="preserve">462.38(2) </w:t>
      </w:r>
      <w:r w:rsidR="00AA5320" w:rsidRPr="00AF78D8">
        <w:rPr>
          <w:i/>
          <w:iCs/>
          <w:lang w:val="en-CA"/>
        </w:rPr>
        <w:t>Cr. C</w:t>
      </w:r>
      <w:r w:rsidR="00AA5320" w:rsidRPr="00AF78D8">
        <w:rPr>
          <w:lang w:val="en-CA"/>
        </w:rPr>
        <w:t>.</w:t>
      </w:r>
    </w:p>
    <w:p w:rsidR="000F6919" w:rsidRPr="00AF78D8" w:rsidRDefault="00AA5320" w:rsidP="000748F5">
      <w:pPr>
        <w:pStyle w:val="Paragraphe"/>
        <w:tabs>
          <w:tab w:val="clear" w:pos="360"/>
          <w:tab w:val="num" w:pos="709"/>
        </w:tabs>
        <w:spacing w:line="240" w:lineRule="auto"/>
        <w:rPr>
          <w:lang w:val="en-CA"/>
        </w:rPr>
      </w:pPr>
      <w:r w:rsidRPr="00AF78D8">
        <w:rPr>
          <w:lang w:val="en-CA"/>
        </w:rPr>
        <w:t>Restraint orders 500-38-018622-141, 500-38-018623-149</w:t>
      </w:r>
      <w:r w:rsidR="00952727" w:rsidRPr="00AF78D8">
        <w:rPr>
          <w:lang w:val="en-CA"/>
        </w:rPr>
        <w:t>,</w:t>
      </w:r>
      <w:r w:rsidRPr="00AF78D8">
        <w:rPr>
          <w:lang w:val="en-CA"/>
        </w:rPr>
        <w:t xml:space="preserve"> and 500-38-018619-147 were made on April 24, 2014, </w:t>
      </w:r>
      <w:r w:rsidR="003C66E3" w:rsidRPr="00AF78D8">
        <w:rPr>
          <w:lang w:val="en-CA"/>
        </w:rPr>
        <w:t>pursuant to</w:t>
      </w:r>
      <w:r w:rsidRPr="00AF78D8">
        <w:rPr>
          <w:lang w:val="en-CA"/>
        </w:rPr>
        <w:t xml:space="preserve"> </w:t>
      </w:r>
      <w:r w:rsidR="00952727" w:rsidRPr="00AF78D8">
        <w:rPr>
          <w:lang w:val="en-CA"/>
        </w:rPr>
        <w:t>s.</w:t>
      </w:r>
      <w:r w:rsidRPr="00AF78D8">
        <w:rPr>
          <w:lang w:val="en-CA"/>
        </w:rPr>
        <w:t xml:space="preserve"> 462.33 </w:t>
      </w:r>
      <w:r w:rsidRPr="00AF78D8">
        <w:rPr>
          <w:i/>
          <w:iCs/>
          <w:lang w:val="en-CA"/>
        </w:rPr>
        <w:t>Cr. C</w:t>
      </w:r>
      <w:r w:rsidRPr="00AF78D8">
        <w:rPr>
          <w:lang w:val="en-CA"/>
        </w:rPr>
        <w:t>.</w:t>
      </w:r>
      <w:r w:rsidR="003C66E3" w:rsidRPr="00AF78D8">
        <w:rPr>
          <w:lang w:val="en-CA"/>
        </w:rPr>
        <w:t xml:space="preserve"> in respect of</w:t>
      </w:r>
      <w:r w:rsidR="001873F5" w:rsidRPr="00AF78D8">
        <w:rPr>
          <w:lang w:val="en-CA"/>
        </w:rPr>
        <w:t xml:space="preserve"> </w:t>
      </w:r>
      <w:r w:rsidRPr="00AF78D8">
        <w:rPr>
          <w:lang w:val="en-CA"/>
        </w:rPr>
        <w:t xml:space="preserve">offence-related property in accordance with </w:t>
      </w:r>
      <w:r w:rsidR="00952727" w:rsidRPr="00AF78D8">
        <w:rPr>
          <w:lang w:val="en-CA"/>
        </w:rPr>
        <w:t>s.</w:t>
      </w:r>
      <w:r w:rsidRPr="00AF78D8">
        <w:rPr>
          <w:lang w:val="en-CA"/>
        </w:rPr>
        <w:t xml:space="preserve"> 490.8 </w:t>
      </w:r>
      <w:r w:rsidRPr="00AF78D8">
        <w:rPr>
          <w:i/>
          <w:iCs/>
          <w:lang w:val="en-CA"/>
        </w:rPr>
        <w:t>Cr. C</w:t>
      </w:r>
      <w:r w:rsidRPr="00AF78D8">
        <w:rPr>
          <w:lang w:val="en-CA"/>
        </w:rPr>
        <w:t>.</w:t>
      </w:r>
    </w:p>
    <w:p w:rsidR="000F6919" w:rsidRPr="00AF78D8" w:rsidRDefault="00AA5320" w:rsidP="000748F5">
      <w:pPr>
        <w:pStyle w:val="Paragraphe"/>
        <w:tabs>
          <w:tab w:val="clear" w:pos="360"/>
          <w:tab w:val="num" w:pos="709"/>
        </w:tabs>
        <w:spacing w:line="240" w:lineRule="auto"/>
        <w:rPr>
          <w:lang w:val="en-CA"/>
        </w:rPr>
      </w:pPr>
      <w:r w:rsidRPr="00AF78D8">
        <w:rPr>
          <w:lang w:val="en-CA"/>
        </w:rPr>
        <w:t>They concern immovables and money in bank accounts in British Columbia.</w:t>
      </w:r>
      <w:r w:rsidR="000F6919" w:rsidRPr="00AF78D8">
        <w:rPr>
          <w:lang w:val="en-CA"/>
        </w:rPr>
        <w:t xml:space="preserve"> </w:t>
      </w:r>
      <w:r w:rsidR="003A1849" w:rsidRPr="00AF78D8">
        <w:rPr>
          <w:lang w:val="en-CA"/>
        </w:rPr>
        <w:t xml:space="preserve">They were issued because the judge was </w:t>
      </w:r>
      <w:r w:rsidR="00D625CC" w:rsidRPr="00AF78D8">
        <w:rPr>
          <w:lang w:val="en-CA"/>
        </w:rPr>
        <w:t>satisfied</w:t>
      </w:r>
      <w:r w:rsidR="003A1849" w:rsidRPr="00AF78D8">
        <w:rPr>
          <w:lang w:val="en-CA"/>
        </w:rPr>
        <w:t xml:space="preserve"> that there were reasonable grounds to believe that the property was offence-related property that </w:t>
      </w:r>
      <w:r w:rsidR="001873F5" w:rsidRPr="00AF78D8">
        <w:rPr>
          <w:lang w:val="en-CA"/>
        </w:rPr>
        <w:t xml:space="preserve">might </w:t>
      </w:r>
      <w:r w:rsidR="003A1849" w:rsidRPr="00AF78D8">
        <w:rPr>
          <w:lang w:val="en-CA"/>
        </w:rPr>
        <w:t xml:space="preserve">be the subject of </w:t>
      </w:r>
      <w:r w:rsidR="001873F5" w:rsidRPr="00AF78D8">
        <w:rPr>
          <w:lang w:val="en-CA"/>
        </w:rPr>
        <w:t>an</w:t>
      </w:r>
      <w:r w:rsidR="003A1849" w:rsidRPr="00AF78D8">
        <w:rPr>
          <w:lang w:val="en-CA"/>
        </w:rPr>
        <w:t xml:space="preserve"> order </w:t>
      </w:r>
      <w:r w:rsidR="001873F5" w:rsidRPr="00AF78D8">
        <w:rPr>
          <w:lang w:val="en-CA"/>
        </w:rPr>
        <w:t xml:space="preserve">of forfeiture </w:t>
      </w:r>
      <w:r w:rsidR="003A1849" w:rsidRPr="00AF78D8">
        <w:rPr>
          <w:lang w:val="en-CA"/>
        </w:rPr>
        <w:t xml:space="preserve">in accordance with </w:t>
      </w:r>
      <w:r w:rsidR="00952727" w:rsidRPr="00AF78D8">
        <w:rPr>
          <w:lang w:val="en-CA"/>
        </w:rPr>
        <w:t>s.</w:t>
      </w:r>
      <w:r w:rsidR="003A1849" w:rsidRPr="00AF78D8">
        <w:rPr>
          <w:lang w:val="en-CA"/>
        </w:rPr>
        <w:t xml:space="preserve"> 490.1 </w:t>
      </w:r>
      <w:r w:rsidR="003A1849" w:rsidRPr="00AF78D8">
        <w:rPr>
          <w:i/>
          <w:iCs/>
          <w:lang w:val="en-CA"/>
        </w:rPr>
        <w:t>Cr. C</w:t>
      </w:r>
      <w:r w:rsidR="003A1849" w:rsidRPr="00AF78D8">
        <w:rPr>
          <w:lang w:val="en-CA"/>
        </w:rPr>
        <w:t>. or a</w:t>
      </w:r>
      <w:r w:rsidR="00952727" w:rsidRPr="00AF78D8">
        <w:rPr>
          <w:lang w:val="en-CA"/>
        </w:rPr>
        <w:t>n</w:t>
      </w:r>
      <w:r w:rsidR="003A1849" w:rsidRPr="00AF78D8">
        <w:rPr>
          <w:lang w:val="en-CA"/>
        </w:rPr>
        <w:t xml:space="preserve"> </w:t>
      </w:r>
      <w:r w:rsidR="00952727" w:rsidRPr="00AF78D8">
        <w:rPr>
          <w:lang w:val="en-CA"/>
        </w:rPr>
        <w:t>order of forfeiture</w:t>
      </w:r>
      <w:r w:rsidR="003A1849" w:rsidRPr="00AF78D8">
        <w:rPr>
          <w:lang w:val="en-CA"/>
        </w:rPr>
        <w:t xml:space="preserve"> as </w:t>
      </w:r>
      <w:r w:rsidR="00952727" w:rsidRPr="00AF78D8">
        <w:rPr>
          <w:lang w:val="en-CA"/>
        </w:rPr>
        <w:t xml:space="preserve">proceeds of crime </w:t>
      </w:r>
      <w:r w:rsidR="003A1849" w:rsidRPr="00AF78D8">
        <w:rPr>
          <w:lang w:val="en-CA"/>
        </w:rPr>
        <w:t xml:space="preserve">in accordance with </w:t>
      </w:r>
      <w:r w:rsidR="00952727" w:rsidRPr="00AF78D8">
        <w:rPr>
          <w:lang w:val="en-CA"/>
        </w:rPr>
        <w:t>s.</w:t>
      </w:r>
      <w:r w:rsidR="003A1849" w:rsidRPr="00AF78D8">
        <w:rPr>
          <w:lang w:val="en-CA"/>
        </w:rPr>
        <w:t xml:space="preserve"> 462.37(2.01) or </w:t>
      </w:r>
      <w:r w:rsidR="00A03F0E">
        <w:rPr>
          <w:lang w:val="en-CA"/>
        </w:rPr>
        <w:t xml:space="preserve">s. </w:t>
      </w:r>
      <w:r w:rsidR="003A1849" w:rsidRPr="00AF78D8">
        <w:rPr>
          <w:lang w:val="en-CA"/>
        </w:rPr>
        <w:t xml:space="preserve">462.38(2) </w:t>
      </w:r>
      <w:r w:rsidR="003A1849" w:rsidRPr="00AF78D8">
        <w:rPr>
          <w:i/>
          <w:iCs/>
          <w:lang w:val="en-CA"/>
        </w:rPr>
        <w:t>Cr. C</w:t>
      </w:r>
      <w:r w:rsidR="003A1849" w:rsidRPr="00AF78D8">
        <w:rPr>
          <w:lang w:val="en-CA"/>
        </w:rPr>
        <w:t>.</w:t>
      </w:r>
    </w:p>
    <w:p w:rsidR="000F6919" w:rsidRPr="00AF78D8" w:rsidRDefault="003A1849" w:rsidP="000748F5">
      <w:pPr>
        <w:pStyle w:val="Paragraphe"/>
        <w:tabs>
          <w:tab w:val="clear" w:pos="360"/>
          <w:tab w:val="num" w:pos="709"/>
        </w:tabs>
        <w:spacing w:line="240" w:lineRule="auto"/>
        <w:rPr>
          <w:lang w:val="en-CA"/>
        </w:rPr>
      </w:pPr>
      <w:r w:rsidRPr="00AF78D8">
        <w:rPr>
          <w:lang w:val="en-CA"/>
        </w:rPr>
        <w:t>Money in Canadian, American</w:t>
      </w:r>
      <w:r w:rsidR="00585DB3" w:rsidRPr="00AF78D8">
        <w:rPr>
          <w:lang w:val="en-CA"/>
        </w:rPr>
        <w:t>,</w:t>
      </w:r>
      <w:r w:rsidRPr="00AF78D8">
        <w:rPr>
          <w:lang w:val="en-CA"/>
        </w:rPr>
        <w:t xml:space="preserve"> and European currencies, as well as gift cards and bank account balances</w:t>
      </w:r>
      <w:r w:rsidR="00A03F0E">
        <w:rPr>
          <w:lang w:val="en-CA"/>
        </w:rPr>
        <w:t>,</w:t>
      </w:r>
      <w:r w:rsidRPr="00AF78D8">
        <w:rPr>
          <w:lang w:val="en-CA"/>
        </w:rPr>
        <w:t xml:space="preserve"> were also seized during the searches executed </w:t>
      </w:r>
      <w:r w:rsidR="000C7FA8" w:rsidRPr="00AF78D8">
        <w:rPr>
          <w:lang w:val="en-CA"/>
        </w:rPr>
        <w:t>at</w:t>
      </w:r>
      <w:r w:rsidRPr="00AF78D8">
        <w:rPr>
          <w:lang w:val="en-CA"/>
        </w:rPr>
        <w:t xml:space="preserve"> each phase of the investigation.</w:t>
      </w:r>
    </w:p>
    <w:p w:rsidR="00B42D17" w:rsidRPr="00AF78D8" w:rsidRDefault="003A1849" w:rsidP="000748F5">
      <w:pPr>
        <w:pStyle w:val="Paragraphe"/>
        <w:tabs>
          <w:tab w:val="clear" w:pos="360"/>
          <w:tab w:val="num" w:pos="709"/>
        </w:tabs>
        <w:spacing w:line="240" w:lineRule="auto"/>
        <w:rPr>
          <w:lang w:val="en-CA"/>
        </w:rPr>
      </w:pPr>
      <w:r w:rsidRPr="00AF78D8">
        <w:rPr>
          <w:lang w:val="en-CA"/>
        </w:rPr>
        <w:t xml:space="preserve">The Crown asks that </w:t>
      </w:r>
      <w:r w:rsidR="001873F5" w:rsidRPr="00AF78D8">
        <w:rPr>
          <w:lang w:val="en-CA"/>
        </w:rPr>
        <w:t xml:space="preserve">it </w:t>
      </w:r>
      <w:r w:rsidRPr="00AF78D8">
        <w:rPr>
          <w:lang w:val="en-CA"/>
        </w:rPr>
        <w:t xml:space="preserve">be </w:t>
      </w:r>
      <w:r w:rsidR="0005247D" w:rsidRPr="00AF78D8">
        <w:rPr>
          <w:lang w:val="en-CA"/>
        </w:rPr>
        <w:t>forfeited</w:t>
      </w:r>
      <w:r w:rsidRPr="00AF78D8">
        <w:rPr>
          <w:lang w:val="en-CA"/>
        </w:rPr>
        <w:t xml:space="preserve"> as proceeds of crime</w:t>
      </w:r>
      <w:r w:rsidR="00880FBB" w:rsidRPr="00AF78D8">
        <w:rPr>
          <w:lang w:val="en-CA"/>
        </w:rPr>
        <w:t>. I</w:t>
      </w:r>
      <w:r w:rsidR="000C7FA8" w:rsidRPr="00AF78D8">
        <w:rPr>
          <w:lang w:val="en-CA"/>
        </w:rPr>
        <w:t>t</w:t>
      </w:r>
      <w:r w:rsidRPr="00AF78D8">
        <w:rPr>
          <w:lang w:val="en-CA"/>
        </w:rPr>
        <w:t xml:space="preserve"> intends to </w:t>
      </w:r>
      <w:r w:rsidR="00880FBB" w:rsidRPr="00AF78D8">
        <w:rPr>
          <w:lang w:val="en-CA"/>
        </w:rPr>
        <w:t>adduce evidence of</w:t>
      </w:r>
      <w:r w:rsidR="007F325E" w:rsidRPr="00AF78D8">
        <w:rPr>
          <w:lang w:val="en-CA"/>
        </w:rPr>
        <w:t xml:space="preserve"> </w:t>
      </w:r>
      <w:r w:rsidRPr="00AF78D8">
        <w:rPr>
          <w:lang w:val="en-CA"/>
        </w:rPr>
        <w:t>the results of the searches, the observation and surveillance reports, the forensic accountant reports</w:t>
      </w:r>
      <w:r w:rsidR="00D828AA" w:rsidRPr="00AF78D8">
        <w:rPr>
          <w:lang w:val="en-CA"/>
        </w:rPr>
        <w:t>,</w:t>
      </w:r>
      <w:r w:rsidRPr="00AF78D8">
        <w:rPr>
          <w:lang w:val="en-CA"/>
        </w:rPr>
        <w:t xml:space="preserve"> </w:t>
      </w:r>
      <w:r w:rsidR="000C7FA8" w:rsidRPr="00AF78D8">
        <w:rPr>
          <w:lang w:val="en-CA"/>
        </w:rPr>
        <w:t>and the</w:t>
      </w:r>
      <w:r w:rsidRPr="00AF78D8">
        <w:rPr>
          <w:lang w:val="en-CA"/>
        </w:rPr>
        <w:t xml:space="preserve"> extensive documentary evidence. </w:t>
      </w:r>
    </w:p>
    <w:p w:rsidR="00B42D17" w:rsidRPr="00AF78D8" w:rsidRDefault="003A1849" w:rsidP="000748F5">
      <w:pPr>
        <w:pStyle w:val="Paragraphe"/>
        <w:tabs>
          <w:tab w:val="clear" w:pos="360"/>
          <w:tab w:val="num" w:pos="709"/>
        </w:tabs>
        <w:spacing w:line="240" w:lineRule="auto"/>
        <w:rPr>
          <w:lang w:val="en-CA"/>
        </w:rPr>
      </w:pPr>
      <w:r w:rsidRPr="00AF78D8">
        <w:rPr>
          <w:lang w:val="en-CA"/>
        </w:rPr>
        <w:t>The Crown alleges that in 2013, the investigation revealed that five immovables were used or had been used as residential plantations controlled by one of the co-accused.</w:t>
      </w:r>
      <w:r w:rsidR="00B42D17" w:rsidRPr="00AF78D8">
        <w:rPr>
          <w:lang w:val="en-CA"/>
        </w:rPr>
        <w:t xml:space="preserve"> </w:t>
      </w:r>
      <w:r w:rsidRPr="00AF78D8">
        <w:rPr>
          <w:lang w:val="en-CA"/>
        </w:rPr>
        <w:t>These immovables were generally not inhabited by the accused</w:t>
      </w:r>
      <w:r w:rsidR="00F237EC">
        <w:rPr>
          <w:lang w:val="en-CA"/>
        </w:rPr>
        <w:t>. They</w:t>
      </w:r>
      <w:r w:rsidRPr="00AF78D8">
        <w:rPr>
          <w:lang w:val="en-CA"/>
        </w:rPr>
        <w:t xml:space="preserve"> were the owners and appeared to look after a plantation located in the immovable </w:t>
      </w:r>
      <w:r w:rsidR="00880FBB" w:rsidRPr="00AF78D8">
        <w:rPr>
          <w:lang w:val="en-CA"/>
        </w:rPr>
        <w:t>of</w:t>
      </w:r>
      <w:r w:rsidRPr="00AF78D8">
        <w:rPr>
          <w:lang w:val="en-CA"/>
        </w:rPr>
        <w:t xml:space="preserve"> another family member who </w:t>
      </w:r>
      <w:r w:rsidR="00D828AA" w:rsidRPr="00AF78D8">
        <w:rPr>
          <w:lang w:val="en-CA"/>
        </w:rPr>
        <w:t>was</w:t>
      </w:r>
      <w:r w:rsidRPr="00AF78D8">
        <w:rPr>
          <w:lang w:val="en-CA"/>
        </w:rPr>
        <w:t xml:space="preserve"> also charged in the same file.</w:t>
      </w:r>
    </w:p>
    <w:p w:rsidR="00B42D17" w:rsidRPr="00AF78D8" w:rsidRDefault="003A1849" w:rsidP="000748F5">
      <w:pPr>
        <w:pStyle w:val="Paragraphe"/>
        <w:tabs>
          <w:tab w:val="clear" w:pos="360"/>
          <w:tab w:val="num" w:pos="709"/>
        </w:tabs>
        <w:spacing w:line="240" w:lineRule="auto"/>
        <w:rPr>
          <w:lang w:val="en-CA"/>
        </w:rPr>
      </w:pPr>
      <w:r w:rsidRPr="00AF78D8">
        <w:rPr>
          <w:lang w:val="en-CA"/>
        </w:rPr>
        <w:t>The Crown intended to connect each of the co-accused to the counts concerning them.</w:t>
      </w:r>
    </w:p>
    <w:p w:rsidR="00B42D17" w:rsidRPr="00AF78D8" w:rsidRDefault="003A1849" w:rsidP="000748F5">
      <w:pPr>
        <w:pStyle w:val="Paragraphe"/>
        <w:tabs>
          <w:tab w:val="clear" w:pos="360"/>
          <w:tab w:val="num" w:pos="709"/>
        </w:tabs>
        <w:spacing w:line="240" w:lineRule="auto"/>
        <w:rPr>
          <w:lang w:val="en-CA"/>
        </w:rPr>
      </w:pPr>
      <w:r w:rsidRPr="00AF78D8">
        <w:rPr>
          <w:lang w:val="en-CA"/>
        </w:rPr>
        <w:t xml:space="preserve">On November 25, 2016, Manh hung Nguyen pleaded guilty </w:t>
      </w:r>
      <w:r w:rsidR="00D828AA" w:rsidRPr="00AF78D8">
        <w:rPr>
          <w:lang w:val="en-CA"/>
        </w:rPr>
        <w:t>to</w:t>
      </w:r>
      <w:r w:rsidRPr="00AF78D8">
        <w:rPr>
          <w:lang w:val="en-CA"/>
        </w:rPr>
        <w:t xml:space="preserve"> producing cannabis in Montreal between November 28, 2012, and June 19, 2013.</w:t>
      </w:r>
      <w:r w:rsidR="00B42D17" w:rsidRPr="00AF78D8">
        <w:rPr>
          <w:lang w:val="en-CA"/>
        </w:rPr>
        <w:t xml:space="preserve"> </w:t>
      </w:r>
      <w:r w:rsidRPr="00AF78D8">
        <w:rPr>
          <w:lang w:val="en-CA"/>
        </w:rPr>
        <w:t>He was given a sentence of 12 months</w:t>
      </w:r>
      <w:r w:rsidR="00D828AA" w:rsidRPr="00AF78D8">
        <w:rPr>
          <w:lang w:val="en-CA"/>
        </w:rPr>
        <w:t>’</w:t>
      </w:r>
      <w:r w:rsidRPr="00AF78D8">
        <w:rPr>
          <w:lang w:val="en-CA"/>
        </w:rPr>
        <w:t xml:space="preserve"> imprisonment.</w:t>
      </w:r>
    </w:p>
    <w:p w:rsidR="008F307C" w:rsidRPr="00AF78D8" w:rsidRDefault="003A1849" w:rsidP="000748F5">
      <w:pPr>
        <w:pStyle w:val="Paragraphe"/>
        <w:tabs>
          <w:tab w:val="clear" w:pos="360"/>
          <w:tab w:val="num" w:pos="709"/>
        </w:tabs>
        <w:spacing w:line="240" w:lineRule="auto"/>
        <w:rPr>
          <w:lang w:val="en-CA"/>
        </w:rPr>
      </w:pPr>
      <w:r w:rsidRPr="00AF78D8">
        <w:rPr>
          <w:lang w:val="en-CA"/>
        </w:rPr>
        <w:t>On that same date, the Crown stated that it did not have evidence to adduce with respect to two of the co-accused.</w:t>
      </w:r>
      <w:r w:rsidR="00B42D17" w:rsidRPr="00AF78D8">
        <w:rPr>
          <w:lang w:val="en-CA"/>
        </w:rPr>
        <w:t xml:space="preserve"> </w:t>
      </w:r>
    </w:p>
    <w:p w:rsidR="00B42D17" w:rsidRPr="00AF78D8" w:rsidRDefault="003A1849" w:rsidP="000748F5">
      <w:pPr>
        <w:pStyle w:val="Paragraphe"/>
        <w:tabs>
          <w:tab w:val="clear" w:pos="360"/>
          <w:tab w:val="num" w:pos="709"/>
        </w:tabs>
        <w:spacing w:line="240" w:lineRule="auto"/>
        <w:rPr>
          <w:lang w:val="en-CA"/>
        </w:rPr>
      </w:pPr>
      <w:r w:rsidRPr="00AF78D8">
        <w:rPr>
          <w:lang w:val="en-CA"/>
        </w:rPr>
        <w:t>The three applicants were charged</w:t>
      </w:r>
      <w:r w:rsidR="00F237EC">
        <w:rPr>
          <w:lang w:val="en-CA"/>
        </w:rPr>
        <w:t xml:space="preserve"> with</w:t>
      </w:r>
      <w:r w:rsidR="00D828AA" w:rsidRPr="00AF78D8">
        <w:rPr>
          <w:lang w:val="en-CA"/>
        </w:rPr>
        <w:t xml:space="preserve">, </w:t>
      </w:r>
      <w:r w:rsidR="00D828AA" w:rsidRPr="00AF78D8">
        <w:rPr>
          <w:i/>
          <w:iCs/>
          <w:lang w:val="en-CA"/>
        </w:rPr>
        <w:t>inter alia</w:t>
      </w:r>
      <w:r w:rsidR="00D828AA" w:rsidRPr="00AF78D8">
        <w:rPr>
          <w:lang w:val="en-CA"/>
        </w:rPr>
        <w:t>,</w:t>
      </w:r>
      <w:r w:rsidRPr="00AF78D8">
        <w:rPr>
          <w:lang w:val="en-CA"/>
        </w:rPr>
        <w:t xml:space="preserve"> conspiracy to produce cannabis in Montreal during the same period</w:t>
      </w:r>
      <w:r w:rsidR="00F237EC">
        <w:rPr>
          <w:lang w:val="en-CA"/>
        </w:rPr>
        <w:t>,</w:t>
      </w:r>
      <w:r w:rsidRPr="00AF78D8">
        <w:rPr>
          <w:lang w:val="en-CA"/>
        </w:rPr>
        <w:t xml:space="preserve"> and two of the three applicants</w:t>
      </w:r>
      <w:r w:rsidR="00D828AA" w:rsidRPr="00AF78D8">
        <w:rPr>
          <w:lang w:val="en-CA"/>
        </w:rPr>
        <w:t>,</w:t>
      </w:r>
      <w:r w:rsidRPr="00AF78D8">
        <w:rPr>
          <w:lang w:val="en-CA"/>
        </w:rPr>
        <w:t xml:space="preserve"> Thi Nuyen Nguyen and Thi Hong Cun, were also charged with producing cannabis in Montreal between November 28, 2012, and June 19, 2013.</w:t>
      </w:r>
    </w:p>
    <w:p w:rsidR="001C6ED1" w:rsidRPr="00AF78D8" w:rsidRDefault="003A1849" w:rsidP="000748F5">
      <w:pPr>
        <w:pStyle w:val="Paragraphe"/>
        <w:tabs>
          <w:tab w:val="clear" w:pos="360"/>
          <w:tab w:val="num" w:pos="709"/>
        </w:tabs>
        <w:spacing w:line="240" w:lineRule="auto"/>
        <w:rPr>
          <w:lang w:val="en-CA"/>
        </w:rPr>
      </w:pPr>
      <w:r w:rsidRPr="00AF78D8">
        <w:rPr>
          <w:lang w:val="en-CA"/>
        </w:rPr>
        <w:t>On December 15, 2017, the Honourable Pierre Dupras of the Court of Qu</w:t>
      </w:r>
      <w:r w:rsidR="001044DB" w:rsidRPr="00AF78D8">
        <w:rPr>
          <w:lang w:val="en-CA"/>
        </w:rPr>
        <w:t>é</w:t>
      </w:r>
      <w:r w:rsidRPr="00AF78D8">
        <w:rPr>
          <w:lang w:val="en-CA"/>
        </w:rPr>
        <w:t xml:space="preserve">bec, acting </w:t>
      </w:r>
      <w:r w:rsidR="00D828AA" w:rsidRPr="00AF78D8">
        <w:rPr>
          <w:lang w:val="en-CA"/>
        </w:rPr>
        <w:t>as</w:t>
      </w:r>
      <w:r w:rsidRPr="00AF78D8">
        <w:rPr>
          <w:lang w:val="en-CA"/>
        </w:rPr>
        <w:t xml:space="preserve"> case management judge under </w:t>
      </w:r>
      <w:r w:rsidR="00D828AA" w:rsidRPr="00AF78D8">
        <w:rPr>
          <w:lang w:val="en-CA"/>
        </w:rPr>
        <w:t>s.</w:t>
      </w:r>
      <w:r w:rsidRPr="00AF78D8">
        <w:rPr>
          <w:lang w:val="en-CA"/>
        </w:rPr>
        <w:t xml:space="preserve"> 551.1 </w:t>
      </w:r>
      <w:r w:rsidRPr="00AF78D8">
        <w:rPr>
          <w:i/>
          <w:iCs/>
          <w:lang w:val="en-CA"/>
        </w:rPr>
        <w:t>Cr. C.,</w:t>
      </w:r>
      <w:r w:rsidRPr="00AF78D8">
        <w:rPr>
          <w:lang w:val="en-CA"/>
        </w:rPr>
        <w:t xml:space="preserve"> ordered </w:t>
      </w:r>
      <w:r w:rsidR="00F237EC">
        <w:rPr>
          <w:lang w:val="en-CA"/>
        </w:rPr>
        <w:t>a</w:t>
      </w:r>
      <w:r w:rsidRPr="00AF78D8">
        <w:rPr>
          <w:lang w:val="en-CA"/>
        </w:rPr>
        <w:t xml:space="preserve"> stay of proceedings </w:t>
      </w:r>
      <w:r w:rsidRPr="00AF78D8">
        <w:rPr>
          <w:lang w:val="en-CA"/>
        </w:rPr>
        <w:lastRenderedPageBreak/>
        <w:t>due to unreasonable delay</w:t>
      </w:r>
      <w:r w:rsidR="00D828AA" w:rsidRPr="00AF78D8">
        <w:rPr>
          <w:lang w:val="en-CA"/>
        </w:rPr>
        <w:t>s</w:t>
      </w:r>
      <w:r w:rsidRPr="00AF78D8">
        <w:rPr>
          <w:rStyle w:val="Appelnotedebasdep"/>
          <w:lang w:val="en-CA"/>
        </w:rPr>
        <w:footnoteReference w:id="1"/>
      </w:r>
      <w:r w:rsidRPr="00AF78D8">
        <w:rPr>
          <w:lang w:val="en-CA"/>
        </w:rPr>
        <w:t xml:space="preserve"> in the file, </w:t>
      </w:r>
      <w:r w:rsidR="00807612" w:rsidRPr="00AF78D8">
        <w:rPr>
          <w:lang w:val="en-CA"/>
        </w:rPr>
        <w:t xml:space="preserve">which </w:t>
      </w:r>
      <w:r w:rsidRPr="00AF78D8">
        <w:rPr>
          <w:lang w:val="en-CA"/>
        </w:rPr>
        <w:t>at the time</w:t>
      </w:r>
      <w:r w:rsidR="00807612" w:rsidRPr="00AF78D8">
        <w:rPr>
          <w:lang w:val="en-CA"/>
        </w:rPr>
        <w:t xml:space="preserve"> concerned</w:t>
      </w:r>
      <w:r w:rsidRPr="00AF78D8">
        <w:rPr>
          <w:lang w:val="en-CA"/>
        </w:rPr>
        <w:t xml:space="preserve"> eight co-accused, </w:t>
      </w:r>
      <w:r w:rsidR="00F91717" w:rsidRPr="00AF78D8">
        <w:rPr>
          <w:lang w:val="en-CA"/>
        </w:rPr>
        <w:t>including</w:t>
      </w:r>
      <w:r w:rsidRPr="00AF78D8">
        <w:rPr>
          <w:lang w:val="en-CA"/>
        </w:rPr>
        <w:t xml:space="preserve"> the</w:t>
      </w:r>
      <w:r w:rsidR="00D828AA" w:rsidRPr="00AF78D8">
        <w:rPr>
          <w:lang w:val="en-CA"/>
        </w:rPr>
        <w:t xml:space="preserve"> three</w:t>
      </w:r>
      <w:r w:rsidRPr="00AF78D8">
        <w:rPr>
          <w:lang w:val="en-CA"/>
        </w:rPr>
        <w:t xml:space="preserve"> applicants in th</w:t>
      </w:r>
      <w:r w:rsidR="00D828AA" w:rsidRPr="00AF78D8">
        <w:rPr>
          <w:lang w:val="en-CA"/>
        </w:rPr>
        <w:t>e present</w:t>
      </w:r>
      <w:r w:rsidRPr="00AF78D8">
        <w:rPr>
          <w:lang w:val="en-CA"/>
        </w:rPr>
        <w:t xml:space="preserve"> application to dismiss.</w:t>
      </w:r>
    </w:p>
    <w:p w:rsidR="00C15C06" w:rsidRPr="00AF78D8" w:rsidRDefault="003A1849" w:rsidP="000748F5">
      <w:pPr>
        <w:pStyle w:val="Paragraphe"/>
        <w:tabs>
          <w:tab w:val="clear" w:pos="360"/>
          <w:tab w:val="num" w:pos="709"/>
        </w:tabs>
        <w:spacing w:line="240" w:lineRule="auto"/>
        <w:rPr>
          <w:lang w:val="en-CA"/>
        </w:rPr>
      </w:pPr>
      <w:r w:rsidRPr="00AF78D8">
        <w:rPr>
          <w:lang w:val="en-CA"/>
        </w:rPr>
        <w:t>On October 3, 2019, the Court of Appeal of Quebec dismissed the Crown</w:t>
      </w:r>
      <w:r w:rsidR="00D828AA" w:rsidRPr="00AF78D8">
        <w:rPr>
          <w:lang w:val="en-CA"/>
        </w:rPr>
        <w:t>’</w:t>
      </w:r>
      <w:r w:rsidRPr="00AF78D8">
        <w:rPr>
          <w:lang w:val="en-CA"/>
        </w:rPr>
        <w:t>s appeal.</w:t>
      </w:r>
      <w:r w:rsidRPr="00AF78D8">
        <w:rPr>
          <w:rStyle w:val="Appelnotedebasdep"/>
          <w:lang w:val="en-CA"/>
        </w:rPr>
        <w:footnoteReference w:id="2"/>
      </w:r>
    </w:p>
    <w:p w:rsidR="00C15C06" w:rsidRPr="00AF78D8" w:rsidRDefault="00F91717" w:rsidP="000748F5">
      <w:pPr>
        <w:pStyle w:val="Paragraphe"/>
        <w:tabs>
          <w:tab w:val="clear" w:pos="360"/>
          <w:tab w:val="num" w:pos="709"/>
        </w:tabs>
        <w:spacing w:line="240" w:lineRule="auto"/>
        <w:rPr>
          <w:lang w:val="en-CA"/>
        </w:rPr>
      </w:pPr>
      <w:r w:rsidRPr="00AF78D8">
        <w:rPr>
          <w:lang w:val="en-CA"/>
        </w:rPr>
        <w:t xml:space="preserve">On November 6, 2019, the respondent sent the applicants a request to place the case on the roll for December 20, 2019, seeking to dispose of the </w:t>
      </w:r>
      <w:r w:rsidR="001044DB" w:rsidRPr="00AF78D8">
        <w:rPr>
          <w:lang w:val="en-CA"/>
        </w:rPr>
        <w:t>property</w:t>
      </w:r>
      <w:r w:rsidRPr="00AF78D8">
        <w:rPr>
          <w:lang w:val="en-CA"/>
        </w:rPr>
        <w:t xml:space="preserve"> seized and restrained and informing them that a formal </w:t>
      </w:r>
      <w:r w:rsidR="00B5385D" w:rsidRPr="00AF78D8">
        <w:rPr>
          <w:lang w:val="en-CA"/>
        </w:rPr>
        <w:t xml:space="preserve">application </w:t>
      </w:r>
      <w:r w:rsidRPr="00AF78D8">
        <w:rPr>
          <w:lang w:val="en-CA"/>
        </w:rPr>
        <w:t>would follow.</w:t>
      </w:r>
    </w:p>
    <w:p w:rsidR="00C15C06" w:rsidRPr="00AF78D8" w:rsidRDefault="00D33B9A" w:rsidP="000748F5">
      <w:pPr>
        <w:pStyle w:val="Paragraphe"/>
        <w:tabs>
          <w:tab w:val="clear" w:pos="360"/>
          <w:tab w:val="num" w:pos="709"/>
        </w:tabs>
        <w:spacing w:line="240" w:lineRule="auto"/>
        <w:rPr>
          <w:lang w:val="en-CA"/>
        </w:rPr>
      </w:pPr>
      <w:r w:rsidRPr="00AF78D8">
        <w:rPr>
          <w:lang w:val="en-CA"/>
        </w:rPr>
        <w:t xml:space="preserve">On November 19, 2019, the respondent sent </w:t>
      </w:r>
      <w:r w:rsidR="009E6234" w:rsidRPr="00AF78D8">
        <w:rPr>
          <w:lang w:val="en-CA"/>
        </w:rPr>
        <w:t xml:space="preserve">the applicants </w:t>
      </w:r>
      <w:r w:rsidRPr="00AF78D8">
        <w:rPr>
          <w:lang w:val="en-CA"/>
        </w:rPr>
        <w:t>a draft application</w:t>
      </w:r>
      <w:r w:rsidR="009E6234" w:rsidRPr="00AF78D8">
        <w:rPr>
          <w:lang w:val="en-CA"/>
        </w:rPr>
        <w:t xml:space="preserve"> </w:t>
      </w:r>
      <w:r w:rsidRPr="00AF78D8">
        <w:rPr>
          <w:lang w:val="en-CA"/>
        </w:rPr>
        <w:t xml:space="preserve">under 490(9) </w:t>
      </w:r>
      <w:r w:rsidRPr="00AF78D8">
        <w:rPr>
          <w:i/>
          <w:iCs/>
          <w:lang w:val="en-CA"/>
        </w:rPr>
        <w:t>Cr.</w:t>
      </w:r>
      <w:r w:rsidR="009E6234" w:rsidRPr="00AF78D8">
        <w:rPr>
          <w:i/>
          <w:iCs/>
          <w:lang w:val="en-CA"/>
        </w:rPr>
        <w:t> </w:t>
      </w:r>
      <w:r w:rsidRPr="00AF78D8">
        <w:rPr>
          <w:i/>
          <w:iCs/>
          <w:lang w:val="en-CA"/>
        </w:rPr>
        <w:t>C</w:t>
      </w:r>
      <w:r w:rsidRPr="00AF78D8">
        <w:rPr>
          <w:lang w:val="en-CA"/>
        </w:rPr>
        <w:t xml:space="preserve">. </w:t>
      </w:r>
      <w:r w:rsidR="00851152">
        <w:rPr>
          <w:lang w:val="en-CA"/>
        </w:rPr>
        <w:t>seeking</w:t>
      </w:r>
      <w:r w:rsidRPr="00AF78D8">
        <w:rPr>
          <w:lang w:val="en-CA"/>
        </w:rPr>
        <w:t xml:space="preserve"> the forfeiture of certain property</w:t>
      </w:r>
      <w:r w:rsidR="009E6234" w:rsidRPr="00AF78D8">
        <w:rPr>
          <w:lang w:val="en-CA"/>
        </w:rPr>
        <w:t xml:space="preserve">, specifically, </w:t>
      </w:r>
      <w:r w:rsidR="000A6A6D" w:rsidRPr="00AF78D8">
        <w:rPr>
          <w:lang w:val="en-CA"/>
        </w:rPr>
        <w:t xml:space="preserve">the </w:t>
      </w:r>
      <w:r w:rsidR="009E6234" w:rsidRPr="00AF78D8">
        <w:rPr>
          <w:lang w:val="en-CA"/>
        </w:rPr>
        <w:t>property seized and restrained that the respondent considered offence-related property or proceeds of crime,</w:t>
      </w:r>
      <w:r w:rsidRPr="00AF78D8">
        <w:rPr>
          <w:lang w:val="en-CA"/>
        </w:rPr>
        <w:t xml:space="preserve"> on the ground</w:t>
      </w:r>
      <w:r w:rsidR="00851152">
        <w:rPr>
          <w:lang w:val="en-CA"/>
        </w:rPr>
        <w:t>s</w:t>
      </w:r>
      <w:r w:rsidRPr="00AF78D8">
        <w:rPr>
          <w:lang w:val="en-CA"/>
        </w:rPr>
        <w:t xml:space="preserve"> that </w:t>
      </w:r>
      <w:r w:rsidR="00B5385D" w:rsidRPr="00AF78D8">
        <w:rPr>
          <w:lang w:val="en-CA"/>
        </w:rPr>
        <w:t>it was</w:t>
      </w:r>
      <w:r w:rsidRPr="00AF78D8">
        <w:rPr>
          <w:lang w:val="en-CA"/>
        </w:rPr>
        <w:t xml:space="preserve"> </w:t>
      </w:r>
      <w:r w:rsidR="002D486A" w:rsidRPr="00AF78D8">
        <w:rPr>
          <w:lang w:val="en-CA"/>
        </w:rPr>
        <w:t>[</w:t>
      </w:r>
      <w:r w:rsidR="002D486A" w:rsidRPr="00AF78D8">
        <w:rPr>
          <w:smallCaps/>
          <w:lang w:val="en-CA"/>
        </w:rPr>
        <w:t>translation</w:t>
      </w:r>
      <w:r w:rsidR="002D486A" w:rsidRPr="00AF78D8">
        <w:rPr>
          <w:lang w:val="en-CA"/>
        </w:rPr>
        <w:t>] “</w:t>
      </w:r>
      <w:r w:rsidRPr="00AF78D8">
        <w:rPr>
          <w:lang w:val="en-CA"/>
        </w:rPr>
        <w:t xml:space="preserve">tainted by </w:t>
      </w:r>
      <w:r w:rsidR="002D486A" w:rsidRPr="00AF78D8">
        <w:rPr>
          <w:lang w:val="en-CA"/>
        </w:rPr>
        <w:t>illegality”</w:t>
      </w:r>
      <w:r w:rsidRPr="00AF78D8">
        <w:rPr>
          <w:lang w:val="en-CA"/>
        </w:rPr>
        <w:t xml:space="preserve">, </w:t>
      </w:r>
      <w:r w:rsidR="00851152">
        <w:rPr>
          <w:lang w:val="en-CA"/>
        </w:rPr>
        <w:t>as well as</w:t>
      </w:r>
      <w:r w:rsidR="00585DB3" w:rsidRPr="00AF78D8">
        <w:rPr>
          <w:lang w:val="en-CA"/>
        </w:rPr>
        <w:t xml:space="preserve"> the</w:t>
      </w:r>
      <w:r w:rsidRPr="00AF78D8">
        <w:rPr>
          <w:lang w:val="en-CA"/>
        </w:rPr>
        <w:t xml:space="preserve"> return of certain other</w:t>
      </w:r>
      <w:r w:rsidR="009E6234" w:rsidRPr="00AF78D8">
        <w:rPr>
          <w:lang w:val="en-CA"/>
        </w:rPr>
        <w:t xml:space="preserve"> property</w:t>
      </w:r>
      <w:r w:rsidRPr="00AF78D8">
        <w:rPr>
          <w:lang w:val="en-CA"/>
        </w:rPr>
        <w:t>.</w:t>
      </w:r>
    </w:p>
    <w:p w:rsidR="00C15C06" w:rsidRPr="00AF78D8" w:rsidRDefault="00D33B9A" w:rsidP="000748F5">
      <w:pPr>
        <w:pStyle w:val="Paragraphe"/>
        <w:tabs>
          <w:tab w:val="clear" w:pos="360"/>
          <w:tab w:val="num" w:pos="709"/>
        </w:tabs>
        <w:spacing w:line="240" w:lineRule="auto"/>
        <w:rPr>
          <w:lang w:val="en-CA"/>
        </w:rPr>
      </w:pPr>
      <w:r w:rsidRPr="00AF78D8">
        <w:rPr>
          <w:lang w:val="en-CA"/>
        </w:rPr>
        <w:t xml:space="preserve">On October 15, 2020, the three applicants filed before the Court of </w:t>
      </w:r>
      <w:r w:rsidR="00C80D6E" w:rsidRPr="00AF78D8">
        <w:rPr>
          <w:lang w:val="en-CA"/>
        </w:rPr>
        <w:t xml:space="preserve">Québec </w:t>
      </w:r>
      <w:r w:rsidRPr="00AF78D8">
        <w:rPr>
          <w:lang w:val="en-CA"/>
        </w:rPr>
        <w:t xml:space="preserve">an application for the return of </w:t>
      </w:r>
      <w:r w:rsidR="00851152">
        <w:rPr>
          <w:lang w:val="en-CA"/>
        </w:rPr>
        <w:t xml:space="preserve">things </w:t>
      </w:r>
      <w:r w:rsidRPr="00AF78D8">
        <w:rPr>
          <w:lang w:val="en-CA"/>
        </w:rPr>
        <w:t xml:space="preserve">seized and property subject to restraint orders under </w:t>
      </w:r>
      <w:r w:rsidR="00C80D6E" w:rsidRPr="00AF78D8">
        <w:rPr>
          <w:lang w:val="en-CA"/>
        </w:rPr>
        <w:t>ss.</w:t>
      </w:r>
      <w:r w:rsidRPr="00AF78D8">
        <w:rPr>
          <w:lang w:val="en-CA"/>
        </w:rPr>
        <w:t xml:space="preserve"> 490(7) and 490(9)(c) of the </w:t>
      </w:r>
      <w:r w:rsidRPr="00AF78D8">
        <w:rPr>
          <w:i/>
          <w:iCs/>
          <w:lang w:val="en-CA"/>
        </w:rPr>
        <w:t>Cr. C</w:t>
      </w:r>
      <w:r w:rsidRPr="00AF78D8">
        <w:rPr>
          <w:lang w:val="en-CA"/>
        </w:rPr>
        <w:t>. That application is still pending.</w:t>
      </w:r>
    </w:p>
    <w:p w:rsidR="006A23B2" w:rsidRPr="00AF78D8" w:rsidRDefault="00D33B9A" w:rsidP="000748F5">
      <w:pPr>
        <w:pStyle w:val="Paragraphe"/>
        <w:tabs>
          <w:tab w:val="clear" w:pos="360"/>
          <w:tab w:val="num" w:pos="709"/>
        </w:tabs>
        <w:spacing w:line="240" w:lineRule="auto"/>
        <w:rPr>
          <w:lang w:val="en-CA"/>
        </w:rPr>
      </w:pPr>
      <w:r w:rsidRPr="00AF78D8">
        <w:rPr>
          <w:lang w:val="en-CA"/>
        </w:rPr>
        <w:t>On January 15, 2021, the applicants received an amended version of the respondent</w:t>
      </w:r>
      <w:r w:rsidR="00C80D6E" w:rsidRPr="00AF78D8">
        <w:rPr>
          <w:lang w:val="en-CA"/>
        </w:rPr>
        <w:t>’</w:t>
      </w:r>
      <w:r w:rsidRPr="00AF78D8">
        <w:rPr>
          <w:lang w:val="en-CA"/>
        </w:rPr>
        <w:t xml:space="preserve">s draft application </w:t>
      </w:r>
      <w:r w:rsidR="00F91717" w:rsidRPr="00AF78D8">
        <w:rPr>
          <w:lang w:val="en-CA"/>
        </w:rPr>
        <w:t>announcing</w:t>
      </w:r>
      <w:r w:rsidRPr="00AF78D8">
        <w:rPr>
          <w:lang w:val="en-CA"/>
        </w:rPr>
        <w:t xml:space="preserve"> that the latter also intended to </w:t>
      </w:r>
      <w:r w:rsidR="00EB71F5" w:rsidRPr="00AF78D8">
        <w:rPr>
          <w:lang w:val="en-CA"/>
        </w:rPr>
        <w:t>seek</w:t>
      </w:r>
      <w:r w:rsidRPr="00AF78D8">
        <w:rPr>
          <w:lang w:val="en-CA"/>
        </w:rPr>
        <w:t xml:space="preserve"> the forfeiture of </w:t>
      </w:r>
      <w:r w:rsidR="00F91717" w:rsidRPr="00AF78D8">
        <w:rPr>
          <w:lang w:val="en-CA"/>
        </w:rPr>
        <w:t>certain</w:t>
      </w:r>
      <w:r w:rsidRPr="00AF78D8">
        <w:rPr>
          <w:lang w:val="en-CA"/>
        </w:rPr>
        <w:t xml:space="preserve"> property under s. 462.37(2) </w:t>
      </w:r>
      <w:r w:rsidRPr="00AF78D8">
        <w:rPr>
          <w:i/>
          <w:iCs/>
          <w:lang w:val="en-CA"/>
        </w:rPr>
        <w:t>Cr.</w:t>
      </w:r>
      <w:r w:rsidR="00F91717" w:rsidRPr="00AF78D8">
        <w:rPr>
          <w:i/>
          <w:iCs/>
          <w:lang w:val="en-CA"/>
        </w:rPr>
        <w:t xml:space="preserve"> </w:t>
      </w:r>
      <w:r w:rsidRPr="00AF78D8">
        <w:rPr>
          <w:i/>
          <w:iCs/>
          <w:lang w:val="en-CA"/>
        </w:rPr>
        <w:t>C</w:t>
      </w:r>
      <w:r w:rsidRPr="00AF78D8">
        <w:rPr>
          <w:lang w:val="en-CA"/>
        </w:rPr>
        <w:t xml:space="preserve">. and </w:t>
      </w:r>
      <w:r w:rsidR="00891FA3">
        <w:rPr>
          <w:lang w:val="en-CA"/>
        </w:rPr>
        <w:t xml:space="preserve">s. </w:t>
      </w:r>
      <w:r w:rsidRPr="00AF78D8">
        <w:rPr>
          <w:lang w:val="en-CA"/>
        </w:rPr>
        <w:t xml:space="preserve">16(2) </w:t>
      </w:r>
      <w:r w:rsidRPr="00AF78D8">
        <w:rPr>
          <w:i/>
          <w:iCs/>
          <w:lang w:val="en-CA"/>
        </w:rPr>
        <w:t>CDSA</w:t>
      </w:r>
      <w:r w:rsidRPr="00AF78D8">
        <w:rPr>
          <w:lang w:val="en-CA"/>
        </w:rPr>
        <w:t>.</w:t>
      </w:r>
    </w:p>
    <w:p w:rsidR="006A23B2" w:rsidRPr="00AF78D8" w:rsidRDefault="00D33B9A" w:rsidP="000748F5">
      <w:pPr>
        <w:pStyle w:val="Paragraphe"/>
        <w:tabs>
          <w:tab w:val="clear" w:pos="360"/>
          <w:tab w:val="num" w:pos="709"/>
        </w:tabs>
        <w:spacing w:line="240" w:lineRule="auto"/>
        <w:rPr>
          <w:lang w:val="en-CA"/>
        </w:rPr>
      </w:pPr>
      <w:r w:rsidRPr="00AF78D8">
        <w:rPr>
          <w:lang w:val="en-CA"/>
        </w:rPr>
        <w:t>The respondent consent</w:t>
      </w:r>
      <w:r w:rsidR="000A6A6D" w:rsidRPr="00AF78D8">
        <w:rPr>
          <w:lang w:val="en-CA"/>
        </w:rPr>
        <w:t>ed</w:t>
      </w:r>
      <w:r w:rsidRPr="00AF78D8">
        <w:rPr>
          <w:lang w:val="en-CA"/>
        </w:rPr>
        <w:t xml:space="preserve"> to</w:t>
      </w:r>
      <w:r w:rsidR="00A94D71" w:rsidRPr="00AF78D8">
        <w:rPr>
          <w:lang w:val="en-CA"/>
        </w:rPr>
        <w:t xml:space="preserve"> </w:t>
      </w:r>
      <w:r w:rsidR="00C80D6E" w:rsidRPr="00AF78D8">
        <w:rPr>
          <w:lang w:val="en-CA"/>
        </w:rPr>
        <w:t>return</w:t>
      </w:r>
      <w:r w:rsidR="00A94D71" w:rsidRPr="00AF78D8">
        <w:rPr>
          <w:lang w:val="en-CA"/>
        </w:rPr>
        <w:t xml:space="preserve"> </w:t>
      </w:r>
      <w:r w:rsidRPr="00AF78D8">
        <w:rPr>
          <w:lang w:val="en-CA"/>
        </w:rPr>
        <w:t xml:space="preserve">all documents seized </w:t>
      </w:r>
      <w:r w:rsidR="00891FA3">
        <w:rPr>
          <w:lang w:val="en-CA"/>
        </w:rPr>
        <w:t>as well as</w:t>
      </w:r>
      <w:r w:rsidRPr="00AF78D8">
        <w:rPr>
          <w:lang w:val="en-CA"/>
        </w:rPr>
        <w:t xml:space="preserve"> a ring</w:t>
      </w:r>
      <w:r w:rsidR="009F3D50" w:rsidRPr="00AF78D8">
        <w:rPr>
          <w:lang w:val="en-CA"/>
        </w:rPr>
        <w:t xml:space="preserve"> to the applicants</w:t>
      </w:r>
      <w:r w:rsidRPr="00AF78D8">
        <w:rPr>
          <w:lang w:val="en-CA"/>
        </w:rPr>
        <w:t>.</w:t>
      </w:r>
      <w:r w:rsidR="006A23B2" w:rsidRPr="00AF78D8">
        <w:rPr>
          <w:lang w:val="en-CA"/>
        </w:rPr>
        <w:t xml:space="preserve"> </w:t>
      </w:r>
      <w:r w:rsidRPr="00AF78D8">
        <w:rPr>
          <w:lang w:val="en-CA"/>
        </w:rPr>
        <w:t xml:space="preserve">It </w:t>
      </w:r>
      <w:r w:rsidR="00A94D71" w:rsidRPr="00AF78D8">
        <w:rPr>
          <w:lang w:val="en-CA"/>
        </w:rPr>
        <w:t>seeks</w:t>
      </w:r>
      <w:r w:rsidRPr="00AF78D8">
        <w:rPr>
          <w:lang w:val="en-CA"/>
        </w:rPr>
        <w:t xml:space="preserve"> the forfeiture of all the other property related to the three applicants.</w:t>
      </w:r>
    </w:p>
    <w:p w:rsidR="006A23B2" w:rsidRPr="00AF78D8" w:rsidRDefault="00D33B9A" w:rsidP="000748F5">
      <w:pPr>
        <w:pStyle w:val="Paragraphe"/>
        <w:tabs>
          <w:tab w:val="clear" w:pos="360"/>
          <w:tab w:val="num" w:pos="709"/>
        </w:tabs>
        <w:spacing w:line="240" w:lineRule="auto"/>
        <w:rPr>
          <w:lang w:val="en-CA"/>
        </w:rPr>
      </w:pPr>
      <w:r w:rsidRPr="00AF78D8">
        <w:rPr>
          <w:lang w:val="en-CA"/>
        </w:rPr>
        <w:t xml:space="preserve">On February 2, 2021, the Crown filed an application for the forfeiture of offence-related property, </w:t>
      </w:r>
      <w:r w:rsidR="00A94D71" w:rsidRPr="00AF78D8">
        <w:rPr>
          <w:lang w:val="en-CA"/>
        </w:rPr>
        <w:t xml:space="preserve">of </w:t>
      </w:r>
      <w:r w:rsidRPr="00AF78D8">
        <w:rPr>
          <w:lang w:val="en-CA"/>
        </w:rPr>
        <w:t xml:space="preserve">proceeds of crime, and </w:t>
      </w:r>
      <w:r w:rsidR="00A94D71" w:rsidRPr="00AF78D8">
        <w:rPr>
          <w:lang w:val="en-CA"/>
        </w:rPr>
        <w:t xml:space="preserve">of </w:t>
      </w:r>
      <w:r w:rsidRPr="00AF78D8">
        <w:rPr>
          <w:lang w:val="en-CA"/>
        </w:rPr>
        <w:t xml:space="preserve">property tainted by </w:t>
      </w:r>
      <w:r w:rsidR="002D486A" w:rsidRPr="00AF78D8">
        <w:rPr>
          <w:lang w:val="en-CA"/>
        </w:rPr>
        <w:t>illegality</w:t>
      </w:r>
      <w:r w:rsidR="00C80D6E" w:rsidRPr="00AF78D8">
        <w:rPr>
          <w:lang w:val="en-CA"/>
        </w:rPr>
        <w:t>,</w:t>
      </w:r>
      <w:r w:rsidR="002D486A" w:rsidRPr="00AF78D8">
        <w:rPr>
          <w:lang w:val="en-CA"/>
        </w:rPr>
        <w:t xml:space="preserve"> </w:t>
      </w:r>
      <w:r w:rsidR="00C80D6E" w:rsidRPr="00AF78D8">
        <w:rPr>
          <w:lang w:val="en-CA"/>
        </w:rPr>
        <w:t xml:space="preserve">as well as </w:t>
      </w:r>
      <w:r w:rsidR="00A94D71" w:rsidRPr="00AF78D8">
        <w:rPr>
          <w:lang w:val="en-CA"/>
        </w:rPr>
        <w:t xml:space="preserve">for the </w:t>
      </w:r>
      <w:r w:rsidRPr="00AF78D8">
        <w:rPr>
          <w:lang w:val="en-CA"/>
        </w:rPr>
        <w:t xml:space="preserve">return </w:t>
      </w:r>
      <w:r w:rsidR="00A94D71" w:rsidRPr="00AF78D8">
        <w:rPr>
          <w:lang w:val="en-CA"/>
        </w:rPr>
        <w:t xml:space="preserve">of </w:t>
      </w:r>
      <w:r w:rsidRPr="00AF78D8">
        <w:rPr>
          <w:lang w:val="en-CA"/>
        </w:rPr>
        <w:t xml:space="preserve">property (ss. 462.37(2) and 490(9) </w:t>
      </w:r>
      <w:r w:rsidRPr="00AF78D8">
        <w:rPr>
          <w:i/>
          <w:iCs/>
          <w:lang w:val="en-CA"/>
        </w:rPr>
        <w:t>Cr. C.</w:t>
      </w:r>
      <w:r w:rsidR="00891FA3">
        <w:rPr>
          <w:lang w:val="en-CA"/>
        </w:rPr>
        <w:t>, and</w:t>
      </w:r>
      <w:r w:rsidRPr="00AF78D8">
        <w:rPr>
          <w:lang w:val="en-CA"/>
        </w:rPr>
        <w:t xml:space="preserve"> s. 16(2) </w:t>
      </w:r>
      <w:r w:rsidRPr="00AF78D8">
        <w:rPr>
          <w:i/>
          <w:iCs/>
          <w:lang w:val="en-CA"/>
        </w:rPr>
        <w:t>CDSA</w:t>
      </w:r>
      <w:r w:rsidRPr="00AF78D8">
        <w:rPr>
          <w:lang w:val="en-CA"/>
        </w:rPr>
        <w:t>).</w:t>
      </w:r>
    </w:p>
    <w:p w:rsidR="006A23B2" w:rsidRPr="00AF78D8" w:rsidRDefault="00F91717" w:rsidP="000748F5">
      <w:pPr>
        <w:pStyle w:val="Paragraphe"/>
        <w:tabs>
          <w:tab w:val="clear" w:pos="360"/>
          <w:tab w:val="num" w:pos="709"/>
        </w:tabs>
        <w:spacing w:line="240" w:lineRule="auto"/>
        <w:rPr>
          <w:lang w:val="en-CA"/>
        </w:rPr>
      </w:pPr>
      <w:r w:rsidRPr="00AF78D8">
        <w:rPr>
          <w:lang w:val="en-CA"/>
        </w:rPr>
        <w:t xml:space="preserve">While </w:t>
      </w:r>
      <w:r w:rsidR="00C80D6E" w:rsidRPr="00AF78D8">
        <w:rPr>
          <w:lang w:val="en-CA"/>
        </w:rPr>
        <w:t>a</w:t>
      </w:r>
      <w:r w:rsidRPr="00AF78D8">
        <w:rPr>
          <w:lang w:val="en-CA"/>
        </w:rPr>
        <w:t>waiting the outcome of the application to dismiss, 20 days of trial before the undersigned were reserved for the weeks of May 3, May 10, May 24</w:t>
      </w:r>
      <w:r w:rsidR="001044DB" w:rsidRPr="00AF78D8">
        <w:rPr>
          <w:lang w:val="en-CA"/>
        </w:rPr>
        <w:t>,</w:t>
      </w:r>
      <w:r w:rsidRPr="00AF78D8">
        <w:rPr>
          <w:lang w:val="en-CA"/>
        </w:rPr>
        <w:t xml:space="preserve"> and June 7, in the event that the hearing on the Crown</w:t>
      </w:r>
      <w:r w:rsidR="00C80D6E" w:rsidRPr="00AF78D8">
        <w:rPr>
          <w:lang w:val="en-CA"/>
        </w:rPr>
        <w:t>’</w:t>
      </w:r>
      <w:r w:rsidRPr="00AF78D8">
        <w:rPr>
          <w:lang w:val="en-CA"/>
        </w:rPr>
        <w:t>s application for forfeiture had to be held.</w:t>
      </w:r>
    </w:p>
    <w:p w:rsidR="006A23B2" w:rsidRPr="00AF78D8" w:rsidRDefault="00F91717" w:rsidP="000748F5">
      <w:pPr>
        <w:pStyle w:val="Paragraphe"/>
        <w:tabs>
          <w:tab w:val="clear" w:pos="360"/>
          <w:tab w:val="num" w:pos="709"/>
        </w:tabs>
        <w:spacing w:line="240" w:lineRule="auto"/>
        <w:rPr>
          <w:lang w:val="en-CA"/>
        </w:rPr>
      </w:pPr>
      <w:r w:rsidRPr="00AF78D8">
        <w:rPr>
          <w:lang w:val="en-CA"/>
        </w:rPr>
        <w:t>The applicants submit that</w:t>
      </w:r>
      <w:r w:rsidR="00AD53E3">
        <w:rPr>
          <w:lang w:val="en-CA"/>
        </w:rPr>
        <w:t xml:space="preserve">, since the stay of the proceedings against them, </w:t>
      </w:r>
      <w:r w:rsidRPr="00AF78D8">
        <w:rPr>
          <w:lang w:val="en-CA"/>
        </w:rPr>
        <w:t xml:space="preserve">the respondent has </w:t>
      </w:r>
      <w:r w:rsidR="00F36D2E" w:rsidRPr="00AF78D8">
        <w:rPr>
          <w:lang w:val="en-CA"/>
        </w:rPr>
        <w:t xml:space="preserve">had </w:t>
      </w:r>
      <w:r w:rsidRPr="00AF78D8">
        <w:rPr>
          <w:lang w:val="en-CA"/>
        </w:rPr>
        <w:t xml:space="preserve">no procedural vehicle under the statutory law to </w:t>
      </w:r>
      <w:r w:rsidR="00267B76">
        <w:rPr>
          <w:lang w:val="en-CA"/>
        </w:rPr>
        <w:t>seek</w:t>
      </w:r>
      <w:r w:rsidRPr="00AF78D8">
        <w:rPr>
          <w:lang w:val="en-CA"/>
        </w:rPr>
        <w:t xml:space="preserve"> the forfeiture of their property</w:t>
      </w:r>
      <w:r w:rsidR="00AD53E3">
        <w:rPr>
          <w:lang w:val="en-CA"/>
        </w:rPr>
        <w:t xml:space="preserve"> </w:t>
      </w:r>
      <w:r w:rsidR="00F36D2E" w:rsidRPr="00AF78D8">
        <w:rPr>
          <w:lang w:val="en-CA"/>
        </w:rPr>
        <w:t>because</w:t>
      </w:r>
      <w:r w:rsidR="00C80D6E" w:rsidRPr="00AF78D8">
        <w:rPr>
          <w:lang w:val="en-CA"/>
        </w:rPr>
        <w:t xml:space="preserve"> there can no longer be</w:t>
      </w:r>
      <w:r w:rsidRPr="00AF78D8">
        <w:rPr>
          <w:lang w:val="en-CA"/>
        </w:rPr>
        <w:t xml:space="preserve"> a conviction </w:t>
      </w:r>
      <w:r w:rsidR="00CC43EE" w:rsidRPr="00AF78D8">
        <w:rPr>
          <w:lang w:val="en-CA"/>
        </w:rPr>
        <w:t>that could</w:t>
      </w:r>
      <w:r w:rsidR="00C80D6E" w:rsidRPr="00AF78D8">
        <w:rPr>
          <w:lang w:val="en-CA"/>
        </w:rPr>
        <w:t xml:space="preserve"> </w:t>
      </w:r>
      <w:r w:rsidRPr="00AF78D8">
        <w:rPr>
          <w:lang w:val="en-CA"/>
        </w:rPr>
        <w:t xml:space="preserve">justify such </w:t>
      </w:r>
      <w:r w:rsidR="00CC43EE" w:rsidRPr="00AF78D8">
        <w:rPr>
          <w:lang w:val="en-CA"/>
        </w:rPr>
        <w:t>a request</w:t>
      </w:r>
      <w:r w:rsidRPr="00AF78D8">
        <w:rPr>
          <w:lang w:val="en-CA"/>
        </w:rPr>
        <w:t xml:space="preserve"> and </w:t>
      </w:r>
      <w:r w:rsidR="00F36D2E" w:rsidRPr="00AF78D8">
        <w:rPr>
          <w:lang w:val="en-CA"/>
        </w:rPr>
        <w:t xml:space="preserve">because </w:t>
      </w:r>
      <w:r w:rsidRPr="00AF78D8">
        <w:rPr>
          <w:lang w:val="en-CA"/>
        </w:rPr>
        <w:t xml:space="preserve">this property </w:t>
      </w:r>
      <w:r w:rsidR="00F36D2E" w:rsidRPr="00AF78D8">
        <w:rPr>
          <w:lang w:val="en-CA"/>
        </w:rPr>
        <w:t>is</w:t>
      </w:r>
      <w:r w:rsidRPr="00AF78D8">
        <w:rPr>
          <w:lang w:val="en-CA"/>
        </w:rPr>
        <w:t xml:space="preserve"> not </w:t>
      </w:r>
      <w:r w:rsidR="00CC43EE" w:rsidRPr="00AF78D8">
        <w:rPr>
          <w:lang w:val="en-CA"/>
        </w:rPr>
        <w:t xml:space="preserve">unlawful </w:t>
      </w:r>
      <w:r w:rsidR="00C80D6E" w:rsidRPr="00AF78D8">
        <w:rPr>
          <w:i/>
          <w:iCs/>
          <w:lang w:val="en-CA"/>
        </w:rPr>
        <w:t>per se</w:t>
      </w:r>
      <w:r w:rsidRPr="00AF78D8">
        <w:rPr>
          <w:lang w:val="en-CA"/>
        </w:rPr>
        <w:t>.</w:t>
      </w:r>
    </w:p>
    <w:p w:rsidR="006A23B2" w:rsidRPr="00AF78D8" w:rsidRDefault="00AD53E3" w:rsidP="000748F5">
      <w:pPr>
        <w:pStyle w:val="Paragraphe"/>
        <w:tabs>
          <w:tab w:val="clear" w:pos="360"/>
          <w:tab w:val="num" w:pos="709"/>
        </w:tabs>
        <w:spacing w:line="240" w:lineRule="auto"/>
        <w:rPr>
          <w:lang w:val="en-CA"/>
        </w:rPr>
      </w:pPr>
      <w:r>
        <w:rPr>
          <w:lang w:val="en-CA"/>
        </w:rPr>
        <w:t>In the view of</w:t>
      </w:r>
      <w:r w:rsidR="00F91717" w:rsidRPr="00AF78D8">
        <w:rPr>
          <w:lang w:val="en-CA"/>
        </w:rPr>
        <w:t xml:space="preserve"> the applicants, allowing a hearing to be held on the application for forfeiture of property would </w:t>
      </w:r>
      <w:r>
        <w:rPr>
          <w:lang w:val="en-CA"/>
        </w:rPr>
        <w:t xml:space="preserve">render </w:t>
      </w:r>
      <w:r w:rsidR="00F91717" w:rsidRPr="00AF78D8">
        <w:rPr>
          <w:lang w:val="en-CA"/>
        </w:rPr>
        <w:t>the stay of proceedings ordered</w:t>
      </w:r>
      <w:r w:rsidR="00DC283B" w:rsidRPr="00AF78D8">
        <w:rPr>
          <w:lang w:val="en-CA"/>
        </w:rPr>
        <w:t xml:space="preserve"> obsolete</w:t>
      </w:r>
      <w:r>
        <w:rPr>
          <w:lang w:val="en-CA"/>
        </w:rPr>
        <w:t xml:space="preserve">, as the </w:t>
      </w:r>
      <w:r w:rsidR="00F91717" w:rsidRPr="00AF78D8">
        <w:rPr>
          <w:lang w:val="en-CA"/>
        </w:rPr>
        <w:lastRenderedPageBreak/>
        <w:t xml:space="preserve">applicants </w:t>
      </w:r>
      <w:r w:rsidR="00031062" w:rsidRPr="00AF78D8">
        <w:rPr>
          <w:lang w:val="en-CA"/>
        </w:rPr>
        <w:t xml:space="preserve">would </w:t>
      </w:r>
      <w:r>
        <w:rPr>
          <w:lang w:val="en-CA"/>
        </w:rPr>
        <w:t>still</w:t>
      </w:r>
      <w:r w:rsidR="00031062" w:rsidRPr="00AF78D8">
        <w:rPr>
          <w:lang w:val="en-CA"/>
        </w:rPr>
        <w:t xml:space="preserve"> </w:t>
      </w:r>
      <w:r w:rsidR="00F91717" w:rsidRPr="00AF78D8">
        <w:rPr>
          <w:lang w:val="en-CA"/>
        </w:rPr>
        <w:t>find themselves standing trial in a proceeding involving the same interests.</w:t>
      </w:r>
    </w:p>
    <w:p w:rsidR="000039B0" w:rsidRPr="00AF78D8" w:rsidRDefault="00F91717" w:rsidP="000039B0">
      <w:pPr>
        <w:pStyle w:val="Titre1"/>
        <w:rPr>
          <w:sz w:val="24"/>
          <w:szCs w:val="24"/>
          <w:lang w:val="en-CA"/>
        </w:rPr>
      </w:pPr>
      <w:r w:rsidRPr="00AF78D8">
        <w:rPr>
          <w:sz w:val="24"/>
          <w:szCs w:val="24"/>
          <w:lang w:val="en-CA"/>
        </w:rPr>
        <w:t xml:space="preserve">ISSUES </w:t>
      </w:r>
    </w:p>
    <w:p w:rsidR="000039B0" w:rsidRPr="00AF78D8" w:rsidRDefault="00D25052" w:rsidP="000748F5">
      <w:pPr>
        <w:pStyle w:val="Paragraphe"/>
        <w:tabs>
          <w:tab w:val="clear" w:pos="360"/>
          <w:tab w:val="num" w:pos="709"/>
        </w:tabs>
        <w:spacing w:line="240" w:lineRule="auto"/>
        <w:rPr>
          <w:lang w:val="en-CA"/>
        </w:rPr>
      </w:pPr>
      <w:r w:rsidRPr="00AF78D8">
        <w:rPr>
          <w:lang w:val="en-CA"/>
        </w:rPr>
        <w:t>The issue</w:t>
      </w:r>
      <w:r w:rsidR="00F36D2E" w:rsidRPr="00AF78D8">
        <w:rPr>
          <w:lang w:val="en-CA"/>
        </w:rPr>
        <w:t>s</w:t>
      </w:r>
      <w:r w:rsidRPr="00AF78D8">
        <w:rPr>
          <w:lang w:val="en-CA"/>
        </w:rPr>
        <w:t xml:space="preserve"> that the Court must rule on are the following:</w:t>
      </w:r>
    </w:p>
    <w:p w:rsidR="000039B0" w:rsidRPr="00AF78D8" w:rsidRDefault="00D25052" w:rsidP="000039B0">
      <w:pPr>
        <w:pStyle w:val="Paragraphe"/>
        <w:numPr>
          <w:ilvl w:val="0"/>
          <w:numId w:val="31"/>
        </w:numPr>
        <w:spacing w:line="240" w:lineRule="auto"/>
        <w:ind w:left="709" w:hanging="349"/>
        <w:rPr>
          <w:lang w:val="en-CA"/>
        </w:rPr>
      </w:pPr>
      <w:r w:rsidRPr="00AF78D8">
        <w:rPr>
          <w:lang w:val="en-CA"/>
        </w:rPr>
        <w:t xml:space="preserve">Does the undersigned have </w:t>
      </w:r>
      <w:r w:rsidR="001044DB" w:rsidRPr="00AF78D8">
        <w:rPr>
          <w:lang w:val="en-CA"/>
        </w:rPr>
        <w:t>jurisdiction</w:t>
      </w:r>
      <w:r w:rsidRPr="00AF78D8">
        <w:rPr>
          <w:lang w:val="en-CA"/>
        </w:rPr>
        <w:t xml:space="preserve"> to hear the application for forfeiture and the application to dismiss the application for forfeiture?</w:t>
      </w:r>
    </w:p>
    <w:p w:rsidR="000039B0" w:rsidRPr="00AF78D8" w:rsidRDefault="00DE3201" w:rsidP="000039B0">
      <w:pPr>
        <w:pStyle w:val="Paragraphe"/>
        <w:numPr>
          <w:ilvl w:val="0"/>
          <w:numId w:val="31"/>
        </w:numPr>
        <w:spacing w:line="240" w:lineRule="auto"/>
        <w:ind w:left="709" w:hanging="349"/>
        <w:rPr>
          <w:lang w:val="en-CA"/>
        </w:rPr>
      </w:pPr>
      <w:r w:rsidRPr="00AF78D8">
        <w:rPr>
          <w:lang w:val="en-CA"/>
        </w:rPr>
        <w:t>Is</w:t>
      </w:r>
      <w:r w:rsidR="00D25052" w:rsidRPr="00AF78D8">
        <w:rPr>
          <w:lang w:val="en-CA"/>
        </w:rPr>
        <w:t xml:space="preserve"> </w:t>
      </w:r>
      <w:r w:rsidRPr="00AF78D8">
        <w:rPr>
          <w:lang w:val="en-CA"/>
        </w:rPr>
        <w:t>s.</w:t>
      </w:r>
      <w:r w:rsidR="00D25052" w:rsidRPr="00AF78D8">
        <w:rPr>
          <w:lang w:val="en-CA"/>
        </w:rPr>
        <w:t xml:space="preserve"> 490(9) </w:t>
      </w:r>
      <w:r w:rsidR="00D25052" w:rsidRPr="00AF78D8">
        <w:rPr>
          <w:i/>
          <w:iCs/>
          <w:lang w:val="en-CA"/>
        </w:rPr>
        <w:t>Cr. C</w:t>
      </w:r>
      <w:r w:rsidR="00D25052" w:rsidRPr="00AF78D8">
        <w:rPr>
          <w:lang w:val="en-CA"/>
        </w:rPr>
        <w:t xml:space="preserve">. a procedural vehicle </w:t>
      </w:r>
      <w:r w:rsidR="00640638" w:rsidRPr="00AF78D8">
        <w:rPr>
          <w:lang w:val="en-CA"/>
        </w:rPr>
        <w:t>available</w:t>
      </w:r>
      <w:r w:rsidR="00D25052" w:rsidRPr="00AF78D8">
        <w:rPr>
          <w:lang w:val="en-CA"/>
        </w:rPr>
        <w:t xml:space="preserve"> to the respondent to seek the forfeiture of property?</w:t>
      </w:r>
    </w:p>
    <w:p w:rsidR="000039B0" w:rsidRPr="00AF78D8" w:rsidRDefault="00D25052" w:rsidP="000039B0">
      <w:pPr>
        <w:pStyle w:val="Paragraphe"/>
        <w:numPr>
          <w:ilvl w:val="0"/>
          <w:numId w:val="31"/>
        </w:numPr>
        <w:spacing w:line="240" w:lineRule="auto"/>
        <w:ind w:left="709" w:hanging="349"/>
        <w:rPr>
          <w:lang w:val="en-CA"/>
        </w:rPr>
      </w:pPr>
      <w:r w:rsidRPr="00AF78D8">
        <w:rPr>
          <w:lang w:val="en-CA"/>
        </w:rPr>
        <w:t xml:space="preserve">Are s. 462.37(2) </w:t>
      </w:r>
      <w:r w:rsidRPr="00AF78D8">
        <w:rPr>
          <w:i/>
          <w:iCs/>
          <w:lang w:val="en-CA"/>
        </w:rPr>
        <w:t>Cr.</w:t>
      </w:r>
      <w:r w:rsidR="001044DB" w:rsidRPr="00AF78D8">
        <w:rPr>
          <w:i/>
          <w:iCs/>
          <w:lang w:val="en-CA"/>
        </w:rPr>
        <w:t xml:space="preserve"> </w:t>
      </w:r>
      <w:r w:rsidRPr="00AF78D8">
        <w:rPr>
          <w:i/>
          <w:iCs/>
          <w:lang w:val="en-CA"/>
        </w:rPr>
        <w:t>C</w:t>
      </w:r>
      <w:r w:rsidRPr="00AF78D8">
        <w:rPr>
          <w:lang w:val="en-CA"/>
        </w:rPr>
        <w:t xml:space="preserve">. and s. 16(2) </w:t>
      </w:r>
      <w:r w:rsidRPr="00AF78D8">
        <w:rPr>
          <w:i/>
          <w:iCs/>
          <w:lang w:val="en-CA"/>
        </w:rPr>
        <w:t>CDSA</w:t>
      </w:r>
      <w:r w:rsidRPr="00AF78D8">
        <w:rPr>
          <w:lang w:val="en-CA"/>
        </w:rPr>
        <w:t xml:space="preserve"> procedural vehicles </w:t>
      </w:r>
      <w:r w:rsidR="00640638" w:rsidRPr="00AF78D8">
        <w:rPr>
          <w:lang w:val="en-CA"/>
        </w:rPr>
        <w:t>available</w:t>
      </w:r>
      <w:r w:rsidRPr="00AF78D8">
        <w:rPr>
          <w:lang w:val="en-CA"/>
        </w:rPr>
        <w:t xml:space="preserve"> to the respondent to seek the forfeiture of th</w:t>
      </w:r>
      <w:r w:rsidR="009F3D50" w:rsidRPr="00AF78D8">
        <w:rPr>
          <w:lang w:val="en-CA"/>
        </w:rPr>
        <w:t>e</w:t>
      </w:r>
      <w:r w:rsidRPr="00AF78D8">
        <w:rPr>
          <w:lang w:val="en-CA"/>
        </w:rPr>
        <w:t xml:space="preserve"> property?</w:t>
      </w:r>
    </w:p>
    <w:p w:rsidR="000039B0" w:rsidRPr="00AF78D8" w:rsidRDefault="00D25052" w:rsidP="000039B0">
      <w:pPr>
        <w:pStyle w:val="Paragraphe"/>
        <w:numPr>
          <w:ilvl w:val="0"/>
          <w:numId w:val="31"/>
        </w:numPr>
        <w:spacing w:line="240" w:lineRule="auto"/>
        <w:ind w:left="709" w:hanging="349"/>
        <w:rPr>
          <w:lang w:val="en-CA"/>
        </w:rPr>
      </w:pPr>
      <w:r w:rsidRPr="00AF78D8">
        <w:rPr>
          <w:lang w:val="en-CA"/>
        </w:rPr>
        <w:t>Does the stay of proceedings for unreasonable delay prevent the Crown from seeking the forfeiture of the property?</w:t>
      </w:r>
    </w:p>
    <w:p w:rsidR="008D314A" w:rsidRPr="00AF78D8" w:rsidRDefault="00D25052" w:rsidP="008D314A">
      <w:pPr>
        <w:pStyle w:val="Titre1"/>
        <w:rPr>
          <w:sz w:val="24"/>
          <w:szCs w:val="24"/>
          <w:lang w:val="en-CA"/>
        </w:rPr>
      </w:pPr>
      <w:r w:rsidRPr="00AF78D8">
        <w:rPr>
          <w:sz w:val="24"/>
          <w:szCs w:val="24"/>
          <w:lang w:val="en-CA"/>
        </w:rPr>
        <w:t>THE POSITIONS OF THE PARTIES</w:t>
      </w:r>
    </w:p>
    <w:p w:rsidR="000039B0" w:rsidRPr="00AF78D8" w:rsidRDefault="001044DB" w:rsidP="000748F5">
      <w:pPr>
        <w:pStyle w:val="Paragraphe"/>
        <w:tabs>
          <w:tab w:val="clear" w:pos="360"/>
          <w:tab w:val="num" w:pos="709"/>
        </w:tabs>
        <w:spacing w:line="240" w:lineRule="auto"/>
        <w:rPr>
          <w:lang w:val="en-CA"/>
        </w:rPr>
      </w:pPr>
      <w:r w:rsidRPr="00AF78D8">
        <w:rPr>
          <w:lang w:val="en-CA"/>
        </w:rPr>
        <w:t>The applicants answer yes to the first question and no to the three other questions.</w:t>
      </w:r>
      <w:r w:rsidR="000F2983" w:rsidRPr="00AF78D8">
        <w:rPr>
          <w:lang w:val="en-CA"/>
        </w:rPr>
        <w:t xml:space="preserve"> </w:t>
      </w:r>
      <w:r w:rsidRPr="00AF78D8">
        <w:rPr>
          <w:lang w:val="en-CA"/>
        </w:rPr>
        <w:t xml:space="preserve">They add that on the date the application to dismiss was filed, </w:t>
      </w:r>
      <w:r w:rsidR="00154055" w:rsidRPr="00AF78D8">
        <w:rPr>
          <w:lang w:val="en-CA"/>
        </w:rPr>
        <w:t>over</w:t>
      </w:r>
      <w:r w:rsidRPr="00AF78D8">
        <w:rPr>
          <w:lang w:val="en-CA"/>
        </w:rPr>
        <w:t xml:space="preserve"> 91 months had elapsed since the </w:t>
      </w:r>
      <w:r w:rsidR="002A58A1">
        <w:rPr>
          <w:lang w:val="en-CA"/>
        </w:rPr>
        <w:t xml:space="preserve">issue of the </w:t>
      </w:r>
      <w:r w:rsidRPr="00AF78D8">
        <w:rPr>
          <w:lang w:val="en-CA"/>
        </w:rPr>
        <w:t>arrest warrants against the applicants Thi</w:t>
      </w:r>
      <w:r w:rsidR="00D27B57" w:rsidRPr="00AF78D8">
        <w:rPr>
          <w:lang w:val="en-CA"/>
        </w:rPr>
        <w:t> </w:t>
      </w:r>
      <w:r w:rsidRPr="00AF78D8">
        <w:rPr>
          <w:lang w:val="en-CA"/>
        </w:rPr>
        <w:t>Nuyen Nguyen and Thi Hong Cun</w:t>
      </w:r>
      <w:r w:rsidR="00D27B57" w:rsidRPr="00AF78D8">
        <w:rPr>
          <w:lang w:val="en-CA"/>
        </w:rPr>
        <w:t>,</w:t>
      </w:r>
      <w:r w:rsidRPr="00AF78D8">
        <w:rPr>
          <w:lang w:val="en-CA"/>
        </w:rPr>
        <w:t xml:space="preserve"> </w:t>
      </w:r>
      <w:r w:rsidR="00154055" w:rsidRPr="00AF78D8">
        <w:rPr>
          <w:lang w:val="en-CA"/>
        </w:rPr>
        <w:t>and over</w:t>
      </w:r>
      <w:r w:rsidRPr="00AF78D8">
        <w:rPr>
          <w:lang w:val="en-CA"/>
        </w:rPr>
        <w:t xml:space="preserve"> 83 months </w:t>
      </w:r>
      <w:r w:rsidR="002A58A1">
        <w:rPr>
          <w:lang w:val="en-CA"/>
        </w:rPr>
        <w:t>since the warrants against</w:t>
      </w:r>
      <w:r w:rsidRPr="00AF78D8">
        <w:rPr>
          <w:lang w:val="en-CA"/>
        </w:rPr>
        <w:t xml:space="preserve"> Alexandre Nguyen.</w:t>
      </w:r>
    </w:p>
    <w:p w:rsidR="000F2983" w:rsidRPr="00AF78D8" w:rsidRDefault="001044DB" w:rsidP="000748F5">
      <w:pPr>
        <w:pStyle w:val="Paragraphe"/>
        <w:tabs>
          <w:tab w:val="clear" w:pos="360"/>
          <w:tab w:val="num" w:pos="709"/>
        </w:tabs>
        <w:spacing w:line="240" w:lineRule="auto"/>
        <w:rPr>
          <w:lang w:val="en-CA"/>
        </w:rPr>
      </w:pPr>
      <w:r w:rsidRPr="00AF78D8">
        <w:rPr>
          <w:lang w:val="en-CA"/>
        </w:rPr>
        <w:t xml:space="preserve">The Crown answers yes to </w:t>
      </w:r>
      <w:r w:rsidR="002A58A1">
        <w:rPr>
          <w:lang w:val="en-CA"/>
        </w:rPr>
        <w:t>all the</w:t>
      </w:r>
      <w:r w:rsidRPr="00AF78D8">
        <w:rPr>
          <w:lang w:val="en-CA"/>
        </w:rPr>
        <w:t xml:space="preserve"> question</w:t>
      </w:r>
      <w:r w:rsidR="002A58A1">
        <w:rPr>
          <w:lang w:val="en-CA"/>
        </w:rPr>
        <w:t>s</w:t>
      </w:r>
      <w:r w:rsidRPr="00AF78D8">
        <w:rPr>
          <w:lang w:val="en-CA"/>
        </w:rPr>
        <w:t xml:space="preserve"> and</w:t>
      </w:r>
      <w:r w:rsidR="002A58A1">
        <w:rPr>
          <w:lang w:val="en-CA"/>
        </w:rPr>
        <w:t>,</w:t>
      </w:r>
      <w:r w:rsidRPr="00AF78D8">
        <w:rPr>
          <w:lang w:val="en-CA"/>
        </w:rPr>
        <w:t xml:space="preserve"> in the alternative</w:t>
      </w:r>
      <w:r w:rsidR="002A58A1">
        <w:rPr>
          <w:lang w:val="en-CA"/>
        </w:rPr>
        <w:t>,</w:t>
      </w:r>
      <w:r w:rsidRPr="00AF78D8">
        <w:rPr>
          <w:lang w:val="en-CA"/>
        </w:rPr>
        <w:t xml:space="preserve"> submits that if s.</w:t>
      </w:r>
      <w:r w:rsidR="00D27B57" w:rsidRPr="00AF78D8">
        <w:rPr>
          <w:lang w:val="en-CA"/>
        </w:rPr>
        <w:t> </w:t>
      </w:r>
      <w:r w:rsidRPr="00AF78D8">
        <w:rPr>
          <w:lang w:val="en-CA"/>
        </w:rPr>
        <w:t xml:space="preserve">490(9) </w:t>
      </w:r>
      <w:r w:rsidRPr="00AF78D8">
        <w:rPr>
          <w:i/>
          <w:iCs/>
          <w:lang w:val="en-CA"/>
        </w:rPr>
        <w:t>Cr. C</w:t>
      </w:r>
      <w:r w:rsidRPr="00AF78D8">
        <w:rPr>
          <w:lang w:val="en-CA"/>
        </w:rPr>
        <w:t xml:space="preserve">. does not apply after the </w:t>
      </w:r>
      <w:r w:rsidR="00EA0308" w:rsidRPr="00AF78D8">
        <w:rPr>
          <w:lang w:val="en-CA"/>
        </w:rPr>
        <w:t>commencement</w:t>
      </w:r>
      <w:r w:rsidRPr="00AF78D8">
        <w:rPr>
          <w:lang w:val="en-CA"/>
        </w:rPr>
        <w:t xml:space="preserve"> of the proceedings, its application for forfeiture </w:t>
      </w:r>
      <w:r w:rsidR="00640638" w:rsidRPr="00AF78D8">
        <w:rPr>
          <w:lang w:val="en-CA"/>
        </w:rPr>
        <w:t>has been</w:t>
      </w:r>
      <w:r w:rsidRPr="00AF78D8">
        <w:rPr>
          <w:lang w:val="en-CA"/>
        </w:rPr>
        <w:t xml:space="preserve"> amended to add s. 491.1 </w:t>
      </w:r>
      <w:r w:rsidRPr="00AF78D8">
        <w:rPr>
          <w:i/>
          <w:iCs/>
          <w:lang w:val="en-CA"/>
        </w:rPr>
        <w:t>Cr. C</w:t>
      </w:r>
      <w:r w:rsidRPr="00AF78D8">
        <w:rPr>
          <w:lang w:val="en-CA"/>
        </w:rPr>
        <w:t>.</w:t>
      </w:r>
      <w:r w:rsidR="00640638" w:rsidRPr="00AF78D8">
        <w:rPr>
          <w:lang w:val="en-CA"/>
        </w:rPr>
        <w:t>,</w:t>
      </w:r>
      <w:r w:rsidRPr="00AF78D8">
        <w:rPr>
          <w:lang w:val="en-CA"/>
        </w:rPr>
        <w:t xml:space="preserve"> </w:t>
      </w:r>
      <w:r w:rsidR="00640638" w:rsidRPr="00AF78D8">
        <w:rPr>
          <w:lang w:val="en-CA"/>
        </w:rPr>
        <w:t>should</w:t>
      </w:r>
      <w:r w:rsidRPr="00AF78D8">
        <w:rPr>
          <w:lang w:val="en-CA"/>
        </w:rPr>
        <w:t xml:space="preserve"> the Court prefer to use that provision for the forfeiture of all or part of the property concerned.</w:t>
      </w:r>
    </w:p>
    <w:p w:rsidR="008D314A" w:rsidRPr="00AF78D8" w:rsidRDefault="001044DB" w:rsidP="008D314A">
      <w:pPr>
        <w:pStyle w:val="Titre1"/>
        <w:rPr>
          <w:sz w:val="24"/>
          <w:szCs w:val="24"/>
          <w:lang w:val="en-CA"/>
        </w:rPr>
      </w:pPr>
      <w:r w:rsidRPr="00AF78D8">
        <w:rPr>
          <w:sz w:val="24"/>
          <w:szCs w:val="24"/>
          <w:lang w:val="en-CA"/>
        </w:rPr>
        <w:t>ANALYSIS</w:t>
      </w:r>
    </w:p>
    <w:p w:rsidR="000F2983" w:rsidRPr="00AF78D8" w:rsidRDefault="001044DB" w:rsidP="005D1FB4">
      <w:pPr>
        <w:pStyle w:val="Titre4"/>
        <w:jc w:val="both"/>
        <w:rPr>
          <w:lang w:val="en-CA"/>
        </w:rPr>
      </w:pPr>
      <w:r w:rsidRPr="00AF78D8">
        <w:rPr>
          <w:lang w:val="en-CA"/>
        </w:rPr>
        <w:t>(1)</w:t>
      </w:r>
      <w:r w:rsidR="000F2983" w:rsidRPr="00AF78D8">
        <w:rPr>
          <w:lang w:val="en-CA"/>
        </w:rPr>
        <w:t xml:space="preserve"> </w:t>
      </w:r>
      <w:r w:rsidRPr="00AF78D8">
        <w:rPr>
          <w:lang w:val="en-CA"/>
        </w:rPr>
        <w:t xml:space="preserve">Does the Court have </w:t>
      </w:r>
      <w:r w:rsidR="00D27B57" w:rsidRPr="00AF78D8">
        <w:rPr>
          <w:lang w:val="en-CA"/>
        </w:rPr>
        <w:t>jurisdiction</w:t>
      </w:r>
      <w:r w:rsidRPr="00AF78D8">
        <w:rPr>
          <w:lang w:val="en-CA"/>
        </w:rPr>
        <w:t xml:space="preserve"> to hear the application for forfeiture and the application to dismiss the application for forfeiture?</w:t>
      </w:r>
    </w:p>
    <w:p w:rsidR="000F2983" w:rsidRPr="00AF78D8" w:rsidRDefault="001044DB" w:rsidP="000748F5">
      <w:pPr>
        <w:pStyle w:val="Paragraphe"/>
        <w:tabs>
          <w:tab w:val="clear" w:pos="360"/>
          <w:tab w:val="num" w:pos="709"/>
        </w:tabs>
        <w:spacing w:line="240" w:lineRule="auto"/>
        <w:rPr>
          <w:lang w:val="en-CA"/>
        </w:rPr>
      </w:pPr>
      <w:r w:rsidRPr="00AF78D8">
        <w:rPr>
          <w:lang w:val="en-CA"/>
        </w:rPr>
        <w:t xml:space="preserve">Subject to the possible conclusions on the application to dismiss, the parties </w:t>
      </w:r>
      <w:r w:rsidR="00640638" w:rsidRPr="00AF78D8">
        <w:rPr>
          <w:lang w:val="en-CA"/>
        </w:rPr>
        <w:t xml:space="preserve">all agree </w:t>
      </w:r>
      <w:r w:rsidRPr="00AF78D8">
        <w:rPr>
          <w:lang w:val="en-CA"/>
        </w:rPr>
        <w:t>that the undersigned has jurisdiction to deal with the applications.</w:t>
      </w:r>
    </w:p>
    <w:p w:rsidR="000F2983" w:rsidRPr="00AF78D8" w:rsidRDefault="001044DB" w:rsidP="000748F5">
      <w:pPr>
        <w:pStyle w:val="Paragraphe"/>
        <w:tabs>
          <w:tab w:val="clear" w:pos="360"/>
          <w:tab w:val="num" w:pos="709"/>
        </w:tabs>
        <w:spacing w:line="240" w:lineRule="auto"/>
        <w:rPr>
          <w:lang w:val="en-CA"/>
        </w:rPr>
      </w:pPr>
      <w:r w:rsidRPr="00AF78D8">
        <w:rPr>
          <w:lang w:val="en-CA"/>
        </w:rPr>
        <w:t xml:space="preserve">Whether under s. 16(2) </w:t>
      </w:r>
      <w:r w:rsidRPr="00AF78D8">
        <w:rPr>
          <w:i/>
          <w:iCs/>
          <w:lang w:val="en-CA"/>
        </w:rPr>
        <w:t>CDSA</w:t>
      </w:r>
      <w:r w:rsidRPr="00AF78D8">
        <w:rPr>
          <w:lang w:val="en-CA"/>
        </w:rPr>
        <w:t>, s. 491.1(2)</w:t>
      </w:r>
      <w:r w:rsidR="00F471C9">
        <w:rPr>
          <w:lang w:val="en-CA"/>
        </w:rPr>
        <w:t>,</w:t>
      </w:r>
      <w:r w:rsidRPr="00AF78D8">
        <w:rPr>
          <w:lang w:val="en-CA"/>
        </w:rPr>
        <w:t xml:space="preserve"> or </w:t>
      </w:r>
      <w:r w:rsidR="00F471C9">
        <w:rPr>
          <w:lang w:val="en-CA"/>
        </w:rPr>
        <w:t xml:space="preserve">s. </w:t>
      </w:r>
      <w:r w:rsidRPr="00AF78D8">
        <w:rPr>
          <w:lang w:val="en-CA"/>
        </w:rPr>
        <w:t xml:space="preserve">462.37(2) </w:t>
      </w:r>
      <w:r w:rsidRPr="00AF78D8">
        <w:rPr>
          <w:i/>
          <w:iCs/>
          <w:lang w:val="en-CA"/>
        </w:rPr>
        <w:t>Cr. C</w:t>
      </w:r>
      <w:r w:rsidRPr="00AF78D8">
        <w:rPr>
          <w:lang w:val="en-CA"/>
        </w:rPr>
        <w:t>., jurisdiction is conferred on the court seized of the matter.</w:t>
      </w:r>
      <w:r w:rsidR="000F2983" w:rsidRPr="00AF78D8">
        <w:rPr>
          <w:lang w:val="en-CA"/>
        </w:rPr>
        <w:t xml:space="preserve"> </w:t>
      </w:r>
      <w:r w:rsidRPr="00AF78D8">
        <w:rPr>
          <w:lang w:val="en-CA"/>
        </w:rPr>
        <w:t xml:space="preserve">The Court will discuss s. 490(9) </w:t>
      </w:r>
      <w:r w:rsidRPr="00AF78D8">
        <w:rPr>
          <w:i/>
          <w:iCs/>
          <w:lang w:val="en-CA"/>
        </w:rPr>
        <w:t>Cr. C</w:t>
      </w:r>
      <w:r w:rsidRPr="00AF78D8">
        <w:rPr>
          <w:lang w:val="en-CA"/>
        </w:rPr>
        <w:t>. below.</w:t>
      </w:r>
    </w:p>
    <w:p w:rsidR="000F2983" w:rsidRPr="00AF78D8" w:rsidRDefault="001044DB" w:rsidP="000748F5">
      <w:pPr>
        <w:pStyle w:val="Paragraphe"/>
        <w:tabs>
          <w:tab w:val="clear" w:pos="360"/>
          <w:tab w:val="num" w:pos="709"/>
        </w:tabs>
        <w:spacing w:line="240" w:lineRule="auto"/>
        <w:rPr>
          <w:lang w:val="en-CA"/>
        </w:rPr>
      </w:pPr>
      <w:r w:rsidRPr="00AF78D8">
        <w:rPr>
          <w:lang w:val="en-CA"/>
        </w:rPr>
        <w:lastRenderedPageBreak/>
        <w:t xml:space="preserve">Dupras J., who stayed the proceedings, </w:t>
      </w:r>
      <w:r w:rsidR="009F2A13" w:rsidRPr="00AF78D8">
        <w:rPr>
          <w:lang w:val="en-CA"/>
        </w:rPr>
        <w:t>was acting</w:t>
      </w:r>
      <w:r w:rsidRPr="00AF78D8">
        <w:rPr>
          <w:lang w:val="en-CA"/>
        </w:rPr>
        <w:t xml:space="preserve"> as case management judge.</w:t>
      </w:r>
      <w:r w:rsidR="00E216A4" w:rsidRPr="00AF78D8">
        <w:rPr>
          <w:lang w:val="en-CA"/>
        </w:rPr>
        <w:t xml:space="preserve"> </w:t>
      </w:r>
      <w:r w:rsidRPr="00AF78D8">
        <w:rPr>
          <w:lang w:val="en-CA"/>
        </w:rPr>
        <w:t>Any judge of the Court of Québec could have heard the trial.</w:t>
      </w:r>
      <w:r w:rsidR="00E216A4" w:rsidRPr="00AF78D8">
        <w:rPr>
          <w:lang w:val="en-CA"/>
        </w:rPr>
        <w:t xml:space="preserve"> </w:t>
      </w:r>
      <w:r w:rsidRPr="00AF78D8">
        <w:rPr>
          <w:lang w:val="en-CA"/>
        </w:rPr>
        <w:t>The undersigned has jurisdiction to hear the application for forfeiture and the application to dismiss.</w:t>
      </w:r>
    </w:p>
    <w:p w:rsidR="0050703F" w:rsidRPr="00AF78D8" w:rsidRDefault="001044DB" w:rsidP="0050703F">
      <w:pPr>
        <w:pStyle w:val="Titre4"/>
        <w:rPr>
          <w:lang w:val="en-CA"/>
        </w:rPr>
      </w:pPr>
      <w:r w:rsidRPr="00AF78D8">
        <w:rPr>
          <w:lang w:val="en-CA"/>
        </w:rPr>
        <w:t xml:space="preserve">(2) </w:t>
      </w:r>
      <w:r w:rsidR="0050703F" w:rsidRPr="00AF78D8">
        <w:rPr>
          <w:lang w:val="en-CA"/>
        </w:rPr>
        <w:t xml:space="preserve"> </w:t>
      </w:r>
      <w:r w:rsidR="00D25052" w:rsidRPr="00AF78D8">
        <w:rPr>
          <w:lang w:val="en-CA"/>
        </w:rPr>
        <w:t xml:space="preserve">Is </w:t>
      </w:r>
      <w:r w:rsidR="009F2A13" w:rsidRPr="00AF78D8">
        <w:rPr>
          <w:lang w:val="en-CA"/>
        </w:rPr>
        <w:t>s.</w:t>
      </w:r>
      <w:r w:rsidR="00D25052" w:rsidRPr="00AF78D8">
        <w:rPr>
          <w:lang w:val="en-CA"/>
        </w:rPr>
        <w:t xml:space="preserve"> 490(9) </w:t>
      </w:r>
      <w:r w:rsidR="00D25052" w:rsidRPr="00AF78D8">
        <w:rPr>
          <w:i/>
          <w:iCs/>
          <w:lang w:val="en-CA"/>
        </w:rPr>
        <w:t>Cr. C.</w:t>
      </w:r>
      <w:r w:rsidR="00D25052" w:rsidRPr="00AF78D8">
        <w:rPr>
          <w:lang w:val="en-CA"/>
        </w:rPr>
        <w:t xml:space="preserve"> a procedural vehicle </w:t>
      </w:r>
      <w:r w:rsidR="00640638" w:rsidRPr="00AF78D8">
        <w:rPr>
          <w:lang w:val="en-CA"/>
        </w:rPr>
        <w:t>available</w:t>
      </w:r>
      <w:r w:rsidR="00D25052" w:rsidRPr="00AF78D8">
        <w:rPr>
          <w:lang w:val="en-CA"/>
        </w:rPr>
        <w:t xml:space="preserve"> to the respondent to seek the forfeiture of property?</w:t>
      </w:r>
    </w:p>
    <w:p w:rsidR="0050703F" w:rsidRPr="00AF78D8" w:rsidRDefault="001044DB" w:rsidP="000748F5">
      <w:pPr>
        <w:pStyle w:val="Paragraphe"/>
        <w:tabs>
          <w:tab w:val="clear" w:pos="360"/>
          <w:tab w:val="num" w:pos="709"/>
        </w:tabs>
        <w:spacing w:line="240" w:lineRule="auto"/>
        <w:rPr>
          <w:lang w:val="en-CA"/>
        </w:rPr>
      </w:pPr>
      <w:r w:rsidRPr="00AF78D8">
        <w:rPr>
          <w:lang w:val="en-CA"/>
        </w:rPr>
        <w:t xml:space="preserve">A court that is not a </w:t>
      </w:r>
      <w:r w:rsidR="00270D8F" w:rsidRPr="00AF78D8">
        <w:rPr>
          <w:lang w:val="en-CA"/>
        </w:rPr>
        <w:t>s</w:t>
      </w:r>
      <w:r w:rsidRPr="00AF78D8">
        <w:rPr>
          <w:lang w:val="en-CA"/>
        </w:rPr>
        <w:t xml:space="preserve">uperior </w:t>
      </w:r>
      <w:r w:rsidR="00270D8F" w:rsidRPr="00AF78D8">
        <w:rPr>
          <w:lang w:val="en-CA"/>
        </w:rPr>
        <w:t>c</w:t>
      </w:r>
      <w:r w:rsidRPr="00AF78D8">
        <w:rPr>
          <w:lang w:val="en-CA"/>
        </w:rPr>
        <w:t xml:space="preserve">ourt has jurisdiction to make forfeiture orders </w:t>
      </w:r>
      <w:r w:rsidR="00F471C9">
        <w:rPr>
          <w:lang w:val="en-CA"/>
        </w:rPr>
        <w:t xml:space="preserve">only </w:t>
      </w:r>
      <w:r w:rsidRPr="00AF78D8">
        <w:rPr>
          <w:lang w:val="en-CA"/>
        </w:rPr>
        <w:t xml:space="preserve">when they are based on a power </w:t>
      </w:r>
      <w:r w:rsidR="00F471C9">
        <w:rPr>
          <w:lang w:val="en-CA"/>
        </w:rPr>
        <w:t>set out</w:t>
      </w:r>
      <w:r w:rsidRPr="00AF78D8">
        <w:rPr>
          <w:lang w:val="en-CA"/>
        </w:rPr>
        <w:t xml:space="preserve"> in a statutory provision.</w:t>
      </w:r>
      <w:r w:rsidR="0050703F" w:rsidRPr="00AF78D8">
        <w:rPr>
          <w:rStyle w:val="Appelnotedebasdep"/>
          <w:lang w:val="en-CA"/>
        </w:rPr>
        <w:footnoteReference w:id="3"/>
      </w:r>
    </w:p>
    <w:p w:rsidR="0050703F" w:rsidRPr="00AF78D8" w:rsidRDefault="001044DB" w:rsidP="000748F5">
      <w:pPr>
        <w:pStyle w:val="Paragraphe"/>
        <w:tabs>
          <w:tab w:val="clear" w:pos="360"/>
          <w:tab w:val="num" w:pos="709"/>
        </w:tabs>
        <w:spacing w:line="240" w:lineRule="auto"/>
        <w:rPr>
          <w:lang w:val="en-CA"/>
        </w:rPr>
      </w:pPr>
      <w:r w:rsidRPr="00AF78D8">
        <w:rPr>
          <w:lang w:val="en-CA"/>
        </w:rPr>
        <w:t xml:space="preserve">When the Crown seeks the forfeiture of seized property because possession of it by the person from whom it was seized is unlawful </w:t>
      </w:r>
      <w:r w:rsidR="00F471C9">
        <w:rPr>
          <w:lang w:val="en-CA"/>
        </w:rPr>
        <w:t xml:space="preserve">under </w:t>
      </w:r>
      <w:r w:rsidRPr="00AF78D8">
        <w:rPr>
          <w:lang w:val="en-CA"/>
        </w:rPr>
        <w:t>s. 490(9)</w:t>
      </w:r>
      <w:r w:rsidR="001C110F" w:rsidRPr="00AF78D8">
        <w:rPr>
          <w:lang w:val="en-CA"/>
        </w:rPr>
        <w:t xml:space="preserve"> </w:t>
      </w:r>
      <w:r w:rsidR="001C110F" w:rsidRPr="00AF78D8">
        <w:rPr>
          <w:i/>
          <w:iCs/>
          <w:lang w:val="en-CA"/>
        </w:rPr>
        <w:t>Cr. C</w:t>
      </w:r>
      <w:r w:rsidR="001C110F" w:rsidRPr="00AF78D8">
        <w:rPr>
          <w:lang w:val="en-CA"/>
        </w:rPr>
        <w:t>.</w:t>
      </w:r>
      <w:r w:rsidR="00F471C9">
        <w:rPr>
          <w:lang w:val="en-CA"/>
        </w:rPr>
        <w:t>,</w:t>
      </w:r>
      <w:r w:rsidRPr="00AF78D8">
        <w:rPr>
          <w:lang w:val="en-CA"/>
        </w:rPr>
        <w:t xml:space="preserve"> and a person asks that such proper</w:t>
      </w:r>
      <w:r w:rsidR="009F2A13" w:rsidRPr="00AF78D8">
        <w:rPr>
          <w:lang w:val="en-CA"/>
        </w:rPr>
        <w:t>ty</w:t>
      </w:r>
      <w:r w:rsidRPr="00AF78D8">
        <w:rPr>
          <w:lang w:val="en-CA"/>
        </w:rPr>
        <w:t xml:space="preserve"> be returned to him or her, that person must establish that he or she was in possession of the property when it was seized.</w:t>
      </w:r>
    </w:p>
    <w:p w:rsidR="00CA52BB" w:rsidRPr="00AF78D8" w:rsidRDefault="001044DB" w:rsidP="000748F5">
      <w:pPr>
        <w:pStyle w:val="Paragraphe"/>
        <w:tabs>
          <w:tab w:val="clear" w:pos="360"/>
          <w:tab w:val="num" w:pos="709"/>
        </w:tabs>
        <w:spacing w:line="240" w:lineRule="auto"/>
        <w:rPr>
          <w:lang w:val="en-CA"/>
        </w:rPr>
      </w:pPr>
      <w:r w:rsidRPr="00AF78D8">
        <w:rPr>
          <w:lang w:val="en-CA"/>
        </w:rPr>
        <w:t xml:space="preserve">This is sufficient to establish a presumption of </w:t>
      </w:r>
      <w:r w:rsidR="00F471C9">
        <w:rPr>
          <w:lang w:val="en-CA"/>
        </w:rPr>
        <w:t xml:space="preserve">the person’s </w:t>
      </w:r>
      <w:r w:rsidRPr="00AF78D8">
        <w:rPr>
          <w:lang w:val="en-CA"/>
        </w:rPr>
        <w:t>right of possession.</w:t>
      </w:r>
      <w:r w:rsidR="00CA52BB" w:rsidRPr="00AF78D8">
        <w:rPr>
          <w:lang w:val="en-CA"/>
        </w:rPr>
        <w:t xml:space="preserve"> </w:t>
      </w:r>
      <w:r w:rsidRPr="00AF78D8">
        <w:rPr>
          <w:lang w:val="en-CA"/>
        </w:rPr>
        <w:t xml:space="preserve">He or she does not </w:t>
      </w:r>
      <w:r w:rsidR="00585DB3" w:rsidRPr="00AF78D8">
        <w:rPr>
          <w:lang w:val="en-CA"/>
        </w:rPr>
        <w:t>have</w:t>
      </w:r>
      <w:r w:rsidRPr="00AF78D8">
        <w:rPr>
          <w:lang w:val="en-CA"/>
        </w:rPr>
        <w:t xml:space="preserve"> to prove that the property is not tainted by </w:t>
      </w:r>
      <w:r w:rsidR="009F2A13" w:rsidRPr="00AF78D8">
        <w:rPr>
          <w:lang w:val="en-CA"/>
        </w:rPr>
        <w:t>illegality.</w:t>
      </w:r>
      <w:r w:rsidR="00CA52BB" w:rsidRPr="00AF78D8">
        <w:rPr>
          <w:lang w:val="en-CA"/>
        </w:rPr>
        <w:t xml:space="preserve"> </w:t>
      </w:r>
      <w:r w:rsidRPr="00AF78D8">
        <w:rPr>
          <w:lang w:val="en-CA"/>
        </w:rPr>
        <w:t>The Crown</w:t>
      </w:r>
      <w:r w:rsidR="00CF187C" w:rsidRPr="00AF78D8">
        <w:rPr>
          <w:lang w:val="en-CA"/>
        </w:rPr>
        <w:t xml:space="preserve"> </w:t>
      </w:r>
      <w:r w:rsidRPr="00AF78D8">
        <w:rPr>
          <w:lang w:val="en-CA"/>
        </w:rPr>
        <w:t>ha</w:t>
      </w:r>
      <w:r w:rsidR="00CF187C" w:rsidRPr="00AF78D8">
        <w:rPr>
          <w:lang w:val="en-CA"/>
        </w:rPr>
        <w:t>s</w:t>
      </w:r>
      <w:r w:rsidRPr="00AF78D8">
        <w:rPr>
          <w:lang w:val="en-CA"/>
        </w:rPr>
        <w:t xml:space="preserve"> the burden of proving beyond a reasonable doubt that the thing is tainted by </w:t>
      </w:r>
      <w:r w:rsidR="002D486A" w:rsidRPr="00AF78D8">
        <w:rPr>
          <w:lang w:val="en-CA"/>
        </w:rPr>
        <w:t>illegality</w:t>
      </w:r>
      <w:r w:rsidRPr="00AF78D8">
        <w:rPr>
          <w:lang w:val="en-CA"/>
        </w:rPr>
        <w:t>.</w:t>
      </w:r>
      <w:r w:rsidR="00CA52BB" w:rsidRPr="00AF78D8">
        <w:rPr>
          <w:rStyle w:val="Appelnotedebasdep"/>
          <w:lang w:val="en-CA"/>
        </w:rPr>
        <w:footnoteReference w:id="4"/>
      </w:r>
    </w:p>
    <w:p w:rsidR="00CA52BB" w:rsidRPr="00AF78D8" w:rsidRDefault="001044DB" w:rsidP="000748F5">
      <w:pPr>
        <w:pStyle w:val="Paragraphe"/>
        <w:tabs>
          <w:tab w:val="clear" w:pos="360"/>
          <w:tab w:val="num" w:pos="709"/>
        </w:tabs>
        <w:spacing w:line="240" w:lineRule="auto"/>
        <w:rPr>
          <w:lang w:val="en-CA"/>
        </w:rPr>
      </w:pPr>
      <w:r w:rsidRPr="00AF78D8">
        <w:rPr>
          <w:lang w:val="en-CA"/>
        </w:rPr>
        <w:t xml:space="preserve">This principle applies to an application to return the thing seized under the </w:t>
      </w:r>
      <w:r w:rsidRPr="00AF78D8">
        <w:rPr>
          <w:i/>
          <w:iCs/>
          <w:lang w:val="en-CA"/>
        </w:rPr>
        <w:t>Criminal Code</w:t>
      </w:r>
      <w:r w:rsidRPr="00AF78D8">
        <w:rPr>
          <w:lang w:val="en-CA"/>
        </w:rPr>
        <w:t>, another statute,</w:t>
      </w:r>
      <w:r w:rsidRPr="00AF78D8">
        <w:rPr>
          <w:rStyle w:val="Appelnotedebasdep"/>
          <w:lang w:val="en-CA"/>
        </w:rPr>
        <w:t xml:space="preserve"> </w:t>
      </w:r>
      <w:r w:rsidRPr="00AF78D8">
        <w:rPr>
          <w:rStyle w:val="Appelnotedebasdep"/>
          <w:lang w:val="en-CA"/>
        </w:rPr>
        <w:footnoteReference w:id="5"/>
      </w:r>
      <w:r w:rsidRPr="00AF78D8">
        <w:rPr>
          <w:lang w:val="en-CA"/>
        </w:rPr>
        <w:t xml:space="preserve"> or the </w:t>
      </w:r>
      <w:r w:rsidRPr="00AF78D8">
        <w:rPr>
          <w:i/>
          <w:lang w:val="en-CA"/>
        </w:rPr>
        <w:t>Charter</w:t>
      </w:r>
      <w:r w:rsidRPr="00AF78D8">
        <w:rPr>
          <w:lang w:val="en-CA"/>
        </w:rPr>
        <w:t>.</w:t>
      </w:r>
      <w:r w:rsidRPr="00AF78D8">
        <w:rPr>
          <w:rStyle w:val="Appelnotedebasdep"/>
          <w:lang w:val="en-CA"/>
        </w:rPr>
        <w:t xml:space="preserve"> </w:t>
      </w:r>
      <w:r w:rsidRPr="00AF78D8">
        <w:rPr>
          <w:rStyle w:val="Appelnotedebasdep"/>
          <w:lang w:val="en-CA"/>
        </w:rPr>
        <w:footnoteReference w:id="6"/>
      </w:r>
    </w:p>
    <w:p w:rsidR="00660CFB" w:rsidRPr="00AF78D8" w:rsidRDefault="001044DB" w:rsidP="000748F5">
      <w:pPr>
        <w:pStyle w:val="Paragraphe"/>
        <w:tabs>
          <w:tab w:val="clear" w:pos="360"/>
          <w:tab w:val="num" w:pos="709"/>
        </w:tabs>
        <w:spacing w:line="240" w:lineRule="auto"/>
        <w:rPr>
          <w:lang w:val="en-CA"/>
        </w:rPr>
      </w:pPr>
      <w:r w:rsidRPr="00AF78D8">
        <w:rPr>
          <w:lang w:val="en-CA"/>
        </w:rPr>
        <w:t xml:space="preserve">With respect to the person who applies for the return of a thing seized, the procedural </w:t>
      </w:r>
      <w:r w:rsidR="00865EA9" w:rsidRPr="00AF78D8">
        <w:rPr>
          <w:lang w:val="en-CA"/>
        </w:rPr>
        <w:t>vehicle</w:t>
      </w:r>
      <w:r w:rsidRPr="00AF78D8">
        <w:rPr>
          <w:lang w:val="en-CA"/>
        </w:rPr>
        <w:t xml:space="preserve"> is</w:t>
      </w:r>
      <w:r w:rsidR="001C110F" w:rsidRPr="00AF78D8">
        <w:rPr>
          <w:lang w:val="en-CA"/>
        </w:rPr>
        <w:t xml:space="preserve"> </w:t>
      </w:r>
      <w:r w:rsidR="00F471C9">
        <w:rPr>
          <w:lang w:val="en-CA"/>
        </w:rPr>
        <w:t>the one available under</w:t>
      </w:r>
      <w:r w:rsidRPr="00AF78D8">
        <w:rPr>
          <w:lang w:val="en-CA"/>
        </w:rPr>
        <w:t xml:space="preserve"> s. 490(7), (8) and (9) </w:t>
      </w:r>
      <w:r w:rsidRPr="00AF78D8">
        <w:rPr>
          <w:i/>
          <w:iCs/>
          <w:lang w:val="en-CA"/>
        </w:rPr>
        <w:t>Cr. C</w:t>
      </w:r>
      <w:r w:rsidRPr="00AF78D8">
        <w:rPr>
          <w:lang w:val="en-CA"/>
        </w:rPr>
        <w:t>.</w:t>
      </w:r>
    </w:p>
    <w:p w:rsidR="00660CFB" w:rsidRPr="00AF78D8" w:rsidRDefault="001044DB" w:rsidP="000748F5">
      <w:pPr>
        <w:pStyle w:val="Paragraphe"/>
        <w:tabs>
          <w:tab w:val="clear" w:pos="360"/>
          <w:tab w:val="num" w:pos="709"/>
        </w:tabs>
        <w:spacing w:line="240" w:lineRule="auto"/>
        <w:rPr>
          <w:lang w:val="en-CA"/>
        </w:rPr>
      </w:pPr>
      <w:r w:rsidRPr="00AF78D8">
        <w:rPr>
          <w:lang w:val="en-CA"/>
        </w:rPr>
        <w:t xml:space="preserve">As McLachlin </w:t>
      </w:r>
      <w:r w:rsidR="00F471C9">
        <w:rPr>
          <w:lang w:val="en-CA"/>
        </w:rPr>
        <w:t xml:space="preserve">C.J. </w:t>
      </w:r>
      <w:r w:rsidRPr="00AF78D8">
        <w:rPr>
          <w:lang w:val="en-CA"/>
        </w:rPr>
        <w:t xml:space="preserve">explained in </w:t>
      </w:r>
      <w:r w:rsidRPr="00AF78D8">
        <w:rPr>
          <w:i/>
          <w:iCs/>
          <w:lang w:val="en-CA"/>
        </w:rPr>
        <w:t>Raponi</w:t>
      </w:r>
      <w:r w:rsidRPr="00AF78D8">
        <w:rPr>
          <w:lang w:val="en-CA"/>
        </w:rPr>
        <w:t>,</w:t>
      </w:r>
      <w:r w:rsidRPr="00AF78D8">
        <w:rPr>
          <w:rStyle w:val="Appelnotedebasdep"/>
          <w:lang w:val="en-CA"/>
        </w:rPr>
        <w:footnoteReference w:id="7"/>
      </w:r>
      <w:r w:rsidRPr="00AF78D8">
        <w:rPr>
          <w:lang w:val="en-CA"/>
        </w:rPr>
        <w:t xml:space="preserve"> s</w:t>
      </w:r>
      <w:r w:rsidR="00CF187C" w:rsidRPr="00AF78D8">
        <w:rPr>
          <w:lang w:val="en-CA"/>
        </w:rPr>
        <w:t>.</w:t>
      </w:r>
      <w:r w:rsidRPr="00AF78D8">
        <w:rPr>
          <w:lang w:val="en-CA"/>
        </w:rPr>
        <w:t xml:space="preserve"> 490(9) permits return of items where (1) the time for detention has expired and proceedings have not been instituted, or (2) where the time has not expired but the item is not required for an investigation or proceeding.</w:t>
      </w:r>
    </w:p>
    <w:p w:rsidR="0051631B" w:rsidRPr="00AF78D8" w:rsidRDefault="001044DB" w:rsidP="000748F5">
      <w:pPr>
        <w:pStyle w:val="Paragraphe"/>
        <w:tabs>
          <w:tab w:val="clear" w:pos="360"/>
          <w:tab w:val="num" w:pos="709"/>
        </w:tabs>
        <w:spacing w:line="240" w:lineRule="auto"/>
        <w:rPr>
          <w:lang w:val="en-CA"/>
        </w:rPr>
      </w:pPr>
      <w:r w:rsidRPr="00AF78D8">
        <w:rPr>
          <w:lang w:val="en-CA"/>
        </w:rPr>
        <w:t xml:space="preserve">The applicants </w:t>
      </w:r>
      <w:r w:rsidR="00C46EB5" w:rsidRPr="00AF78D8">
        <w:rPr>
          <w:lang w:val="en-CA"/>
        </w:rPr>
        <w:t>submit</w:t>
      </w:r>
      <w:r w:rsidRPr="00AF78D8">
        <w:rPr>
          <w:lang w:val="en-CA"/>
        </w:rPr>
        <w:t xml:space="preserve"> </w:t>
      </w:r>
      <w:r w:rsidRPr="00AF78D8">
        <w:rPr>
          <w:i/>
          <w:lang w:val="en-CA"/>
        </w:rPr>
        <w:t>Canada (Procureur Général) v. Vincent</w:t>
      </w:r>
      <w:r w:rsidR="00F471C9">
        <w:rPr>
          <w:iCs/>
          <w:lang w:val="en-CA"/>
        </w:rPr>
        <w:t>,</w:t>
      </w:r>
      <w:r w:rsidRPr="00AF78D8">
        <w:rPr>
          <w:rStyle w:val="Appelnotedebasdep"/>
          <w:lang w:val="en-CA"/>
        </w:rPr>
        <w:footnoteReference w:id="8"/>
      </w:r>
      <w:r w:rsidRPr="00AF78D8">
        <w:rPr>
          <w:lang w:val="en-CA"/>
        </w:rPr>
        <w:t xml:space="preserve"> where the Court of Appeal reiterated the words of Hugessen J. of the Federal Court of Appeal in </w:t>
      </w:r>
      <w:r w:rsidRPr="00AF78D8">
        <w:rPr>
          <w:i/>
          <w:lang w:val="en-CA"/>
        </w:rPr>
        <w:t>Lagiorgia v. Canada</w:t>
      </w:r>
      <w:r w:rsidR="00CF187C" w:rsidRPr="00AF78D8">
        <w:rPr>
          <w:iCs/>
          <w:lang w:val="en-CA"/>
        </w:rPr>
        <w:t>,</w:t>
      </w:r>
      <w:r w:rsidRPr="00AF78D8">
        <w:rPr>
          <w:rStyle w:val="Appelnotedebasdep"/>
          <w:lang w:val="en-CA"/>
        </w:rPr>
        <w:footnoteReference w:id="9"/>
      </w:r>
      <w:r w:rsidRPr="00AF78D8">
        <w:rPr>
          <w:lang w:val="en-CA"/>
        </w:rPr>
        <w:t xml:space="preserve"> who noted that the only circumstances he could think of as justifying a court in refusing an order to return property seized in violation of ss. 8 and </w:t>
      </w:r>
      <w:r w:rsidRPr="00AF78D8">
        <w:rPr>
          <w:lang w:val="en-CA"/>
        </w:rPr>
        <w:lastRenderedPageBreak/>
        <w:t xml:space="preserve">24 of the </w:t>
      </w:r>
      <w:r w:rsidRPr="00AF78D8">
        <w:rPr>
          <w:i/>
          <w:lang w:val="en-CA"/>
        </w:rPr>
        <w:t>Charter</w:t>
      </w:r>
      <w:r w:rsidRPr="00AF78D8">
        <w:rPr>
          <w:lang w:val="en-CA"/>
        </w:rPr>
        <w:t xml:space="preserve"> would be where the initial possession by the person from whom the things were seized was itself illicit, </w:t>
      </w:r>
      <w:r w:rsidR="003F46C3">
        <w:rPr>
          <w:lang w:val="en-CA"/>
        </w:rPr>
        <w:t>for example</w:t>
      </w:r>
      <w:r w:rsidRPr="00AF78D8">
        <w:rPr>
          <w:lang w:val="en-CA"/>
        </w:rPr>
        <w:t xml:space="preserve"> in the case of prohibited drugs or weapons.</w:t>
      </w:r>
    </w:p>
    <w:p w:rsidR="00585C39" w:rsidRPr="00AF78D8" w:rsidRDefault="00FE5B7B" w:rsidP="000748F5">
      <w:pPr>
        <w:pStyle w:val="Paragraphe"/>
        <w:tabs>
          <w:tab w:val="clear" w:pos="360"/>
          <w:tab w:val="num" w:pos="709"/>
        </w:tabs>
        <w:spacing w:line="240" w:lineRule="auto"/>
        <w:rPr>
          <w:lang w:val="en-CA"/>
        </w:rPr>
      </w:pPr>
      <w:r w:rsidRPr="00AF78D8">
        <w:rPr>
          <w:lang w:val="en-CA"/>
        </w:rPr>
        <w:t xml:space="preserve">In that case, the applicants had search warrants for unstamped tobacco products issued in violation of s. 8 of the </w:t>
      </w:r>
      <w:r w:rsidRPr="00AF78D8">
        <w:rPr>
          <w:i/>
          <w:iCs/>
          <w:lang w:val="en-CA"/>
        </w:rPr>
        <w:t>Charter</w:t>
      </w:r>
      <w:r w:rsidRPr="00AF78D8">
        <w:rPr>
          <w:lang w:val="en-CA"/>
        </w:rPr>
        <w:t xml:space="preserve"> </w:t>
      </w:r>
      <w:r w:rsidR="0073463F" w:rsidRPr="00AF78D8">
        <w:rPr>
          <w:lang w:val="en-CA"/>
        </w:rPr>
        <w:t xml:space="preserve">quashed </w:t>
      </w:r>
      <w:r w:rsidRPr="00AF78D8">
        <w:rPr>
          <w:lang w:val="en-CA"/>
        </w:rPr>
        <w:t xml:space="preserve">through an application for </w:t>
      </w:r>
      <w:r w:rsidRPr="00AF78D8">
        <w:rPr>
          <w:i/>
          <w:iCs/>
          <w:lang w:val="en-CA"/>
        </w:rPr>
        <w:t>certiorari</w:t>
      </w:r>
      <w:r w:rsidRPr="00AF78D8">
        <w:rPr>
          <w:lang w:val="en-CA"/>
        </w:rPr>
        <w:t xml:space="preserve"> presented to a judge of the Superior Court</w:t>
      </w:r>
      <w:r w:rsidR="00585C39" w:rsidRPr="00AF78D8">
        <w:rPr>
          <w:lang w:val="en-CA"/>
        </w:rPr>
        <w:t>.</w:t>
      </w:r>
    </w:p>
    <w:p w:rsidR="00585C39" w:rsidRPr="00AF78D8" w:rsidRDefault="00BA1558" w:rsidP="000748F5">
      <w:pPr>
        <w:pStyle w:val="Paragraphe"/>
        <w:tabs>
          <w:tab w:val="clear" w:pos="360"/>
          <w:tab w:val="num" w:pos="709"/>
        </w:tabs>
        <w:spacing w:line="240" w:lineRule="auto"/>
        <w:rPr>
          <w:lang w:val="en-CA"/>
        </w:rPr>
      </w:pPr>
      <w:r w:rsidRPr="00AF78D8">
        <w:rPr>
          <w:lang w:val="en-CA"/>
        </w:rPr>
        <w:t xml:space="preserve">The trial judge then ordered the return of all the property seized to the persons who had possession </w:t>
      </w:r>
      <w:r w:rsidR="0073463F" w:rsidRPr="00AF78D8">
        <w:rPr>
          <w:lang w:val="en-CA"/>
        </w:rPr>
        <w:t xml:space="preserve">of it </w:t>
      </w:r>
      <w:r w:rsidRPr="00AF78D8">
        <w:rPr>
          <w:lang w:val="en-CA"/>
        </w:rPr>
        <w:t>at the time of the search.</w:t>
      </w:r>
    </w:p>
    <w:p w:rsidR="00585C39" w:rsidRPr="00AF78D8" w:rsidRDefault="00FE5B7B" w:rsidP="000748F5">
      <w:pPr>
        <w:pStyle w:val="Paragraphe"/>
        <w:tabs>
          <w:tab w:val="clear" w:pos="360"/>
          <w:tab w:val="num" w:pos="709"/>
        </w:tabs>
        <w:spacing w:line="240" w:lineRule="auto"/>
        <w:rPr>
          <w:lang w:val="en-CA"/>
        </w:rPr>
      </w:pPr>
      <w:r w:rsidRPr="00AF78D8">
        <w:rPr>
          <w:lang w:val="en-CA"/>
        </w:rPr>
        <w:t xml:space="preserve">The Court of Appeal </w:t>
      </w:r>
      <w:r w:rsidR="002D2198" w:rsidRPr="00AF78D8">
        <w:rPr>
          <w:lang w:val="en-CA"/>
        </w:rPr>
        <w:t xml:space="preserve">allowed </w:t>
      </w:r>
      <w:r w:rsidRPr="00AF78D8">
        <w:rPr>
          <w:lang w:val="en-CA"/>
        </w:rPr>
        <w:t xml:space="preserve">the appeal </w:t>
      </w:r>
      <w:r w:rsidR="002D2198" w:rsidRPr="00AF78D8">
        <w:rPr>
          <w:lang w:val="en-CA"/>
        </w:rPr>
        <w:t>in part and set aside</w:t>
      </w:r>
      <w:r w:rsidRPr="00AF78D8">
        <w:rPr>
          <w:lang w:val="en-CA"/>
        </w:rPr>
        <w:t xml:space="preserve"> the order to return the items seized.</w:t>
      </w:r>
    </w:p>
    <w:p w:rsidR="00585C39" w:rsidRPr="00AF78D8" w:rsidRDefault="003F46C3" w:rsidP="000748F5">
      <w:pPr>
        <w:pStyle w:val="Paragraphe"/>
        <w:tabs>
          <w:tab w:val="clear" w:pos="360"/>
          <w:tab w:val="num" w:pos="709"/>
        </w:tabs>
        <w:spacing w:line="240" w:lineRule="auto"/>
        <w:rPr>
          <w:lang w:val="en-CA"/>
        </w:rPr>
      </w:pPr>
      <w:r>
        <w:rPr>
          <w:lang w:val="en-CA"/>
        </w:rPr>
        <w:t>In the view of t</w:t>
      </w:r>
      <w:r w:rsidR="00BA1558" w:rsidRPr="00AF78D8">
        <w:rPr>
          <w:lang w:val="en-CA"/>
        </w:rPr>
        <w:t>he three applicants in the case at bar</w:t>
      </w:r>
      <w:r>
        <w:rPr>
          <w:lang w:val="en-CA"/>
        </w:rPr>
        <w:t>,</w:t>
      </w:r>
      <w:r w:rsidR="00BA1558" w:rsidRPr="00AF78D8">
        <w:rPr>
          <w:lang w:val="en-CA"/>
        </w:rPr>
        <w:t xml:space="preserve"> that case is distinguishable from this </w:t>
      </w:r>
      <w:r>
        <w:rPr>
          <w:lang w:val="en-CA"/>
        </w:rPr>
        <w:t xml:space="preserve">one </w:t>
      </w:r>
      <w:r w:rsidR="00BA1558" w:rsidRPr="00AF78D8">
        <w:rPr>
          <w:lang w:val="en-CA"/>
        </w:rPr>
        <w:t xml:space="preserve">in that </w:t>
      </w:r>
      <w:r w:rsidR="00CF187C" w:rsidRPr="00AF78D8">
        <w:rPr>
          <w:lang w:val="en-CA"/>
        </w:rPr>
        <w:t xml:space="preserve">the </w:t>
      </w:r>
      <w:r w:rsidR="00BA1558" w:rsidRPr="00AF78D8">
        <w:rPr>
          <w:lang w:val="en-CA"/>
        </w:rPr>
        <w:t>unstamped tobacco products for which the excise duties ha</w:t>
      </w:r>
      <w:r w:rsidR="00CF187C" w:rsidRPr="00AF78D8">
        <w:rPr>
          <w:lang w:val="en-CA"/>
        </w:rPr>
        <w:t>d</w:t>
      </w:r>
      <w:r w:rsidR="00BA1558" w:rsidRPr="00AF78D8">
        <w:rPr>
          <w:lang w:val="en-CA"/>
        </w:rPr>
        <w:t xml:space="preserve"> not been paid </w:t>
      </w:r>
      <w:r w:rsidR="00CF187C" w:rsidRPr="00AF78D8">
        <w:rPr>
          <w:lang w:val="en-CA"/>
        </w:rPr>
        <w:t>constituted</w:t>
      </w:r>
      <w:r w:rsidR="00BA1558" w:rsidRPr="00AF78D8">
        <w:rPr>
          <w:lang w:val="en-CA"/>
        </w:rPr>
        <w:t xml:space="preserve"> property rendered </w:t>
      </w:r>
      <w:r w:rsidR="00E26A80" w:rsidRPr="00AF78D8">
        <w:rPr>
          <w:lang w:val="en-CA"/>
        </w:rPr>
        <w:t>unlawful</w:t>
      </w:r>
      <w:r w:rsidR="00587E43" w:rsidRPr="00AF78D8">
        <w:rPr>
          <w:lang w:val="en-CA"/>
        </w:rPr>
        <w:t xml:space="preserve"> </w:t>
      </w:r>
      <w:r w:rsidR="00BA1558" w:rsidRPr="00AF78D8">
        <w:rPr>
          <w:lang w:val="en-CA"/>
        </w:rPr>
        <w:t xml:space="preserve">and unreturnable </w:t>
      </w:r>
      <w:r w:rsidR="000B7DF0" w:rsidRPr="00AF78D8">
        <w:rPr>
          <w:lang w:val="en-CA"/>
        </w:rPr>
        <w:t xml:space="preserve">on its very face </w:t>
      </w:r>
      <w:r w:rsidR="00BA1558" w:rsidRPr="00AF78D8">
        <w:rPr>
          <w:lang w:val="en-CA"/>
        </w:rPr>
        <w:t xml:space="preserve">by the mere </w:t>
      </w:r>
      <w:r>
        <w:rPr>
          <w:lang w:val="en-CA"/>
        </w:rPr>
        <w:t>operation</w:t>
      </w:r>
      <w:r w:rsidR="00BA1558" w:rsidRPr="00AF78D8">
        <w:rPr>
          <w:lang w:val="en-CA"/>
        </w:rPr>
        <w:t xml:space="preserve"> of the </w:t>
      </w:r>
      <w:r w:rsidR="00BA1558" w:rsidRPr="00AF78D8">
        <w:rPr>
          <w:i/>
          <w:lang w:val="en-CA"/>
        </w:rPr>
        <w:t>Excise Act</w:t>
      </w:r>
      <w:r w:rsidR="00BA1558" w:rsidRPr="00AF78D8">
        <w:rPr>
          <w:lang w:val="en-CA"/>
        </w:rPr>
        <w:t>.</w:t>
      </w:r>
    </w:p>
    <w:p w:rsidR="00B93F6C" w:rsidRPr="00AF78D8" w:rsidRDefault="00760CFE" w:rsidP="00B93F6C">
      <w:pPr>
        <w:pStyle w:val="Paragraphe"/>
        <w:tabs>
          <w:tab w:val="clear" w:pos="360"/>
          <w:tab w:val="num" w:pos="709"/>
        </w:tabs>
        <w:spacing w:line="240" w:lineRule="auto"/>
        <w:rPr>
          <w:lang w:val="en-CA"/>
        </w:rPr>
      </w:pPr>
      <w:r w:rsidRPr="00AF78D8">
        <w:rPr>
          <w:lang w:val="en-CA"/>
        </w:rPr>
        <w:t>With respect, this is not determinative of the dispute.</w:t>
      </w:r>
      <w:r w:rsidR="00F90222" w:rsidRPr="00AF78D8">
        <w:rPr>
          <w:lang w:val="en-CA"/>
        </w:rPr>
        <w:t xml:space="preserve"> </w:t>
      </w:r>
      <w:r w:rsidRPr="00AF78D8">
        <w:rPr>
          <w:lang w:val="en-CA"/>
        </w:rPr>
        <w:t xml:space="preserve">In this case, the Court must in fact decide whether the Crown can present its application, </w:t>
      </w:r>
      <w:r w:rsidR="00C46EB5" w:rsidRPr="00AF78D8">
        <w:rPr>
          <w:lang w:val="en-CA"/>
        </w:rPr>
        <w:t>which</w:t>
      </w:r>
      <w:r w:rsidRPr="00AF78D8">
        <w:rPr>
          <w:lang w:val="en-CA"/>
        </w:rPr>
        <w:t xml:space="preserve"> aims to establish, beyond a reasonable doubt, that the property concerned by the application for forfeiture is tainted by </w:t>
      </w:r>
      <w:r w:rsidR="002D486A" w:rsidRPr="00AF78D8">
        <w:rPr>
          <w:lang w:val="en-CA"/>
        </w:rPr>
        <w:t>illegality</w:t>
      </w:r>
      <w:r w:rsidRPr="00AF78D8">
        <w:rPr>
          <w:lang w:val="en-CA"/>
        </w:rPr>
        <w:t xml:space="preserve"> under s. 490(9) </w:t>
      </w:r>
      <w:r w:rsidRPr="00AF78D8">
        <w:rPr>
          <w:i/>
          <w:iCs/>
          <w:lang w:val="en-CA"/>
        </w:rPr>
        <w:t>Cr. C</w:t>
      </w:r>
      <w:r w:rsidRPr="00AF78D8">
        <w:rPr>
          <w:lang w:val="en-CA"/>
        </w:rPr>
        <w:t>., that it is proceeds of crime under s.</w:t>
      </w:r>
      <w:r w:rsidR="00CF187C" w:rsidRPr="00AF78D8">
        <w:rPr>
          <w:lang w:val="en-CA"/>
        </w:rPr>
        <w:t> </w:t>
      </w:r>
      <w:r w:rsidRPr="00AF78D8">
        <w:rPr>
          <w:lang w:val="en-CA"/>
        </w:rPr>
        <w:t xml:space="preserve">462.37(2) </w:t>
      </w:r>
      <w:r w:rsidRPr="00AF78D8">
        <w:rPr>
          <w:i/>
          <w:iCs/>
          <w:lang w:val="en-CA"/>
        </w:rPr>
        <w:t>Cr. C</w:t>
      </w:r>
      <w:r w:rsidRPr="00AF78D8">
        <w:rPr>
          <w:lang w:val="en-CA"/>
        </w:rPr>
        <w:t>.</w:t>
      </w:r>
      <w:r w:rsidR="00E74D94" w:rsidRPr="00AF78D8">
        <w:rPr>
          <w:lang w:val="en-CA"/>
        </w:rPr>
        <w:t>,</w:t>
      </w:r>
      <w:r w:rsidRPr="00AF78D8">
        <w:rPr>
          <w:lang w:val="en-CA"/>
        </w:rPr>
        <w:t xml:space="preserve"> or </w:t>
      </w:r>
      <w:r w:rsidR="003F46C3">
        <w:rPr>
          <w:lang w:val="en-CA"/>
        </w:rPr>
        <w:t xml:space="preserve">that it is </w:t>
      </w:r>
      <w:r w:rsidRPr="00AF78D8">
        <w:rPr>
          <w:lang w:val="en-CA"/>
        </w:rPr>
        <w:t xml:space="preserve">offence-related property </w:t>
      </w:r>
      <w:r w:rsidR="00C46EB5" w:rsidRPr="00AF78D8">
        <w:rPr>
          <w:lang w:val="en-CA"/>
        </w:rPr>
        <w:t>under</w:t>
      </w:r>
      <w:r w:rsidRPr="00AF78D8">
        <w:rPr>
          <w:lang w:val="en-CA"/>
        </w:rPr>
        <w:t xml:space="preserve"> s. 16(2) </w:t>
      </w:r>
      <w:r w:rsidRPr="00AF78D8">
        <w:rPr>
          <w:i/>
          <w:iCs/>
          <w:lang w:val="en-CA"/>
        </w:rPr>
        <w:t>CDSA</w:t>
      </w:r>
      <w:r w:rsidRPr="00AF78D8">
        <w:rPr>
          <w:lang w:val="en-CA"/>
        </w:rPr>
        <w:t>.</w:t>
      </w:r>
    </w:p>
    <w:p w:rsidR="00B93F6C" w:rsidRPr="00AF78D8" w:rsidRDefault="00760CFE" w:rsidP="00B93F6C">
      <w:pPr>
        <w:pStyle w:val="Paragraphe"/>
        <w:tabs>
          <w:tab w:val="clear" w:pos="360"/>
          <w:tab w:val="num" w:pos="709"/>
        </w:tabs>
        <w:spacing w:line="240" w:lineRule="auto"/>
        <w:rPr>
          <w:lang w:val="en-CA"/>
        </w:rPr>
      </w:pPr>
      <w:r w:rsidRPr="00AF78D8">
        <w:rPr>
          <w:lang w:val="en-CA"/>
        </w:rPr>
        <w:t xml:space="preserve">An application for forfeiture is included in the expression </w:t>
      </w:r>
      <w:r w:rsidR="00CF187C" w:rsidRPr="00AF78D8">
        <w:rPr>
          <w:lang w:val="en-CA"/>
        </w:rPr>
        <w:t>“</w:t>
      </w:r>
      <w:r w:rsidRPr="00AF78D8">
        <w:rPr>
          <w:lang w:val="en-CA"/>
        </w:rPr>
        <w:t>other proceeding</w:t>
      </w:r>
      <w:r w:rsidR="00CF187C" w:rsidRPr="00AF78D8">
        <w:rPr>
          <w:lang w:val="en-CA"/>
        </w:rPr>
        <w:t>”</w:t>
      </w:r>
      <w:r w:rsidRPr="00AF78D8">
        <w:rPr>
          <w:lang w:val="en-CA"/>
        </w:rPr>
        <w:t xml:space="preserve"> used in s. 490(1)(b) </w:t>
      </w:r>
      <w:r w:rsidRPr="00AF78D8">
        <w:rPr>
          <w:i/>
          <w:iCs/>
          <w:lang w:val="en-CA"/>
        </w:rPr>
        <w:t>Cr. C</w:t>
      </w:r>
      <w:r w:rsidRPr="00AF78D8">
        <w:rPr>
          <w:lang w:val="en-CA"/>
        </w:rPr>
        <w:t>., which provides that the thing can be detained until it is required to be produced for the purposes of a preliminary inquiry, trial or other proceeding.</w:t>
      </w:r>
      <w:r w:rsidR="00F90222" w:rsidRPr="00AF78D8">
        <w:rPr>
          <w:rStyle w:val="Appelnotedebasdep"/>
          <w:lang w:val="en-CA"/>
        </w:rPr>
        <w:footnoteReference w:id="10"/>
      </w:r>
    </w:p>
    <w:p w:rsidR="00B93F6C" w:rsidRPr="00AF78D8" w:rsidRDefault="00760CFE" w:rsidP="00B93F6C">
      <w:pPr>
        <w:pStyle w:val="Paragraphe"/>
        <w:tabs>
          <w:tab w:val="clear" w:pos="360"/>
          <w:tab w:val="num" w:pos="709"/>
        </w:tabs>
        <w:spacing w:line="240" w:lineRule="auto"/>
        <w:rPr>
          <w:lang w:val="en-CA"/>
        </w:rPr>
      </w:pPr>
      <w:r w:rsidRPr="00AF78D8">
        <w:rPr>
          <w:lang w:val="en-CA"/>
        </w:rPr>
        <w:t xml:space="preserve">Although s. 490(7) and (8) </w:t>
      </w:r>
      <w:r w:rsidRPr="00AF78D8">
        <w:rPr>
          <w:i/>
          <w:iCs/>
          <w:lang w:val="en-CA"/>
        </w:rPr>
        <w:t>Cr. C</w:t>
      </w:r>
      <w:r w:rsidRPr="00AF78D8">
        <w:rPr>
          <w:lang w:val="en-CA"/>
        </w:rPr>
        <w:t xml:space="preserve">. </w:t>
      </w:r>
      <w:r w:rsidR="00E26A80" w:rsidRPr="00AF78D8">
        <w:rPr>
          <w:lang w:val="en-CA"/>
        </w:rPr>
        <w:t>might be understood</w:t>
      </w:r>
      <w:r w:rsidRPr="00AF78D8">
        <w:rPr>
          <w:lang w:val="en-CA"/>
        </w:rPr>
        <w:t xml:space="preserve">, when considered in isolation, </w:t>
      </w:r>
      <w:r w:rsidR="00E26A80" w:rsidRPr="00AF78D8">
        <w:rPr>
          <w:lang w:val="en-CA"/>
        </w:rPr>
        <w:t>to</w:t>
      </w:r>
      <w:r w:rsidRPr="00AF78D8">
        <w:rPr>
          <w:lang w:val="en-CA"/>
        </w:rPr>
        <w:t xml:space="preserve"> apply </w:t>
      </w:r>
      <w:r w:rsidR="00E657C2" w:rsidRPr="00AF78D8">
        <w:rPr>
          <w:lang w:val="en-CA"/>
        </w:rPr>
        <w:t>once</w:t>
      </w:r>
      <w:r w:rsidRPr="00AF78D8">
        <w:rPr>
          <w:lang w:val="en-CA"/>
        </w:rPr>
        <w:t xml:space="preserve"> proceedings have been instituted, s. 490(9) </w:t>
      </w:r>
      <w:r w:rsidRPr="00AF78D8">
        <w:rPr>
          <w:i/>
          <w:iCs/>
          <w:lang w:val="en-CA"/>
        </w:rPr>
        <w:t>Cr. C</w:t>
      </w:r>
      <w:r w:rsidRPr="00AF78D8">
        <w:rPr>
          <w:lang w:val="en-CA"/>
        </w:rPr>
        <w:t xml:space="preserve">. applies </w:t>
      </w:r>
      <w:r w:rsidR="00614CE7">
        <w:rPr>
          <w:lang w:val="en-CA"/>
        </w:rPr>
        <w:t xml:space="preserve">only </w:t>
      </w:r>
      <w:r w:rsidRPr="00AF78D8">
        <w:rPr>
          <w:lang w:val="en-CA"/>
        </w:rPr>
        <w:t xml:space="preserve">when proceedings have </w:t>
      </w:r>
      <w:r w:rsidR="00CF187C" w:rsidRPr="00AF78D8">
        <w:rPr>
          <w:lang w:val="en-CA"/>
        </w:rPr>
        <w:t xml:space="preserve">not </w:t>
      </w:r>
      <w:r w:rsidRPr="00AF78D8">
        <w:rPr>
          <w:lang w:val="en-CA"/>
        </w:rPr>
        <w:t>been instituted or their det</w:t>
      </w:r>
      <w:r w:rsidR="00CF187C" w:rsidRPr="00AF78D8">
        <w:rPr>
          <w:lang w:val="en-CA"/>
        </w:rPr>
        <w:t>ention</w:t>
      </w:r>
      <w:r w:rsidRPr="00AF78D8">
        <w:rPr>
          <w:lang w:val="en-CA"/>
        </w:rPr>
        <w:t xml:space="preserve"> is no longer necessary.</w:t>
      </w:r>
      <w:r w:rsidR="00B93F6C" w:rsidRPr="00AF78D8">
        <w:rPr>
          <w:rStyle w:val="Appelnotedebasdep"/>
          <w:lang w:val="en-CA"/>
        </w:rPr>
        <w:footnoteReference w:id="11"/>
      </w:r>
    </w:p>
    <w:p w:rsidR="00F90222" w:rsidRPr="00AF78D8" w:rsidRDefault="00760CFE" w:rsidP="000748F5">
      <w:pPr>
        <w:pStyle w:val="Paragraphe"/>
        <w:tabs>
          <w:tab w:val="clear" w:pos="360"/>
          <w:tab w:val="num" w:pos="709"/>
        </w:tabs>
        <w:spacing w:line="240" w:lineRule="auto"/>
        <w:rPr>
          <w:lang w:val="en-CA"/>
        </w:rPr>
      </w:pPr>
      <w:r w:rsidRPr="00AF78D8">
        <w:rPr>
          <w:lang w:val="en-CA"/>
        </w:rPr>
        <w:t xml:space="preserve">Once proceedings </w:t>
      </w:r>
      <w:r w:rsidR="000A5E5D" w:rsidRPr="00AF78D8">
        <w:rPr>
          <w:lang w:val="en-CA"/>
        </w:rPr>
        <w:t xml:space="preserve">have been </w:t>
      </w:r>
      <w:r w:rsidRPr="00AF78D8">
        <w:rPr>
          <w:lang w:val="en-CA"/>
        </w:rPr>
        <w:t>instituted, the court with jurisdiction over the trial is the one with jurisdiction to render orders with respect to the property.</w:t>
      </w:r>
      <w:r w:rsidR="0088500C" w:rsidRPr="00AF78D8">
        <w:rPr>
          <w:rStyle w:val="Appelnotedebasdep"/>
          <w:lang w:val="en-CA"/>
        </w:rPr>
        <w:footnoteReference w:id="12"/>
      </w:r>
    </w:p>
    <w:p w:rsidR="0088500C" w:rsidRPr="00AF78D8" w:rsidRDefault="00760CFE" w:rsidP="000748F5">
      <w:pPr>
        <w:pStyle w:val="Paragraphe"/>
        <w:tabs>
          <w:tab w:val="clear" w:pos="360"/>
          <w:tab w:val="num" w:pos="709"/>
        </w:tabs>
        <w:spacing w:line="240" w:lineRule="auto"/>
        <w:rPr>
          <w:lang w:val="en-CA"/>
        </w:rPr>
      </w:pPr>
      <w:r w:rsidRPr="00AF78D8">
        <w:rPr>
          <w:lang w:val="en-CA"/>
        </w:rPr>
        <w:t xml:space="preserve">Section 490 </w:t>
      </w:r>
      <w:r w:rsidRPr="00AF78D8">
        <w:rPr>
          <w:i/>
          <w:iCs/>
          <w:lang w:val="en-CA"/>
        </w:rPr>
        <w:t>Cr. C</w:t>
      </w:r>
      <w:r w:rsidRPr="00AF78D8">
        <w:rPr>
          <w:lang w:val="en-CA"/>
        </w:rPr>
        <w:t xml:space="preserve">. does not </w:t>
      </w:r>
      <w:r w:rsidR="000A5E5D" w:rsidRPr="00AF78D8">
        <w:rPr>
          <w:lang w:val="en-CA"/>
        </w:rPr>
        <w:t>provide</w:t>
      </w:r>
      <w:r w:rsidRPr="00AF78D8">
        <w:rPr>
          <w:lang w:val="en-CA"/>
        </w:rPr>
        <w:t xml:space="preserve"> a specific mechanism </w:t>
      </w:r>
      <w:r w:rsidR="000D1926">
        <w:rPr>
          <w:lang w:val="en-CA"/>
        </w:rPr>
        <w:t>to deal with</w:t>
      </w:r>
      <w:r w:rsidRPr="00AF78D8">
        <w:rPr>
          <w:lang w:val="en-CA"/>
        </w:rPr>
        <w:t xml:space="preserve"> the </w:t>
      </w:r>
      <w:r w:rsidR="006D17DE" w:rsidRPr="00AF78D8">
        <w:rPr>
          <w:lang w:val="en-CA"/>
        </w:rPr>
        <w:t>disposal</w:t>
      </w:r>
      <w:r w:rsidRPr="00AF78D8">
        <w:rPr>
          <w:lang w:val="en-CA"/>
        </w:rPr>
        <w:t xml:space="preserve"> of exhibits</w:t>
      </w:r>
      <w:r w:rsidR="000D1926">
        <w:rPr>
          <w:lang w:val="en-CA"/>
        </w:rPr>
        <w:t>,</w:t>
      </w:r>
      <w:r w:rsidRPr="00AF78D8">
        <w:rPr>
          <w:lang w:val="en-CA"/>
        </w:rPr>
        <w:t xml:space="preserve"> and the only provision that refers to a time subsequent to the institution of proceedings is s. 490(4) </w:t>
      </w:r>
      <w:r w:rsidRPr="00AF78D8">
        <w:rPr>
          <w:i/>
          <w:iCs/>
          <w:lang w:val="en-CA"/>
        </w:rPr>
        <w:t>Cr. C</w:t>
      </w:r>
      <w:r w:rsidRPr="00AF78D8">
        <w:rPr>
          <w:lang w:val="en-CA"/>
        </w:rPr>
        <w:t>., which provides that the justice of the peace</w:t>
      </w:r>
      <w:r w:rsidR="000A5E5D" w:rsidRPr="00AF78D8">
        <w:rPr>
          <w:lang w:val="en-CA"/>
        </w:rPr>
        <w:t xml:space="preserve"> must</w:t>
      </w:r>
      <w:r w:rsidRPr="00AF78D8">
        <w:rPr>
          <w:lang w:val="en-CA"/>
        </w:rPr>
        <w:t xml:space="preserve"> </w:t>
      </w:r>
      <w:r w:rsidR="009428A6" w:rsidRPr="00AF78D8">
        <w:rPr>
          <w:lang w:val="en-CA"/>
        </w:rPr>
        <w:t>fo</w:t>
      </w:r>
      <w:r w:rsidR="00651E7C" w:rsidRPr="00AF78D8">
        <w:rPr>
          <w:lang w:val="en-CA"/>
        </w:rPr>
        <w:t>r</w:t>
      </w:r>
      <w:r w:rsidR="009428A6" w:rsidRPr="00AF78D8">
        <w:rPr>
          <w:lang w:val="en-CA"/>
        </w:rPr>
        <w:t>ward</w:t>
      </w:r>
      <w:r w:rsidRPr="00AF78D8">
        <w:rPr>
          <w:lang w:val="en-CA"/>
        </w:rPr>
        <w:t xml:space="preserve"> </w:t>
      </w:r>
      <w:r w:rsidR="009428A6" w:rsidRPr="00AF78D8">
        <w:rPr>
          <w:lang w:val="en-CA"/>
        </w:rPr>
        <w:t xml:space="preserve">the thing detained </w:t>
      </w:r>
      <w:r w:rsidRPr="00AF78D8">
        <w:rPr>
          <w:lang w:val="en-CA"/>
        </w:rPr>
        <w:t xml:space="preserve">to the clerk of the court before which the trial </w:t>
      </w:r>
      <w:r w:rsidR="000407C6" w:rsidRPr="00AF78D8">
        <w:rPr>
          <w:lang w:val="en-CA"/>
        </w:rPr>
        <w:t xml:space="preserve">will </w:t>
      </w:r>
      <w:r w:rsidRPr="00AF78D8">
        <w:rPr>
          <w:lang w:val="en-CA"/>
        </w:rPr>
        <w:t xml:space="preserve">take place </w:t>
      </w:r>
      <w:r w:rsidR="000407C6" w:rsidRPr="00AF78D8">
        <w:rPr>
          <w:lang w:val="en-CA"/>
        </w:rPr>
        <w:t>for detention</w:t>
      </w:r>
      <w:r w:rsidRPr="00AF78D8">
        <w:rPr>
          <w:lang w:val="en-CA"/>
        </w:rPr>
        <w:t>.</w:t>
      </w:r>
    </w:p>
    <w:p w:rsidR="00C66328" w:rsidRPr="00AF78D8" w:rsidRDefault="00760CFE" w:rsidP="000748F5">
      <w:pPr>
        <w:pStyle w:val="Paragraphe"/>
        <w:tabs>
          <w:tab w:val="clear" w:pos="360"/>
          <w:tab w:val="num" w:pos="709"/>
        </w:tabs>
        <w:spacing w:line="240" w:lineRule="auto"/>
        <w:rPr>
          <w:lang w:val="en-CA"/>
        </w:rPr>
      </w:pPr>
      <w:r w:rsidRPr="00AF78D8">
        <w:rPr>
          <w:lang w:val="en-CA"/>
        </w:rPr>
        <w:lastRenderedPageBreak/>
        <w:t xml:space="preserve">Section 490(4) </w:t>
      </w:r>
      <w:r w:rsidRPr="00AF78D8">
        <w:rPr>
          <w:i/>
          <w:iCs/>
          <w:lang w:val="en-CA"/>
        </w:rPr>
        <w:t>Cr. C</w:t>
      </w:r>
      <w:r w:rsidRPr="00AF78D8">
        <w:rPr>
          <w:lang w:val="en-CA"/>
        </w:rPr>
        <w:t xml:space="preserve">. </w:t>
      </w:r>
      <w:r w:rsidR="000D1926">
        <w:rPr>
          <w:lang w:val="en-CA"/>
        </w:rPr>
        <w:t xml:space="preserve">is merely </w:t>
      </w:r>
      <w:r w:rsidR="00773C35" w:rsidRPr="00AF78D8">
        <w:rPr>
          <w:lang w:val="en-CA"/>
        </w:rPr>
        <w:t>declar</w:t>
      </w:r>
      <w:r w:rsidR="000D1926">
        <w:rPr>
          <w:lang w:val="en-CA"/>
        </w:rPr>
        <w:t xml:space="preserve">atory of </w:t>
      </w:r>
      <w:r w:rsidRPr="00AF78D8">
        <w:rPr>
          <w:lang w:val="en-CA"/>
        </w:rPr>
        <w:t>a practice</w:t>
      </w:r>
      <w:r w:rsidR="000D1926">
        <w:rPr>
          <w:lang w:val="en-CA"/>
        </w:rPr>
        <w:t>;</w:t>
      </w:r>
      <w:r w:rsidR="00A50582" w:rsidRPr="00AF78D8">
        <w:rPr>
          <w:lang w:val="en-CA"/>
        </w:rPr>
        <w:t xml:space="preserve"> it does not provide </w:t>
      </w:r>
      <w:r w:rsidR="000D1926">
        <w:rPr>
          <w:lang w:val="en-CA"/>
        </w:rPr>
        <w:t>for the making of any order</w:t>
      </w:r>
      <w:r w:rsidRPr="00AF78D8">
        <w:rPr>
          <w:lang w:val="en-CA"/>
        </w:rPr>
        <w:t>.</w:t>
      </w:r>
      <w:r w:rsidR="00C66328" w:rsidRPr="00AF78D8">
        <w:rPr>
          <w:rStyle w:val="Appelnotedebasdep"/>
          <w:lang w:val="en-CA"/>
        </w:rPr>
        <w:footnoteReference w:id="13"/>
      </w:r>
    </w:p>
    <w:p w:rsidR="00C66328" w:rsidRPr="00AF78D8" w:rsidRDefault="0050122F" w:rsidP="000748F5">
      <w:pPr>
        <w:pStyle w:val="Paragraphe"/>
        <w:tabs>
          <w:tab w:val="clear" w:pos="360"/>
          <w:tab w:val="num" w:pos="709"/>
        </w:tabs>
        <w:spacing w:line="240" w:lineRule="auto"/>
        <w:rPr>
          <w:lang w:val="en-CA"/>
        </w:rPr>
      </w:pPr>
      <w:r w:rsidRPr="00AF78D8">
        <w:rPr>
          <w:lang w:val="en-CA"/>
        </w:rPr>
        <w:t xml:space="preserve">The Crown </w:t>
      </w:r>
      <w:r w:rsidR="00F035C4" w:rsidRPr="00AF78D8">
        <w:rPr>
          <w:lang w:val="en-CA"/>
        </w:rPr>
        <w:t xml:space="preserve">referred to </w:t>
      </w:r>
      <w:r w:rsidRPr="00AF78D8">
        <w:rPr>
          <w:lang w:val="en-CA"/>
        </w:rPr>
        <w:t>a</w:t>
      </w:r>
      <w:r w:rsidR="00F035C4" w:rsidRPr="00AF78D8">
        <w:rPr>
          <w:lang w:val="en-CA"/>
        </w:rPr>
        <w:t xml:space="preserve"> </w:t>
      </w:r>
      <w:r w:rsidRPr="00AF78D8">
        <w:rPr>
          <w:lang w:val="en-CA"/>
        </w:rPr>
        <w:t xml:space="preserve">judicial debate </w:t>
      </w:r>
      <w:r w:rsidR="00F04A19" w:rsidRPr="00AF78D8">
        <w:rPr>
          <w:lang w:val="en-CA"/>
        </w:rPr>
        <w:t>that</w:t>
      </w:r>
      <w:r w:rsidR="000D1926">
        <w:rPr>
          <w:lang w:val="en-CA"/>
        </w:rPr>
        <w:t xml:space="preserve"> has</w:t>
      </w:r>
      <w:r w:rsidR="00F04A19" w:rsidRPr="00AF78D8">
        <w:rPr>
          <w:lang w:val="en-CA"/>
        </w:rPr>
        <w:t xml:space="preserve"> emerged </w:t>
      </w:r>
      <w:r w:rsidRPr="00AF78D8">
        <w:rPr>
          <w:lang w:val="en-CA"/>
        </w:rPr>
        <w:t xml:space="preserve">in Quebec </w:t>
      </w:r>
      <w:r w:rsidR="00F04A19" w:rsidRPr="00AF78D8">
        <w:rPr>
          <w:lang w:val="en-CA"/>
        </w:rPr>
        <w:t>in recent weeks</w:t>
      </w:r>
      <w:r w:rsidR="00F04A19" w:rsidRPr="00AF78D8" w:rsidDel="00F035C4">
        <w:rPr>
          <w:lang w:val="en-CA"/>
        </w:rPr>
        <w:t xml:space="preserve"> </w:t>
      </w:r>
      <w:r w:rsidRPr="00AF78D8">
        <w:rPr>
          <w:lang w:val="en-CA"/>
        </w:rPr>
        <w:t xml:space="preserve">concerning the application of s. 490(9) </w:t>
      </w:r>
      <w:r w:rsidRPr="00AF78D8">
        <w:rPr>
          <w:i/>
          <w:iCs/>
          <w:lang w:val="en-CA"/>
        </w:rPr>
        <w:t>Cr.</w:t>
      </w:r>
      <w:r w:rsidR="009428A6" w:rsidRPr="00AF78D8">
        <w:rPr>
          <w:i/>
          <w:iCs/>
          <w:lang w:val="en-CA"/>
        </w:rPr>
        <w:t> </w:t>
      </w:r>
      <w:r w:rsidRPr="00AF78D8">
        <w:rPr>
          <w:i/>
          <w:iCs/>
          <w:lang w:val="en-CA"/>
        </w:rPr>
        <w:t>C</w:t>
      </w:r>
      <w:r w:rsidRPr="00AF78D8">
        <w:rPr>
          <w:lang w:val="en-CA"/>
        </w:rPr>
        <w:t xml:space="preserve">. after proceedings </w:t>
      </w:r>
      <w:r w:rsidR="000D1926">
        <w:rPr>
          <w:lang w:val="en-CA"/>
        </w:rPr>
        <w:t>have</w:t>
      </w:r>
      <w:r w:rsidRPr="00AF78D8">
        <w:rPr>
          <w:lang w:val="en-CA"/>
        </w:rPr>
        <w:t xml:space="preserve"> commenced.</w:t>
      </w:r>
    </w:p>
    <w:p w:rsidR="00C66328" w:rsidRPr="00AF78D8" w:rsidRDefault="00047C70" w:rsidP="000748F5">
      <w:pPr>
        <w:pStyle w:val="Paragraphe"/>
        <w:tabs>
          <w:tab w:val="clear" w:pos="360"/>
          <w:tab w:val="num" w:pos="709"/>
        </w:tabs>
        <w:spacing w:line="240" w:lineRule="auto"/>
        <w:rPr>
          <w:lang w:val="en-CA"/>
        </w:rPr>
      </w:pPr>
      <w:r>
        <w:rPr>
          <w:lang w:val="en-CA"/>
        </w:rPr>
        <w:t>I</w:t>
      </w:r>
      <w:r w:rsidR="0050122F" w:rsidRPr="00AF78D8">
        <w:rPr>
          <w:lang w:val="en-CA"/>
        </w:rPr>
        <w:t xml:space="preserve">n </w:t>
      </w:r>
      <w:r w:rsidR="0050122F" w:rsidRPr="00AF78D8">
        <w:rPr>
          <w:i/>
          <w:lang w:val="en-CA"/>
        </w:rPr>
        <w:t>Guimont</w:t>
      </w:r>
      <w:r w:rsidR="0050122F" w:rsidRPr="00AF78D8">
        <w:rPr>
          <w:lang w:val="en-CA"/>
        </w:rPr>
        <w:t xml:space="preserve">, </w:t>
      </w:r>
      <w:r>
        <w:rPr>
          <w:lang w:val="en-CA"/>
        </w:rPr>
        <w:t xml:space="preserve">on the one hand, </w:t>
      </w:r>
      <w:r w:rsidR="0050122F" w:rsidRPr="00AF78D8">
        <w:rPr>
          <w:lang w:val="en-CA"/>
        </w:rPr>
        <w:t>the Court of App</w:t>
      </w:r>
      <w:r w:rsidR="009428A6" w:rsidRPr="00AF78D8">
        <w:rPr>
          <w:lang w:val="en-CA"/>
        </w:rPr>
        <w:t>e</w:t>
      </w:r>
      <w:r w:rsidR="0050122F" w:rsidRPr="00AF78D8">
        <w:rPr>
          <w:lang w:val="en-CA"/>
        </w:rPr>
        <w:t xml:space="preserve">al of Quebec </w:t>
      </w:r>
      <w:r>
        <w:rPr>
          <w:lang w:val="en-CA"/>
        </w:rPr>
        <w:t>upheld</w:t>
      </w:r>
      <w:r w:rsidR="0050122F" w:rsidRPr="00AF78D8">
        <w:rPr>
          <w:lang w:val="en-CA"/>
        </w:rPr>
        <w:t xml:space="preserve"> the judgment of Huot</w:t>
      </w:r>
      <w:r w:rsidR="009428A6" w:rsidRPr="00AF78D8">
        <w:rPr>
          <w:lang w:val="en-CA"/>
        </w:rPr>
        <w:t> </w:t>
      </w:r>
      <w:r w:rsidR="0050122F" w:rsidRPr="00AF78D8">
        <w:rPr>
          <w:lang w:val="en-CA"/>
        </w:rPr>
        <w:t>J.</w:t>
      </w:r>
      <w:r w:rsidR="00D33571" w:rsidRPr="00AF78D8">
        <w:rPr>
          <w:lang w:val="en-CA"/>
        </w:rPr>
        <w:t xml:space="preserve"> of the Superior Court</w:t>
      </w:r>
      <w:r w:rsidR="0050122F" w:rsidRPr="00AF78D8">
        <w:rPr>
          <w:lang w:val="en-CA"/>
        </w:rPr>
        <w:t xml:space="preserve"> </w:t>
      </w:r>
      <w:r>
        <w:rPr>
          <w:lang w:val="en-CA"/>
        </w:rPr>
        <w:t xml:space="preserve">that applied </w:t>
      </w:r>
      <w:r w:rsidR="0050122F" w:rsidRPr="00AF78D8">
        <w:rPr>
          <w:lang w:val="en-CA"/>
        </w:rPr>
        <w:t xml:space="preserve">s. 490(9) </w:t>
      </w:r>
      <w:r w:rsidR="00D33571" w:rsidRPr="00AF78D8">
        <w:rPr>
          <w:i/>
          <w:iCs/>
          <w:lang w:val="en-CA"/>
        </w:rPr>
        <w:t>Cr. C</w:t>
      </w:r>
      <w:r w:rsidR="00D33571" w:rsidRPr="00AF78D8">
        <w:rPr>
          <w:lang w:val="en-CA"/>
        </w:rPr>
        <w:t xml:space="preserve">. </w:t>
      </w:r>
      <w:r w:rsidR="0050122F" w:rsidRPr="00AF78D8">
        <w:rPr>
          <w:lang w:val="en-CA"/>
        </w:rPr>
        <w:t>after a stay of proceedings for unreasonable delay,</w:t>
      </w:r>
      <w:r w:rsidR="0050122F" w:rsidRPr="00AF78D8">
        <w:rPr>
          <w:rStyle w:val="Appelnotedebasdep"/>
          <w:lang w:val="en-CA"/>
        </w:rPr>
        <w:footnoteReference w:id="14"/>
      </w:r>
      <w:r w:rsidR="0050122F" w:rsidRPr="00AF78D8">
        <w:rPr>
          <w:lang w:val="en-CA"/>
        </w:rPr>
        <w:t xml:space="preserve"> when the appellants had </w:t>
      </w:r>
      <w:r w:rsidR="00F04A19" w:rsidRPr="00AF78D8">
        <w:rPr>
          <w:lang w:val="en-CA"/>
        </w:rPr>
        <w:t>initially</w:t>
      </w:r>
      <w:r w:rsidR="0050122F" w:rsidRPr="00AF78D8">
        <w:rPr>
          <w:lang w:val="en-CA"/>
        </w:rPr>
        <w:t xml:space="preserve"> been convicted by a jury.</w:t>
      </w:r>
    </w:p>
    <w:p w:rsidR="008D0BE6" w:rsidRPr="00AF78D8" w:rsidRDefault="0074074F" w:rsidP="00B93F6C">
      <w:pPr>
        <w:pStyle w:val="Paragraphe"/>
        <w:tabs>
          <w:tab w:val="clear" w:pos="360"/>
          <w:tab w:val="num" w:pos="709"/>
        </w:tabs>
        <w:spacing w:line="240" w:lineRule="auto"/>
        <w:rPr>
          <w:lang w:val="en-CA"/>
        </w:rPr>
      </w:pPr>
      <w:r w:rsidRPr="00AF78D8">
        <w:rPr>
          <w:lang w:val="en-CA"/>
        </w:rPr>
        <w:t>On the other</w:t>
      </w:r>
      <w:r w:rsidR="00901FDC" w:rsidRPr="00AF78D8">
        <w:rPr>
          <w:lang w:val="en-CA"/>
        </w:rPr>
        <w:t xml:space="preserve"> hand</w:t>
      </w:r>
      <w:r w:rsidR="0050122F" w:rsidRPr="00AF78D8">
        <w:rPr>
          <w:lang w:val="en-CA"/>
        </w:rPr>
        <w:t xml:space="preserve">, Lachance J. concluded that a provincial court judge </w:t>
      </w:r>
      <w:r w:rsidR="005C672F" w:rsidRPr="00AF78D8">
        <w:rPr>
          <w:lang w:val="en-CA"/>
        </w:rPr>
        <w:t xml:space="preserve">does </w:t>
      </w:r>
      <w:r w:rsidR="0050122F" w:rsidRPr="00AF78D8">
        <w:rPr>
          <w:lang w:val="en-CA"/>
        </w:rPr>
        <w:t xml:space="preserve">not have the power under s. 490 </w:t>
      </w:r>
      <w:r w:rsidR="0050122F" w:rsidRPr="00AF78D8">
        <w:rPr>
          <w:i/>
          <w:iCs/>
          <w:lang w:val="en-CA"/>
        </w:rPr>
        <w:t>Cr. C</w:t>
      </w:r>
      <w:r w:rsidR="0050122F" w:rsidRPr="00AF78D8">
        <w:rPr>
          <w:lang w:val="en-CA"/>
        </w:rPr>
        <w:t xml:space="preserve">. to order the </w:t>
      </w:r>
      <w:r w:rsidR="00803FAB" w:rsidRPr="00AF78D8">
        <w:rPr>
          <w:lang w:val="en-CA"/>
        </w:rPr>
        <w:t>forfeiture</w:t>
      </w:r>
      <w:r w:rsidR="0050122F" w:rsidRPr="00AF78D8">
        <w:rPr>
          <w:lang w:val="en-CA"/>
        </w:rPr>
        <w:t xml:space="preserve"> of property </w:t>
      </w:r>
      <w:r w:rsidR="007B14DB" w:rsidRPr="00AF78D8">
        <w:rPr>
          <w:lang w:val="en-CA"/>
        </w:rPr>
        <w:t>not</w:t>
      </w:r>
      <w:r w:rsidR="0050122F" w:rsidRPr="00AF78D8">
        <w:rPr>
          <w:lang w:val="en-CA"/>
        </w:rPr>
        <w:t xml:space="preserve"> filed into evidence </w:t>
      </w:r>
      <w:r w:rsidR="00901FDC" w:rsidRPr="00AF78D8">
        <w:rPr>
          <w:lang w:val="en-CA"/>
        </w:rPr>
        <w:t>after</w:t>
      </w:r>
      <w:r w:rsidR="005C672F" w:rsidRPr="00AF78D8">
        <w:rPr>
          <w:lang w:val="en-CA"/>
        </w:rPr>
        <w:t xml:space="preserve"> the</w:t>
      </w:r>
      <w:r w:rsidR="0050122F" w:rsidRPr="00AF78D8">
        <w:rPr>
          <w:lang w:val="en-CA"/>
        </w:rPr>
        <w:t xml:space="preserve"> trial </w:t>
      </w:r>
      <w:r w:rsidR="000D1926">
        <w:rPr>
          <w:lang w:val="en-CA"/>
        </w:rPr>
        <w:t xml:space="preserve">is </w:t>
      </w:r>
      <w:r w:rsidR="005C672F" w:rsidRPr="00AF78D8">
        <w:rPr>
          <w:lang w:val="en-CA"/>
        </w:rPr>
        <w:t xml:space="preserve">over </w:t>
      </w:r>
      <w:r w:rsidR="0050122F" w:rsidRPr="00AF78D8">
        <w:rPr>
          <w:lang w:val="en-CA"/>
        </w:rPr>
        <w:t xml:space="preserve">and </w:t>
      </w:r>
      <w:r w:rsidR="00901FDC" w:rsidRPr="00AF78D8">
        <w:rPr>
          <w:lang w:val="en-CA"/>
        </w:rPr>
        <w:t>that</w:t>
      </w:r>
      <w:r w:rsidR="005C672F" w:rsidRPr="00AF78D8">
        <w:rPr>
          <w:lang w:val="en-CA"/>
        </w:rPr>
        <w:t xml:space="preserve"> </w:t>
      </w:r>
      <w:r w:rsidR="0050122F" w:rsidRPr="00AF78D8">
        <w:rPr>
          <w:lang w:val="en-CA"/>
        </w:rPr>
        <w:t xml:space="preserve">the </w:t>
      </w:r>
      <w:r w:rsidR="005C672F" w:rsidRPr="00AF78D8">
        <w:rPr>
          <w:lang w:val="en-CA"/>
        </w:rPr>
        <w:t xml:space="preserve">entire </w:t>
      </w:r>
      <w:r w:rsidR="0050122F" w:rsidRPr="00AF78D8">
        <w:rPr>
          <w:lang w:val="en-CA"/>
        </w:rPr>
        <w:t xml:space="preserve">regime of s. 490 </w:t>
      </w:r>
      <w:r w:rsidR="0050122F" w:rsidRPr="00AF78D8">
        <w:rPr>
          <w:i/>
          <w:iCs/>
          <w:lang w:val="en-CA"/>
        </w:rPr>
        <w:t>Cr. C</w:t>
      </w:r>
      <w:r w:rsidR="0050122F" w:rsidRPr="00AF78D8">
        <w:rPr>
          <w:lang w:val="en-CA"/>
        </w:rPr>
        <w:t xml:space="preserve">. </w:t>
      </w:r>
      <w:r w:rsidR="000D1926">
        <w:rPr>
          <w:lang w:val="en-CA"/>
        </w:rPr>
        <w:t xml:space="preserve">is </w:t>
      </w:r>
      <w:r w:rsidR="0050122F" w:rsidRPr="00AF78D8">
        <w:rPr>
          <w:lang w:val="en-CA"/>
        </w:rPr>
        <w:t>no longer appli</w:t>
      </w:r>
      <w:r w:rsidR="005C672F" w:rsidRPr="00AF78D8">
        <w:rPr>
          <w:lang w:val="en-CA"/>
        </w:rPr>
        <w:t>cable</w:t>
      </w:r>
      <w:r w:rsidR="0050122F" w:rsidRPr="00AF78D8">
        <w:rPr>
          <w:lang w:val="en-CA"/>
        </w:rPr>
        <w:t xml:space="preserve"> once</w:t>
      </w:r>
      <w:r w:rsidR="00901FDC" w:rsidRPr="00AF78D8">
        <w:rPr>
          <w:lang w:val="en-CA"/>
        </w:rPr>
        <w:t xml:space="preserve"> the</w:t>
      </w:r>
      <w:r w:rsidR="0050122F" w:rsidRPr="00AF78D8">
        <w:rPr>
          <w:lang w:val="en-CA"/>
        </w:rPr>
        <w:t xml:space="preserve"> proceedings </w:t>
      </w:r>
      <w:r w:rsidR="000D1926">
        <w:rPr>
          <w:lang w:val="en-CA"/>
        </w:rPr>
        <w:t xml:space="preserve">have </w:t>
      </w:r>
      <w:r w:rsidR="0050122F" w:rsidRPr="00AF78D8">
        <w:rPr>
          <w:lang w:val="en-CA"/>
        </w:rPr>
        <w:t>commence</w:t>
      </w:r>
      <w:r w:rsidR="000D1926">
        <w:rPr>
          <w:lang w:val="en-CA"/>
        </w:rPr>
        <w:t>d</w:t>
      </w:r>
      <w:r w:rsidR="0050122F" w:rsidRPr="00AF78D8">
        <w:rPr>
          <w:lang w:val="en-CA"/>
        </w:rPr>
        <w:t>.</w:t>
      </w:r>
      <w:r w:rsidR="007A0C45" w:rsidRPr="00AF78D8">
        <w:rPr>
          <w:rStyle w:val="Appelnotedebasdep"/>
          <w:lang w:val="en-CA"/>
        </w:rPr>
        <w:footnoteReference w:id="15"/>
      </w:r>
      <w:r w:rsidR="008D0BE6" w:rsidRPr="00AF78D8">
        <w:rPr>
          <w:lang w:val="en-CA"/>
        </w:rPr>
        <w:t xml:space="preserve"> </w:t>
      </w:r>
      <w:r w:rsidR="00047C70">
        <w:rPr>
          <w:lang w:val="en-CA"/>
        </w:rPr>
        <w:t xml:space="preserve">However, she </w:t>
      </w:r>
      <w:r w:rsidR="005C672F" w:rsidRPr="00AF78D8">
        <w:rPr>
          <w:lang w:val="en-CA"/>
        </w:rPr>
        <w:t>specif</w:t>
      </w:r>
      <w:r w:rsidR="00047C70">
        <w:rPr>
          <w:lang w:val="en-CA"/>
        </w:rPr>
        <w:t xml:space="preserve">ied </w:t>
      </w:r>
      <w:r w:rsidR="0050122F" w:rsidRPr="00AF78D8">
        <w:rPr>
          <w:lang w:val="en-CA"/>
        </w:rPr>
        <w:t xml:space="preserve">that as a judge of the Court of Québec, the judge nevertheless had jurisdiction to act, but </w:t>
      </w:r>
      <w:r w:rsidR="000D1926">
        <w:rPr>
          <w:lang w:val="en-CA"/>
        </w:rPr>
        <w:t xml:space="preserve">under </w:t>
      </w:r>
      <w:r w:rsidR="0050122F" w:rsidRPr="00AF78D8">
        <w:rPr>
          <w:lang w:val="en-CA"/>
        </w:rPr>
        <w:t>s.</w:t>
      </w:r>
      <w:r w:rsidRPr="00AF78D8">
        <w:rPr>
          <w:lang w:val="en-CA"/>
        </w:rPr>
        <w:t> </w:t>
      </w:r>
      <w:r w:rsidR="0050122F" w:rsidRPr="00AF78D8">
        <w:rPr>
          <w:lang w:val="en-CA"/>
        </w:rPr>
        <w:t xml:space="preserve">491.1(2) </w:t>
      </w:r>
      <w:r w:rsidR="0050122F" w:rsidRPr="00AF78D8">
        <w:rPr>
          <w:i/>
          <w:iCs/>
          <w:lang w:val="en-CA"/>
        </w:rPr>
        <w:t>Cr. C</w:t>
      </w:r>
      <w:r w:rsidR="0050122F" w:rsidRPr="00AF78D8">
        <w:rPr>
          <w:lang w:val="en-CA"/>
        </w:rPr>
        <w:t>.</w:t>
      </w:r>
      <w:r w:rsidR="008D0BE6" w:rsidRPr="00AF78D8">
        <w:rPr>
          <w:rStyle w:val="Appelnotedebasdep"/>
          <w:lang w:val="en-CA"/>
        </w:rPr>
        <w:footnoteReference w:id="16"/>
      </w:r>
    </w:p>
    <w:p w:rsidR="008D0BE6" w:rsidRPr="00AF78D8" w:rsidRDefault="0050122F" w:rsidP="000748F5">
      <w:pPr>
        <w:pStyle w:val="Paragraphe"/>
        <w:tabs>
          <w:tab w:val="clear" w:pos="360"/>
          <w:tab w:val="num" w:pos="709"/>
        </w:tabs>
        <w:spacing w:line="240" w:lineRule="auto"/>
        <w:rPr>
          <w:lang w:val="en-CA"/>
        </w:rPr>
      </w:pPr>
      <w:r w:rsidRPr="00AF78D8">
        <w:rPr>
          <w:lang w:val="en-CA"/>
        </w:rPr>
        <w:t xml:space="preserve">In </w:t>
      </w:r>
      <w:r w:rsidRPr="00AF78D8">
        <w:rPr>
          <w:i/>
          <w:lang w:val="en-CA"/>
        </w:rPr>
        <w:t>Guimont</w:t>
      </w:r>
      <w:r w:rsidRPr="00AF78D8">
        <w:rPr>
          <w:lang w:val="en-CA"/>
        </w:rPr>
        <w:t>,</w:t>
      </w:r>
      <w:r w:rsidRPr="00AF78D8">
        <w:rPr>
          <w:rStyle w:val="Appelnotedebasdep"/>
          <w:lang w:val="en-CA"/>
        </w:rPr>
        <w:footnoteReference w:id="17"/>
      </w:r>
      <w:r w:rsidRPr="00AF78D8">
        <w:rPr>
          <w:lang w:val="en-CA"/>
        </w:rPr>
        <w:t xml:space="preserve"> the Court of Appeal </w:t>
      </w:r>
      <w:r w:rsidR="00047C70">
        <w:rPr>
          <w:lang w:val="en-CA"/>
        </w:rPr>
        <w:t xml:space="preserve">authorized </w:t>
      </w:r>
      <w:r w:rsidRPr="00AF78D8">
        <w:rPr>
          <w:lang w:val="en-CA"/>
        </w:rPr>
        <w:t xml:space="preserve">the appeal in 2017 and ordered </w:t>
      </w:r>
      <w:r w:rsidR="00901FDC" w:rsidRPr="00AF78D8">
        <w:rPr>
          <w:lang w:val="en-CA"/>
        </w:rPr>
        <w:t>a</w:t>
      </w:r>
      <w:r w:rsidRPr="00AF78D8">
        <w:rPr>
          <w:lang w:val="en-CA"/>
        </w:rPr>
        <w:t xml:space="preserve"> stay of proceedings due to unreasonable delay.</w:t>
      </w:r>
      <w:r w:rsidR="00B34AC4" w:rsidRPr="00AF78D8">
        <w:rPr>
          <w:lang w:val="en-CA"/>
        </w:rPr>
        <w:t xml:space="preserve"> </w:t>
      </w:r>
      <w:r w:rsidRPr="00AF78D8">
        <w:rPr>
          <w:lang w:val="en-CA"/>
        </w:rPr>
        <w:t xml:space="preserve">The Crown presented an application for disposal of things seized </w:t>
      </w:r>
      <w:r w:rsidR="0074074F" w:rsidRPr="00AF78D8">
        <w:rPr>
          <w:lang w:val="en-CA"/>
        </w:rPr>
        <w:t>under</w:t>
      </w:r>
      <w:r w:rsidRPr="00AF78D8">
        <w:rPr>
          <w:lang w:val="en-CA"/>
        </w:rPr>
        <w:t xml:space="preserve"> s. 490(5) a</w:t>
      </w:r>
      <w:r w:rsidR="00803FAB" w:rsidRPr="00AF78D8">
        <w:rPr>
          <w:lang w:val="en-CA"/>
        </w:rPr>
        <w:t>n</w:t>
      </w:r>
      <w:r w:rsidRPr="00AF78D8">
        <w:rPr>
          <w:lang w:val="en-CA"/>
        </w:rPr>
        <w:t xml:space="preserve">d (9) </w:t>
      </w:r>
      <w:r w:rsidRPr="00AF78D8">
        <w:rPr>
          <w:i/>
          <w:iCs/>
          <w:lang w:val="en-CA"/>
        </w:rPr>
        <w:t>Cr. C</w:t>
      </w:r>
      <w:r w:rsidRPr="00AF78D8">
        <w:rPr>
          <w:lang w:val="en-CA"/>
        </w:rPr>
        <w:t>.</w:t>
      </w:r>
    </w:p>
    <w:p w:rsidR="008D0BE6" w:rsidRPr="00AF78D8" w:rsidRDefault="0050122F" w:rsidP="000748F5">
      <w:pPr>
        <w:pStyle w:val="Paragraphe"/>
        <w:tabs>
          <w:tab w:val="clear" w:pos="360"/>
          <w:tab w:val="num" w:pos="709"/>
        </w:tabs>
        <w:spacing w:line="240" w:lineRule="auto"/>
        <w:rPr>
          <w:lang w:val="en-CA"/>
        </w:rPr>
      </w:pPr>
      <w:r w:rsidRPr="00AF78D8">
        <w:rPr>
          <w:lang w:val="en-CA"/>
        </w:rPr>
        <w:t xml:space="preserve">At the same time, the appellants presented an application for </w:t>
      </w:r>
      <w:r w:rsidR="0074074F" w:rsidRPr="00AF78D8">
        <w:rPr>
          <w:lang w:val="en-CA"/>
        </w:rPr>
        <w:t xml:space="preserve">the </w:t>
      </w:r>
      <w:r w:rsidRPr="00AF78D8">
        <w:rPr>
          <w:lang w:val="en-CA"/>
        </w:rPr>
        <w:t xml:space="preserve">return of seized property </w:t>
      </w:r>
      <w:r w:rsidR="0074074F" w:rsidRPr="00AF78D8">
        <w:rPr>
          <w:lang w:val="en-CA"/>
        </w:rPr>
        <w:t>under</w:t>
      </w:r>
      <w:r w:rsidRPr="00AF78D8">
        <w:rPr>
          <w:lang w:val="en-CA"/>
        </w:rPr>
        <w:t xml:space="preserve"> s. 490(7) and (9) </w:t>
      </w:r>
      <w:r w:rsidRPr="00AF78D8">
        <w:rPr>
          <w:i/>
          <w:iCs/>
          <w:lang w:val="en-CA"/>
        </w:rPr>
        <w:t>Cr. C.</w:t>
      </w:r>
    </w:p>
    <w:p w:rsidR="008D0BE6" w:rsidRPr="00AF78D8" w:rsidRDefault="0050122F" w:rsidP="000748F5">
      <w:pPr>
        <w:pStyle w:val="Paragraphe"/>
        <w:tabs>
          <w:tab w:val="clear" w:pos="360"/>
          <w:tab w:val="num" w:pos="709"/>
        </w:tabs>
        <w:spacing w:line="240" w:lineRule="auto"/>
        <w:rPr>
          <w:lang w:val="en-CA"/>
        </w:rPr>
      </w:pPr>
      <w:r w:rsidRPr="00AF78D8">
        <w:rPr>
          <w:lang w:val="en-CA"/>
        </w:rPr>
        <w:t xml:space="preserve">The Court of Appeal concluded that the judge </w:t>
      </w:r>
      <w:r w:rsidR="00CA52EA" w:rsidRPr="00AF78D8">
        <w:rPr>
          <w:lang w:val="en-CA"/>
        </w:rPr>
        <w:t xml:space="preserve">had </w:t>
      </w:r>
      <w:r w:rsidRPr="00AF78D8">
        <w:rPr>
          <w:lang w:val="en-CA"/>
        </w:rPr>
        <w:t>not err</w:t>
      </w:r>
      <w:r w:rsidR="00CA52EA" w:rsidRPr="00AF78D8">
        <w:rPr>
          <w:lang w:val="en-CA"/>
        </w:rPr>
        <w:t>ed</w:t>
      </w:r>
      <w:r w:rsidRPr="00AF78D8">
        <w:rPr>
          <w:lang w:val="en-CA"/>
        </w:rPr>
        <w:t xml:space="preserve"> in ordering the forfeiture of the seized </w:t>
      </w:r>
      <w:r w:rsidR="00CA52EA" w:rsidRPr="00AF78D8">
        <w:rPr>
          <w:lang w:val="en-CA"/>
        </w:rPr>
        <w:t>items</w:t>
      </w:r>
      <w:r w:rsidR="00047C70">
        <w:rPr>
          <w:lang w:val="en-CA"/>
        </w:rPr>
        <w:t>,</w:t>
      </w:r>
      <w:r w:rsidRPr="00AF78D8">
        <w:rPr>
          <w:lang w:val="en-CA"/>
        </w:rPr>
        <w:t xml:space="preserve"> </w:t>
      </w:r>
      <w:r w:rsidR="00047C70">
        <w:rPr>
          <w:lang w:val="en-CA"/>
        </w:rPr>
        <w:t xml:space="preserve">noting </w:t>
      </w:r>
      <w:r w:rsidRPr="00AF78D8">
        <w:rPr>
          <w:lang w:val="en-CA"/>
        </w:rPr>
        <w:t>that</w:t>
      </w:r>
      <w:r w:rsidR="005A60A8" w:rsidRPr="00AF78D8">
        <w:rPr>
          <w:lang w:val="en-CA"/>
        </w:rPr>
        <w:t>,</w:t>
      </w:r>
      <w:r w:rsidRPr="00AF78D8">
        <w:rPr>
          <w:lang w:val="en-CA"/>
        </w:rPr>
        <w:t xml:space="preserve"> at the </w:t>
      </w:r>
      <w:r w:rsidR="00047C70">
        <w:rPr>
          <w:lang w:val="en-CA"/>
        </w:rPr>
        <w:t xml:space="preserve">stage of the </w:t>
      </w:r>
      <w:r w:rsidRPr="00AF78D8">
        <w:rPr>
          <w:lang w:val="en-CA"/>
        </w:rPr>
        <w:t xml:space="preserve">disposal or </w:t>
      </w:r>
      <w:r w:rsidR="00803FAB" w:rsidRPr="00AF78D8">
        <w:rPr>
          <w:lang w:val="en-CA"/>
        </w:rPr>
        <w:t>return</w:t>
      </w:r>
      <w:r w:rsidRPr="00AF78D8">
        <w:rPr>
          <w:lang w:val="en-CA"/>
        </w:rPr>
        <w:t xml:space="preserve"> of seized property, the guilt or innocence of the accused </w:t>
      </w:r>
      <w:r w:rsidR="00047C70">
        <w:rPr>
          <w:lang w:val="en-CA"/>
        </w:rPr>
        <w:t xml:space="preserve">is no longer in question </w:t>
      </w:r>
      <w:r w:rsidRPr="00AF78D8">
        <w:rPr>
          <w:lang w:val="en-CA"/>
        </w:rPr>
        <w:t xml:space="preserve">and the </w:t>
      </w:r>
      <w:r w:rsidR="00803FAB" w:rsidRPr="00AF78D8">
        <w:rPr>
          <w:lang w:val="en-CA"/>
        </w:rPr>
        <w:t>debate</w:t>
      </w:r>
      <w:r w:rsidRPr="00AF78D8">
        <w:rPr>
          <w:lang w:val="en-CA"/>
        </w:rPr>
        <w:t xml:space="preserve"> has shifted to the </w:t>
      </w:r>
      <w:r w:rsidR="00CA52EA" w:rsidRPr="00AF78D8">
        <w:rPr>
          <w:lang w:val="en-CA"/>
        </w:rPr>
        <w:t xml:space="preserve">legitimacy </w:t>
      </w:r>
      <w:r w:rsidRPr="00AF78D8">
        <w:rPr>
          <w:lang w:val="en-CA"/>
        </w:rPr>
        <w:t xml:space="preserve">and </w:t>
      </w:r>
      <w:r w:rsidR="00585DB3" w:rsidRPr="00AF78D8">
        <w:rPr>
          <w:lang w:val="en-CA"/>
        </w:rPr>
        <w:t>lawfulness</w:t>
      </w:r>
      <w:r w:rsidRPr="00AF78D8">
        <w:rPr>
          <w:lang w:val="en-CA"/>
        </w:rPr>
        <w:t xml:space="preserve"> of the possession.</w:t>
      </w:r>
    </w:p>
    <w:p w:rsidR="008D0BE6" w:rsidRPr="00AF78D8" w:rsidRDefault="0050122F" w:rsidP="000748F5">
      <w:pPr>
        <w:pStyle w:val="Paragraphe"/>
        <w:tabs>
          <w:tab w:val="clear" w:pos="360"/>
          <w:tab w:val="num" w:pos="709"/>
        </w:tabs>
        <w:spacing w:line="240" w:lineRule="auto"/>
        <w:rPr>
          <w:lang w:val="en-CA"/>
        </w:rPr>
      </w:pPr>
      <w:r w:rsidRPr="00AF78D8">
        <w:rPr>
          <w:lang w:val="en-CA"/>
        </w:rPr>
        <w:t xml:space="preserve">In </w:t>
      </w:r>
      <w:r w:rsidRPr="00AF78D8">
        <w:rPr>
          <w:i/>
          <w:lang w:val="en-CA"/>
        </w:rPr>
        <w:t>9141-2033 Québec inc.</w:t>
      </w:r>
      <w:r w:rsidRPr="00AF78D8">
        <w:rPr>
          <w:lang w:val="en-CA"/>
        </w:rPr>
        <w:t>,</w:t>
      </w:r>
      <w:r w:rsidR="007A13EF" w:rsidRPr="00AF78D8">
        <w:rPr>
          <w:rStyle w:val="Appelnotedebasdep"/>
          <w:lang w:val="en-CA"/>
        </w:rPr>
        <w:footnoteReference w:id="18"/>
      </w:r>
      <w:r w:rsidRPr="00AF78D8">
        <w:rPr>
          <w:lang w:val="en-CA"/>
        </w:rPr>
        <w:t xml:space="preserve"> Lachance</w:t>
      </w:r>
      <w:r w:rsidR="00F64DCA" w:rsidRPr="00AF78D8">
        <w:rPr>
          <w:lang w:val="en-CA"/>
        </w:rPr>
        <w:t xml:space="preserve"> J.</w:t>
      </w:r>
      <w:r w:rsidRPr="00AF78D8">
        <w:rPr>
          <w:lang w:val="en-CA"/>
        </w:rPr>
        <w:t xml:space="preserve"> concluded that the trial judge who acquitted the two co-accused had used the wrong procedural vehicle by </w:t>
      </w:r>
      <w:r w:rsidR="00F64DCA" w:rsidRPr="00AF78D8">
        <w:rPr>
          <w:lang w:val="en-CA"/>
        </w:rPr>
        <w:t>mistakenly</w:t>
      </w:r>
      <w:r w:rsidRPr="00AF78D8">
        <w:rPr>
          <w:lang w:val="en-CA"/>
        </w:rPr>
        <w:t xml:space="preserve"> interpreting s. 490(9) to find</w:t>
      </w:r>
      <w:r w:rsidR="00047C70">
        <w:rPr>
          <w:lang w:val="en-CA"/>
        </w:rPr>
        <w:t xml:space="preserve"> in it</w:t>
      </w:r>
      <w:r w:rsidRPr="00AF78D8">
        <w:rPr>
          <w:lang w:val="en-CA"/>
        </w:rPr>
        <w:t xml:space="preserve"> the power to order the </w:t>
      </w:r>
      <w:r w:rsidR="00803FAB" w:rsidRPr="00AF78D8">
        <w:rPr>
          <w:lang w:val="en-CA"/>
        </w:rPr>
        <w:t>forfeiture</w:t>
      </w:r>
      <w:r w:rsidRPr="00AF78D8">
        <w:rPr>
          <w:lang w:val="en-CA"/>
        </w:rPr>
        <w:t xml:space="preserve"> of the truck seized without a warrant </w:t>
      </w:r>
      <w:r w:rsidR="0089623F" w:rsidRPr="00AF78D8">
        <w:rPr>
          <w:lang w:val="en-CA"/>
        </w:rPr>
        <w:t xml:space="preserve">that had </w:t>
      </w:r>
      <w:r w:rsidRPr="00AF78D8">
        <w:rPr>
          <w:lang w:val="en-CA"/>
        </w:rPr>
        <w:t xml:space="preserve">not </w:t>
      </w:r>
      <w:r w:rsidR="0089623F" w:rsidRPr="00AF78D8">
        <w:rPr>
          <w:lang w:val="en-CA"/>
        </w:rPr>
        <w:t xml:space="preserve">been </w:t>
      </w:r>
      <w:r w:rsidRPr="00AF78D8">
        <w:rPr>
          <w:lang w:val="en-CA"/>
        </w:rPr>
        <w:t>filed into evidence during the trial.</w:t>
      </w:r>
    </w:p>
    <w:p w:rsidR="00AC229E" w:rsidRPr="00AF78D8" w:rsidRDefault="0050122F" w:rsidP="000748F5">
      <w:pPr>
        <w:pStyle w:val="Paragraphe"/>
        <w:tabs>
          <w:tab w:val="clear" w:pos="360"/>
          <w:tab w:val="num" w:pos="709"/>
        </w:tabs>
        <w:spacing w:line="240" w:lineRule="auto"/>
        <w:rPr>
          <w:lang w:val="en-CA"/>
        </w:rPr>
      </w:pPr>
      <w:r w:rsidRPr="00AF78D8">
        <w:rPr>
          <w:lang w:val="en-CA"/>
        </w:rPr>
        <w:t xml:space="preserve">Lachance J. relied on </w:t>
      </w:r>
      <w:r w:rsidRPr="00AF78D8">
        <w:rPr>
          <w:i/>
          <w:lang w:val="en-CA"/>
        </w:rPr>
        <w:t>Echostar Corporation c. Service des poursuites pénales du Canada</w:t>
      </w:r>
      <w:r w:rsidR="00D76181">
        <w:rPr>
          <w:iCs/>
          <w:lang w:val="en-CA"/>
        </w:rPr>
        <w:t>,</w:t>
      </w:r>
      <w:r w:rsidRPr="00AF78D8">
        <w:rPr>
          <w:rStyle w:val="Appelnotedebasdep"/>
          <w:lang w:val="en-CA"/>
        </w:rPr>
        <w:footnoteReference w:id="19"/>
      </w:r>
      <w:r w:rsidRPr="00AF78D8">
        <w:rPr>
          <w:lang w:val="en-CA"/>
        </w:rPr>
        <w:t xml:space="preserve"> where Vauclair J., now of the Court of Appeal of Quebec, noted that a </w:t>
      </w:r>
      <w:r w:rsidRPr="00AF78D8">
        <w:rPr>
          <w:lang w:val="en-CA"/>
        </w:rPr>
        <w:lastRenderedPageBreak/>
        <w:t xml:space="preserve">minority of cases conclude that </w:t>
      </w:r>
      <w:r w:rsidR="00803FAB" w:rsidRPr="00AF78D8">
        <w:rPr>
          <w:lang w:val="en-CA"/>
        </w:rPr>
        <w:t>provincial</w:t>
      </w:r>
      <w:r w:rsidRPr="00AF78D8">
        <w:rPr>
          <w:lang w:val="en-CA"/>
        </w:rPr>
        <w:t xml:space="preserve"> court judges retain jurisdiction to dispose of property under the authority of s. 490(9) even </w:t>
      </w:r>
      <w:r w:rsidR="00901FDC" w:rsidRPr="00AF78D8">
        <w:rPr>
          <w:lang w:val="en-CA"/>
        </w:rPr>
        <w:t>after</w:t>
      </w:r>
      <w:r w:rsidRPr="00AF78D8">
        <w:rPr>
          <w:lang w:val="en-CA"/>
        </w:rPr>
        <w:t xml:space="preserve"> proceedings </w:t>
      </w:r>
      <w:r w:rsidR="00A756ED" w:rsidRPr="00AF78D8">
        <w:rPr>
          <w:lang w:val="en-CA"/>
        </w:rPr>
        <w:t xml:space="preserve">have been </w:t>
      </w:r>
      <w:r w:rsidRPr="00AF78D8">
        <w:rPr>
          <w:lang w:val="en-CA"/>
        </w:rPr>
        <w:t xml:space="preserve">instituted </w:t>
      </w:r>
      <w:r w:rsidR="0088131C">
        <w:rPr>
          <w:lang w:val="en-CA"/>
        </w:rPr>
        <w:t>and have ended</w:t>
      </w:r>
      <w:r w:rsidR="00A756ED" w:rsidRPr="00AF78D8">
        <w:rPr>
          <w:lang w:val="en-CA"/>
        </w:rPr>
        <w:t>,</w:t>
      </w:r>
      <w:r w:rsidRPr="00AF78D8">
        <w:rPr>
          <w:lang w:val="en-CA"/>
        </w:rPr>
        <w:t xml:space="preserve"> and that the prevailing case law seems to indicate that only a superior court can dispose of seized goods that are not court exhibits once proceedings are instituted and, especially, once they </w:t>
      </w:r>
      <w:r w:rsidR="0088131C">
        <w:rPr>
          <w:lang w:val="en-CA"/>
        </w:rPr>
        <w:t>have ended</w:t>
      </w:r>
      <w:r w:rsidRPr="00AF78D8">
        <w:rPr>
          <w:lang w:val="en-CA"/>
        </w:rPr>
        <w:t>.</w:t>
      </w:r>
    </w:p>
    <w:p w:rsidR="00AC229E" w:rsidRPr="00AF78D8" w:rsidRDefault="0050122F" w:rsidP="000748F5">
      <w:pPr>
        <w:pStyle w:val="Paragraphe"/>
        <w:tabs>
          <w:tab w:val="clear" w:pos="360"/>
          <w:tab w:val="num" w:pos="709"/>
        </w:tabs>
        <w:spacing w:line="240" w:lineRule="auto"/>
        <w:rPr>
          <w:lang w:val="en-CA"/>
        </w:rPr>
      </w:pPr>
      <w:r w:rsidRPr="00AF78D8">
        <w:rPr>
          <w:lang w:val="en-CA"/>
        </w:rPr>
        <w:t xml:space="preserve">Lachance J. found that the powers vested by s. 490 </w:t>
      </w:r>
      <w:r w:rsidRPr="00AF78D8">
        <w:rPr>
          <w:i/>
          <w:iCs/>
          <w:lang w:val="en-CA"/>
        </w:rPr>
        <w:t>Cr. C.</w:t>
      </w:r>
      <w:r w:rsidRPr="00AF78D8">
        <w:rPr>
          <w:lang w:val="en-CA"/>
        </w:rPr>
        <w:t xml:space="preserve"> did not survive the trial and that only the Superior Court could dispose of the truck.</w:t>
      </w:r>
      <w:r w:rsidRPr="00AF78D8">
        <w:rPr>
          <w:rStyle w:val="Appelnotedebasdep"/>
          <w:lang w:val="en-CA"/>
        </w:rPr>
        <w:footnoteReference w:id="20"/>
      </w:r>
    </w:p>
    <w:p w:rsidR="00162905" w:rsidRPr="00AF78D8" w:rsidRDefault="0088131C" w:rsidP="000748F5">
      <w:pPr>
        <w:pStyle w:val="Paragraphe"/>
        <w:tabs>
          <w:tab w:val="clear" w:pos="360"/>
          <w:tab w:val="num" w:pos="709"/>
        </w:tabs>
        <w:spacing w:line="240" w:lineRule="auto"/>
        <w:rPr>
          <w:lang w:val="en-CA"/>
        </w:rPr>
      </w:pPr>
      <w:r>
        <w:rPr>
          <w:lang w:val="en-CA"/>
        </w:rPr>
        <w:t xml:space="preserve">However, she </w:t>
      </w:r>
      <w:r w:rsidR="0050122F" w:rsidRPr="00AF78D8">
        <w:rPr>
          <w:lang w:val="en-CA"/>
        </w:rPr>
        <w:t>acknowledge</w:t>
      </w:r>
      <w:r>
        <w:rPr>
          <w:lang w:val="en-CA"/>
        </w:rPr>
        <w:t>d</w:t>
      </w:r>
      <w:r w:rsidR="0050122F" w:rsidRPr="00AF78D8">
        <w:rPr>
          <w:lang w:val="en-CA"/>
        </w:rPr>
        <w:t xml:space="preserve"> that the trial judge had </w:t>
      </w:r>
      <w:r w:rsidR="007A13EF" w:rsidRPr="00AF78D8">
        <w:rPr>
          <w:lang w:val="en-CA"/>
        </w:rPr>
        <w:t>jurisdiction</w:t>
      </w:r>
      <w:r w:rsidR="0050122F" w:rsidRPr="00AF78D8">
        <w:rPr>
          <w:lang w:val="en-CA"/>
        </w:rPr>
        <w:t xml:space="preserve"> to </w:t>
      </w:r>
      <w:r w:rsidR="0089623F" w:rsidRPr="00AF78D8">
        <w:rPr>
          <w:lang w:val="en-CA"/>
        </w:rPr>
        <w:t>apply</w:t>
      </w:r>
      <w:r w:rsidR="0050122F" w:rsidRPr="00AF78D8">
        <w:rPr>
          <w:lang w:val="en-CA"/>
        </w:rPr>
        <w:t xml:space="preserve"> s.</w:t>
      </w:r>
      <w:r w:rsidR="0089623F" w:rsidRPr="00AF78D8">
        <w:rPr>
          <w:lang w:val="en-CA"/>
        </w:rPr>
        <w:t> </w:t>
      </w:r>
      <w:r w:rsidR="0050122F" w:rsidRPr="00AF78D8">
        <w:rPr>
          <w:lang w:val="en-CA"/>
        </w:rPr>
        <w:t>491.1(2), which provide</w:t>
      </w:r>
      <w:r w:rsidR="00D625CC" w:rsidRPr="00AF78D8">
        <w:rPr>
          <w:lang w:val="en-CA"/>
        </w:rPr>
        <w:t>s</w:t>
      </w:r>
      <w:r w:rsidR="0089623F" w:rsidRPr="00AF78D8">
        <w:rPr>
          <w:lang w:val="en-CA"/>
        </w:rPr>
        <w:t>,</w:t>
      </w:r>
      <w:r w:rsidR="0050122F" w:rsidRPr="00AF78D8">
        <w:rPr>
          <w:lang w:val="en-CA"/>
        </w:rPr>
        <w:t xml:space="preserve"> </w:t>
      </w:r>
      <w:r w:rsidR="0089623F" w:rsidRPr="00AF78D8">
        <w:rPr>
          <w:lang w:val="en-CA"/>
        </w:rPr>
        <w:t>among other things,</w:t>
      </w:r>
      <w:r w:rsidR="0050122F" w:rsidRPr="00AF78D8">
        <w:rPr>
          <w:lang w:val="en-CA"/>
        </w:rPr>
        <w:t xml:space="preserve"> that whe</w:t>
      </w:r>
      <w:r w:rsidR="0089623F" w:rsidRPr="00AF78D8">
        <w:rPr>
          <w:lang w:val="en-CA"/>
        </w:rPr>
        <w:t>re</w:t>
      </w:r>
      <w:r w:rsidR="0050122F" w:rsidRPr="00AF78D8">
        <w:rPr>
          <w:lang w:val="en-CA"/>
        </w:rPr>
        <w:t xml:space="preserve"> an accused </w:t>
      </w:r>
      <w:r w:rsidR="00D625CC" w:rsidRPr="00AF78D8">
        <w:rPr>
          <w:lang w:val="en-CA"/>
        </w:rPr>
        <w:t>is</w:t>
      </w:r>
      <w:r w:rsidR="0089623F" w:rsidRPr="00AF78D8">
        <w:rPr>
          <w:lang w:val="en-CA"/>
        </w:rPr>
        <w:t xml:space="preserve"> on</w:t>
      </w:r>
      <w:r w:rsidR="00D625CC" w:rsidRPr="00AF78D8">
        <w:rPr>
          <w:lang w:val="en-CA"/>
        </w:rPr>
        <w:t xml:space="preserve"> tri</w:t>
      </w:r>
      <w:r w:rsidR="0089623F" w:rsidRPr="00AF78D8">
        <w:rPr>
          <w:lang w:val="en-CA"/>
        </w:rPr>
        <w:t>al,</w:t>
      </w:r>
      <w:r w:rsidR="0050122F" w:rsidRPr="00AF78D8">
        <w:rPr>
          <w:lang w:val="en-CA"/>
        </w:rPr>
        <w:t xml:space="preserve"> the court</w:t>
      </w:r>
      <w:r w:rsidR="0089623F" w:rsidRPr="00AF78D8">
        <w:rPr>
          <w:lang w:val="en-CA"/>
        </w:rPr>
        <w:t xml:space="preserve">, if it finds </w:t>
      </w:r>
      <w:r w:rsidR="0050122F" w:rsidRPr="00AF78D8">
        <w:rPr>
          <w:lang w:val="en-CA"/>
        </w:rPr>
        <w:t xml:space="preserve">that an offence </w:t>
      </w:r>
      <w:r w:rsidR="00D625CC" w:rsidRPr="00AF78D8">
        <w:rPr>
          <w:lang w:val="en-CA"/>
        </w:rPr>
        <w:t>has been</w:t>
      </w:r>
      <w:r w:rsidR="0050122F" w:rsidRPr="00AF78D8">
        <w:rPr>
          <w:lang w:val="en-CA"/>
        </w:rPr>
        <w:t xml:space="preserve"> committed and the accused is not </w:t>
      </w:r>
      <w:r w:rsidR="007A13EF" w:rsidRPr="00AF78D8">
        <w:rPr>
          <w:lang w:val="en-CA"/>
        </w:rPr>
        <w:t>convic</w:t>
      </w:r>
      <w:r w:rsidR="00D625CC" w:rsidRPr="00AF78D8">
        <w:rPr>
          <w:lang w:val="en-CA"/>
        </w:rPr>
        <w:t>t</w:t>
      </w:r>
      <w:r w:rsidR="007A13EF" w:rsidRPr="00AF78D8">
        <w:rPr>
          <w:lang w:val="en-CA"/>
        </w:rPr>
        <w:t>ed</w:t>
      </w:r>
      <w:r w:rsidR="0050122F" w:rsidRPr="00AF78D8">
        <w:rPr>
          <w:lang w:val="en-CA"/>
        </w:rPr>
        <w:t xml:space="preserve">, </w:t>
      </w:r>
      <w:r w:rsidR="0089623F" w:rsidRPr="00AF78D8">
        <w:rPr>
          <w:lang w:val="en-CA"/>
        </w:rPr>
        <w:t>may</w:t>
      </w:r>
      <w:r w:rsidR="0050122F" w:rsidRPr="00AF78D8">
        <w:rPr>
          <w:lang w:val="en-CA"/>
        </w:rPr>
        <w:t xml:space="preserve"> order </w:t>
      </w:r>
      <w:r w:rsidR="0089623F" w:rsidRPr="00AF78D8">
        <w:rPr>
          <w:lang w:val="en-CA"/>
        </w:rPr>
        <w:t>property not needed in other proceedings forfeit if its legitimate owners, or the person lawfully entitled to its possession, are not known</w:t>
      </w:r>
      <w:r w:rsidR="0050122F" w:rsidRPr="00AF78D8">
        <w:rPr>
          <w:lang w:val="en-CA"/>
        </w:rPr>
        <w:t>.</w:t>
      </w:r>
    </w:p>
    <w:p w:rsidR="00162905" w:rsidRPr="00AF78D8" w:rsidRDefault="00022250" w:rsidP="000748F5">
      <w:pPr>
        <w:pStyle w:val="Paragraphe"/>
        <w:tabs>
          <w:tab w:val="clear" w:pos="360"/>
          <w:tab w:val="num" w:pos="709"/>
        </w:tabs>
        <w:spacing w:line="240" w:lineRule="auto"/>
        <w:rPr>
          <w:lang w:val="en-CA"/>
        </w:rPr>
      </w:pPr>
      <w:r w:rsidRPr="00AF78D8">
        <w:rPr>
          <w:lang w:val="en-CA"/>
        </w:rPr>
        <w:t xml:space="preserve">Lachance J. </w:t>
      </w:r>
      <w:r w:rsidR="00A1682F" w:rsidRPr="00AF78D8">
        <w:rPr>
          <w:lang w:val="en-CA"/>
        </w:rPr>
        <w:t xml:space="preserve">therefore </w:t>
      </w:r>
      <w:r w:rsidRPr="00AF78D8">
        <w:rPr>
          <w:lang w:val="en-CA"/>
        </w:rPr>
        <w:t xml:space="preserve">applied the remedial provision of s. 686(1)(b)(iii) </w:t>
      </w:r>
      <w:r w:rsidRPr="00AF78D8">
        <w:rPr>
          <w:i/>
          <w:iCs/>
          <w:lang w:val="en-CA"/>
        </w:rPr>
        <w:t>Cr. C</w:t>
      </w:r>
      <w:r w:rsidRPr="00AF78D8">
        <w:rPr>
          <w:lang w:val="en-CA"/>
        </w:rPr>
        <w:t>. to di</w:t>
      </w:r>
      <w:r w:rsidR="007A13EF" w:rsidRPr="00AF78D8">
        <w:rPr>
          <w:lang w:val="en-CA"/>
        </w:rPr>
        <w:t>s</w:t>
      </w:r>
      <w:r w:rsidRPr="00AF78D8">
        <w:rPr>
          <w:lang w:val="en-CA"/>
        </w:rPr>
        <w:t>miss the appeal</w:t>
      </w:r>
      <w:r w:rsidR="00550BBA">
        <w:rPr>
          <w:lang w:val="en-CA"/>
        </w:rPr>
        <w:t xml:space="preserve">, </w:t>
      </w:r>
      <w:r w:rsidRPr="00AF78D8">
        <w:rPr>
          <w:lang w:val="en-CA"/>
        </w:rPr>
        <w:t xml:space="preserve">ruling that s. 491.1(1) </w:t>
      </w:r>
      <w:r w:rsidRPr="00AF78D8">
        <w:rPr>
          <w:i/>
          <w:iCs/>
          <w:lang w:val="en-CA"/>
        </w:rPr>
        <w:t>Cr. C</w:t>
      </w:r>
      <w:r w:rsidRPr="00AF78D8">
        <w:rPr>
          <w:lang w:val="en-CA"/>
        </w:rPr>
        <w:t xml:space="preserve">. </w:t>
      </w:r>
      <w:r w:rsidR="0073326F" w:rsidRPr="00AF78D8">
        <w:rPr>
          <w:lang w:val="en-CA"/>
        </w:rPr>
        <w:t xml:space="preserve">allowed </w:t>
      </w:r>
      <w:r w:rsidRPr="00AF78D8">
        <w:rPr>
          <w:lang w:val="en-CA"/>
        </w:rPr>
        <w:t xml:space="preserve">the trial judge to act as </w:t>
      </w:r>
      <w:r w:rsidR="006C5F40" w:rsidRPr="00AF78D8">
        <w:rPr>
          <w:lang w:val="en-CA"/>
        </w:rPr>
        <w:t>the</w:t>
      </w:r>
      <w:r w:rsidR="00C74254" w:rsidRPr="00AF78D8">
        <w:rPr>
          <w:lang w:val="en-CA"/>
        </w:rPr>
        <w:t xml:space="preserve"> </w:t>
      </w:r>
      <w:r w:rsidRPr="00AF78D8">
        <w:rPr>
          <w:lang w:val="en-CA"/>
        </w:rPr>
        <w:t xml:space="preserve">court before which the trial took place and the fact that the accused were acquitted does not </w:t>
      </w:r>
      <w:r w:rsidR="006C5F40" w:rsidRPr="00AF78D8">
        <w:rPr>
          <w:lang w:val="en-CA"/>
        </w:rPr>
        <w:t>strip</w:t>
      </w:r>
      <w:r w:rsidR="000703CE" w:rsidRPr="00AF78D8">
        <w:rPr>
          <w:lang w:val="en-CA"/>
        </w:rPr>
        <w:t xml:space="preserve"> </w:t>
      </w:r>
      <w:r w:rsidRPr="00AF78D8">
        <w:rPr>
          <w:lang w:val="en-CA"/>
        </w:rPr>
        <w:t>that judge</w:t>
      </w:r>
      <w:r w:rsidR="006C5F40" w:rsidRPr="00AF78D8">
        <w:rPr>
          <w:lang w:val="en-CA"/>
        </w:rPr>
        <w:t xml:space="preserve"> of </w:t>
      </w:r>
      <w:r w:rsidRPr="00AF78D8">
        <w:rPr>
          <w:lang w:val="en-CA"/>
        </w:rPr>
        <w:t>jurisdiction to dispose of this property.</w:t>
      </w:r>
    </w:p>
    <w:p w:rsidR="00162905" w:rsidRPr="00AF78D8" w:rsidRDefault="00723D80" w:rsidP="000748F5">
      <w:pPr>
        <w:pStyle w:val="Paragraphe"/>
        <w:tabs>
          <w:tab w:val="clear" w:pos="360"/>
          <w:tab w:val="num" w:pos="709"/>
        </w:tabs>
        <w:spacing w:line="240" w:lineRule="auto"/>
        <w:rPr>
          <w:lang w:val="en-CA"/>
        </w:rPr>
      </w:pPr>
      <w:r w:rsidRPr="00AF78D8">
        <w:rPr>
          <w:lang w:val="en-CA"/>
        </w:rPr>
        <w:t xml:space="preserve">In </w:t>
      </w:r>
      <w:r w:rsidRPr="00AF78D8">
        <w:rPr>
          <w:i/>
          <w:iCs/>
          <w:lang w:val="en-CA"/>
        </w:rPr>
        <w:t>R. c. Garneau</w:t>
      </w:r>
      <w:r w:rsidRPr="00AF78D8">
        <w:rPr>
          <w:lang w:val="en-CA"/>
        </w:rPr>
        <w:t>,</w:t>
      </w:r>
      <w:r w:rsidRPr="00AF78D8">
        <w:rPr>
          <w:rStyle w:val="Appelnotedebasdep"/>
          <w:lang w:val="en-CA"/>
        </w:rPr>
        <w:footnoteReference w:id="21"/>
      </w:r>
      <w:r w:rsidRPr="00AF78D8">
        <w:rPr>
          <w:lang w:val="en-CA"/>
        </w:rPr>
        <w:t xml:space="preserve"> Pierre Labrie J. noted </w:t>
      </w:r>
      <w:r w:rsidR="00A1682F" w:rsidRPr="00AF78D8">
        <w:rPr>
          <w:lang w:val="en-CA"/>
        </w:rPr>
        <w:t xml:space="preserve">that </w:t>
      </w:r>
      <w:r w:rsidRPr="00AF78D8">
        <w:rPr>
          <w:i/>
          <w:lang w:val="en-CA"/>
        </w:rPr>
        <w:t>R. c. Desjardins</w:t>
      </w:r>
      <w:r w:rsidRPr="00AF78D8">
        <w:rPr>
          <w:rStyle w:val="Appelnotedebasdep"/>
          <w:lang w:val="en-CA"/>
        </w:rPr>
        <w:footnoteReference w:id="22"/>
      </w:r>
      <w:r w:rsidRPr="00AF78D8">
        <w:rPr>
          <w:lang w:val="en-CA"/>
        </w:rPr>
        <w:t xml:space="preserve"> </w:t>
      </w:r>
      <w:r w:rsidR="00472F06" w:rsidRPr="00AF78D8">
        <w:rPr>
          <w:lang w:val="en-CA"/>
        </w:rPr>
        <w:t>may suggest</w:t>
      </w:r>
      <w:r w:rsidRPr="00AF78D8">
        <w:rPr>
          <w:lang w:val="en-CA"/>
        </w:rPr>
        <w:t xml:space="preserve"> that the regime of s. 490 </w:t>
      </w:r>
      <w:r w:rsidRPr="00AF78D8">
        <w:rPr>
          <w:i/>
          <w:iCs/>
          <w:lang w:val="en-CA"/>
        </w:rPr>
        <w:t>Cr. C.</w:t>
      </w:r>
      <w:r w:rsidRPr="00AF78D8">
        <w:rPr>
          <w:lang w:val="en-CA"/>
        </w:rPr>
        <w:t xml:space="preserve"> applies despite the </w:t>
      </w:r>
      <w:r w:rsidR="00A1682F" w:rsidRPr="00AF78D8">
        <w:rPr>
          <w:lang w:val="en-CA"/>
        </w:rPr>
        <w:t>institution</w:t>
      </w:r>
      <w:r w:rsidRPr="00AF78D8">
        <w:rPr>
          <w:lang w:val="en-CA"/>
        </w:rPr>
        <w:t xml:space="preserve"> of proceedings. </w:t>
      </w:r>
      <w:r w:rsidR="00CB7B03" w:rsidRPr="00AF78D8">
        <w:rPr>
          <w:lang w:val="en-CA"/>
        </w:rPr>
        <w:t xml:space="preserve"> </w:t>
      </w:r>
    </w:p>
    <w:p w:rsidR="00CB7B03" w:rsidRPr="00AF78D8" w:rsidRDefault="00550BBA" w:rsidP="000748F5">
      <w:pPr>
        <w:pStyle w:val="Paragraphe"/>
        <w:tabs>
          <w:tab w:val="clear" w:pos="360"/>
          <w:tab w:val="num" w:pos="709"/>
        </w:tabs>
        <w:spacing w:line="240" w:lineRule="auto"/>
        <w:rPr>
          <w:lang w:val="en-CA"/>
        </w:rPr>
      </w:pPr>
      <w:r>
        <w:rPr>
          <w:lang w:val="en-CA"/>
        </w:rPr>
        <w:t>H</w:t>
      </w:r>
      <w:r w:rsidR="00514BB6" w:rsidRPr="00AF78D8">
        <w:rPr>
          <w:lang w:val="en-CA"/>
        </w:rPr>
        <w:t xml:space="preserve">owever, referring to </w:t>
      </w:r>
      <w:r w:rsidR="00514BB6" w:rsidRPr="00AF78D8">
        <w:rPr>
          <w:i/>
          <w:lang w:val="en-CA"/>
        </w:rPr>
        <w:t>Spindloe</w:t>
      </w:r>
      <w:r w:rsidR="00514BB6" w:rsidRPr="00AF78D8">
        <w:rPr>
          <w:rStyle w:val="Appelnotedebasdep"/>
          <w:lang w:val="en-CA"/>
        </w:rPr>
        <w:footnoteReference w:id="23"/>
      </w:r>
      <w:r w:rsidR="00514BB6" w:rsidRPr="00AF78D8">
        <w:rPr>
          <w:lang w:val="en-CA"/>
        </w:rPr>
        <w:t xml:space="preserve"> and the remarks of Vauclair J. in </w:t>
      </w:r>
      <w:r w:rsidR="00514BB6" w:rsidRPr="00AF78D8">
        <w:rPr>
          <w:i/>
          <w:lang w:val="en-CA"/>
        </w:rPr>
        <w:t>Echostar Corporation,</w:t>
      </w:r>
      <w:r w:rsidR="00514BB6" w:rsidRPr="00AF78D8">
        <w:rPr>
          <w:rStyle w:val="Appelnotedebasdep"/>
          <w:lang w:val="en-CA"/>
        </w:rPr>
        <w:footnoteReference w:id="24"/>
      </w:r>
      <w:r w:rsidR="00514BB6" w:rsidRPr="00AF78D8">
        <w:rPr>
          <w:lang w:val="en-CA"/>
        </w:rPr>
        <w:t xml:space="preserve"> whose remarks were accepted in </w:t>
      </w:r>
      <w:r w:rsidR="00514BB6" w:rsidRPr="00AF78D8">
        <w:rPr>
          <w:i/>
          <w:lang w:val="en-CA"/>
        </w:rPr>
        <w:t>Gagnon</w:t>
      </w:r>
      <w:r w:rsidR="00514BB6" w:rsidRPr="00AF78D8">
        <w:rPr>
          <w:iCs/>
          <w:lang w:val="en-CA"/>
        </w:rPr>
        <w:t>,</w:t>
      </w:r>
      <w:r w:rsidR="00514BB6" w:rsidRPr="00AF78D8">
        <w:rPr>
          <w:rStyle w:val="Appelnotedebasdep"/>
          <w:lang w:val="en-CA"/>
        </w:rPr>
        <w:footnoteReference w:id="25"/>
      </w:r>
      <w:r w:rsidR="00514BB6" w:rsidRPr="00AF78D8">
        <w:rPr>
          <w:iCs/>
          <w:lang w:val="en-CA"/>
        </w:rPr>
        <w:t xml:space="preserve"> </w:t>
      </w:r>
      <w:r>
        <w:rPr>
          <w:iCs/>
          <w:lang w:val="en-CA"/>
        </w:rPr>
        <w:t xml:space="preserve">he concluded </w:t>
      </w:r>
      <w:r w:rsidR="00514BB6" w:rsidRPr="00AF78D8">
        <w:rPr>
          <w:lang w:val="en-CA"/>
        </w:rPr>
        <w:t>that the scope of application of this provision is rather restricted.</w:t>
      </w:r>
    </w:p>
    <w:p w:rsidR="00CB7B03" w:rsidRPr="00AF78D8" w:rsidRDefault="007A13EF" w:rsidP="000748F5">
      <w:pPr>
        <w:pStyle w:val="Paragraphe"/>
        <w:tabs>
          <w:tab w:val="clear" w:pos="360"/>
          <w:tab w:val="num" w:pos="709"/>
        </w:tabs>
        <w:spacing w:line="240" w:lineRule="auto"/>
        <w:rPr>
          <w:lang w:val="en-CA"/>
        </w:rPr>
      </w:pPr>
      <w:r w:rsidRPr="00AF78D8">
        <w:rPr>
          <w:lang w:val="en-CA"/>
        </w:rPr>
        <w:t xml:space="preserve">The applicants note that in </w:t>
      </w:r>
      <w:r w:rsidRPr="00AF78D8">
        <w:rPr>
          <w:i/>
          <w:lang w:val="en-CA"/>
        </w:rPr>
        <w:t>Gagnon</w:t>
      </w:r>
      <w:r w:rsidRPr="00AF78D8">
        <w:rPr>
          <w:lang w:val="en-CA"/>
        </w:rPr>
        <w:t>,</w:t>
      </w:r>
      <w:r w:rsidRPr="00AF78D8">
        <w:rPr>
          <w:rStyle w:val="Appelnotedebasdep"/>
          <w:lang w:val="en-CA"/>
        </w:rPr>
        <w:footnoteReference w:id="26"/>
      </w:r>
      <w:r w:rsidRPr="00AF78D8">
        <w:rPr>
          <w:lang w:val="en-CA"/>
        </w:rPr>
        <w:t xml:space="preserve"> the Court of Appeal </w:t>
      </w:r>
      <w:r w:rsidR="006C5F40" w:rsidRPr="00AF78D8">
        <w:rPr>
          <w:lang w:val="en-CA"/>
        </w:rPr>
        <w:t>found</w:t>
      </w:r>
      <w:r w:rsidRPr="00AF78D8">
        <w:rPr>
          <w:lang w:val="en-CA"/>
        </w:rPr>
        <w:t xml:space="preserve"> that quashing the convictions entailed quashing the orders of forfeiture of the offence-related property </w:t>
      </w:r>
      <w:r w:rsidR="00A1682F" w:rsidRPr="00AF78D8">
        <w:rPr>
          <w:lang w:val="en-CA"/>
        </w:rPr>
        <w:t>made</w:t>
      </w:r>
      <w:r w:rsidRPr="00AF78D8">
        <w:rPr>
          <w:lang w:val="en-CA"/>
        </w:rPr>
        <w:t xml:space="preserve"> under s. 16 of the </w:t>
      </w:r>
      <w:r w:rsidRPr="00AF78D8">
        <w:rPr>
          <w:i/>
          <w:iCs/>
          <w:lang w:val="en-CA"/>
        </w:rPr>
        <w:t>CDSA</w:t>
      </w:r>
      <w:r w:rsidRPr="00AF78D8">
        <w:rPr>
          <w:lang w:val="en-CA"/>
        </w:rPr>
        <w:t xml:space="preserve"> and other orders </w:t>
      </w:r>
      <w:r w:rsidR="0003204C" w:rsidRPr="00AF78D8">
        <w:rPr>
          <w:lang w:val="en-CA"/>
        </w:rPr>
        <w:t>made</w:t>
      </w:r>
      <w:r w:rsidR="00D102C1">
        <w:rPr>
          <w:lang w:val="en-CA"/>
        </w:rPr>
        <w:t xml:space="preserve"> after</w:t>
      </w:r>
      <w:r w:rsidRPr="00AF78D8">
        <w:rPr>
          <w:lang w:val="en-CA"/>
        </w:rPr>
        <w:t xml:space="preserve"> an application under s. 490(9) </w:t>
      </w:r>
      <w:r w:rsidRPr="00AF78D8">
        <w:rPr>
          <w:i/>
          <w:iCs/>
          <w:lang w:val="en-CA"/>
        </w:rPr>
        <w:t>Cr. C</w:t>
      </w:r>
      <w:r w:rsidRPr="00AF78D8">
        <w:rPr>
          <w:lang w:val="en-CA"/>
        </w:rPr>
        <w:t xml:space="preserve">. and s. 462.37 </w:t>
      </w:r>
      <w:r w:rsidRPr="00AF78D8">
        <w:rPr>
          <w:i/>
          <w:lang w:val="en-CA"/>
        </w:rPr>
        <w:t>Cr. C.</w:t>
      </w:r>
      <w:r w:rsidR="00D102C1">
        <w:rPr>
          <w:i/>
          <w:lang w:val="en-CA"/>
        </w:rPr>
        <w:t xml:space="preserve"> </w:t>
      </w:r>
      <w:r w:rsidR="00D102C1">
        <w:rPr>
          <w:iCs/>
          <w:lang w:val="en-CA"/>
        </w:rPr>
        <w:t>was filed.</w:t>
      </w:r>
    </w:p>
    <w:p w:rsidR="006B77C5" w:rsidRPr="00AF78D8" w:rsidRDefault="007A13EF" w:rsidP="000748F5">
      <w:pPr>
        <w:pStyle w:val="Paragraphe"/>
        <w:tabs>
          <w:tab w:val="clear" w:pos="360"/>
          <w:tab w:val="num" w:pos="709"/>
        </w:tabs>
        <w:spacing w:line="240" w:lineRule="auto"/>
        <w:rPr>
          <w:lang w:val="en-CA"/>
        </w:rPr>
      </w:pPr>
      <w:r w:rsidRPr="00AF78D8">
        <w:rPr>
          <w:lang w:val="en-CA"/>
        </w:rPr>
        <w:t>The Court notes that the Court of Appeal ordered a new trial</w:t>
      </w:r>
      <w:r w:rsidR="00D102C1">
        <w:rPr>
          <w:lang w:val="en-CA"/>
        </w:rPr>
        <w:t xml:space="preserve"> and </w:t>
      </w:r>
      <w:r w:rsidR="00A1682F" w:rsidRPr="00AF78D8">
        <w:rPr>
          <w:lang w:val="en-CA"/>
        </w:rPr>
        <w:t>state</w:t>
      </w:r>
      <w:r w:rsidR="00D102C1">
        <w:rPr>
          <w:lang w:val="en-CA"/>
        </w:rPr>
        <w:t>d</w:t>
      </w:r>
      <w:r w:rsidRPr="00AF78D8">
        <w:rPr>
          <w:lang w:val="en-CA"/>
        </w:rPr>
        <w:t xml:space="preserve"> that it </w:t>
      </w:r>
      <w:r w:rsidR="00277F5B" w:rsidRPr="00AF78D8">
        <w:rPr>
          <w:lang w:val="en-CA"/>
        </w:rPr>
        <w:t>was clear</w:t>
      </w:r>
      <w:r w:rsidRPr="00AF78D8">
        <w:rPr>
          <w:lang w:val="en-CA"/>
        </w:rPr>
        <w:t xml:space="preserve"> that the orders of forfeiture should be quashed</w:t>
      </w:r>
      <w:r w:rsidR="00277F5B" w:rsidRPr="00AF78D8">
        <w:rPr>
          <w:lang w:val="en-CA"/>
        </w:rPr>
        <w:t xml:space="preserve"> in this context</w:t>
      </w:r>
      <w:r w:rsidRPr="00AF78D8">
        <w:rPr>
          <w:lang w:val="en-CA"/>
        </w:rPr>
        <w:t>.</w:t>
      </w:r>
      <w:r w:rsidR="006B77C5" w:rsidRPr="00AF78D8">
        <w:rPr>
          <w:rStyle w:val="Appelnotedebasdep"/>
          <w:lang w:val="en-CA"/>
        </w:rPr>
        <w:footnoteReference w:id="27"/>
      </w:r>
    </w:p>
    <w:p w:rsidR="006B77C5" w:rsidRPr="00AF78D8" w:rsidRDefault="00B85439" w:rsidP="000748F5">
      <w:pPr>
        <w:pStyle w:val="Paragraphe"/>
        <w:tabs>
          <w:tab w:val="clear" w:pos="360"/>
          <w:tab w:val="num" w:pos="709"/>
        </w:tabs>
        <w:spacing w:line="240" w:lineRule="auto"/>
        <w:rPr>
          <w:lang w:val="en-CA"/>
        </w:rPr>
      </w:pPr>
      <w:r w:rsidRPr="00AF78D8">
        <w:rPr>
          <w:lang w:val="en-CA"/>
        </w:rPr>
        <w:lastRenderedPageBreak/>
        <w:t>The</w:t>
      </w:r>
      <w:r w:rsidR="007A13EF" w:rsidRPr="00AF78D8">
        <w:rPr>
          <w:lang w:val="en-CA"/>
        </w:rPr>
        <w:t xml:space="preserve"> Court of </w:t>
      </w:r>
      <w:r w:rsidR="00A1682F" w:rsidRPr="00AF78D8">
        <w:rPr>
          <w:lang w:val="en-CA"/>
        </w:rPr>
        <w:t>A</w:t>
      </w:r>
      <w:r w:rsidR="007A13EF" w:rsidRPr="00AF78D8">
        <w:rPr>
          <w:lang w:val="en-CA"/>
        </w:rPr>
        <w:t xml:space="preserve">ppeal </w:t>
      </w:r>
      <w:r w:rsidRPr="00AF78D8">
        <w:rPr>
          <w:lang w:val="en-CA"/>
        </w:rPr>
        <w:t xml:space="preserve">must be </w:t>
      </w:r>
      <w:r w:rsidR="00627026">
        <w:rPr>
          <w:lang w:val="en-CA"/>
        </w:rPr>
        <w:t>understood</w:t>
      </w:r>
      <w:r w:rsidRPr="00AF78D8">
        <w:rPr>
          <w:lang w:val="en-CA"/>
        </w:rPr>
        <w:t xml:space="preserve"> to have </w:t>
      </w:r>
      <w:r w:rsidR="007A13EF" w:rsidRPr="00AF78D8">
        <w:rPr>
          <w:lang w:val="en-CA"/>
        </w:rPr>
        <w:t xml:space="preserve">referred the outcome of the orders of forfeiture to the trial judge presiding over the new trial </w:t>
      </w:r>
      <w:r w:rsidR="00627026">
        <w:rPr>
          <w:lang w:val="en-CA"/>
        </w:rPr>
        <w:t xml:space="preserve">that had just been </w:t>
      </w:r>
      <w:r w:rsidR="007A13EF" w:rsidRPr="00AF78D8">
        <w:rPr>
          <w:lang w:val="en-CA"/>
        </w:rPr>
        <w:t>ordered.</w:t>
      </w:r>
      <w:r w:rsidR="006B77C5" w:rsidRPr="00AF78D8">
        <w:rPr>
          <w:lang w:val="en-CA"/>
        </w:rPr>
        <w:t xml:space="preserve"> </w:t>
      </w:r>
      <w:r w:rsidR="007A13EF" w:rsidRPr="00AF78D8">
        <w:rPr>
          <w:lang w:val="en-CA"/>
        </w:rPr>
        <w:t xml:space="preserve">It did not decide that the property should be returned </w:t>
      </w:r>
      <w:r w:rsidR="00627026">
        <w:rPr>
          <w:lang w:val="en-CA"/>
        </w:rPr>
        <w:t xml:space="preserve">under </w:t>
      </w:r>
      <w:r w:rsidR="007A13EF" w:rsidRPr="00AF78D8">
        <w:rPr>
          <w:lang w:val="en-CA"/>
        </w:rPr>
        <w:t>s.</w:t>
      </w:r>
      <w:r w:rsidR="00627026">
        <w:rPr>
          <w:lang w:val="en-CA"/>
        </w:rPr>
        <w:t> </w:t>
      </w:r>
      <w:r w:rsidR="007A13EF" w:rsidRPr="00AF78D8">
        <w:rPr>
          <w:lang w:val="en-CA"/>
        </w:rPr>
        <w:t xml:space="preserve">490(9) </w:t>
      </w:r>
      <w:r w:rsidR="007A13EF" w:rsidRPr="00AF78D8">
        <w:rPr>
          <w:i/>
          <w:iCs/>
          <w:lang w:val="en-CA"/>
        </w:rPr>
        <w:t>Cr. C</w:t>
      </w:r>
      <w:r w:rsidR="007A13EF" w:rsidRPr="00AF78D8">
        <w:rPr>
          <w:lang w:val="en-CA"/>
        </w:rPr>
        <w:t>.</w:t>
      </w:r>
    </w:p>
    <w:p w:rsidR="006B77C5" w:rsidRPr="00AF78D8" w:rsidRDefault="007A13EF" w:rsidP="000748F5">
      <w:pPr>
        <w:pStyle w:val="Paragraphe"/>
        <w:tabs>
          <w:tab w:val="clear" w:pos="360"/>
          <w:tab w:val="num" w:pos="709"/>
        </w:tabs>
        <w:spacing w:line="240" w:lineRule="auto"/>
        <w:rPr>
          <w:lang w:val="en-CA"/>
        </w:rPr>
      </w:pPr>
      <w:r w:rsidRPr="00AF78D8">
        <w:rPr>
          <w:lang w:val="en-CA"/>
        </w:rPr>
        <w:t xml:space="preserve">Section 490(9) </w:t>
      </w:r>
      <w:r w:rsidRPr="00AF78D8">
        <w:rPr>
          <w:i/>
          <w:iCs/>
          <w:lang w:val="en-CA"/>
        </w:rPr>
        <w:t>Cr. C</w:t>
      </w:r>
      <w:r w:rsidRPr="00AF78D8">
        <w:rPr>
          <w:lang w:val="en-CA"/>
        </w:rPr>
        <w:t xml:space="preserve">. does not provide for an application </w:t>
      </w:r>
      <w:r w:rsidR="001651AB" w:rsidRPr="00AF78D8">
        <w:rPr>
          <w:lang w:val="en-CA"/>
        </w:rPr>
        <w:t xml:space="preserve">for disposal </w:t>
      </w:r>
      <w:r w:rsidRPr="00AF78D8">
        <w:rPr>
          <w:lang w:val="en-CA"/>
        </w:rPr>
        <w:t>of things seized.</w:t>
      </w:r>
      <w:r w:rsidR="00B86EB7" w:rsidRPr="00AF78D8">
        <w:rPr>
          <w:lang w:val="en-CA"/>
        </w:rPr>
        <w:t xml:space="preserve"> </w:t>
      </w:r>
      <w:r w:rsidRPr="00AF78D8">
        <w:rPr>
          <w:lang w:val="en-CA"/>
        </w:rPr>
        <w:t xml:space="preserve">Section 490(9) </w:t>
      </w:r>
      <w:r w:rsidRPr="00AF78D8">
        <w:rPr>
          <w:i/>
          <w:iCs/>
          <w:lang w:val="en-CA"/>
        </w:rPr>
        <w:t>Cr. C</w:t>
      </w:r>
      <w:r w:rsidRPr="00AF78D8">
        <w:rPr>
          <w:lang w:val="en-CA"/>
        </w:rPr>
        <w:t xml:space="preserve">. comes into play to </w:t>
      </w:r>
      <w:r w:rsidR="005037BE" w:rsidRPr="00AF78D8">
        <w:rPr>
          <w:lang w:val="en-CA"/>
        </w:rPr>
        <w:t>address</w:t>
      </w:r>
      <w:r w:rsidRPr="00AF78D8">
        <w:rPr>
          <w:lang w:val="en-CA"/>
        </w:rPr>
        <w:t xml:space="preserve"> situations where persons are given the power to make an application </w:t>
      </w:r>
      <w:r w:rsidR="004436AD" w:rsidRPr="00AF78D8">
        <w:rPr>
          <w:lang w:val="en-CA"/>
        </w:rPr>
        <w:t>under</w:t>
      </w:r>
      <w:r w:rsidRPr="00AF78D8">
        <w:rPr>
          <w:lang w:val="en-CA"/>
        </w:rPr>
        <w:t xml:space="preserve"> the other subsections of </w:t>
      </w:r>
      <w:r w:rsidR="008E5E58" w:rsidRPr="00AF78D8">
        <w:rPr>
          <w:lang w:val="en-CA"/>
        </w:rPr>
        <w:t>s.</w:t>
      </w:r>
      <w:r w:rsidRPr="00AF78D8">
        <w:rPr>
          <w:lang w:val="en-CA"/>
        </w:rPr>
        <w:t xml:space="preserve"> 490 </w:t>
      </w:r>
      <w:r w:rsidRPr="00AF78D8">
        <w:rPr>
          <w:i/>
          <w:iCs/>
          <w:lang w:val="en-CA"/>
        </w:rPr>
        <w:t>Cr.</w:t>
      </w:r>
      <w:r w:rsidR="008E5E58" w:rsidRPr="00AF78D8">
        <w:rPr>
          <w:i/>
          <w:iCs/>
          <w:lang w:val="en-CA"/>
        </w:rPr>
        <w:t> </w:t>
      </w:r>
      <w:r w:rsidRPr="00AF78D8">
        <w:rPr>
          <w:i/>
          <w:iCs/>
          <w:lang w:val="en-CA"/>
        </w:rPr>
        <w:t>C</w:t>
      </w:r>
      <w:r w:rsidRPr="00AF78D8">
        <w:rPr>
          <w:lang w:val="en-CA"/>
        </w:rPr>
        <w:t>.</w:t>
      </w:r>
      <w:r w:rsidR="00B86EB7" w:rsidRPr="00AF78D8">
        <w:rPr>
          <w:lang w:val="en-CA"/>
        </w:rPr>
        <w:t xml:space="preserve"> </w:t>
      </w:r>
      <w:r w:rsidR="005B685B" w:rsidRPr="00AF78D8">
        <w:rPr>
          <w:lang w:val="en-CA"/>
        </w:rPr>
        <w:t>In the absence of that power</w:t>
      </w:r>
      <w:r w:rsidRPr="00AF78D8">
        <w:rPr>
          <w:lang w:val="en-CA"/>
        </w:rPr>
        <w:t xml:space="preserve">, s. 490(9) </w:t>
      </w:r>
      <w:r w:rsidRPr="00AF78D8">
        <w:rPr>
          <w:i/>
          <w:iCs/>
          <w:lang w:val="en-CA"/>
        </w:rPr>
        <w:t>Cr. C</w:t>
      </w:r>
      <w:r w:rsidRPr="00AF78D8">
        <w:rPr>
          <w:lang w:val="en-CA"/>
        </w:rPr>
        <w:t>. does not apply.</w:t>
      </w:r>
      <w:r w:rsidR="00B86EB7" w:rsidRPr="00AF78D8">
        <w:rPr>
          <w:rStyle w:val="Appelnotedebasdep"/>
          <w:lang w:val="en-CA"/>
        </w:rPr>
        <w:footnoteReference w:id="28"/>
      </w:r>
    </w:p>
    <w:p w:rsidR="00B86EB7" w:rsidRPr="00AF78D8" w:rsidRDefault="007A13EF" w:rsidP="000748F5">
      <w:pPr>
        <w:pStyle w:val="Paragraphe"/>
        <w:tabs>
          <w:tab w:val="clear" w:pos="360"/>
          <w:tab w:val="num" w:pos="709"/>
        </w:tabs>
        <w:spacing w:line="240" w:lineRule="auto"/>
        <w:rPr>
          <w:lang w:val="en-CA"/>
        </w:rPr>
      </w:pPr>
      <w:r w:rsidRPr="00AF78D8">
        <w:rPr>
          <w:lang w:val="en-CA"/>
        </w:rPr>
        <w:t xml:space="preserve">The Court identifies two difficulties if s. 490(9) </w:t>
      </w:r>
      <w:r w:rsidRPr="00AF78D8">
        <w:rPr>
          <w:i/>
          <w:iCs/>
          <w:lang w:val="en-CA"/>
        </w:rPr>
        <w:t>Cr. C.</w:t>
      </w:r>
      <w:r w:rsidRPr="00AF78D8">
        <w:rPr>
          <w:lang w:val="en-CA"/>
        </w:rPr>
        <w:t xml:space="preserve"> </w:t>
      </w:r>
      <w:r w:rsidR="007F6081" w:rsidRPr="00AF78D8">
        <w:rPr>
          <w:lang w:val="en-CA"/>
        </w:rPr>
        <w:t>were</w:t>
      </w:r>
      <w:r w:rsidRPr="00AF78D8">
        <w:rPr>
          <w:lang w:val="en-CA"/>
        </w:rPr>
        <w:t xml:space="preserve"> to apply to exhibits filed in the </w:t>
      </w:r>
      <w:r w:rsidR="00692406" w:rsidRPr="00AF78D8">
        <w:rPr>
          <w:lang w:val="en-CA"/>
        </w:rPr>
        <w:t>c</w:t>
      </w:r>
      <w:r w:rsidR="00514BB6" w:rsidRPr="00AF78D8">
        <w:rPr>
          <w:lang w:val="en-CA"/>
        </w:rPr>
        <w:t xml:space="preserve">ontext </w:t>
      </w:r>
      <w:r w:rsidR="00692406" w:rsidRPr="00AF78D8">
        <w:rPr>
          <w:lang w:val="en-CA"/>
        </w:rPr>
        <w:t xml:space="preserve">of </w:t>
      </w:r>
      <w:r w:rsidRPr="00AF78D8">
        <w:rPr>
          <w:lang w:val="en-CA"/>
        </w:rPr>
        <w:t>instituted</w:t>
      </w:r>
      <w:r w:rsidR="00692406" w:rsidRPr="00AF78D8">
        <w:rPr>
          <w:lang w:val="en-CA"/>
        </w:rPr>
        <w:t xml:space="preserve"> proceedings</w:t>
      </w:r>
      <w:r w:rsidRPr="00AF78D8">
        <w:rPr>
          <w:lang w:val="en-CA"/>
        </w:rPr>
        <w:t>.</w:t>
      </w:r>
    </w:p>
    <w:p w:rsidR="00B86EB7" w:rsidRPr="00AF78D8" w:rsidRDefault="007A13EF" w:rsidP="000748F5">
      <w:pPr>
        <w:pStyle w:val="Paragraphe"/>
        <w:tabs>
          <w:tab w:val="clear" w:pos="360"/>
          <w:tab w:val="num" w:pos="709"/>
        </w:tabs>
        <w:spacing w:line="240" w:lineRule="auto"/>
        <w:rPr>
          <w:lang w:val="en-CA"/>
        </w:rPr>
      </w:pPr>
      <w:r w:rsidRPr="00AF78D8">
        <w:rPr>
          <w:lang w:val="en-CA"/>
        </w:rPr>
        <w:t>The first difficulty is</w:t>
      </w:r>
      <w:r w:rsidR="00E66750">
        <w:rPr>
          <w:lang w:val="en-CA"/>
        </w:rPr>
        <w:t xml:space="preserve"> the fact that, because</w:t>
      </w:r>
      <w:r w:rsidR="00AD5C20" w:rsidRPr="00AF78D8">
        <w:rPr>
          <w:lang w:val="en-CA"/>
        </w:rPr>
        <w:t xml:space="preserve"> </w:t>
      </w:r>
      <w:r w:rsidRPr="00AF78D8">
        <w:rPr>
          <w:lang w:val="en-CA"/>
        </w:rPr>
        <w:t xml:space="preserve">s. 490(9) </w:t>
      </w:r>
      <w:r w:rsidRPr="00AF78D8">
        <w:rPr>
          <w:i/>
          <w:iCs/>
          <w:lang w:val="en-CA"/>
        </w:rPr>
        <w:t>Cr. C</w:t>
      </w:r>
      <w:r w:rsidRPr="00AF78D8">
        <w:rPr>
          <w:lang w:val="en-CA"/>
        </w:rPr>
        <w:t xml:space="preserve">. </w:t>
      </w:r>
      <w:r w:rsidR="00E66750">
        <w:rPr>
          <w:lang w:val="en-CA"/>
        </w:rPr>
        <w:t xml:space="preserve">gives no </w:t>
      </w:r>
      <w:r w:rsidRPr="00AF78D8">
        <w:rPr>
          <w:lang w:val="en-CA"/>
        </w:rPr>
        <w:t>power to a judge of a superior court of criminal jurisdiction except in the case of an order for further detention exceed</w:t>
      </w:r>
      <w:r w:rsidR="00E66750">
        <w:rPr>
          <w:lang w:val="en-CA"/>
        </w:rPr>
        <w:t>ing</w:t>
      </w:r>
      <w:r w:rsidRPr="00AF78D8">
        <w:rPr>
          <w:lang w:val="en-CA"/>
        </w:rPr>
        <w:t xml:space="preserve"> o</w:t>
      </w:r>
      <w:r w:rsidR="00E66750">
        <w:rPr>
          <w:lang w:val="en-CA"/>
        </w:rPr>
        <w:t xml:space="preserve">ne </w:t>
      </w:r>
      <w:r w:rsidRPr="00AF78D8">
        <w:rPr>
          <w:lang w:val="en-CA"/>
        </w:rPr>
        <w:t>year from the day of seizure</w:t>
      </w:r>
      <w:r w:rsidR="00E66750">
        <w:rPr>
          <w:lang w:val="en-CA"/>
        </w:rPr>
        <w:t>, the</w:t>
      </w:r>
      <w:r w:rsidRPr="00AF78D8">
        <w:rPr>
          <w:lang w:val="en-CA"/>
        </w:rPr>
        <w:t xml:space="preserve"> Court of Appeal </w:t>
      </w:r>
      <w:r w:rsidR="0068763D" w:rsidRPr="00AF78D8">
        <w:rPr>
          <w:lang w:val="en-CA"/>
        </w:rPr>
        <w:t>state</w:t>
      </w:r>
      <w:r w:rsidR="00E66750">
        <w:rPr>
          <w:lang w:val="en-CA"/>
        </w:rPr>
        <w:t>d</w:t>
      </w:r>
      <w:r w:rsidR="00C15A38" w:rsidRPr="00AF78D8">
        <w:rPr>
          <w:lang w:val="en-CA"/>
        </w:rPr>
        <w:t xml:space="preserve"> that </w:t>
      </w:r>
      <w:r w:rsidR="0068763D" w:rsidRPr="00AF78D8">
        <w:rPr>
          <w:lang w:val="en-CA"/>
        </w:rPr>
        <w:t>this</w:t>
      </w:r>
      <w:r w:rsidR="009607B1" w:rsidRPr="00AF78D8">
        <w:rPr>
          <w:lang w:val="en-CA"/>
        </w:rPr>
        <w:t xml:space="preserve"> </w:t>
      </w:r>
      <w:r w:rsidR="0095683A">
        <w:rPr>
          <w:lang w:val="en-CA"/>
        </w:rPr>
        <w:t xml:space="preserve">would </w:t>
      </w:r>
      <w:r w:rsidRPr="00AF78D8">
        <w:rPr>
          <w:lang w:val="en-CA"/>
        </w:rPr>
        <w:t>mean</w:t>
      </w:r>
      <w:r w:rsidR="009607B1" w:rsidRPr="00AF78D8">
        <w:rPr>
          <w:lang w:val="en-CA"/>
        </w:rPr>
        <w:t xml:space="preserve"> </w:t>
      </w:r>
      <w:r w:rsidRPr="00AF78D8">
        <w:rPr>
          <w:lang w:val="en-CA"/>
        </w:rPr>
        <w:t>that</w:t>
      </w:r>
      <w:r w:rsidR="00E66750">
        <w:rPr>
          <w:lang w:val="en-CA"/>
        </w:rPr>
        <w:t>,</w:t>
      </w:r>
      <w:r w:rsidRPr="00AF78D8">
        <w:rPr>
          <w:lang w:val="en-CA"/>
        </w:rPr>
        <w:t xml:space="preserve"> in </w:t>
      </w:r>
      <w:r w:rsidR="00C15A38" w:rsidRPr="00AF78D8">
        <w:rPr>
          <w:lang w:val="en-CA"/>
        </w:rPr>
        <w:t xml:space="preserve">the </w:t>
      </w:r>
      <w:r w:rsidRPr="00AF78D8">
        <w:rPr>
          <w:lang w:val="en-CA"/>
        </w:rPr>
        <w:t>case</w:t>
      </w:r>
      <w:r w:rsidR="00C15A38" w:rsidRPr="00AF78D8">
        <w:rPr>
          <w:lang w:val="en-CA"/>
        </w:rPr>
        <w:t xml:space="preserve"> of a Superior Court trial</w:t>
      </w:r>
      <w:r w:rsidRPr="00AF78D8">
        <w:rPr>
          <w:lang w:val="en-CA"/>
        </w:rPr>
        <w:t xml:space="preserve"> </w:t>
      </w:r>
      <w:r w:rsidR="00C15A38" w:rsidRPr="00AF78D8">
        <w:rPr>
          <w:lang w:val="en-CA"/>
        </w:rPr>
        <w:t>that has concluded</w:t>
      </w:r>
      <w:r w:rsidRPr="00AF78D8">
        <w:rPr>
          <w:lang w:val="en-CA"/>
        </w:rPr>
        <w:t xml:space="preserve">, the disposal of property </w:t>
      </w:r>
      <w:r w:rsidR="00E66750">
        <w:rPr>
          <w:lang w:val="en-CA"/>
        </w:rPr>
        <w:t xml:space="preserve">must </w:t>
      </w:r>
      <w:r w:rsidR="009607B1" w:rsidRPr="00AF78D8">
        <w:rPr>
          <w:lang w:val="en-CA"/>
        </w:rPr>
        <w:t>b</w:t>
      </w:r>
      <w:r w:rsidRPr="00AF78D8">
        <w:rPr>
          <w:lang w:val="en-CA"/>
        </w:rPr>
        <w:t xml:space="preserve">e before the provincial court, </w:t>
      </w:r>
      <w:r w:rsidR="009607B1" w:rsidRPr="00AF78D8">
        <w:rPr>
          <w:lang w:val="en-CA"/>
        </w:rPr>
        <w:t>which is</w:t>
      </w:r>
      <w:r w:rsidRPr="00AF78D8">
        <w:rPr>
          <w:lang w:val="en-CA"/>
        </w:rPr>
        <w:t xml:space="preserve"> </w:t>
      </w:r>
      <w:r w:rsidR="009607B1" w:rsidRPr="00AF78D8">
        <w:rPr>
          <w:lang w:val="en-CA"/>
        </w:rPr>
        <w:t>un</w:t>
      </w:r>
      <w:r w:rsidRPr="00AF78D8">
        <w:rPr>
          <w:lang w:val="en-CA"/>
        </w:rPr>
        <w:t xml:space="preserve">likely </w:t>
      </w:r>
      <w:r w:rsidR="007A679D" w:rsidRPr="00AF78D8">
        <w:rPr>
          <w:lang w:val="en-CA"/>
        </w:rPr>
        <w:t>to have been the</w:t>
      </w:r>
      <w:r w:rsidRPr="00AF78D8">
        <w:rPr>
          <w:lang w:val="en-CA"/>
        </w:rPr>
        <w:t xml:space="preserve"> legislature</w:t>
      </w:r>
      <w:r w:rsidR="007A679D" w:rsidRPr="00AF78D8">
        <w:rPr>
          <w:lang w:val="en-CA"/>
        </w:rPr>
        <w:t>’s intention</w:t>
      </w:r>
      <w:r w:rsidRPr="00AF78D8">
        <w:rPr>
          <w:lang w:val="en-CA"/>
        </w:rPr>
        <w:t>.</w:t>
      </w:r>
    </w:p>
    <w:p w:rsidR="00B86EB7" w:rsidRPr="00AF78D8" w:rsidRDefault="00BF395C" w:rsidP="000748F5">
      <w:pPr>
        <w:pStyle w:val="Paragraphe"/>
        <w:tabs>
          <w:tab w:val="clear" w:pos="360"/>
          <w:tab w:val="num" w:pos="709"/>
        </w:tabs>
        <w:spacing w:line="240" w:lineRule="auto"/>
        <w:rPr>
          <w:lang w:val="en-CA"/>
        </w:rPr>
      </w:pPr>
      <w:r w:rsidRPr="00AF78D8">
        <w:rPr>
          <w:lang w:val="en-CA"/>
        </w:rPr>
        <w:t xml:space="preserve">The second difficulty with the interpretation that s. 490(9) </w:t>
      </w:r>
      <w:r w:rsidRPr="00AF78D8">
        <w:rPr>
          <w:i/>
          <w:iCs/>
          <w:lang w:val="en-CA"/>
        </w:rPr>
        <w:t>Cr.</w:t>
      </w:r>
      <w:r w:rsidR="009607B1" w:rsidRPr="00AF78D8">
        <w:rPr>
          <w:i/>
          <w:iCs/>
          <w:lang w:val="en-CA"/>
        </w:rPr>
        <w:t> </w:t>
      </w:r>
      <w:r w:rsidRPr="00AF78D8">
        <w:rPr>
          <w:i/>
          <w:iCs/>
          <w:lang w:val="en-CA"/>
        </w:rPr>
        <w:t>C</w:t>
      </w:r>
      <w:r w:rsidRPr="00AF78D8">
        <w:rPr>
          <w:lang w:val="en-CA"/>
        </w:rPr>
        <w:t xml:space="preserve">. </w:t>
      </w:r>
      <w:r w:rsidR="007A679D" w:rsidRPr="00AF78D8">
        <w:rPr>
          <w:lang w:val="en-CA"/>
        </w:rPr>
        <w:t>applies</w:t>
      </w:r>
      <w:r w:rsidRPr="00AF78D8">
        <w:rPr>
          <w:lang w:val="en-CA"/>
        </w:rPr>
        <w:t xml:space="preserve"> to exhibits is that </w:t>
      </w:r>
      <w:r w:rsidR="00E66750">
        <w:rPr>
          <w:lang w:val="en-CA"/>
        </w:rPr>
        <w:t>it</w:t>
      </w:r>
      <w:r w:rsidRPr="00AF78D8">
        <w:rPr>
          <w:lang w:val="en-CA"/>
        </w:rPr>
        <w:t xml:space="preserve"> would mean that the return or forfeiture of the property depend</w:t>
      </w:r>
      <w:r w:rsidR="0095683A">
        <w:rPr>
          <w:lang w:val="en-CA"/>
        </w:rPr>
        <w:t>s</w:t>
      </w:r>
      <w:r w:rsidRPr="00AF78D8">
        <w:rPr>
          <w:lang w:val="en-CA"/>
        </w:rPr>
        <w:t xml:space="preserve"> on the lawfulness of the possession at the time of seizure</w:t>
      </w:r>
      <w:r w:rsidR="00E66750">
        <w:rPr>
          <w:lang w:val="en-CA"/>
        </w:rPr>
        <w:t>,</w:t>
      </w:r>
      <w:r w:rsidRPr="00AF78D8">
        <w:rPr>
          <w:lang w:val="en-CA"/>
        </w:rPr>
        <w:t xml:space="preserve"> without concern for maintaining the public</w:t>
      </w:r>
      <w:r w:rsidR="009607B1" w:rsidRPr="00AF78D8">
        <w:rPr>
          <w:lang w:val="en-CA"/>
        </w:rPr>
        <w:t>’</w:t>
      </w:r>
      <w:r w:rsidRPr="00AF78D8">
        <w:rPr>
          <w:lang w:val="en-CA"/>
        </w:rPr>
        <w:t>s respect for the administration of justice.</w:t>
      </w:r>
      <w:r w:rsidR="00B86EB7" w:rsidRPr="00AF78D8">
        <w:rPr>
          <w:lang w:val="en-CA"/>
        </w:rPr>
        <w:t xml:space="preserve"> </w:t>
      </w:r>
      <w:r w:rsidRPr="00AF78D8">
        <w:rPr>
          <w:lang w:val="en-CA"/>
        </w:rPr>
        <w:t>The Court gives the example of a knife used to inflict violence.</w:t>
      </w:r>
      <w:r w:rsidR="00B86EB7" w:rsidRPr="00AF78D8">
        <w:rPr>
          <w:rStyle w:val="Appelnotedebasdep"/>
          <w:lang w:val="en-CA"/>
        </w:rPr>
        <w:footnoteReference w:id="29"/>
      </w:r>
    </w:p>
    <w:p w:rsidR="00B86EB7" w:rsidRPr="00AF78D8" w:rsidRDefault="00803FAB" w:rsidP="000748F5">
      <w:pPr>
        <w:pStyle w:val="Paragraphe"/>
        <w:tabs>
          <w:tab w:val="clear" w:pos="360"/>
          <w:tab w:val="num" w:pos="709"/>
        </w:tabs>
        <w:spacing w:line="240" w:lineRule="auto"/>
        <w:rPr>
          <w:lang w:val="en-CA"/>
        </w:rPr>
      </w:pPr>
      <w:r w:rsidRPr="00AF78D8">
        <w:rPr>
          <w:lang w:val="en-CA"/>
        </w:rPr>
        <w:t>The three applicants consider that the judgments</w:t>
      </w:r>
      <w:r w:rsidRPr="00AF78D8">
        <w:rPr>
          <w:rStyle w:val="Appelnotedebasdep"/>
          <w:lang w:val="en-CA"/>
        </w:rPr>
        <w:footnoteReference w:id="30"/>
      </w:r>
      <w:r w:rsidRPr="00AF78D8">
        <w:rPr>
          <w:lang w:val="en-CA"/>
        </w:rPr>
        <w:t xml:space="preserve"> cited by the Crown in support of </w:t>
      </w:r>
      <w:r w:rsidR="001447D7" w:rsidRPr="00AF78D8">
        <w:rPr>
          <w:lang w:val="en-CA"/>
        </w:rPr>
        <w:t xml:space="preserve">their </w:t>
      </w:r>
      <w:r w:rsidRPr="00AF78D8">
        <w:rPr>
          <w:lang w:val="en-CA"/>
        </w:rPr>
        <w:t xml:space="preserve">application for forfeiture based on s. 490(9) </w:t>
      </w:r>
      <w:r w:rsidR="00AD5C20" w:rsidRPr="00AF78D8">
        <w:rPr>
          <w:i/>
          <w:iCs/>
          <w:lang w:val="en-CA"/>
        </w:rPr>
        <w:t>Cr. C</w:t>
      </w:r>
      <w:r w:rsidR="00AD5C20" w:rsidRPr="00AF78D8">
        <w:rPr>
          <w:lang w:val="en-CA"/>
        </w:rPr>
        <w:t xml:space="preserve"> </w:t>
      </w:r>
      <w:r w:rsidRPr="00AF78D8">
        <w:rPr>
          <w:lang w:val="en-CA"/>
        </w:rPr>
        <w:t xml:space="preserve">are of no help to it in this regard. </w:t>
      </w:r>
    </w:p>
    <w:p w:rsidR="003C64EB" w:rsidRPr="00AF78D8" w:rsidRDefault="009607B1" w:rsidP="000748F5">
      <w:pPr>
        <w:pStyle w:val="Paragraphe"/>
        <w:tabs>
          <w:tab w:val="clear" w:pos="360"/>
          <w:tab w:val="num" w:pos="709"/>
        </w:tabs>
        <w:spacing w:line="240" w:lineRule="auto"/>
        <w:rPr>
          <w:lang w:val="en-CA"/>
        </w:rPr>
      </w:pPr>
      <w:r w:rsidRPr="00AF78D8">
        <w:rPr>
          <w:lang w:val="en-CA"/>
        </w:rPr>
        <w:t>In the Court’s view, w</w:t>
      </w:r>
      <w:r w:rsidR="00803FAB" w:rsidRPr="00AF78D8">
        <w:rPr>
          <w:lang w:val="en-CA"/>
        </w:rPr>
        <w:t xml:space="preserve">hether these judgments have an impact on an application for forfeiture based on s. 490(9) </w:t>
      </w:r>
      <w:r w:rsidR="00803FAB" w:rsidRPr="00AF78D8">
        <w:rPr>
          <w:i/>
          <w:iCs/>
          <w:lang w:val="en-CA"/>
        </w:rPr>
        <w:t>Cr. C</w:t>
      </w:r>
      <w:r w:rsidR="00803FAB" w:rsidRPr="00AF78D8">
        <w:rPr>
          <w:lang w:val="en-CA"/>
        </w:rPr>
        <w:t>.</w:t>
      </w:r>
      <w:r w:rsidRPr="00AF78D8">
        <w:rPr>
          <w:lang w:val="en-CA"/>
        </w:rPr>
        <w:t xml:space="preserve"> is </w:t>
      </w:r>
      <w:r w:rsidR="0095683A">
        <w:rPr>
          <w:lang w:val="en-CA"/>
        </w:rPr>
        <w:t>precisely</w:t>
      </w:r>
      <w:r w:rsidRPr="00AF78D8">
        <w:rPr>
          <w:lang w:val="en-CA"/>
        </w:rPr>
        <w:t xml:space="preserve"> what must be decided</w:t>
      </w:r>
      <w:r w:rsidR="00803FAB" w:rsidRPr="00AF78D8">
        <w:rPr>
          <w:lang w:val="en-CA"/>
        </w:rPr>
        <w:t>.</w:t>
      </w:r>
    </w:p>
    <w:p w:rsidR="003C64EB" w:rsidRPr="00AF78D8" w:rsidRDefault="00803FAB" w:rsidP="000748F5">
      <w:pPr>
        <w:pStyle w:val="Paragraphe"/>
        <w:tabs>
          <w:tab w:val="clear" w:pos="360"/>
          <w:tab w:val="num" w:pos="709"/>
        </w:tabs>
        <w:spacing w:line="240" w:lineRule="auto"/>
        <w:rPr>
          <w:lang w:val="en-CA"/>
        </w:rPr>
      </w:pPr>
      <w:r w:rsidRPr="00AF78D8">
        <w:rPr>
          <w:lang w:val="en-CA"/>
        </w:rPr>
        <w:t xml:space="preserve">In </w:t>
      </w:r>
      <w:r w:rsidRPr="00AF78D8">
        <w:rPr>
          <w:i/>
          <w:lang w:val="en-CA"/>
        </w:rPr>
        <w:t>Directeur des poursuites criminelles et pénales du Québec c. Lacelle</w:t>
      </w:r>
      <w:r w:rsidRPr="00AF78D8">
        <w:rPr>
          <w:lang w:val="en-CA"/>
        </w:rPr>
        <w:t>,</w:t>
      </w:r>
      <w:r w:rsidRPr="00AF78D8">
        <w:rPr>
          <w:rStyle w:val="Appelnotedebasdep"/>
          <w:lang w:val="en-CA"/>
        </w:rPr>
        <w:footnoteReference w:id="31"/>
      </w:r>
      <w:r w:rsidRPr="00AF78D8">
        <w:rPr>
          <w:lang w:val="en-CA"/>
        </w:rPr>
        <w:t xml:space="preserve"> Bonin</w:t>
      </w:r>
      <w:r w:rsidR="002D486A" w:rsidRPr="00AF78D8">
        <w:rPr>
          <w:lang w:val="en-CA"/>
        </w:rPr>
        <w:t> </w:t>
      </w:r>
      <w:r w:rsidRPr="00AF78D8">
        <w:rPr>
          <w:lang w:val="en-CA"/>
        </w:rPr>
        <w:t xml:space="preserve">J. ruled that the prosecution does not have to prove that the money came from a specific transaction or a specific crime to seek its forfeiture </w:t>
      </w:r>
      <w:r w:rsidR="00E65FF1" w:rsidRPr="00AF78D8">
        <w:rPr>
          <w:lang w:val="en-CA"/>
        </w:rPr>
        <w:t>pursuant to</w:t>
      </w:r>
      <w:r w:rsidRPr="00AF78D8">
        <w:rPr>
          <w:lang w:val="en-CA"/>
        </w:rPr>
        <w:t xml:space="preserve"> s. 490(9)</w:t>
      </w:r>
      <w:r w:rsidR="009607B1" w:rsidRPr="00AF78D8">
        <w:rPr>
          <w:lang w:val="en-CA"/>
        </w:rPr>
        <w:t xml:space="preserve"> </w:t>
      </w:r>
      <w:r w:rsidR="009607B1" w:rsidRPr="00AF78D8">
        <w:rPr>
          <w:i/>
          <w:iCs/>
          <w:lang w:val="en-CA"/>
        </w:rPr>
        <w:t>Cr. C</w:t>
      </w:r>
      <w:r w:rsidR="0095683A">
        <w:rPr>
          <w:lang w:val="en-CA"/>
        </w:rPr>
        <w:t>.</w:t>
      </w:r>
      <w:r w:rsidRPr="00AF78D8">
        <w:rPr>
          <w:lang w:val="en-CA"/>
        </w:rPr>
        <w:t xml:space="preserve"> </w:t>
      </w:r>
      <w:r w:rsidR="0095683A">
        <w:rPr>
          <w:lang w:val="en-CA"/>
        </w:rPr>
        <w:t xml:space="preserve">The </w:t>
      </w:r>
      <w:r w:rsidRPr="00AF78D8">
        <w:rPr>
          <w:lang w:val="en-CA"/>
        </w:rPr>
        <w:t xml:space="preserve">three applicants correctly note </w:t>
      </w:r>
      <w:r w:rsidR="0095683A">
        <w:rPr>
          <w:lang w:val="en-CA"/>
        </w:rPr>
        <w:t xml:space="preserve">that this </w:t>
      </w:r>
      <w:r w:rsidRPr="00AF78D8">
        <w:rPr>
          <w:lang w:val="en-CA"/>
        </w:rPr>
        <w:t xml:space="preserve">has not been </w:t>
      </w:r>
      <w:r w:rsidR="00F75E67" w:rsidRPr="00AF78D8">
        <w:rPr>
          <w:lang w:val="en-CA"/>
        </w:rPr>
        <w:t>supported</w:t>
      </w:r>
      <w:r w:rsidRPr="00AF78D8">
        <w:rPr>
          <w:lang w:val="en-CA"/>
        </w:rPr>
        <w:t xml:space="preserve"> in the case law.</w:t>
      </w:r>
    </w:p>
    <w:p w:rsidR="00A3502C" w:rsidRPr="00AF78D8" w:rsidRDefault="00740ED9" w:rsidP="000748F5">
      <w:pPr>
        <w:pStyle w:val="Paragraphe"/>
        <w:tabs>
          <w:tab w:val="clear" w:pos="360"/>
          <w:tab w:val="num" w:pos="709"/>
        </w:tabs>
        <w:spacing w:line="240" w:lineRule="auto"/>
        <w:rPr>
          <w:lang w:val="en-CA"/>
        </w:rPr>
      </w:pPr>
      <w:r>
        <w:rPr>
          <w:lang w:val="en-CA"/>
        </w:rPr>
        <w:t>However, i</w:t>
      </w:r>
      <w:r w:rsidR="00803FAB" w:rsidRPr="00AF78D8">
        <w:rPr>
          <w:lang w:val="en-CA"/>
        </w:rPr>
        <w:t>n the Court</w:t>
      </w:r>
      <w:r w:rsidR="009607B1" w:rsidRPr="00AF78D8">
        <w:rPr>
          <w:lang w:val="en-CA"/>
        </w:rPr>
        <w:t>’</w:t>
      </w:r>
      <w:r w:rsidR="00803FAB" w:rsidRPr="00AF78D8">
        <w:rPr>
          <w:lang w:val="en-CA"/>
        </w:rPr>
        <w:t>s view</w:t>
      </w:r>
      <w:r w:rsidR="0095683A">
        <w:rPr>
          <w:lang w:val="en-CA"/>
        </w:rPr>
        <w:t xml:space="preserve">, </w:t>
      </w:r>
      <w:r w:rsidR="00803FAB" w:rsidRPr="00AF78D8">
        <w:rPr>
          <w:lang w:val="en-CA"/>
        </w:rPr>
        <w:t>it is important</w:t>
      </w:r>
      <w:r w:rsidR="00122378" w:rsidRPr="00AF78D8">
        <w:rPr>
          <w:lang w:val="en-CA"/>
        </w:rPr>
        <w:t xml:space="preserve"> </w:t>
      </w:r>
      <w:r w:rsidR="00803FAB" w:rsidRPr="00AF78D8">
        <w:rPr>
          <w:lang w:val="en-CA"/>
        </w:rPr>
        <w:t xml:space="preserve">to note that no decision in the case law has taken </w:t>
      </w:r>
      <w:r w:rsidR="0095683A">
        <w:rPr>
          <w:lang w:val="en-CA"/>
        </w:rPr>
        <w:t xml:space="preserve">exception to </w:t>
      </w:r>
      <w:r w:rsidR="00803FAB" w:rsidRPr="00AF78D8">
        <w:rPr>
          <w:lang w:val="en-CA"/>
        </w:rPr>
        <w:t>Bonin</w:t>
      </w:r>
      <w:r w:rsidR="00F75E67" w:rsidRPr="00AF78D8">
        <w:rPr>
          <w:lang w:val="en-CA"/>
        </w:rPr>
        <w:t xml:space="preserve"> J.</w:t>
      </w:r>
      <w:r w:rsidR="0095683A">
        <w:rPr>
          <w:lang w:val="en-CA"/>
        </w:rPr>
        <w:t>’s interpretation</w:t>
      </w:r>
      <w:r w:rsidR="00803FAB" w:rsidRPr="00AF78D8">
        <w:rPr>
          <w:lang w:val="en-CA"/>
        </w:rPr>
        <w:t xml:space="preserve"> either.</w:t>
      </w:r>
    </w:p>
    <w:p w:rsidR="00A3502C" w:rsidRPr="00AF78D8" w:rsidRDefault="00803FAB" w:rsidP="000748F5">
      <w:pPr>
        <w:pStyle w:val="Paragraphe"/>
        <w:tabs>
          <w:tab w:val="clear" w:pos="360"/>
          <w:tab w:val="num" w:pos="709"/>
        </w:tabs>
        <w:spacing w:line="240" w:lineRule="auto"/>
        <w:rPr>
          <w:lang w:val="en-CA"/>
        </w:rPr>
      </w:pPr>
      <w:r w:rsidRPr="00AF78D8">
        <w:rPr>
          <w:lang w:val="en-CA"/>
        </w:rPr>
        <w:lastRenderedPageBreak/>
        <w:t>The Crown</w:t>
      </w:r>
      <w:r w:rsidR="00122378" w:rsidRPr="00AF78D8">
        <w:rPr>
          <w:lang w:val="en-CA"/>
        </w:rPr>
        <w:t xml:space="preserve"> does</w:t>
      </w:r>
      <w:r w:rsidR="00AD5C20" w:rsidRPr="00AF78D8">
        <w:rPr>
          <w:lang w:val="en-CA"/>
        </w:rPr>
        <w:t xml:space="preserve"> not</w:t>
      </w:r>
      <w:r w:rsidRPr="00AF78D8">
        <w:rPr>
          <w:lang w:val="en-CA"/>
        </w:rPr>
        <w:t xml:space="preserve"> </w:t>
      </w:r>
      <w:r w:rsidR="00A63125" w:rsidRPr="00AF78D8">
        <w:rPr>
          <w:lang w:val="en-CA"/>
        </w:rPr>
        <w:t>have the onus of establishing</w:t>
      </w:r>
      <w:r w:rsidRPr="00AF78D8">
        <w:rPr>
          <w:lang w:val="en-CA"/>
        </w:rPr>
        <w:t xml:space="preserve"> that the proceeds of </w:t>
      </w:r>
      <w:r w:rsidR="00A63125" w:rsidRPr="00AF78D8">
        <w:rPr>
          <w:lang w:val="en-CA"/>
        </w:rPr>
        <w:t xml:space="preserve">crime </w:t>
      </w:r>
      <w:r w:rsidR="000B5891">
        <w:rPr>
          <w:lang w:val="en-CA"/>
        </w:rPr>
        <w:t>came from</w:t>
      </w:r>
      <w:r w:rsidR="00740ED9">
        <w:rPr>
          <w:lang w:val="en-CA"/>
        </w:rPr>
        <w:t xml:space="preserve"> </w:t>
      </w:r>
      <w:r w:rsidRPr="00AF78D8">
        <w:rPr>
          <w:lang w:val="en-CA"/>
        </w:rPr>
        <w:t>a specific transaction.</w:t>
      </w:r>
      <w:r w:rsidR="00A3502C" w:rsidRPr="00AF78D8">
        <w:rPr>
          <w:lang w:val="en-CA"/>
        </w:rPr>
        <w:t xml:space="preserve"> </w:t>
      </w:r>
      <w:r w:rsidRPr="00AF78D8">
        <w:rPr>
          <w:lang w:val="en-CA"/>
        </w:rPr>
        <w:t xml:space="preserve">It must, however, prove that a designated </w:t>
      </w:r>
      <w:r w:rsidR="00F60828" w:rsidRPr="00AF78D8">
        <w:rPr>
          <w:lang w:val="en-CA"/>
        </w:rPr>
        <w:t xml:space="preserve">substance </w:t>
      </w:r>
      <w:r w:rsidRPr="00AF78D8">
        <w:rPr>
          <w:lang w:val="en-CA"/>
        </w:rPr>
        <w:t xml:space="preserve">offence was committed and identify the source of this money based on the </w:t>
      </w:r>
      <w:r w:rsidR="00A63125" w:rsidRPr="00AF78D8">
        <w:rPr>
          <w:lang w:val="en-CA"/>
        </w:rPr>
        <w:t>indicia</w:t>
      </w:r>
      <w:r w:rsidRPr="00AF78D8">
        <w:rPr>
          <w:lang w:val="en-CA"/>
        </w:rPr>
        <w:t>.</w:t>
      </w:r>
      <w:r w:rsidR="00A3502C" w:rsidRPr="00AF78D8">
        <w:rPr>
          <w:rStyle w:val="Appelnotedebasdep"/>
          <w:lang w:val="en-CA"/>
        </w:rPr>
        <w:footnoteReference w:id="32"/>
      </w:r>
    </w:p>
    <w:p w:rsidR="00A3502C" w:rsidRPr="00AF78D8" w:rsidRDefault="00803FAB" w:rsidP="000748F5">
      <w:pPr>
        <w:pStyle w:val="Paragraphe"/>
        <w:tabs>
          <w:tab w:val="clear" w:pos="360"/>
          <w:tab w:val="num" w:pos="709"/>
        </w:tabs>
        <w:spacing w:line="240" w:lineRule="auto"/>
        <w:rPr>
          <w:lang w:val="en-CA"/>
        </w:rPr>
      </w:pPr>
      <w:r w:rsidRPr="00AF78D8">
        <w:rPr>
          <w:lang w:val="en-CA"/>
        </w:rPr>
        <w:t xml:space="preserve">The three applicants submit that this applies to s. 462.37 </w:t>
      </w:r>
      <w:r w:rsidRPr="00AF78D8">
        <w:rPr>
          <w:i/>
          <w:iCs/>
          <w:lang w:val="en-CA"/>
        </w:rPr>
        <w:t>Cr. C.</w:t>
      </w:r>
      <w:r w:rsidR="00740ED9">
        <w:rPr>
          <w:lang w:val="en-CA"/>
        </w:rPr>
        <w:t xml:space="preserve">, </w:t>
      </w:r>
      <w:r w:rsidRPr="00AF78D8">
        <w:rPr>
          <w:lang w:val="en-CA"/>
        </w:rPr>
        <w:t>not to s</w:t>
      </w:r>
      <w:r w:rsidR="002D486A" w:rsidRPr="00AF78D8">
        <w:rPr>
          <w:lang w:val="en-CA"/>
        </w:rPr>
        <w:t>.</w:t>
      </w:r>
      <w:r w:rsidR="00BC0BC0" w:rsidRPr="00AF78D8">
        <w:rPr>
          <w:lang w:val="en-CA"/>
        </w:rPr>
        <w:t> </w:t>
      </w:r>
      <w:r w:rsidRPr="00AF78D8">
        <w:rPr>
          <w:lang w:val="en-CA"/>
        </w:rPr>
        <w:t>490(9)</w:t>
      </w:r>
      <w:r w:rsidR="00AB14E9">
        <w:rPr>
          <w:lang w:val="en-CA"/>
        </w:rPr>
        <w:t> </w:t>
      </w:r>
      <w:r w:rsidRPr="00AF78D8">
        <w:rPr>
          <w:i/>
          <w:iCs/>
          <w:lang w:val="en-CA"/>
        </w:rPr>
        <w:t>Cr. C</w:t>
      </w:r>
      <w:r w:rsidRPr="00AF78D8">
        <w:rPr>
          <w:lang w:val="en-CA"/>
        </w:rPr>
        <w:t>.</w:t>
      </w:r>
    </w:p>
    <w:p w:rsidR="00A3502C" w:rsidRPr="00AF78D8" w:rsidRDefault="00803FAB" w:rsidP="000748F5">
      <w:pPr>
        <w:pStyle w:val="Paragraphe"/>
        <w:tabs>
          <w:tab w:val="clear" w:pos="360"/>
          <w:tab w:val="num" w:pos="709"/>
        </w:tabs>
        <w:spacing w:line="240" w:lineRule="auto"/>
        <w:rPr>
          <w:lang w:val="en-CA"/>
        </w:rPr>
      </w:pPr>
      <w:r w:rsidRPr="00AF78D8">
        <w:rPr>
          <w:lang w:val="en-CA"/>
        </w:rPr>
        <w:t xml:space="preserve">The applicants </w:t>
      </w:r>
      <w:r w:rsidR="00DB1817">
        <w:rPr>
          <w:lang w:val="en-CA"/>
        </w:rPr>
        <w:t>are of the view</w:t>
      </w:r>
      <w:r w:rsidRPr="00AF78D8">
        <w:rPr>
          <w:lang w:val="en-CA"/>
        </w:rPr>
        <w:t xml:space="preserve"> that the specific forfeiture regimes set out in the </w:t>
      </w:r>
      <w:r w:rsidRPr="00AF78D8">
        <w:rPr>
          <w:i/>
          <w:lang w:val="en-CA"/>
        </w:rPr>
        <w:t>Criminal Code</w:t>
      </w:r>
      <w:r w:rsidRPr="00AF78D8">
        <w:rPr>
          <w:lang w:val="en-CA"/>
        </w:rPr>
        <w:t xml:space="preserve"> and the </w:t>
      </w:r>
      <w:r w:rsidRPr="00AF78D8">
        <w:rPr>
          <w:i/>
          <w:lang w:val="en-CA"/>
        </w:rPr>
        <w:t xml:space="preserve">CDSA </w:t>
      </w:r>
      <w:r w:rsidR="00122378" w:rsidRPr="00AF78D8">
        <w:rPr>
          <w:iCs/>
          <w:lang w:val="en-CA"/>
        </w:rPr>
        <w:t xml:space="preserve">are a </w:t>
      </w:r>
      <w:r w:rsidRPr="00AF78D8">
        <w:rPr>
          <w:lang w:val="en-CA"/>
        </w:rPr>
        <w:t xml:space="preserve">bar </w:t>
      </w:r>
      <w:r w:rsidR="006C1821" w:rsidRPr="00AF78D8">
        <w:rPr>
          <w:lang w:val="en-CA"/>
        </w:rPr>
        <w:t xml:space="preserve">to </w:t>
      </w:r>
      <w:r w:rsidRPr="00AF78D8">
        <w:rPr>
          <w:lang w:val="en-CA"/>
        </w:rPr>
        <w:t xml:space="preserve">applications concerning these subjects being brought under s. 490 </w:t>
      </w:r>
      <w:r w:rsidRPr="00AF78D8">
        <w:rPr>
          <w:i/>
          <w:iCs/>
          <w:lang w:val="en-CA"/>
        </w:rPr>
        <w:t>Cr. C</w:t>
      </w:r>
      <w:r w:rsidRPr="00AF78D8">
        <w:rPr>
          <w:lang w:val="en-CA"/>
        </w:rPr>
        <w:t>.</w:t>
      </w:r>
    </w:p>
    <w:p w:rsidR="00A3502C" w:rsidRPr="00AF78D8" w:rsidRDefault="00803FAB" w:rsidP="000748F5">
      <w:pPr>
        <w:pStyle w:val="Paragraphe"/>
        <w:tabs>
          <w:tab w:val="clear" w:pos="360"/>
          <w:tab w:val="num" w:pos="709"/>
        </w:tabs>
        <w:spacing w:line="240" w:lineRule="auto"/>
        <w:rPr>
          <w:lang w:val="en-CA"/>
        </w:rPr>
      </w:pPr>
      <w:r w:rsidRPr="00AF78D8">
        <w:rPr>
          <w:lang w:val="en-CA"/>
        </w:rPr>
        <w:t xml:space="preserve">In this regard, the Court </w:t>
      </w:r>
      <w:r w:rsidR="00DB1817">
        <w:rPr>
          <w:lang w:val="en-CA"/>
        </w:rPr>
        <w:t>finds</w:t>
      </w:r>
      <w:r w:rsidRPr="00AF78D8">
        <w:rPr>
          <w:lang w:val="en-CA"/>
        </w:rPr>
        <w:t xml:space="preserve"> that nothing in the wording of s. 462.37(2) </w:t>
      </w:r>
      <w:r w:rsidRPr="00AF78D8">
        <w:rPr>
          <w:i/>
          <w:iCs/>
          <w:lang w:val="en-CA"/>
        </w:rPr>
        <w:t>Cr.</w:t>
      </w:r>
      <w:r w:rsidR="00BC0BC0" w:rsidRPr="00AF78D8">
        <w:rPr>
          <w:i/>
          <w:iCs/>
          <w:lang w:val="en-CA"/>
        </w:rPr>
        <w:t> </w:t>
      </w:r>
      <w:r w:rsidRPr="00AF78D8">
        <w:rPr>
          <w:i/>
          <w:iCs/>
          <w:lang w:val="en-CA"/>
        </w:rPr>
        <w:t>C.</w:t>
      </w:r>
      <w:r w:rsidRPr="00AF78D8">
        <w:rPr>
          <w:lang w:val="en-CA"/>
        </w:rPr>
        <w:t xml:space="preserve"> and s. 16(2) </w:t>
      </w:r>
      <w:r w:rsidRPr="00AF78D8">
        <w:rPr>
          <w:i/>
          <w:iCs/>
          <w:lang w:val="en-CA"/>
        </w:rPr>
        <w:t>CDSA</w:t>
      </w:r>
      <w:r w:rsidRPr="00AF78D8">
        <w:rPr>
          <w:lang w:val="en-CA"/>
        </w:rPr>
        <w:t xml:space="preserve"> rules out establishing a forfeiture power based on ss. 490 or 491.1 </w:t>
      </w:r>
      <w:r w:rsidRPr="00AF78D8">
        <w:rPr>
          <w:i/>
          <w:iCs/>
          <w:lang w:val="en-CA"/>
        </w:rPr>
        <w:t>Cr.</w:t>
      </w:r>
      <w:r w:rsidR="00BC0BC0" w:rsidRPr="00AF78D8">
        <w:rPr>
          <w:i/>
          <w:iCs/>
          <w:lang w:val="en-CA"/>
        </w:rPr>
        <w:t> </w:t>
      </w:r>
      <w:r w:rsidRPr="00AF78D8">
        <w:rPr>
          <w:i/>
          <w:iCs/>
          <w:lang w:val="en-CA"/>
        </w:rPr>
        <w:t>C</w:t>
      </w:r>
      <w:r w:rsidRPr="00AF78D8">
        <w:rPr>
          <w:lang w:val="en-CA"/>
        </w:rPr>
        <w:t>.</w:t>
      </w:r>
    </w:p>
    <w:p w:rsidR="003811F1" w:rsidRPr="00AF78D8" w:rsidRDefault="00803FAB" w:rsidP="000748F5">
      <w:pPr>
        <w:pStyle w:val="Paragraphe"/>
        <w:tabs>
          <w:tab w:val="clear" w:pos="360"/>
          <w:tab w:val="num" w:pos="709"/>
        </w:tabs>
        <w:spacing w:line="240" w:lineRule="auto"/>
        <w:rPr>
          <w:lang w:val="en-CA"/>
        </w:rPr>
      </w:pPr>
      <w:r w:rsidRPr="00AF78D8">
        <w:rPr>
          <w:lang w:val="en-CA"/>
        </w:rPr>
        <w:t>In the Court</w:t>
      </w:r>
      <w:r w:rsidR="002D486A" w:rsidRPr="00AF78D8">
        <w:rPr>
          <w:lang w:val="en-CA"/>
        </w:rPr>
        <w:t>’</w:t>
      </w:r>
      <w:r w:rsidRPr="00AF78D8">
        <w:rPr>
          <w:lang w:val="en-CA"/>
        </w:rPr>
        <w:t xml:space="preserve">s view, </w:t>
      </w:r>
      <w:r w:rsidR="00B83C31" w:rsidRPr="00AF78D8">
        <w:rPr>
          <w:lang w:val="en-CA"/>
        </w:rPr>
        <w:t>although</w:t>
      </w:r>
      <w:r w:rsidRPr="00AF78D8">
        <w:rPr>
          <w:lang w:val="en-CA"/>
        </w:rPr>
        <w:t xml:space="preserve"> there is still a debate with respect to the application of the regime of s. 490 </w:t>
      </w:r>
      <w:r w:rsidRPr="00AF78D8">
        <w:rPr>
          <w:i/>
          <w:iCs/>
          <w:lang w:val="en-CA"/>
        </w:rPr>
        <w:t>Cr. C.</w:t>
      </w:r>
      <w:r w:rsidRPr="00AF78D8">
        <w:rPr>
          <w:lang w:val="en-CA"/>
        </w:rPr>
        <w:t xml:space="preserve"> when proceedings </w:t>
      </w:r>
      <w:r w:rsidR="00BC0BC0" w:rsidRPr="00AF78D8">
        <w:rPr>
          <w:lang w:val="en-CA"/>
        </w:rPr>
        <w:t>have</w:t>
      </w:r>
      <w:r w:rsidRPr="00AF78D8">
        <w:rPr>
          <w:lang w:val="en-CA"/>
        </w:rPr>
        <w:t xml:space="preserve"> commenced, </w:t>
      </w:r>
      <w:r w:rsidR="003E0CD6" w:rsidRPr="00AF78D8">
        <w:rPr>
          <w:lang w:val="en-CA"/>
        </w:rPr>
        <w:t>there is no longer any</w:t>
      </w:r>
      <w:r w:rsidRPr="00AF78D8">
        <w:rPr>
          <w:lang w:val="en-CA"/>
        </w:rPr>
        <w:t xml:space="preserve"> </w:t>
      </w:r>
      <w:r w:rsidR="003E0CD6" w:rsidRPr="00AF78D8">
        <w:rPr>
          <w:lang w:val="en-CA"/>
        </w:rPr>
        <w:t xml:space="preserve">debate </w:t>
      </w:r>
      <w:r w:rsidR="00DB1817">
        <w:rPr>
          <w:lang w:val="en-CA"/>
        </w:rPr>
        <w:t>regarding</w:t>
      </w:r>
      <w:r w:rsidRPr="00AF78D8">
        <w:rPr>
          <w:lang w:val="en-CA"/>
        </w:rPr>
        <w:t xml:space="preserve"> the lack of jurisdiction of a provincial court judge to apply s. 490(9) </w:t>
      </w:r>
      <w:r w:rsidRPr="00AF78D8">
        <w:rPr>
          <w:i/>
          <w:iCs/>
          <w:lang w:val="en-CA"/>
        </w:rPr>
        <w:t>Cr. C</w:t>
      </w:r>
      <w:r w:rsidRPr="00AF78D8">
        <w:rPr>
          <w:lang w:val="en-CA"/>
        </w:rPr>
        <w:t xml:space="preserve">. with respect to property that has not been filed </w:t>
      </w:r>
      <w:r w:rsidR="0044444C" w:rsidRPr="00AF78D8">
        <w:rPr>
          <w:lang w:val="en-CA"/>
        </w:rPr>
        <w:t>as exhibits</w:t>
      </w:r>
      <w:r w:rsidRPr="00AF78D8">
        <w:rPr>
          <w:lang w:val="en-CA"/>
        </w:rPr>
        <w:t>.</w:t>
      </w:r>
    </w:p>
    <w:p w:rsidR="003811F1" w:rsidRPr="00AF78D8" w:rsidRDefault="00803FAB" w:rsidP="000748F5">
      <w:pPr>
        <w:pStyle w:val="Paragraphe"/>
        <w:tabs>
          <w:tab w:val="clear" w:pos="360"/>
          <w:tab w:val="num" w:pos="709"/>
        </w:tabs>
        <w:spacing w:line="240" w:lineRule="auto"/>
        <w:rPr>
          <w:lang w:val="en-CA"/>
        </w:rPr>
      </w:pPr>
      <w:r w:rsidRPr="00AF78D8">
        <w:rPr>
          <w:lang w:val="en-CA"/>
        </w:rPr>
        <w:t>Lachance J.</w:t>
      </w:r>
      <w:r w:rsidR="00B83C31" w:rsidRPr="00AF78D8">
        <w:rPr>
          <w:lang w:val="en-CA"/>
        </w:rPr>
        <w:t>’</w:t>
      </w:r>
      <w:r w:rsidRPr="00AF78D8">
        <w:rPr>
          <w:lang w:val="en-CA"/>
        </w:rPr>
        <w:t xml:space="preserve">s conclusion was not called into question by </w:t>
      </w:r>
      <w:r w:rsidRPr="00AF78D8">
        <w:rPr>
          <w:i/>
          <w:lang w:val="en-CA"/>
        </w:rPr>
        <w:t>Guimont</w:t>
      </w:r>
      <w:r w:rsidR="00B83C31" w:rsidRPr="00AF78D8">
        <w:rPr>
          <w:iCs/>
          <w:lang w:val="en-CA"/>
        </w:rPr>
        <w:t>,</w:t>
      </w:r>
      <w:r w:rsidRPr="00AF78D8">
        <w:rPr>
          <w:rStyle w:val="Appelnotedebasdep"/>
          <w:lang w:val="en-CA"/>
        </w:rPr>
        <w:footnoteReference w:id="33"/>
      </w:r>
      <w:r w:rsidRPr="00AF78D8">
        <w:rPr>
          <w:lang w:val="en-CA"/>
        </w:rPr>
        <w:t xml:space="preserve"> </w:t>
      </w:r>
      <w:r w:rsidR="00B83C31" w:rsidRPr="00AF78D8">
        <w:rPr>
          <w:lang w:val="en-CA"/>
        </w:rPr>
        <w:t>where</w:t>
      </w:r>
      <w:r w:rsidRPr="00AF78D8">
        <w:rPr>
          <w:lang w:val="en-CA"/>
        </w:rPr>
        <w:t xml:space="preserve"> the order of forfeiture </w:t>
      </w:r>
      <w:r w:rsidR="00DB1817">
        <w:rPr>
          <w:lang w:val="en-CA"/>
        </w:rPr>
        <w:t>under</w:t>
      </w:r>
      <w:r w:rsidRPr="00AF78D8">
        <w:rPr>
          <w:lang w:val="en-CA"/>
        </w:rPr>
        <w:t xml:space="preserve"> s. 490(9) </w:t>
      </w:r>
      <w:r w:rsidRPr="00AF78D8">
        <w:rPr>
          <w:i/>
          <w:iCs/>
          <w:lang w:val="en-CA"/>
        </w:rPr>
        <w:t>Cr. C.</w:t>
      </w:r>
      <w:r w:rsidRPr="00AF78D8">
        <w:rPr>
          <w:lang w:val="en-CA"/>
        </w:rPr>
        <w:t xml:space="preserve"> was rendered by a judge of the Superior Court.</w:t>
      </w:r>
    </w:p>
    <w:p w:rsidR="003811F1" w:rsidRPr="00AF78D8" w:rsidRDefault="00803FAB" w:rsidP="000748F5">
      <w:pPr>
        <w:pStyle w:val="Paragraphe"/>
        <w:tabs>
          <w:tab w:val="clear" w:pos="360"/>
          <w:tab w:val="num" w:pos="709"/>
        </w:tabs>
        <w:spacing w:line="240" w:lineRule="auto"/>
        <w:rPr>
          <w:lang w:val="en-CA"/>
        </w:rPr>
      </w:pPr>
      <w:r w:rsidRPr="00AF78D8">
        <w:rPr>
          <w:lang w:val="en-CA"/>
        </w:rPr>
        <w:t xml:space="preserve">This </w:t>
      </w:r>
      <w:r w:rsidR="00DB1817">
        <w:rPr>
          <w:lang w:val="en-CA"/>
        </w:rPr>
        <w:t>is sufficient</w:t>
      </w:r>
      <w:r w:rsidRPr="00AF78D8">
        <w:rPr>
          <w:lang w:val="en-CA"/>
        </w:rPr>
        <w:t xml:space="preserve"> to </w:t>
      </w:r>
      <w:r w:rsidR="007041DE" w:rsidRPr="00AF78D8">
        <w:rPr>
          <w:lang w:val="en-CA"/>
        </w:rPr>
        <w:t>resolve</w:t>
      </w:r>
      <w:r w:rsidRPr="00AF78D8">
        <w:rPr>
          <w:lang w:val="en-CA"/>
        </w:rPr>
        <w:t xml:space="preserve"> the issue of the application of s. 490(9) </w:t>
      </w:r>
      <w:r w:rsidRPr="00AF78D8">
        <w:rPr>
          <w:i/>
          <w:iCs/>
          <w:lang w:val="en-CA"/>
        </w:rPr>
        <w:t>Cr. C</w:t>
      </w:r>
      <w:r w:rsidRPr="00AF78D8">
        <w:rPr>
          <w:lang w:val="en-CA"/>
        </w:rPr>
        <w:t>. in this case.</w:t>
      </w:r>
    </w:p>
    <w:p w:rsidR="00CE648B" w:rsidRPr="00AF78D8" w:rsidRDefault="00803FAB" w:rsidP="000748F5">
      <w:pPr>
        <w:pStyle w:val="Paragraphe"/>
        <w:tabs>
          <w:tab w:val="clear" w:pos="360"/>
          <w:tab w:val="num" w:pos="709"/>
        </w:tabs>
        <w:spacing w:line="240" w:lineRule="auto"/>
        <w:rPr>
          <w:lang w:val="en-CA"/>
        </w:rPr>
      </w:pPr>
      <w:r w:rsidRPr="00AF78D8">
        <w:rPr>
          <w:lang w:val="en-CA"/>
        </w:rPr>
        <w:t xml:space="preserve">As a judge of the Court of Québec, the Court does not have jurisdiction to apply 490(9) to seized property not filed into evidence in proceedings </w:t>
      </w:r>
      <w:r w:rsidR="0044444C" w:rsidRPr="00AF78D8">
        <w:rPr>
          <w:lang w:val="en-CA"/>
        </w:rPr>
        <w:t xml:space="preserve">that were </w:t>
      </w:r>
      <w:r w:rsidRPr="00AF78D8">
        <w:rPr>
          <w:lang w:val="en-CA"/>
        </w:rPr>
        <w:t>instituted and concluded.</w:t>
      </w:r>
    </w:p>
    <w:p w:rsidR="00CE648B" w:rsidRPr="00AF78D8" w:rsidRDefault="00803FAB" w:rsidP="000748F5">
      <w:pPr>
        <w:pStyle w:val="Paragraphe"/>
        <w:tabs>
          <w:tab w:val="clear" w:pos="360"/>
          <w:tab w:val="num" w:pos="709"/>
        </w:tabs>
        <w:spacing w:line="240" w:lineRule="auto"/>
        <w:rPr>
          <w:lang w:val="en-CA"/>
        </w:rPr>
      </w:pPr>
      <w:r w:rsidRPr="00AF78D8">
        <w:rPr>
          <w:lang w:val="en-CA"/>
        </w:rPr>
        <w:t xml:space="preserve">The Court does, however, have jurisdiction to act </w:t>
      </w:r>
      <w:r w:rsidR="0044444C" w:rsidRPr="00AF78D8">
        <w:rPr>
          <w:lang w:val="en-CA"/>
        </w:rPr>
        <w:t>pursuant to</w:t>
      </w:r>
      <w:r w:rsidRPr="00AF78D8">
        <w:rPr>
          <w:lang w:val="en-CA"/>
        </w:rPr>
        <w:t xml:space="preserve"> s. 491.1(2) </w:t>
      </w:r>
      <w:r w:rsidRPr="00AF78D8">
        <w:rPr>
          <w:i/>
          <w:iCs/>
          <w:lang w:val="en-CA"/>
        </w:rPr>
        <w:t>Cr.</w:t>
      </w:r>
      <w:r w:rsidR="00B83C31" w:rsidRPr="00AF78D8">
        <w:rPr>
          <w:i/>
          <w:iCs/>
          <w:lang w:val="en-CA"/>
        </w:rPr>
        <w:t> </w:t>
      </w:r>
      <w:r w:rsidRPr="00AF78D8">
        <w:rPr>
          <w:i/>
          <w:iCs/>
          <w:lang w:val="en-CA"/>
        </w:rPr>
        <w:t>C</w:t>
      </w:r>
      <w:r w:rsidRPr="00AF78D8">
        <w:rPr>
          <w:lang w:val="en-CA"/>
        </w:rPr>
        <w:t>.</w:t>
      </w:r>
      <w:r w:rsidR="00DB1817">
        <w:rPr>
          <w:lang w:val="en-CA"/>
        </w:rPr>
        <w:t>,</w:t>
      </w:r>
      <w:r w:rsidRPr="00AF78D8">
        <w:rPr>
          <w:lang w:val="en-CA"/>
        </w:rPr>
        <w:t xml:space="preserve"> as</w:t>
      </w:r>
      <w:r w:rsidR="008C7A69" w:rsidRPr="00AF78D8">
        <w:rPr>
          <w:lang w:val="en-CA"/>
        </w:rPr>
        <w:t xml:space="preserve"> argued in</w:t>
      </w:r>
      <w:r w:rsidRPr="00AF78D8">
        <w:rPr>
          <w:lang w:val="en-CA"/>
        </w:rPr>
        <w:t xml:space="preserve"> the amended application for forfeiture.</w:t>
      </w:r>
      <w:r w:rsidRPr="00AF78D8">
        <w:rPr>
          <w:rStyle w:val="Appelnotedebasdep"/>
          <w:lang w:val="en-CA"/>
        </w:rPr>
        <w:footnoteReference w:id="34"/>
      </w:r>
      <w:r w:rsidR="00CE648B" w:rsidRPr="00AF78D8">
        <w:rPr>
          <w:lang w:val="en-CA"/>
        </w:rPr>
        <w:t xml:space="preserve"> </w:t>
      </w:r>
      <w:r w:rsidRPr="00AF78D8">
        <w:rPr>
          <w:lang w:val="en-CA"/>
        </w:rPr>
        <w:t xml:space="preserve">This provision does not require </w:t>
      </w:r>
      <w:r w:rsidR="00DB1817">
        <w:rPr>
          <w:lang w:val="en-CA"/>
        </w:rPr>
        <w:t>that the accused was convicted</w:t>
      </w:r>
      <w:r w:rsidRPr="00AF78D8">
        <w:rPr>
          <w:lang w:val="en-CA"/>
        </w:rPr>
        <w:t xml:space="preserve">, but solely </w:t>
      </w:r>
      <w:r w:rsidR="00DB1817">
        <w:rPr>
          <w:lang w:val="en-CA"/>
        </w:rPr>
        <w:t xml:space="preserve">that an offence was committed </w:t>
      </w:r>
      <w:r w:rsidRPr="00AF78D8">
        <w:rPr>
          <w:lang w:val="en-CA"/>
        </w:rPr>
        <w:t>and that</w:t>
      </w:r>
      <w:r w:rsidR="00DB1817">
        <w:rPr>
          <w:lang w:val="en-CA"/>
        </w:rPr>
        <w:t>,</w:t>
      </w:r>
      <w:r w:rsidRPr="00AF78D8">
        <w:rPr>
          <w:lang w:val="en-CA"/>
        </w:rPr>
        <w:t xml:space="preserve"> at the time of the trial</w:t>
      </w:r>
      <w:r w:rsidR="00DB1817">
        <w:rPr>
          <w:lang w:val="en-CA"/>
        </w:rPr>
        <w:t>,</w:t>
      </w:r>
      <w:r w:rsidRPr="00AF78D8">
        <w:rPr>
          <w:lang w:val="en-CA"/>
        </w:rPr>
        <w:t xml:space="preserve"> the property obtained by the commission of the offence is before the court or has been detained so that it can be immediately dealt with, and that this property will not be required as evidence in any other proceedings</w:t>
      </w:r>
      <w:r w:rsidR="00DB1817">
        <w:rPr>
          <w:lang w:val="en-CA"/>
        </w:rPr>
        <w:t xml:space="preserve">. That </w:t>
      </w:r>
      <w:r w:rsidRPr="00AF78D8">
        <w:rPr>
          <w:lang w:val="en-CA"/>
        </w:rPr>
        <w:t>is the case here.</w:t>
      </w:r>
    </w:p>
    <w:p w:rsidR="00CE648B" w:rsidRPr="00AF78D8" w:rsidRDefault="00803FAB" w:rsidP="000748F5">
      <w:pPr>
        <w:pStyle w:val="Paragraphe"/>
        <w:tabs>
          <w:tab w:val="clear" w:pos="360"/>
          <w:tab w:val="num" w:pos="709"/>
        </w:tabs>
        <w:spacing w:line="240" w:lineRule="auto"/>
        <w:rPr>
          <w:lang w:val="en-CA"/>
        </w:rPr>
      </w:pPr>
      <w:r w:rsidRPr="00AF78D8">
        <w:rPr>
          <w:lang w:val="en-CA"/>
        </w:rPr>
        <w:t>Based on this analysis, the Court adopts the following reasoning:</w:t>
      </w:r>
    </w:p>
    <w:p w:rsidR="00CE648B" w:rsidRPr="00AF78D8" w:rsidRDefault="00803FAB" w:rsidP="00CE648B">
      <w:pPr>
        <w:pStyle w:val="Paragraphe"/>
        <w:numPr>
          <w:ilvl w:val="0"/>
          <w:numId w:val="32"/>
        </w:numPr>
        <w:spacing w:line="240" w:lineRule="auto"/>
        <w:rPr>
          <w:lang w:val="en-CA"/>
        </w:rPr>
      </w:pPr>
      <w:r w:rsidRPr="00AF78D8">
        <w:rPr>
          <w:lang w:val="en-CA"/>
        </w:rPr>
        <w:t xml:space="preserve">Section 490(9) </w:t>
      </w:r>
      <w:r w:rsidRPr="00AF78D8">
        <w:rPr>
          <w:i/>
          <w:iCs/>
          <w:lang w:val="en-CA"/>
        </w:rPr>
        <w:t>Cr. C</w:t>
      </w:r>
      <w:r w:rsidRPr="00AF78D8">
        <w:rPr>
          <w:lang w:val="en-CA"/>
        </w:rPr>
        <w:t xml:space="preserve">. </w:t>
      </w:r>
      <w:r w:rsidR="000E18D2" w:rsidRPr="00AF78D8">
        <w:rPr>
          <w:lang w:val="en-CA"/>
        </w:rPr>
        <w:t>does not apply</w:t>
      </w:r>
      <w:r w:rsidRPr="00AF78D8">
        <w:rPr>
          <w:lang w:val="en-CA"/>
        </w:rPr>
        <w:t xml:space="preserve"> </w:t>
      </w:r>
      <w:r w:rsidR="00DB1817">
        <w:rPr>
          <w:lang w:val="en-CA"/>
        </w:rPr>
        <w:t>once</w:t>
      </w:r>
      <w:r w:rsidRPr="00AF78D8">
        <w:rPr>
          <w:lang w:val="en-CA"/>
        </w:rPr>
        <w:t xml:space="preserve"> proceedings have been instituted, as in this case.</w:t>
      </w:r>
    </w:p>
    <w:p w:rsidR="00CE648B" w:rsidRPr="00AF78D8" w:rsidRDefault="00803FAB" w:rsidP="00CE648B">
      <w:pPr>
        <w:pStyle w:val="Paragraphe"/>
        <w:numPr>
          <w:ilvl w:val="0"/>
          <w:numId w:val="32"/>
        </w:numPr>
        <w:spacing w:line="240" w:lineRule="auto"/>
        <w:rPr>
          <w:lang w:val="en-CA"/>
        </w:rPr>
      </w:pPr>
      <w:r w:rsidRPr="00AF78D8">
        <w:rPr>
          <w:lang w:val="en-CA"/>
        </w:rPr>
        <w:lastRenderedPageBreak/>
        <w:t xml:space="preserve">Section 491.1 </w:t>
      </w:r>
      <w:r w:rsidRPr="00AF78D8">
        <w:rPr>
          <w:i/>
          <w:iCs/>
          <w:lang w:val="en-CA"/>
        </w:rPr>
        <w:t>Cr. C</w:t>
      </w:r>
      <w:r w:rsidRPr="00AF78D8">
        <w:rPr>
          <w:lang w:val="en-CA"/>
        </w:rPr>
        <w:t>. may be invoked in the alternative by the Crown, as is the case here.</w:t>
      </w:r>
      <w:r w:rsidR="006677EE" w:rsidRPr="00AF78D8">
        <w:rPr>
          <w:lang w:val="en-CA"/>
        </w:rPr>
        <w:t xml:space="preserve"> </w:t>
      </w:r>
      <w:r w:rsidRPr="00AF78D8">
        <w:rPr>
          <w:lang w:val="en-CA"/>
        </w:rPr>
        <w:t xml:space="preserve">The fact that a co-accused was convicted suffices for the Court to determine whether to rule that any detained property be returned or forfeited, including </w:t>
      </w:r>
      <w:r w:rsidR="000E4949" w:rsidRPr="00AF78D8">
        <w:rPr>
          <w:lang w:val="en-CA"/>
        </w:rPr>
        <w:t xml:space="preserve">in </w:t>
      </w:r>
      <w:r w:rsidRPr="00AF78D8">
        <w:rPr>
          <w:lang w:val="en-CA"/>
        </w:rPr>
        <w:t xml:space="preserve">respect </w:t>
      </w:r>
      <w:r w:rsidR="000E4949" w:rsidRPr="00AF78D8">
        <w:rPr>
          <w:lang w:val="en-CA"/>
        </w:rPr>
        <w:t xml:space="preserve">of </w:t>
      </w:r>
      <w:r w:rsidRPr="00AF78D8">
        <w:rPr>
          <w:lang w:val="en-CA"/>
        </w:rPr>
        <w:t>all the co-accused.</w:t>
      </w:r>
      <w:r w:rsidR="006677EE" w:rsidRPr="00AF78D8">
        <w:rPr>
          <w:lang w:val="en-CA"/>
        </w:rPr>
        <w:t xml:space="preserve"> </w:t>
      </w:r>
      <w:r w:rsidR="007041DE" w:rsidRPr="00AF78D8">
        <w:rPr>
          <w:lang w:val="en-CA"/>
        </w:rPr>
        <w:t xml:space="preserve">The determination of lawful ownership or the right of lawful possession must be made in the context of the application for forfeiture, even </w:t>
      </w:r>
      <w:r w:rsidR="000E4949" w:rsidRPr="00AF78D8">
        <w:rPr>
          <w:lang w:val="en-CA"/>
        </w:rPr>
        <w:t>in respect of</w:t>
      </w:r>
      <w:r w:rsidR="001F7B7C" w:rsidRPr="00AF78D8">
        <w:rPr>
          <w:lang w:val="en-CA"/>
        </w:rPr>
        <w:t xml:space="preserve"> </w:t>
      </w:r>
      <w:r w:rsidR="007041DE" w:rsidRPr="00AF78D8">
        <w:rPr>
          <w:lang w:val="en-CA"/>
        </w:rPr>
        <w:t>the co-accused.</w:t>
      </w:r>
      <w:r w:rsidR="006677EE" w:rsidRPr="00AF78D8">
        <w:rPr>
          <w:lang w:val="en-CA"/>
        </w:rPr>
        <w:t xml:space="preserve"> </w:t>
      </w:r>
      <w:r w:rsidR="007041DE" w:rsidRPr="00AF78D8">
        <w:rPr>
          <w:lang w:val="en-CA"/>
        </w:rPr>
        <w:t xml:space="preserve">The Crown cannot be prevented from proving beyond a reasonable doubt that the property that was seized and that was owned </w:t>
      </w:r>
      <w:r w:rsidR="00562033">
        <w:rPr>
          <w:lang w:val="en-CA"/>
        </w:rPr>
        <w:t xml:space="preserve">by or in the possession of </w:t>
      </w:r>
      <w:r w:rsidR="007041DE" w:rsidRPr="00AF78D8">
        <w:rPr>
          <w:lang w:val="en-CA"/>
        </w:rPr>
        <w:t xml:space="preserve">the three applicants, </w:t>
      </w:r>
      <w:r w:rsidR="00562033">
        <w:rPr>
          <w:lang w:val="en-CA"/>
        </w:rPr>
        <w:t xml:space="preserve">regarding </w:t>
      </w:r>
      <w:r w:rsidR="007041DE" w:rsidRPr="00AF78D8">
        <w:rPr>
          <w:lang w:val="en-CA"/>
        </w:rPr>
        <w:t xml:space="preserve">which proceedings were stayed due to unreasonable delay, must be forfeited because </w:t>
      </w:r>
      <w:r w:rsidR="00562033">
        <w:rPr>
          <w:lang w:val="en-CA"/>
        </w:rPr>
        <w:t>its</w:t>
      </w:r>
      <w:r w:rsidR="007041DE" w:rsidRPr="00AF78D8">
        <w:rPr>
          <w:lang w:val="en-CA"/>
        </w:rPr>
        <w:t xml:space="preserve"> ownership was not lawful, they did not have lawful possession </w:t>
      </w:r>
      <w:r w:rsidR="00607EFF" w:rsidRPr="00AF78D8">
        <w:rPr>
          <w:lang w:val="en-CA"/>
        </w:rPr>
        <w:t>of it</w:t>
      </w:r>
      <w:r w:rsidR="00562033">
        <w:rPr>
          <w:lang w:val="en-CA"/>
        </w:rPr>
        <w:t>,</w:t>
      </w:r>
      <w:r w:rsidR="00607EFF" w:rsidRPr="00AF78D8">
        <w:rPr>
          <w:lang w:val="en-CA"/>
        </w:rPr>
        <w:t xml:space="preserve"> </w:t>
      </w:r>
      <w:r w:rsidR="007041DE" w:rsidRPr="00AF78D8">
        <w:rPr>
          <w:lang w:val="en-CA"/>
        </w:rPr>
        <w:t xml:space="preserve">and no lawful owner or possessor is known. </w:t>
      </w:r>
    </w:p>
    <w:p w:rsidR="006677EE" w:rsidRPr="00AF78D8" w:rsidRDefault="00EA0308" w:rsidP="005F4F54">
      <w:pPr>
        <w:pStyle w:val="Titre4"/>
        <w:jc w:val="both"/>
        <w:rPr>
          <w:lang w:val="en-CA"/>
        </w:rPr>
      </w:pPr>
      <w:r w:rsidRPr="00AF78D8">
        <w:rPr>
          <w:lang w:val="en-CA"/>
        </w:rPr>
        <w:t>(</w:t>
      </w:r>
      <w:r w:rsidR="006677EE" w:rsidRPr="00AF78D8">
        <w:rPr>
          <w:lang w:val="en-CA"/>
        </w:rPr>
        <w:t xml:space="preserve">3) </w:t>
      </w:r>
      <w:r w:rsidRPr="00AF78D8">
        <w:rPr>
          <w:lang w:val="en-CA"/>
        </w:rPr>
        <w:t xml:space="preserve">Are s. 462.37(2) </w:t>
      </w:r>
      <w:r w:rsidRPr="00AF78D8">
        <w:rPr>
          <w:i/>
          <w:iCs/>
          <w:lang w:val="en-CA"/>
        </w:rPr>
        <w:t>Cr. C.</w:t>
      </w:r>
      <w:r w:rsidRPr="00AF78D8">
        <w:rPr>
          <w:lang w:val="en-CA"/>
        </w:rPr>
        <w:t xml:space="preserve"> and s. 16(2) </w:t>
      </w:r>
      <w:r w:rsidRPr="00AF78D8">
        <w:rPr>
          <w:i/>
          <w:iCs/>
          <w:lang w:val="en-CA"/>
        </w:rPr>
        <w:t>CDSA</w:t>
      </w:r>
      <w:r w:rsidRPr="00AF78D8">
        <w:rPr>
          <w:lang w:val="en-CA"/>
        </w:rPr>
        <w:t xml:space="preserve"> procedural vehicles </w:t>
      </w:r>
      <w:r w:rsidR="00640638" w:rsidRPr="00AF78D8">
        <w:rPr>
          <w:lang w:val="en-CA"/>
        </w:rPr>
        <w:t>available</w:t>
      </w:r>
      <w:r w:rsidRPr="00AF78D8">
        <w:rPr>
          <w:lang w:val="en-CA"/>
        </w:rPr>
        <w:t xml:space="preserve"> to the Crown to seek the forfeiture of th</w:t>
      </w:r>
      <w:r w:rsidR="006476DF" w:rsidRPr="00AF78D8">
        <w:rPr>
          <w:lang w:val="en-CA"/>
        </w:rPr>
        <w:t>e</w:t>
      </w:r>
      <w:r w:rsidRPr="00AF78D8">
        <w:rPr>
          <w:lang w:val="en-CA"/>
        </w:rPr>
        <w:t xml:space="preserve"> property?</w:t>
      </w:r>
    </w:p>
    <w:p w:rsidR="006677EE" w:rsidRPr="00AF78D8" w:rsidRDefault="00EA0308" w:rsidP="000748F5">
      <w:pPr>
        <w:pStyle w:val="Paragraphe"/>
        <w:tabs>
          <w:tab w:val="clear" w:pos="360"/>
          <w:tab w:val="num" w:pos="709"/>
        </w:tabs>
        <w:spacing w:line="240" w:lineRule="auto"/>
        <w:rPr>
          <w:lang w:val="en-CA"/>
        </w:rPr>
      </w:pPr>
      <w:r w:rsidRPr="00AF78D8">
        <w:rPr>
          <w:lang w:val="en-CA"/>
        </w:rPr>
        <w:t xml:space="preserve">The three applicants submit that it is apparent upon reading s. 462.37 </w:t>
      </w:r>
      <w:r w:rsidRPr="00AF78D8">
        <w:rPr>
          <w:i/>
          <w:iCs/>
          <w:lang w:val="en-CA"/>
        </w:rPr>
        <w:t>Cr.</w:t>
      </w:r>
      <w:r w:rsidR="00B83C31" w:rsidRPr="00AF78D8">
        <w:rPr>
          <w:i/>
          <w:iCs/>
          <w:lang w:val="en-CA"/>
        </w:rPr>
        <w:t> </w:t>
      </w:r>
      <w:r w:rsidRPr="00AF78D8">
        <w:rPr>
          <w:i/>
          <w:iCs/>
          <w:lang w:val="en-CA"/>
        </w:rPr>
        <w:t>C</w:t>
      </w:r>
      <w:r w:rsidRPr="00AF78D8">
        <w:rPr>
          <w:lang w:val="en-CA"/>
        </w:rPr>
        <w:t xml:space="preserve">. that </w:t>
      </w:r>
      <w:r w:rsidR="007220F1" w:rsidRPr="00AF78D8">
        <w:rPr>
          <w:lang w:val="en-CA"/>
        </w:rPr>
        <w:t xml:space="preserve">the person </w:t>
      </w:r>
      <w:r w:rsidR="00FD1539">
        <w:rPr>
          <w:lang w:val="en-CA"/>
        </w:rPr>
        <w:t>named</w:t>
      </w:r>
      <w:r w:rsidR="007220F1" w:rsidRPr="00AF78D8">
        <w:rPr>
          <w:lang w:val="en-CA"/>
        </w:rPr>
        <w:t xml:space="preserve"> in a restraint order </w:t>
      </w:r>
      <w:r w:rsidRPr="00AF78D8">
        <w:rPr>
          <w:lang w:val="en-CA"/>
        </w:rPr>
        <w:t xml:space="preserve">must be </w:t>
      </w:r>
      <w:r w:rsidR="007220F1" w:rsidRPr="00AF78D8">
        <w:rPr>
          <w:lang w:val="en-CA"/>
        </w:rPr>
        <w:t xml:space="preserve">convicted of </w:t>
      </w:r>
      <w:r w:rsidRPr="00AF78D8">
        <w:rPr>
          <w:lang w:val="en-CA"/>
        </w:rPr>
        <w:t xml:space="preserve">a designated </w:t>
      </w:r>
      <w:r w:rsidR="00F60828" w:rsidRPr="00AF78D8">
        <w:rPr>
          <w:lang w:val="en-CA"/>
        </w:rPr>
        <w:t xml:space="preserve">substance </w:t>
      </w:r>
      <w:r w:rsidRPr="00AF78D8">
        <w:rPr>
          <w:lang w:val="en-CA"/>
        </w:rPr>
        <w:t>offence.</w:t>
      </w:r>
    </w:p>
    <w:p w:rsidR="00CE648B" w:rsidRPr="00AF78D8" w:rsidRDefault="00EA0308" w:rsidP="000748F5">
      <w:pPr>
        <w:pStyle w:val="Paragraphe"/>
        <w:tabs>
          <w:tab w:val="clear" w:pos="360"/>
          <w:tab w:val="num" w:pos="709"/>
        </w:tabs>
        <w:spacing w:line="240" w:lineRule="auto"/>
        <w:rPr>
          <w:lang w:val="en-CA"/>
        </w:rPr>
      </w:pPr>
      <w:r w:rsidRPr="00AF78D8">
        <w:rPr>
          <w:lang w:val="en-CA"/>
        </w:rPr>
        <w:t>They base their reasoning on ss. 462.32, 462.33</w:t>
      </w:r>
      <w:r w:rsidR="00B83C31" w:rsidRPr="00AF78D8">
        <w:rPr>
          <w:lang w:val="en-CA"/>
        </w:rPr>
        <w:t>,</w:t>
      </w:r>
      <w:r w:rsidRPr="00AF78D8">
        <w:rPr>
          <w:lang w:val="en-CA"/>
        </w:rPr>
        <w:t xml:space="preserve"> and 462.37 </w:t>
      </w:r>
      <w:r w:rsidRPr="00AF78D8">
        <w:rPr>
          <w:i/>
          <w:iCs/>
          <w:lang w:val="en-CA"/>
        </w:rPr>
        <w:t>Cr. C</w:t>
      </w:r>
      <w:r w:rsidRPr="00AF78D8">
        <w:rPr>
          <w:lang w:val="en-CA"/>
        </w:rPr>
        <w:t>.</w:t>
      </w:r>
    </w:p>
    <w:p w:rsidR="006677EE" w:rsidRPr="00D54ACE" w:rsidRDefault="00EA0308" w:rsidP="000748F5">
      <w:pPr>
        <w:pStyle w:val="Paragraphe"/>
        <w:tabs>
          <w:tab w:val="clear" w:pos="360"/>
          <w:tab w:val="num" w:pos="709"/>
        </w:tabs>
        <w:spacing w:line="240" w:lineRule="auto"/>
        <w:rPr>
          <w:lang w:val="en-CA"/>
        </w:rPr>
      </w:pPr>
      <w:r w:rsidRPr="00D54ACE">
        <w:rPr>
          <w:lang w:val="en-CA"/>
        </w:rPr>
        <w:t xml:space="preserve">The procedures for the interim preservation of property, namely, special </w:t>
      </w:r>
      <w:r w:rsidR="00225024" w:rsidRPr="00D54ACE">
        <w:rPr>
          <w:lang w:val="en-CA"/>
        </w:rPr>
        <w:t xml:space="preserve">search </w:t>
      </w:r>
      <w:r w:rsidRPr="00D54ACE">
        <w:rPr>
          <w:lang w:val="en-CA"/>
        </w:rPr>
        <w:t xml:space="preserve">warrants under s. 462.32 </w:t>
      </w:r>
      <w:r w:rsidRPr="00D54ACE">
        <w:rPr>
          <w:i/>
          <w:iCs/>
          <w:lang w:val="en-CA"/>
        </w:rPr>
        <w:t>Cr. C</w:t>
      </w:r>
      <w:r w:rsidRPr="00D54ACE">
        <w:rPr>
          <w:lang w:val="en-CA"/>
        </w:rPr>
        <w:t xml:space="preserve">., which </w:t>
      </w:r>
      <w:r w:rsidR="00225024" w:rsidRPr="00D54ACE">
        <w:rPr>
          <w:lang w:val="en-CA"/>
        </w:rPr>
        <w:t>concern</w:t>
      </w:r>
      <w:r w:rsidR="00A64240" w:rsidRPr="00D54ACE">
        <w:rPr>
          <w:lang w:val="en-CA"/>
        </w:rPr>
        <w:t>s</w:t>
      </w:r>
      <w:r w:rsidRPr="00D54ACE">
        <w:rPr>
          <w:lang w:val="en-CA"/>
        </w:rPr>
        <w:t xml:space="preserve"> movable and tangible property, and restraint orders under s. 462.33 </w:t>
      </w:r>
      <w:r w:rsidRPr="00D54ACE">
        <w:rPr>
          <w:i/>
          <w:iCs/>
          <w:lang w:val="en-CA"/>
        </w:rPr>
        <w:t>Cr. C</w:t>
      </w:r>
      <w:r w:rsidRPr="00D54ACE">
        <w:rPr>
          <w:lang w:val="en-CA"/>
        </w:rPr>
        <w:t xml:space="preserve">., which </w:t>
      </w:r>
      <w:r w:rsidR="00225024" w:rsidRPr="00D54ACE">
        <w:rPr>
          <w:lang w:val="en-CA"/>
        </w:rPr>
        <w:t>concern</w:t>
      </w:r>
      <w:r w:rsidR="00A64240" w:rsidRPr="00D54ACE">
        <w:rPr>
          <w:lang w:val="en-CA"/>
        </w:rPr>
        <w:t>s</w:t>
      </w:r>
      <w:r w:rsidRPr="00D54ACE">
        <w:rPr>
          <w:lang w:val="en-CA"/>
        </w:rPr>
        <w:t xml:space="preserve"> </w:t>
      </w:r>
      <w:r w:rsidR="00225024" w:rsidRPr="00D54ACE">
        <w:rPr>
          <w:lang w:val="en-CA"/>
        </w:rPr>
        <w:t>immovables</w:t>
      </w:r>
      <w:r w:rsidRPr="00D54ACE">
        <w:rPr>
          <w:lang w:val="en-CA"/>
        </w:rPr>
        <w:t xml:space="preserve"> or intangible property such as bank accounts, are </w:t>
      </w:r>
      <w:r w:rsidR="0097699B" w:rsidRPr="00D54ACE">
        <w:rPr>
          <w:lang w:val="en-CA"/>
        </w:rPr>
        <w:t xml:space="preserve">pre-trial </w:t>
      </w:r>
      <w:r w:rsidRPr="00D54ACE">
        <w:rPr>
          <w:lang w:val="en-CA"/>
        </w:rPr>
        <w:t>measures that aim to prevent the wasting of illegally obtained property and to make it possible for that property to be forfeited after a conviction is secured.</w:t>
      </w:r>
      <w:r w:rsidR="006677EE" w:rsidRPr="00D54ACE">
        <w:rPr>
          <w:rStyle w:val="Appelnotedebasdep"/>
          <w:lang w:val="en-CA"/>
        </w:rPr>
        <w:footnoteReference w:id="35"/>
      </w:r>
    </w:p>
    <w:p w:rsidR="006677EE" w:rsidRPr="00AF78D8" w:rsidRDefault="00621C30" w:rsidP="000748F5">
      <w:pPr>
        <w:pStyle w:val="Paragraphe"/>
        <w:tabs>
          <w:tab w:val="clear" w:pos="360"/>
          <w:tab w:val="num" w:pos="709"/>
        </w:tabs>
        <w:spacing w:line="240" w:lineRule="auto"/>
        <w:rPr>
          <w:lang w:val="en-CA"/>
        </w:rPr>
      </w:pPr>
      <w:r w:rsidRPr="00AF78D8">
        <w:rPr>
          <w:lang w:val="en-CA"/>
        </w:rPr>
        <w:t xml:space="preserve">For the purposes of Part XXI of the </w:t>
      </w:r>
      <w:r w:rsidRPr="00AF78D8">
        <w:rPr>
          <w:i/>
          <w:lang w:val="en-CA"/>
        </w:rPr>
        <w:t>Criminal Code</w:t>
      </w:r>
      <w:r w:rsidRPr="00AF78D8">
        <w:rPr>
          <w:lang w:val="en-CA"/>
        </w:rPr>
        <w:t xml:space="preserve">, </w:t>
      </w:r>
      <w:r w:rsidR="0097699B" w:rsidRPr="00AF78D8">
        <w:rPr>
          <w:lang w:val="en-CA"/>
        </w:rPr>
        <w:t>relating to</w:t>
      </w:r>
      <w:r w:rsidRPr="00AF78D8">
        <w:rPr>
          <w:lang w:val="en-CA"/>
        </w:rPr>
        <w:t xml:space="preserve"> appeals of indictable offences, </w:t>
      </w:r>
      <w:r w:rsidR="00B83C31" w:rsidRPr="00AF78D8">
        <w:rPr>
          <w:lang w:val="en-CA"/>
        </w:rPr>
        <w:t xml:space="preserve">an </w:t>
      </w:r>
      <w:r w:rsidRPr="00AF78D8">
        <w:rPr>
          <w:lang w:val="en-CA"/>
        </w:rPr>
        <w:t xml:space="preserve">order of forfeiture of </w:t>
      </w:r>
      <w:r w:rsidR="00E42EEC" w:rsidRPr="00AF78D8">
        <w:rPr>
          <w:lang w:val="en-CA"/>
        </w:rPr>
        <w:t xml:space="preserve">the </w:t>
      </w:r>
      <w:r w:rsidRPr="00AF78D8">
        <w:rPr>
          <w:lang w:val="en-CA"/>
        </w:rPr>
        <w:t>proceeds of crime is considered a sentence.</w:t>
      </w:r>
      <w:r w:rsidR="005C7734" w:rsidRPr="00AF78D8">
        <w:rPr>
          <w:rStyle w:val="Appelnotedebasdep"/>
          <w:lang w:val="en-CA"/>
        </w:rPr>
        <w:footnoteReference w:id="36"/>
      </w:r>
    </w:p>
    <w:p w:rsidR="005C7734" w:rsidRPr="00AF78D8" w:rsidRDefault="00621C30" w:rsidP="000748F5">
      <w:pPr>
        <w:pStyle w:val="Paragraphe"/>
        <w:tabs>
          <w:tab w:val="clear" w:pos="360"/>
          <w:tab w:val="num" w:pos="709"/>
        </w:tabs>
        <w:spacing w:line="240" w:lineRule="auto"/>
        <w:rPr>
          <w:lang w:val="en-CA"/>
        </w:rPr>
      </w:pPr>
      <w:r w:rsidRPr="00AF78D8">
        <w:rPr>
          <w:lang w:val="en-CA"/>
        </w:rPr>
        <w:t xml:space="preserve">Although </w:t>
      </w:r>
      <w:r w:rsidR="00A72199" w:rsidRPr="00AF78D8">
        <w:rPr>
          <w:lang w:val="en-CA"/>
        </w:rPr>
        <w:t xml:space="preserve">it is correct to say that </w:t>
      </w:r>
      <w:r w:rsidRPr="00AF78D8">
        <w:rPr>
          <w:lang w:val="en-CA"/>
        </w:rPr>
        <w:t xml:space="preserve">forfeiture and </w:t>
      </w:r>
      <w:r w:rsidR="00E42EEC" w:rsidRPr="00AF78D8">
        <w:rPr>
          <w:lang w:val="en-CA"/>
        </w:rPr>
        <w:t xml:space="preserve">a </w:t>
      </w:r>
      <w:r w:rsidRPr="00AF78D8">
        <w:rPr>
          <w:lang w:val="en-CA"/>
        </w:rPr>
        <w:t xml:space="preserve">fine in lieu of </w:t>
      </w:r>
      <w:r w:rsidR="00E42EEC" w:rsidRPr="00AF78D8">
        <w:rPr>
          <w:lang w:val="en-CA"/>
        </w:rPr>
        <w:t xml:space="preserve">a </w:t>
      </w:r>
      <w:r w:rsidRPr="00AF78D8">
        <w:rPr>
          <w:lang w:val="en-CA"/>
        </w:rPr>
        <w:t xml:space="preserve">forfeiture order are technically part of a sentence within the </w:t>
      </w:r>
      <w:r w:rsidR="00A72199" w:rsidRPr="00AF78D8">
        <w:rPr>
          <w:lang w:val="en-CA"/>
        </w:rPr>
        <w:t xml:space="preserve">definition of that </w:t>
      </w:r>
      <w:r w:rsidRPr="00AF78D8">
        <w:rPr>
          <w:lang w:val="en-CA"/>
        </w:rPr>
        <w:t xml:space="preserve">word </w:t>
      </w:r>
      <w:r w:rsidR="00A72199" w:rsidRPr="00AF78D8">
        <w:rPr>
          <w:lang w:val="en-CA"/>
        </w:rPr>
        <w:t>in</w:t>
      </w:r>
      <w:r w:rsidRPr="00AF78D8">
        <w:rPr>
          <w:lang w:val="en-CA"/>
        </w:rPr>
        <w:t xml:space="preserve"> s. 673</w:t>
      </w:r>
      <w:r w:rsidR="00B83C31" w:rsidRPr="00AF78D8">
        <w:rPr>
          <w:lang w:val="en-CA"/>
        </w:rPr>
        <w:t xml:space="preserve"> </w:t>
      </w:r>
      <w:r w:rsidR="00B83C31" w:rsidRPr="00AF78D8">
        <w:rPr>
          <w:i/>
          <w:iCs/>
          <w:lang w:val="en-CA"/>
        </w:rPr>
        <w:t>C. Cr</w:t>
      </w:r>
      <w:r w:rsidR="00B83C31" w:rsidRPr="00AF78D8">
        <w:rPr>
          <w:lang w:val="en-CA"/>
        </w:rPr>
        <w:t>.</w:t>
      </w:r>
      <w:r w:rsidRPr="00AF78D8">
        <w:rPr>
          <w:lang w:val="en-CA"/>
        </w:rPr>
        <w:t>, they are not considered a means to punish offenders, but a means to replace the proceeds of crime.</w:t>
      </w:r>
      <w:r w:rsidR="005C7734" w:rsidRPr="00AF78D8">
        <w:rPr>
          <w:rStyle w:val="Appelnotedebasdep"/>
          <w:lang w:val="en-CA"/>
        </w:rPr>
        <w:footnoteReference w:id="37"/>
      </w:r>
    </w:p>
    <w:p w:rsidR="005C7734" w:rsidRPr="00AF78D8" w:rsidRDefault="00AE34BE" w:rsidP="000748F5">
      <w:pPr>
        <w:pStyle w:val="Paragraphe"/>
        <w:tabs>
          <w:tab w:val="clear" w:pos="360"/>
          <w:tab w:val="num" w:pos="709"/>
        </w:tabs>
        <w:spacing w:line="240" w:lineRule="auto"/>
        <w:rPr>
          <w:lang w:val="en-CA"/>
        </w:rPr>
      </w:pPr>
      <w:r w:rsidRPr="00AF78D8">
        <w:rPr>
          <w:lang w:val="en-CA"/>
        </w:rPr>
        <w:lastRenderedPageBreak/>
        <w:t xml:space="preserve">The purpose of the provisions </w:t>
      </w:r>
      <w:r w:rsidR="00A72199" w:rsidRPr="00AF78D8">
        <w:rPr>
          <w:lang w:val="en-CA"/>
        </w:rPr>
        <w:t xml:space="preserve">of </w:t>
      </w:r>
      <w:r w:rsidRPr="00AF78D8">
        <w:rPr>
          <w:lang w:val="en-CA"/>
        </w:rPr>
        <w:t>Part XII.2 (s</w:t>
      </w:r>
      <w:r w:rsidR="00A72199" w:rsidRPr="00AF78D8">
        <w:rPr>
          <w:lang w:val="en-CA"/>
        </w:rPr>
        <w:t>s</w:t>
      </w:r>
      <w:r w:rsidRPr="00AF78D8">
        <w:rPr>
          <w:lang w:val="en-CA"/>
        </w:rPr>
        <w:t>.</w:t>
      </w:r>
      <w:r w:rsidR="005C7734" w:rsidRPr="00AF78D8">
        <w:rPr>
          <w:lang w:val="en-CA"/>
        </w:rPr>
        <w:t xml:space="preserve"> </w:t>
      </w:r>
      <w:r w:rsidRPr="00AF78D8">
        <w:rPr>
          <w:lang w:val="en-CA"/>
        </w:rPr>
        <w:t xml:space="preserve">462.3 to 462.5) of the </w:t>
      </w:r>
      <w:r w:rsidRPr="00AF78D8">
        <w:rPr>
          <w:i/>
          <w:iCs/>
          <w:lang w:val="en-CA"/>
        </w:rPr>
        <w:t>Criminal Code</w:t>
      </w:r>
      <w:r w:rsidR="000A1186">
        <w:rPr>
          <w:lang w:val="en-CA"/>
        </w:rPr>
        <w:t>,</w:t>
      </w:r>
      <w:r w:rsidRPr="00AF78D8">
        <w:rPr>
          <w:lang w:val="en-CA"/>
        </w:rPr>
        <w:t xml:space="preserve"> which deal</w:t>
      </w:r>
      <w:r w:rsidR="000A1186">
        <w:rPr>
          <w:lang w:val="en-CA"/>
        </w:rPr>
        <w:t>s</w:t>
      </w:r>
      <w:r w:rsidRPr="00AF78D8">
        <w:rPr>
          <w:lang w:val="en-CA"/>
        </w:rPr>
        <w:t xml:space="preserve"> with the proceeds of crime</w:t>
      </w:r>
      <w:r w:rsidR="000A1186">
        <w:rPr>
          <w:lang w:val="en-CA"/>
        </w:rPr>
        <w:t>,</w:t>
      </w:r>
      <w:r w:rsidRPr="00AF78D8">
        <w:rPr>
          <w:lang w:val="en-CA"/>
        </w:rPr>
        <w:t xml:space="preserve"> is to ensure that crime does not pay and to </w:t>
      </w:r>
      <w:r w:rsidR="00397EC8" w:rsidRPr="00AF78D8">
        <w:rPr>
          <w:lang w:val="en-CA"/>
        </w:rPr>
        <w:t xml:space="preserve">deter </w:t>
      </w:r>
      <w:r w:rsidRPr="00AF78D8">
        <w:rPr>
          <w:lang w:val="en-CA"/>
        </w:rPr>
        <w:t>offenders by depriving them of their ill-gotten gains.</w:t>
      </w:r>
      <w:r w:rsidR="005C7734" w:rsidRPr="00AF78D8">
        <w:rPr>
          <w:rStyle w:val="Appelnotedebasdep"/>
          <w:lang w:val="en-CA"/>
        </w:rPr>
        <w:footnoteReference w:id="38"/>
      </w:r>
    </w:p>
    <w:p w:rsidR="00AE34BE" w:rsidRPr="00AF78D8" w:rsidRDefault="00AE34BE" w:rsidP="00AE34BE">
      <w:pPr>
        <w:pStyle w:val="Paragraphe"/>
        <w:tabs>
          <w:tab w:val="clear" w:pos="360"/>
          <w:tab w:val="num" w:pos="709"/>
        </w:tabs>
        <w:spacing w:line="240" w:lineRule="auto"/>
        <w:rPr>
          <w:lang w:val="en-CA"/>
        </w:rPr>
      </w:pPr>
      <w:r w:rsidRPr="00AF78D8">
        <w:rPr>
          <w:lang w:val="en-CA"/>
        </w:rPr>
        <w:t xml:space="preserve">Forfeiture ordered in accordance with s. 462.37(1) </w:t>
      </w:r>
      <w:r w:rsidRPr="00AF78D8">
        <w:rPr>
          <w:i/>
          <w:iCs/>
          <w:lang w:val="en-CA"/>
        </w:rPr>
        <w:t>Cr. C</w:t>
      </w:r>
      <w:r w:rsidRPr="00AF78D8">
        <w:rPr>
          <w:lang w:val="en-CA"/>
        </w:rPr>
        <w:t>. stems from a conviction o</w:t>
      </w:r>
      <w:r w:rsidR="00397EC8" w:rsidRPr="00AF78D8">
        <w:rPr>
          <w:lang w:val="en-CA"/>
        </w:rPr>
        <w:t>r</w:t>
      </w:r>
      <w:r w:rsidRPr="00AF78D8">
        <w:rPr>
          <w:lang w:val="en-CA"/>
        </w:rPr>
        <w:t xml:space="preserve"> a discharge.</w:t>
      </w:r>
      <w:r w:rsidR="0019752B" w:rsidRPr="00AF78D8">
        <w:rPr>
          <w:rStyle w:val="Appelnotedebasdep"/>
          <w:lang w:val="en-CA"/>
        </w:rPr>
        <w:footnoteReference w:id="39"/>
      </w:r>
      <w:r w:rsidRPr="00AF78D8">
        <w:rPr>
          <w:lang w:val="en-CA"/>
        </w:rPr>
        <w:t xml:space="preserve"> </w:t>
      </w:r>
    </w:p>
    <w:p w:rsidR="0019752B" w:rsidRPr="00AF78D8" w:rsidRDefault="00AE34BE" w:rsidP="00AE34BE">
      <w:pPr>
        <w:pStyle w:val="Paragraphe"/>
        <w:tabs>
          <w:tab w:val="clear" w:pos="360"/>
          <w:tab w:val="num" w:pos="709"/>
        </w:tabs>
        <w:spacing w:line="240" w:lineRule="auto"/>
        <w:rPr>
          <w:lang w:val="en-CA"/>
        </w:rPr>
      </w:pPr>
      <w:r w:rsidRPr="00AF78D8">
        <w:rPr>
          <w:lang w:val="en-CA"/>
        </w:rPr>
        <w:t xml:space="preserve">The three applicants submit that they should be treated by the Court as </w:t>
      </w:r>
      <w:r w:rsidR="000A1186">
        <w:rPr>
          <w:lang w:val="en-CA"/>
        </w:rPr>
        <w:t>though</w:t>
      </w:r>
      <w:r w:rsidRPr="00AF78D8">
        <w:rPr>
          <w:lang w:val="en-CA"/>
        </w:rPr>
        <w:t xml:space="preserve"> they have been acquitted and</w:t>
      </w:r>
      <w:r w:rsidR="000A1186">
        <w:rPr>
          <w:lang w:val="en-CA"/>
        </w:rPr>
        <w:t xml:space="preserve"> that</w:t>
      </w:r>
      <w:r w:rsidRPr="00AF78D8">
        <w:rPr>
          <w:lang w:val="en-CA"/>
        </w:rPr>
        <w:t xml:space="preserve">, therefore, the applicable principles are those in </w:t>
      </w:r>
      <w:r w:rsidRPr="00AF78D8">
        <w:rPr>
          <w:i/>
          <w:iCs/>
          <w:lang w:val="en-CA"/>
        </w:rPr>
        <w:t>Collins</w:t>
      </w:r>
      <w:r w:rsidRPr="00AF78D8">
        <w:rPr>
          <w:lang w:val="en-CA"/>
        </w:rPr>
        <w:t>,</w:t>
      </w:r>
      <w:r w:rsidR="00397EC8" w:rsidRPr="00AF78D8">
        <w:rPr>
          <w:rStyle w:val="Appelnotedebasdep"/>
          <w:lang w:val="en-CA"/>
        </w:rPr>
        <w:footnoteReference w:id="40"/>
      </w:r>
      <w:r w:rsidRPr="00AF78D8">
        <w:rPr>
          <w:lang w:val="en-CA"/>
        </w:rPr>
        <w:t xml:space="preserve"> where the Court of Appeal ruled that refusing to return money seized under </w:t>
      </w:r>
      <w:r w:rsidR="00397EC8" w:rsidRPr="00AF78D8">
        <w:rPr>
          <w:lang w:val="en-CA"/>
        </w:rPr>
        <w:t xml:space="preserve">the </w:t>
      </w:r>
      <w:r w:rsidRPr="00AF78D8">
        <w:rPr>
          <w:i/>
          <w:iCs/>
          <w:lang w:val="en-CA"/>
        </w:rPr>
        <w:t>Narcotic Control Act</w:t>
      </w:r>
      <w:r w:rsidRPr="00AF78D8">
        <w:rPr>
          <w:lang w:val="en-CA"/>
        </w:rPr>
        <w:t xml:space="preserve"> to a</w:t>
      </w:r>
      <w:r w:rsidR="000A1186">
        <w:rPr>
          <w:lang w:val="en-CA"/>
        </w:rPr>
        <w:t>n acquitted</w:t>
      </w:r>
      <w:r w:rsidRPr="00AF78D8">
        <w:rPr>
          <w:lang w:val="en-CA"/>
        </w:rPr>
        <w:t xml:space="preserve"> person subject</w:t>
      </w:r>
      <w:r w:rsidR="007E0A9E" w:rsidRPr="00AF78D8">
        <w:rPr>
          <w:lang w:val="en-CA"/>
        </w:rPr>
        <w:t>s</w:t>
      </w:r>
      <w:r w:rsidRPr="00AF78D8">
        <w:rPr>
          <w:lang w:val="en-CA"/>
        </w:rPr>
        <w:t xml:space="preserve"> that person to a fine for an offence of which he </w:t>
      </w:r>
      <w:r w:rsidR="007E0A9E" w:rsidRPr="00AF78D8">
        <w:rPr>
          <w:lang w:val="en-CA"/>
        </w:rPr>
        <w:t xml:space="preserve">or she </w:t>
      </w:r>
      <w:r w:rsidRPr="00AF78D8">
        <w:rPr>
          <w:lang w:val="en-CA"/>
        </w:rPr>
        <w:t>has been acquitted.</w:t>
      </w:r>
      <w:r w:rsidR="00397EC8" w:rsidRPr="00AF78D8">
        <w:rPr>
          <w:lang w:val="en-CA"/>
        </w:rPr>
        <w:t xml:space="preserve"> </w:t>
      </w:r>
    </w:p>
    <w:p w:rsidR="0019752B" w:rsidRPr="00AF78D8" w:rsidRDefault="00AE34BE" w:rsidP="000748F5">
      <w:pPr>
        <w:pStyle w:val="Paragraphe"/>
        <w:tabs>
          <w:tab w:val="clear" w:pos="360"/>
          <w:tab w:val="num" w:pos="709"/>
        </w:tabs>
        <w:spacing w:line="240" w:lineRule="auto"/>
        <w:rPr>
          <w:lang w:val="en-CA"/>
        </w:rPr>
      </w:pPr>
      <w:r w:rsidRPr="00AF78D8">
        <w:rPr>
          <w:lang w:val="en-CA"/>
        </w:rPr>
        <w:t>The Court notes that the Director of Criminal and Penal Prosecutions</w:t>
      </w:r>
      <w:r w:rsidR="007E0A9E" w:rsidRPr="00AF78D8">
        <w:rPr>
          <w:lang w:val="en-CA"/>
        </w:rPr>
        <w:t xml:space="preserve">’ application for forfeiture </w:t>
      </w:r>
      <w:r w:rsidRPr="00AF78D8">
        <w:rPr>
          <w:lang w:val="en-CA"/>
        </w:rPr>
        <w:t xml:space="preserve">specifies </w:t>
      </w:r>
      <w:r w:rsidR="00A47370" w:rsidRPr="00AF78D8">
        <w:rPr>
          <w:lang w:val="en-CA"/>
        </w:rPr>
        <w:t>which assets are</w:t>
      </w:r>
      <w:r w:rsidRPr="00AF78D8">
        <w:rPr>
          <w:lang w:val="en-CA"/>
        </w:rPr>
        <w:t xml:space="preserve"> </w:t>
      </w:r>
      <w:r w:rsidR="00635E52" w:rsidRPr="00AF78D8">
        <w:rPr>
          <w:lang w:val="en-CA"/>
        </w:rPr>
        <w:t>connected</w:t>
      </w:r>
      <w:r w:rsidRPr="00AF78D8">
        <w:rPr>
          <w:lang w:val="en-CA"/>
        </w:rPr>
        <w:t xml:space="preserve"> with each of the three applicants and that </w:t>
      </w:r>
      <w:r w:rsidR="00A47370" w:rsidRPr="00AF78D8">
        <w:rPr>
          <w:lang w:val="en-CA"/>
        </w:rPr>
        <w:t>these assets are</w:t>
      </w:r>
      <w:r w:rsidRPr="00AF78D8">
        <w:rPr>
          <w:lang w:val="en-CA"/>
        </w:rPr>
        <w:t xml:space="preserve"> tainted by </w:t>
      </w:r>
      <w:r w:rsidR="002D486A" w:rsidRPr="00AF78D8">
        <w:rPr>
          <w:lang w:val="en-CA"/>
        </w:rPr>
        <w:t>illegality</w:t>
      </w:r>
      <w:r w:rsidRPr="00AF78D8">
        <w:rPr>
          <w:lang w:val="en-CA"/>
        </w:rPr>
        <w:t xml:space="preserve">, </w:t>
      </w:r>
      <w:r w:rsidR="00C4711A" w:rsidRPr="00AF78D8">
        <w:rPr>
          <w:lang w:val="en-CA"/>
        </w:rPr>
        <w:t>are</w:t>
      </w:r>
      <w:r w:rsidRPr="00AF78D8">
        <w:rPr>
          <w:lang w:val="en-CA"/>
        </w:rPr>
        <w:t xml:space="preserve"> offence-related property</w:t>
      </w:r>
      <w:r w:rsidR="00397EC8" w:rsidRPr="00AF78D8">
        <w:rPr>
          <w:lang w:val="en-CA"/>
        </w:rPr>
        <w:t>,</w:t>
      </w:r>
      <w:r w:rsidRPr="00AF78D8">
        <w:rPr>
          <w:lang w:val="en-CA"/>
        </w:rPr>
        <w:t xml:space="preserve"> or </w:t>
      </w:r>
      <w:r w:rsidR="00C4711A" w:rsidRPr="00AF78D8">
        <w:rPr>
          <w:lang w:val="en-CA"/>
        </w:rPr>
        <w:t xml:space="preserve">the </w:t>
      </w:r>
      <w:r w:rsidRPr="00AF78D8">
        <w:rPr>
          <w:lang w:val="en-CA"/>
        </w:rPr>
        <w:t>proceeds of crime.</w:t>
      </w:r>
    </w:p>
    <w:p w:rsidR="0019752B" w:rsidRPr="00AF78D8" w:rsidRDefault="00F04D7B" w:rsidP="000748F5">
      <w:pPr>
        <w:pStyle w:val="Paragraphe"/>
        <w:tabs>
          <w:tab w:val="clear" w:pos="360"/>
          <w:tab w:val="num" w:pos="709"/>
        </w:tabs>
        <w:spacing w:line="240" w:lineRule="auto"/>
        <w:rPr>
          <w:lang w:val="en-CA"/>
        </w:rPr>
      </w:pPr>
      <w:r w:rsidRPr="00AF78D8">
        <w:rPr>
          <w:lang w:val="en-CA"/>
        </w:rPr>
        <w:t xml:space="preserve">The three applicants </w:t>
      </w:r>
      <w:r w:rsidR="00FA4FAF" w:rsidRPr="00AF78D8">
        <w:rPr>
          <w:lang w:val="en-CA"/>
        </w:rPr>
        <w:t xml:space="preserve">argue </w:t>
      </w:r>
      <w:r w:rsidRPr="00AF78D8">
        <w:rPr>
          <w:lang w:val="en-CA"/>
        </w:rPr>
        <w:t>that</w:t>
      </w:r>
      <w:r w:rsidR="00554E6F">
        <w:rPr>
          <w:lang w:val="en-CA"/>
        </w:rPr>
        <w:t>, by</w:t>
      </w:r>
      <w:r w:rsidR="00DC008D" w:rsidRPr="00AF78D8">
        <w:rPr>
          <w:lang w:val="en-CA"/>
        </w:rPr>
        <w:t xml:space="preserve"> </w:t>
      </w:r>
      <w:r w:rsidR="00FA4FAF" w:rsidRPr="00AF78D8">
        <w:rPr>
          <w:lang w:val="en-CA"/>
        </w:rPr>
        <w:t>clinging</w:t>
      </w:r>
      <w:r w:rsidRPr="00AF78D8">
        <w:rPr>
          <w:lang w:val="en-CA"/>
        </w:rPr>
        <w:t xml:space="preserve"> to Manh Hung Nguyen</w:t>
      </w:r>
      <w:r w:rsidR="00397EC8" w:rsidRPr="00AF78D8">
        <w:rPr>
          <w:lang w:val="en-CA"/>
        </w:rPr>
        <w:t>’</w:t>
      </w:r>
      <w:r w:rsidRPr="00AF78D8">
        <w:rPr>
          <w:lang w:val="en-CA"/>
        </w:rPr>
        <w:t>s guilty plea</w:t>
      </w:r>
      <w:r w:rsidR="00554E6F">
        <w:rPr>
          <w:lang w:val="en-CA"/>
        </w:rPr>
        <w:t xml:space="preserve">, the Crown leads the Court to </w:t>
      </w:r>
      <w:r w:rsidRPr="00AF78D8">
        <w:rPr>
          <w:lang w:val="en-CA"/>
        </w:rPr>
        <w:t xml:space="preserve">punish the three applicants for his crime when </w:t>
      </w:r>
      <w:r w:rsidR="00397EC8" w:rsidRPr="00AF78D8">
        <w:rPr>
          <w:lang w:val="en-CA"/>
        </w:rPr>
        <w:t>he</w:t>
      </w:r>
      <w:r w:rsidRPr="00AF78D8">
        <w:rPr>
          <w:lang w:val="en-CA"/>
        </w:rPr>
        <w:t xml:space="preserve"> has no connection </w:t>
      </w:r>
      <w:r w:rsidR="004F302F" w:rsidRPr="00AF78D8">
        <w:rPr>
          <w:lang w:val="en-CA"/>
        </w:rPr>
        <w:t xml:space="preserve">to </w:t>
      </w:r>
      <w:r w:rsidRPr="00AF78D8">
        <w:rPr>
          <w:lang w:val="en-CA"/>
        </w:rPr>
        <w:t>a restraint order that concerns other persons.</w:t>
      </w:r>
    </w:p>
    <w:p w:rsidR="00AC363D" w:rsidRDefault="00F04D7B" w:rsidP="00A62CA1">
      <w:pPr>
        <w:pStyle w:val="Paragraphe"/>
        <w:tabs>
          <w:tab w:val="clear" w:pos="360"/>
          <w:tab w:val="num" w:pos="709"/>
        </w:tabs>
        <w:spacing w:line="240" w:lineRule="auto"/>
        <w:rPr>
          <w:lang w:val="en-CA"/>
        </w:rPr>
      </w:pPr>
      <w:r w:rsidRPr="00AC363D">
        <w:rPr>
          <w:lang w:val="en-CA"/>
        </w:rPr>
        <w:t>In the Court</w:t>
      </w:r>
      <w:r w:rsidR="00397EC8" w:rsidRPr="00AC363D">
        <w:rPr>
          <w:lang w:val="en-CA"/>
        </w:rPr>
        <w:t>’</w:t>
      </w:r>
      <w:r w:rsidRPr="00AC363D">
        <w:rPr>
          <w:lang w:val="en-CA"/>
        </w:rPr>
        <w:t xml:space="preserve">s view, this way of perceiving the approach </w:t>
      </w:r>
      <w:r w:rsidR="00554E6F" w:rsidRPr="00AC363D">
        <w:rPr>
          <w:lang w:val="en-CA"/>
        </w:rPr>
        <w:t>ignores</w:t>
      </w:r>
      <w:r w:rsidRPr="00AC363D">
        <w:rPr>
          <w:lang w:val="en-CA"/>
        </w:rPr>
        <w:t xml:space="preserve"> the Crown</w:t>
      </w:r>
      <w:r w:rsidR="00397EC8" w:rsidRPr="00AC363D">
        <w:rPr>
          <w:lang w:val="en-CA"/>
        </w:rPr>
        <w:t>’</w:t>
      </w:r>
      <w:r w:rsidRPr="00AC363D">
        <w:rPr>
          <w:lang w:val="en-CA"/>
        </w:rPr>
        <w:t xml:space="preserve">s </w:t>
      </w:r>
      <w:r w:rsidR="004F302F" w:rsidRPr="00AC363D">
        <w:rPr>
          <w:lang w:val="en-CA"/>
        </w:rPr>
        <w:t xml:space="preserve">stated </w:t>
      </w:r>
      <w:r w:rsidRPr="00AC363D">
        <w:rPr>
          <w:lang w:val="en-CA"/>
        </w:rPr>
        <w:t>intention to allow the Court</w:t>
      </w:r>
      <w:r w:rsidR="00554E6F" w:rsidRPr="00AC363D">
        <w:rPr>
          <w:lang w:val="en-CA"/>
        </w:rPr>
        <w:t>,</w:t>
      </w:r>
      <w:r w:rsidRPr="00AC363D">
        <w:rPr>
          <w:lang w:val="en-CA"/>
        </w:rPr>
        <w:t xml:space="preserve"> at the end of the hearing </w:t>
      </w:r>
      <w:r w:rsidR="00BC5551" w:rsidRPr="00AC363D">
        <w:rPr>
          <w:lang w:val="en-CA"/>
        </w:rPr>
        <w:t>on</w:t>
      </w:r>
      <w:r w:rsidRPr="00AC363D">
        <w:rPr>
          <w:lang w:val="en-CA"/>
        </w:rPr>
        <w:t xml:space="preserve"> the application for forfeiture</w:t>
      </w:r>
      <w:r w:rsidR="00554E6F" w:rsidRPr="00AC363D">
        <w:rPr>
          <w:lang w:val="en-CA"/>
        </w:rPr>
        <w:t>,</w:t>
      </w:r>
      <w:r w:rsidRPr="00AC363D">
        <w:rPr>
          <w:lang w:val="en-CA"/>
        </w:rPr>
        <w:t xml:space="preserve"> to </w:t>
      </w:r>
      <w:r w:rsidR="004F302F" w:rsidRPr="00AC363D">
        <w:rPr>
          <w:lang w:val="en-CA"/>
        </w:rPr>
        <w:t>reach</w:t>
      </w:r>
      <w:r w:rsidRPr="00AC363D">
        <w:rPr>
          <w:lang w:val="en-CA"/>
        </w:rPr>
        <w:t xml:space="preserve"> one of the following conclusions, taking into account the fact that the Crown </w:t>
      </w:r>
      <w:r w:rsidR="00554E6F" w:rsidRPr="00AC363D">
        <w:rPr>
          <w:lang w:val="en-CA"/>
        </w:rPr>
        <w:t xml:space="preserve">does not invoke </w:t>
      </w:r>
      <w:r w:rsidRPr="00AC363D">
        <w:rPr>
          <w:lang w:val="en-CA"/>
        </w:rPr>
        <w:t>s. 16</w:t>
      </w:r>
      <w:r w:rsidR="00554E6F" w:rsidRPr="00AC363D">
        <w:rPr>
          <w:lang w:val="en-CA"/>
        </w:rPr>
        <w:t>(1)</w:t>
      </w:r>
      <w:r w:rsidRPr="00AC363D">
        <w:rPr>
          <w:lang w:val="en-CA"/>
        </w:rPr>
        <w:t xml:space="preserve"> </w:t>
      </w:r>
      <w:r w:rsidRPr="00AC363D">
        <w:rPr>
          <w:iCs/>
          <w:lang w:val="en-CA"/>
        </w:rPr>
        <w:t>CDSA</w:t>
      </w:r>
      <w:r w:rsidRPr="00AC363D">
        <w:rPr>
          <w:lang w:val="en-CA"/>
        </w:rPr>
        <w:t xml:space="preserve"> </w:t>
      </w:r>
      <w:r w:rsidR="00554E6F" w:rsidRPr="00AC363D">
        <w:rPr>
          <w:lang w:val="en-CA"/>
        </w:rPr>
        <w:t>or s.</w:t>
      </w:r>
      <w:r w:rsidRPr="00AC363D">
        <w:rPr>
          <w:lang w:val="en-CA"/>
        </w:rPr>
        <w:t xml:space="preserve"> 462.37</w:t>
      </w:r>
      <w:r w:rsidR="00554E6F" w:rsidRPr="00AC363D">
        <w:rPr>
          <w:lang w:val="en-CA"/>
        </w:rPr>
        <w:t>(1)</w:t>
      </w:r>
      <w:r w:rsidRPr="00AC363D">
        <w:rPr>
          <w:lang w:val="en-CA"/>
        </w:rPr>
        <w:t xml:space="preserve"> </w:t>
      </w:r>
      <w:r w:rsidRPr="00AC363D">
        <w:rPr>
          <w:iCs/>
          <w:lang w:val="en-CA"/>
        </w:rPr>
        <w:t>Cr. C</w:t>
      </w:r>
      <w:r w:rsidRPr="00AC363D">
        <w:rPr>
          <w:lang w:val="en-CA"/>
        </w:rPr>
        <w:t xml:space="preserve">. </w:t>
      </w:r>
    </w:p>
    <w:p w:rsidR="00193B9A" w:rsidRPr="00AC363D" w:rsidRDefault="002D486A" w:rsidP="00AC363D">
      <w:pPr>
        <w:pStyle w:val="Titre2"/>
        <w:spacing w:before="0"/>
        <w:jc w:val="both"/>
        <w:rPr>
          <w:b w:val="0"/>
          <w:i w:val="0"/>
          <w:lang w:val="en-CA"/>
        </w:rPr>
      </w:pPr>
      <w:r w:rsidRPr="00AC363D">
        <w:rPr>
          <w:b w:val="0"/>
          <w:i w:val="0"/>
          <w:lang w:val="en-CA"/>
        </w:rPr>
        <w:t>(</w:t>
      </w:r>
      <w:r w:rsidR="00193B9A" w:rsidRPr="00AC363D">
        <w:rPr>
          <w:b w:val="0"/>
          <w:i w:val="0"/>
          <w:lang w:val="en-CA"/>
        </w:rPr>
        <w:t>a)</w:t>
      </w:r>
      <w:r w:rsidR="00193B9A" w:rsidRPr="00AC363D">
        <w:rPr>
          <w:b w:val="0"/>
          <w:i w:val="0"/>
          <w:lang w:val="en-CA"/>
        </w:rPr>
        <w:tab/>
      </w:r>
      <w:r w:rsidR="00D625CC" w:rsidRPr="00AC363D">
        <w:rPr>
          <w:b w:val="0"/>
          <w:i w:val="0"/>
          <w:lang w:val="en-CA"/>
        </w:rPr>
        <w:t xml:space="preserve">Is the Court satisfied beyond a reasonable doubt that </w:t>
      </w:r>
      <w:r w:rsidR="00DC008D" w:rsidRPr="00AC363D">
        <w:rPr>
          <w:b w:val="0"/>
          <w:i w:val="0"/>
          <w:lang w:val="en-CA"/>
        </w:rPr>
        <w:t xml:space="preserve">this </w:t>
      </w:r>
      <w:r w:rsidR="00D625CC" w:rsidRPr="00AC363D">
        <w:rPr>
          <w:b w:val="0"/>
          <w:i w:val="0"/>
          <w:lang w:val="en-CA"/>
        </w:rPr>
        <w:t xml:space="preserve">is offence-related property </w:t>
      </w:r>
      <w:r w:rsidR="00AD1321" w:rsidRPr="00AC363D">
        <w:rPr>
          <w:b w:val="0"/>
          <w:i w:val="0"/>
          <w:lang w:val="en-CA"/>
        </w:rPr>
        <w:t xml:space="preserve">in respect of </w:t>
      </w:r>
      <w:r w:rsidR="00071696" w:rsidRPr="00AC363D">
        <w:rPr>
          <w:b w:val="0"/>
          <w:i w:val="0"/>
          <w:lang w:val="en-CA"/>
        </w:rPr>
        <w:t xml:space="preserve">which </w:t>
      </w:r>
      <w:r w:rsidR="00E659AC" w:rsidRPr="00AC363D">
        <w:rPr>
          <w:b w:val="0"/>
          <w:i w:val="0"/>
          <w:lang w:val="en-CA"/>
        </w:rPr>
        <w:t>the evidence does not establish to the satisfaction of the Court</w:t>
      </w:r>
      <w:r w:rsidR="00071696" w:rsidRPr="00AC363D">
        <w:rPr>
          <w:b w:val="0"/>
          <w:i w:val="0"/>
          <w:lang w:val="en-CA"/>
        </w:rPr>
        <w:t xml:space="preserve"> </w:t>
      </w:r>
      <w:r w:rsidR="00D625CC" w:rsidRPr="00AC363D">
        <w:rPr>
          <w:b w:val="0"/>
          <w:i w:val="0"/>
          <w:lang w:val="en-CA"/>
        </w:rPr>
        <w:t xml:space="preserve">that </w:t>
      </w:r>
      <w:r w:rsidR="00E659AC" w:rsidRPr="00AC363D">
        <w:rPr>
          <w:b w:val="0"/>
          <w:i w:val="0"/>
          <w:lang w:val="en-CA"/>
        </w:rPr>
        <w:t xml:space="preserve">it </w:t>
      </w:r>
      <w:r w:rsidR="00D625CC" w:rsidRPr="00AC363D">
        <w:rPr>
          <w:b w:val="0"/>
          <w:i w:val="0"/>
          <w:lang w:val="en-CA"/>
        </w:rPr>
        <w:t xml:space="preserve">is related to the commission of the designated </w:t>
      </w:r>
      <w:r w:rsidR="00E659AC" w:rsidRPr="00AC363D">
        <w:rPr>
          <w:b w:val="0"/>
          <w:i w:val="0"/>
          <w:lang w:val="en-CA"/>
        </w:rPr>
        <w:t xml:space="preserve">substance </w:t>
      </w:r>
      <w:r w:rsidR="00397EC8" w:rsidRPr="00AC363D">
        <w:rPr>
          <w:b w:val="0"/>
          <w:i w:val="0"/>
          <w:lang w:val="en-CA"/>
        </w:rPr>
        <w:t>offence</w:t>
      </w:r>
      <w:r w:rsidR="00D625CC" w:rsidRPr="00AC363D">
        <w:rPr>
          <w:b w:val="0"/>
          <w:i w:val="0"/>
          <w:lang w:val="en-CA"/>
        </w:rPr>
        <w:t xml:space="preserve"> of producers of cannabis </w:t>
      </w:r>
      <w:r w:rsidR="00E659AC" w:rsidRPr="00AC363D">
        <w:rPr>
          <w:b w:val="0"/>
          <w:i w:val="0"/>
          <w:lang w:val="en-CA"/>
        </w:rPr>
        <w:t xml:space="preserve">to </w:t>
      </w:r>
      <w:r w:rsidR="00D625CC" w:rsidRPr="00AC363D">
        <w:rPr>
          <w:b w:val="0"/>
          <w:i w:val="0"/>
          <w:lang w:val="en-CA"/>
        </w:rPr>
        <w:t xml:space="preserve">which Manh </w:t>
      </w:r>
      <w:r w:rsidR="00E659AC" w:rsidRPr="00AC363D">
        <w:rPr>
          <w:b w:val="0"/>
          <w:i w:val="0"/>
          <w:lang w:val="en-CA"/>
        </w:rPr>
        <w:t xml:space="preserve">Hung </w:t>
      </w:r>
      <w:r w:rsidR="00D625CC" w:rsidRPr="00AC363D">
        <w:rPr>
          <w:b w:val="0"/>
          <w:i w:val="0"/>
          <w:lang w:val="en-CA"/>
        </w:rPr>
        <w:t>Nguyen pleaded guilty?</w:t>
      </w:r>
      <w:r w:rsidR="00193B9A" w:rsidRPr="00AC363D">
        <w:rPr>
          <w:b w:val="0"/>
          <w:i w:val="0"/>
          <w:lang w:val="en-CA"/>
        </w:rPr>
        <w:t xml:space="preserve"> (</w:t>
      </w:r>
      <w:r w:rsidR="00D625CC" w:rsidRPr="00AC363D">
        <w:rPr>
          <w:b w:val="0"/>
          <w:i w:val="0"/>
          <w:lang w:val="en-CA"/>
        </w:rPr>
        <w:t>s</w:t>
      </w:r>
      <w:r w:rsidR="00193B9A" w:rsidRPr="00AC363D">
        <w:rPr>
          <w:b w:val="0"/>
          <w:i w:val="0"/>
          <w:lang w:val="en-CA"/>
        </w:rPr>
        <w:t xml:space="preserve">. 16(2) </w:t>
      </w:r>
      <w:r w:rsidR="00071696" w:rsidRPr="00AC363D">
        <w:rPr>
          <w:b w:val="0"/>
          <w:iCs/>
          <w:lang w:val="en-CA"/>
        </w:rPr>
        <w:t>CDSA</w:t>
      </w:r>
      <w:r w:rsidR="00193B9A" w:rsidRPr="00AC363D">
        <w:rPr>
          <w:b w:val="0"/>
          <w:i w:val="0"/>
          <w:lang w:val="en-CA"/>
        </w:rPr>
        <w:t>)</w:t>
      </w:r>
    </w:p>
    <w:p w:rsidR="00193B9A" w:rsidRPr="00AF78D8" w:rsidRDefault="00071696" w:rsidP="00193B9A">
      <w:pPr>
        <w:pStyle w:val="Titre2"/>
        <w:jc w:val="both"/>
        <w:rPr>
          <w:b w:val="0"/>
          <w:i w:val="0"/>
          <w:lang w:val="en-CA"/>
        </w:rPr>
      </w:pPr>
      <w:r w:rsidRPr="00AF78D8">
        <w:rPr>
          <w:b w:val="0"/>
          <w:i w:val="0"/>
          <w:lang w:val="en-CA"/>
        </w:rPr>
        <w:t xml:space="preserve">(b) </w:t>
      </w:r>
      <w:r w:rsidR="004963BC" w:rsidRPr="00AF78D8">
        <w:rPr>
          <w:b w:val="0"/>
          <w:i w:val="0"/>
          <w:lang w:val="en-CA"/>
        </w:rPr>
        <w:tab/>
      </w:r>
      <w:r w:rsidRPr="00AF78D8">
        <w:rPr>
          <w:b w:val="0"/>
          <w:i w:val="0"/>
          <w:lang w:val="en-CA"/>
        </w:rPr>
        <w:t xml:space="preserve">Is the Court satisfied beyond a reasonable doubt that </w:t>
      </w:r>
      <w:r w:rsidR="002E0813" w:rsidRPr="00AF78D8">
        <w:rPr>
          <w:b w:val="0"/>
          <w:i w:val="0"/>
          <w:lang w:val="en-CA"/>
        </w:rPr>
        <w:t>this is</w:t>
      </w:r>
      <w:r w:rsidRPr="00AF78D8">
        <w:rPr>
          <w:b w:val="0"/>
          <w:i w:val="0"/>
          <w:lang w:val="en-CA"/>
        </w:rPr>
        <w:t xml:space="preserve"> proceeds of crime </w:t>
      </w:r>
      <w:r w:rsidR="002E0813" w:rsidRPr="00AF78D8">
        <w:rPr>
          <w:b w:val="0"/>
          <w:i w:val="0"/>
          <w:lang w:val="en-CA"/>
        </w:rPr>
        <w:t xml:space="preserve">in respect of </w:t>
      </w:r>
      <w:r w:rsidRPr="00AF78D8">
        <w:rPr>
          <w:b w:val="0"/>
          <w:i w:val="0"/>
          <w:lang w:val="en-CA"/>
        </w:rPr>
        <w:t>which</w:t>
      </w:r>
      <w:r w:rsidR="007D1C69" w:rsidRPr="00AF78D8">
        <w:rPr>
          <w:b w:val="0"/>
          <w:i w:val="0"/>
          <w:lang w:val="en-CA"/>
        </w:rPr>
        <w:t xml:space="preserve"> the evidence does not establish to the satisfaction of the Court</w:t>
      </w:r>
      <w:r w:rsidRPr="00AF78D8">
        <w:rPr>
          <w:b w:val="0"/>
          <w:i w:val="0"/>
          <w:lang w:val="en-CA"/>
        </w:rPr>
        <w:t xml:space="preserve"> that </w:t>
      </w:r>
      <w:r w:rsidR="002E0813" w:rsidRPr="00AF78D8">
        <w:rPr>
          <w:b w:val="0"/>
          <w:i w:val="0"/>
          <w:lang w:val="en-CA"/>
        </w:rPr>
        <w:t xml:space="preserve">it </w:t>
      </w:r>
      <w:r w:rsidRPr="00AF78D8">
        <w:rPr>
          <w:b w:val="0"/>
          <w:i w:val="0"/>
          <w:lang w:val="en-CA"/>
        </w:rPr>
        <w:t xml:space="preserve">is related to the commission of the designated substance </w:t>
      </w:r>
      <w:r w:rsidR="00D17664" w:rsidRPr="00AF78D8">
        <w:rPr>
          <w:b w:val="0"/>
          <w:i w:val="0"/>
          <w:lang w:val="en-CA"/>
        </w:rPr>
        <w:t xml:space="preserve">offence </w:t>
      </w:r>
      <w:r w:rsidRPr="00AF78D8">
        <w:rPr>
          <w:b w:val="0"/>
          <w:i w:val="0"/>
          <w:lang w:val="en-CA"/>
        </w:rPr>
        <w:t xml:space="preserve">of production of cannabis </w:t>
      </w:r>
      <w:r w:rsidR="00D17664" w:rsidRPr="00AF78D8">
        <w:rPr>
          <w:b w:val="0"/>
          <w:i w:val="0"/>
          <w:lang w:val="en-CA"/>
        </w:rPr>
        <w:t xml:space="preserve">to </w:t>
      </w:r>
      <w:r w:rsidRPr="00AF78D8">
        <w:rPr>
          <w:b w:val="0"/>
          <w:i w:val="0"/>
          <w:lang w:val="en-CA"/>
        </w:rPr>
        <w:t xml:space="preserve">which Manh </w:t>
      </w:r>
      <w:r w:rsidR="00D17664" w:rsidRPr="00AF78D8">
        <w:rPr>
          <w:b w:val="0"/>
          <w:i w:val="0"/>
          <w:lang w:val="en-CA"/>
        </w:rPr>
        <w:t xml:space="preserve">Hung </w:t>
      </w:r>
      <w:r w:rsidRPr="00AF78D8">
        <w:rPr>
          <w:b w:val="0"/>
          <w:i w:val="0"/>
          <w:lang w:val="en-CA"/>
        </w:rPr>
        <w:t>Nguyen pleaded guilty?</w:t>
      </w:r>
      <w:r w:rsidR="004963BC" w:rsidRPr="00AF78D8">
        <w:rPr>
          <w:b w:val="0"/>
          <w:i w:val="0"/>
          <w:lang w:val="en-CA"/>
        </w:rPr>
        <w:t xml:space="preserve"> (</w:t>
      </w:r>
      <w:r w:rsidRPr="00AF78D8">
        <w:rPr>
          <w:b w:val="0"/>
          <w:i w:val="0"/>
          <w:lang w:val="en-CA"/>
        </w:rPr>
        <w:t>s.</w:t>
      </w:r>
      <w:r w:rsidR="004963BC" w:rsidRPr="00AF78D8">
        <w:rPr>
          <w:b w:val="0"/>
          <w:i w:val="0"/>
          <w:lang w:val="en-CA"/>
        </w:rPr>
        <w:t xml:space="preserve"> 462.37(2) </w:t>
      </w:r>
      <w:r w:rsidR="004963BC" w:rsidRPr="00AF78D8">
        <w:rPr>
          <w:b w:val="0"/>
          <w:iCs/>
          <w:lang w:val="en-CA"/>
        </w:rPr>
        <w:t>C</w:t>
      </w:r>
      <w:r w:rsidRPr="00AF78D8">
        <w:rPr>
          <w:b w:val="0"/>
          <w:iCs/>
          <w:lang w:val="en-CA"/>
        </w:rPr>
        <w:t>r. C</w:t>
      </w:r>
      <w:r w:rsidRPr="00AF78D8">
        <w:rPr>
          <w:b w:val="0"/>
          <w:i w:val="0"/>
          <w:lang w:val="en-CA"/>
        </w:rPr>
        <w:t>.)</w:t>
      </w:r>
    </w:p>
    <w:p w:rsidR="00193B9A" w:rsidRPr="00AF78D8" w:rsidRDefault="00BB7E87" w:rsidP="000748F5">
      <w:pPr>
        <w:pStyle w:val="Paragraphe"/>
        <w:tabs>
          <w:tab w:val="clear" w:pos="360"/>
          <w:tab w:val="num" w:pos="709"/>
        </w:tabs>
        <w:spacing w:line="240" w:lineRule="auto"/>
        <w:rPr>
          <w:lang w:val="en-CA"/>
        </w:rPr>
      </w:pPr>
      <w:r w:rsidRPr="00AF78D8">
        <w:rPr>
          <w:lang w:val="en-CA"/>
        </w:rPr>
        <w:t xml:space="preserve">Regarding the question </w:t>
      </w:r>
      <w:r w:rsidR="006D117B">
        <w:rPr>
          <w:lang w:val="en-CA"/>
        </w:rPr>
        <w:t>relating</w:t>
      </w:r>
      <w:r w:rsidRPr="00AF78D8">
        <w:rPr>
          <w:lang w:val="en-CA"/>
        </w:rPr>
        <w:t xml:space="preserve"> to s. 16(2) </w:t>
      </w:r>
      <w:r w:rsidRPr="00AF78D8">
        <w:rPr>
          <w:i/>
          <w:lang w:val="en-CA"/>
        </w:rPr>
        <w:t>CDSA</w:t>
      </w:r>
      <w:r w:rsidRPr="00AF78D8">
        <w:rPr>
          <w:lang w:val="en-CA"/>
        </w:rPr>
        <w:t xml:space="preserve">, the offence-related property </w:t>
      </w:r>
      <w:r w:rsidR="006D117B">
        <w:rPr>
          <w:lang w:val="en-CA"/>
        </w:rPr>
        <w:t>of</w:t>
      </w:r>
      <w:r w:rsidRPr="00AF78D8">
        <w:rPr>
          <w:lang w:val="en-CA"/>
        </w:rPr>
        <w:t xml:space="preserve"> which forfeiture is sought </w:t>
      </w:r>
      <w:r w:rsidR="006D117B">
        <w:rPr>
          <w:lang w:val="en-CA"/>
        </w:rPr>
        <w:t xml:space="preserve">need not be </w:t>
      </w:r>
      <w:r w:rsidR="00467737" w:rsidRPr="00AF78D8">
        <w:rPr>
          <w:lang w:val="en-CA"/>
        </w:rPr>
        <w:t xml:space="preserve">related </w:t>
      </w:r>
      <w:r w:rsidRPr="00AF78D8">
        <w:rPr>
          <w:lang w:val="en-CA"/>
        </w:rPr>
        <w:t xml:space="preserve">in any way to the offence </w:t>
      </w:r>
      <w:r w:rsidR="00467737" w:rsidRPr="00AF78D8">
        <w:rPr>
          <w:lang w:val="en-CA"/>
        </w:rPr>
        <w:t xml:space="preserve">to </w:t>
      </w:r>
      <w:r w:rsidRPr="00AF78D8">
        <w:rPr>
          <w:lang w:val="en-CA"/>
        </w:rPr>
        <w:t>which Manh Hung Nguyen pleaded guilty.</w:t>
      </w:r>
    </w:p>
    <w:p w:rsidR="00787B6F" w:rsidRPr="00AF78D8" w:rsidRDefault="00BB7E87" w:rsidP="000748F5">
      <w:pPr>
        <w:pStyle w:val="Paragraphe"/>
        <w:tabs>
          <w:tab w:val="clear" w:pos="360"/>
          <w:tab w:val="num" w:pos="709"/>
        </w:tabs>
        <w:spacing w:line="240" w:lineRule="auto"/>
        <w:rPr>
          <w:lang w:val="en-CA"/>
        </w:rPr>
      </w:pPr>
      <w:r w:rsidRPr="00AF78D8">
        <w:rPr>
          <w:lang w:val="en-CA"/>
        </w:rPr>
        <w:lastRenderedPageBreak/>
        <w:t xml:space="preserve">Proof beyond a reasonable </w:t>
      </w:r>
      <w:r w:rsidR="00653201" w:rsidRPr="00AF78D8">
        <w:rPr>
          <w:lang w:val="en-CA"/>
        </w:rPr>
        <w:t xml:space="preserve">doubt that </w:t>
      </w:r>
      <w:r w:rsidRPr="00AF78D8">
        <w:rPr>
          <w:lang w:val="en-CA"/>
        </w:rPr>
        <w:t xml:space="preserve">a designated </w:t>
      </w:r>
      <w:r w:rsidR="00F60828" w:rsidRPr="00AF78D8">
        <w:rPr>
          <w:lang w:val="en-CA"/>
        </w:rPr>
        <w:t xml:space="preserve">substance </w:t>
      </w:r>
      <w:r w:rsidRPr="00AF78D8">
        <w:rPr>
          <w:lang w:val="en-CA"/>
        </w:rPr>
        <w:t xml:space="preserve">offence under the </w:t>
      </w:r>
      <w:r w:rsidRPr="00AF78D8">
        <w:rPr>
          <w:i/>
          <w:iCs/>
          <w:lang w:val="en-CA"/>
        </w:rPr>
        <w:t>CDSA</w:t>
      </w:r>
      <w:r w:rsidRPr="00AF78D8">
        <w:rPr>
          <w:lang w:val="en-CA"/>
        </w:rPr>
        <w:t xml:space="preserve"> </w:t>
      </w:r>
      <w:r w:rsidR="00653201" w:rsidRPr="00AF78D8">
        <w:rPr>
          <w:lang w:val="en-CA"/>
        </w:rPr>
        <w:t>was committed by means of or in respect of the property</w:t>
      </w:r>
      <w:r w:rsidR="006D117B">
        <w:rPr>
          <w:lang w:val="en-CA"/>
        </w:rPr>
        <w:t>,</w:t>
      </w:r>
      <w:r w:rsidR="00653201" w:rsidRPr="00AF78D8">
        <w:rPr>
          <w:lang w:val="en-CA"/>
        </w:rPr>
        <w:t xml:space="preserve"> </w:t>
      </w:r>
      <w:r w:rsidRPr="00AF78D8">
        <w:rPr>
          <w:lang w:val="en-CA"/>
        </w:rPr>
        <w:t>or</w:t>
      </w:r>
      <w:r w:rsidR="00653201" w:rsidRPr="00AF78D8">
        <w:rPr>
          <w:lang w:val="en-CA"/>
        </w:rPr>
        <w:t xml:space="preserve"> that the property</w:t>
      </w:r>
      <w:r w:rsidRPr="00AF78D8">
        <w:rPr>
          <w:lang w:val="en-CA"/>
        </w:rPr>
        <w:t xml:space="preserve"> </w:t>
      </w:r>
      <w:r w:rsidR="00816CC3" w:rsidRPr="00AF78D8">
        <w:rPr>
          <w:lang w:val="en-CA"/>
        </w:rPr>
        <w:t>was</w:t>
      </w:r>
      <w:r w:rsidRPr="00AF78D8">
        <w:rPr>
          <w:lang w:val="en-CA"/>
        </w:rPr>
        <w:t xml:space="preserve"> used in any manner in</w:t>
      </w:r>
      <w:r w:rsidR="00653201" w:rsidRPr="00AF78D8">
        <w:rPr>
          <w:lang w:val="en-CA"/>
        </w:rPr>
        <w:t xml:space="preserve"> connection with</w:t>
      </w:r>
      <w:r w:rsidRPr="00AF78D8">
        <w:rPr>
          <w:lang w:val="en-CA"/>
        </w:rPr>
        <w:t xml:space="preserve"> the commission of such an offence</w:t>
      </w:r>
      <w:r w:rsidR="006D117B">
        <w:rPr>
          <w:lang w:val="en-CA"/>
        </w:rPr>
        <w:t>,</w:t>
      </w:r>
      <w:r w:rsidRPr="00AF78D8">
        <w:rPr>
          <w:lang w:val="en-CA"/>
        </w:rPr>
        <w:t xml:space="preserve"> or that </w:t>
      </w:r>
      <w:r w:rsidR="00653201" w:rsidRPr="00AF78D8">
        <w:rPr>
          <w:lang w:val="en-CA"/>
        </w:rPr>
        <w:t>it was</w:t>
      </w:r>
      <w:r w:rsidRPr="00AF78D8">
        <w:rPr>
          <w:lang w:val="en-CA"/>
        </w:rPr>
        <w:t xml:space="preserve"> intended for use for </w:t>
      </w:r>
      <w:r w:rsidR="00653201" w:rsidRPr="00AF78D8">
        <w:rPr>
          <w:lang w:val="en-CA"/>
        </w:rPr>
        <w:t>the purpose of committing a designated substance offence</w:t>
      </w:r>
      <w:r w:rsidRPr="00AF78D8">
        <w:rPr>
          <w:lang w:val="en-CA"/>
        </w:rPr>
        <w:t xml:space="preserve"> suffic</w:t>
      </w:r>
      <w:r w:rsidR="00FC4ADA" w:rsidRPr="00AF78D8">
        <w:rPr>
          <w:lang w:val="en-CA"/>
        </w:rPr>
        <w:t>es</w:t>
      </w:r>
      <w:r w:rsidRPr="00AF78D8">
        <w:rPr>
          <w:lang w:val="en-CA"/>
        </w:rPr>
        <w:t>.</w:t>
      </w:r>
      <w:r w:rsidR="00787B6F" w:rsidRPr="00AF78D8">
        <w:rPr>
          <w:rStyle w:val="Appelnotedebasdep"/>
          <w:lang w:val="en-CA"/>
        </w:rPr>
        <w:footnoteReference w:id="41"/>
      </w:r>
    </w:p>
    <w:p w:rsidR="00787B6F" w:rsidRPr="00AF78D8" w:rsidRDefault="00BB7E87" w:rsidP="000748F5">
      <w:pPr>
        <w:pStyle w:val="Paragraphe"/>
        <w:tabs>
          <w:tab w:val="clear" w:pos="360"/>
          <w:tab w:val="num" w:pos="709"/>
        </w:tabs>
        <w:spacing w:line="240" w:lineRule="auto"/>
        <w:rPr>
          <w:lang w:val="en-CA"/>
        </w:rPr>
      </w:pPr>
      <w:r w:rsidRPr="00AF78D8">
        <w:rPr>
          <w:lang w:val="en-CA"/>
        </w:rPr>
        <w:t xml:space="preserve">The same holds true regarding the issue </w:t>
      </w:r>
      <w:r w:rsidR="006D117B">
        <w:rPr>
          <w:lang w:val="en-CA"/>
        </w:rPr>
        <w:t>relating</w:t>
      </w:r>
      <w:r w:rsidRPr="00AF78D8">
        <w:rPr>
          <w:lang w:val="en-CA"/>
        </w:rPr>
        <w:t xml:space="preserve"> to s. 462.73(2) </w:t>
      </w:r>
      <w:r w:rsidRPr="00AF78D8">
        <w:rPr>
          <w:i/>
          <w:iCs/>
          <w:lang w:val="en-CA"/>
        </w:rPr>
        <w:t>Cr. C</w:t>
      </w:r>
      <w:r w:rsidRPr="00AF78D8">
        <w:rPr>
          <w:lang w:val="en-CA"/>
        </w:rPr>
        <w:t>.</w:t>
      </w:r>
      <w:r w:rsidR="004963BC" w:rsidRPr="00AF78D8">
        <w:rPr>
          <w:rStyle w:val="Appelnotedebasdep"/>
          <w:lang w:val="en-CA"/>
        </w:rPr>
        <w:footnoteReference w:id="42"/>
      </w:r>
    </w:p>
    <w:p w:rsidR="004963BC" w:rsidRPr="00AF78D8" w:rsidRDefault="00BB7E87" w:rsidP="000748F5">
      <w:pPr>
        <w:pStyle w:val="Paragraphe"/>
        <w:tabs>
          <w:tab w:val="clear" w:pos="360"/>
          <w:tab w:val="num" w:pos="709"/>
        </w:tabs>
        <w:spacing w:line="240" w:lineRule="auto"/>
        <w:rPr>
          <w:lang w:val="en-CA"/>
        </w:rPr>
      </w:pPr>
      <w:r w:rsidRPr="00AF78D8">
        <w:rPr>
          <w:lang w:val="en-CA"/>
        </w:rPr>
        <w:t xml:space="preserve">The proceeds of crime </w:t>
      </w:r>
      <w:r w:rsidR="006D117B">
        <w:rPr>
          <w:lang w:val="en-CA"/>
        </w:rPr>
        <w:t>of</w:t>
      </w:r>
      <w:r w:rsidRPr="00AF78D8">
        <w:rPr>
          <w:lang w:val="en-CA"/>
        </w:rPr>
        <w:t xml:space="preserve"> which forfeiture is sought </w:t>
      </w:r>
      <w:r w:rsidR="006D117B">
        <w:rPr>
          <w:lang w:val="en-CA"/>
        </w:rPr>
        <w:t>need not</w:t>
      </w:r>
      <w:r w:rsidRPr="00AF78D8">
        <w:rPr>
          <w:lang w:val="en-CA"/>
        </w:rPr>
        <w:t xml:space="preserve"> be </w:t>
      </w:r>
      <w:r w:rsidR="00D300EF" w:rsidRPr="00AF78D8">
        <w:rPr>
          <w:lang w:val="en-CA"/>
        </w:rPr>
        <w:t xml:space="preserve">related </w:t>
      </w:r>
      <w:r w:rsidRPr="00AF78D8">
        <w:rPr>
          <w:lang w:val="en-CA"/>
        </w:rPr>
        <w:t xml:space="preserve">in any way to the offence </w:t>
      </w:r>
      <w:r w:rsidR="006D117B">
        <w:rPr>
          <w:lang w:val="en-CA"/>
        </w:rPr>
        <w:t>to</w:t>
      </w:r>
      <w:r w:rsidRPr="00AF78D8">
        <w:rPr>
          <w:lang w:val="en-CA"/>
        </w:rPr>
        <w:t xml:space="preserve"> which Manh Hung Nguyen pleaded guilty.</w:t>
      </w:r>
      <w:r w:rsidR="004963BC" w:rsidRPr="00AF78D8">
        <w:rPr>
          <w:lang w:val="en-CA"/>
        </w:rPr>
        <w:t xml:space="preserve"> </w:t>
      </w:r>
      <w:r w:rsidRPr="00AF78D8">
        <w:rPr>
          <w:lang w:val="en-CA"/>
        </w:rPr>
        <w:t xml:space="preserve">Proof beyond a </w:t>
      </w:r>
      <w:r w:rsidR="00E972D8" w:rsidRPr="00AF78D8">
        <w:rPr>
          <w:lang w:val="en-CA"/>
        </w:rPr>
        <w:t>reasonable</w:t>
      </w:r>
      <w:r w:rsidRPr="00AF78D8">
        <w:rPr>
          <w:lang w:val="en-CA"/>
        </w:rPr>
        <w:t xml:space="preserve"> doubt that the property was obtained or derived directly or indirectly </w:t>
      </w:r>
      <w:r w:rsidR="00D300EF" w:rsidRPr="00AF78D8">
        <w:rPr>
          <w:lang w:val="en-CA"/>
        </w:rPr>
        <w:t>from</w:t>
      </w:r>
      <w:r w:rsidRPr="00AF78D8">
        <w:rPr>
          <w:lang w:val="en-CA"/>
        </w:rPr>
        <w:t xml:space="preserve"> the commission of a designated </w:t>
      </w:r>
      <w:r w:rsidR="00F60828" w:rsidRPr="00AF78D8">
        <w:rPr>
          <w:lang w:val="en-CA"/>
        </w:rPr>
        <w:t xml:space="preserve">substance </w:t>
      </w:r>
      <w:r w:rsidRPr="00AF78D8">
        <w:rPr>
          <w:lang w:val="en-CA"/>
        </w:rPr>
        <w:t xml:space="preserve">offence or an act or omission that would have constituted a designated substance offence </w:t>
      </w:r>
      <w:r w:rsidR="006D117B">
        <w:rPr>
          <w:lang w:val="en-CA"/>
        </w:rPr>
        <w:t xml:space="preserve">had it occurred in Canada </w:t>
      </w:r>
      <w:r w:rsidRPr="00AF78D8">
        <w:rPr>
          <w:lang w:val="en-CA"/>
        </w:rPr>
        <w:t>suffices.</w:t>
      </w:r>
    </w:p>
    <w:p w:rsidR="00457399" w:rsidRPr="00AF78D8" w:rsidRDefault="00C407FE" w:rsidP="000748F5">
      <w:pPr>
        <w:pStyle w:val="Paragraphe"/>
        <w:tabs>
          <w:tab w:val="clear" w:pos="360"/>
          <w:tab w:val="num" w:pos="709"/>
        </w:tabs>
        <w:spacing w:line="240" w:lineRule="auto"/>
        <w:rPr>
          <w:lang w:val="en-CA"/>
        </w:rPr>
      </w:pPr>
      <w:r w:rsidRPr="00AF78D8">
        <w:rPr>
          <w:lang w:val="en-CA"/>
        </w:rPr>
        <w:t xml:space="preserve">In </w:t>
      </w:r>
      <w:r w:rsidRPr="00AF78D8">
        <w:rPr>
          <w:i/>
          <w:lang w:val="en-CA"/>
        </w:rPr>
        <w:t>Croussette</w:t>
      </w:r>
      <w:r w:rsidRPr="00AF78D8">
        <w:rPr>
          <w:lang w:val="en-CA"/>
        </w:rPr>
        <w:t>,</w:t>
      </w:r>
      <w:r w:rsidRPr="00AF78D8">
        <w:rPr>
          <w:rStyle w:val="Appelnotedebasdep"/>
          <w:lang w:val="en-CA"/>
        </w:rPr>
        <w:footnoteReference w:id="43"/>
      </w:r>
      <w:r w:rsidRPr="00AF78D8">
        <w:rPr>
          <w:lang w:val="en-CA"/>
        </w:rPr>
        <w:t xml:space="preserve"> the Court of Appeal of Quebec noted that ss. 490.1(2)</w:t>
      </w:r>
      <w:r w:rsidR="00816CC3" w:rsidRPr="00AF78D8">
        <w:rPr>
          <w:lang w:val="en-CA"/>
        </w:rPr>
        <w:t xml:space="preserve"> and </w:t>
      </w:r>
      <w:r w:rsidRPr="00AF78D8">
        <w:rPr>
          <w:lang w:val="en-CA"/>
        </w:rPr>
        <w:t xml:space="preserve">462.37(2) </w:t>
      </w:r>
      <w:r w:rsidRPr="00AF78D8">
        <w:rPr>
          <w:i/>
          <w:iCs/>
          <w:lang w:val="en-CA"/>
        </w:rPr>
        <w:t>Cr. C</w:t>
      </w:r>
      <w:r w:rsidRPr="00AF78D8">
        <w:rPr>
          <w:lang w:val="en-CA"/>
        </w:rPr>
        <w:t xml:space="preserve">. and </w:t>
      </w:r>
      <w:r w:rsidR="00816CC3" w:rsidRPr="00AF78D8">
        <w:rPr>
          <w:lang w:val="en-CA"/>
        </w:rPr>
        <w:t xml:space="preserve">s. </w:t>
      </w:r>
      <w:r w:rsidRPr="00AF78D8">
        <w:rPr>
          <w:lang w:val="en-CA"/>
        </w:rPr>
        <w:t xml:space="preserve">16(2) </w:t>
      </w:r>
      <w:r w:rsidRPr="00AF78D8">
        <w:rPr>
          <w:i/>
          <w:iCs/>
          <w:lang w:val="en-CA"/>
        </w:rPr>
        <w:t>CDSA</w:t>
      </w:r>
      <w:r w:rsidRPr="00AF78D8">
        <w:rPr>
          <w:lang w:val="en-CA"/>
        </w:rPr>
        <w:t xml:space="preserve"> allow for the forfeiture of property even if </w:t>
      </w:r>
      <w:r w:rsidR="00816CC3" w:rsidRPr="00AF78D8">
        <w:rPr>
          <w:lang w:val="en-CA"/>
        </w:rPr>
        <w:t>it</w:t>
      </w:r>
      <w:r w:rsidRPr="00AF78D8">
        <w:rPr>
          <w:lang w:val="en-CA"/>
        </w:rPr>
        <w:t xml:space="preserve"> </w:t>
      </w:r>
      <w:r w:rsidR="00816CC3" w:rsidRPr="00AF78D8">
        <w:rPr>
          <w:lang w:val="en-CA"/>
        </w:rPr>
        <w:t>is</w:t>
      </w:r>
      <w:r w:rsidRPr="00AF78D8">
        <w:rPr>
          <w:lang w:val="en-CA"/>
        </w:rPr>
        <w:t xml:space="preserve"> not related to the offence, on the condition that </w:t>
      </w:r>
      <w:r w:rsidR="005A1FF8" w:rsidRPr="00AF78D8">
        <w:rPr>
          <w:lang w:val="en-CA"/>
        </w:rPr>
        <w:t>the evidence establishes</w:t>
      </w:r>
      <w:r w:rsidRPr="00AF78D8">
        <w:rPr>
          <w:lang w:val="en-CA"/>
        </w:rPr>
        <w:t xml:space="preserve"> that it is, </w:t>
      </w:r>
      <w:r w:rsidR="00816CC3" w:rsidRPr="00AF78D8">
        <w:rPr>
          <w:lang w:val="en-CA"/>
        </w:rPr>
        <w:t>depending on the case</w:t>
      </w:r>
      <w:r w:rsidRPr="00AF78D8">
        <w:rPr>
          <w:lang w:val="en-CA"/>
        </w:rPr>
        <w:t>, offence-related property or the proceeds of crime.</w:t>
      </w:r>
    </w:p>
    <w:p w:rsidR="00457399" w:rsidRPr="00AF78D8" w:rsidRDefault="00C407FE" w:rsidP="000748F5">
      <w:pPr>
        <w:pStyle w:val="Paragraphe"/>
        <w:tabs>
          <w:tab w:val="clear" w:pos="360"/>
          <w:tab w:val="num" w:pos="709"/>
        </w:tabs>
        <w:spacing w:line="240" w:lineRule="auto"/>
        <w:rPr>
          <w:lang w:val="en-CA"/>
        </w:rPr>
      </w:pPr>
      <w:r w:rsidRPr="00AF78D8">
        <w:rPr>
          <w:lang w:val="en-CA"/>
        </w:rPr>
        <w:t xml:space="preserve">In </w:t>
      </w:r>
      <w:r w:rsidRPr="00AF78D8">
        <w:rPr>
          <w:i/>
          <w:lang w:val="en-CA"/>
        </w:rPr>
        <w:t>Vallières</w:t>
      </w:r>
      <w:r w:rsidRPr="00AF78D8">
        <w:rPr>
          <w:lang w:val="en-CA"/>
        </w:rPr>
        <w:t>,</w:t>
      </w:r>
      <w:r w:rsidR="002D486A" w:rsidRPr="00AF78D8">
        <w:rPr>
          <w:rStyle w:val="Appelnotedebasdep"/>
          <w:lang w:val="en-CA"/>
        </w:rPr>
        <w:footnoteReference w:id="44"/>
      </w:r>
      <w:r w:rsidRPr="00AF78D8">
        <w:rPr>
          <w:lang w:val="en-CA"/>
        </w:rPr>
        <w:t xml:space="preserve"> the Court of Appeal reiterated that, under s. 462.37(2) </w:t>
      </w:r>
      <w:r w:rsidRPr="00AF78D8">
        <w:rPr>
          <w:i/>
          <w:iCs/>
          <w:lang w:val="en-CA"/>
        </w:rPr>
        <w:t>Cr. C</w:t>
      </w:r>
      <w:r w:rsidRPr="00AF78D8">
        <w:rPr>
          <w:lang w:val="en-CA"/>
        </w:rPr>
        <w:t xml:space="preserve">., the Court has discretion to order forfeiture if it is </w:t>
      </w:r>
      <w:r w:rsidR="008354C2" w:rsidRPr="00AF78D8">
        <w:rPr>
          <w:lang w:val="en-CA"/>
        </w:rPr>
        <w:t xml:space="preserve">nevertheless </w:t>
      </w:r>
      <w:r w:rsidRPr="00AF78D8">
        <w:rPr>
          <w:lang w:val="en-CA"/>
        </w:rPr>
        <w:t xml:space="preserve">satisfied beyond a reasonable doubt that </w:t>
      </w:r>
      <w:r w:rsidR="00862A4F" w:rsidRPr="00AF78D8">
        <w:rPr>
          <w:lang w:val="en-CA"/>
        </w:rPr>
        <w:t>it</w:t>
      </w:r>
      <w:r w:rsidRPr="00AF78D8">
        <w:rPr>
          <w:lang w:val="en-CA"/>
        </w:rPr>
        <w:t xml:space="preserve"> is the proceeds of crime</w:t>
      </w:r>
      <w:r w:rsidR="008354C2" w:rsidRPr="00AF78D8">
        <w:rPr>
          <w:lang w:val="en-CA"/>
        </w:rPr>
        <w:t xml:space="preserve"> unrelated </w:t>
      </w:r>
      <w:r w:rsidRPr="00AF78D8">
        <w:rPr>
          <w:lang w:val="en-CA"/>
        </w:rPr>
        <w:t>to</w:t>
      </w:r>
      <w:r w:rsidR="00816CC3" w:rsidRPr="00AF78D8">
        <w:rPr>
          <w:lang w:val="en-CA"/>
        </w:rPr>
        <w:t xml:space="preserve"> the</w:t>
      </w:r>
      <w:r w:rsidRPr="00AF78D8">
        <w:rPr>
          <w:lang w:val="en-CA"/>
        </w:rPr>
        <w:t xml:space="preserve"> designated </w:t>
      </w:r>
      <w:r w:rsidR="00F60828" w:rsidRPr="00AF78D8">
        <w:rPr>
          <w:lang w:val="en-CA"/>
        </w:rPr>
        <w:t xml:space="preserve">substance </w:t>
      </w:r>
      <w:r w:rsidRPr="00AF78D8">
        <w:rPr>
          <w:lang w:val="en-CA"/>
        </w:rPr>
        <w:t xml:space="preserve">offence of which the accused </w:t>
      </w:r>
      <w:r w:rsidR="008354C2" w:rsidRPr="00AF78D8">
        <w:rPr>
          <w:lang w:val="en-CA"/>
        </w:rPr>
        <w:t>is</w:t>
      </w:r>
      <w:r w:rsidRPr="00AF78D8">
        <w:rPr>
          <w:lang w:val="en-CA"/>
        </w:rPr>
        <w:t xml:space="preserve"> convicted. </w:t>
      </w:r>
    </w:p>
    <w:p w:rsidR="00BB07A6" w:rsidRPr="00AF78D8" w:rsidRDefault="00EE7A02" w:rsidP="000748F5">
      <w:pPr>
        <w:pStyle w:val="Paragraphe"/>
        <w:tabs>
          <w:tab w:val="clear" w:pos="360"/>
          <w:tab w:val="num" w:pos="709"/>
        </w:tabs>
        <w:spacing w:line="240" w:lineRule="auto"/>
        <w:rPr>
          <w:lang w:val="en-CA"/>
        </w:rPr>
      </w:pPr>
      <w:r>
        <w:rPr>
          <w:lang w:val="en-CA"/>
        </w:rPr>
        <w:t>In</w:t>
      </w:r>
      <w:r w:rsidR="00C407FE" w:rsidRPr="00AF78D8">
        <w:rPr>
          <w:lang w:val="en-CA"/>
        </w:rPr>
        <w:t xml:space="preserve"> paragraph 135 of their application to dismiss</w:t>
      </w:r>
      <w:r>
        <w:rPr>
          <w:lang w:val="en-CA"/>
        </w:rPr>
        <w:t>, the three applicants submit</w:t>
      </w:r>
      <w:r w:rsidR="00C407FE" w:rsidRPr="00AF78D8">
        <w:rPr>
          <w:lang w:val="en-CA"/>
        </w:rPr>
        <w:t xml:space="preserve"> that </w:t>
      </w:r>
      <w:r w:rsidR="00C407FE" w:rsidRPr="00AF78D8">
        <w:rPr>
          <w:i/>
          <w:lang w:val="en-CA"/>
        </w:rPr>
        <w:t>Bebawi</w:t>
      </w:r>
      <w:r w:rsidR="002D486A" w:rsidRPr="00AF78D8">
        <w:rPr>
          <w:rStyle w:val="Appelnotedebasdep"/>
          <w:lang w:val="en-CA"/>
        </w:rPr>
        <w:footnoteReference w:id="45"/>
      </w:r>
      <w:r w:rsidR="00C407FE" w:rsidRPr="00AF78D8">
        <w:rPr>
          <w:lang w:val="en-CA"/>
        </w:rPr>
        <w:t xml:space="preserve"> </w:t>
      </w:r>
      <w:r>
        <w:rPr>
          <w:lang w:val="en-CA"/>
        </w:rPr>
        <w:t>noted</w:t>
      </w:r>
      <w:r w:rsidR="00C407FE" w:rsidRPr="00AF78D8">
        <w:rPr>
          <w:lang w:val="en-CA"/>
        </w:rPr>
        <w:t xml:space="preserve"> [</w:t>
      </w:r>
      <w:r w:rsidR="00C407FE" w:rsidRPr="00AF78D8">
        <w:rPr>
          <w:smallCaps/>
          <w:lang w:val="en-CA"/>
        </w:rPr>
        <w:t>translation</w:t>
      </w:r>
      <w:r w:rsidR="00C407FE" w:rsidRPr="00AF78D8">
        <w:rPr>
          <w:lang w:val="en-CA"/>
        </w:rPr>
        <w:t xml:space="preserve">] </w:t>
      </w:r>
      <w:r w:rsidR="002D486A" w:rsidRPr="00AF78D8">
        <w:rPr>
          <w:lang w:val="en-CA"/>
        </w:rPr>
        <w:t>“</w:t>
      </w:r>
      <w:r w:rsidR="00C407FE" w:rsidRPr="00AF78D8">
        <w:rPr>
          <w:lang w:val="en-CA"/>
        </w:rPr>
        <w:t>that forfeiture orders rendered under s.</w:t>
      </w:r>
      <w:r w:rsidR="00BB07A6" w:rsidRPr="00AF78D8">
        <w:rPr>
          <w:lang w:val="en-CA"/>
        </w:rPr>
        <w:t xml:space="preserve"> </w:t>
      </w:r>
      <w:r w:rsidR="00C407FE" w:rsidRPr="00AF78D8">
        <w:rPr>
          <w:lang w:val="en-CA"/>
        </w:rPr>
        <w:t xml:space="preserve">462.37 </w:t>
      </w:r>
      <w:r w:rsidR="00C407FE" w:rsidRPr="00AF78D8">
        <w:rPr>
          <w:i/>
          <w:iCs/>
          <w:lang w:val="en-CA"/>
        </w:rPr>
        <w:t>Cr.</w:t>
      </w:r>
      <w:r w:rsidR="00816CC3" w:rsidRPr="00AF78D8">
        <w:rPr>
          <w:i/>
          <w:iCs/>
          <w:lang w:val="en-CA"/>
        </w:rPr>
        <w:t> </w:t>
      </w:r>
      <w:r w:rsidR="00C407FE" w:rsidRPr="00AF78D8">
        <w:rPr>
          <w:i/>
          <w:iCs/>
          <w:lang w:val="en-CA"/>
        </w:rPr>
        <w:t>C</w:t>
      </w:r>
      <w:r w:rsidR="00C407FE" w:rsidRPr="00AF78D8">
        <w:rPr>
          <w:lang w:val="en-CA"/>
        </w:rPr>
        <w:t>. are suspended as of right when the conviction is appealed</w:t>
      </w:r>
      <w:r w:rsidR="002D486A" w:rsidRPr="00AF78D8">
        <w:rPr>
          <w:lang w:val="en-CA"/>
        </w:rPr>
        <w:t>”</w:t>
      </w:r>
      <w:r w:rsidR="00C407FE" w:rsidRPr="00AF78D8">
        <w:rPr>
          <w:lang w:val="en-CA"/>
        </w:rPr>
        <w:t xml:space="preserve"> to </w:t>
      </w:r>
      <w:r w:rsidR="00D6709E" w:rsidRPr="00AF78D8">
        <w:rPr>
          <w:lang w:val="en-CA"/>
        </w:rPr>
        <w:t xml:space="preserve">argue </w:t>
      </w:r>
      <w:r w:rsidR="00C407FE" w:rsidRPr="00AF78D8">
        <w:rPr>
          <w:lang w:val="en-CA"/>
        </w:rPr>
        <w:t xml:space="preserve">that this shows that such a verdict is therefore a </w:t>
      </w:r>
      <w:r w:rsidR="00E972D8" w:rsidRPr="00AF78D8">
        <w:rPr>
          <w:lang w:val="en-CA"/>
        </w:rPr>
        <w:t>prerequisite</w:t>
      </w:r>
      <w:r w:rsidR="00C407FE" w:rsidRPr="00AF78D8">
        <w:rPr>
          <w:lang w:val="en-CA"/>
        </w:rPr>
        <w:t xml:space="preserve"> to such an application for forfeiture.</w:t>
      </w:r>
      <w:r w:rsidR="00BB07A6" w:rsidRPr="00AF78D8">
        <w:rPr>
          <w:lang w:val="en-CA"/>
        </w:rPr>
        <w:t xml:space="preserve"> </w:t>
      </w:r>
    </w:p>
    <w:p w:rsidR="00BB07A6" w:rsidRPr="00AF78D8" w:rsidRDefault="00C407FE" w:rsidP="000748F5">
      <w:pPr>
        <w:pStyle w:val="Paragraphe"/>
        <w:tabs>
          <w:tab w:val="clear" w:pos="360"/>
          <w:tab w:val="num" w:pos="709"/>
        </w:tabs>
        <w:spacing w:line="240" w:lineRule="auto"/>
        <w:rPr>
          <w:lang w:val="en-CA"/>
        </w:rPr>
      </w:pPr>
      <w:r w:rsidRPr="00AF78D8">
        <w:rPr>
          <w:lang w:val="en-CA"/>
        </w:rPr>
        <w:t xml:space="preserve">This is not how the Court reads the </w:t>
      </w:r>
      <w:r w:rsidR="00D6709E" w:rsidRPr="00AF78D8">
        <w:rPr>
          <w:lang w:val="en-CA"/>
        </w:rPr>
        <w:t xml:space="preserve">excerpt </w:t>
      </w:r>
      <w:r w:rsidRPr="00AF78D8">
        <w:rPr>
          <w:lang w:val="en-CA"/>
        </w:rPr>
        <w:t>concerned.</w:t>
      </w:r>
    </w:p>
    <w:p w:rsidR="00BB07A6" w:rsidRPr="00AF78D8" w:rsidRDefault="00C407FE" w:rsidP="000748F5">
      <w:pPr>
        <w:pStyle w:val="Paragraphe"/>
        <w:tabs>
          <w:tab w:val="clear" w:pos="360"/>
          <w:tab w:val="num" w:pos="709"/>
        </w:tabs>
        <w:spacing w:line="240" w:lineRule="auto"/>
        <w:rPr>
          <w:lang w:val="en-CA"/>
        </w:rPr>
      </w:pPr>
      <w:r w:rsidRPr="00AF78D8">
        <w:rPr>
          <w:lang w:val="en-CA"/>
        </w:rPr>
        <w:t xml:space="preserve">The Court </w:t>
      </w:r>
      <w:r w:rsidR="00816CC3" w:rsidRPr="00AF78D8">
        <w:rPr>
          <w:lang w:val="en-CA"/>
        </w:rPr>
        <w:t>notes</w:t>
      </w:r>
      <w:r w:rsidRPr="00AF78D8">
        <w:rPr>
          <w:lang w:val="en-CA"/>
        </w:rPr>
        <w:t xml:space="preserve"> that the Court of Appeal relied only on s. 462.37(1) </w:t>
      </w:r>
      <w:r w:rsidRPr="00AF78D8">
        <w:rPr>
          <w:i/>
          <w:iCs/>
          <w:lang w:val="en-CA"/>
        </w:rPr>
        <w:t>Cr. C</w:t>
      </w:r>
      <w:r w:rsidRPr="00AF78D8">
        <w:rPr>
          <w:lang w:val="en-CA"/>
        </w:rPr>
        <w:t xml:space="preserve">. and not </w:t>
      </w:r>
      <w:r w:rsidR="00B5186D" w:rsidRPr="00AF78D8">
        <w:rPr>
          <w:lang w:val="en-CA"/>
        </w:rPr>
        <w:t xml:space="preserve">on </w:t>
      </w:r>
      <w:r w:rsidRPr="00AF78D8">
        <w:rPr>
          <w:lang w:val="en-CA"/>
        </w:rPr>
        <w:t xml:space="preserve">s. 462.37 </w:t>
      </w:r>
      <w:r w:rsidRPr="00AF78D8">
        <w:rPr>
          <w:i/>
          <w:iCs/>
          <w:lang w:val="en-CA"/>
        </w:rPr>
        <w:t>Cr. C</w:t>
      </w:r>
      <w:r w:rsidRPr="00AF78D8">
        <w:rPr>
          <w:lang w:val="en-CA"/>
        </w:rPr>
        <w:t xml:space="preserve">. </w:t>
      </w:r>
      <w:r w:rsidR="008847E0" w:rsidRPr="00AF78D8">
        <w:rPr>
          <w:lang w:val="en-CA"/>
        </w:rPr>
        <w:t xml:space="preserve">in its entirety, </w:t>
      </w:r>
      <w:r w:rsidRPr="00AF78D8">
        <w:rPr>
          <w:lang w:val="en-CA"/>
        </w:rPr>
        <w:t xml:space="preserve">because s. 689(1) </w:t>
      </w:r>
      <w:r w:rsidRPr="00AF78D8">
        <w:rPr>
          <w:i/>
          <w:iCs/>
          <w:lang w:val="en-CA"/>
        </w:rPr>
        <w:t>Cr. C</w:t>
      </w:r>
      <w:r w:rsidRPr="00AF78D8">
        <w:rPr>
          <w:lang w:val="en-CA"/>
        </w:rPr>
        <w:t xml:space="preserve">. provides </w:t>
      </w:r>
      <w:r w:rsidR="00EE7A02">
        <w:rPr>
          <w:lang w:val="en-CA"/>
        </w:rPr>
        <w:t xml:space="preserve">only </w:t>
      </w:r>
      <w:r w:rsidRPr="00AF78D8">
        <w:rPr>
          <w:lang w:val="en-CA"/>
        </w:rPr>
        <w:t>for suspension when the order is rendered pursuant to s. 462.37(2).</w:t>
      </w:r>
      <w:r w:rsidR="00BB07A6" w:rsidRPr="00AF78D8">
        <w:rPr>
          <w:lang w:val="en-CA"/>
        </w:rPr>
        <w:t xml:space="preserve"> </w:t>
      </w:r>
    </w:p>
    <w:p w:rsidR="00BB07A6" w:rsidRPr="00AF78D8" w:rsidRDefault="002C5EF7" w:rsidP="000748F5">
      <w:pPr>
        <w:pStyle w:val="Paragraphe"/>
        <w:tabs>
          <w:tab w:val="clear" w:pos="360"/>
          <w:tab w:val="num" w:pos="709"/>
        </w:tabs>
        <w:spacing w:line="240" w:lineRule="auto"/>
        <w:rPr>
          <w:lang w:val="en-CA"/>
        </w:rPr>
      </w:pPr>
      <w:r w:rsidRPr="00AF78D8">
        <w:rPr>
          <w:lang w:val="en-CA"/>
        </w:rPr>
        <w:t>T</w:t>
      </w:r>
      <w:r w:rsidR="00C407FE" w:rsidRPr="00AF78D8">
        <w:rPr>
          <w:lang w:val="en-CA"/>
        </w:rPr>
        <w:t>his is because</w:t>
      </w:r>
      <w:r w:rsidR="00F7094A" w:rsidRPr="00AF78D8">
        <w:rPr>
          <w:lang w:val="en-CA"/>
        </w:rPr>
        <w:t>,</w:t>
      </w:r>
      <w:r w:rsidRPr="00AF78D8">
        <w:rPr>
          <w:lang w:val="en-CA"/>
        </w:rPr>
        <w:t xml:space="preserve"> </w:t>
      </w:r>
      <w:r w:rsidR="00F7094A" w:rsidRPr="00AF78D8">
        <w:rPr>
          <w:lang w:val="en-CA"/>
        </w:rPr>
        <w:t xml:space="preserve">under </w:t>
      </w:r>
      <w:r w:rsidR="00C407FE" w:rsidRPr="00AF78D8">
        <w:rPr>
          <w:lang w:val="en-CA"/>
        </w:rPr>
        <w:t xml:space="preserve">s. 462.37(2), the Court </w:t>
      </w:r>
      <w:r w:rsidR="0009411E" w:rsidRPr="00AF78D8">
        <w:rPr>
          <w:lang w:val="en-CA"/>
        </w:rPr>
        <w:t>i</w:t>
      </w:r>
      <w:r w:rsidR="00F7094A" w:rsidRPr="00AF78D8">
        <w:rPr>
          <w:lang w:val="en-CA"/>
        </w:rPr>
        <w:t xml:space="preserve">s </w:t>
      </w:r>
      <w:r w:rsidR="00C407FE" w:rsidRPr="00AF78D8">
        <w:rPr>
          <w:lang w:val="en-CA"/>
        </w:rPr>
        <w:t xml:space="preserve">not satisfied that the property was obtained through the commission of the designated </w:t>
      </w:r>
      <w:r w:rsidR="00F60828" w:rsidRPr="00AF78D8">
        <w:rPr>
          <w:lang w:val="en-CA"/>
        </w:rPr>
        <w:t xml:space="preserve">substance </w:t>
      </w:r>
      <w:r w:rsidR="00C407FE" w:rsidRPr="00AF78D8">
        <w:rPr>
          <w:lang w:val="en-CA"/>
        </w:rPr>
        <w:t xml:space="preserve">offence </w:t>
      </w:r>
      <w:r w:rsidR="00FB71EB">
        <w:rPr>
          <w:lang w:val="en-CA"/>
        </w:rPr>
        <w:t>of</w:t>
      </w:r>
      <w:r w:rsidR="00F7094A" w:rsidRPr="00AF78D8">
        <w:rPr>
          <w:lang w:val="en-CA"/>
        </w:rPr>
        <w:t xml:space="preserve"> </w:t>
      </w:r>
      <w:r w:rsidR="00C407FE" w:rsidRPr="00AF78D8">
        <w:rPr>
          <w:lang w:val="en-CA"/>
        </w:rPr>
        <w:t xml:space="preserve">which the </w:t>
      </w:r>
      <w:r w:rsidR="00C407FE" w:rsidRPr="00AF78D8">
        <w:rPr>
          <w:lang w:val="en-CA"/>
        </w:rPr>
        <w:lastRenderedPageBreak/>
        <w:t xml:space="preserve">offender </w:t>
      </w:r>
      <w:r w:rsidRPr="00AF78D8">
        <w:rPr>
          <w:lang w:val="en-CA"/>
        </w:rPr>
        <w:t>was</w:t>
      </w:r>
      <w:r w:rsidR="00C407FE" w:rsidRPr="00AF78D8">
        <w:rPr>
          <w:lang w:val="en-CA"/>
        </w:rPr>
        <w:t xml:space="preserve"> convicted or</w:t>
      </w:r>
      <w:r w:rsidRPr="00AF78D8">
        <w:rPr>
          <w:lang w:val="en-CA"/>
        </w:rPr>
        <w:t xml:space="preserve"> </w:t>
      </w:r>
      <w:r w:rsidR="00C407FE" w:rsidRPr="00AF78D8">
        <w:rPr>
          <w:lang w:val="en-CA"/>
        </w:rPr>
        <w:t>discharge</w:t>
      </w:r>
      <w:r w:rsidR="00F7094A" w:rsidRPr="00AF78D8">
        <w:rPr>
          <w:lang w:val="en-CA"/>
        </w:rPr>
        <w:t>d</w:t>
      </w:r>
      <w:r w:rsidR="00C407FE" w:rsidRPr="00AF78D8">
        <w:rPr>
          <w:lang w:val="en-CA"/>
        </w:rPr>
        <w:t xml:space="preserve">, whereas </w:t>
      </w:r>
      <w:r w:rsidR="00FB71EB">
        <w:rPr>
          <w:lang w:val="en-CA"/>
        </w:rPr>
        <w:t xml:space="preserve">under </w:t>
      </w:r>
      <w:r w:rsidR="00C407FE" w:rsidRPr="00AF78D8">
        <w:rPr>
          <w:lang w:val="en-CA"/>
        </w:rPr>
        <w:t>s. 462.37(1)</w:t>
      </w:r>
      <w:r w:rsidR="00FB71EB">
        <w:rPr>
          <w:lang w:val="en-CA"/>
        </w:rPr>
        <w:t>,</w:t>
      </w:r>
      <w:r w:rsidR="00C407FE" w:rsidRPr="00AF78D8">
        <w:rPr>
          <w:lang w:val="en-CA"/>
        </w:rPr>
        <w:t xml:space="preserve"> the offender </w:t>
      </w:r>
      <w:r w:rsidR="00FB71EB">
        <w:rPr>
          <w:lang w:val="en-CA"/>
        </w:rPr>
        <w:t xml:space="preserve">must have been </w:t>
      </w:r>
      <w:r w:rsidR="00C407FE" w:rsidRPr="00AF78D8">
        <w:rPr>
          <w:lang w:val="en-CA"/>
        </w:rPr>
        <w:t>convicted or discharged.</w:t>
      </w:r>
    </w:p>
    <w:p w:rsidR="00BB07A6" w:rsidRPr="00AF78D8" w:rsidRDefault="00585DB3" w:rsidP="000748F5">
      <w:pPr>
        <w:pStyle w:val="Paragraphe"/>
        <w:tabs>
          <w:tab w:val="clear" w:pos="360"/>
          <w:tab w:val="num" w:pos="709"/>
        </w:tabs>
        <w:spacing w:line="240" w:lineRule="auto"/>
        <w:rPr>
          <w:lang w:val="en-CA"/>
        </w:rPr>
      </w:pPr>
      <w:r w:rsidRPr="00AF78D8">
        <w:rPr>
          <w:lang w:val="en-CA"/>
        </w:rPr>
        <w:t>In this case</w:t>
      </w:r>
      <w:r w:rsidR="0009411E" w:rsidRPr="00AF78D8">
        <w:rPr>
          <w:lang w:val="en-CA"/>
        </w:rPr>
        <w:t>,</w:t>
      </w:r>
      <w:r w:rsidR="002C5EF7" w:rsidRPr="00AF78D8">
        <w:rPr>
          <w:lang w:val="en-CA"/>
        </w:rPr>
        <w:t xml:space="preserve"> </w:t>
      </w:r>
      <w:r w:rsidR="005E645E" w:rsidRPr="00AF78D8">
        <w:rPr>
          <w:lang w:val="en-CA"/>
        </w:rPr>
        <w:t>when it</w:t>
      </w:r>
      <w:r w:rsidR="00F7094A" w:rsidRPr="00AF78D8">
        <w:rPr>
          <w:lang w:val="en-CA"/>
        </w:rPr>
        <w:t xml:space="preserve"> </w:t>
      </w:r>
      <w:r w:rsidRPr="00AF78D8">
        <w:rPr>
          <w:lang w:val="en-CA"/>
        </w:rPr>
        <w:t xml:space="preserve">intends to </w:t>
      </w:r>
      <w:r w:rsidR="005E645E" w:rsidRPr="00AF78D8">
        <w:rPr>
          <w:lang w:val="en-CA"/>
        </w:rPr>
        <w:t xml:space="preserve">establish </w:t>
      </w:r>
      <w:r w:rsidRPr="00AF78D8">
        <w:rPr>
          <w:lang w:val="en-CA"/>
        </w:rPr>
        <w:t xml:space="preserve">that property constitutes proceeds of crime, </w:t>
      </w:r>
      <w:r w:rsidR="00FB71EB">
        <w:rPr>
          <w:lang w:val="en-CA"/>
        </w:rPr>
        <w:t xml:space="preserve">the Crown </w:t>
      </w:r>
      <w:r w:rsidRPr="00AF78D8">
        <w:rPr>
          <w:lang w:val="en-CA"/>
        </w:rPr>
        <w:t xml:space="preserve">invokes s. 462.37(2), </w:t>
      </w:r>
      <w:r w:rsidR="002C5EF7" w:rsidRPr="00AF78D8">
        <w:rPr>
          <w:lang w:val="en-CA"/>
        </w:rPr>
        <w:t xml:space="preserve">and </w:t>
      </w:r>
      <w:r w:rsidRPr="00AF78D8">
        <w:rPr>
          <w:lang w:val="en-CA"/>
        </w:rPr>
        <w:t xml:space="preserve">not s. 462.37(1) </w:t>
      </w:r>
      <w:r w:rsidRPr="00AF78D8">
        <w:rPr>
          <w:i/>
          <w:iCs/>
          <w:lang w:val="en-CA"/>
        </w:rPr>
        <w:t>Cr. C</w:t>
      </w:r>
      <w:r w:rsidRPr="00AF78D8">
        <w:rPr>
          <w:lang w:val="en-CA"/>
        </w:rPr>
        <w:t>.</w:t>
      </w:r>
    </w:p>
    <w:p w:rsidR="00BB07A6" w:rsidRPr="00AF78D8" w:rsidRDefault="005E645E" w:rsidP="000748F5">
      <w:pPr>
        <w:pStyle w:val="Paragraphe"/>
        <w:tabs>
          <w:tab w:val="clear" w:pos="360"/>
          <w:tab w:val="num" w:pos="709"/>
        </w:tabs>
        <w:spacing w:line="240" w:lineRule="auto"/>
        <w:rPr>
          <w:lang w:val="en-CA"/>
        </w:rPr>
      </w:pPr>
      <w:r w:rsidRPr="00AF78D8">
        <w:rPr>
          <w:lang w:val="en-CA"/>
        </w:rPr>
        <w:t xml:space="preserve">At </w:t>
      </w:r>
      <w:r w:rsidR="00585DB3" w:rsidRPr="00AF78D8">
        <w:rPr>
          <w:lang w:val="en-CA"/>
        </w:rPr>
        <w:t>paragraph 151 of their application to dismiss</w:t>
      </w:r>
      <w:r w:rsidR="00E8727B" w:rsidRPr="00AF78D8">
        <w:rPr>
          <w:lang w:val="en-CA"/>
        </w:rPr>
        <w:t>,</w:t>
      </w:r>
      <w:r w:rsidR="00585DB3" w:rsidRPr="00AF78D8">
        <w:rPr>
          <w:lang w:val="en-CA"/>
        </w:rPr>
        <w:t xml:space="preserve"> </w:t>
      </w:r>
      <w:r w:rsidR="00E8727B" w:rsidRPr="00AF78D8">
        <w:rPr>
          <w:lang w:val="en-CA"/>
        </w:rPr>
        <w:t>t</w:t>
      </w:r>
      <w:r w:rsidRPr="00AF78D8">
        <w:rPr>
          <w:lang w:val="en-CA"/>
        </w:rPr>
        <w:t xml:space="preserve">he three applicants submit </w:t>
      </w:r>
      <w:r w:rsidR="00585DB3" w:rsidRPr="00AF78D8">
        <w:rPr>
          <w:lang w:val="en-CA"/>
        </w:rPr>
        <w:t xml:space="preserve">that the forfeiture order </w:t>
      </w:r>
      <w:r w:rsidR="002C5EF7" w:rsidRPr="00AF78D8">
        <w:rPr>
          <w:lang w:val="en-CA"/>
        </w:rPr>
        <w:t xml:space="preserve">that </w:t>
      </w:r>
      <w:r w:rsidR="00585DB3" w:rsidRPr="00AF78D8">
        <w:rPr>
          <w:lang w:val="en-CA"/>
        </w:rPr>
        <w:t xml:space="preserve">may be rendered </w:t>
      </w:r>
      <w:r w:rsidR="00FB71EB">
        <w:rPr>
          <w:lang w:val="en-CA"/>
        </w:rPr>
        <w:t>under</w:t>
      </w:r>
      <w:r w:rsidR="00585DB3" w:rsidRPr="00AF78D8">
        <w:rPr>
          <w:lang w:val="en-CA"/>
        </w:rPr>
        <w:t xml:space="preserve"> s. 16(2) </w:t>
      </w:r>
      <w:r w:rsidR="00585DB3" w:rsidRPr="00AF78D8">
        <w:rPr>
          <w:i/>
          <w:iCs/>
          <w:lang w:val="en-CA"/>
        </w:rPr>
        <w:t>CDSA</w:t>
      </w:r>
      <w:r w:rsidR="00585DB3" w:rsidRPr="00AF78D8">
        <w:rPr>
          <w:lang w:val="en-CA"/>
        </w:rPr>
        <w:t xml:space="preserve"> is still the one set out </w:t>
      </w:r>
      <w:r w:rsidR="00FB71EB">
        <w:rPr>
          <w:lang w:val="en-CA"/>
        </w:rPr>
        <w:t>in</w:t>
      </w:r>
      <w:r w:rsidR="00585DB3" w:rsidRPr="00AF78D8">
        <w:rPr>
          <w:lang w:val="en-CA"/>
        </w:rPr>
        <w:t xml:space="preserve"> s.</w:t>
      </w:r>
      <w:r w:rsidR="002C5EF7" w:rsidRPr="00AF78D8">
        <w:rPr>
          <w:lang w:val="en-CA"/>
        </w:rPr>
        <w:t> </w:t>
      </w:r>
      <w:r w:rsidR="00585DB3" w:rsidRPr="00AF78D8">
        <w:rPr>
          <w:lang w:val="en-CA"/>
        </w:rPr>
        <w:t xml:space="preserve">16(1) </w:t>
      </w:r>
      <w:r w:rsidR="00585DB3" w:rsidRPr="00AF78D8">
        <w:rPr>
          <w:i/>
          <w:iCs/>
          <w:lang w:val="en-CA"/>
        </w:rPr>
        <w:t>CDSA</w:t>
      </w:r>
      <w:r w:rsidR="00585DB3" w:rsidRPr="00AF78D8">
        <w:rPr>
          <w:lang w:val="en-CA"/>
        </w:rPr>
        <w:t xml:space="preserve"> and that in both situations</w:t>
      </w:r>
      <w:r w:rsidR="00FB71EB">
        <w:rPr>
          <w:lang w:val="en-CA"/>
        </w:rPr>
        <w:t>,</w:t>
      </w:r>
      <w:r w:rsidR="00585DB3" w:rsidRPr="00AF78D8">
        <w:rPr>
          <w:lang w:val="en-CA"/>
        </w:rPr>
        <w:t xml:space="preserve"> [</w:t>
      </w:r>
      <w:r w:rsidR="00585DB3" w:rsidRPr="00AF78D8">
        <w:rPr>
          <w:smallCaps/>
          <w:lang w:val="en-CA"/>
        </w:rPr>
        <w:t>translation</w:t>
      </w:r>
      <w:r w:rsidR="00585DB3" w:rsidRPr="00AF78D8">
        <w:rPr>
          <w:lang w:val="en-CA"/>
        </w:rPr>
        <w:t xml:space="preserve">] </w:t>
      </w:r>
      <w:r w:rsidR="002C5EF7" w:rsidRPr="00AF78D8">
        <w:rPr>
          <w:lang w:val="en-CA"/>
        </w:rPr>
        <w:t>“</w:t>
      </w:r>
      <w:r w:rsidR="00585DB3" w:rsidRPr="00AF78D8">
        <w:rPr>
          <w:lang w:val="en-CA"/>
        </w:rPr>
        <w:t xml:space="preserve">the person concerned must have been either convicted of a designated </w:t>
      </w:r>
      <w:r w:rsidRPr="00AF78D8">
        <w:rPr>
          <w:lang w:val="en-CA"/>
        </w:rPr>
        <w:t xml:space="preserve">substance </w:t>
      </w:r>
      <w:r w:rsidR="00585DB3" w:rsidRPr="00AF78D8">
        <w:rPr>
          <w:lang w:val="en-CA"/>
        </w:rPr>
        <w:t>offence or discharged</w:t>
      </w:r>
      <w:r w:rsidR="002C5EF7" w:rsidRPr="00AF78D8">
        <w:rPr>
          <w:lang w:val="en-CA"/>
        </w:rPr>
        <w:t>”</w:t>
      </w:r>
      <w:r w:rsidR="00585DB3" w:rsidRPr="00AF78D8">
        <w:rPr>
          <w:lang w:val="en-CA"/>
        </w:rPr>
        <w:t>.</w:t>
      </w:r>
    </w:p>
    <w:p w:rsidR="00BB07A6" w:rsidRPr="00AF78D8" w:rsidRDefault="00FB71EB" w:rsidP="000748F5">
      <w:pPr>
        <w:pStyle w:val="Paragraphe"/>
        <w:tabs>
          <w:tab w:val="clear" w:pos="360"/>
          <w:tab w:val="num" w:pos="709"/>
        </w:tabs>
        <w:spacing w:line="240" w:lineRule="auto"/>
        <w:rPr>
          <w:lang w:val="en-CA"/>
        </w:rPr>
      </w:pPr>
      <w:r>
        <w:rPr>
          <w:lang w:val="en-CA"/>
        </w:rPr>
        <w:t xml:space="preserve">In so doing, the applicants appear to be adding a requirement that is not included in s. 16(2) </w:t>
      </w:r>
      <w:r w:rsidRPr="00FB71EB">
        <w:rPr>
          <w:i/>
          <w:iCs/>
          <w:lang w:val="en-CA"/>
        </w:rPr>
        <w:t>CDSA</w:t>
      </w:r>
      <w:r>
        <w:rPr>
          <w:lang w:val="en-CA"/>
        </w:rPr>
        <w:t xml:space="preserve"> in </w:t>
      </w:r>
      <w:r w:rsidR="00C57C24" w:rsidRPr="00AF78D8">
        <w:rPr>
          <w:lang w:val="en-CA"/>
        </w:rPr>
        <w:t>the case of co-accused</w:t>
      </w:r>
      <w:r>
        <w:rPr>
          <w:lang w:val="en-CA"/>
        </w:rPr>
        <w:t xml:space="preserve"> of whom </w:t>
      </w:r>
      <w:r w:rsidR="00C57C24" w:rsidRPr="00AF78D8">
        <w:rPr>
          <w:lang w:val="en-CA"/>
        </w:rPr>
        <w:t xml:space="preserve">only one or some </w:t>
      </w:r>
      <w:r>
        <w:rPr>
          <w:lang w:val="en-CA"/>
        </w:rPr>
        <w:t xml:space="preserve">are </w:t>
      </w:r>
      <w:r w:rsidR="00C57C24" w:rsidRPr="00AF78D8">
        <w:rPr>
          <w:lang w:val="en-CA"/>
        </w:rPr>
        <w:t>convicted.</w:t>
      </w:r>
      <w:r w:rsidR="00B605C3" w:rsidRPr="00AF78D8">
        <w:rPr>
          <w:lang w:val="en-CA"/>
        </w:rPr>
        <w:t xml:space="preserve"> </w:t>
      </w:r>
      <w:r w:rsidR="003D530B" w:rsidRPr="00AF78D8">
        <w:rPr>
          <w:lang w:val="en-CA"/>
        </w:rPr>
        <w:t xml:space="preserve">The person convicted must be the same person </w:t>
      </w:r>
      <w:r w:rsidR="00C57C24" w:rsidRPr="00AF78D8">
        <w:rPr>
          <w:lang w:val="en-CA"/>
        </w:rPr>
        <w:t>who is the subject of</w:t>
      </w:r>
      <w:r w:rsidR="003D530B" w:rsidRPr="00AF78D8">
        <w:rPr>
          <w:lang w:val="en-CA"/>
        </w:rPr>
        <w:t xml:space="preserve"> the application for an order.</w:t>
      </w:r>
    </w:p>
    <w:p w:rsidR="00B605C3" w:rsidRPr="00AF78D8" w:rsidRDefault="003D530B" w:rsidP="000748F5">
      <w:pPr>
        <w:pStyle w:val="Paragraphe"/>
        <w:tabs>
          <w:tab w:val="clear" w:pos="360"/>
          <w:tab w:val="num" w:pos="709"/>
        </w:tabs>
        <w:spacing w:line="240" w:lineRule="auto"/>
        <w:rPr>
          <w:lang w:val="en-CA"/>
        </w:rPr>
      </w:pPr>
      <w:r w:rsidRPr="00AF78D8">
        <w:rPr>
          <w:lang w:val="en-CA"/>
        </w:rPr>
        <w:t>Accepting the applicants’ reasoning would mean that the following situation could occur.</w:t>
      </w:r>
      <w:r w:rsidR="00B605C3" w:rsidRPr="00AF78D8">
        <w:rPr>
          <w:lang w:val="en-CA"/>
        </w:rPr>
        <w:t xml:space="preserve"> </w:t>
      </w:r>
      <w:r w:rsidRPr="00AF78D8">
        <w:rPr>
          <w:lang w:val="en-CA"/>
        </w:rPr>
        <w:t>A and B are co-accused of production of cannabis in a residence owned by B. A is convicted.</w:t>
      </w:r>
      <w:r w:rsidR="00B605C3" w:rsidRPr="00AF78D8">
        <w:rPr>
          <w:lang w:val="en-CA"/>
        </w:rPr>
        <w:t xml:space="preserve"> </w:t>
      </w:r>
      <w:r w:rsidRPr="00AF78D8">
        <w:rPr>
          <w:lang w:val="en-CA"/>
        </w:rPr>
        <w:t xml:space="preserve">B is acquitted. A </w:t>
      </w:r>
      <w:r w:rsidR="00E972D8" w:rsidRPr="00AF78D8">
        <w:rPr>
          <w:lang w:val="en-CA"/>
        </w:rPr>
        <w:t>restraint</w:t>
      </w:r>
      <w:r w:rsidRPr="00AF78D8">
        <w:rPr>
          <w:lang w:val="en-CA"/>
        </w:rPr>
        <w:t xml:space="preserve"> order naming B as the person believed to be in possession of the property </w:t>
      </w:r>
      <w:r w:rsidR="00C57C24" w:rsidRPr="00AF78D8">
        <w:rPr>
          <w:lang w:val="en-CA"/>
        </w:rPr>
        <w:t xml:space="preserve">is </w:t>
      </w:r>
      <w:r w:rsidRPr="00AF78D8">
        <w:rPr>
          <w:lang w:val="en-CA"/>
        </w:rPr>
        <w:t>rendered.</w:t>
      </w:r>
      <w:r w:rsidR="002C5EF7" w:rsidRPr="00AF78D8">
        <w:rPr>
          <w:lang w:val="en-CA"/>
        </w:rPr>
        <w:t xml:space="preserve"> </w:t>
      </w:r>
      <w:r w:rsidRPr="00AF78D8">
        <w:rPr>
          <w:lang w:val="en-CA"/>
        </w:rPr>
        <w:t xml:space="preserve">The </w:t>
      </w:r>
      <w:r w:rsidR="007B32E9" w:rsidRPr="00AF78D8">
        <w:rPr>
          <w:lang w:val="en-CA"/>
        </w:rPr>
        <w:t>Crown</w:t>
      </w:r>
      <w:r w:rsidRPr="00AF78D8">
        <w:rPr>
          <w:lang w:val="en-CA"/>
        </w:rPr>
        <w:t xml:space="preserve"> cannot apply for the forfeiture of B</w:t>
      </w:r>
      <w:r w:rsidR="002C5EF7" w:rsidRPr="00AF78D8">
        <w:rPr>
          <w:lang w:val="en-CA"/>
        </w:rPr>
        <w:t>’</w:t>
      </w:r>
      <w:r w:rsidRPr="00AF78D8">
        <w:rPr>
          <w:lang w:val="en-CA"/>
        </w:rPr>
        <w:t>s residence</w:t>
      </w:r>
      <w:r w:rsidR="002C5EF7" w:rsidRPr="00AF78D8">
        <w:rPr>
          <w:lang w:val="en-CA"/>
        </w:rPr>
        <w:t>,</w:t>
      </w:r>
      <w:r w:rsidRPr="00AF78D8">
        <w:rPr>
          <w:lang w:val="en-CA"/>
        </w:rPr>
        <w:t xml:space="preserve"> which the evidence shows was used by B for </w:t>
      </w:r>
      <w:r w:rsidR="002C5EF7" w:rsidRPr="00AF78D8">
        <w:rPr>
          <w:lang w:val="en-CA"/>
        </w:rPr>
        <w:t xml:space="preserve">the </w:t>
      </w:r>
      <w:r w:rsidRPr="00AF78D8">
        <w:rPr>
          <w:lang w:val="en-CA"/>
        </w:rPr>
        <w:t>storage of Schedule III and IV substances for the purpose of trafficking</w:t>
      </w:r>
      <w:r w:rsidR="002C5EF7" w:rsidRPr="00AF78D8">
        <w:rPr>
          <w:lang w:val="en-CA"/>
        </w:rPr>
        <w:t>,</w:t>
      </w:r>
      <w:r w:rsidRPr="00AF78D8">
        <w:rPr>
          <w:lang w:val="en-CA"/>
        </w:rPr>
        <w:t xml:space="preserve"> because B was acquitted of the offence </w:t>
      </w:r>
      <w:r w:rsidR="00C57C24" w:rsidRPr="00AF78D8">
        <w:rPr>
          <w:lang w:val="en-CA"/>
        </w:rPr>
        <w:t xml:space="preserve">for </w:t>
      </w:r>
      <w:r w:rsidRPr="00AF78D8">
        <w:rPr>
          <w:lang w:val="en-CA"/>
        </w:rPr>
        <w:t>which A was convicted.</w:t>
      </w:r>
    </w:p>
    <w:p w:rsidR="00B605C3" w:rsidRPr="00AF78D8" w:rsidRDefault="00313F2F" w:rsidP="000748F5">
      <w:pPr>
        <w:pStyle w:val="Paragraphe"/>
        <w:tabs>
          <w:tab w:val="clear" w:pos="360"/>
          <w:tab w:val="num" w:pos="709"/>
        </w:tabs>
        <w:spacing w:line="240" w:lineRule="auto"/>
        <w:rPr>
          <w:lang w:val="en-CA"/>
        </w:rPr>
      </w:pPr>
      <w:r w:rsidRPr="00AF78D8">
        <w:rPr>
          <w:lang w:val="en-CA"/>
        </w:rPr>
        <w:t xml:space="preserve">The applicants </w:t>
      </w:r>
      <w:r w:rsidR="002C5EF7" w:rsidRPr="00AF78D8">
        <w:rPr>
          <w:lang w:val="en-CA"/>
        </w:rPr>
        <w:t>take issue</w:t>
      </w:r>
      <w:r w:rsidRPr="00AF78D8">
        <w:rPr>
          <w:lang w:val="en-CA"/>
        </w:rPr>
        <w:t xml:space="preserve"> with some aspects of the reasoning of the Court of Appeal in </w:t>
      </w:r>
      <w:r w:rsidRPr="00AF78D8">
        <w:rPr>
          <w:i/>
          <w:lang w:val="en-CA"/>
        </w:rPr>
        <w:t>Vellone</w:t>
      </w:r>
      <w:r w:rsidRPr="00AF78D8">
        <w:rPr>
          <w:lang w:val="en-CA"/>
        </w:rPr>
        <w:t>.</w:t>
      </w:r>
      <w:r w:rsidR="00B605C3" w:rsidRPr="00AF78D8">
        <w:rPr>
          <w:rStyle w:val="Appelnotedebasdep"/>
          <w:lang w:val="en-CA"/>
        </w:rPr>
        <w:footnoteReference w:id="46"/>
      </w:r>
    </w:p>
    <w:p w:rsidR="00B605C3" w:rsidRPr="00AF78D8" w:rsidRDefault="00313F2F" w:rsidP="000748F5">
      <w:pPr>
        <w:pStyle w:val="Paragraphe"/>
        <w:tabs>
          <w:tab w:val="clear" w:pos="360"/>
          <w:tab w:val="num" w:pos="709"/>
        </w:tabs>
        <w:spacing w:line="240" w:lineRule="auto"/>
        <w:rPr>
          <w:lang w:val="en-CA"/>
        </w:rPr>
      </w:pPr>
      <w:r w:rsidRPr="00AF78D8">
        <w:rPr>
          <w:lang w:val="en-CA"/>
        </w:rPr>
        <w:t xml:space="preserve">For example, the applicants contest that in the case of an acquittal, </w:t>
      </w:r>
      <w:r w:rsidR="00FD1539">
        <w:rPr>
          <w:lang w:val="en-CA"/>
        </w:rPr>
        <w:t xml:space="preserve">whether or not resulting from </w:t>
      </w:r>
      <w:r w:rsidRPr="00AF78D8">
        <w:rPr>
          <w:lang w:val="en-CA"/>
        </w:rPr>
        <w:t xml:space="preserve">a constitutional remedy, s. 16(2) </w:t>
      </w:r>
      <w:r w:rsidRPr="00AF78D8">
        <w:rPr>
          <w:i/>
          <w:lang w:val="en-CA"/>
        </w:rPr>
        <w:t xml:space="preserve">CDSA </w:t>
      </w:r>
      <w:r w:rsidRPr="00AF78D8">
        <w:rPr>
          <w:lang w:val="en-CA"/>
        </w:rPr>
        <w:t>can serve as a basis for a</w:t>
      </w:r>
      <w:r w:rsidR="00FD1539">
        <w:rPr>
          <w:lang w:val="en-CA"/>
        </w:rPr>
        <w:t>n order of</w:t>
      </w:r>
      <w:r w:rsidRPr="00AF78D8">
        <w:rPr>
          <w:lang w:val="en-CA"/>
        </w:rPr>
        <w:t xml:space="preserve"> forfeiture of the residence. </w:t>
      </w:r>
    </w:p>
    <w:p w:rsidR="00B605C3" w:rsidRPr="00AF78D8" w:rsidRDefault="002D486A" w:rsidP="000748F5">
      <w:pPr>
        <w:pStyle w:val="Paragraphe"/>
        <w:tabs>
          <w:tab w:val="clear" w:pos="360"/>
          <w:tab w:val="num" w:pos="709"/>
        </w:tabs>
        <w:spacing w:line="240" w:lineRule="auto"/>
        <w:rPr>
          <w:lang w:val="en-CA"/>
        </w:rPr>
      </w:pPr>
      <w:r w:rsidRPr="00AF78D8">
        <w:rPr>
          <w:lang w:val="en-CA"/>
        </w:rPr>
        <w:t>They also take issue with the Court of Appeal’s statement that the application for forfeiture is more akin to a civil proce</w:t>
      </w:r>
      <w:r w:rsidR="00FD1539">
        <w:rPr>
          <w:lang w:val="en-CA"/>
        </w:rPr>
        <w:t>e</w:t>
      </w:r>
      <w:r w:rsidRPr="00AF78D8">
        <w:rPr>
          <w:lang w:val="en-CA"/>
        </w:rPr>
        <w:t>d</w:t>
      </w:r>
      <w:r w:rsidR="00FD1539">
        <w:rPr>
          <w:lang w:val="en-CA"/>
        </w:rPr>
        <w:t>ing</w:t>
      </w:r>
      <w:r w:rsidRPr="00AF78D8">
        <w:rPr>
          <w:lang w:val="en-CA"/>
        </w:rPr>
        <w:t xml:space="preserve"> than a criminal one.</w:t>
      </w:r>
    </w:p>
    <w:p w:rsidR="00B605C3" w:rsidRPr="00AF78D8" w:rsidRDefault="002D486A" w:rsidP="000748F5">
      <w:pPr>
        <w:pStyle w:val="Paragraphe"/>
        <w:tabs>
          <w:tab w:val="clear" w:pos="360"/>
          <w:tab w:val="num" w:pos="709"/>
        </w:tabs>
        <w:spacing w:line="240" w:lineRule="auto"/>
        <w:rPr>
          <w:lang w:val="en-CA"/>
        </w:rPr>
      </w:pPr>
      <w:r w:rsidRPr="00AF78D8">
        <w:rPr>
          <w:lang w:val="en-CA"/>
        </w:rPr>
        <w:t>The Court notes that</w:t>
      </w:r>
      <w:r w:rsidR="00FD1539">
        <w:rPr>
          <w:lang w:val="en-CA"/>
        </w:rPr>
        <w:t>,</w:t>
      </w:r>
      <w:r w:rsidRPr="00AF78D8">
        <w:rPr>
          <w:lang w:val="en-CA"/>
        </w:rPr>
        <w:t xml:space="preserve"> </w:t>
      </w:r>
      <w:r w:rsidR="00292772" w:rsidRPr="00AF78D8">
        <w:rPr>
          <w:lang w:val="en-CA"/>
        </w:rPr>
        <w:t>at the time of their submissions</w:t>
      </w:r>
      <w:r w:rsidR="00FD1539">
        <w:rPr>
          <w:lang w:val="en-CA"/>
        </w:rPr>
        <w:t>,</w:t>
      </w:r>
      <w:r w:rsidR="00292772" w:rsidRPr="00AF78D8">
        <w:rPr>
          <w:lang w:val="en-CA"/>
        </w:rPr>
        <w:t xml:space="preserve"> </w:t>
      </w:r>
      <w:r w:rsidRPr="00AF78D8">
        <w:rPr>
          <w:lang w:val="en-CA"/>
        </w:rPr>
        <w:t xml:space="preserve">the applicants did not know that the Supreme Court of Canada would </w:t>
      </w:r>
      <w:r w:rsidR="00292772" w:rsidRPr="00AF78D8">
        <w:rPr>
          <w:lang w:val="en-CA"/>
        </w:rPr>
        <w:t xml:space="preserve">refuse </w:t>
      </w:r>
      <w:r w:rsidRPr="00AF78D8">
        <w:rPr>
          <w:lang w:val="en-CA"/>
        </w:rPr>
        <w:t>leave to appeal</w:t>
      </w:r>
      <w:r w:rsidR="00AC580D" w:rsidRPr="00AF78D8">
        <w:rPr>
          <w:lang w:val="en-CA"/>
        </w:rPr>
        <w:t xml:space="preserve"> in</w:t>
      </w:r>
      <w:r w:rsidRPr="00AF78D8">
        <w:rPr>
          <w:lang w:val="en-CA"/>
        </w:rPr>
        <w:t xml:space="preserve"> </w:t>
      </w:r>
      <w:r w:rsidRPr="00AF78D8">
        <w:rPr>
          <w:i/>
          <w:lang w:val="en-CA"/>
        </w:rPr>
        <w:t>Vellone</w:t>
      </w:r>
      <w:r w:rsidRPr="00AF78D8">
        <w:rPr>
          <w:lang w:val="en-CA"/>
        </w:rPr>
        <w:t>.</w:t>
      </w:r>
      <w:r w:rsidRPr="00AF78D8">
        <w:rPr>
          <w:rStyle w:val="Appelnotedebasdep"/>
          <w:lang w:val="en-CA"/>
        </w:rPr>
        <w:footnoteReference w:id="47"/>
      </w:r>
    </w:p>
    <w:p w:rsidR="00D23172" w:rsidRPr="00AF78D8" w:rsidRDefault="002D486A" w:rsidP="000748F5">
      <w:pPr>
        <w:pStyle w:val="Paragraphe"/>
        <w:tabs>
          <w:tab w:val="clear" w:pos="360"/>
          <w:tab w:val="num" w:pos="709"/>
        </w:tabs>
        <w:spacing w:line="240" w:lineRule="auto"/>
        <w:rPr>
          <w:lang w:val="en-CA"/>
        </w:rPr>
      </w:pPr>
      <w:r w:rsidRPr="00AF78D8">
        <w:rPr>
          <w:lang w:val="en-CA"/>
        </w:rPr>
        <w:t xml:space="preserve">The Court of Appeal noted that the immovable owned by Mr. Vellone could very well have belonged to a third party who </w:t>
      </w:r>
      <w:r w:rsidR="00292772" w:rsidRPr="00AF78D8">
        <w:rPr>
          <w:lang w:val="en-CA"/>
        </w:rPr>
        <w:t xml:space="preserve">had never </w:t>
      </w:r>
      <w:r w:rsidR="00660532">
        <w:rPr>
          <w:lang w:val="en-CA"/>
        </w:rPr>
        <w:t xml:space="preserve">been the subject of </w:t>
      </w:r>
      <w:r w:rsidRPr="00AF78D8">
        <w:rPr>
          <w:lang w:val="en-CA"/>
        </w:rPr>
        <w:t>criminal charges.</w:t>
      </w:r>
      <w:r w:rsidR="00D23172" w:rsidRPr="00AF78D8">
        <w:rPr>
          <w:rStyle w:val="Appelnotedebasdep"/>
          <w:lang w:val="en-CA"/>
        </w:rPr>
        <w:footnoteReference w:id="48"/>
      </w:r>
    </w:p>
    <w:p w:rsidR="00D23172" w:rsidRPr="00AF78D8" w:rsidRDefault="002D486A" w:rsidP="000748F5">
      <w:pPr>
        <w:pStyle w:val="Paragraphe"/>
        <w:tabs>
          <w:tab w:val="clear" w:pos="360"/>
          <w:tab w:val="num" w:pos="709"/>
        </w:tabs>
        <w:spacing w:line="240" w:lineRule="auto"/>
        <w:rPr>
          <w:lang w:val="en-CA"/>
        </w:rPr>
      </w:pPr>
      <w:r w:rsidRPr="00AF78D8">
        <w:rPr>
          <w:lang w:val="en-CA"/>
        </w:rPr>
        <w:lastRenderedPageBreak/>
        <w:t xml:space="preserve">The applicants rely on </w:t>
      </w:r>
      <w:r w:rsidRPr="00AF78D8">
        <w:rPr>
          <w:i/>
          <w:lang w:val="en-CA"/>
        </w:rPr>
        <w:t>Collins</w:t>
      </w:r>
      <w:r w:rsidRPr="00AF78D8">
        <w:rPr>
          <w:rStyle w:val="Appelnotedebasdep"/>
          <w:lang w:val="en-CA"/>
        </w:rPr>
        <w:footnoteReference w:id="49"/>
      </w:r>
      <w:r w:rsidRPr="00AF78D8">
        <w:rPr>
          <w:lang w:val="en-CA"/>
        </w:rPr>
        <w:t xml:space="preserve"> to </w:t>
      </w:r>
      <w:r w:rsidR="002C5EF7" w:rsidRPr="00AF78D8">
        <w:rPr>
          <w:lang w:val="en-CA"/>
        </w:rPr>
        <w:t>argue</w:t>
      </w:r>
      <w:r w:rsidRPr="00AF78D8">
        <w:rPr>
          <w:lang w:val="en-CA"/>
        </w:rPr>
        <w:t xml:space="preserve"> that when an accused is acquitted, the property should be returned</w:t>
      </w:r>
      <w:r w:rsidR="00660532">
        <w:rPr>
          <w:lang w:val="en-CA"/>
        </w:rPr>
        <w:t>.</w:t>
      </w:r>
      <w:r w:rsidR="004B62AC" w:rsidRPr="00AF78D8">
        <w:rPr>
          <w:lang w:val="en-CA"/>
        </w:rPr>
        <w:t xml:space="preserve"> </w:t>
      </w:r>
      <w:r w:rsidR="00660532">
        <w:rPr>
          <w:lang w:val="en-CA"/>
        </w:rPr>
        <w:t>I</w:t>
      </w:r>
      <w:r w:rsidRPr="00AF78D8">
        <w:rPr>
          <w:lang w:val="en-CA"/>
        </w:rPr>
        <w:t xml:space="preserve">n that case, </w:t>
      </w:r>
      <w:r w:rsidR="00660532">
        <w:rPr>
          <w:lang w:val="en-CA"/>
        </w:rPr>
        <w:t>the property</w:t>
      </w:r>
      <w:r w:rsidR="004B62AC" w:rsidRPr="00AF78D8">
        <w:rPr>
          <w:lang w:val="en-CA"/>
        </w:rPr>
        <w:t xml:space="preserve"> was </w:t>
      </w:r>
      <w:r w:rsidRPr="00AF78D8">
        <w:rPr>
          <w:lang w:val="en-CA"/>
        </w:rPr>
        <w:t>money.</w:t>
      </w:r>
    </w:p>
    <w:p w:rsidR="00D23172" w:rsidRPr="00AF78D8" w:rsidRDefault="002D486A" w:rsidP="000748F5">
      <w:pPr>
        <w:pStyle w:val="Paragraphe"/>
        <w:tabs>
          <w:tab w:val="clear" w:pos="360"/>
          <w:tab w:val="num" w:pos="709"/>
        </w:tabs>
        <w:spacing w:line="240" w:lineRule="auto"/>
        <w:rPr>
          <w:lang w:val="en-CA"/>
        </w:rPr>
      </w:pPr>
      <w:r w:rsidRPr="00AF78D8">
        <w:rPr>
          <w:lang w:val="en-CA"/>
        </w:rPr>
        <w:t xml:space="preserve">The Court </w:t>
      </w:r>
      <w:r w:rsidR="00660532">
        <w:rPr>
          <w:lang w:val="en-CA"/>
        </w:rPr>
        <w:t>notes</w:t>
      </w:r>
      <w:r w:rsidRPr="00AF78D8">
        <w:rPr>
          <w:lang w:val="en-CA"/>
        </w:rPr>
        <w:t xml:space="preserve"> that Mr. Collins and his co-accused were all acquitted, that the money was related to offences of which</w:t>
      </w:r>
      <w:r w:rsidR="004B62AC" w:rsidRPr="00AF78D8">
        <w:rPr>
          <w:lang w:val="en-CA"/>
        </w:rPr>
        <w:t xml:space="preserve"> they</w:t>
      </w:r>
      <w:r w:rsidRPr="00AF78D8">
        <w:rPr>
          <w:lang w:val="en-CA"/>
        </w:rPr>
        <w:t xml:space="preserve"> had been acquitted</w:t>
      </w:r>
      <w:r w:rsidR="00660532">
        <w:rPr>
          <w:lang w:val="en-CA"/>
        </w:rPr>
        <w:t>,</w:t>
      </w:r>
      <w:r w:rsidRPr="00AF78D8">
        <w:rPr>
          <w:lang w:val="en-CA"/>
        </w:rPr>
        <w:t xml:space="preserve"> and </w:t>
      </w:r>
      <w:r w:rsidR="00660532">
        <w:rPr>
          <w:lang w:val="en-CA"/>
        </w:rPr>
        <w:t xml:space="preserve">that </w:t>
      </w:r>
      <w:r w:rsidR="001B7293" w:rsidRPr="00AF78D8">
        <w:rPr>
          <w:lang w:val="en-CA"/>
        </w:rPr>
        <w:t xml:space="preserve">there was </w:t>
      </w:r>
      <w:r w:rsidRPr="00AF78D8">
        <w:rPr>
          <w:lang w:val="en-CA"/>
        </w:rPr>
        <w:t xml:space="preserve">no provision in the </w:t>
      </w:r>
      <w:r w:rsidRPr="00AF78D8">
        <w:rPr>
          <w:i/>
          <w:lang w:val="en-CA"/>
        </w:rPr>
        <w:t>Narcotic Control Act</w:t>
      </w:r>
      <w:r w:rsidRPr="00AF78D8">
        <w:rPr>
          <w:lang w:val="en-CA"/>
        </w:rPr>
        <w:t xml:space="preserve"> </w:t>
      </w:r>
      <w:r w:rsidR="00660532">
        <w:rPr>
          <w:lang w:val="en-CA"/>
        </w:rPr>
        <w:t>at</w:t>
      </w:r>
      <w:r w:rsidRPr="00AF78D8">
        <w:rPr>
          <w:lang w:val="en-CA"/>
        </w:rPr>
        <w:t xml:space="preserve"> the time similar to s. 16(2) </w:t>
      </w:r>
      <w:r w:rsidRPr="00AF78D8">
        <w:rPr>
          <w:i/>
          <w:lang w:val="en-CA"/>
        </w:rPr>
        <w:t>CDSA</w:t>
      </w:r>
      <w:r w:rsidRPr="00AF78D8">
        <w:rPr>
          <w:lang w:val="en-CA"/>
        </w:rPr>
        <w:t>.</w:t>
      </w:r>
    </w:p>
    <w:p w:rsidR="00D23172" w:rsidRPr="00AF78D8" w:rsidRDefault="002D486A" w:rsidP="000748F5">
      <w:pPr>
        <w:pStyle w:val="Paragraphe"/>
        <w:tabs>
          <w:tab w:val="clear" w:pos="360"/>
          <w:tab w:val="num" w:pos="709"/>
        </w:tabs>
        <w:spacing w:line="240" w:lineRule="auto"/>
        <w:rPr>
          <w:lang w:val="en-CA"/>
        </w:rPr>
      </w:pPr>
      <w:r w:rsidRPr="00AF78D8">
        <w:rPr>
          <w:lang w:val="en-CA"/>
        </w:rPr>
        <w:t xml:space="preserve">The applicants also submit </w:t>
      </w:r>
      <w:r w:rsidRPr="00AF78D8">
        <w:rPr>
          <w:i/>
          <w:lang w:val="en-CA"/>
        </w:rPr>
        <w:t>Perello</w:t>
      </w:r>
      <w:r w:rsidRPr="00AF78D8">
        <w:rPr>
          <w:lang w:val="en-CA"/>
        </w:rPr>
        <w:t>.</w:t>
      </w:r>
      <w:r w:rsidRPr="00AF78D8">
        <w:rPr>
          <w:rStyle w:val="Appelnotedebasdep"/>
          <w:lang w:val="en-CA"/>
        </w:rPr>
        <w:footnoteReference w:id="50"/>
      </w:r>
      <w:r w:rsidRPr="00AF78D8">
        <w:rPr>
          <w:lang w:val="en-CA"/>
        </w:rPr>
        <w:t xml:space="preserve"> Mr. </w:t>
      </w:r>
      <w:r w:rsidRPr="00AF78D8">
        <w:rPr>
          <w:iCs/>
          <w:lang w:val="en-CA"/>
        </w:rPr>
        <w:t>Perello</w:t>
      </w:r>
      <w:r w:rsidRPr="00AF78D8">
        <w:rPr>
          <w:lang w:val="en-CA"/>
        </w:rPr>
        <w:t xml:space="preserve"> was charged and acquitted of possession of psilocybin, </w:t>
      </w:r>
      <w:r w:rsidR="00660532">
        <w:rPr>
          <w:lang w:val="en-CA"/>
        </w:rPr>
        <w:t xml:space="preserve">of </w:t>
      </w:r>
      <w:r w:rsidRPr="00AF78D8">
        <w:rPr>
          <w:lang w:val="en-CA"/>
        </w:rPr>
        <w:t xml:space="preserve">possession of $55,000, and </w:t>
      </w:r>
      <w:r w:rsidR="00660532">
        <w:rPr>
          <w:lang w:val="en-CA"/>
        </w:rPr>
        <w:t xml:space="preserve">of having </w:t>
      </w:r>
      <w:r w:rsidRPr="00AF78D8">
        <w:rPr>
          <w:lang w:val="en-CA"/>
        </w:rPr>
        <w:t>transport</w:t>
      </w:r>
      <w:r w:rsidR="00660532">
        <w:rPr>
          <w:lang w:val="en-CA"/>
        </w:rPr>
        <w:t>ed</w:t>
      </w:r>
      <w:r w:rsidRPr="00AF78D8">
        <w:rPr>
          <w:lang w:val="en-CA"/>
        </w:rPr>
        <w:t xml:space="preserve"> or otherwise disposed of $55,000 with intent to conceal or convert </w:t>
      </w:r>
      <w:r w:rsidR="001B7293" w:rsidRPr="00AF78D8">
        <w:rPr>
          <w:lang w:val="en-CA"/>
        </w:rPr>
        <w:t xml:space="preserve">it </w:t>
      </w:r>
      <w:r w:rsidRPr="00AF78D8">
        <w:rPr>
          <w:lang w:val="en-CA"/>
        </w:rPr>
        <w:t xml:space="preserve">knowing that </w:t>
      </w:r>
      <w:r w:rsidR="001B7293" w:rsidRPr="00AF78D8">
        <w:rPr>
          <w:lang w:val="en-CA"/>
        </w:rPr>
        <w:t>it was</w:t>
      </w:r>
      <w:r w:rsidRPr="00AF78D8">
        <w:rPr>
          <w:lang w:val="en-CA"/>
        </w:rPr>
        <w:t xml:space="preserve"> obtained or derived as a result of the commission of an offence.</w:t>
      </w:r>
    </w:p>
    <w:p w:rsidR="00DE0B48" w:rsidRPr="00AF78D8" w:rsidRDefault="002D486A" w:rsidP="000748F5">
      <w:pPr>
        <w:pStyle w:val="Paragraphe"/>
        <w:tabs>
          <w:tab w:val="clear" w:pos="360"/>
          <w:tab w:val="num" w:pos="709"/>
        </w:tabs>
        <w:spacing w:line="240" w:lineRule="auto"/>
        <w:rPr>
          <w:lang w:val="en-CA"/>
        </w:rPr>
      </w:pPr>
      <w:r w:rsidRPr="00AF78D8">
        <w:rPr>
          <w:lang w:val="en-CA"/>
        </w:rPr>
        <w:t>The Court dismissed the application for forfeiture for three reasons.</w:t>
      </w:r>
      <w:r w:rsidR="00DE0B48" w:rsidRPr="00AF78D8">
        <w:rPr>
          <w:lang w:val="en-CA"/>
        </w:rPr>
        <w:t xml:space="preserve"> </w:t>
      </w:r>
      <w:r w:rsidRPr="00AF78D8">
        <w:rPr>
          <w:lang w:val="en-CA"/>
        </w:rPr>
        <w:t xml:space="preserve">The first </w:t>
      </w:r>
      <w:r w:rsidR="00C80C63" w:rsidRPr="00AF78D8">
        <w:rPr>
          <w:lang w:val="en-CA"/>
        </w:rPr>
        <w:t xml:space="preserve">was </w:t>
      </w:r>
      <w:r w:rsidRPr="00AF78D8">
        <w:rPr>
          <w:lang w:val="en-CA"/>
        </w:rPr>
        <w:t>that the money was illegally seized during a roadside search of his vehicle.</w:t>
      </w:r>
      <w:r w:rsidR="00DE0B48" w:rsidRPr="00AF78D8">
        <w:rPr>
          <w:lang w:val="en-CA"/>
        </w:rPr>
        <w:t xml:space="preserve"> </w:t>
      </w:r>
      <w:r w:rsidRPr="00AF78D8">
        <w:rPr>
          <w:lang w:val="en-CA"/>
        </w:rPr>
        <w:t xml:space="preserve">The second </w:t>
      </w:r>
      <w:r w:rsidR="00142A15" w:rsidRPr="00AF78D8">
        <w:rPr>
          <w:lang w:val="en-CA"/>
        </w:rPr>
        <w:t xml:space="preserve">was </w:t>
      </w:r>
      <w:r w:rsidRPr="00AF78D8">
        <w:rPr>
          <w:lang w:val="en-CA"/>
        </w:rPr>
        <w:t>that he was acquitted of the three offences.</w:t>
      </w:r>
      <w:r w:rsidR="00DE0B48" w:rsidRPr="00AF78D8">
        <w:rPr>
          <w:lang w:val="en-CA"/>
        </w:rPr>
        <w:t xml:space="preserve"> </w:t>
      </w:r>
      <w:r w:rsidR="003400ED">
        <w:rPr>
          <w:lang w:val="en-CA"/>
        </w:rPr>
        <w:t>Last</w:t>
      </w:r>
      <w:r w:rsidRPr="00AF78D8">
        <w:rPr>
          <w:lang w:val="en-CA"/>
        </w:rPr>
        <w:t xml:space="preserve">, the trial judge </w:t>
      </w:r>
      <w:r w:rsidR="003400ED">
        <w:rPr>
          <w:lang w:val="en-CA"/>
        </w:rPr>
        <w:t xml:space="preserve">found </w:t>
      </w:r>
      <w:r w:rsidRPr="00AF78D8">
        <w:rPr>
          <w:lang w:val="en-CA"/>
        </w:rPr>
        <w:t xml:space="preserve">that the seized funds could only be proceeds of crime if Mr. Perello </w:t>
      </w:r>
      <w:r w:rsidR="003400ED">
        <w:rPr>
          <w:lang w:val="en-CA"/>
        </w:rPr>
        <w:t>had been</w:t>
      </w:r>
      <w:r w:rsidRPr="00AF78D8">
        <w:rPr>
          <w:lang w:val="en-CA"/>
        </w:rPr>
        <w:t xml:space="preserve"> involved in growing or selling mari</w:t>
      </w:r>
      <w:r w:rsidR="00374F00" w:rsidRPr="00AF78D8">
        <w:rPr>
          <w:lang w:val="en-CA"/>
        </w:rPr>
        <w:t>j</w:t>
      </w:r>
      <w:r w:rsidRPr="00AF78D8">
        <w:rPr>
          <w:lang w:val="en-CA"/>
        </w:rPr>
        <w:t>uana.</w:t>
      </w:r>
      <w:r w:rsidR="00DE0B48" w:rsidRPr="00AF78D8">
        <w:rPr>
          <w:lang w:val="en-CA"/>
        </w:rPr>
        <w:t xml:space="preserve"> </w:t>
      </w:r>
    </w:p>
    <w:p w:rsidR="00DE0B48" w:rsidRPr="00AF78D8" w:rsidRDefault="002D486A" w:rsidP="000748F5">
      <w:pPr>
        <w:pStyle w:val="Paragraphe"/>
        <w:tabs>
          <w:tab w:val="clear" w:pos="360"/>
          <w:tab w:val="num" w:pos="709"/>
        </w:tabs>
        <w:spacing w:line="240" w:lineRule="auto"/>
        <w:rPr>
          <w:lang w:val="en-CA"/>
        </w:rPr>
      </w:pPr>
      <w:r w:rsidRPr="00AF78D8">
        <w:rPr>
          <w:lang w:val="en-CA"/>
        </w:rPr>
        <w:t xml:space="preserve">The Court shares the judge’s view that it was it was simply not </w:t>
      </w:r>
      <w:r w:rsidR="00374F00" w:rsidRPr="00AF78D8">
        <w:rPr>
          <w:lang w:val="en-CA"/>
        </w:rPr>
        <w:t>available to</w:t>
      </w:r>
      <w:r w:rsidRPr="00AF78D8">
        <w:rPr>
          <w:lang w:val="en-CA"/>
        </w:rPr>
        <w:t xml:space="preserve"> her to conclude on the same evidence that the money was tainted by illegality.</w:t>
      </w:r>
    </w:p>
    <w:p w:rsidR="00DE0B48" w:rsidRPr="00AF78D8" w:rsidRDefault="002D486A" w:rsidP="000748F5">
      <w:pPr>
        <w:pStyle w:val="Paragraphe"/>
        <w:tabs>
          <w:tab w:val="clear" w:pos="360"/>
          <w:tab w:val="num" w:pos="709"/>
        </w:tabs>
        <w:spacing w:line="240" w:lineRule="auto"/>
        <w:rPr>
          <w:lang w:val="en-CA"/>
        </w:rPr>
      </w:pPr>
      <w:r w:rsidRPr="00AF78D8">
        <w:rPr>
          <w:lang w:val="en-CA"/>
        </w:rPr>
        <w:t xml:space="preserve">Because of these circumstances, </w:t>
      </w:r>
      <w:r w:rsidR="003400ED">
        <w:rPr>
          <w:lang w:val="en-CA"/>
        </w:rPr>
        <w:t>that</w:t>
      </w:r>
      <w:r w:rsidRPr="00AF78D8">
        <w:rPr>
          <w:lang w:val="en-CA"/>
        </w:rPr>
        <w:t xml:space="preserve"> judgment </w:t>
      </w:r>
      <w:r w:rsidR="00C741D3" w:rsidRPr="00AF78D8">
        <w:rPr>
          <w:lang w:val="en-CA"/>
        </w:rPr>
        <w:t xml:space="preserve">provides no </w:t>
      </w:r>
      <w:r w:rsidR="003400ED">
        <w:rPr>
          <w:lang w:val="en-CA"/>
        </w:rPr>
        <w:t>guidance</w:t>
      </w:r>
      <w:r w:rsidR="00C741D3" w:rsidRPr="00AF78D8">
        <w:rPr>
          <w:lang w:val="en-CA"/>
        </w:rPr>
        <w:t xml:space="preserve"> t</w:t>
      </w:r>
      <w:r w:rsidRPr="00AF78D8">
        <w:rPr>
          <w:lang w:val="en-CA"/>
        </w:rPr>
        <w:t>o the Court</w:t>
      </w:r>
      <w:r w:rsidR="003400ED">
        <w:rPr>
          <w:lang w:val="en-CA"/>
        </w:rPr>
        <w:t>,</w:t>
      </w:r>
      <w:r w:rsidRPr="00AF78D8">
        <w:rPr>
          <w:lang w:val="en-CA"/>
        </w:rPr>
        <w:t xml:space="preserve"> given the issues raised.</w:t>
      </w:r>
    </w:p>
    <w:p w:rsidR="00DE0B48" w:rsidRPr="00AF78D8" w:rsidRDefault="002D486A" w:rsidP="000748F5">
      <w:pPr>
        <w:pStyle w:val="Paragraphe"/>
        <w:tabs>
          <w:tab w:val="clear" w:pos="360"/>
          <w:tab w:val="num" w:pos="709"/>
        </w:tabs>
        <w:spacing w:line="240" w:lineRule="auto"/>
        <w:rPr>
          <w:lang w:val="en-CA"/>
        </w:rPr>
      </w:pPr>
      <w:r w:rsidRPr="00AF78D8">
        <w:rPr>
          <w:lang w:val="en-CA"/>
        </w:rPr>
        <w:t>The Court of Appeal for Saskatchewan did not convict a co</w:t>
      </w:r>
      <w:r w:rsidR="002C5EF7" w:rsidRPr="00AF78D8">
        <w:rPr>
          <w:lang w:val="en-CA"/>
        </w:rPr>
        <w:t>-</w:t>
      </w:r>
      <w:r w:rsidRPr="00AF78D8">
        <w:rPr>
          <w:lang w:val="en-CA"/>
        </w:rPr>
        <w:t>accused.</w:t>
      </w:r>
      <w:r w:rsidR="00DE0B48" w:rsidRPr="00AF78D8">
        <w:rPr>
          <w:lang w:val="en-CA"/>
        </w:rPr>
        <w:t xml:space="preserve"> </w:t>
      </w:r>
      <w:r w:rsidRPr="00AF78D8">
        <w:rPr>
          <w:lang w:val="en-CA"/>
        </w:rPr>
        <w:t xml:space="preserve">It had already decided that the property </w:t>
      </w:r>
      <w:r w:rsidR="00592EBC" w:rsidRPr="00AF78D8">
        <w:rPr>
          <w:lang w:val="en-CA"/>
        </w:rPr>
        <w:t xml:space="preserve">was </w:t>
      </w:r>
      <w:r w:rsidRPr="00AF78D8">
        <w:rPr>
          <w:lang w:val="en-CA"/>
        </w:rPr>
        <w:t xml:space="preserve">not </w:t>
      </w:r>
      <w:r w:rsidR="00592EBC" w:rsidRPr="00AF78D8">
        <w:rPr>
          <w:lang w:val="en-CA"/>
        </w:rPr>
        <w:t xml:space="preserve">used in </w:t>
      </w:r>
      <w:r w:rsidRPr="00AF78D8">
        <w:rPr>
          <w:lang w:val="en-CA"/>
        </w:rPr>
        <w:t xml:space="preserve">or obtained </w:t>
      </w:r>
      <w:r w:rsidR="00592EBC" w:rsidRPr="00AF78D8">
        <w:rPr>
          <w:lang w:val="en-CA"/>
        </w:rPr>
        <w:t>from</w:t>
      </w:r>
      <w:r w:rsidRPr="00AF78D8">
        <w:rPr>
          <w:lang w:val="en-CA"/>
        </w:rPr>
        <w:t xml:space="preserve"> the commission of an offence</w:t>
      </w:r>
      <w:r w:rsidR="003400ED">
        <w:rPr>
          <w:lang w:val="en-CA"/>
        </w:rPr>
        <w:t>,</w:t>
      </w:r>
      <w:r w:rsidRPr="00AF78D8">
        <w:rPr>
          <w:lang w:val="en-CA"/>
        </w:rPr>
        <w:t xml:space="preserve"> and the judge had the same evidence to decide the issue of the </w:t>
      </w:r>
      <w:r w:rsidR="00592EBC" w:rsidRPr="00AF78D8">
        <w:rPr>
          <w:lang w:val="en-CA"/>
        </w:rPr>
        <w:t xml:space="preserve">disposal </w:t>
      </w:r>
      <w:r w:rsidRPr="00AF78D8">
        <w:rPr>
          <w:lang w:val="en-CA"/>
        </w:rPr>
        <w:t>of the property.</w:t>
      </w:r>
    </w:p>
    <w:p w:rsidR="00DE0B48" w:rsidRPr="00AF78D8" w:rsidRDefault="002D486A" w:rsidP="000748F5">
      <w:pPr>
        <w:pStyle w:val="Paragraphe"/>
        <w:tabs>
          <w:tab w:val="clear" w:pos="360"/>
          <w:tab w:val="num" w:pos="709"/>
        </w:tabs>
        <w:spacing w:line="240" w:lineRule="auto"/>
        <w:rPr>
          <w:lang w:val="en-CA"/>
        </w:rPr>
      </w:pPr>
      <w:r w:rsidRPr="00AF78D8">
        <w:rPr>
          <w:lang w:val="en-CA"/>
        </w:rPr>
        <w:t>The three applicants submit that they can never be acquitted given the stay of proceedings</w:t>
      </w:r>
      <w:r w:rsidR="003400ED">
        <w:rPr>
          <w:lang w:val="en-CA"/>
        </w:rPr>
        <w:t>,</w:t>
      </w:r>
      <w:r w:rsidRPr="00AF78D8">
        <w:rPr>
          <w:lang w:val="en-CA"/>
        </w:rPr>
        <w:t xml:space="preserve"> and that this places them in </w:t>
      </w:r>
      <w:r w:rsidR="00592EBC" w:rsidRPr="00AF78D8">
        <w:rPr>
          <w:lang w:val="en-CA"/>
        </w:rPr>
        <w:t xml:space="preserve">a </w:t>
      </w:r>
      <w:r w:rsidR="00652B59" w:rsidRPr="00AF78D8">
        <w:rPr>
          <w:lang w:val="en-CA"/>
        </w:rPr>
        <w:t xml:space="preserve">worse situation </w:t>
      </w:r>
      <w:r w:rsidRPr="00AF78D8">
        <w:rPr>
          <w:lang w:val="en-CA"/>
        </w:rPr>
        <w:t>than before the stay of proceedings.</w:t>
      </w:r>
    </w:p>
    <w:p w:rsidR="00955D4C" w:rsidRPr="00AF78D8" w:rsidRDefault="00652B59" w:rsidP="000748F5">
      <w:pPr>
        <w:pStyle w:val="Paragraphe"/>
        <w:tabs>
          <w:tab w:val="clear" w:pos="360"/>
          <w:tab w:val="num" w:pos="709"/>
        </w:tabs>
        <w:spacing w:line="240" w:lineRule="auto"/>
        <w:rPr>
          <w:lang w:val="en-CA"/>
        </w:rPr>
      </w:pPr>
      <w:r w:rsidRPr="00AF78D8">
        <w:rPr>
          <w:lang w:val="en-CA"/>
        </w:rPr>
        <w:t xml:space="preserve">They are not in a worse situation than if they had property that had never been included in an indictment and the property </w:t>
      </w:r>
      <w:r w:rsidR="00E30E13" w:rsidRPr="00AF78D8">
        <w:rPr>
          <w:lang w:val="en-CA"/>
        </w:rPr>
        <w:t xml:space="preserve">had </w:t>
      </w:r>
      <w:r w:rsidRPr="00AF78D8">
        <w:rPr>
          <w:lang w:val="en-CA"/>
        </w:rPr>
        <w:t>belonged to them.</w:t>
      </w:r>
      <w:r w:rsidR="00955D4C" w:rsidRPr="00AF78D8">
        <w:rPr>
          <w:rStyle w:val="Appelnotedebasdep"/>
          <w:lang w:val="en-CA"/>
        </w:rPr>
        <w:footnoteReference w:id="51"/>
      </w:r>
    </w:p>
    <w:p w:rsidR="00955D4C" w:rsidRPr="00AF78D8" w:rsidRDefault="00395D2E" w:rsidP="000748F5">
      <w:pPr>
        <w:pStyle w:val="Paragraphe"/>
        <w:tabs>
          <w:tab w:val="clear" w:pos="360"/>
          <w:tab w:val="num" w:pos="709"/>
        </w:tabs>
        <w:spacing w:line="240" w:lineRule="auto"/>
        <w:rPr>
          <w:lang w:val="en-CA"/>
        </w:rPr>
      </w:pPr>
      <w:r w:rsidRPr="00AF78D8">
        <w:rPr>
          <w:lang w:val="en-CA"/>
        </w:rPr>
        <w:t xml:space="preserve">Section 462.37(2) </w:t>
      </w:r>
      <w:r w:rsidRPr="00AF78D8">
        <w:rPr>
          <w:i/>
          <w:iCs/>
          <w:lang w:val="en-CA"/>
        </w:rPr>
        <w:t>Cr. C</w:t>
      </w:r>
      <w:r w:rsidRPr="00AF78D8">
        <w:rPr>
          <w:lang w:val="en-CA"/>
        </w:rPr>
        <w:t xml:space="preserve">. and s. 16(2) </w:t>
      </w:r>
      <w:r w:rsidRPr="00AF78D8">
        <w:rPr>
          <w:i/>
          <w:lang w:val="en-CA"/>
        </w:rPr>
        <w:t xml:space="preserve">CDSA </w:t>
      </w:r>
      <w:r w:rsidRPr="00AF78D8">
        <w:rPr>
          <w:lang w:val="en-CA"/>
        </w:rPr>
        <w:t xml:space="preserve">are therefore procedural vehicles </w:t>
      </w:r>
      <w:r w:rsidR="00640638" w:rsidRPr="00AF78D8">
        <w:rPr>
          <w:lang w:val="en-CA"/>
        </w:rPr>
        <w:t>available</w:t>
      </w:r>
      <w:r w:rsidRPr="00AF78D8">
        <w:rPr>
          <w:lang w:val="en-CA"/>
        </w:rPr>
        <w:t xml:space="preserve"> to the Crown to seek the forfeiture of th</w:t>
      </w:r>
      <w:r w:rsidR="009F3D50" w:rsidRPr="00AF78D8">
        <w:rPr>
          <w:lang w:val="en-CA"/>
        </w:rPr>
        <w:t>e</w:t>
      </w:r>
      <w:r w:rsidRPr="00AF78D8">
        <w:rPr>
          <w:lang w:val="en-CA"/>
        </w:rPr>
        <w:t xml:space="preserve"> property.</w:t>
      </w:r>
    </w:p>
    <w:p w:rsidR="00955D4C" w:rsidRPr="00AF78D8" w:rsidRDefault="00955D4C" w:rsidP="00955D4C">
      <w:pPr>
        <w:pStyle w:val="Titre1"/>
        <w:rPr>
          <w:sz w:val="24"/>
          <w:szCs w:val="24"/>
          <w:lang w:val="en-CA"/>
        </w:rPr>
      </w:pPr>
      <w:r w:rsidRPr="00AF78D8">
        <w:rPr>
          <w:sz w:val="24"/>
          <w:szCs w:val="24"/>
          <w:lang w:val="en-CA"/>
        </w:rPr>
        <w:lastRenderedPageBreak/>
        <w:t xml:space="preserve">4) </w:t>
      </w:r>
      <w:r w:rsidR="00D25052" w:rsidRPr="00AF78D8">
        <w:rPr>
          <w:bCs/>
          <w:sz w:val="24"/>
          <w:szCs w:val="24"/>
          <w:lang w:val="en-CA"/>
        </w:rPr>
        <w:t>Does the stay of proceedings for unreasonable delay prevent the Crown from seeking the forfeiture of the property?</w:t>
      </w:r>
    </w:p>
    <w:p w:rsidR="00D23172" w:rsidRPr="00AF78D8" w:rsidRDefault="00395D2E" w:rsidP="000748F5">
      <w:pPr>
        <w:pStyle w:val="Paragraphe"/>
        <w:tabs>
          <w:tab w:val="clear" w:pos="360"/>
          <w:tab w:val="num" w:pos="709"/>
        </w:tabs>
        <w:spacing w:line="240" w:lineRule="auto"/>
        <w:rPr>
          <w:lang w:val="en-CA"/>
        </w:rPr>
      </w:pPr>
      <w:r w:rsidRPr="00AF78D8">
        <w:rPr>
          <w:lang w:val="en-CA"/>
        </w:rPr>
        <w:t>The three applicants submit that the doctrine of estoppel should apply with respect to the remedy ordered.</w:t>
      </w:r>
    </w:p>
    <w:p w:rsidR="00955D4C" w:rsidRPr="00AF78D8" w:rsidRDefault="00395D2E" w:rsidP="000748F5">
      <w:pPr>
        <w:pStyle w:val="Paragraphe"/>
        <w:tabs>
          <w:tab w:val="clear" w:pos="360"/>
          <w:tab w:val="num" w:pos="709"/>
        </w:tabs>
        <w:spacing w:line="240" w:lineRule="auto"/>
        <w:rPr>
          <w:lang w:val="en-CA"/>
        </w:rPr>
      </w:pPr>
      <w:r w:rsidRPr="00AF78D8">
        <w:rPr>
          <w:i/>
          <w:lang w:val="en-CA"/>
        </w:rPr>
        <w:t>Vellone</w:t>
      </w:r>
      <w:r w:rsidR="00374F00" w:rsidRPr="00AF78D8">
        <w:rPr>
          <w:rStyle w:val="Appelnotedebasdep"/>
          <w:lang w:val="en-CA"/>
        </w:rPr>
        <w:footnoteReference w:id="52"/>
      </w:r>
      <w:r w:rsidR="0034669F" w:rsidRPr="00AF78D8">
        <w:rPr>
          <w:iCs/>
          <w:lang w:val="en-CA"/>
        </w:rPr>
        <w:t xml:space="preserve"> did not make such a finding</w:t>
      </w:r>
      <w:r w:rsidRPr="00AF78D8">
        <w:rPr>
          <w:lang w:val="en-CA"/>
        </w:rPr>
        <w:t>.</w:t>
      </w:r>
      <w:r w:rsidR="00955D4C" w:rsidRPr="00AF78D8">
        <w:rPr>
          <w:lang w:val="en-CA"/>
        </w:rPr>
        <w:t xml:space="preserve"> </w:t>
      </w:r>
      <w:r w:rsidRPr="00AF78D8">
        <w:rPr>
          <w:lang w:val="en-CA"/>
        </w:rPr>
        <w:t xml:space="preserve">On </w:t>
      </w:r>
      <w:r w:rsidR="00E30E13" w:rsidRPr="00AF78D8">
        <w:rPr>
          <w:lang w:val="en-CA"/>
        </w:rPr>
        <w:t xml:space="preserve">the </w:t>
      </w:r>
      <w:r w:rsidRPr="00AF78D8">
        <w:rPr>
          <w:lang w:val="en-CA"/>
        </w:rPr>
        <w:t xml:space="preserve">contrary, </w:t>
      </w:r>
      <w:r w:rsidR="00E30E13" w:rsidRPr="00AF78D8">
        <w:rPr>
          <w:lang w:val="en-CA"/>
        </w:rPr>
        <w:t>it held</w:t>
      </w:r>
      <w:r w:rsidRPr="00AF78D8">
        <w:rPr>
          <w:lang w:val="en-CA"/>
        </w:rPr>
        <w:t xml:space="preserve"> that because the circumstances of the forfeiture </w:t>
      </w:r>
      <w:r w:rsidR="00E30E13" w:rsidRPr="00AF78D8">
        <w:rPr>
          <w:lang w:val="en-CA"/>
        </w:rPr>
        <w:t xml:space="preserve">were </w:t>
      </w:r>
      <w:r w:rsidRPr="00AF78D8">
        <w:rPr>
          <w:lang w:val="en-CA"/>
        </w:rPr>
        <w:t xml:space="preserve">different </w:t>
      </w:r>
      <w:r w:rsidR="00374F00" w:rsidRPr="00AF78D8">
        <w:rPr>
          <w:lang w:val="en-CA"/>
        </w:rPr>
        <w:t>from</w:t>
      </w:r>
      <w:r w:rsidRPr="00AF78D8">
        <w:rPr>
          <w:lang w:val="en-CA"/>
        </w:rPr>
        <w:t xml:space="preserve"> those of the trial, the judge was correct to conclude that </w:t>
      </w:r>
      <w:r w:rsidR="00E30E13" w:rsidRPr="00AF78D8">
        <w:rPr>
          <w:lang w:val="en-CA"/>
        </w:rPr>
        <w:t xml:space="preserve">she </w:t>
      </w:r>
      <w:r w:rsidR="003400ED">
        <w:rPr>
          <w:lang w:val="en-CA"/>
        </w:rPr>
        <w:t xml:space="preserve">could </w:t>
      </w:r>
      <w:r w:rsidRPr="00AF78D8">
        <w:rPr>
          <w:lang w:val="en-CA"/>
        </w:rPr>
        <w:t xml:space="preserve">reassess the criteria </w:t>
      </w:r>
      <w:r w:rsidR="003400ED">
        <w:rPr>
          <w:lang w:val="en-CA"/>
        </w:rPr>
        <w:t xml:space="preserve">to exclude </w:t>
      </w:r>
      <w:r w:rsidRPr="00AF78D8">
        <w:rPr>
          <w:lang w:val="en-CA"/>
        </w:rPr>
        <w:t xml:space="preserve">the evidence under 24(2) of the </w:t>
      </w:r>
      <w:r w:rsidRPr="00AF78D8">
        <w:rPr>
          <w:i/>
          <w:lang w:val="en-CA"/>
        </w:rPr>
        <w:t>Canadian Charter</w:t>
      </w:r>
      <w:r w:rsidRPr="00AF78D8">
        <w:rPr>
          <w:lang w:val="en-CA"/>
        </w:rPr>
        <w:t xml:space="preserve"> because the </w:t>
      </w:r>
      <w:r w:rsidR="00E30E13" w:rsidRPr="00AF78D8">
        <w:rPr>
          <w:lang w:val="en-CA"/>
        </w:rPr>
        <w:t>doctrine</w:t>
      </w:r>
      <w:r w:rsidRPr="00AF78D8">
        <w:rPr>
          <w:lang w:val="en-CA"/>
        </w:rPr>
        <w:t xml:space="preserve"> of estoppel </w:t>
      </w:r>
      <w:r w:rsidR="00E30E13" w:rsidRPr="00AF78D8">
        <w:rPr>
          <w:lang w:val="en-CA"/>
        </w:rPr>
        <w:t xml:space="preserve">did </w:t>
      </w:r>
      <w:r w:rsidRPr="00AF78D8">
        <w:rPr>
          <w:lang w:val="en-CA"/>
        </w:rPr>
        <w:t>not apply in this case.</w:t>
      </w:r>
    </w:p>
    <w:p w:rsidR="00730BFC" w:rsidRPr="00AF78D8" w:rsidRDefault="00395D2E" w:rsidP="00730BFC">
      <w:pPr>
        <w:pStyle w:val="Paragraphe"/>
        <w:tabs>
          <w:tab w:val="clear" w:pos="360"/>
          <w:tab w:val="num" w:pos="709"/>
        </w:tabs>
        <w:spacing w:line="240" w:lineRule="auto"/>
        <w:rPr>
          <w:lang w:val="en-CA"/>
        </w:rPr>
      </w:pPr>
      <w:r w:rsidRPr="00AF78D8">
        <w:rPr>
          <w:lang w:val="en-CA"/>
        </w:rPr>
        <w:t>The fact that the three applicants</w:t>
      </w:r>
      <w:r w:rsidR="00374F00" w:rsidRPr="00AF78D8">
        <w:rPr>
          <w:lang w:val="en-CA"/>
        </w:rPr>
        <w:t xml:space="preserve"> in this case</w:t>
      </w:r>
      <w:r w:rsidRPr="00AF78D8">
        <w:rPr>
          <w:lang w:val="en-CA"/>
        </w:rPr>
        <w:t xml:space="preserve"> benefited from a remedy under s.</w:t>
      </w:r>
      <w:r w:rsidR="0034669F" w:rsidRPr="00AF78D8">
        <w:rPr>
          <w:lang w:val="en-CA"/>
        </w:rPr>
        <w:t> </w:t>
      </w:r>
      <w:r w:rsidRPr="00AF78D8">
        <w:rPr>
          <w:lang w:val="en-CA"/>
        </w:rPr>
        <w:t xml:space="preserve">24(1) of the </w:t>
      </w:r>
      <w:r w:rsidRPr="00AF78D8">
        <w:rPr>
          <w:i/>
          <w:lang w:val="en-CA"/>
        </w:rPr>
        <w:t>Charter</w:t>
      </w:r>
      <w:r w:rsidRPr="00AF78D8">
        <w:rPr>
          <w:lang w:val="en-CA"/>
        </w:rPr>
        <w:t xml:space="preserve"> rather than s.</w:t>
      </w:r>
      <w:r w:rsidR="0034669F" w:rsidRPr="00AF78D8">
        <w:rPr>
          <w:lang w:val="en-CA"/>
        </w:rPr>
        <w:t> </w:t>
      </w:r>
      <w:r w:rsidRPr="00AF78D8">
        <w:rPr>
          <w:lang w:val="en-CA"/>
        </w:rPr>
        <w:t>24(2), does not, in the Court</w:t>
      </w:r>
      <w:r w:rsidR="0034669F" w:rsidRPr="00AF78D8">
        <w:rPr>
          <w:lang w:val="en-CA"/>
        </w:rPr>
        <w:t>’</w:t>
      </w:r>
      <w:r w:rsidRPr="00AF78D8">
        <w:rPr>
          <w:lang w:val="en-CA"/>
        </w:rPr>
        <w:t xml:space="preserve">s view, allow it to apply the doctrine of estoppel </w:t>
      </w:r>
      <w:r w:rsidR="00374F00" w:rsidRPr="00AF78D8">
        <w:rPr>
          <w:lang w:val="en-CA"/>
        </w:rPr>
        <w:t>here</w:t>
      </w:r>
      <w:r w:rsidRPr="00AF78D8">
        <w:rPr>
          <w:lang w:val="en-CA"/>
        </w:rPr>
        <w:t>.</w:t>
      </w:r>
    </w:p>
    <w:p w:rsidR="008F307C" w:rsidRPr="00AF78D8" w:rsidRDefault="00395D2E" w:rsidP="00730BFC">
      <w:pPr>
        <w:pStyle w:val="Paragraphe"/>
        <w:tabs>
          <w:tab w:val="clear" w:pos="360"/>
          <w:tab w:val="num" w:pos="709"/>
        </w:tabs>
        <w:spacing w:line="240" w:lineRule="auto"/>
        <w:rPr>
          <w:lang w:val="en-CA"/>
        </w:rPr>
      </w:pPr>
      <w:r w:rsidRPr="00AF78D8">
        <w:rPr>
          <w:lang w:val="en-CA"/>
        </w:rPr>
        <w:t>The stay of proceedings for unreasonable delay rendered by Dupras J. do</w:t>
      </w:r>
      <w:r w:rsidR="006D72AE">
        <w:rPr>
          <w:lang w:val="en-CA"/>
        </w:rPr>
        <w:t>es</w:t>
      </w:r>
      <w:r w:rsidRPr="00AF78D8">
        <w:rPr>
          <w:lang w:val="en-CA"/>
        </w:rPr>
        <w:t xml:space="preserve"> not apply in the context of </w:t>
      </w:r>
      <w:r w:rsidR="00E30E13" w:rsidRPr="00AF78D8">
        <w:rPr>
          <w:lang w:val="en-CA"/>
        </w:rPr>
        <w:t xml:space="preserve">an </w:t>
      </w:r>
      <w:r w:rsidRPr="00AF78D8">
        <w:rPr>
          <w:lang w:val="en-CA"/>
        </w:rPr>
        <w:t>application for forfeiture.</w:t>
      </w:r>
    </w:p>
    <w:p w:rsidR="008F307C" w:rsidRPr="00AF78D8" w:rsidRDefault="00395D2E" w:rsidP="008F307C">
      <w:pPr>
        <w:pStyle w:val="Paragraphe"/>
        <w:numPr>
          <w:ilvl w:val="0"/>
          <w:numId w:val="1"/>
        </w:numPr>
        <w:tabs>
          <w:tab w:val="clear" w:pos="360"/>
          <w:tab w:val="num" w:pos="709"/>
        </w:tabs>
        <w:spacing w:line="240" w:lineRule="auto"/>
        <w:rPr>
          <w:lang w:val="en-CA"/>
        </w:rPr>
      </w:pPr>
      <w:r w:rsidRPr="00AF78D8">
        <w:rPr>
          <w:lang w:val="en-CA"/>
        </w:rPr>
        <w:t xml:space="preserve">The three applicants are no longer accused within the meaning of s. 11 of the </w:t>
      </w:r>
      <w:r w:rsidRPr="00AF78D8">
        <w:rPr>
          <w:i/>
          <w:lang w:val="en-CA"/>
        </w:rPr>
        <w:t>Canadian Charter of Rights and Freedoms</w:t>
      </w:r>
      <w:r w:rsidRPr="00AF78D8">
        <w:rPr>
          <w:lang w:val="en-CA"/>
        </w:rPr>
        <w:t xml:space="preserve"> at the stage of the </w:t>
      </w:r>
      <w:r w:rsidR="00B7082D" w:rsidRPr="00AF78D8">
        <w:rPr>
          <w:lang w:val="en-CA"/>
        </w:rPr>
        <w:t xml:space="preserve">disposal </w:t>
      </w:r>
      <w:r w:rsidRPr="00AF78D8">
        <w:rPr>
          <w:lang w:val="en-CA"/>
        </w:rPr>
        <w:t>of the property seized once the matter has concluded.</w:t>
      </w:r>
      <w:r w:rsidR="008F307C" w:rsidRPr="00AF78D8">
        <w:rPr>
          <w:lang w:val="en-CA"/>
        </w:rPr>
        <w:t xml:space="preserve"> </w:t>
      </w:r>
      <w:r w:rsidRPr="00AF78D8">
        <w:rPr>
          <w:lang w:val="en-CA"/>
        </w:rPr>
        <w:t>It is no longer a matter of judging them.</w:t>
      </w:r>
    </w:p>
    <w:p w:rsidR="008F307C" w:rsidRPr="00AF78D8" w:rsidRDefault="00395D2E" w:rsidP="008F307C">
      <w:pPr>
        <w:pStyle w:val="Paragraphe"/>
        <w:numPr>
          <w:ilvl w:val="0"/>
          <w:numId w:val="1"/>
        </w:numPr>
        <w:tabs>
          <w:tab w:val="clear" w:pos="360"/>
          <w:tab w:val="num" w:pos="709"/>
        </w:tabs>
        <w:spacing w:line="240" w:lineRule="auto"/>
        <w:rPr>
          <w:lang w:val="en-CA"/>
        </w:rPr>
      </w:pPr>
      <w:r w:rsidRPr="00AF78D8">
        <w:rPr>
          <w:lang w:val="en-CA"/>
        </w:rPr>
        <w:t>The main purpose of the forfeiture of offence-related property is to take that property out of circulation</w:t>
      </w:r>
      <w:r w:rsidR="00B7082D" w:rsidRPr="00AF78D8">
        <w:rPr>
          <w:lang w:val="en-CA"/>
        </w:rPr>
        <w:t>,</w:t>
      </w:r>
      <w:r w:rsidRPr="00AF78D8">
        <w:rPr>
          <w:lang w:val="en-CA"/>
        </w:rPr>
        <w:t xml:space="preserve"> not to punish the person who committed the offence.</w:t>
      </w:r>
      <w:r w:rsidR="008F307C" w:rsidRPr="00AF78D8">
        <w:rPr>
          <w:rStyle w:val="Appelnotedebasdep"/>
          <w:lang w:val="en-CA"/>
        </w:rPr>
        <w:footnoteReference w:id="53"/>
      </w:r>
    </w:p>
    <w:p w:rsidR="00AE2837" w:rsidRPr="00AF78D8" w:rsidRDefault="00B7082D" w:rsidP="000748F5">
      <w:pPr>
        <w:pStyle w:val="Paragraphe"/>
        <w:tabs>
          <w:tab w:val="clear" w:pos="360"/>
          <w:tab w:val="num" w:pos="709"/>
        </w:tabs>
        <w:spacing w:line="240" w:lineRule="auto"/>
        <w:rPr>
          <w:lang w:val="en-CA"/>
        </w:rPr>
      </w:pPr>
      <w:r w:rsidRPr="00AF78D8">
        <w:rPr>
          <w:lang w:val="en-CA"/>
        </w:rPr>
        <w:t xml:space="preserve">All of the </w:t>
      </w:r>
      <w:r w:rsidR="00395D2E" w:rsidRPr="00AF78D8">
        <w:rPr>
          <w:lang w:val="en-CA"/>
        </w:rPr>
        <w:t>argument</w:t>
      </w:r>
      <w:r w:rsidRPr="00AF78D8">
        <w:rPr>
          <w:lang w:val="en-CA"/>
        </w:rPr>
        <w:t>s</w:t>
      </w:r>
      <w:r w:rsidR="00395D2E" w:rsidRPr="00AF78D8">
        <w:rPr>
          <w:lang w:val="en-CA"/>
        </w:rPr>
        <w:t xml:space="preserve"> of the three applicants </w:t>
      </w:r>
      <w:r w:rsidRPr="00AF78D8">
        <w:rPr>
          <w:lang w:val="en-CA"/>
        </w:rPr>
        <w:t>concerning</w:t>
      </w:r>
      <w:r w:rsidR="00395D2E" w:rsidRPr="00AF78D8">
        <w:rPr>
          <w:lang w:val="en-CA"/>
        </w:rPr>
        <w:t xml:space="preserve"> the prejudice they have </w:t>
      </w:r>
      <w:r w:rsidRPr="00AF78D8">
        <w:rPr>
          <w:lang w:val="en-CA"/>
        </w:rPr>
        <w:t xml:space="preserve">already </w:t>
      </w:r>
      <w:r w:rsidR="00395D2E" w:rsidRPr="00AF78D8">
        <w:rPr>
          <w:lang w:val="en-CA"/>
        </w:rPr>
        <w:t xml:space="preserve">suffered due the delays in fact invite the Court to ignore </w:t>
      </w:r>
      <w:r w:rsidRPr="00AF78D8">
        <w:rPr>
          <w:lang w:val="en-CA"/>
        </w:rPr>
        <w:t xml:space="preserve">the possibility that </w:t>
      </w:r>
      <w:r w:rsidR="00395D2E" w:rsidRPr="00AF78D8">
        <w:rPr>
          <w:lang w:val="en-CA"/>
        </w:rPr>
        <w:t xml:space="preserve">the property may constitute property obtained by crime under s. 491.1 </w:t>
      </w:r>
      <w:r w:rsidR="00395D2E" w:rsidRPr="00AF78D8">
        <w:rPr>
          <w:i/>
          <w:iCs/>
          <w:lang w:val="en-CA"/>
        </w:rPr>
        <w:t>Cr. C</w:t>
      </w:r>
      <w:r w:rsidR="00395D2E" w:rsidRPr="00AF78D8">
        <w:rPr>
          <w:lang w:val="en-CA"/>
        </w:rPr>
        <w:t xml:space="preserve">., non-chemical offence-related property under s. 16(2) </w:t>
      </w:r>
      <w:r w:rsidR="00395D2E" w:rsidRPr="00AF78D8">
        <w:rPr>
          <w:i/>
          <w:iCs/>
          <w:lang w:val="en-CA"/>
        </w:rPr>
        <w:t>CDSA</w:t>
      </w:r>
      <w:r w:rsidR="0034669F" w:rsidRPr="00AF78D8">
        <w:rPr>
          <w:i/>
          <w:iCs/>
          <w:lang w:val="en-CA"/>
        </w:rPr>
        <w:t>,</w:t>
      </w:r>
      <w:r w:rsidR="00395D2E" w:rsidRPr="00AF78D8">
        <w:rPr>
          <w:lang w:val="en-CA"/>
        </w:rPr>
        <w:t xml:space="preserve"> or </w:t>
      </w:r>
      <w:r w:rsidR="0034669F" w:rsidRPr="00AF78D8">
        <w:rPr>
          <w:lang w:val="en-CA"/>
        </w:rPr>
        <w:t xml:space="preserve">the </w:t>
      </w:r>
      <w:r w:rsidR="00395D2E" w:rsidRPr="00AF78D8">
        <w:rPr>
          <w:lang w:val="en-CA"/>
        </w:rPr>
        <w:t>proceeds of crime under s.</w:t>
      </w:r>
      <w:r w:rsidR="0034669F" w:rsidRPr="00AF78D8">
        <w:rPr>
          <w:lang w:val="en-CA"/>
        </w:rPr>
        <w:t> </w:t>
      </w:r>
      <w:r w:rsidR="00395D2E" w:rsidRPr="00AF78D8">
        <w:rPr>
          <w:lang w:val="en-CA"/>
        </w:rPr>
        <w:t xml:space="preserve">462.27(2) </w:t>
      </w:r>
      <w:r w:rsidR="00395D2E" w:rsidRPr="00AF78D8">
        <w:rPr>
          <w:i/>
          <w:iCs/>
          <w:lang w:val="en-CA"/>
        </w:rPr>
        <w:t>Cr. C</w:t>
      </w:r>
      <w:r w:rsidR="00395D2E" w:rsidRPr="00AF78D8">
        <w:rPr>
          <w:lang w:val="en-CA"/>
        </w:rPr>
        <w:t>.</w:t>
      </w:r>
    </w:p>
    <w:p w:rsidR="00AE2837" w:rsidRPr="00AF78D8" w:rsidRDefault="00395D2E" w:rsidP="000748F5">
      <w:pPr>
        <w:pStyle w:val="Paragraphe"/>
        <w:tabs>
          <w:tab w:val="clear" w:pos="360"/>
          <w:tab w:val="num" w:pos="709"/>
        </w:tabs>
        <w:spacing w:line="240" w:lineRule="auto"/>
        <w:rPr>
          <w:lang w:val="en-CA"/>
        </w:rPr>
      </w:pPr>
      <w:r w:rsidRPr="00AF78D8">
        <w:rPr>
          <w:lang w:val="en-CA"/>
        </w:rPr>
        <w:t xml:space="preserve">The Court therefore does not find that the presumption of the applicants’ right to possession must lead </w:t>
      </w:r>
      <w:r w:rsidR="00B7082D" w:rsidRPr="00AF78D8">
        <w:rPr>
          <w:lang w:val="en-CA"/>
        </w:rPr>
        <w:t>it to reach this conclusion.</w:t>
      </w:r>
    </w:p>
    <w:p w:rsidR="00AE2837" w:rsidRPr="00AF78D8" w:rsidRDefault="00374F00" w:rsidP="000748F5">
      <w:pPr>
        <w:pStyle w:val="Paragraphe"/>
        <w:tabs>
          <w:tab w:val="clear" w:pos="360"/>
          <w:tab w:val="num" w:pos="709"/>
        </w:tabs>
        <w:spacing w:line="240" w:lineRule="auto"/>
        <w:rPr>
          <w:lang w:val="en-CA"/>
        </w:rPr>
      </w:pPr>
      <w:r w:rsidRPr="00AF78D8">
        <w:rPr>
          <w:lang w:val="en-CA"/>
        </w:rPr>
        <w:t>To the extent that</w:t>
      </w:r>
      <w:r w:rsidR="00395D2E" w:rsidRPr="00AF78D8">
        <w:rPr>
          <w:lang w:val="en-CA"/>
        </w:rPr>
        <w:t xml:space="preserve"> </w:t>
      </w:r>
      <w:r w:rsidR="00395D2E" w:rsidRPr="00AF78D8">
        <w:rPr>
          <w:i/>
          <w:lang w:val="en-CA"/>
        </w:rPr>
        <w:t>Gray</w:t>
      </w:r>
      <w:r w:rsidR="00395D2E" w:rsidRPr="00AF78D8">
        <w:rPr>
          <w:lang w:val="en-CA"/>
        </w:rPr>
        <w:t>,</w:t>
      </w:r>
      <w:r w:rsidR="00395D2E" w:rsidRPr="00AF78D8">
        <w:rPr>
          <w:rStyle w:val="Appelnotedebasdep"/>
          <w:lang w:val="en-CA"/>
        </w:rPr>
        <w:footnoteReference w:id="54"/>
      </w:r>
      <w:r w:rsidR="00395D2E" w:rsidRPr="00AF78D8">
        <w:rPr>
          <w:lang w:val="en-CA"/>
        </w:rPr>
        <w:t xml:space="preserve"> submitted by the applicants, must be </w:t>
      </w:r>
      <w:r w:rsidRPr="00AF78D8">
        <w:rPr>
          <w:lang w:val="en-CA"/>
        </w:rPr>
        <w:t>read</w:t>
      </w:r>
      <w:r w:rsidR="00395D2E" w:rsidRPr="00AF78D8">
        <w:rPr>
          <w:lang w:val="en-CA"/>
        </w:rPr>
        <w:t xml:space="preserve"> as establishing that a stay of proceedings for unreasonable delay entails as an automatic consequence the cancellation of all proceedings or </w:t>
      </w:r>
      <w:r w:rsidR="00390FC8" w:rsidRPr="00AF78D8">
        <w:rPr>
          <w:lang w:val="en-CA"/>
        </w:rPr>
        <w:t xml:space="preserve">quashing of </w:t>
      </w:r>
      <w:r w:rsidR="00395D2E" w:rsidRPr="00AF78D8">
        <w:rPr>
          <w:lang w:val="en-CA"/>
        </w:rPr>
        <w:t xml:space="preserve">orders related to the indictment, including </w:t>
      </w:r>
      <w:r w:rsidR="00532157" w:rsidRPr="00AF78D8">
        <w:rPr>
          <w:lang w:val="en-CA"/>
        </w:rPr>
        <w:t xml:space="preserve">of </w:t>
      </w:r>
      <w:r w:rsidR="00395D2E" w:rsidRPr="00AF78D8">
        <w:rPr>
          <w:lang w:val="en-CA"/>
        </w:rPr>
        <w:t xml:space="preserve">any warrant or restraint order, </w:t>
      </w:r>
      <w:r w:rsidR="002B7425">
        <w:rPr>
          <w:lang w:val="en-CA"/>
        </w:rPr>
        <w:t xml:space="preserve">or </w:t>
      </w:r>
      <w:r w:rsidR="00395D2E" w:rsidRPr="00AF78D8">
        <w:rPr>
          <w:lang w:val="en-CA"/>
        </w:rPr>
        <w:t xml:space="preserve">any detention or continuation order, etc., the Court does not </w:t>
      </w:r>
      <w:r w:rsidRPr="00AF78D8">
        <w:rPr>
          <w:lang w:val="en-CA"/>
        </w:rPr>
        <w:t>share</w:t>
      </w:r>
      <w:r w:rsidR="00395D2E" w:rsidRPr="00AF78D8">
        <w:rPr>
          <w:lang w:val="en-CA"/>
        </w:rPr>
        <w:t xml:space="preserve"> that view.</w:t>
      </w:r>
    </w:p>
    <w:p w:rsidR="00B749A1" w:rsidRPr="00AF78D8" w:rsidRDefault="00395D2E" w:rsidP="000748F5">
      <w:pPr>
        <w:pStyle w:val="Paragraphe"/>
        <w:tabs>
          <w:tab w:val="clear" w:pos="360"/>
          <w:tab w:val="num" w:pos="709"/>
        </w:tabs>
        <w:spacing w:line="240" w:lineRule="auto"/>
        <w:rPr>
          <w:lang w:val="en-CA"/>
        </w:rPr>
      </w:pPr>
      <w:r w:rsidRPr="00AF78D8">
        <w:rPr>
          <w:lang w:val="en-CA"/>
        </w:rPr>
        <w:lastRenderedPageBreak/>
        <w:t>The stay of proceedings for unreasonable delay does not prevent the Crown from seeking the forfeiture of the property.</w:t>
      </w:r>
    </w:p>
    <w:p w:rsidR="008D314A" w:rsidRPr="00AF78D8" w:rsidRDefault="008D314A" w:rsidP="003E19D7">
      <w:pPr>
        <w:pStyle w:val="Paragraphe"/>
        <w:keepNext/>
        <w:numPr>
          <w:ilvl w:val="0"/>
          <w:numId w:val="0"/>
        </w:numPr>
        <w:spacing w:line="240" w:lineRule="auto"/>
        <w:rPr>
          <w:lang w:val="en-CA"/>
        </w:rPr>
      </w:pPr>
    </w:p>
    <w:p w:rsidR="001C3B45" w:rsidRPr="00AF78D8" w:rsidRDefault="001C3B45" w:rsidP="003E19D7">
      <w:pPr>
        <w:pStyle w:val="Paragraphe"/>
        <w:keepNext/>
        <w:numPr>
          <w:ilvl w:val="0"/>
          <w:numId w:val="0"/>
        </w:numPr>
        <w:spacing w:line="240" w:lineRule="auto"/>
        <w:rPr>
          <w:b/>
          <w:lang w:val="en-CA"/>
        </w:rPr>
      </w:pPr>
      <w:r w:rsidRPr="00AF78D8">
        <w:rPr>
          <w:b/>
          <w:lang w:val="en-CA"/>
        </w:rPr>
        <w:t>CONCLUSION</w:t>
      </w:r>
    </w:p>
    <w:p w:rsidR="0055216E" w:rsidRPr="00AF78D8" w:rsidRDefault="00395D2E" w:rsidP="003E19D7">
      <w:pPr>
        <w:pStyle w:val="Paragraphe"/>
        <w:keepNext/>
        <w:numPr>
          <w:ilvl w:val="0"/>
          <w:numId w:val="0"/>
        </w:numPr>
        <w:spacing w:line="240" w:lineRule="auto"/>
        <w:rPr>
          <w:b/>
          <w:bCs/>
          <w:lang w:val="en-CA"/>
        </w:rPr>
      </w:pPr>
      <w:r w:rsidRPr="00AF78D8">
        <w:rPr>
          <w:b/>
          <w:bCs/>
          <w:lang w:val="en-CA"/>
        </w:rPr>
        <w:t>FOR THESE REASONS, THE COURT:</w:t>
      </w:r>
      <w:r w:rsidR="007C0C99" w:rsidRPr="00AF78D8">
        <w:rPr>
          <w:b/>
          <w:bCs/>
          <w:lang w:val="en-CA"/>
        </w:rPr>
        <w:t xml:space="preserve"> </w:t>
      </w:r>
    </w:p>
    <w:p w:rsidR="009B1F02" w:rsidRPr="00AF78D8" w:rsidRDefault="00395D2E" w:rsidP="00907401">
      <w:pPr>
        <w:pStyle w:val="Paragraphe"/>
        <w:numPr>
          <w:ilvl w:val="0"/>
          <w:numId w:val="0"/>
        </w:numPr>
        <w:spacing w:line="240" w:lineRule="auto"/>
        <w:rPr>
          <w:b/>
          <w:bCs/>
          <w:lang w:val="en-CA"/>
        </w:rPr>
      </w:pPr>
      <w:r w:rsidRPr="00AF78D8">
        <w:rPr>
          <w:b/>
          <w:bCs/>
          <w:lang w:val="en-CA"/>
        </w:rPr>
        <w:t xml:space="preserve">GRANTS IN PART </w:t>
      </w:r>
      <w:r w:rsidRPr="00AF78D8">
        <w:rPr>
          <w:lang w:val="en-CA"/>
        </w:rPr>
        <w:t>the application to dismiss the application for forfeiture;</w:t>
      </w:r>
      <w:r w:rsidR="009B1F02" w:rsidRPr="00AF78D8">
        <w:rPr>
          <w:bCs/>
          <w:lang w:val="en-CA"/>
        </w:rPr>
        <w:t xml:space="preserve"> </w:t>
      </w:r>
    </w:p>
    <w:p w:rsidR="000651DA" w:rsidRPr="00AF78D8" w:rsidRDefault="00395D2E" w:rsidP="00907401">
      <w:pPr>
        <w:pStyle w:val="Paragraphe"/>
        <w:numPr>
          <w:ilvl w:val="0"/>
          <w:numId w:val="0"/>
        </w:numPr>
        <w:spacing w:line="240" w:lineRule="auto"/>
        <w:rPr>
          <w:bCs/>
          <w:lang w:val="en-CA"/>
        </w:rPr>
      </w:pPr>
      <w:r w:rsidRPr="00AF78D8">
        <w:rPr>
          <w:b/>
          <w:lang w:val="en-CA"/>
        </w:rPr>
        <w:t>DECLARES ITSELF</w:t>
      </w:r>
      <w:r w:rsidRPr="00AF78D8">
        <w:rPr>
          <w:bCs/>
          <w:lang w:val="en-CA"/>
        </w:rPr>
        <w:t xml:space="preserve"> without jurisdiction to dispose of the things seized </w:t>
      </w:r>
      <w:r w:rsidR="00390FC8" w:rsidRPr="00AF78D8">
        <w:rPr>
          <w:bCs/>
          <w:lang w:val="en-CA"/>
        </w:rPr>
        <w:t>pursuant to</w:t>
      </w:r>
      <w:r w:rsidRPr="00AF78D8">
        <w:rPr>
          <w:bCs/>
          <w:lang w:val="en-CA"/>
        </w:rPr>
        <w:t xml:space="preserve"> section 490 </w:t>
      </w:r>
      <w:r w:rsidRPr="00AF78D8">
        <w:rPr>
          <w:bCs/>
          <w:i/>
          <w:iCs/>
          <w:lang w:val="en-CA"/>
        </w:rPr>
        <w:t>Cr. C</w:t>
      </w:r>
      <w:r w:rsidRPr="00AF78D8">
        <w:rPr>
          <w:bCs/>
          <w:lang w:val="en-CA"/>
        </w:rPr>
        <w:t>.</w:t>
      </w:r>
      <w:r w:rsidR="001C3B45" w:rsidRPr="00AF78D8">
        <w:rPr>
          <w:b/>
          <w:bCs/>
          <w:lang w:val="en-CA"/>
        </w:rPr>
        <w:t xml:space="preserve"> </w:t>
      </w:r>
    </w:p>
    <w:p w:rsidR="00194391" w:rsidRPr="00AF78D8" w:rsidRDefault="00395D2E" w:rsidP="000651DA">
      <w:pPr>
        <w:pStyle w:val="Paragraphe"/>
        <w:numPr>
          <w:ilvl w:val="0"/>
          <w:numId w:val="0"/>
        </w:numPr>
        <w:spacing w:line="240" w:lineRule="auto"/>
        <w:rPr>
          <w:bCs/>
          <w:lang w:val="en-CA"/>
        </w:rPr>
      </w:pPr>
      <w:r w:rsidRPr="00AF78D8">
        <w:rPr>
          <w:b/>
          <w:lang w:val="en-CA"/>
        </w:rPr>
        <w:t>DISMISSES</w:t>
      </w:r>
      <w:r w:rsidRPr="00AF78D8">
        <w:rPr>
          <w:bCs/>
          <w:lang w:val="en-CA"/>
        </w:rPr>
        <w:t xml:space="preserve"> the application to dismiss the application for forfeiture based on s. 491.1 </w:t>
      </w:r>
      <w:r w:rsidRPr="00AF78D8">
        <w:rPr>
          <w:bCs/>
          <w:i/>
          <w:iCs/>
          <w:lang w:val="en-CA"/>
        </w:rPr>
        <w:t>Cr. C</w:t>
      </w:r>
      <w:r w:rsidRPr="00AF78D8">
        <w:rPr>
          <w:bCs/>
          <w:lang w:val="en-CA"/>
        </w:rPr>
        <w:t xml:space="preserve">. and ss. 462.37(2) </w:t>
      </w:r>
      <w:r w:rsidRPr="00AF78D8">
        <w:rPr>
          <w:bCs/>
          <w:i/>
          <w:lang w:val="en-CA"/>
        </w:rPr>
        <w:t>C. Cr.</w:t>
      </w:r>
      <w:r w:rsidRPr="00AF78D8">
        <w:rPr>
          <w:bCs/>
          <w:lang w:val="en-CA"/>
        </w:rPr>
        <w:t xml:space="preserve"> and 16(2) </w:t>
      </w:r>
      <w:r w:rsidRPr="00AF78D8">
        <w:rPr>
          <w:bCs/>
          <w:i/>
          <w:lang w:val="en-CA"/>
        </w:rPr>
        <w:t>CDSA</w:t>
      </w:r>
      <w:r w:rsidRPr="00AF78D8">
        <w:rPr>
          <w:bCs/>
          <w:lang w:val="en-CA"/>
        </w:rPr>
        <w:t>.</w:t>
      </w:r>
    </w:p>
    <w:tbl>
      <w:tblPr>
        <w:tblW w:w="9505" w:type="dxa"/>
        <w:tblLayout w:type="fixed"/>
        <w:tblCellMar>
          <w:left w:w="70" w:type="dxa"/>
          <w:right w:w="70" w:type="dxa"/>
        </w:tblCellMar>
        <w:tblLook w:val="0000" w:firstRow="0" w:lastRow="0" w:firstColumn="0" w:lastColumn="0" w:noHBand="0" w:noVBand="0"/>
      </w:tblPr>
      <w:tblGrid>
        <w:gridCol w:w="2068"/>
        <w:gridCol w:w="2799"/>
        <w:gridCol w:w="4638"/>
      </w:tblGrid>
      <w:tr w:rsidR="009110B8" w:rsidRPr="00AF78D8">
        <w:trPr>
          <w:trHeight w:val="576"/>
        </w:trPr>
        <w:tc>
          <w:tcPr>
            <w:tcW w:w="9505" w:type="dxa"/>
            <w:gridSpan w:val="3"/>
          </w:tcPr>
          <w:p w:rsidR="0055216E" w:rsidRPr="00AF78D8" w:rsidRDefault="0055216E">
            <w:pPr>
              <w:keepNext/>
              <w:keepLines/>
              <w:rPr>
                <w:lang w:val="en-CA"/>
              </w:rPr>
            </w:pPr>
          </w:p>
          <w:p w:rsidR="000651DA" w:rsidRPr="00AF78D8" w:rsidRDefault="000651DA">
            <w:pPr>
              <w:keepNext/>
              <w:keepLines/>
              <w:rPr>
                <w:lang w:val="en-CA"/>
              </w:rPr>
            </w:pPr>
          </w:p>
          <w:p w:rsidR="001A0FD2" w:rsidRPr="00AF78D8" w:rsidRDefault="001A0FD2">
            <w:pPr>
              <w:keepNext/>
              <w:keepLines/>
              <w:rPr>
                <w:lang w:val="en-CA"/>
              </w:rPr>
            </w:pPr>
          </w:p>
          <w:p w:rsidR="00A40F3E" w:rsidRPr="00AF78D8" w:rsidRDefault="00A40F3E">
            <w:pPr>
              <w:keepNext/>
              <w:keepLines/>
              <w:rPr>
                <w:lang w:val="en-CA"/>
              </w:rPr>
            </w:pPr>
          </w:p>
          <w:p w:rsidR="00A40F3E" w:rsidRPr="00AF78D8" w:rsidRDefault="00A40F3E">
            <w:pPr>
              <w:keepNext/>
              <w:keepLines/>
              <w:rPr>
                <w:lang w:val="en-CA"/>
              </w:rPr>
            </w:pPr>
          </w:p>
          <w:p w:rsidR="001A0FD2" w:rsidRPr="00AF78D8" w:rsidRDefault="001A0FD2">
            <w:pPr>
              <w:keepNext/>
              <w:keepLines/>
              <w:rPr>
                <w:lang w:val="en-CA"/>
              </w:rPr>
            </w:pPr>
          </w:p>
          <w:p w:rsidR="000651DA" w:rsidRPr="00AF78D8" w:rsidRDefault="000651DA">
            <w:pPr>
              <w:keepNext/>
              <w:keepLines/>
              <w:rPr>
                <w:lang w:val="en-CA"/>
              </w:rPr>
            </w:pPr>
          </w:p>
          <w:p w:rsidR="000651DA" w:rsidRPr="00AF78D8" w:rsidRDefault="000651DA">
            <w:pPr>
              <w:keepNext/>
              <w:keepLines/>
              <w:rPr>
                <w:lang w:val="en-CA"/>
              </w:rPr>
            </w:pPr>
          </w:p>
        </w:tc>
      </w:tr>
      <w:tr w:rsidR="009110B8" w:rsidRPr="00AF78D8">
        <w:tblPrEx>
          <w:tblCellMar>
            <w:left w:w="0" w:type="dxa"/>
            <w:right w:w="0" w:type="dxa"/>
          </w:tblCellMar>
        </w:tblPrEx>
        <w:trPr>
          <w:cantSplit/>
        </w:trPr>
        <w:tc>
          <w:tcPr>
            <w:tcW w:w="4867" w:type="dxa"/>
            <w:gridSpan w:val="2"/>
          </w:tcPr>
          <w:p w:rsidR="0055216E" w:rsidRPr="00AF78D8" w:rsidRDefault="0055216E">
            <w:pPr>
              <w:rPr>
                <w:lang w:val="en-CA"/>
              </w:rPr>
            </w:pPr>
          </w:p>
        </w:tc>
        <w:tc>
          <w:tcPr>
            <w:tcW w:w="4638" w:type="dxa"/>
          </w:tcPr>
          <w:p w:rsidR="0055216E" w:rsidRPr="00AF78D8" w:rsidRDefault="0055216E">
            <w:pPr>
              <w:pStyle w:val="zSoquijdatSignature3Juge"/>
            </w:pPr>
            <w:r w:rsidRPr="00AF78D8">
              <w:t>__________________________________</w:t>
            </w:r>
          </w:p>
          <w:p w:rsidR="0055216E" w:rsidRPr="00AF78D8" w:rsidRDefault="00DD0B57" w:rsidP="00DD0B57">
            <w:pPr>
              <w:pStyle w:val="zSoquijdatSignature3Juge"/>
              <w:spacing w:before="40"/>
              <w:rPr>
                <w:b/>
              </w:rPr>
            </w:pPr>
            <w:r w:rsidRPr="00AF78D8">
              <w:t xml:space="preserve">          </w:t>
            </w:r>
            <w:r w:rsidR="0055216E" w:rsidRPr="00AF78D8">
              <w:rPr>
                <w:b/>
              </w:rPr>
              <w:t>ANDRÉ PERREAULT, J.C.Q.</w:t>
            </w:r>
          </w:p>
        </w:tc>
      </w:tr>
      <w:tr w:rsidR="009110B8" w:rsidRPr="00AF78D8">
        <w:tc>
          <w:tcPr>
            <w:tcW w:w="9505" w:type="dxa"/>
            <w:gridSpan w:val="3"/>
          </w:tcPr>
          <w:p w:rsidR="0055216E" w:rsidRPr="00AF78D8" w:rsidRDefault="0055216E"/>
        </w:tc>
      </w:tr>
      <w:tr w:rsidR="009110B8" w:rsidRPr="00AF78D8">
        <w:trPr>
          <w:cantSplit/>
        </w:trPr>
        <w:tc>
          <w:tcPr>
            <w:tcW w:w="9505" w:type="dxa"/>
            <w:gridSpan w:val="3"/>
          </w:tcPr>
          <w:p w:rsidR="001A0FD2" w:rsidRPr="00AF78D8" w:rsidRDefault="001A0FD2" w:rsidP="00F7448D">
            <w:pPr>
              <w:pStyle w:val="zSoquijdatNomProcureurDem"/>
            </w:pPr>
          </w:p>
          <w:p w:rsidR="001A0FD2" w:rsidRPr="00AF78D8" w:rsidRDefault="001A0FD2" w:rsidP="00F7448D">
            <w:pPr>
              <w:pStyle w:val="zSoquijdatNomProcureurDem"/>
            </w:pPr>
          </w:p>
          <w:p w:rsidR="0055216E" w:rsidRPr="00AF78D8" w:rsidRDefault="0052797D" w:rsidP="00F7448D">
            <w:pPr>
              <w:pStyle w:val="zSoquijdatNomProcureurDem"/>
              <w:rPr>
                <w:lang w:val="en-CA"/>
              </w:rPr>
            </w:pPr>
            <w:r w:rsidRPr="00AF78D8">
              <w:rPr>
                <w:lang w:val="en-CA"/>
              </w:rPr>
              <w:t>Mtre Andrew Barbacki</w:t>
            </w:r>
          </w:p>
          <w:p w:rsidR="00F3272A" w:rsidRPr="00AF78D8" w:rsidRDefault="00F3272A" w:rsidP="00F7448D">
            <w:pPr>
              <w:pStyle w:val="zSoquijdatNomProcureurDem"/>
              <w:rPr>
                <w:lang w:val="en-CA"/>
              </w:rPr>
            </w:pPr>
            <w:r w:rsidRPr="00AF78D8">
              <w:rPr>
                <w:lang w:val="en-CA"/>
              </w:rPr>
              <w:t>M</w:t>
            </w:r>
            <w:r w:rsidR="00395D2E" w:rsidRPr="00AF78D8">
              <w:rPr>
                <w:lang w:val="en-CA"/>
              </w:rPr>
              <w:t>tr</w:t>
            </w:r>
            <w:r w:rsidRPr="00AF78D8">
              <w:rPr>
                <w:lang w:val="en-CA"/>
              </w:rPr>
              <w:t>e Annick Maori</w:t>
            </w:r>
          </w:p>
        </w:tc>
      </w:tr>
      <w:tr w:rsidR="009110B8" w:rsidRPr="00AF78D8">
        <w:trPr>
          <w:cantSplit/>
        </w:trPr>
        <w:tc>
          <w:tcPr>
            <w:tcW w:w="9505" w:type="dxa"/>
            <w:gridSpan w:val="3"/>
          </w:tcPr>
          <w:p w:rsidR="0055216E" w:rsidRPr="00AF78D8" w:rsidRDefault="0052797D" w:rsidP="00F3272A">
            <w:pPr>
              <w:pStyle w:val="zSoquijdatCabinetProcureurDem"/>
              <w:rPr>
                <w:lang w:val="en-CA"/>
              </w:rPr>
            </w:pPr>
            <w:r w:rsidRPr="00AF78D8">
              <w:rPr>
                <w:lang w:val="en-CA"/>
              </w:rPr>
              <w:t>Counsel for the applicants</w:t>
            </w:r>
          </w:p>
        </w:tc>
      </w:tr>
      <w:tr w:rsidR="009110B8" w:rsidRPr="00AF78D8">
        <w:trPr>
          <w:cantSplit/>
        </w:trPr>
        <w:tc>
          <w:tcPr>
            <w:tcW w:w="9505" w:type="dxa"/>
            <w:gridSpan w:val="3"/>
          </w:tcPr>
          <w:p w:rsidR="0055216E" w:rsidRPr="00AF78D8" w:rsidRDefault="0055216E">
            <w:pPr>
              <w:pStyle w:val="zSoquijlblProcureurDem"/>
              <w:rPr>
                <w:lang w:val="en-CA"/>
              </w:rPr>
            </w:pPr>
          </w:p>
        </w:tc>
      </w:tr>
      <w:tr w:rsidR="009110B8" w:rsidRPr="00AF78D8">
        <w:trPr>
          <w:cantSplit/>
        </w:trPr>
        <w:tc>
          <w:tcPr>
            <w:tcW w:w="9505" w:type="dxa"/>
            <w:gridSpan w:val="3"/>
          </w:tcPr>
          <w:p w:rsidR="009B1F02" w:rsidRPr="00AF78D8" w:rsidRDefault="0052797D" w:rsidP="00F7448D">
            <w:pPr>
              <w:pStyle w:val="zSoquijdatNomProcureurDef"/>
              <w:rPr>
                <w:lang w:val="en-CA"/>
              </w:rPr>
            </w:pPr>
            <w:r w:rsidRPr="00AF78D8">
              <w:rPr>
                <w:lang w:val="en-CA"/>
              </w:rPr>
              <w:t>Mtre Émilie Robert</w:t>
            </w:r>
          </w:p>
        </w:tc>
      </w:tr>
      <w:tr w:rsidR="009110B8" w:rsidRPr="00AF78D8">
        <w:trPr>
          <w:cantSplit/>
        </w:trPr>
        <w:tc>
          <w:tcPr>
            <w:tcW w:w="9505" w:type="dxa"/>
            <w:gridSpan w:val="3"/>
          </w:tcPr>
          <w:p w:rsidR="0055216E" w:rsidRPr="00AF78D8" w:rsidRDefault="0052797D">
            <w:pPr>
              <w:pStyle w:val="zSoquijdatCabinetProcureurDef"/>
              <w:rPr>
                <w:lang w:val="en-CA"/>
              </w:rPr>
            </w:pPr>
            <w:r w:rsidRPr="00AF78D8">
              <w:rPr>
                <w:lang w:val="en-CA"/>
              </w:rPr>
              <w:t>Counsel for the respondent</w:t>
            </w:r>
          </w:p>
        </w:tc>
      </w:tr>
      <w:tr w:rsidR="009110B8" w:rsidRPr="00AF78D8">
        <w:trPr>
          <w:cantSplit/>
        </w:trPr>
        <w:tc>
          <w:tcPr>
            <w:tcW w:w="9505" w:type="dxa"/>
            <w:gridSpan w:val="3"/>
          </w:tcPr>
          <w:p w:rsidR="0055216E" w:rsidRPr="00AF78D8" w:rsidRDefault="0055216E">
            <w:pPr>
              <w:pStyle w:val="zSoquijlblProcureurDef"/>
              <w:rPr>
                <w:lang w:val="en-CA"/>
              </w:rPr>
            </w:pPr>
          </w:p>
        </w:tc>
      </w:tr>
      <w:tr w:rsidR="009110B8" w:rsidRPr="00AF78D8">
        <w:tc>
          <w:tcPr>
            <w:tcW w:w="2068" w:type="dxa"/>
          </w:tcPr>
          <w:p w:rsidR="0055216E" w:rsidRPr="00AF78D8" w:rsidRDefault="0055216E" w:rsidP="00DD0B57">
            <w:pPr>
              <w:pStyle w:val="zSoquijlblDateAudience"/>
              <w:rPr>
                <w:lang w:val="en-CA"/>
              </w:rPr>
            </w:pPr>
          </w:p>
        </w:tc>
        <w:tc>
          <w:tcPr>
            <w:tcW w:w="7437" w:type="dxa"/>
            <w:gridSpan w:val="2"/>
          </w:tcPr>
          <w:p w:rsidR="0055216E" w:rsidRPr="00AF78D8" w:rsidRDefault="0055216E" w:rsidP="0036262E">
            <w:pPr>
              <w:pStyle w:val="zSoquijdatDateAudience"/>
              <w:rPr>
                <w:lang w:val="en-CA"/>
              </w:rPr>
            </w:pPr>
          </w:p>
        </w:tc>
      </w:tr>
    </w:tbl>
    <w:p w:rsidR="0055216E" w:rsidRPr="00AF78D8" w:rsidRDefault="0055216E">
      <w:pPr>
        <w:rPr>
          <w:lang w:val="en-CA"/>
        </w:rPr>
      </w:pPr>
    </w:p>
    <w:sectPr w:rsidR="0055216E" w:rsidRPr="00AF78D8" w:rsidSect="00FB2B41">
      <w:footnotePr>
        <w:numRestart w:val="eachSect"/>
      </w:footnotePr>
      <w:pgSz w:w="12242" w:h="15842" w:code="1"/>
      <w:pgMar w:top="1276" w:right="1008" w:bottom="1440" w:left="1872" w:header="1440" w:footer="79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1D4A" w:rsidRDefault="001C1D4A">
      <w:r>
        <w:separator/>
      </w:r>
    </w:p>
  </w:endnote>
  <w:endnote w:type="continuationSeparator" w:id="0">
    <w:p w:rsidR="001C1D4A" w:rsidRDefault="001C1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5D4C" w:rsidRDefault="00955D4C">
    <w:pPr>
      <w:framePr w:wrap="around" w:vAnchor="text" w:hAnchor="margin" w:xAlign="right" w:y="1"/>
    </w:pPr>
    <w:r>
      <w:fldChar w:fldCharType="begin"/>
    </w:r>
    <w:r>
      <w:instrText xml:space="preserve">PAGE  </w:instrText>
    </w:r>
    <w:r>
      <w:fldChar w:fldCharType="separate"/>
    </w:r>
    <w:r>
      <w:fldChar w:fldCharType="end"/>
    </w:r>
  </w:p>
  <w:p w:rsidR="00955D4C" w:rsidRDefault="00955D4C">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1D4A" w:rsidRDefault="001C1D4A">
      <w:r>
        <w:separator/>
      </w:r>
    </w:p>
  </w:footnote>
  <w:footnote w:type="continuationSeparator" w:id="0">
    <w:p w:rsidR="001C1D4A" w:rsidRDefault="001C1D4A">
      <w:r>
        <w:continuationSeparator/>
      </w:r>
    </w:p>
  </w:footnote>
  <w:footnote w:id="1">
    <w:p w:rsidR="003A1849" w:rsidRPr="00AF78D8" w:rsidRDefault="003A1849" w:rsidP="003A1849">
      <w:pPr>
        <w:pStyle w:val="Notedebasdepage"/>
        <w:rPr>
          <w:lang w:val="en-CA"/>
        </w:rPr>
      </w:pPr>
      <w:r w:rsidRPr="00AF78D8">
        <w:rPr>
          <w:rStyle w:val="Appelnotedebasdep"/>
          <w:lang w:val="en-CA"/>
        </w:rPr>
        <w:footnoteRef/>
      </w:r>
      <w:r w:rsidRPr="00AF78D8">
        <w:rPr>
          <w:lang w:val="en-CA"/>
        </w:rPr>
        <w:t xml:space="preserve"> </w:t>
      </w:r>
      <w:r w:rsidRPr="00AF78D8">
        <w:rPr>
          <w:lang w:val="en-CA"/>
        </w:rPr>
        <w:tab/>
      </w:r>
      <w:r w:rsidRPr="00AF78D8">
        <w:rPr>
          <w:i/>
          <w:lang w:val="en-CA"/>
        </w:rPr>
        <w:t>Vu</w:t>
      </w:r>
      <w:r w:rsidRPr="00AF78D8">
        <w:rPr>
          <w:lang w:val="en-CA"/>
        </w:rPr>
        <w:t xml:space="preserve"> </w:t>
      </w:r>
      <w:r w:rsidR="00895B9B" w:rsidRPr="00AF78D8">
        <w:rPr>
          <w:lang w:val="en-CA"/>
        </w:rPr>
        <w:t>v</w:t>
      </w:r>
      <w:r w:rsidRPr="00AF78D8">
        <w:rPr>
          <w:lang w:val="en-CA"/>
        </w:rPr>
        <w:t xml:space="preserve">. </w:t>
      </w:r>
      <w:r w:rsidRPr="00AF78D8">
        <w:rPr>
          <w:i/>
          <w:lang w:val="en-CA"/>
        </w:rPr>
        <w:t>R.</w:t>
      </w:r>
      <w:r w:rsidRPr="00AF78D8">
        <w:rPr>
          <w:lang w:val="en-CA"/>
        </w:rPr>
        <w:t>, 2017 QCCQ 14782.</w:t>
      </w:r>
    </w:p>
  </w:footnote>
  <w:footnote w:id="2">
    <w:p w:rsidR="003A1849" w:rsidRPr="00AF78D8" w:rsidRDefault="003A1849" w:rsidP="003A1849">
      <w:pPr>
        <w:pStyle w:val="Notedebasdepage"/>
        <w:rPr>
          <w:lang w:val="en-CA"/>
        </w:rPr>
      </w:pPr>
      <w:r w:rsidRPr="00AF78D8">
        <w:rPr>
          <w:rStyle w:val="Appelnotedebasdep"/>
          <w:lang w:val="en-CA"/>
        </w:rPr>
        <w:footnoteRef/>
      </w:r>
      <w:r w:rsidRPr="00AF78D8">
        <w:rPr>
          <w:lang w:val="en-CA"/>
        </w:rPr>
        <w:t xml:space="preserve"> </w:t>
      </w:r>
      <w:r w:rsidRPr="00AF78D8">
        <w:rPr>
          <w:lang w:val="en-CA"/>
        </w:rPr>
        <w:tab/>
      </w:r>
      <w:r w:rsidRPr="00AF78D8">
        <w:rPr>
          <w:i/>
          <w:lang w:val="en-CA"/>
        </w:rPr>
        <w:t>R.</w:t>
      </w:r>
      <w:r w:rsidRPr="00AF78D8">
        <w:rPr>
          <w:lang w:val="en-CA"/>
        </w:rPr>
        <w:t xml:space="preserve"> </w:t>
      </w:r>
      <w:r w:rsidR="00895B9B" w:rsidRPr="00AF78D8">
        <w:rPr>
          <w:lang w:val="en-CA"/>
        </w:rPr>
        <w:t>v</w:t>
      </w:r>
      <w:r w:rsidRPr="00AF78D8">
        <w:rPr>
          <w:lang w:val="en-CA"/>
        </w:rPr>
        <w:t xml:space="preserve">. </w:t>
      </w:r>
      <w:r w:rsidRPr="00AF78D8">
        <w:rPr>
          <w:i/>
          <w:lang w:val="en-CA"/>
        </w:rPr>
        <w:t>Vu</w:t>
      </w:r>
      <w:r w:rsidRPr="00AF78D8">
        <w:rPr>
          <w:lang w:val="en-CA"/>
        </w:rPr>
        <w:t>, 2019 QCCA 1709.</w:t>
      </w:r>
    </w:p>
  </w:footnote>
  <w:footnote w:id="3">
    <w:p w:rsidR="00955D4C" w:rsidRPr="00AF78D8" w:rsidRDefault="00955D4C">
      <w:pPr>
        <w:pStyle w:val="Notedebasdepage"/>
        <w:rPr>
          <w:lang w:val="en-CA"/>
        </w:rPr>
      </w:pPr>
      <w:r w:rsidRPr="00AF78D8">
        <w:rPr>
          <w:rStyle w:val="Appelnotedebasdep"/>
          <w:lang w:val="en-CA"/>
        </w:rPr>
        <w:footnoteRef/>
      </w:r>
      <w:r w:rsidRPr="00AF78D8">
        <w:rPr>
          <w:lang w:val="en-CA"/>
        </w:rPr>
        <w:t xml:space="preserve"> </w:t>
      </w:r>
      <w:r w:rsidRPr="00AF78D8">
        <w:rPr>
          <w:lang w:val="en-CA"/>
        </w:rPr>
        <w:tab/>
      </w:r>
      <w:r w:rsidRPr="00AF78D8">
        <w:rPr>
          <w:i/>
          <w:lang w:val="en-CA"/>
        </w:rPr>
        <w:t>R.</w:t>
      </w:r>
      <w:r w:rsidRPr="00AF78D8">
        <w:rPr>
          <w:lang w:val="en-CA"/>
        </w:rPr>
        <w:t xml:space="preserve"> </w:t>
      </w:r>
      <w:r w:rsidR="001044DB" w:rsidRPr="00AF78D8">
        <w:rPr>
          <w:i/>
          <w:iCs/>
          <w:lang w:val="en-CA"/>
        </w:rPr>
        <w:t>v.</w:t>
      </w:r>
      <w:r w:rsidR="001044DB" w:rsidRPr="00AF78D8">
        <w:rPr>
          <w:lang w:val="en-CA"/>
        </w:rPr>
        <w:t xml:space="preserve"> </w:t>
      </w:r>
      <w:r w:rsidRPr="00AF78D8">
        <w:rPr>
          <w:i/>
          <w:lang w:val="en-CA"/>
        </w:rPr>
        <w:t>Raponi</w:t>
      </w:r>
      <w:r w:rsidRPr="00AF78D8">
        <w:rPr>
          <w:lang w:val="en-CA"/>
        </w:rPr>
        <w:t>, 2004 S</w:t>
      </w:r>
      <w:r w:rsidR="001044DB" w:rsidRPr="00AF78D8">
        <w:rPr>
          <w:lang w:val="en-CA"/>
        </w:rPr>
        <w:t>C</w:t>
      </w:r>
      <w:r w:rsidRPr="00AF78D8">
        <w:rPr>
          <w:lang w:val="en-CA"/>
        </w:rPr>
        <w:t>C 50</w:t>
      </w:r>
      <w:r w:rsidR="001044DB" w:rsidRPr="00AF78D8">
        <w:rPr>
          <w:lang w:val="en-CA"/>
        </w:rPr>
        <w:t xml:space="preserve"> at</w:t>
      </w:r>
      <w:r w:rsidRPr="00AF78D8">
        <w:rPr>
          <w:lang w:val="en-CA"/>
        </w:rPr>
        <w:t xml:space="preserve"> para</w:t>
      </w:r>
      <w:r w:rsidR="001044DB" w:rsidRPr="00AF78D8">
        <w:rPr>
          <w:lang w:val="en-CA"/>
        </w:rPr>
        <w:t>s</w:t>
      </w:r>
      <w:r w:rsidRPr="00AF78D8">
        <w:rPr>
          <w:lang w:val="en-CA"/>
        </w:rPr>
        <w:t>. 30</w:t>
      </w:r>
      <w:r w:rsidR="001044DB" w:rsidRPr="00AF78D8">
        <w:rPr>
          <w:lang w:val="en-CA"/>
        </w:rPr>
        <w:t>–</w:t>
      </w:r>
      <w:r w:rsidRPr="00AF78D8">
        <w:rPr>
          <w:lang w:val="en-CA"/>
        </w:rPr>
        <w:t xml:space="preserve">31; </w:t>
      </w:r>
      <w:r w:rsidR="001044DB" w:rsidRPr="00AF78D8">
        <w:rPr>
          <w:i/>
          <w:lang w:val="en-CA"/>
        </w:rPr>
        <w:t>Fleming (Gombosh Estate) v. The Queen</w:t>
      </w:r>
      <w:r w:rsidRPr="00AF78D8">
        <w:rPr>
          <w:lang w:val="en-CA"/>
        </w:rPr>
        <w:t xml:space="preserve">, [1986] 1 </w:t>
      </w:r>
      <w:r w:rsidR="001044DB" w:rsidRPr="00AF78D8">
        <w:rPr>
          <w:lang w:val="en-CA"/>
        </w:rPr>
        <w:t>SCR</w:t>
      </w:r>
      <w:r w:rsidRPr="00AF78D8">
        <w:rPr>
          <w:lang w:val="en-CA"/>
        </w:rPr>
        <w:t xml:space="preserve"> 415</w:t>
      </w:r>
      <w:r w:rsidR="001044DB" w:rsidRPr="00AF78D8">
        <w:rPr>
          <w:lang w:val="en-CA"/>
        </w:rPr>
        <w:t xml:space="preserve"> at</w:t>
      </w:r>
      <w:r w:rsidRPr="00AF78D8">
        <w:rPr>
          <w:lang w:val="en-CA"/>
        </w:rPr>
        <w:t xml:space="preserve"> 439 </w:t>
      </w:r>
      <w:r w:rsidR="001044DB" w:rsidRPr="00AF78D8">
        <w:rPr>
          <w:lang w:val="en-CA"/>
        </w:rPr>
        <w:t>and</w:t>
      </w:r>
      <w:r w:rsidRPr="00AF78D8">
        <w:rPr>
          <w:lang w:val="en-CA"/>
        </w:rPr>
        <w:t xml:space="preserve"> 440.</w:t>
      </w:r>
    </w:p>
  </w:footnote>
  <w:footnote w:id="4">
    <w:p w:rsidR="00955D4C" w:rsidRPr="00AF78D8" w:rsidRDefault="00955D4C">
      <w:pPr>
        <w:pStyle w:val="Notedebasdepage"/>
        <w:rPr>
          <w:lang w:val="en-CA"/>
        </w:rPr>
      </w:pPr>
      <w:r w:rsidRPr="00AF78D8">
        <w:rPr>
          <w:rStyle w:val="Appelnotedebasdep"/>
          <w:lang w:val="en-CA"/>
        </w:rPr>
        <w:footnoteRef/>
      </w:r>
      <w:r w:rsidRPr="00AF78D8">
        <w:rPr>
          <w:lang w:val="en-CA"/>
        </w:rPr>
        <w:t xml:space="preserve"> </w:t>
      </w:r>
      <w:r w:rsidRPr="00AF78D8">
        <w:rPr>
          <w:lang w:val="en-CA"/>
        </w:rPr>
        <w:tab/>
      </w:r>
      <w:r w:rsidRPr="00AF78D8">
        <w:rPr>
          <w:i/>
          <w:lang w:val="en-CA"/>
        </w:rPr>
        <w:t>Guimont</w:t>
      </w:r>
      <w:r w:rsidRPr="00AF78D8">
        <w:rPr>
          <w:lang w:val="en-CA"/>
        </w:rPr>
        <w:t xml:space="preserve"> </w:t>
      </w:r>
      <w:r w:rsidR="00895B9B" w:rsidRPr="00AF78D8">
        <w:rPr>
          <w:lang w:val="en-CA"/>
        </w:rPr>
        <w:t>v</w:t>
      </w:r>
      <w:r w:rsidRPr="00AF78D8">
        <w:rPr>
          <w:i/>
          <w:iCs/>
          <w:lang w:val="en-CA"/>
        </w:rPr>
        <w:t>.</w:t>
      </w:r>
      <w:r w:rsidRPr="00AF78D8">
        <w:rPr>
          <w:lang w:val="en-CA"/>
        </w:rPr>
        <w:t xml:space="preserve"> </w:t>
      </w:r>
      <w:r w:rsidRPr="00AF78D8">
        <w:rPr>
          <w:i/>
          <w:lang w:val="en-CA"/>
        </w:rPr>
        <w:t>R.</w:t>
      </w:r>
      <w:r w:rsidRPr="00AF78D8">
        <w:rPr>
          <w:lang w:val="en-CA"/>
        </w:rPr>
        <w:t xml:space="preserve">, 2020 QCCA 1759 </w:t>
      </w:r>
      <w:r w:rsidR="001044DB" w:rsidRPr="00AF78D8">
        <w:rPr>
          <w:lang w:val="en-CA"/>
        </w:rPr>
        <w:t>at para.</w:t>
      </w:r>
      <w:r w:rsidRPr="00AF78D8">
        <w:rPr>
          <w:lang w:val="en-CA"/>
        </w:rPr>
        <w:t xml:space="preserve"> 8; </w:t>
      </w:r>
      <w:r w:rsidR="001044DB" w:rsidRPr="00AF78D8">
        <w:rPr>
          <w:i/>
          <w:lang w:val="en-CA"/>
        </w:rPr>
        <w:t xml:space="preserve">R. v. Mac, </w:t>
      </w:r>
      <w:r w:rsidR="001044DB" w:rsidRPr="00AF78D8">
        <w:rPr>
          <w:iCs/>
          <w:lang w:val="en-CA"/>
        </w:rPr>
        <w:t xml:space="preserve">1995 CanLII 2071 (ON CA) at </w:t>
      </w:r>
      <w:r w:rsidRPr="00AF78D8">
        <w:rPr>
          <w:lang w:val="en-CA"/>
        </w:rPr>
        <w:t xml:space="preserve">para. 27; </w:t>
      </w:r>
      <w:r w:rsidR="001044DB" w:rsidRPr="00AF78D8">
        <w:rPr>
          <w:i/>
          <w:lang w:val="en-CA"/>
        </w:rPr>
        <w:t>Fleming (Gombosh Estate) v. The Queen</w:t>
      </w:r>
      <w:r w:rsidR="001044DB" w:rsidRPr="00AF78D8">
        <w:rPr>
          <w:lang w:val="en-CA"/>
        </w:rPr>
        <w:t>, [1986] 1 SCR 415</w:t>
      </w:r>
      <w:r w:rsidR="00F45ACA" w:rsidRPr="00AF78D8">
        <w:rPr>
          <w:lang w:val="en-CA"/>
        </w:rPr>
        <w:t xml:space="preserve">; </w:t>
      </w:r>
      <w:r w:rsidR="002D486A" w:rsidRPr="00AF78D8">
        <w:rPr>
          <w:i/>
          <w:lang w:val="en-CA"/>
        </w:rPr>
        <w:t>R. v. Collins</w:t>
      </w:r>
      <w:r w:rsidR="002D486A" w:rsidRPr="00AF78D8">
        <w:rPr>
          <w:iCs/>
          <w:lang w:val="en-CA"/>
        </w:rPr>
        <w:t>, 1983 CanLII 3566 (QCCA)</w:t>
      </w:r>
      <w:r w:rsidRPr="00AF78D8">
        <w:rPr>
          <w:iCs/>
          <w:lang w:val="en-CA"/>
        </w:rPr>
        <w:t>.</w:t>
      </w:r>
    </w:p>
  </w:footnote>
  <w:footnote w:id="5">
    <w:p w:rsidR="001044DB" w:rsidRPr="00AF78D8" w:rsidRDefault="001044DB" w:rsidP="001044DB">
      <w:pPr>
        <w:pStyle w:val="Notedebasdepage"/>
        <w:rPr>
          <w:lang w:val="en-CA"/>
        </w:rPr>
      </w:pPr>
      <w:r w:rsidRPr="00AF78D8">
        <w:rPr>
          <w:rStyle w:val="Appelnotedebasdep"/>
          <w:lang w:val="en-CA"/>
        </w:rPr>
        <w:footnoteRef/>
      </w:r>
      <w:r w:rsidRPr="00AF78D8">
        <w:rPr>
          <w:lang w:val="en-CA"/>
        </w:rPr>
        <w:t xml:space="preserve"> </w:t>
      </w:r>
      <w:r w:rsidRPr="00AF78D8">
        <w:rPr>
          <w:lang w:val="en-CA"/>
        </w:rPr>
        <w:tab/>
      </w:r>
      <w:r w:rsidR="002D486A" w:rsidRPr="00AF78D8">
        <w:rPr>
          <w:i/>
          <w:iCs/>
          <w:lang w:val="en-CA"/>
        </w:rPr>
        <w:t>R</w:t>
      </w:r>
      <w:r w:rsidRPr="00AF78D8">
        <w:rPr>
          <w:i/>
          <w:iCs/>
          <w:lang w:val="en-CA"/>
        </w:rPr>
        <w:t>.</w:t>
      </w:r>
      <w:r w:rsidRPr="00AF78D8">
        <w:rPr>
          <w:i/>
          <w:lang w:val="en-CA"/>
        </w:rPr>
        <w:t xml:space="preserve"> v. Mac, </w:t>
      </w:r>
      <w:r w:rsidRPr="00AF78D8">
        <w:rPr>
          <w:iCs/>
          <w:lang w:val="en-CA"/>
        </w:rPr>
        <w:t>1995 CanLII 2071 (ON CA) at</w:t>
      </w:r>
      <w:r w:rsidRPr="00AF78D8">
        <w:rPr>
          <w:lang w:val="en-CA"/>
        </w:rPr>
        <w:t xml:space="preserve"> 13 and 14; </w:t>
      </w:r>
      <w:r w:rsidRPr="00AF78D8">
        <w:rPr>
          <w:i/>
          <w:lang w:val="en-CA"/>
        </w:rPr>
        <w:t>Fleming (Gombosh Estate) v. The Queen</w:t>
      </w:r>
      <w:r w:rsidRPr="00AF78D8">
        <w:rPr>
          <w:lang w:val="en-CA"/>
        </w:rPr>
        <w:t>, [1986] 1 SCR 415 at 443–447.</w:t>
      </w:r>
    </w:p>
  </w:footnote>
  <w:footnote w:id="6">
    <w:p w:rsidR="001044DB" w:rsidRPr="00AF78D8" w:rsidRDefault="001044DB" w:rsidP="001044DB">
      <w:pPr>
        <w:pStyle w:val="Notedebasdepage"/>
        <w:rPr>
          <w:lang w:val="en-CA"/>
        </w:rPr>
      </w:pPr>
      <w:r w:rsidRPr="00AF78D8">
        <w:rPr>
          <w:rStyle w:val="Appelnotedebasdep"/>
          <w:lang w:val="en-CA"/>
        </w:rPr>
        <w:footnoteRef/>
      </w:r>
      <w:r w:rsidRPr="00AF78D8">
        <w:rPr>
          <w:lang w:val="en-CA"/>
        </w:rPr>
        <w:t xml:space="preserve"> </w:t>
      </w:r>
      <w:r w:rsidRPr="00AF78D8">
        <w:rPr>
          <w:lang w:val="en-CA"/>
        </w:rPr>
        <w:tab/>
      </w:r>
      <w:r w:rsidRPr="00AF78D8">
        <w:rPr>
          <w:i/>
          <w:lang w:val="en-CA"/>
        </w:rPr>
        <w:t>Centre Chabad</w:t>
      </w:r>
      <w:r w:rsidRPr="00AF78D8">
        <w:rPr>
          <w:lang w:val="en-CA"/>
        </w:rPr>
        <w:t xml:space="preserve"> </w:t>
      </w:r>
      <w:r w:rsidR="00895B9B" w:rsidRPr="00AF78D8">
        <w:rPr>
          <w:lang w:val="en-CA"/>
        </w:rPr>
        <w:t>v</w:t>
      </w:r>
      <w:r w:rsidRPr="00AF78D8">
        <w:rPr>
          <w:i/>
          <w:iCs/>
          <w:lang w:val="en-CA"/>
        </w:rPr>
        <w:t>.</w:t>
      </w:r>
      <w:r w:rsidRPr="00AF78D8">
        <w:rPr>
          <w:lang w:val="en-CA"/>
        </w:rPr>
        <w:t xml:space="preserve"> </w:t>
      </w:r>
      <w:r w:rsidRPr="00AF78D8">
        <w:rPr>
          <w:i/>
          <w:lang w:val="en-CA"/>
        </w:rPr>
        <w:t>Autorité des marchés</w:t>
      </w:r>
      <w:r w:rsidR="00E5763B" w:rsidRPr="00AF78D8">
        <w:rPr>
          <w:i/>
          <w:lang w:val="en-CA"/>
        </w:rPr>
        <w:t xml:space="preserve"> </w:t>
      </w:r>
      <w:r w:rsidRPr="00AF78D8">
        <w:rPr>
          <w:i/>
          <w:lang w:val="en-CA"/>
        </w:rPr>
        <w:t>financiers</w:t>
      </w:r>
      <w:r w:rsidRPr="00AF78D8">
        <w:rPr>
          <w:lang w:val="en-CA"/>
        </w:rPr>
        <w:t>, 2018 QCCS 2575 at para. 103.</w:t>
      </w:r>
    </w:p>
  </w:footnote>
  <w:footnote w:id="7">
    <w:p w:rsidR="001044DB" w:rsidRPr="00AF78D8" w:rsidRDefault="001044DB" w:rsidP="001044DB">
      <w:pPr>
        <w:pStyle w:val="Notedebasdepage"/>
        <w:rPr>
          <w:lang w:val="en-CA"/>
        </w:rPr>
      </w:pPr>
      <w:r w:rsidRPr="00AF78D8">
        <w:rPr>
          <w:rStyle w:val="Appelnotedebasdep"/>
          <w:lang w:val="en-CA"/>
        </w:rPr>
        <w:footnoteRef/>
      </w:r>
      <w:r w:rsidRPr="00AF78D8">
        <w:rPr>
          <w:lang w:val="en-CA"/>
        </w:rPr>
        <w:t xml:space="preserve"> </w:t>
      </w:r>
      <w:r w:rsidRPr="00AF78D8">
        <w:rPr>
          <w:lang w:val="en-CA"/>
        </w:rPr>
        <w:tab/>
      </w:r>
      <w:r w:rsidRPr="00AF78D8">
        <w:rPr>
          <w:i/>
          <w:lang w:val="en-CA"/>
        </w:rPr>
        <w:t>R.</w:t>
      </w:r>
      <w:r w:rsidRPr="00AF78D8">
        <w:rPr>
          <w:lang w:val="en-CA"/>
        </w:rPr>
        <w:t xml:space="preserve"> </w:t>
      </w:r>
      <w:r w:rsidRPr="00AF78D8">
        <w:rPr>
          <w:i/>
          <w:iCs/>
          <w:lang w:val="en-CA"/>
        </w:rPr>
        <w:t>v.</w:t>
      </w:r>
      <w:r w:rsidRPr="00AF78D8">
        <w:rPr>
          <w:lang w:val="en-CA"/>
        </w:rPr>
        <w:t xml:space="preserve"> </w:t>
      </w:r>
      <w:r w:rsidRPr="00AF78D8">
        <w:rPr>
          <w:i/>
          <w:lang w:val="en-CA"/>
        </w:rPr>
        <w:t>Raponi</w:t>
      </w:r>
      <w:r w:rsidRPr="00AF78D8">
        <w:rPr>
          <w:lang w:val="en-CA"/>
        </w:rPr>
        <w:t>, 2004 SCC 50 at para. 30.</w:t>
      </w:r>
    </w:p>
  </w:footnote>
  <w:footnote w:id="8">
    <w:p w:rsidR="001044DB" w:rsidRPr="00AF78D8" w:rsidRDefault="001044DB" w:rsidP="001044DB">
      <w:pPr>
        <w:pStyle w:val="Notedebasdepage"/>
        <w:rPr>
          <w:lang w:val="en-CA"/>
        </w:rPr>
      </w:pPr>
      <w:r w:rsidRPr="00AF78D8">
        <w:rPr>
          <w:rStyle w:val="Appelnotedebasdep"/>
          <w:lang w:val="en-CA"/>
        </w:rPr>
        <w:footnoteRef/>
      </w:r>
      <w:r w:rsidRPr="00AF78D8">
        <w:rPr>
          <w:lang w:val="en-CA"/>
        </w:rPr>
        <w:t xml:space="preserve"> </w:t>
      </w:r>
      <w:r w:rsidRPr="00AF78D8">
        <w:rPr>
          <w:lang w:val="en-CA"/>
        </w:rPr>
        <w:tab/>
      </w:r>
      <w:r w:rsidRPr="00AF78D8">
        <w:rPr>
          <w:i/>
          <w:lang w:val="en-CA"/>
        </w:rPr>
        <w:t>Canada (Procureur</w:t>
      </w:r>
      <w:r w:rsidR="00E5763B" w:rsidRPr="00AF78D8">
        <w:rPr>
          <w:i/>
          <w:lang w:val="en-CA"/>
        </w:rPr>
        <w:t xml:space="preserve"> </w:t>
      </w:r>
      <w:r w:rsidRPr="00AF78D8">
        <w:rPr>
          <w:i/>
          <w:lang w:val="en-CA"/>
        </w:rPr>
        <w:t>général)</w:t>
      </w:r>
      <w:r w:rsidRPr="00AF78D8">
        <w:rPr>
          <w:lang w:val="en-CA"/>
        </w:rPr>
        <w:t xml:space="preserve"> </w:t>
      </w:r>
      <w:r w:rsidR="00895B9B" w:rsidRPr="00AF78D8">
        <w:rPr>
          <w:lang w:val="en-CA"/>
        </w:rPr>
        <w:t>v</w:t>
      </w:r>
      <w:r w:rsidRPr="00AF78D8">
        <w:rPr>
          <w:lang w:val="en-CA"/>
        </w:rPr>
        <w:t xml:space="preserve">. </w:t>
      </w:r>
      <w:r w:rsidRPr="00AF78D8">
        <w:rPr>
          <w:i/>
          <w:lang w:val="en-CA"/>
        </w:rPr>
        <w:t>Vincent</w:t>
      </w:r>
      <w:r w:rsidRPr="00AF78D8">
        <w:rPr>
          <w:lang w:val="en-CA"/>
        </w:rPr>
        <w:t>, 1996 CanLII 5776 (QC CA) at 5 and 6.</w:t>
      </w:r>
    </w:p>
  </w:footnote>
  <w:footnote w:id="9">
    <w:p w:rsidR="001044DB" w:rsidRPr="00AF78D8" w:rsidRDefault="001044DB" w:rsidP="001044DB">
      <w:pPr>
        <w:pStyle w:val="Notedebasdepage"/>
        <w:rPr>
          <w:lang w:val="en-CA"/>
        </w:rPr>
      </w:pPr>
      <w:r w:rsidRPr="00AF78D8">
        <w:rPr>
          <w:rStyle w:val="Appelnotedebasdep"/>
          <w:lang w:val="en-CA"/>
        </w:rPr>
        <w:footnoteRef/>
      </w:r>
      <w:r w:rsidRPr="00AF78D8">
        <w:rPr>
          <w:lang w:val="en-CA"/>
        </w:rPr>
        <w:t xml:space="preserve"> </w:t>
      </w:r>
      <w:r w:rsidRPr="00AF78D8">
        <w:rPr>
          <w:lang w:val="en-CA"/>
        </w:rPr>
        <w:tab/>
      </w:r>
      <w:r w:rsidRPr="00AF78D8">
        <w:rPr>
          <w:i/>
          <w:lang w:val="en-CA"/>
        </w:rPr>
        <w:t xml:space="preserve">Lagiorgia v. Canada, </w:t>
      </w:r>
      <w:r w:rsidRPr="00AF78D8">
        <w:rPr>
          <w:iCs/>
          <w:lang w:val="en-CA"/>
        </w:rPr>
        <w:t>[1987] 3 FC 28</w:t>
      </w:r>
      <w:r w:rsidRPr="00AF78D8">
        <w:rPr>
          <w:i/>
          <w:lang w:val="en-CA"/>
        </w:rPr>
        <w:t xml:space="preserve"> </w:t>
      </w:r>
      <w:r w:rsidRPr="00AF78D8">
        <w:rPr>
          <w:lang w:val="en-CA"/>
        </w:rPr>
        <w:t>(FCA).</w:t>
      </w:r>
    </w:p>
  </w:footnote>
  <w:footnote w:id="10">
    <w:p w:rsidR="00955D4C" w:rsidRPr="00AF78D8" w:rsidRDefault="00955D4C">
      <w:pPr>
        <w:pStyle w:val="Notedebasdepage"/>
        <w:rPr>
          <w:lang w:val="en-CA"/>
        </w:rPr>
      </w:pPr>
      <w:r w:rsidRPr="00AF78D8">
        <w:rPr>
          <w:rStyle w:val="Appelnotedebasdep"/>
          <w:lang w:val="en-CA"/>
        </w:rPr>
        <w:footnoteRef/>
      </w:r>
      <w:r w:rsidRPr="00AF78D8">
        <w:rPr>
          <w:lang w:val="en-CA"/>
        </w:rPr>
        <w:t xml:space="preserve"> </w:t>
      </w:r>
      <w:r w:rsidRPr="00AF78D8">
        <w:rPr>
          <w:lang w:val="en-CA"/>
        </w:rPr>
        <w:tab/>
      </w:r>
      <w:r w:rsidRPr="00AF78D8">
        <w:rPr>
          <w:i/>
          <w:lang w:val="en-CA"/>
        </w:rPr>
        <w:t>R.</w:t>
      </w:r>
      <w:r w:rsidRPr="00AF78D8">
        <w:rPr>
          <w:lang w:val="en-CA"/>
        </w:rPr>
        <w:t xml:space="preserve"> </w:t>
      </w:r>
      <w:r w:rsidR="00895B9B" w:rsidRPr="00AF78D8">
        <w:rPr>
          <w:lang w:val="en-CA"/>
        </w:rPr>
        <w:t>v</w:t>
      </w:r>
      <w:r w:rsidRPr="00AF78D8">
        <w:rPr>
          <w:i/>
          <w:iCs/>
          <w:lang w:val="en-CA"/>
        </w:rPr>
        <w:t>.</w:t>
      </w:r>
      <w:r w:rsidRPr="00AF78D8">
        <w:rPr>
          <w:lang w:val="en-CA"/>
        </w:rPr>
        <w:t xml:space="preserve"> </w:t>
      </w:r>
      <w:r w:rsidRPr="00AF78D8">
        <w:rPr>
          <w:i/>
          <w:lang w:val="en-CA"/>
        </w:rPr>
        <w:t>Garneau</w:t>
      </w:r>
      <w:r w:rsidRPr="00AF78D8">
        <w:rPr>
          <w:lang w:val="en-CA"/>
        </w:rPr>
        <w:t>, 2019 QCCS 2514</w:t>
      </w:r>
      <w:r w:rsidR="00585DB3" w:rsidRPr="00AF78D8">
        <w:rPr>
          <w:lang w:val="en-CA"/>
        </w:rPr>
        <w:t xml:space="preserve"> at</w:t>
      </w:r>
      <w:r w:rsidRPr="00AF78D8">
        <w:rPr>
          <w:lang w:val="en-CA"/>
        </w:rPr>
        <w:t xml:space="preserve"> para</w:t>
      </w:r>
      <w:r w:rsidR="00585DB3" w:rsidRPr="00AF78D8">
        <w:rPr>
          <w:lang w:val="en-CA"/>
        </w:rPr>
        <w:t>s</w:t>
      </w:r>
      <w:r w:rsidRPr="00AF78D8">
        <w:rPr>
          <w:lang w:val="en-CA"/>
        </w:rPr>
        <w:t>. 36</w:t>
      </w:r>
      <w:r w:rsidR="00585DB3" w:rsidRPr="00AF78D8">
        <w:rPr>
          <w:lang w:val="en-CA"/>
        </w:rPr>
        <w:t>–</w:t>
      </w:r>
      <w:r w:rsidRPr="00AF78D8">
        <w:rPr>
          <w:lang w:val="en-CA"/>
        </w:rPr>
        <w:t xml:space="preserve">39 </w:t>
      </w:r>
      <w:r w:rsidR="00585DB3" w:rsidRPr="00AF78D8">
        <w:rPr>
          <w:lang w:val="en-CA"/>
        </w:rPr>
        <w:t>and</w:t>
      </w:r>
      <w:r w:rsidRPr="00AF78D8">
        <w:rPr>
          <w:lang w:val="en-CA"/>
        </w:rPr>
        <w:t xml:space="preserve"> 43</w:t>
      </w:r>
      <w:r w:rsidR="00585DB3" w:rsidRPr="00AF78D8">
        <w:rPr>
          <w:lang w:val="en-CA"/>
        </w:rPr>
        <w:t>–</w:t>
      </w:r>
      <w:r w:rsidRPr="00AF78D8">
        <w:rPr>
          <w:lang w:val="en-CA"/>
        </w:rPr>
        <w:t xml:space="preserve">45; </w:t>
      </w:r>
      <w:r w:rsidRPr="00AF78D8">
        <w:rPr>
          <w:i/>
          <w:lang w:val="en-CA"/>
        </w:rPr>
        <w:t>R.</w:t>
      </w:r>
      <w:r w:rsidRPr="00AF78D8">
        <w:rPr>
          <w:lang w:val="en-CA"/>
        </w:rPr>
        <w:t xml:space="preserve"> </w:t>
      </w:r>
      <w:r w:rsidR="00585DB3" w:rsidRPr="00AF78D8">
        <w:rPr>
          <w:i/>
          <w:iCs/>
          <w:lang w:val="en-CA"/>
        </w:rPr>
        <w:t>v</w:t>
      </w:r>
      <w:r w:rsidRPr="00AF78D8">
        <w:rPr>
          <w:i/>
          <w:iCs/>
          <w:lang w:val="en-CA"/>
        </w:rPr>
        <w:t>.</w:t>
      </w:r>
      <w:r w:rsidRPr="00AF78D8">
        <w:rPr>
          <w:lang w:val="en-CA"/>
        </w:rPr>
        <w:t xml:space="preserve"> </w:t>
      </w:r>
      <w:r w:rsidRPr="00AF78D8">
        <w:rPr>
          <w:i/>
          <w:lang w:val="en-CA"/>
        </w:rPr>
        <w:t>Scott</w:t>
      </w:r>
      <w:r w:rsidRPr="00AF78D8">
        <w:rPr>
          <w:lang w:val="en-CA"/>
        </w:rPr>
        <w:t xml:space="preserve">, 2015 MBCA 43 </w:t>
      </w:r>
      <w:r w:rsidR="00585DB3" w:rsidRPr="00AF78D8">
        <w:rPr>
          <w:lang w:val="en-CA"/>
        </w:rPr>
        <w:t xml:space="preserve">at </w:t>
      </w:r>
      <w:r w:rsidRPr="00AF78D8">
        <w:rPr>
          <w:lang w:val="en-CA"/>
        </w:rPr>
        <w:t>para. 18.</w:t>
      </w:r>
    </w:p>
  </w:footnote>
  <w:footnote w:id="11">
    <w:p w:rsidR="00B93F6C" w:rsidRPr="00AF78D8" w:rsidRDefault="00B93F6C" w:rsidP="00B93F6C">
      <w:pPr>
        <w:pStyle w:val="Notedebasdepage"/>
        <w:rPr>
          <w:lang w:val="en-CA"/>
        </w:rPr>
      </w:pPr>
      <w:r w:rsidRPr="00AF78D8">
        <w:rPr>
          <w:rStyle w:val="Appelnotedebasdep"/>
          <w:lang w:val="en-CA"/>
        </w:rPr>
        <w:footnoteRef/>
      </w:r>
      <w:r w:rsidRPr="00AF78D8">
        <w:rPr>
          <w:lang w:val="en-CA"/>
        </w:rPr>
        <w:t xml:space="preserve"> </w:t>
      </w:r>
      <w:r w:rsidRPr="00AF78D8">
        <w:rPr>
          <w:lang w:val="en-CA"/>
        </w:rPr>
        <w:tab/>
      </w:r>
      <w:r w:rsidR="00585DB3" w:rsidRPr="00AF78D8">
        <w:rPr>
          <w:i/>
          <w:lang w:val="en-CA"/>
        </w:rPr>
        <w:t xml:space="preserve">Canada (Attorney General). v. Taylor, </w:t>
      </w:r>
      <w:r w:rsidR="00585DB3" w:rsidRPr="00AF78D8">
        <w:rPr>
          <w:iCs/>
          <w:lang w:val="en-CA"/>
        </w:rPr>
        <w:t>2011 NLCA 72 at</w:t>
      </w:r>
      <w:r w:rsidRPr="00AF78D8">
        <w:rPr>
          <w:lang w:val="en-CA"/>
        </w:rPr>
        <w:t xml:space="preserve"> para. 49.</w:t>
      </w:r>
    </w:p>
  </w:footnote>
  <w:footnote w:id="12">
    <w:p w:rsidR="00955D4C" w:rsidRPr="00AF78D8" w:rsidRDefault="00955D4C">
      <w:pPr>
        <w:pStyle w:val="Notedebasdepage"/>
        <w:rPr>
          <w:lang w:val="en-CA"/>
        </w:rPr>
      </w:pPr>
      <w:r w:rsidRPr="00AF78D8">
        <w:rPr>
          <w:rStyle w:val="Appelnotedebasdep"/>
          <w:lang w:val="en-CA"/>
        </w:rPr>
        <w:footnoteRef/>
      </w:r>
      <w:r w:rsidRPr="00AF78D8">
        <w:rPr>
          <w:lang w:val="en-CA"/>
        </w:rPr>
        <w:t xml:space="preserve"> </w:t>
      </w:r>
      <w:r w:rsidRPr="00AF78D8">
        <w:rPr>
          <w:lang w:val="en-CA"/>
        </w:rPr>
        <w:tab/>
      </w:r>
      <w:r w:rsidR="009C3193" w:rsidRPr="00AF78D8">
        <w:rPr>
          <w:i/>
          <w:lang w:val="en-CA"/>
        </w:rPr>
        <w:t>I</w:t>
      </w:r>
      <w:r w:rsidR="00585DB3" w:rsidRPr="00AF78D8">
        <w:rPr>
          <w:i/>
          <w:lang w:val="en-CA"/>
        </w:rPr>
        <w:t>bi</w:t>
      </w:r>
      <w:r w:rsidR="009C3193" w:rsidRPr="00AF78D8">
        <w:rPr>
          <w:i/>
          <w:lang w:val="en-CA"/>
        </w:rPr>
        <w:t>d.</w:t>
      </w:r>
      <w:r w:rsidR="00585DB3" w:rsidRPr="00AF78D8">
        <w:rPr>
          <w:lang w:val="en-CA"/>
        </w:rPr>
        <w:t xml:space="preserve"> at </w:t>
      </w:r>
      <w:r w:rsidRPr="00AF78D8">
        <w:rPr>
          <w:lang w:val="en-CA"/>
        </w:rPr>
        <w:t>para. 48.</w:t>
      </w:r>
    </w:p>
  </w:footnote>
  <w:footnote w:id="13">
    <w:p w:rsidR="00955D4C" w:rsidRPr="00AF78D8" w:rsidRDefault="00955D4C">
      <w:pPr>
        <w:pStyle w:val="Notedebasdepage"/>
        <w:rPr>
          <w:lang w:val="en-CA"/>
        </w:rPr>
      </w:pPr>
      <w:r w:rsidRPr="00AF78D8">
        <w:rPr>
          <w:rStyle w:val="Appelnotedebasdep"/>
          <w:lang w:val="en-CA"/>
        </w:rPr>
        <w:footnoteRef/>
      </w:r>
      <w:r w:rsidRPr="00AF78D8">
        <w:rPr>
          <w:lang w:val="en-CA"/>
        </w:rPr>
        <w:t xml:space="preserve"> </w:t>
      </w:r>
      <w:r w:rsidRPr="00AF78D8">
        <w:rPr>
          <w:lang w:val="en-CA"/>
        </w:rPr>
        <w:tab/>
      </w:r>
      <w:r w:rsidR="00585DB3" w:rsidRPr="00AF78D8">
        <w:rPr>
          <w:i/>
          <w:lang w:val="en-CA"/>
        </w:rPr>
        <w:t>R. v. Spindloe</w:t>
      </w:r>
      <w:r w:rsidRPr="00AF78D8">
        <w:rPr>
          <w:lang w:val="en-CA"/>
        </w:rPr>
        <w:t>, 2001 SKCA 58</w:t>
      </w:r>
      <w:r w:rsidR="00585DB3" w:rsidRPr="00AF78D8">
        <w:rPr>
          <w:lang w:val="en-CA"/>
        </w:rPr>
        <w:t xml:space="preserve"> at</w:t>
      </w:r>
      <w:r w:rsidRPr="00AF78D8">
        <w:rPr>
          <w:lang w:val="en-CA"/>
        </w:rPr>
        <w:t xml:space="preserve"> para</w:t>
      </w:r>
      <w:r w:rsidR="00585DB3" w:rsidRPr="00AF78D8">
        <w:rPr>
          <w:lang w:val="en-CA"/>
        </w:rPr>
        <w:t>s</w:t>
      </w:r>
      <w:r w:rsidRPr="00AF78D8">
        <w:rPr>
          <w:lang w:val="en-CA"/>
        </w:rPr>
        <w:t xml:space="preserve">. 113 </w:t>
      </w:r>
      <w:r w:rsidR="00585DB3" w:rsidRPr="00AF78D8">
        <w:rPr>
          <w:lang w:val="en-CA"/>
        </w:rPr>
        <w:t>and</w:t>
      </w:r>
      <w:r w:rsidRPr="00AF78D8">
        <w:rPr>
          <w:lang w:val="en-CA"/>
        </w:rPr>
        <w:t xml:space="preserve"> 113.</w:t>
      </w:r>
    </w:p>
  </w:footnote>
  <w:footnote w:id="14">
    <w:p w:rsidR="0050122F" w:rsidRPr="00AF78D8" w:rsidRDefault="0050122F" w:rsidP="0050122F">
      <w:pPr>
        <w:pStyle w:val="Notedebasdepage"/>
        <w:rPr>
          <w:lang w:val="en-CA"/>
        </w:rPr>
      </w:pPr>
      <w:r w:rsidRPr="00AF78D8">
        <w:rPr>
          <w:rStyle w:val="Appelnotedebasdep"/>
          <w:lang w:val="en-CA"/>
        </w:rPr>
        <w:footnoteRef/>
      </w:r>
      <w:r w:rsidRPr="00AF78D8">
        <w:rPr>
          <w:lang w:val="en-CA"/>
        </w:rPr>
        <w:t xml:space="preserve"> </w:t>
      </w:r>
      <w:r w:rsidRPr="00AF78D8">
        <w:rPr>
          <w:lang w:val="en-CA"/>
        </w:rPr>
        <w:tab/>
      </w:r>
      <w:r w:rsidRPr="00AF78D8">
        <w:rPr>
          <w:i/>
          <w:lang w:val="en-CA"/>
        </w:rPr>
        <w:t>Guimont</w:t>
      </w:r>
      <w:r w:rsidRPr="00AF78D8">
        <w:rPr>
          <w:lang w:val="en-CA"/>
        </w:rPr>
        <w:t xml:space="preserve"> </w:t>
      </w:r>
      <w:r w:rsidR="00895B9B" w:rsidRPr="00AF78D8">
        <w:rPr>
          <w:lang w:val="en-CA"/>
        </w:rPr>
        <w:t>v</w:t>
      </w:r>
      <w:r w:rsidRPr="00AF78D8">
        <w:rPr>
          <w:lang w:val="en-CA"/>
        </w:rPr>
        <w:t xml:space="preserve">. </w:t>
      </w:r>
      <w:r w:rsidRPr="00AF78D8">
        <w:rPr>
          <w:i/>
          <w:lang w:val="en-CA"/>
        </w:rPr>
        <w:t>R.</w:t>
      </w:r>
      <w:r w:rsidRPr="00AF78D8">
        <w:rPr>
          <w:lang w:val="en-CA"/>
        </w:rPr>
        <w:t>, 2020 QCCA 1759</w:t>
      </w:r>
      <w:r w:rsidR="00865EA9" w:rsidRPr="00AF78D8">
        <w:rPr>
          <w:lang w:val="en-CA"/>
        </w:rPr>
        <w:t xml:space="preserve"> at paras.</w:t>
      </w:r>
      <w:r w:rsidRPr="00AF78D8">
        <w:rPr>
          <w:lang w:val="en-CA"/>
        </w:rPr>
        <w:t xml:space="preserve"> 3, 4, 8, 26</w:t>
      </w:r>
      <w:r w:rsidR="00865EA9" w:rsidRPr="00AF78D8">
        <w:rPr>
          <w:lang w:val="en-CA"/>
        </w:rPr>
        <w:t xml:space="preserve">, and </w:t>
      </w:r>
      <w:r w:rsidRPr="00AF78D8">
        <w:rPr>
          <w:lang w:val="en-CA"/>
        </w:rPr>
        <w:t>31.</w:t>
      </w:r>
    </w:p>
  </w:footnote>
  <w:footnote w:id="15">
    <w:p w:rsidR="007A0C45" w:rsidRPr="00AF78D8" w:rsidRDefault="007A0C45">
      <w:pPr>
        <w:pStyle w:val="Notedebasdepage"/>
        <w:rPr>
          <w:lang w:val="en-CA"/>
        </w:rPr>
      </w:pPr>
      <w:r w:rsidRPr="00AF78D8">
        <w:rPr>
          <w:rStyle w:val="Appelnotedebasdep"/>
          <w:lang w:val="en-CA"/>
        </w:rPr>
        <w:footnoteRef/>
      </w:r>
      <w:r w:rsidRPr="00AF78D8">
        <w:rPr>
          <w:lang w:val="en-CA"/>
        </w:rPr>
        <w:t xml:space="preserve"> </w:t>
      </w:r>
      <w:r w:rsidRPr="00AF78D8">
        <w:rPr>
          <w:lang w:val="en-CA"/>
        </w:rPr>
        <w:tab/>
      </w:r>
      <w:r w:rsidRPr="00AF78D8">
        <w:rPr>
          <w:i/>
          <w:lang w:val="en-CA"/>
        </w:rPr>
        <w:t>9141-2023 Québec inc.</w:t>
      </w:r>
      <w:r w:rsidRPr="00AF78D8">
        <w:rPr>
          <w:lang w:val="en-CA"/>
        </w:rPr>
        <w:t xml:space="preserve"> </w:t>
      </w:r>
      <w:r w:rsidR="00895B9B" w:rsidRPr="00AF78D8">
        <w:rPr>
          <w:lang w:val="en-CA"/>
        </w:rPr>
        <w:t>v</w:t>
      </w:r>
      <w:r w:rsidRPr="00AF78D8">
        <w:rPr>
          <w:lang w:val="en-CA"/>
        </w:rPr>
        <w:t xml:space="preserve">. </w:t>
      </w:r>
      <w:r w:rsidRPr="00AF78D8">
        <w:rPr>
          <w:i/>
          <w:lang w:val="en-CA"/>
        </w:rPr>
        <w:t>R.</w:t>
      </w:r>
      <w:r w:rsidRPr="00AF78D8">
        <w:rPr>
          <w:lang w:val="en-CA"/>
        </w:rPr>
        <w:t>, 2021 QCCS 386</w:t>
      </w:r>
      <w:r w:rsidR="00865EA9" w:rsidRPr="00AF78D8">
        <w:rPr>
          <w:lang w:val="en-CA"/>
        </w:rPr>
        <w:t xml:space="preserve"> at </w:t>
      </w:r>
      <w:r w:rsidRPr="00AF78D8">
        <w:rPr>
          <w:lang w:val="en-CA"/>
        </w:rPr>
        <w:t>para</w:t>
      </w:r>
      <w:r w:rsidR="00865EA9" w:rsidRPr="00AF78D8">
        <w:rPr>
          <w:lang w:val="en-CA"/>
        </w:rPr>
        <w:t>s</w:t>
      </w:r>
      <w:r w:rsidRPr="00AF78D8">
        <w:rPr>
          <w:lang w:val="en-CA"/>
        </w:rPr>
        <w:t>. 58</w:t>
      </w:r>
      <w:r w:rsidR="00865EA9" w:rsidRPr="00AF78D8">
        <w:rPr>
          <w:lang w:val="en-CA"/>
        </w:rPr>
        <w:t>–</w:t>
      </w:r>
      <w:r w:rsidRPr="00AF78D8">
        <w:rPr>
          <w:lang w:val="en-CA"/>
        </w:rPr>
        <w:t xml:space="preserve">65 </w:t>
      </w:r>
      <w:r w:rsidR="00865EA9" w:rsidRPr="00AF78D8">
        <w:rPr>
          <w:lang w:val="en-CA"/>
        </w:rPr>
        <w:t>and</w:t>
      </w:r>
      <w:r w:rsidRPr="00AF78D8">
        <w:rPr>
          <w:lang w:val="en-CA"/>
        </w:rPr>
        <w:t xml:space="preserve"> 69.</w:t>
      </w:r>
    </w:p>
  </w:footnote>
  <w:footnote w:id="16">
    <w:p w:rsidR="00955D4C" w:rsidRPr="00AF78D8" w:rsidRDefault="00955D4C">
      <w:pPr>
        <w:pStyle w:val="Notedebasdepage"/>
        <w:rPr>
          <w:lang w:val="en-CA"/>
        </w:rPr>
      </w:pPr>
      <w:r w:rsidRPr="00AF78D8">
        <w:rPr>
          <w:rStyle w:val="Appelnotedebasdep"/>
          <w:lang w:val="en-CA"/>
        </w:rPr>
        <w:footnoteRef/>
      </w:r>
      <w:r w:rsidRPr="00AF78D8">
        <w:rPr>
          <w:lang w:val="en-CA"/>
        </w:rPr>
        <w:t xml:space="preserve"> </w:t>
      </w:r>
      <w:r w:rsidRPr="00AF78D8">
        <w:rPr>
          <w:lang w:val="en-CA"/>
        </w:rPr>
        <w:tab/>
      </w:r>
      <w:r w:rsidR="00585DB3" w:rsidRPr="00AF78D8">
        <w:rPr>
          <w:i/>
          <w:lang w:val="en-CA"/>
        </w:rPr>
        <w:t>Ibid</w:t>
      </w:r>
      <w:r w:rsidR="007A0C45" w:rsidRPr="00AF78D8">
        <w:rPr>
          <w:i/>
          <w:lang w:val="en-CA"/>
        </w:rPr>
        <w:t>.</w:t>
      </w:r>
      <w:r w:rsidR="00585DB3" w:rsidRPr="00AF78D8">
        <w:rPr>
          <w:i/>
          <w:lang w:val="en-CA"/>
        </w:rPr>
        <w:t xml:space="preserve"> </w:t>
      </w:r>
      <w:r w:rsidR="00585DB3" w:rsidRPr="00AF78D8">
        <w:rPr>
          <w:iCs/>
          <w:lang w:val="en-CA"/>
        </w:rPr>
        <w:t>at</w:t>
      </w:r>
      <w:r w:rsidRPr="00AF78D8">
        <w:rPr>
          <w:lang w:val="en-CA"/>
        </w:rPr>
        <w:t xml:space="preserve"> para</w:t>
      </w:r>
      <w:r w:rsidR="00585DB3" w:rsidRPr="00AF78D8">
        <w:rPr>
          <w:lang w:val="en-CA"/>
        </w:rPr>
        <w:t>s</w:t>
      </w:r>
      <w:r w:rsidRPr="00AF78D8">
        <w:rPr>
          <w:lang w:val="en-CA"/>
        </w:rPr>
        <w:t xml:space="preserve">. 70 </w:t>
      </w:r>
      <w:r w:rsidR="00585DB3" w:rsidRPr="00AF78D8">
        <w:rPr>
          <w:lang w:val="en-CA"/>
        </w:rPr>
        <w:t>and</w:t>
      </w:r>
      <w:r w:rsidRPr="00AF78D8">
        <w:rPr>
          <w:lang w:val="en-CA"/>
        </w:rPr>
        <w:t xml:space="preserve"> 191.</w:t>
      </w:r>
    </w:p>
  </w:footnote>
  <w:footnote w:id="17">
    <w:p w:rsidR="0050122F" w:rsidRPr="00AF78D8" w:rsidRDefault="0050122F" w:rsidP="0050122F">
      <w:pPr>
        <w:pStyle w:val="Notedebasdepage"/>
        <w:rPr>
          <w:lang w:val="en-CA"/>
        </w:rPr>
      </w:pPr>
      <w:r w:rsidRPr="00AF78D8">
        <w:rPr>
          <w:rStyle w:val="Appelnotedebasdep"/>
          <w:lang w:val="en-CA"/>
        </w:rPr>
        <w:footnoteRef/>
      </w:r>
      <w:r w:rsidRPr="00AF78D8">
        <w:rPr>
          <w:lang w:val="en-CA"/>
        </w:rPr>
        <w:t xml:space="preserve"> </w:t>
      </w:r>
      <w:r w:rsidRPr="00AF78D8">
        <w:rPr>
          <w:lang w:val="en-CA"/>
        </w:rPr>
        <w:tab/>
      </w:r>
      <w:r w:rsidRPr="00AF78D8">
        <w:rPr>
          <w:i/>
          <w:lang w:val="en-CA"/>
        </w:rPr>
        <w:t>Guimont</w:t>
      </w:r>
      <w:r w:rsidRPr="00AF78D8">
        <w:rPr>
          <w:lang w:val="en-CA"/>
        </w:rPr>
        <w:t xml:space="preserve"> </w:t>
      </w:r>
      <w:r w:rsidR="00895B9B" w:rsidRPr="00AF78D8">
        <w:rPr>
          <w:lang w:val="en-CA"/>
        </w:rPr>
        <w:t>v</w:t>
      </w:r>
      <w:r w:rsidRPr="00AF78D8">
        <w:rPr>
          <w:lang w:val="en-CA"/>
        </w:rPr>
        <w:t xml:space="preserve">. </w:t>
      </w:r>
      <w:r w:rsidRPr="00AF78D8">
        <w:rPr>
          <w:i/>
          <w:lang w:val="en-CA"/>
        </w:rPr>
        <w:t>R.</w:t>
      </w:r>
      <w:r w:rsidRPr="00AF78D8">
        <w:rPr>
          <w:lang w:val="en-CA"/>
        </w:rPr>
        <w:t>, 2020 QCCA 1759.</w:t>
      </w:r>
    </w:p>
  </w:footnote>
  <w:footnote w:id="18">
    <w:p w:rsidR="007A13EF" w:rsidRPr="00AF78D8" w:rsidRDefault="007A13EF" w:rsidP="007A13EF">
      <w:pPr>
        <w:pStyle w:val="Notedebasdepage"/>
        <w:rPr>
          <w:lang w:val="en-CA"/>
        </w:rPr>
      </w:pPr>
      <w:r w:rsidRPr="00AF78D8">
        <w:rPr>
          <w:rStyle w:val="Appelnotedebasdep"/>
          <w:lang w:val="en-CA"/>
        </w:rPr>
        <w:footnoteRef/>
      </w:r>
      <w:r w:rsidRPr="00AF78D8">
        <w:rPr>
          <w:lang w:val="en-CA"/>
        </w:rPr>
        <w:t xml:space="preserve"> </w:t>
      </w:r>
      <w:r w:rsidRPr="00AF78D8">
        <w:rPr>
          <w:lang w:val="en-CA"/>
        </w:rPr>
        <w:tab/>
      </w:r>
      <w:r w:rsidRPr="00AF78D8">
        <w:rPr>
          <w:i/>
          <w:lang w:val="en-CA"/>
        </w:rPr>
        <w:t>9141-2023 Québec inc.</w:t>
      </w:r>
      <w:r w:rsidRPr="00AF78D8">
        <w:rPr>
          <w:lang w:val="en-CA"/>
        </w:rPr>
        <w:t xml:space="preserve"> </w:t>
      </w:r>
      <w:r w:rsidR="00895B9B" w:rsidRPr="00AF78D8">
        <w:rPr>
          <w:lang w:val="en-CA"/>
        </w:rPr>
        <w:t>v</w:t>
      </w:r>
      <w:r w:rsidRPr="00AF78D8">
        <w:rPr>
          <w:lang w:val="en-CA"/>
        </w:rPr>
        <w:t xml:space="preserve">. </w:t>
      </w:r>
      <w:r w:rsidRPr="00AF78D8">
        <w:rPr>
          <w:i/>
          <w:lang w:val="en-CA"/>
        </w:rPr>
        <w:t>R.</w:t>
      </w:r>
      <w:r w:rsidRPr="00AF78D8">
        <w:rPr>
          <w:lang w:val="en-CA"/>
        </w:rPr>
        <w:t>, 2021 QCCS 386.</w:t>
      </w:r>
    </w:p>
  </w:footnote>
  <w:footnote w:id="19">
    <w:p w:rsidR="0050122F" w:rsidRPr="00AF78D8" w:rsidRDefault="0050122F" w:rsidP="0050122F">
      <w:pPr>
        <w:pStyle w:val="Notedebasdepage"/>
        <w:rPr>
          <w:lang w:val="en-CA"/>
        </w:rPr>
      </w:pPr>
      <w:r w:rsidRPr="00AF78D8">
        <w:rPr>
          <w:rStyle w:val="Appelnotedebasdep"/>
          <w:lang w:val="en-CA"/>
        </w:rPr>
        <w:footnoteRef/>
      </w:r>
      <w:r w:rsidRPr="00AF78D8">
        <w:rPr>
          <w:lang w:val="en-CA"/>
        </w:rPr>
        <w:t xml:space="preserve"> </w:t>
      </w:r>
      <w:r w:rsidRPr="00AF78D8">
        <w:rPr>
          <w:lang w:val="en-CA"/>
        </w:rPr>
        <w:tab/>
      </w:r>
      <w:r w:rsidRPr="00AF78D8">
        <w:rPr>
          <w:i/>
          <w:lang w:val="en-CA"/>
        </w:rPr>
        <w:t>Echostar Corporation</w:t>
      </w:r>
      <w:r w:rsidRPr="00AF78D8">
        <w:rPr>
          <w:lang w:val="en-CA"/>
        </w:rPr>
        <w:t xml:space="preserve"> </w:t>
      </w:r>
      <w:r w:rsidR="00895B9B" w:rsidRPr="00AF78D8">
        <w:rPr>
          <w:lang w:val="en-CA"/>
        </w:rPr>
        <w:t>v</w:t>
      </w:r>
      <w:r w:rsidRPr="00AF78D8">
        <w:rPr>
          <w:lang w:val="en-CA"/>
        </w:rPr>
        <w:t xml:space="preserve">. </w:t>
      </w:r>
      <w:r w:rsidRPr="00AF78D8">
        <w:rPr>
          <w:i/>
          <w:lang w:val="en-CA"/>
        </w:rPr>
        <w:t>Service</w:t>
      </w:r>
      <w:r w:rsidR="00E5763B" w:rsidRPr="00AF78D8">
        <w:rPr>
          <w:i/>
          <w:lang w:val="en-CA"/>
        </w:rPr>
        <w:t xml:space="preserve"> </w:t>
      </w:r>
      <w:r w:rsidRPr="00AF78D8">
        <w:rPr>
          <w:i/>
          <w:lang w:val="en-CA"/>
        </w:rPr>
        <w:t>de</w:t>
      </w:r>
      <w:r w:rsidR="00E5763B" w:rsidRPr="00AF78D8">
        <w:rPr>
          <w:i/>
          <w:lang w:val="en-CA"/>
        </w:rPr>
        <w:t xml:space="preserve"> </w:t>
      </w:r>
      <w:r w:rsidRPr="00AF78D8">
        <w:rPr>
          <w:i/>
          <w:lang w:val="en-CA"/>
        </w:rPr>
        <w:t>poursuites</w:t>
      </w:r>
      <w:r w:rsidR="00E5763B" w:rsidRPr="00AF78D8">
        <w:rPr>
          <w:i/>
          <w:lang w:val="en-CA"/>
        </w:rPr>
        <w:t xml:space="preserve"> </w:t>
      </w:r>
      <w:r w:rsidRPr="00AF78D8">
        <w:rPr>
          <w:i/>
          <w:lang w:val="en-CA"/>
        </w:rPr>
        <w:t>pénales</w:t>
      </w:r>
      <w:r w:rsidR="00E5763B" w:rsidRPr="00AF78D8">
        <w:rPr>
          <w:i/>
          <w:lang w:val="en-CA"/>
        </w:rPr>
        <w:t xml:space="preserve"> </w:t>
      </w:r>
      <w:r w:rsidRPr="00AF78D8">
        <w:rPr>
          <w:i/>
          <w:lang w:val="en-CA"/>
        </w:rPr>
        <w:t>du</w:t>
      </w:r>
      <w:r w:rsidR="00E5763B" w:rsidRPr="00AF78D8">
        <w:rPr>
          <w:i/>
          <w:lang w:val="en-CA"/>
        </w:rPr>
        <w:t xml:space="preserve"> </w:t>
      </w:r>
      <w:r w:rsidRPr="00AF78D8">
        <w:rPr>
          <w:i/>
          <w:lang w:val="en-CA"/>
        </w:rPr>
        <w:t>Canada</w:t>
      </w:r>
      <w:r w:rsidRPr="00AF78D8">
        <w:rPr>
          <w:lang w:val="en-CA"/>
        </w:rPr>
        <w:t>, 2009 QCCQ 4827</w:t>
      </w:r>
      <w:r w:rsidR="00585DB3" w:rsidRPr="00AF78D8">
        <w:rPr>
          <w:lang w:val="en-CA"/>
        </w:rPr>
        <w:t xml:space="preserve"> at</w:t>
      </w:r>
      <w:r w:rsidRPr="00AF78D8">
        <w:rPr>
          <w:lang w:val="en-CA"/>
        </w:rPr>
        <w:t xml:space="preserve"> para. 38.</w:t>
      </w:r>
    </w:p>
  </w:footnote>
  <w:footnote w:id="20">
    <w:p w:rsidR="0050122F" w:rsidRPr="00AF78D8" w:rsidRDefault="0050122F" w:rsidP="0050122F">
      <w:pPr>
        <w:pStyle w:val="Notedebasdepage"/>
        <w:rPr>
          <w:lang w:val="en-CA"/>
        </w:rPr>
      </w:pPr>
      <w:r w:rsidRPr="00AF78D8">
        <w:rPr>
          <w:rStyle w:val="Appelnotedebasdep"/>
          <w:lang w:val="en-CA"/>
        </w:rPr>
        <w:footnoteRef/>
      </w:r>
      <w:r w:rsidRPr="00AF78D8">
        <w:rPr>
          <w:lang w:val="en-CA"/>
        </w:rPr>
        <w:t xml:space="preserve"> </w:t>
      </w:r>
      <w:r w:rsidRPr="00AF78D8">
        <w:rPr>
          <w:lang w:val="en-CA"/>
        </w:rPr>
        <w:tab/>
      </w:r>
      <w:r w:rsidR="00585DB3" w:rsidRPr="00AF78D8">
        <w:rPr>
          <w:lang w:val="en-CA"/>
        </w:rPr>
        <w:t>See to the same effect</w:t>
      </w:r>
      <w:r w:rsidRPr="00AF78D8">
        <w:rPr>
          <w:lang w:val="en-CA"/>
        </w:rPr>
        <w:t xml:space="preserve"> </w:t>
      </w:r>
      <w:r w:rsidRPr="00AF78D8">
        <w:rPr>
          <w:i/>
          <w:lang w:val="en-CA"/>
        </w:rPr>
        <w:t>R</w:t>
      </w:r>
      <w:r w:rsidRPr="00AF78D8">
        <w:rPr>
          <w:lang w:val="en-CA"/>
        </w:rPr>
        <w:t xml:space="preserve">. </w:t>
      </w:r>
      <w:r w:rsidR="00895B9B" w:rsidRPr="00AF78D8">
        <w:rPr>
          <w:lang w:val="en-CA"/>
        </w:rPr>
        <w:t>v</w:t>
      </w:r>
      <w:r w:rsidRPr="00AF78D8">
        <w:rPr>
          <w:lang w:val="en-CA"/>
        </w:rPr>
        <w:t xml:space="preserve">. </w:t>
      </w:r>
      <w:r w:rsidRPr="00AF78D8">
        <w:rPr>
          <w:i/>
          <w:lang w:val="en-CA"/>
        </w:rPr>
        <w:t>Robert</w:t>
      </w:r>
      <w:r w:rsidRPr="00AF78D8">
        <w:rPr>
          <w:lang w:val="en-CA"/>
        </w:rPr>
        <w:t xml:space="preserve"> </w:t>
      </w:r>
      <w:r w:rsidRPr="00AF78D8">
        <w:rPr>
          <w:i/>
          <w:lang w:val="en-CA"/>
        </w:rPr>
        <w:t>Vienneau</w:t>
      </w:r>
      <w:r w:rsidRPr="00AF78D8">
        <w:rPr>
          <w:lang w:val="en-CA"/>
        </w:rPr>
        <w:t>, 2010 NBCP 5</w:t>
      </w:r>
      <w:r w:rsidR="00585DB3" w:rsidRPr="00AF78D8">
        <w:rPr>
          <w:lang w:val="en-CA"/>
        </w:rPr>
        <w:t xml:space="preserve"> at</w:t>
      </w:r>
      <w:r w:rsidRPr="00AF78D8">
        <w:rPr>
          <w:lang w:val="en-CA"/>
        </w:rPr>
        <w:t xml:space="preserve"> para. 19.</w:t>
      </w:r>
    </w:p>
  </w:footnote>
  <w:footnote w:id="21">
    <w:p w:rsidR="00723D80" w:rsidRPr="00AF78D8" w:rsidRDefault="00723D80" w:rsidP="00723D80">
      <w:pPr>
        <w:pStyle w:val="Notedebasdepage"/>
        <w:rPr>
          <w:lang w:val="en-CA"/>
        </w:rPr>
      </w:pPr>
      <w:r w:rsidRPr="00AF78D8">
        <w:rPr>
          <w:rStyle w:val="Appelnotedebasdep"/>
          <w:lang w:val="en-CA"/>
        </w:rPr>
        <w:footnoteRef/>
      </w:r>
      <w:r w:rsidRPr="00AF78D8">
        <w:rPr>
          <w:lang w:val="en-CA"/>
        </w:rPr>
        <w:t xml:space="preserve"> </w:t>
      </w:r>
      <w:r w:rsidRPr="00AF78D8">
        <w:rPr>
          <w:lang w:val="en-CA"/>
        </w:rPr>
        <w:tab/>
      </w:r>
      <w:r w:rsidRPr="00AF78D8">
        <w:rPr>
          <w:i/>
          <w:lang w:val="en-CA"/>
        </w:rPr>
        <w:t>R.</w:t>
      </w:r>
      <w:r w:rsidRPr="00AF78D8">
        <w:rPr>
          <w:lang w:val="en-CA"/>
        </w:rPr>
        <w:t xml:space="preserve"> </w:t>
      </w:r>
      <w:r w:rsidR="00895B9B" w:rsidRPr="00AF78D8">
        <w:rPr>
          <w:lang w:val="en-CA"/>
        </w:rPr>
        <w:t>v</w:t>
      </w:r>
      <w:r w:rsidRPr="00AF78D8">
        <w:rPr>
          <w:lang w:val="en-CA"/>
        </w:rPr>
        <w:t xml:space="preserve">. </w:t>
      </w:r>
      <w:r w:rsidRPr="00AF78D8">
        <w:rPr>
          <w:i/>
          <w:lang w:val="en-CA"/>
        </w:rPr>
        <w:t>Garneau</w:t>
      </w:r>
      <w:r w:rsidRPr="00AF78D8">
        <w:rPr>
          <w:lang w:val="en-CA"/>
        </w:rPr>
        <w:t>, 2019 QCCS 2514</w:t>
      </w:r>
      <w:r w:rsidR="00585DB3" w:rsidRPr="00AF78D8">
        <w:rPr>
          <w:lang w:val="en-CA"/>
        </w:rPr>
        <w:t xml:space="preserve"> at paras.</w:t>
      </w:r>
      <w:r w:rsidRPr="00AF78D8">
        <w:rPr>
          <w:lang w:val="en-CA"/>
        </w:rPr>
        <w:t xml:space="preserve"> 34 </w:t>
      </w:r>
      <w:r w:rsidR="00585DB3" w:rsidRPr="00AF78D8">
        <w:rPr>
          <w:lang w:val="en-CA"/>
        </w:rPr>
        <w:t>and</w:t>
      </w:r>
      <w:r w:rsidRPr="00AF78D8">
        <w:rPr>
          <w:lang w:val="en-CA"/>
        </w:rPr>
        <w:t xml:space="preserve"> 35.</w:t>
      </w:r>
    </w:p>
  </w:footnote>
  <w:footnote w:id="22">
    <w:p w:rsidR="00723D80" w:rsidRPr="00AF78D8" w:rsidRDefault="00723D80" w:rsidP="00723D80">
      <w:pPr>
        <w:pStyle w:val="Notedebasdepage"/>
        <w:rPr>
          <w:lang w:val="en-CA"/>
        </w:rPr>
      </w:pPr>
      <w:r w:rsidRPr="00AF78D8">
        <w:rPr>
          <w:rStyle w:val="Appelnotedebasdep"/>
          <w:lang w:val="en-CA"/>
        </w:rPr>
        <w:footnoteRef/>
      </w:r>
      <w:r w:rsidRPr="00AF78D8">
        <w:rPr>
          <w:lang w:val="en-CA"/>
        </w:rPr>
        <w:t xml:space="preserve"> </w:t>
      </w:r>
      <w:r w:rsidRPr="00AF78D8">
        <w:rPr>
          <w:lang w:val="en-CA"/>
        </w:rPr>
        <w:tab/>
      </w:r>
      <w:r w:rsidRPr="00AF78D8">
        <w:rPr>
          <w:i/>
          <w:lang w:val="en-CA"/>
        </w:rPr>
        <w:t>Desjardins</w:t>
      </w:r>
      <w:r w:rsidRPr="00AF78D8">
        <w:rPr>
          <w:lang w:val="en-CA"/>
        </w:rPr>
        <w:t xml:space="preserve"> </w:t>
      </w:r>
      <w:r w:rsidR="00895B9B" w:rsidRPr="00AF78D8">
        <w:rPr>
          <w:lang w:val="en-CA"/>
        </w:rPr>
        <w:t>v</w:t>
      </w:r>
      <w:r w:rsidRPr="00AF78D8">
        <w:rPr>
          <w:lang w:val="en-CA"/>
        </w:rPr>
        <w:t xml:space="preserve">. </w:t>
      </w:r>
      <w:r w:rsidRPr="00AF78D8">
        <w:rPr>
          <w:i/>
          <w:lang w:val="en-CA"/>
        </w:rPr>
        <w:t>R.</w:t>
      </w:r>
      <w:r w:rsidRPr="00AF78D8">
        <w:rPr>
          <w:lang w:val="en-CA"/>
        </w:rPr>
        <w:t>, 2010 QCCA 1947</w:t>
      </w:r>
      <w:r w:rsidR="00585DB3" w:rsidRPr="00AF78D8">
        <w:rPr>
          <w:lang w:val="en-CA"/>
        </w:rPr>
        <w:t xml:space="preserve"> at</w:t>
      </w:r>
      <w:r w:rsidRPr="00AF78D8">
        <w:rPr>
          <w:lang w:val="en-CA"/>
        </w:rPr>
        <w:t xml:space="preserve"> para</w:t>
      </w:r>
      <w:r w:rsidR="00585DB3" w:rsidRPr="00AF78D8">
        <w:rPr>
          <w:lang w:val="en-CA"/>
        </w:rPr>
        <w:t>s</w:t>
      </w:r>
      <w:r w:rsidRPr="00AF78D8">
        <w:rPr>
          <w:lang w:val="en-CA"/>
        </w:rPr>
        <w:t>. 26.</w:t>
      </w:r>
    </w:p>
  </w:footnote>
  <w:footnote w:id="23">
    <w:p w:rsidR="00514BB6" w:rsidRPr="00AF78D8" w:rsidRDefault="00514BB6" w:rsidP="00514BB6">
      <w:pPr>
        <w:pStyle w:val="Notedebasdepage"/>
      </w:pPr>
      <w:r w:rsidRPr="00AF78D8">
        <w:rPr>
          <w:rStyle w:val="Appelnotedebasdep"/>
          <w:lang w:val="en-CA"/>
        </w:rPr>
        <w:footnoteRef/>
      </w:r>
      <w:r w:rsidRPr="00AF78D8">
        <w:rPr>
          <w:lang w:val="en-CA"/>
        </w:rPr>
        <w:t xml:space="preserve"> </w:t>
      </w:r>
      <w:r w:rsidRPr="00AF78D8">
        <w:rPr>
          <w:lang w:val="en-CA"/>
        </w:rPr>
        <w:tab/>
      </w:r>
      <w:r w:rsidRPr="00AF78D8">
        <w:rPr>
          <w:i/>
          <w:lang w:val="en-CA"/>
        </w:rPr>
        <w:t>R.</w:t>
      </w:r>
      <w:r w:rsidRPr="00AF78D8">
        <w:rPr>
          <w:lang w:val="en-CA"/>
        </w:rPr>
        <w:t xml:space="preserve"> </w:t>
      </w:r>
      <w:r w:rsidRPr="00AF78D8">
        <w:rPr>
          <w:i/>
          <w:iCs/>
          <w:lang w:val="en-CA"/>
        </w:rPr>
        <w:t>v.</w:t>
      </w:r>
      <w:r w:rsidRPr="00AF78D8">
        <w:rPr>
          <w:lang w:val="en-CA"/>
        </w:rPr>
        <w:t xml:space="preserve"> </w:t>
      </w:r>
      <w:r w:rsidRPr="00AF78D8">
        <w:rPr>
          <w:i/>
          <w:lang w:val="en-CA"/>
        </w:rPr>
        <w:t>Spindloe</w:t>
      </w:r>
      <w:r w:rsidRPr="00AF78D8">
        <w:rPr>
          <w:lang w:val="en-CA"/>
        </w:rPr>
        <w:t xml:space="preserve">, 2001 SKCA 58 at para. </w:t>
      </w:r>
      <w:r w:rsidRPr="00AF78D8">
        <w:t>120.</w:t>
      </w:r>
    </w:p>
  </w:footnote>
  <w:footnote w:id="24">
    <w:p w:rsidR="00514BB6" w:rsidRPr="00AF78D8" w:rsidRDefault="00514BB6" w:rsidP="00514BB6">
      <w:pPr>
        <w:pStyle w:val="Notedebasdepage"/>
      </w:pPr>
      <w:r w:rsidRPr="00AF78D8">
        <w:rPr>
          <w:rStyle w:val="Appelnotedebasdep"/>
          <w:lang w:val="en-CA"/>
        </w:rPr>
        <w:footnoteRef/>
      </w:r>
      <w:r w:rsidRPr="00AF78D8">
        <w:t xml:space="preserve"> </w:t>
      </w:r>
      <w:r w:rsidRPr="00AF78D8">
        <w:tab/>
      </w:r>
      <w:r w:rsidRPr="00AF78D8">
        <w:rPr>
          <w:i/>
        </w:rPr>
        <w:t>Echostar Corporation</w:t>
      </w:r>
      <w:r w:rsidRPr="00AF78D8">
        <w:t xml:space="preserve"> </w:t>
      </w:r>
      <w:r w:rsidR="00895B9B" w:rsidRPr="00AF78D8">
        <w:t>v</w:t>
      </w:r>
      <w:r w:rsidRPr="00AF78D8">
        <w:t xml:space="preserve">. </w:t>
      </w:r>
      <w:r w:rsidRPr="00AF78D8">
        <w:rPr>
          <w:i/>
        </w:rPr>
        <w:t>Service de poursuites pénales du Canada</w:t>
      </w:r>
      <w:r w:rsidRPr="00AF78D8">
        <w:t>, 2009 QCCQ 4827 at para. 38.</w:t>
      </w:r>
    </w:p>
  </w:footnote>
  <w:footnote w:id="25">
    <w:p w:rsidR="00514BB6" w:rsidRPr="00AF78D8" w:rsidRDefault="00514BB6" w:rsidP="00514BB6">
      <w:pPr>
        <w:pStyle w:val="Notedebasdepage"/>
        <w:rPr>
          <w:lang w:val="en-CA"/>
        </w:rPr>
      </w:pPr>
      <w:r w:rsidRPr="00AF78D8">
        <w:rPr>
          <w:rStyle w:val="Appelnotedebasdep"/>
          <w:lang w:val="en-CA"/>
        </w:rPr>
        <w:footnoteRef/>
      </w:r>
      <w:r w:rsidRPr="00AF78D8">
        <w:rPr>
          <w:lang w:val="en-CA"/>
        </w:rPr>
        <w:t xml:space="preserve"> </w:t>
      </w:r>
      <w:r w:rsidRPr="00AF78D8">
        <w:rPr>
          <w:lang w:val="en-CA"/>
        </w:rPr>
        <w:tab/>
      </w:r>
      <w:r w:rsidRPr="00AF78D8">
        <w:rPr>
          <w:i/>
          <w:lang w:val="en-CA"/>
        </w:rPr>
        <w:t>Gagnon</w:t>
      </w:r>
      <w:r w:rsidRPr="00AF78D8">
        <w:rPr>
          <w:lang w:val="en-CA"/>
        </w:rPr>
        <w:t xml:space="preserve"> </w:t>
      </w:r>
      <w:r w:rsidR="00431355" w:rsidRPr="00AF78D8">
        <w:rPr>
          <w:lang w:val="en-CA"/>
        </w:rPr>
        <w:t>v</w:t>
      </w:r>
      <w:r w:rsidRPr="00AF78D8">
        <w:rPr>
          <w:lang w:val="en-CA"/>
        </w:rPr>
        <w:t xml:space="preserve">. </w:t>
      </w:r>
      <w:r w:rsidRPr="00AF78D8">
        <w:rPr>
          <w:i/>
          <w:lang w:val="en-CA"/>
        </w:rPr>
        <w:t>R.</w:t>
      </w:r>
      <w:r w:rsidRPr="00AF78D8">
        <w:rPr>
          <w:lang w:val="en-CA"/>
        </w:rPr>
        <w:t>, 2013 QCCA 1744 at paras. 108–110.</w:t>
      </w:r>
    </w:p>
  </w:footnote>
  <w:footnote w:id="26">
    <w:p w:rsidR="007A13EF" w:rsidRPr="00AF78D8" w:rsidRDefault="007A13EF" w:rsidP="007A13EF">
      <w:pPr>
        <w:pStyle w:val="Notedebasdepage"/>
        <w:rPr>
          <w:lang w:val="en-CA"/>
        </w:rPr>
      </w:pPr>
      <w:r w:rsidRPr="00AF78D8">
        <w:rPr>
          <w:rStyle w:val="Appelnotedebasdep"/>
          <w:lang w:val="en-CA"/>
        </w:rPr>
        <w:footnoteRef/>
      </w:r>
      <w:r w:rsidRPr="00AF78D8">
        <w:rPr>
          <w:lang w:val="en-CA"/>
        </w:rPr>
        <w:t xml:space="preserve"> </w:t>
      </w:r>
      <w:r w:rsidRPr="00AF78D8">
        <w:rPr>
          <w:lang w:val="en-CA"/>
        </w:rPr>
        <w:tab/>
      </w:r>
      <w:r w:rsidRPr="00AF78D8">
        <w:rPr>
          <w:i/>
          <w:lang w:val="en-CA"/>
        </w:rPr>
        <w:t>Gagnon</w:t>
      </w:r>
      <w:r w:rsidRPr="00AF78D8">
        <w:rPr>
          <w:lang w:val="en-CA"/>
        </w:rPr>
        <w:t xml:space="preserve"> </w:t>
      </w:r>
      <w:r w:rsidR="00431355" w:rsidRPr="00AF78D8">
        <w:rPr>
          <w:lang w:val="en-CA"/>
        </w:rPr>
        <w:t>v</w:t>
      </w:r>
      <w:r w:rsidRPr="00AF78D8">
        <w:rPr>
          <w:lang w:val="en-CA"/>
        </w:rPr>
        <w:t xml:space="preserve">. </w:t>
      </w:r>
      <w:r w:rsidRPr="00AF78D8">
        <w:rPr>
          <w:i/>
          <w:lang w:val="en-CA"/>
        </w:rPr>
        <w:t>R.</w:t>
      </w:r>
      <w:r w:rsidRPr="00AF78D8">
        <w:rPr>
          <w:lang w:val="en-CA"/>
        </w:rPr>
        <w:t>, 2013 QCCA 1744.</w:t>
      </w:r>
    </w:p>
  </w:footnote>
  <w:footnote w:id="27">
    <w:p w:rsidR="00955D4C" w:rsidRPr="00AF78D8" w:rsidRDefault="00955D4C">
      <w:pPr>
        <w:pStyle w:val="Notedebasdepage"/>
        <w:rPr>
          <w:lang w:val="en-CA"/>
        </w:rPr>
      </w:pPr>
      <w:r w:rsidRPr="00AF78D8">
        <w:rPr>
          <w:rStyle w:val="Appelnotedebasdep"/>
          <w:lang w:val="en-CA"/>
        </w:rPr>
        <w:footnoteRef/>
      </w:r>
      <w:r w:rsidRPr="00AF78D8">
        <w:rPr>
          <w:lang w:val="en-CA"/>
        </w:rPr>
        <w:t xml:space="preserve"> </w:t>
      </w:r>
      <w:r w:rsidRPr="00AF78D8">
        <w:rPr>
          <w:lang w:val="en-CA"/>
        </w:rPr>
        <w:tab/>
      </w:r>
      <w:r w:rsidR="00585DB3" w:rsidRPr="00AF78D8">
        <w:rPr>
          <w:i/>
          <w:lang w:val="en-CA"/>
        </w:rPr>
        <w:t>Ibid</w:t>
      </w:r>
      <w:r w:rsidRPr="00AF78D8">
        <w:rPr>
          <w:i/>
          <w:lang w:val="en-CA"/>
        </w:rPr>
        <w:t>.</w:t>
      </w:r>
      <w:r w:rsidR="00585DB3" w:rsidRPr="00AF78D8">
        <w:rPr>
          <w:i/>
          <w:lang w:val="en-CA"/>
        </w:rPr>
        <w:t xml:space="preserve"> </w:t>
      </w:r>
      <w:r w:rsidR="00585DB3" w:rsidRPr="00AF78D8">
        <w:rPr>
          <w:iCs/>
          <w:lang w:val="en-CA"/>
        </w:rPr>
        <w:t>at</w:t>
      </w:r>
      <w:r w:rsidRPr="00AF78D8">
        <w:rPr>
          <w:lang w:val="en-CA"/>
        </w:rPr>
        <w:t xml:space="preserve"> para</w:t>
      </w:r>
      <w:r w:rsidR="00585DB3" w:rsidRPr="00AF78D8">
        <w:rPr>
          <w:lang w:val="en-CA"/>
        </w:rPr>
        <w:t>s</w:t>
      </w:r>
      <w:r w:rsidRPr="00AF78D8">
        <w:rPr>
          <w:lang w:val="en-CA"/>
        </w:rPr>
        <w:t xml:space="preserve">. 111,112 </w:t>
      </w:r>
      <w:r w:rsidR="00585DB3" w:rsidRPr="00AF78D8">
        <w:rPr>
          <w:lang w:val="en-CA"/>
        </w:rPr>
        <w:t>and</w:t>
      </w:r>
      <w:r w:rsidRPr="00AF78D8">
        <w:rPr>
          <w:lang w:val="en-CA"/>
        </w:rPr>
        <w:t xml:space="preserve"> 117.</w:t>
      </w:r>
    </w:p>
  </w:footnote>
  <w:footnote w:id="28">
    <w:p w:rsidR="00955D4C" w:rsidRPr="00AF78D8" w:rsidRDefault="00955D4C">
      <w:pPr>
        <w:pStyle w:val="Notedebasdepage"/>
        <w:rPr>
          <w:lang w:val="en-CA"/>
        </w:rPr>
      </w:pPr>
      <w:r w:rsidRPr="00AF78D8">
        <w:rPr>
          <w:rStyle w:val="Appelnotedebasdep"/>
          <w:lang w:val="en-CA"/>
        </w:rPr>
        <w:footnoteRef/>
      </w:r>
      <w:r w:rsidRPr="00AF78D8">
        <w:rPr>
          <w:lang w:val="en-CA"/>
        </w:rPr>
        <w:t xml:space="preserve"> </w:t>
      </w:r>
      <w:r w:rsidRPr="00AF78D8">
        <w:rPr>
          <w:lang w:val="en-CA"/>
        </w:rPr>
        <w:tab/>
      </w:r>
      <w:r w:rsidR="00585DB3" w:rsidRPr="00AF78D8">
        <w:rPr>
          <w:i/>
          <w:lang w:val="en-CA"/>
        </w:rPr>
        <w:t>Supra</w:t>
      </w:r>
      <w:r w:rsidRPr="00AF78D8">
        <w:rPr>
          <w:lang w:val="en-CA"/>
        </w:rPr>
        <w:t xml:space="preserve"> note 22</w:t>
      </w:r>
      <w:r w:rsidR="00585DB3" w:rsidRPr="00AF78D8">
        <w:rPr>
          <w:lang w:val="en-CA"/>
        </w:rPr>
        <w:t xml:space="preserve"> at</w:t>
      </w:r>
      <w:r w:rsidRPr="00AF78D8">
        <w:rPr>
          <w:lang w:val="en-CA"/>
        </w:rPr>
        <w:t xml:space="preserve"> para. 111.</w:t>
      </w:r>
    </w:p>
  </w:footnote>
  <w:footnote w:id="29">
    <w:p w:rsidR="00955D4C" w:rsidRPr="00AF78D8" w:rsidRDefault="00955D4C">
      <w:pPr>
        <w:pStyle w:val="Notedebasdepage"/>
        <w:rPr>
          <w:lang w:val="en-CA"/>
        </w:rPr>
      </w:pPr>
      <w:r w:rsidRPr="00AF78D8">
        <w:rPr>
          <w:rStyle w:val="Appelnotedebasdep"/>
          <w:lang w:val="en-CA"/>
        </w:rPr>
        <w:footnoteRef/>
      </w:r>
      <w:r w:rsidRPr="00AF78D8">
        <w:rPr>
          <w:lang w:val="en-CA"/>
        </w:rPr>
        <w:t xml:space="preserve"> </w:t>
      </w:r>
      <w:r w:rsidRPr="00AF78D8">
        <w:rPr>
          <w:lang w:val="en-CA"/>
        </w:rPr>
        <w:tab/>
      </w:r>
      <w:r w:rsidR="008D314A" w:rsidRPr="00AF78D8">
        <w:rPr>
          <w:i/>
          <w:lang w:val="en-CA"/>
        </w:rPr>
        <w:t>R.</w:t>
      </w:r>
      <w:r w:rsidR="008D314A" w:rsidRPr="00AF78D8">
        <w:rPr>
          <w:lang w:val="en-CA"/>
        </w:rPr>
        <w:t xml:space="preserve"> </w:t>
      </w:r>
      <w:r w:rsidR="00585DB3" w:rsidRPr="00AF78D8">
        <w:rPr>
          <w:i/>
          <w:iCs/>
          <w:lang w:val="en-CA"/>
        </w:rPr>
        <w:t>v</w:t>
      </w:r>
      <w:r w:rsidR="008D314A" w:rsidRPr="00AF78D8">
        <w:rPr>
          <w:lang w:val="en-CA"/>
        </w:rPr>
        <w:t xml:space="preserve">. </w:t>
      </w:r>
      <w:r w:rsidR="008D314A" w:rsidRPr="00AF78D8">
        <w:rPr>
          <w:i/>
          <w:lang w:val="en-CA"/>
        </w:rPr>
        <w:t>Spindloe</w:t>
      </w:r>
      <w:r w:rsidRPr="00AF78D8">
        <w:rPr>
          <w:lang w:val="en-CA"/>
        </w:rPr>
        <w:t>, 2001 SKCA 58</w:t>
      </w:r>
      <w:r w:rsidR="00585DB3" w:rsidRPr="00AF78D8">
        <w:rPr>
          <w:lang w:val="en-CA"/>
        </w:rPr>
        <w:t xml:space="preserve"> at</w:t>
      </w:r>
      <w:r w:rsidRPr="00AF78D8">
        <w:rPr>
          <w:lang w:val="en-CA"/>
        </w:rPr>
        <w:t xml:space="preserve"> para. 115.</w:t>
      </w:r>
    </w:p>
  </w:footnote>
  <w:footnote w:id="30">
    <w:p w:rsidR="00803FAB" w:rsidRPr="00AF78D8" w:rsidRDefault="00803FAB" w:rsidP="00803FAB">
      <w:pPr>
        <w:pStyle w:val="Notedebasdepage"/>
        <w:rPr>
          <w:lang w:val="en-CA"/>
        </w:rPr>
      </w:pPr>
      <w:r w:rsidRPr="00AF78D8">
        <w:rPr>
          <w:rStyle w:val="Appelnotedebasdep"/>
          <w:lang w:val="en-CA"/>
        </w:rPr>
        <w:footnoteRef/>
      </w:r>
      <w:r w:rsidRPr="00AF78D8">
        <w:rPr>
          <w:lang w:val="en-CA"/>
        </w:rPr>
        <w:t xml:space="preserve"> </w:t>
      </w:r>
      <w:r w:rsidRPr="00AF78D8">
        <w:rPr>
          <w:lang w:val="en-CA"/>
        </w:rPr>
        <w:tab/>
      </w:r>
      <w:r w:rsidRPr="00AF78D8">
        <w:rPr>
          <w:i/>
          <w:lang w:val="en-CA"/>
        </w:rPr>
        <w:t>R.</w:t>
      </w:r>
      <w:r w:rsidRPr="00AF78D8">
        <w:rPr>
          <w:lang w:val="en-CA"/>
        </w:rPr>
        <w:t xml:space="preserve"> </w:t>
      </w:r>
      <w:r w:rsidR="00585DB3" w:rsidRPr="00AF78D8">
        <w:rPr>
          <w:i/>
          <w:iCs/>
          <w:lang w:val="en-CA"/>
        </w:rPr>
        <w:t>v</w:t>
      </w:r>
      <w:r w:rsidRPr="00AF78D8">
        <w:rPr>
          <w:i/>
          <w:iCs/>
          <w:lang w:val="en-CA"/>
        </w:rPr>
        <w:t>.</w:t>
      </w:r>
      <w:r w:rsidRPr="00AF78D8">
        <w:rPr>
          <w:lang w:val="en-CA"/>
        </w:rPr>
        <w:t xml:space="preserve"> </w:t>
      </w:r>
      <w:r w:rsidRPr="00AF78D8">
        <w:rPr>
          <w:i/>
          <w:lang w:val="en-CA"/>
        </w:rPr>
        <w:t>Marriott</w:t>
      </w:r>
      <w:r w:rsidRPr="00AF78D8">
        <w:rPr>
          <w:lang w:val="en-CA"/>
        </w:rPr>
        <w:t>, 2001 NSCA 84</w:t>
      </w:r>
      <w:r w:rsidR="00585DB3" w:rsidRPr="00AF78D8">
        <w:rPr>
          <w:lang w:val="en-CA"/>
        </w:rPr>
        <w:t xml:space="preserve"> at</w:t>
      </w:r>
      <w:r w:rsidRPr="00AF78D8">
        <w:rPr>
          <w:lang w:val="en-CA"/>
        </w:rPr>
        <w:t xml:space="preserve"> para. 14; </w:t>
      </w:r>
      <w:r w:rsidRPr="00AF78D8">
        <w:rPr>
          <w:i/>
          <w:lang w:val="en-CA"/>
        </w:rPr>
        <w:t>Directeur</w:t>
      </w:r>
      <w:r w:rsidR="00E5763B" w:rsidRPr="00AF78D8">
        <w:rPr>
          <w:i/>
          <w:lang w:val="en-CA"/>
        </w:rPr>
        <w:t xml:space="preserve"> </w:t>
      </w:r>
      <w:r w:rsidRPr="00AF78D8">
        <w:rPr>
          <w:i/>
          <w:lang w:val="en-CA"/>
        </w:rPr>
        <w:t>des</w:t>
      </w:r>
      <w:r w:rsidR="00E5763B" w:rsidRPr="00AF78D8">
        <w:rPr>
          <w:i/>
          <w:lang w:val="en-CA"/>
        </w:rPr>
        <w:t xml:space="preserve"> </w:t>
      </w:r>
      <w:r w:rsidRPr="00AF78D8">
        <w:rPr>
          <w:i/>
          <w:lang w:val="en-CA"/>
        </w:rPr>
        <w:t>poursuites</w:t>
      </w:r>
      <w:r w:rsidR="00E5763B" w:rsidRPr="00AF78D8">
        <w:rPr>
          <w:i/>
          <w:lang w:val="en-CA"/>
        </w:rPr>
        <w:t xml:space="preserve"> </w:t>
      </w:r>
      <w:r w:rsidRPr="00AF78D8">
        <w:rPr>
          <w:i/>
          <w:lang w:val="en-CA"/>
        </w:rPr>
        <w:t>criminelles</w:t>
      </w:r>
      <w:r w:rsidR="00E5763B" w:rsidRPr="00AF78D8">
        <w:rPr>
          <w:i/>
          <w:lang w:val="en-CA"/>
        </w:rPr>
        <w:t xml:space="preserve"> </w:t>
      </w:r>
      <w:r w:rsidRPr="00AF78D8">
        <w:rPr>
          <w:i/>
          <w:lang w:val="en-CA"/>
        </w:rPr>
        <w:t>et</w:t>
      </w:r>
      <w:r w:rsidR="00E5763B" w:rsidRPr="00AF78D8">
        <w:rPr>
          <w:i/>
          <w:lang w:val="en-CA"/>
        </w:rPr>
        <w:t xml:space="preserve"> </w:t>
      </w:r>
      <w:r w:rsidRPr="00AF78D8">
        <w:rPr>
          <w:i/>
          <w:lang w:val="en-CA"/>
        </w:rPr>
        <w:t>pénales</w:t>
      </w:r>
      <w:r w:rsidRPr="00AF78D8">
        <w:rPr>
          <w:lang w:val="en-CA"/>
        </w:rPr>
        <w:t xml:space="preserve"> </w:t>
      </w:r>
      <w:r w:rsidR="00431355" w:rsidRPr="00AF78D8">
        <w:rPr>
          <w:lang w:val="en-CA"/>
        </w:rPr>
        <w:t>v</w:t>
      </w:r>
      <w:r w:rsidRPr="00AF78D8">
        <w:rPr>
          <w:i/>
          <w:iCs/>
          <w:lang w:val="en-CA"/>
        </w:rPr>
        <w:t>.</w:t>
      </w:r>
      <w:r w:rsidRPr="00AF78D8">
        <w:rPr>
          <w:lang w:val="en-CA"/>
        </w:rPr>
        <w:t xml:space="preserve"> </w:t>
      </w:r>
      <w:r w:rsidRPr="00AF78D8">
        <w:rPr>
          <w:i/>
          <w:lang w:val="en-CA"/>
        </w:rPr>
        <w:t>9007</w:t>
      </w:r>
      <w:r w:rsidRPr="00AF78D8">
        <w:rPr>
          <w:i/>
          <w:lang w:val="en-CA"/>
        </w:rPr>
        <w:noBreakHyphen/>
        <w:t>0855 Québec inc.</w:t>
      </w:r>
      <w:r w:rsidRPr="00AF78D8">
        <w:rPr>
          <w:lang w:val="en-CA"/>
        </w:rPr>
        <w:t>, 2015 QCCS 4027</w:t>
      </w:r>
      <w:r w:rsidR="00585DB3" w:rsidRPr="00AF78D8">
        <w:rPr>
          <w:lang w:val="en-CA"/>
        </w:rPr>
        <w:t xml:space="preserve"> at</w:t>
      </w:r>
      <w:r w:rsidRPr="00AF78D8">
        <w:rPr>
          <w:lang w:val="en-CA"/>
        </w:rPr>
        <w:t xml:space="preserve"> para</w:t>
      </w:r>
      <w:r w:rsidR="00585DB3" w:rsidRPr="00AF78D8">
        <w:rPr>
          <w:lang w:val="en-CA"/>
        </w:rPr>
        <w:t>s</w:t>
      </w:r>
      <w:r w:rsidRPr="00AF78D8">
        <w:rPr>
          <w:lang w:val="en-CA"/>
        </w:rPr>
        <w:t xml:space="preserve">. 140, </w:t>
      </w:r>
      <w:r w:rsidR="00585DB3" w:rsidRPr="00AF78D8">
        <w:rPr>
          <w:lang w:val="en-CA"/>
        </w:rPr>
        <w:t>aff’d</w:t>
      </w:r>
      <w:r w:rsidRPr="00AF78D8">
        <w:rPr>
          <w:lang w:val="en-CA"/>
        </w:rPr>
        <w:t xml:space="preserve"> </w:t>
      </w:r>
      <w:r w:rsidR="00585DB3" w:rsidRPr="00AF78D8">
        <w:rPr>
          <w:lang w:val="en-CA"/>
        </w:rPr>
        <w:t>with respect to the</w:t>
      </w:r>
      <w:r w:rsidR="00E65FF1" w:rsidRPr="00AF78D8">
        <w:rPr>
          <w:lang w:val="en-CA"/>
        </w:rPr>
        <w:t xml:space="preserve"> forfeiture</w:t>
      </w:r>
      <w:r w:rsidR="00585DB3" w:rsidRPr="00AF78D8">
        <w:rPr>
          <w:lang w:val="en-CA"/>
        </w:rPr>
        <w:t xml:space="preserve"> judgment</w:t>
      </w:r>
      <w:r w:rsidRPr="00AF78D8">
        <w:rPr>
          <w:lang w:val="en-CA"/>
        </w:rPr>
        <w:t xml:space="preserve"> </w:t>
      </w:r>
      <w:r w:rsidR="00585DB3" w:rsidRPr="00AF78D8">
        <w:rPr>
          <w:lang w:val="en-CA"/>
        </w:rPr>
        <w:t>in</w:t>
      </w:r>
      <w:r w:rsidRPr="00AF78D8">
        <w:rPr>
          <w:lang w:val="en-CA"/>
        </w:rPr>
        <w:t xml:space="preserve"> </w:t>
      </w:r>
      <w:r w:rsidRPr="00AF78D8">
        <w:rPr>
          <w:i/>
          <w:lang w:val="en-CA"/>
        </w:rPr>
        <w:t>Denis</w:t>
      </w:r>
      <w:r w:rsidR="00431355" w:rsidRPr="00AF78D8">
        <w:rPr>
          <w:i/>
          <w:lang w:val="en-CA"/>
        </w:rPr>
        <w:t xml:space="preserve"> v</w:t>
      </w:r>
      <w:r w:rsidRPr="00AF78D8">
        <w:rPr>
          <w:lang w:val="en-CA"/>
        </w:rPr>
        <w:t xml:space="preserve">. </w:t>
      </w:r>
      <w:r w:rsidRPr="00AF78D8">
        <w:rPr>
          <w:i/>
          <w:lang w:val="en-CA"/>
        </w:rPr>
        <w:t>R.</w:t>
      </w:r>
      <w:r w:rsidRPr="00AF78D8">
        <w:rPr>
          <w:lang w:val="en-CA"/>
        </w:rPr>
        <w:t>, 2018 QCCA 1033</w:t>
      </w:r>
      <w:r w:rsidR="00585DB3" w:rsidRPr="00AF78D8">
        <w:rPr>
          <w:lang w:val="en-CA"/>
        </w:rPr>
        <w:t xml:space="preserve"> at</w:t>
      </w:r>
      <w:r w:rsidRPr="00AF78D8">
        <w:rPr>
          <w:lang w:val="en-CA"/>
        </w:rPr>
        <w:t xml:space="preserve"> para</w:t>
      </w:r>
      <w:r w:rsidR="00585DB3" w:rsidRPr="00AF78D8">
        <w:rPr>
          <w:lang w:val="en-CA"/>
        </w:rPr>
        <w:t>s</w:t>
      </w:r>
      <w:r w:rsidRPr="00AF78D8">
        <w:rPr>
          <w:lang w:val="en-CA"/>
        </w:rPr>
        <w:t xml:space="preserve">. 221 </w:t>
      </w:r>
      <w:r w:rsidR="00585DB3" w:rsidRPr="00AF78D8">
        <w:rPr>
          <w:lang w:val="en-CA"/>
        </w:rPr>
        <w:t>and</w:t>
      </w:r>
      <w:r w:rsidRPr="00AF78D8">
        <w:rPr>
          <w:lang w:val="en-CA"/>
        </w:rPr>
        <w:t xml:space="preserve"> 222.</w:t>
      </w:r>
    </w:p>
  </w:footnote>
  <w:footnote w:id="31">
    <w:p w:rsidR="00803FAB" w:rsidRPr="00AF78D8" w:rsidRDefault="00803FAB" w:rsidP="00803FAB">
      <w:pPr>
        <w:pStyle w:val="Notedebasdepage"/>
        <w:rPr>
          <w:lang w:val="en-CA"/>
        </w:rPr>
      </w:pPr>
      <w:r w:rsidRPr="00AF78D8">
        <w:rPr>
          <w:rStyle w:val="Appelnotedebasdep"/>
          <w:lang w:val="en-CA"/>
        </w:rPr>
        <w:footnoteRef/>
      </w:r>
      <w:r w:rsidRPr="00AF78D8">
        <w:rPr>
          <w:lang w:val="en-CA"/>
        </w:rPr>
        <w:t xml:space="preserve"> </w:t>
      </w:r>
      <w:r w:rsidRPr="00AF78D8">
        <w:rPr>
          <w:lang w:val="en-CA"/>
        </w:rPr>
        <w:tab/>
      </w:r>
      <w:r w:rsidRPr="00AF78D8">
        <w:rPr>
          <w:i/>
          <w:lang w:val="en-CA"/>
        </w:rPr>
        <w:t>Directeur</w:t>
      </w:r>
      <w:r w:rsidR="00E5763B" w:rsidRPr="00AF78D8">
        <w:rPr>
          <w:i/>
          <w:lang w:val="en-CA"/>
        </w:rPr>
        <w:t xml:space="preserve"> </w:t>
      </w:r>
      <w:r w:rsidRPr="00AF78D8">
        <w:rPr>
          <w:i/>
          <w:lang w:val="en-CA"/>
        </w:rPr>
        <w:t>des</w:t>
      </w:r>
      <w:r w:rsidR="00E5763B" w:rsidRPr="00AF78D8">
        <w:rPr>
          <w:i/>
          <w:lang w:val="en-CA"/>
        </w:rPr>
        <w:t xml:space="preserve"> </w:t>
      </w:r>
      <w:r w:rsidRPr="00AF78D8">
        <w:rPr>
          <w:i/>
          <w:lang w:val="en-CA"/>
        </w:rPr>
        <w:t>poursuites</w:t>
      </w:r>
      <w:r w:rsidR="00E5763B" w:rsidRPr="00AF78D8">
        <w:rPr>
          <w:i/>
          <w:lang w:val="en-CA"/>
        </w:rPr>
        <w:t xml:space="preserve"> </w:t>
      </w:r>
      <w:r w:rsidRPr="00AF78D8">
        <w:rPr>
          <w:i/>
          <w:lang w:val="en-CA"/>
        </w:rPr>
        <w:t>criminelles</w:t>
      </w:r>
      <w:r w:rsidR="00E5763B" w:rsidRPr="00AF78D8">
        <w:rPr>
          <w:i/>
          <w:lang w:val="en-CA"/>
        </w:rPr>
        <w:t xml:space="preserve"> </w:t>
      </w:r>
      <w:r w:rsidRPr="00AF78D8">
        <w:rPr>
          <w:i/>
          <w:lang w:val="en-CA"/>
        </w:rPr>
        <w:t>et</w:t>
      </w:r>
      <w:r w:rsidR="00E5763B" w:rsidRPr="00AF78D8">
        <w:rPr>
          <w:i/>
          <w:lang w:val="en-CA"/>
        </w:rPr>
        <w:t xml:space="preserve"> </w:t>
      </w:r>
      <w:r w:rsidRPr="00AF78D8">
        <w:rPr>
          <w:i/>
          <w:lang w:val="en-CA"/>
        </w:rPr>
        <w:t>pénales du Québec</w:t>
      </w:r>
      <w:r w:rsidRPr="00AF78D8">
        <w:rPr>
          <w:lang w:val="en-CA"/>
        </w:rPr>
        <w:t xml:space="preserve"> </w:t>
      </w:r>
      <w:r w:rsidR="00431355" w:rsidRPr="00AF78D8">
        <w:rPr>
          <w:lang w:val="en-CA"/>
        </w:rPr>
        <w:t>v</w:t>
      </w:r>
      <w:r w:rsidRPr="00AF78D8">
        <w:rPr>
          <w:i/>
          <w:iCs/>
          <w:lang w:val="en-CA"/>
        </w:rPr>
        <w:t>.</w:t>
      </w:r>
      <w:r w:rsidRPr="00AF78D8">
        <w:rPr>
          <w:lang w:val="en-CA"/>
        </w:rPr>
        <w:t xml:space="preserve"> </w:t>
      </w:r>
      <w:r w:rsidRPr="00AF78D8">
        <w:rPr>
          <w:i/>
          <w:lang w:val="en-CA"/>
        </w:rPr>
        <w:t>Lacelle</w:t>
      </w:r>
      <w:r w:rsidRPr="00AF78D8">
        <w:rPr>
          <w:lang w:val="en-CA"/>
        </w:rPr>
        <w:t>, 2013 QCCQ 10269.</w:t>
      </w:r>
    </w:p>
  </w:footnote>
  <w:footnote w:id="32">
    <w:p w:rsidR="00955D4C" w:rsidRPr="00AF78D8" w:rsidRDefault="00955D4C">
      <w:pPr>
        <w:pStyle w:val="Notedebasdepage"/>
        <w:rPr>
          <w:lang w:val="en-CA"/>
        </w:rPr>
      </w:pPr>
      <w:r w:rsidRPr="00AF78D8">
        <w:rPr>
          <w:rStyle w:val="Appelnotedebasdep"/>
          <w:lang w:val="en-CA"/>
        </w:rPr>
        <w:footnoteRef/>
      </w:r>
      <w:r w:rsidRPr="00AF78D8">
        <w:rPr>
          <w:lang w:val="en-CA"/>
        </w:rPr>
        <w:t xml:space="preserve"> </w:t>
      </w:r>
      <w:r w:rsidRPr="00AF78D8">
        <w:rPr>
          <w:lang w:val="en-CA"/>
        </w:rPr>
        <w:tab/>
      </w:r>
      <w:r w:rsidRPr="00AF78D8">
        <w:rPr>
          <w:i/>
          <w:lang w:val="en-CA"/>
        </w:rPr>
        <w:t>R.</w:t>
      </w:r>
      <w:r w:rsidRPr="00AF78D8">
        <w:rPr>
          <w:lang w:val="en-CA"/>
        </w:rPr>
        <w:t xml:space="preserve"> </w:t>
      </w:r>
      <w:r w:rsidR="00585DB3" w:rsidRPr="00AF78D8">
        <w:rPr>
          <w:i/>
          <w:iCs/>
          <w:lang w:val="en-CA"/>
        </w:rPr>
        <w:t>v</w:t>
      </w:r>
      <w:r w:rsidRPr="00AF78D8">
        <w:rPr>
          <w:i/>
          <w:iCs/>
          <w:lang w:val="en-CA"/>
        </w:rPr>
        <w:t>.</w:t>
      </w:r>
      <w:r w:rsidRPr="00AF78D8">
        <w:rPr>
          <w:lang w:val="en-CA"/>
        </w:rPr>
        <w:t xml:space="preserve"> </w:t>
      </w:r>
      <w:r w:rsidRPr="00AF78D8">
        <w:rPr>
          <w:i/>
          <w:lang w:val="en-CA"/>
        </w:rPr>
        <w:t>Trac</w:t>
      </w:r>
      <w:r w:rsidRPr="00AF78D8">
        <w:rPr>
          <w:lang w:val="en-CA"/>
        </w:rPr>
        <w:t>, 2013 ONCA 246</w:t>
      </w:r>
      <w:r w:rsidR="00585DB3" w:rsidRPr="00AF78D8">
        <w:rPr>
          <w:lang w:val="en-CA"/>
        </w:rPr>
        <w:t xml:space="preserve"> at</w:t>
      </w:r>
      <w:r w:rsidRPr="00AF78D8">
        <w:rPr>
          <w:lang w:val="en-CA"/>
        </w:rPr>
        <w:t xml:space="preserve"> para</w:t>
      </w:r>
      <w:r w:rsidR="00585DB3" w:rsidRPr="00AF78D8">
        <w:rPr>
          <w:lang w:val="en-CA"/>
        </w:rPr>
        <w:t>s</w:t>
      </w:r>
      <w:r w:rsidRPr="00AF78D8">
        <w:rPr>
          <w:lang w:val="en-CA"/>
        </w:rPr>
        <w:t xml:space="preserve">. 101 </w:t>
      </w:r>
      <w:r w:rsidR="00585DB3" w:rsidRPr="00AF78D8">
        <w:rPr>
          <w:lang w:val="en-CA"/>
        </w:rPr>
        <w:t>and</w:t>
      </w:r>
      <w:r w:rsidRPr="00AF78D8">
        <w:rPr>
          <w:lang w:val="en-CA"/>
        </w:rPr>
        <w:t xml:space="preserve"> 102.</w:t>
      </w:r>
    </w:p>
  </w:footnote>
  <w:footnote w:id="33">
    <w:p w:rsidR="00803FAB" w:rsidRPr="00AF78D8" w:rsidRDefault="00803FAB" w:rsidP="00803FAB">
      <w:pPr>
        <w:pStyle w:val="Notedebasdepage"/>
        <w:rPr>
          <w:lang w:val="en-CA"/>
        </w:rPr>
      </w:pPr>
      <w:r w:rsidRPr="00AF78D8">
        <w:rPr>
          <w:rStyle w:val="Appelnotedebasdep"/>
          <w:lang w:val="en-CA"/>
        </w:rPr>
        <w:footnoteRef/>
      </w:r>
      <w:r w:rsidRPr="00AF78D8">
        <w:rPr>
          <w:lang w:val="en-CA"/>
        </w:rPr>
        <w:t xml:space="preserve"> </w:t>
      </w:r>
      <w:r w:rsidRPr="00AF78D8">
        <w:rPr>
          <w:lang w:val="en-CA"/>
        </w:rPr>
        <w:tab/>
      </w:r>
      <w:r w:rsidRPr="00AF78D8">
        <w:rPr>
          <w:i/>
          <w:lang w:val="en-CA"/>
        </w:rPr>
        <w:t>Guimont</w:t>
      </w:r>
      <w:r w:rsidRPr="00AF78D8">
        <w:rPr>
          <w:lang w:val="en-CA"/>
        </w:rPr>
        <w:t xml:space="preserve"> </w:t>
      </w:r>
      <w:r w:rsidR="00431355" w:rsidRPr="00AF78D8">
        <w:rPr>
          <w:lang w:val="en-CA"/>
        </w:rPr>
        <w:t>v</w:t>
      </w:r>
      <w:r w:rsidRPr="00AF78D8">
        <w:rPr>
          <w:i/>
          <w:iCs/>
          <w:lang w:val="en-CA"/>
        </w:rPr>
        <w:t>.</w:t>
      </w:r>
      <w:r w:rsidRPr="00AF78D8">
        <w:rPr>
          <w:lang w:val="en-CA"/>
        </w:rPr>
        <w:t xml:space="preserve"> </w:t>
      </w:r>
      <w:r w:rsidRPr="00AF78D8">
        <w:rPr>
          <w:i/>
          <w:lang w:val="en-CA"/>
        </w:rPr>
        <w:t>R.</w:t>
      </w:r>
      <w:r w:rsidRPr="00AF78D8">
        <w:rPr>
          <w:lang w:val="en-CA"/>
        </w:rPr>
        <w:t>, 2020 QCCA 1759.</w:t>
      </w:r>
    </w:p>
  </w:footnote>
  <w:footnote w:id="34">
    <w:p w:rsidR="00803FAB" w:rsidRPr="00AF78D8" w:rsidRDefault="00803FAB" w:rsidP="00803FAB">
      <w:pPr>
        <w:pStyle w:val="Notedebasdepage"/>
        <w:rPr>
          <w:lang w:val="en-CA"/>
        </w:rPr>
      </w:pPr>
      <w:r w:rsidRPr="00AF78D8">
        <w:rPr>
          <w:rStyle w:val="Appelnotedebasdep"/>
          <w:lang w:val="en-CA"/>
        </w:rPr>
        <w:footnoteRef/>
      </w:r>
      <w:r w:rsidRPr="00AF78D8">
        <w:rPr>
          <w:lang w:val="en-CA"/>
        </w:rPr>
        <w:t xml:space="preserve"> </w:t>
      </w:r>
      <w:r w:rsidRPr="00AF78D8">
        <w:rPr>
          <w:lang w:val="en-CA"/>
        </w:rPr>
        <w:tab/>
      </w:r>
      <w:r w:rsidRPr="00AF78D8">
        <w:rPr>
          <w:i/>
          <w:lang w:val="en-CA"/>
        </w:rPr>
        <w:t>9141-2023 Québec inc.</w:t>
      </w:r>
      <w:r w:rsidRPr="00AF78D8">
        <w:rPr>
          <w:lang w:val="en-CA"/>
        </w:rPr>
        <w:t xml:space="preserve"> </w:t>
      </w:r>
      <w:r w:rsidR="00431355" w:rsidRPr="00AF78D8">
        <w:rPr>
          <w:lang w:val="en-CA"/>
        </w:rPr>
        <w:t>v</w:t>
      </w:r>
      <w:r w:rsidRPr="00AF78D8">
        <w:rPr>
          <w:i/>
          <w:iCs/>
          <w:lang w:val="en-CA"/>
        </w:rPr>
        <w:t>.</w:t>
      </w:r>
      <w:r w:rsidRPr="00AF78D8">
        <w:rPr>
          <w:lang w:val="en-CA"/>
        </w:rPr>
        <w:t xml:space="preserve"> </w:t>
      </w:r>
      <w:r w:rsidRPr="00AF78D8">
        <w:rPr>
          <w:i/>
          <w:lang w:val="en-CA"/>
        </w:rPr>
        <w:t>R.</w:t>
      </w:r>
      <w:r w:rsidRPr="00AF78D8">
        <w:rPr>
          <w:lang w:val="en-CA"/>
        </w:rPr>
        <w:t>, 2021 QCCS 386</w:t>
      </w:r>
      <w:r w:rsidR="00585DB3" w:rsidRPr="00AF78D8">
        <w:rPr>
          <w:lang w:val="en-CA"/>
        </w:rPr>
        <w:t xml:space="preserve"> at</w:t>
      </w:r>
      <w:r w:rsidRPr="00AF78D8">
        <w:rPr>
          <w:lang w:val="en-CA"/>
        </w:rPr>
        <w:t xml:space="preserve"> para</w:t>
      </w:r>
      <w:r w:rsidR="00585DB3" w:rsidRPr="00AF78D8">
        <w:rPr>
          <w:lang w:val="en-CA"/>
        </w:rPr>
        <w:t>s</w:t>
      </w:r>
      <w:r w:rsidRPr="00AF78D8">
        <w:rPr>
          <w:lang w:val="en-CA"/>
        </w:rPr>
        <w:t xml:space="preserve">. 68, 70 </w:t>
      </w:r>
      <w:r w:rsidR="00585DB3" w:rsidRPr="00AF78D8">
        <w:rPr>
          <w:lang w:val="en-CA"/>
        </w:rPr>
        <w:t>and</w:t>
      </w:r>
      <w:r w:rsidRPr="00AF78D8">
        <w:rPr>
          <w:lang w:val="en-CA"/>
        </w:rPr>
        <w:t xml:space="preserve"> 191.</w:t>
      </w:r>
    </w:p>
  </w:footnote>
  <w:footnote w:id="35">
    <w:p w:rsidR="00955D4C" w:rsidRPr="00AF78D8" w:rsidRDefault="00955D4C">
      <w:pPr>
        <w:pStyle w:val="Notedebasdepage"/>
        <w:rPr>
          <w:lang w:val="en-CA"/>
        </w:rPr>
      </w:pPr>
      <w:r w:rsidRPr="00AF78D8">
        <w:rPr>
          <w:rStyle w:val="Appelnotedebasdep"/>
          <w:lang w:val="en-CA"/>
        </w:rPr>
        <w:footnoteRef/>
      </w:r>
      <w:r w:rsidRPr="00AF78D8">
        <w:rPr>
          <w:lang w:val="en-CA"/>
        </w:rPr>
        <w:t xml:space="preserve"> </w:t>
      </w:r>
      <w:r w:rsidRPr="00AF78D8">
        <w:rPr>
          <w:lang w:val="en-CA"/>
        </w:rPr>
        <w:tab/>
      </w:r>
      <w:bookmarkStart w:id="0" w:name="_Hlk155859851"/>
      <w:r w:rsidR="00621C30" w:rsidRPr="00AF78D8">
        <w:rPr>
          <w:i/>
          <w:lang w:val="en-CA"/>
        </w:rPr>
        <w:t>Quebec (</w:t>
      </w:r>
      <w:r w:rsidR="00AF2B0E" w:rsidRPr="00AF78D8">
        <w:rPr>
          <w:i/>
          <w:lang w:val="en-CA"/>
        </w:rPr>
        <w:t>Attorney General</w:t>
      </w:r>
      <w:r w:rsidR="00621C30" w:rsidRPr="00AF78D8">
        <w:rPr>
          <w:i/>
          <w:lang w:val="en-CA"/>
        </w:rPr>
        <w:t>) v. Laroche</w:t>
      </w:r>
      <w:r w:rsidRPr="00AF78D8">
        <w:rPr>
          <w:lang w:val="en-CA"/>
        </w:rPr>
        <w:t xml:space="preserve">, 2002 </w:t>
      </w:r>
      <w:r w:rsidR="00621C30" w:rsidRPr="00AF78D8">
        <w:rPr>
          <w:lang w:val="en-CA"/>
        </w:rPr>
        <w:t>SCC</w:t>
      </w:r>
      <w:r w:rsidRPr="00AF78D8">
        <w:rPr>
          <w:lang w:val="en-CA"/>
        </w:rPr>
        <w:t xml:space="preserve"> 72</w:t>
      </w:r>
      <w:r w:rsidR="00621C30" w:rsidRPr="00AF78D8">
        <w:rPr>
          <w:lang w:val="en-CA"/>
        </w:rPr>
        <w:t xml:space="preserve"> </w:t>
      </w:r>
      <w:bookmarkEnd w:id="0"/>
      <w:r w:rsidR="00621C30" w:rsidRPr="00AF78D8">
        <w:rPr>
          <w:lang w:val="en-CA"/>
        </w:rPr>
        <w:t>at</w:t>
      </w:r>
      <w:r w:rsidRPr="00AF78D8">
        <w:rPr>
          <w:lang w:val="en-CA"/>
        </w:rPr>
        <w:t xml:space="preserve"> para. 26.</w:t>
      </w:r>
    </w:p>
  </w:footnote>
  <w:footnote w:id="36">
    <w:p w:rsidR="00955D4C" w:rsidRPr="00AF78D8" w:rsidRDefault="00955D4C">
      <w:pPr>
        <w:pStyle w:val="Notedebasdepage"/>
        <w:rPr>
          <w:lang w:val="en-CA"/>
        </w:rPr>
      </w:pPr>
      <w:r w:rsidRPr="00AF78D8">
        <w:rPr>
          <w:rStyle w:val="Appelnotedebasdep"/>
          <w:lang w:val="en-CA"/>
        </w:rPr>
        <w:footnoteRef/>
      </w:r>
      <w:r w:rsidRPr="00AF78D8">
        <w:rPr>
          <w:lang w:val="en-CA"/>
        </w:rPr>
        <w:t xml:space="preserve"> </w:t>
      </w:r>
      <w:r w:rsidRPr="00AF78D8">
        <w:rPr>
          <w:lang w:val="en-CA"/>
        </w:rPr>
        <w:tab/>
      </w:r>
      <w:r w:rsidR="00621C30" w:rsidRPr="00AF78D8">
        <w:rPr>
          <w:lang w:val="en-CA"/>
        </w:rPr>
        <w:t>Definition of “</w:t>
      </w:r>
      <w:r w:rsidRPr="00AF78D8">
        <w:rPr>
          <w:lang w:val="en-CA"/>
        </w:rPr>
        <w:t>sentence</w:t>
      </w:r>
      <w:r w:rsidR="00621C30" w:rsidRPr="00AF78D8">
        <w:rPr>
          <w:lang w:val="en-CA"/>
        </w:rPr>
        <w:t>”</w:t>
      </w:r>
      <w:r w:rsidR="00225024" w:rsidRPr="00AF78D8">
        <w:rPr>
          <w:lang w:val="en-CA"/>
        </w:rPr>
        <w:t xml:space="preserve"> </w:t>
      </w:r>
      <w:r w:rsidR="00621C30" w:rsidRPr="00AF78D8">
        <w:rPr>
          <w:lang w:val="en-CA"/>
        </w:rPr>
        <w:t>in s.</w:t>
      </w:r>
      <w:r w:rsidRPr="00AF78D8">
        <w:rPr>
          <w:lang w:val="en-CA"/>
        </w:rPr>
        <w:t xml:space="preserve"> 673 </w:t>
      </w:r>
      <w:r w:rsidRPr="00AF78D8">
        <w:rPr>
          <w:i/>
          <w:iCs/>
          <w:lang w:val="en-CA"/>
        </w:rPr>
        <w:t>C</w:t>
      </w:r>
      <w:r w:rsidR="00621C30" w:rsidRPr="00AF78D8">
        <w:rPr>
          <w:i/>
          <w:iCs/>
          <w:lang w:val="en-CA"/>
        </w:rPr>
        <w:t>r. C</w:t>
      </w:r>
      <w:r w:rsidRPr="00AF78D8">
        <w:rPr>
          <w:lang w:val="en-CA"/>
        </w:rPr>
        <w:t xml:space="preserve">.; </w:t>
      </w:r>
      <w:r w:rsidR="00621C30" w:rsidRPr="00AF78D8">
        <w:rPr>
          <w:i/>
          <w:lang w:val="en-CA"/>
        </w:rPr>
        <w:t>Quebec (</w:t>
      </w:r>
      <w:r w:rsidR="00AF2B0E" w:rsidRPr="00AF78D8">
        <w:rPr>
          <w:i/>
          <w:lang w:val="en-CA"/>
        </w:rPr>
        <w:t>Attorney General</w:t>
      </w:r>
      <w:r w:rsidR="00621C30" w:rsidRPr="00AF78D8">
        <w:rPr>
          <w:i/>
          <w:lang w:val="en-CA"/>
        </w:rPr>
        <w:t xml:space="preserve">) v. Laroche, </w:t>
      </w:r>
      <w:r w:rsidRPr="00AF78D8">
        <w:rPr>
          <w:lang w:val="en-CA"/>
        </w:rPr>
        <w:t xml:space="preserve">2002 </w:t>
      </w:r>
      <w:r w:rsidR="00621C30" w:rsidRPr="00AF78D8">
        <w:rPr>
          <w:lang w:val="en-CA"/>
        </w:rPr>
        <w:t>SCC</w:t>
      </w:r>
      <w:r w:rsidRPr="00AF78D8">
        <w:rPr>
          <w:lang w:val="en-CA"/>
        </w:rPr>
        <w:t xml:space="preserve"> 72</w:t>
      </w:r>
      <w:r w:rsidR="00621C30" w:rsidRPr="00AF78D8">
        <w:rPr>
          <w:lang w:val="en-CA"/>
        </w:rPr>
        <w:t xml:space="preserve"> at</w:t>
      </w:r>
      <w:r w:rsidRPr="00AF78D8">
        <w:rPr>
          <w:lang w:val="en-CA"/>
        </w:rPr>
        <w:t xml:space="preserve"> para. 33.</w:t>
      </w:r>
    </w:p>
  </w:footnote>
  <w:footnote w:id="37">
    <w:p w:rsidR="00955D4C" w:rsidRPr="00AF78D8" w:rsidRDefault="00955D4C">
      <w:pPr>
        <w:pStyle w:val="Notedebasdepage"/>
        <w:rPr>
          <w:lang w:val="en-CA"/>
        </w:rPr>
      </w:pPr>
      <w:r w:rsidRPr="00AF78D8">
        <w:rPr>
          <w:rStyle w:val="Appelnotedebasdep"/>
          <w:lang w:val="en-CA"/>
        </w:rPr>
        <w:footnoteRef/>
      </w:r>
      <w:r w:rsidRPr="00AF78D8">
        <w:rPr>
          <w:lang w:val="en-CA"/>
        </w:rPr>
        <w:t xml:space="preserve"> </w:t>
      </w:r>
      <w:r w:rsidRPr="00AF78D8">
        <w:rPr>
          <w:lang w:val="en-CA"/>
        </w:rPr>
        <w:tab/>
      </w:r>
      <w:r w:rsidR="00621C30" w:rsidRPr="00AF78D8">
        <w:rPr>
          <w:i/>
          <w:lang w:val="en-CA"/>
        </w:rPr>
        <w:t>R. v. Schoer</w:t>
      </w:r>
      <w:r w:rsidR="00621C30" w:rsidRPr="00AF78D8">
        <w:rPr>
          <w:iCs/>
          <w:lang w:val="en-CA"/>
        </w:rPr>
        <w:t>, 2019 ONCA 105</w:t>
      </w:r>
      <w:r w:rsidRPr="00AF78D8">
        <w:rPr>
          <w:lang w:val="en-CA"/>
        </w:rPr>
        <w:t xml:space="preserve"> </w:t>
      </w:r>
      <w:r w:rsidR="00621C30" w:rsidRPr="00AF78D8">
        <w:rPr>
          <w:lang w:val="en-CA"/>
        </w:rPr>
        <w:t xml:space="preserve">at </w:t>
      </w:r>
      <w:r w:rsidRPr="00AF78D8">
        <w:rPr>
          <w:lang w:val="en-CA"/>
        </w:rPr>
        <w:t>para. 93.</w:t>
      </w:r>
    </w:p>
  </w:footnote>
  <w:footnote w:id="38">
    <w:p w:rsidR="00955D4C" w:rsidRPr="00AF78D8" w:rsidRDefault="00955D4C">
      <w:pPr>
        <w:pStyle w:val="Notedebasdepage"/>
        <w:rPr>
          <w:lang w:val="en-CA"/>
        </w:rPr>
      </w:pPr>
      <w:r w:rsidRPr="00AF78D8">
        <w:rPr>
          <w:rStyle w:val="Appelnotedebasdep"/>
          <w:lang w:val="en-CA"/>
        </w:rPr>
        <w:footnoteRef/>
      </w:r>
      <w:r w:rsidRPr="00AF78D8">
        <w:rPr>
          <w:lang w:val="en-CA"/>
        </w:rPr>
        <w:t xml:space="preserve"> </w:t>
      </w:r>
      <w:r w:rsidRPr="00AF78D8">
        <w:rPr>
          <w:lang w:val="en-CA"/>
        </w:rPr>
        <w:tab/>
      </w:r>
      <w:r w:rsidRPr="00AF78D8">
        <w:rPr>
          <w:i/>
          <w:lang w:val="en-CA"/>
        </w:rPr>
        <w:t>Bebawi</w:t>
      </w:r>
      <w:r w:rsidRPr="00AF78D8">
        <w:rPr>
          <w:lang w:val="en-CA"/>
        </w:rPr>
        <w:t xml:space="preserve"> </w:t>
      </w:r>
      <w:r w:rsidR="00431355" w:rsidRPr="00AF78D8">
        <w:rPr>
          <w:lang w:val="en-CA"/>
        </w:rPr>
        <w:t>v</w:t>
      </w:r>
      <w:r w:rsidRPr="00AF78D8">
        <w:rPr>
          <w:i/>
          <w:iCs/>
          <w:lang w:val="en-CA"/>
        </w:rPr>
        <w:t>.</w:t>
      </w:r>
      <w:r w:rsidRPr="00AF78D8">
        <w:rPr>
          <w:lang w:val="en-CA"/>
        </w:rPr>
        <w:t xml:space="preserve"> </w:t>
      </w:r>
      <w:r w:rsidRPr="00AF78D8">
        <w:rPr>
          <w:i/>
          <w:lang w:val="en-CA"/>
        </w:rPr>
        <w:t>R.</w:t>
      </w:r>
      <w:r w:rsidRPr="00AF78D8">
        <w:rPr>
          <w:lang w:val="en-CA"/>
        </w:rPr>
        <w:t xml:space="preserve">, 2020 QCCA 1397 </w:t>
      </w:r>
      <w:r w:rsidR="00397EC8" w:rsidRPr="00AF78D8">
        <w:rPr>
          <w:lang w:val="en-CA"/>
        </w:rPr>
        <w:t>at para</w:t>
      </w:r>
      <w:r w:rsidRPr="00AF78D8">
        <w:rPr>
          <w:lang w:val="en-CA"/>
        </w:rPr>
        <w:t xml:space="preserve">. 19; </w:t>
      </w:r>
      <w:r w:rsidRPr="00AF78D8">
        <w:rPr>
          <w:i/>
          <w:lang w:val="en-CA"/>
        </w:rPr>
        <w:t>R.</w:t>
      </w:r>
      <w:r w:rsidRPr="00AF78D8">
        <w:rPr>
          <w:lang w:val="en-CA"/>
        </w:rPr>
        <w:t xml:space="preserve"> </w:t>
      </w:r>
      <w:r w:rsidR="00397EC8" w:rsidRPr="00AF78D8">
        <w:rPr>
          <w:i/>
          <w:iCs/>
          <w:lang w:val="en-CA"/>
        </w:rPr>
        <w:t>v</w:t>
      </w:r>
      <w:r w:rsidRPr="00AF78D8">
        <w:rPr>
          <w:lang w:val="en-CA"/>
        </w:rPr>
        <w:t xml:space="preserve">. </w:t>
      </w:r>
      <w:r w:rsidRPr="00AF78D8">
        <w:rPr>
          <w:i/>
          <w:lang w:val="en-CA"/>
        </w:rPr>
        <w:t>Rafilovich</w:t>
      </w:r>
      <w:r w:rsidRPr="00AF78D8">
        <w:rPr>
          <w:lang w:val="en-CA"/>
        </w:rPr>
        <w:t xml:space="preserve">, 2019 </w:t>
      </w:r>
      <w:r w:rsidR="00397EC8" w:rsidRPr="00AF78D8">
        <w:rPr>
          <w:lang w:val="en-CA"/>
        </w:rPr>
        <w:t>SCC</w:t>
      </w:r>
      <w:r w:rsidRPr="00AF78D8">
        <w:rPr>
          <w:lang w:val="en-CA"/>
        </w:rPr>
        <w:t xml:space="preserve"> 51</w:t>
      </w:r>
      <w:r w:rsidR="00397EC8" w:rsidRPr="00AF78D8">
        <w:rPr>
          <w:lang w:val="en-CA"/>
        </w:rPr>
        <w:t xml:space="preserve"> at para</w:t>
      </w:r>
      <w:r w:rsidR="005037BE" w:rsidRPr="00AF78D8">
        <w:rPr>
          <w:lang w:val="en-CA"/>
        </w:rPr>
        <w:t>s</w:t>
      </w:r>
      <w:r w:rsidRPr="00AF78D8">
        <w:rPr>
          <w:lang w:val="en-CA"/>
        </w:rPr>
        <w:t xml:space="preserve">. 2 </w:t>
      </w:r>
      <w:r w:rsidR="00397EC8" w:rsidRPr="00AF78D8">
        <w:rPr>
          <w:lang w:val="en-CA"/>
        </w:rPr>
        <w:t>and</w:t>
      </w:r>
      <w:r w:rsidRPr="00AF78D8">
        <w:rPr>
          <w:lang w:val="en-CA"/>
        </w:rPr>
        <w:t xml:space="preserve"> 88.</w:t>
      </w:r>
    </w:p>
  </w:footnote>
  <w:footnote w:id="39">
    <w:p w:rsidR="00955D4C" w:rsidRPr="00AF78D8" w:rsidRDefault="00955D4C">
      <w:pPr>
        <w:pStyle w:val="Notedebasdepage"/>
        <w:rPr>
          <w:lang w:val="en-CA"/>
        </w:rPr>
      </w:pPr>
      <w:r w:rsidRPr="00AF78D8">
        <w:rPr>
          <w:rStyle w:val="Appelnotedebasdep"/>
          <w:lang w:val="en-CA"/>
        </w:rPr>
        <w:footnoteRef/>
      </w:r>
      <w:r w:rsidRPr="00AF78D8">
        <w:rPr>
          <w:lang w:val="en-CA"/>
        </w:rPr>
        <w:t xml:space="preserve"> </w:t>
      </w:r>
      <w:r w:rsidRPr="00AF78D8">
        <w:rPr>
          <w:lang w:val="en-CA"/>
        </w:rPr>
        <w:tab/>
      </w:r>
      <w:r w:rsidRPr="00AF78D8">
        <w:rPr>
          <w:i/>
          <w:lang w:val="en-CA"/>
        </w:rPr>
        <w:t>Bebawi</w:t>
      </w:r>
      <w:r w:rsidRPr="00AF78D8">
        <w:rPr>
          <w:lang w:val="en-CA"/>
        </w:rPr>
        <w:t xml:space="preserve"> </w:t>
      </w:r>
      <w:r w:rsidR="00431355" w:rsidRPr="00AF78D8">
        <w:rPr>
          <w:lang w:val="en-CA"/>
        </w:rPr>
        <w:t>v</w:t>
      </w:r>
      <w:r w:rsidRPr="00AF78D8">
        <w:rPr>
          <w:lang w:val="en-CA"/>
        </w:rPr>
        <w:t xml:space="preserve">. </w:t>
      </w:r>
      <w:r w:rsidRPr="00AF78D8">
        <w:rPr>
          <w:i/>
          <w:lang w:val="en-CA"/>
        </w:rPr>
        <w:t>R.</w:t>
      </w:r>
      <w:r w:rsidRPr="00AF78D8">
        <w:rPr>
          <w:lang w:val="en-CA"/>
        </w:rPr>
        <w:t>, 2020 QCCA 139</w:t>
      </w:r>
      <w:r w:rsidR="00397EC8" w:rsidRPr="00AF78D8">
        <w:rPr>
          <w:lang w:val="en-CA"/>
        </w:rPr>
        <w:t>7</w:t>
      </w:r>
      <w:r w:rsidRPr="00AF78D8">
        <w:rPr>
          <w:lang w:val="en-CA"/>
        </w:rPr>
        <w:t xml:space="preserve"> para. 26.</w:t>
      </w:r>
    </w:p>
  </w:footnote>
  <w:footnote w:id="40">
    <w:p w:rsidR="00397EC8" w:rsidRPr="00AF78D8" w:rsidRDefault="00397EC8" w:rsidP="00397EC8">
      <w:pPr>
        <w:pStyle w:val="Notedebasdepage"/>
        <w:rPr>
          <w:lang w:val="en-CA"/>
        </w:rPr>
      </w:pPr>
      <w:r w:rsidRPr="00AF78D8">
        <w:rPr>
          <w:rStyle w:val="Appelnotedebasdep"/>
          <w:lang w:val="en-CA"/>
        </w:rPr>
        <w:footnoteRef/>
      </w:r>
      <w:r w:rsidRPr="00AF78D8">
        <w:rPr>
          <w:lang w:val="en-CA"/>
        </w:rPr>
        <w:t xml:space="preserve"> </w:t>
      </w:r>
      <w:r w:rsidRPr="00AF78D8">
        <w:rPr>
          <w:lang w:val="en-CA"/>
        </w:rPr>
        <w:tab/>
      </w:r>
      <w:r w:rsidRPr="00AF78D8">
        <w:rPr>
          <w:i/>
          <w:lang w:val="en-CA"/>
        </w:rPr>
        <w:t>R. v. Collins</w:t>
      </w:r>
      <w:r w:rsidRPr="00AF78D8">
        <w:rPr>
          <w:iCs/>
          <w:lang w:val="en-CA"/>
        </w:rPr>
        <w:t>, 1983 CanLII 3566 (QC</w:t>
      </w:r>
      <w:r w:rsidR="007E0A9E" w:rsidRPr="00AF78D8">
        <w:rPr>
          <w:iCs/>
          <w:lang w:val="en-CA"/>
        </w:rPr>
        <w:t>CQ</w:t>
      </w:r>
      <w:r w:rsidRPr="00AF78D8">
        <w:rPr>
          <w:iCs/>
          <w:lang w:val="en-CA"/>
        </w:rPr>
        <w:t>) at</w:t>
      </w:r>
      <w:r w:rsidRPr="00AF78D8">
        <w:rPr>
          <w:lang w:val="en-CA"/>
        </w:rPr>
        <w:t xml:space="preserve"> 378.</w:t>
      </w:r>
    </w:p>
  </w:footnote>
  <w:footnote w:id="41">
    <w:p w:rsidR="00955D4C" w:rsidRPr="00AF78D8" w:rsidRDefault="00955D4C">
      <w:pPr>
        <w:pStyle w:val="Notedebasdepage"/>
        <w:rPr>
          <w:lang w:val="en-CA"/>
        </w:rPr>
      </w:pPr>
      <w:r w:rsidRPr="00AF78D8">
        <w:rPr>
          <w:rStyle w:val="Appelnotedebasdep"/>
          <w:lang w:val="en-CA"/>
        </w:rPr>
        <w:footnoteRef/>
      </w:r>
      <w:r w:rsidRPr="00AF78D8">
        <w:rPr>
          <w:lang w:val="en-CA"/>
        </w:rPr>
        <w:t xml:space="preserve"> </w:t>
      </w:r>
      <w:r w:rsidRPr="00AF78D8">
        <w:rPr>
          <w:lang w:val="en-CA"/>
        </w:rPr>
        <w:tab/>
      </w:r>
      <w:r w:rsidRPr="00AF78D8">
        <w:rPr>
          <w:i/>
          <w:lang w:val="en-CA"/>
        </w:rPr>
        <w:t>Vellone</w:t>
      </w:r>
      <w:r w:rsidRPr="00AF78D8">
        <w:rPr>
          <w:lang w:val="en-CA"/>
        </w:rPr>
        <w:t xml:space="preserve"> </w:t>
      </w:r>
      <w:r w:rsidR="00431355" w:rsidRPr="00AF78D8">
        <w:rPr>
          <w:lang w:val="en-CA"/>
        </w:rPr>
        <w:t>v</w:t>
      </w:r>
      <w:r w:rsidRPr="00AF78D8">
        <w:rPr>
          <w:i/>
          <w:iCs/>
          <w:lang w:val="en-CA"/>
        </w:rPr>
        <w:t>.</w:t>
      </w:r>
      <w:r w:rsidRPr="00AF78D8">
        <w:rPr>
          <w:lang w:val="en-CA"/>
        </w:rPr>
        <w:t xml:space="preserve"> </w:t>
      </w:r>
      <w:r w:rsidRPr="00AF78D8">
        <w:rPr>
          <w:i/>
          <w:lang w:val="en-CA"/>
        </w:rPr>
        <w:t>R.</w:t>
      </w:r>
      <w:r w:rsidRPr="00AF78D8">
        <w:rPr>
          <w:lang w:val="en-CA"/>
        </w:rPr>
        <w:t>, 2020 QCCA 665</w:t>
      </w:r>
      <w:r w:rsidR="00816CC3" w:rsidRPr="00AF78D8">
        <w:rPr>
          <w:lang w:val="en-CA"/>
        </w:rPr>
        <w:t xml:space="preserve"> at</w:t>
      </w:r>
      <w:r w:rsidRPr="00AF78D8">
        <w:rPr>
          <w:lang w:val="en-CA"/>
        </w:rPr>
        <w:t xml:space="preserve"> para</w:t>
      </w:r>
      <w:r w:rsidR="00816CC3" w:rsidRPr="00AF78D8">
        <w:rPr>
          <w:lang w:val="en-CA"/>
        </w:rPr>
        <w:t>s</w:t>
      </w:r>
      <w:r w:rsidRPr="00AF78D8">
        <w:rPr>
          <w:lang w:val="en-CA"/>
        </w:rPr>
        <w:t xml:space="preserve">. 18 </w:t>
      </w:r>
      <w:r w:rsidR="00816CC3" w:rsidRPr="00AF78D8">
        <w:rPr>
          <w:lang w:val="en-CA"/>
        </w:rPr>
        <w:t>and</w:t>
      </w:r>
      <w:r w:rsidRPr="00AF78D8">
        <w:rPr>
          <w:lang w:val="en-CA"/>
        </w:rPr>
        <w:t xml:space="preserve"> 19, </w:t>
      </w:r>
      <w:r w:rsidR="00816CC3" w:rsidRPr="00AF78D8">
        <w:rPr>
          <w:lang w:val="en-CA"/>
        </w:rPr>
        <w:t>leave to appeal to SCC refused, 39281 (</w:t>
      </w:r>
      <w:r w:rsidR="003F3B13" w:rsidRPr="00AF78D8">
        <w:rPr>
          <w:lang w:val="en-CA"/>
        </w:rPr>
        <w:t xml:space="preserve">4 </w:t>
      </w:r>
      <w:r w:rsidR="00816CC3" w:rsidRPr="00AF78D8">
        <w:rPr>
          <w:lang w:val="en-CA"/>
        </w:rPr>
        <w:t xml:space="preserve">March </w:t>
      </w:r>
      <w:r w:rsidRPr="00AF78D8">
        <w:rPr>
          <w:lang w:val="en-CA"/>
        </w:rPr>
        <w:t>2021</w:t>
      </w:r>
      <w:r w:rsidR="00816CC3" w:rsidRPr="00AF78D8">
        <w:rPr>
          <w:lang w:val="en-CA"/>
        </w:rPr>
        <w:t>).</w:t>
      </w:r>
      <w:r w:rsidRPr="00AF78D8">
        <w:rPr>
          <w:lang w:val="en-CA"/>
        </w:rPr>
        <w:t xml:space="preserve"> </w:t>
      </w:r>
    </w:p>
  </w:footnote>
  <w:footnote w:id="42">
    <w:p w:rsidR="00955D4C" w:rsidRPr="00AF78D8" w:rsidRDefault="00955D4C">
      <w:pPr>
        <w:pStyle w:val="Notedebasdepage"/>
        <w:rPr>
          <w:lang w:val="en-CA"/>
        </w:rPr>
      </w:pPr>
      <w:r w:rsidRPr="00AF78D8">
        <w:rPr>
          <w:rStyle w:val="Appelnotedebasdep"/>
          <w:lang w:val="en-CA"/>
        </w:rPr>
        <w:footnoteRef/>
      </w:r>
      <w:r w:rsidRPr="00AF78D8">
        <w:rPr>
          <w:lang w:val="en-CA"/>
        </w:rPr>
        <w:t xml:space="preserve"> </w:t>
      </w:r>
      <w:r w:rsidRPr="00AF78D8">
        <w:rPr>
          <w:lang w:val="en-CA"/>
        </w:rPr>
        <w:tab/>
      </w:r>
      <w:r w:rsidR="008D314A" w:rsidRPr="00AF78D8">
        <w:rPr>
          <w:i/>
          <w:lang w:val="en-CA"/>
        </w:rPr>
        <w:t>Vellone</w:t>
      </w:r>
      <w:r w:rsidR="00431355" w:rsidRPr="00AF78D8">
        <w:rPr>
          <w:i/>
          <w:lang w:val="en-CA"/>
        </w:rPr>
        <w:t xml:space="preserve"> v</w:t>
      </w:r>
      <w:r w:rsidR="008D314A" w:rsidRPr="00AF78D8">
        <w:rPr>
          <w:i/>
          <w:iCs/>
          <w:lang w:val="en-CA"/>
        </w:rPr>
        <w:t>.</w:t>
      </w:r>
      <w:r w:rsidR="008D314A" w:rsidRPr="00AF78D8">
        <w:rPr>
          <w:lang w:val="en-CA"/>
        </w:rPr>
        <w:t xml:space="preserve"> </w:t>
      </w:r>
      <w:r w:rsidR="008D314A" w:rsidRPr="00AF78D8">
        <w:rPr>
          <w:i/>
          <w:lang w:val="en-CA"/>
        </w:rPr>
        <w:t>R.</w:t>
      </w:r>
      <w:r w:rsidR="008D314A" w:rsidRPr="00AF78D8">
        <w:rPr>
          <w:lang w:val="en-CA"/>
        </w:rPr>
        <w:t xml:space="preserve">, 2020 QCCA 665 </w:t>
      </w:r>
      <w:r w:rsidR="00816CC3" w:rsidRPr="00AF78D8">
        <w:rPr>
          <w:lang w:val="en-CA"/>
        </w:rPr>
        <w:t>at paras. 18 and 19, leave to appeal to SCC refused, 39281 (</w:t>
      </w:r>
      <w:r w:rsidR="003F3B13" w:rsidRPr="00AF78D8">
        <w:rPr>
          <w:lang w:val="en-CA"/>
        </w:rPr>
        <w:t xml:space="preserve">4 </w:t>
      </w:r>
      <w:r w:rsidR="00816CC3" w:rsidRPr="00AF78D8">
        <w:rPr>
          <w:lang w:val="en-CA"/>
        </w:rPr>
        <w:t>March 2021)</w:t>
      </w:r>
      <w:r w:rsidR="008D314A" w:rsidRPr="00AF78D8">
        <w:rPr>
          <w:lang w:val="en-CA"/>
        </w:rPr>
        <w:t>.</w:t>
      </w:r>
    </w:p>
  </w:footnote>
  <w:footnote w:id="43">
    <w:p w:rsidR="00C407FE" w:rsidRPr="00AF78D8" w:rsidRDefault="00C407FE" w:rsidP="00C407FE">
      <w:pPr>
        <w:pStyle w:val="Notedebasdepage"/>
        <w:rPr>
          <w:lang w:val="en-CA"/>
        </w:rPr>
      </w:pPr>
      <w:r w:rsidRPr="00AF78D8">
        <w:rPr>
          <w:rStyle w:val="Appelnotedebasdep"/>
          <w:lang w:val="en-CA"/>
        </w:rPr>
        <w:footnoteRef/>
      </w:r>
      <w:r w:rsidRPr="00AF78D8">
        <w:rPr>
          <w:lang w:val="en-CA"/>
        </w:rPr>
        <w:t xml:space="preserve"> </w:t>
      </w:r>
      <w:r w:rsidRPr="00AF78D8">
        <w:rPr>
          <w:lang w:val="en-CA"/>
        </w:rPr>
        <w:tab/>
      </w:r>
      <w:r w:rsidRPr="00AF78D8">
        <w:rPr>
          <w:i/>
          <w:lang w:val="en-CA"/>
        </w:rPr>
        <w:t>Croussette</w:t>
      </w:r>
      <w:r w:rsidRPr="00AF78D8">
        <w:rPr>
          <w:lang w:val="en-CA"/>
        </w:rPr>
        <w:t xml:space="preserve"> </w:t>
      </w:r>
      <w:r w:rsidR="00431355" w:rsidRPr="00AF78D8">
        <w:rPr>
          <w:lang w:val="en-CA"/>
        </w:rPr>
        <w:t>v</w:t>
      </w:r>
      <w:r w:rsidRPr="00AF78D8">
        <w:rPr>
          <w:i/>
          <w:iCs/>
          <w:lang w:val="en-CA"/>
        </w:rPr>
        <w:t>.</w:t>
      </w:r>
      <w:r w:rsidRPr="00AF78D8">
        <w:rPr>
          <w:lang w:val="en-CA"/>
        </w:rPr>
        <w:t xml:space="preserve"> </w:t>
      </w:r>
      <w:r w:rsidRPr="00AF78D8">
        <w:rPr>
          <w:i/>
          <w:lang w:val="en-CA"/>
        </w:rPr>
        <w:t>R.</w:t>
      </w:r>
      <w:r w:rsidRPr="00AF78D8">
        <w:rPr>
          <w:lang w:val="en-CA"/>
        </w:rPr>
        <w:t>, 2017 QCCA 1040</w:t>
      </w:r>
      <w:r w:rsidR="00816CC3" w:rsidRPr="00AF78D8">
        <w:rPr>
          <w:lang w:val="en-CA"/>
        </w:rPr>
        <w:t xml:space="preserve"> at</w:t>
      </w:r>
      <w:r w:rsidRPr="00AF78D8">
        <w:rPr>
          <w:lang w:val="en-CA"/>
        </w:rPr>
        <w:t xml:space="preserve"> para. 8.</w:t>
      </w:r>
    </w:p>
  </w:footnote>
  <w:footnote w:id="44">
    <w:p w:rsidR="002D486A" w:rsidRPr="00AF78D8" w:rsidRDefault="002D486A" w:rsidP="002D486A">
      <w:pPr>
        <w:pStyle w:val="Notedebasdepage"/>
        <w:rPr>
          <w:lang w:val="en-CA"/>
        </w:rPr>
      </w:pPr>
      <w:r w:rsidRPr="00AF78D8">
        <w:rPr>
          <w:rStyle w:val="Appelnotedebasdep"/>
          <w:lang w:val="en-CA"/>
        </w:rPr>
        <w:footnoteRef/>
      </w:r>
      <w:r w:rsidRPr="00AF78D8">
        <w:rPr>
          <w:lang w:val="en-CA"/>
        </w:rPr>
        <w:t xml:space="preserve"> </w:t>
      </w:r>
      <w:r w:rsidRPr="00AF78D8">
        <w:rPr>
          <w:lang w:val="en-CA"/>
        </w:rPr>
        <w:tab/>
      </w:r>
      <w:r w:rsidRPr="00AF78D8">
        <w:rPr>
          <w:i/>
          <w:lang w:val="en-CA"/>
        </w:rPr>
        <w:t>Vallières</w:t>
      </w:r>
      <w:r w:rsidRPr="00AF78D8">
        <w:rPr>
          <w:lang w:val="en-CA"/>
        </w:rPr>
        <w:t xml:space="preserve"> </w:t>
      </w:r>
      <w:r w:rsidR="00431355" w:rsidRPr="00AF78D8">
        <w:rPr>
          <w:lang w:val="en-CA"/>
        </w:rPr>
        <w:t>v</w:t>
      </w:r>
      <w:r w:rsidRPr="00AF78D8">
        <w:rPr>
          <w:i/>
          <w:iCs/>
          <w:lang w:val="en-CA"/>
        </w:rPr>
        <w:t>.</w:t>
      </w:r>
      <w:r w:rsidRPr="00AF78D8">
        <w:rPr>
          <w:lang w:val="en-CA"/>
        </w:rPr>
        <w:t xml:space="preserve"> </w:t>
      </w:r>
      <w:r w:rsidRPr="00AF78D8">
        <w:rPr>
          <w:i/>
          <w:lang w:val="en-CA"/>
        </w:rPr>
        <w:t>R.</w:t>
      </w:r>
      <w:r w:rsidRPr="00AF78D8">
        <w:rPr>
          <w:lang w:val="en-CA"/>
        </w:rPr>
        <w:t>, 2020 QCCA 372</w:t>
      </w:r>
      <w:r w:rsidR="00816CC3" w:rsidRPr="00AF78D8">
        <w:rPr>
          <w:lang w:val="en-CA"/>
        </w:rPr>
        <w:t xml:space="preserve"> at</w:t>
      </w:r>
      <w:r w:rsidRPr="00AF78D8">
        <w:rPr>
          <w:lang w:val="en-CA"/>
        </w:rPr>
        <w:t xml:space="preserve"> para. 213, </w:t>
      </w:r>
      <w:r w:rsidR="00816CC3" w:rsidRPr="00AF78D8">
        <w:rPr>
          <w:lang w:val="en-CA"/>
        </w:rPr>
        <w:t>leave to appeal granted (</w:t>
      </w:r>
      <w:r w:rsidRPr="00AF78D8">
        <w:rPr>
          <w:lang w:val="en-CA"/>
        </w:rPr>
        <w:t>24</w:t>
      </w:r>
      <w:r w:rsidR="00816CC3" w:rsidRPr="00AF78D8">
        <w:rPr>
          <w:lang w:val="en-CA"/>
        </w:rPr>
        <w:t xml:space="preserve"> </w:t>
      </w:r>
      <w:r w:rsidR="006D62FC" w:rsidRPr="00AF78D8">
        <w:rPr>
          <w:lang w:val="en-CA"/>
        </w:rPr>
        <w:t xml:space="preserve">September </w:t>
      </w:r>
      <w:r w:rsidRPr="00AF78D8">
        <w:rPr>
          <w:lang w:val="en-CA"/>
        </w:rPr>
        <w:t>2020</w:t>
      </w:r>
      <w:r w:rsidR="00816CC3" w:rsidRPr="00AF78D8">
        <w:rPr>
          <w:lang w:val="en-CA"/>
        </w:rPr>
        <w:t>) and</w:t>
      </w:r>
      <w:r w:rsidRPr="00AF78D8">
        <w:rPr>
          <w:lang w:val="en-CA"/>
        </w:rPr>
        <w:t xml:space="preserve"> </w:t>
      </w:r>
      <w:r w:rsidR="002C5EF7" w:rsidRPr="00AF78D8">
        <w:rPr>
          <w:lang w:val="en-CA"/>
        </w:rPr>
        <w:t>hearing on the appeal set down on the roll of</w:t>
      </w:r>
      <w:r w:rsidRPr="00AF78D8">
        <w:rPr>
          <w:lang w:val="en-CA"/>
        </w:rPr>
        <w:t xml:space="preserve"> 24</w:t>
      </w:r>
      <w:r w:rsidR="002C5EF7" w:rsidRPr="00AF78D8">
        <w:rPr>
          <w:lang w:val="en-CA"/>
        </w:rPr>
        <w:t xml:space="preserve"> </w:t>
      </w:r>
      <w:r w:rsidR="006D62FC" w:rsidRPr="00AF78D8">
        <w:rPr>
          <w:lang w:val="en-CA"/>
        </w:rPr>
        <w:t xml:space="preserve">August </w:t>
      </w:r>
      <w:r w:rsidRPr="00AF78D8">
        <w:rPr>
          <w:lang w:val="en-CA"/>
        </w:rPr>
        <w:t>2021.</w:t>
      </w:r>
    </w:p>
  </w:footnote>
  <w:footnote w:id="45">
    <w:p w:rsidR="002D486A" w:rsidRPr="00AF78D8" w:rsidRDefault="002D486A" w:rsidP="002D486A">
      <w:pPr>
        <w:pStyle w:val="Notedebasdepage"/>
        <w:rPr>
          <w:lang w:val="en-CA"/>
        </w:rPr>
      </w:pPr>
      <w:r w:rsidRPr="00AF78D8">
        <w:rPr>
          <w:rStyle w:val="Appelnotedebasdep"/>
          <w:lang w:val="en-CA"/>
        </w:rPr>
        <w:footnoteRef/>
      </w:r>
      <w:r w:rsidRPr="00AF78D8">
        <w:rPr>
          <w:lang w:val="en-CA"/>
        </w:rPr>
        <w:t xml:space="preserve"> </w:t>
      </w:r>
      <w:r w:rsidRPr="00AF78D8">
        <w:rPr>
          <w:lang w:val="en-CA"/>
        </w:rPr>
        <w:tab/>
      </w:r>
      <w:r w:rsidRPr="00AF78D8">
        <w:rPr>
          <w:i/>
          <w:lang w:val="en-CA"/>
        </w:rPr>
        <w:t>Bebawi</w:t>
      </w:r>
      <w:r w:rsidRPr="00AF78D8">
        <w:rPr>
          <w:lang w:val="en-CA"/>
        </w:rPr>
        <w:t xml:space="preserve"> </w:t>
      </w:r>
      <w:r w:rsidR="00431355" w:rsidRPr="00AF78D8">
        <w:rPr>
          <w:lang w:val="en-CA"/>
        </w:rPr>
        <w:t>v</w:t>
      </w:r>
      <w:r w:rsidRPr="00AF78D8">
        <w:rPr>
          <w:i/>
          <w:iCs/>
          <w:lang w:val="en-CA"/>
        </w:rPr>
        <w:t>.</w:t>
      </w:r>
      <w:r w:rsidRPr="00AF78D8">
        <w:rPr>
          <w:lang w:val="en-CA"/>
        </w:rPr>
        <w:t xml:space="preserve"> </w:t>
      </w:r>
      <w:r w:rsidRPr="00AF78D8">
        <w:rPr>
          <w:i/>
          <w:lang w:val="en-CA"/>
        </w:rPr>
        <w:t>R.</w:t>
      </w:r>
      <w:r w:rsidRPr="00AF78D8">
        <w:rPr>
          <w:lang w:val="en-CA"/>
        </w:rPr>
        <w:t>, 2020 QCCA 1397</w:t>
      </w:r>
      <w:r w:rsidR="002C5EF7" w:rsidRPr="00AF78D8">
        <w:rPr>
          <w:lang w:val="en-CA"/>
        </w:rPr>
        <w:t xml:space="preserve"> at para. </w:t>
      </w:r>
      <w:r w:rsidRPr="00AF78D8">
        <w:rPr>
          <w:lang w:val="en-CA"/>
        </w:rPr>
        <w:t>32.</w:t>
      </w:r>
    </w:p>
  </w:footnote>
  <w:footnote w:id="46">
    <w:p w:rsidR="00955D4C" w:rsidRPr="00AF78D8" w:rsidRDefault="00955D4C">
      <w:pPr>
        <w:pStyle w:val="Notedebasdepage"/>
        <w:rPr>
          <w:lang w:val="en-CA"/>
        </w:rPr>
      </w:pPr>
      <w:r w:rsidRPr="00AF78D8">
        <w:rPr>
          <w:rStyle w:val="Appelnotedebasdep"/>
          <w:lang w:val="en-CA"/>
        </w:rPr>
        <w:footnoteRef/>
      </w:r>
      <w:r w:rsidRPr="00AF78D8">
        <w:rPr>
          <w:lang w:val="en-CA"/>
        </w:rPr>
        <w:t xml:space="preserve"> </w:t>
      </w:r>
      <w:r w:rsidRPr="00AF78D8">
        <w:rPr>
          <w:lang w:val="en-CA"/>
        </w:rPr>
        <w:tab/>
      </w:r>
      <w:r w:rsidR="003B5A5A" w:rsidRPr="00AF78D8">
        <w:rPr>
          <w:i/>
          <w:lang w:val="en-CA"/>
        </w:rPr>
        <w:t>Vellone</w:t>
      </w:r>
      <w:r w:rsidR="003B5A5A" w:rsidRPr="00AF78D8">
        <w:rPr>
          <w:lang w:val="en-CA"/>
        </w:rPr>
        <w:t xml:space="preserve"> </w:t>
      </w:r>
      <w:r w:rsidR="00431355" w:rsidRPr="00AF78D8">
        <w:rPr>
          <w:lang w:val="en-CA"/>
        </w:rPr>
        <w:t>v</w:t>
      </w:r>
      <w:r w:rsidR="003B5A5A" w:rsidRPr="00AF78D8">
        <w:rPr>
          <w:lang w:val="en-CA"/>
        </w:rPr>
        <w:t xml:space="preserve">. </w:t>
      </w:r>
      <w:r w:rsidR="003B5A5A" w:rsidRPr="00AF78D8">
        <w:rPr>
          <w:i/>
          <w:lang w:val="en-CA"/>
        </w:rPr>
        <w:t>R.</w:t>
      </w:r>
      <w:r w:rsidR="003B5A5A" w:rsidRPr="00AF78D8">
        <w:rPr>
          <w:lang w:val="en-CA"/>
        </w:rPr>
        <w:t>, 2020 QCCA 665</w:t>
      </w:r>
      <w:r w:rsidR="002C5EF7" w:rsidRPr="00AF78D8">
        <w:rPr>
          <w:lang w:val="en-CA"/>
        </w:rPr>
        <w:t xml:space="preserve"> at</w:t>
      </w:r>
      <w:r w:rsidR="003B5A5A" w:rsidRPr="00AF78D8">
        <w:rPr>
          <w:lang w:val="en-CA"/>
        </w:rPr>
        <w:t xml:space="preserve"> para</w:t>
      </w:r>
      <w:r w:rsidR="002C5EF7" w:rsidRPr="00AF78D8">
        <w:rPr>
          <w:lang w:val="en-CA"/>
        </w:rPr>
        <w:t>s</w:t>
      </w:r>
      <w:r w:rsidR="003B5A5A" w:rsidRPr="00AF78D8">
        <w:rPr>
          <w:lang w:val="en-CA"/>
        </w:rPr>
        <w:t xml:space="preserve">. 18 </w:t>
      </w:r>
      <w:r w:rsidR="002C5EF7" w:rsidRPr="00AF78D8">
        <w:rPr>
          <w:lang w:val="en-CA"/>
        </w:rPr>
        <w:t>and</w:t>
      </w:r>
      <w:r w:rsidR="003B5A5A" w:rsidRPr="00AF78D8">
        <w:rPr>
          <w:lang w:val="en-CA"/>
        </w:rPr>
        <w:t xml:space="preserve"> 19, </w:t>
      </w:r>
      <w:r w:rsidR="002C5EF7" w:rsidRPr="00AF78D8">
        <w:rPr>
          <w:lang w:val="en-CA"/>
        </w:rPr>
        <w:t>leave to appeal to the SCC refused, 39281 (</w:t>
      </w:r>
      <w:r w:rsidR="00292772" w:rsidRPr="00AF78D8">
        <w:rPr>
          <w:lang w:val="en-CA"/>
        </w:rPr>
        <w:t xml:space="preserve">4 </w:t>
      </w:r>
      <w:r w:rsidR="002C5EF7" w:rsidRPr="00AF78D8">
        <w:rPr>
          <w:lang w:val="en-CA"/>
        </w:rPr>
        <w:t>March</w:t>
      </w:r>
      <w:r w:rsidR="003B5A5A" w:rsidRPr="00AF78D8">
        <w:rPr>
          <w:lang w:val="en-CA"/>
        </w:rPr>
        <w:t xml:space="preserve"> 2021</w:t>
      </w:r>
      <w:r w:rsidR="002C5EF7" w:rsidRPr="00AF78D8">
        <w:rPr>
          <w:lang w:val="en-CA"/>
        </w:rPr>
        <w:t>)</w:t>
      </w:r>
      <w:r w:rsidRPr="00AF78D8">
        <w:rPr>
          <w:lang w:val="en-CA"/>
        </w:rPr>
        <w:t>.</w:t>
      </w:r>
    </w:p>
  </w:footnote>
  <w:footnote w:id="47">
    <w:p w:rsidR="002D486A" w:rsidRPr="00AF78D8" w:rsidRDefault="002D486A" w:rsidP="002D486A">
      <w:pPr>
        <w:pStyle w:val="Notedebasdepage"/>
        <w:rPr>
          <w:i/>
          <w:lang w:val="en-CA"/>
        </w:rPr>
      </w:pPr>
      <w:r w:rsidRPr="00AF78D8">
        <w:rPr>
          <w:rStyle w:val="Appelnotedebasdep"/>
          <w:lang w:val="en-CA"/>
        </w:rPr>
        <w:footnoteRef/>
      </w:r>
      <w:r w:rsidRPr="00AF78D8">
        <w:rPr>
          <w:lang w:val="en-CA"/>
        </w:rPr>
        <w:t xml:space="preserve"> </w:t>
      </w:r>
      <w:r w:rsidRPr="00AF78D8">
        <w:rPr>
          <w:lang w:val="en-CA"/>
        </w:rPr>
        <w:tab/>
      </w:r>
      <w:r w:rsidRPr="00AF78D8">
        <w:rPr>
          <w:i/>
          <w:lang w:val="en-CA"/>
        </w:rPr>
        <w:t>I</w:t>
      </w:r>
      <w:r w:rsidR="002C5EF7" w:rsidRPr="00AF78D8">
        <w:rPr>
          <w:i/>
          <w:lang w:val="en-CA"/>
        </w:rPr>
        <w:t>bi</w:t>
      </w:r>
      <w:r w:rsidRPr="00AF78D8">
        <w:rPr>
          <w:i/>
          <w:lang w:val="en-CA"/>
        </w:rPr>
        <w:t>d.</w:t>
      </w:r>
    </w:p>
  </w:footnote>
  <w:footnote w:id="48">
    <w:p w:rsidR="00955D4C" w:rsidRPr="00AF78D8" w:rsidRDefault="00955D4C">
      <w:pPr>
        <w:pStyle w:val="Notedebasdepage"/>
        <w:rPr>
          <w:lang w:val="en-CA"/>
        </w:rPr>
      </w:pPr>
      <w:r w:rsidRPr="00AF78D8">
        <w:rPr>
          <w:rStyle w:val="Appelnotedebasdep"/>
          <w:lang w:val="en-CA"/>
        </w:rPr>
        <w:footnoteRef/>
      </w:r>
      <w:r w:rsidRPr="00AF78D8">
        <w:rPr>
          <w:lang w:val="en-CA"/>
        </w:rPr>
        <w:t xml:space="preserve"> </w:t>
      </w:r>
      <w:r w:rsidRPr="00AF78D8">
        <w:rPr>
          <w:lang w:val="en-CA"/>
        </w:rPr>
        <w:tab/>
      </w:r>
      <w:r w:rsidR="003B5A5A" w:rsidRPr="00AF78D8">
        <w:rPr>
          <w:i/>
          <w:lang w:val="en-CA"/>
        </w:rPr>
        <w:t>I</w:t>
      </w:r>
      <w:r w:rsidR="002C5EF7" w:rsidRPr="00AF78D8">
        <w:rPr>
          <w:i/>
          <w:lang w:val="en-CA"/>
        </w:rPr>
        <w:t>bi</w:t>
      </w:r>
      <w:r w:rsidR="003B5A5A" w:rsidRPr="00AF78D8">
        <w:rPr>
          <w:i/>
          <w:lang w:val="en-CA"/>
        </w:rPr>
        <w:t>d.</w:t>
      </w:r>
      <w:r w:rsidR="002C5EF7" w:rsidRPr="00AF78D8">
        <w:rPr>
          <w:iCs/>
          <w:lang w:val="en-CA"/>
        </w:rPr>
        <w:t xml:space="preserve"> at</w:t>
      </w:r>
      <w:r w:rsidR="003B5A5A" w:rsidRPr="00AF78D8">
        <w:rPr>
          <w:i/>
          <w:lang w:val="en-CA"/>
        </w:rPr>
        <w:t xml:space="preserve"> </w:t>
      </w:r>
      <w:r w:rsidR="003B5A5A" w:rsidRPr="00AF78D8">
        <w:rPr>
          <w:lang w:val="en-CA"/>
        </w:rPr>
        <w:t>para. 41.</w:t>
      </w:r>
    </w:p>
  </w:footnote>
  <w:footnote w:id="49">
    <w:p w:rsidR="002D486A" w:rsidRPr="00AF78D8" w:rsidRDefault="002D486A" w:rsidP="002D486A">
      <w:pPr>
        <w:pStyle w:val="Notedebasdepage"/>
        <w:rPr>
          <w:lang w:val="en-CA"/>
        </w:rPr>
      </w:pPr>
      <w:r w:rsidRPr="00AF78D8">
        <w:rPr>
          <w:rStyle w:val="Appelnotedebasdep"/>
          <w:lang w:val="en-CA"/>
        </w:rPr>
        <w:footnoteRef/>
      </w:r>
      <w:r w:rsidRPr="00AF78D8">
        <w:rPr>
          <w:lang w:val="en-CA"/>
        </w:rPr>
        <w:t xml:space="preserve"> </w:t>
      </w:r>
      <w:r w:rsidRPr="00AF78D8">
        <w:rPr>
          <w:lang w:val="en-CA"/>
        </w:rPr>
        <w:tab/>
      </w:r>
      <w:r w:rsidRPr="00AF78D8">
        <w:rPr>
          <w:i/>
          <w:lang w:val="en-CA"/>
        </w:rPr>
        <w:t>R. v. Collins</w:t>
      </w:r>
      <w:r w:rsidRPr="00AF78D8">
        <w:rPr>
          <w:iCs/>
          <w:lang w:val="en-CA"/>
        </w:rPr>
        <w:t>, 1983 CanLII 3566, (QC CA) at</w:t>
      </w:r>
      <w:r w:rsidRPr="00AF78D8">
        <w:rPr>
          <w:lang w:val="en-CA"/>
        </w:rPr>
        <w:t xml:space="preserve"> 378.</w:t>
      </w:r>
    </w:p>
  </w:footnote>
  <w:footnote w:id="50">
    <w:p w:rsidR="002D486A" w:rsidRPr="00AF78D8" w:rsidRDefault="002D486A" w:rsidP="002D486A">
      <w:pPr>
        <w:pStyle w:val="Notedebasdepage"/>
        <w:rPr>
          <w:lang w:val="en-CA"/>
        </w:rPr>
      </w:pPr>
      <w:r w:rsidRPr="00AF78D8">
        <w:rPr>
          <w:rStyle w:val="Appelnotedebasdep"/>
          <w:lang w:val="en-CA"/>
        </w:rPr>
        <w:footnoteRef/>
      </w:r>
      <w:r w:rsidRPr="00AF78D8">
        <w:rPr>
          <w:lang w:val="en-CA"/>
        </w:rPr>
        <w:t xml:space="preserve"> </w:t>
      </w:r>
      <w:r w:rsidRPr="00AF78D8">
        <w:rPr>
          <w:lang w:val="en-CA"/>
        </w:rPr>
        <w:tab/>
      </w:r>
      <w:r w:rsidRPr="00AF78D8">
        <w:rPr>
          <w:i/>
          <w:lang w:val="en-CA"/>
        </w:rPr>
        <w:t>R.</w:t>
      </w:r>
      <w:r w:rsidRPr="00AF78D8">
        <w:rPr>
          <w:lang w:val="en-CA"/>
        </w:rPr>
        <w:t xml:space="preserve"> </w:t>
      </w:r>
      <w:r w:rsidRPr="00AF78D8">
        <w:rPr>
          <w:i/>
          <w:iCs/>
          <w:lang w:val="en-CA"/>
        </w:rPr>
        <w:t>v.</w:t>
      </w:r>
      <w:r w:rsidRPr="00AF78D8">
        <w:rPr>
          <w:lang w:val="en-CA"/>
        </w:rPr>
        <w:t xml:space="preserve"> </w:t>
      </w:r>
      <w:r w:rsidRPr="00AF78D8">
        <w:rPr>
          <w:i/>
          <w:lang w:val="en-CA"/>
        </w:rPr>
        <w:t>Perello</w:t>
      </w:r>
      <w:r w:rsidRPr="00AF78D8">
        <w:rPr>
          <w:lang w:val="en-CA"/>
        </w:rPr>
        <w:t>, 2007 SKCA 8.</w:t>
      </w:r>
    </w:p>
  </w:footnote>
  <w:footnote w:id="51">
    <w:p w:rsidR="00955D4C" w:rsidRPr="00AF78D8" w:rsidRDefault="00955D4C">
      <w:pPr>
        <w:pStyle w:val="Notedebasdepage"/>
        <w:rPr>
          <w:lang w:val="en-CA"/>
        </w:rPr>
      </w:pPr>
      <w:r w:rsidRPr="00AF78D8">
        <w:rPr>
          <w:rStyle w:val="Appelnotedebasdep"/>
          <w:lang w:val="en-CA"/>
        </w:rPr>
        <w:footnoteRef/>
      </w:r>
      <w:r w:rsidRPr="00AF78D8">
        <w:rPr>
          <w:lang w:val="en-CA"/>
        </w:rPr>
        <w:t xml:space="preserve"> </w:t>
      </w:r>
      <w:r w:rsidRPr="00AF78D8">
        <w:rPr>
          <w:lang w:val="en-CA"/>
        </w:rPr>
        <w:tab/>
      </w:r>
      <w:r w:rsidR="003B5A5A" w:rsidRPr="00AF78D8">
        <w:rPr>
          <w:i/>
          <w:lang w:val="en-CA"/>
        </w:rPr>
        <w:t>Vellone</w:t>
      </w:r>
      <w:r w:rsidR="003B5A5A" w:rsidRPr="00AF78D8">
        <w:rPr>
          <w:lang w:val="en-CA"/>
        </w:rPr>
        <w:t xml:space="preserve"> </w:t>
      </w:r>
      <w:r w:rsidR="00431355" w:rsidRPr="00AF78D8">
        <w:rPr>
          <w:lang w:val="en-CA"/>
        </w:rPr>
        <w:t>v</w:t>
      </w:r>
      <w:r w:rsidR="003B5A5A" w:rsidRPr="00AF78D8">
        <w:rPr>
          <w:i/>
          <w:iCs/>
          <w:lang w:val="en-CA"/>
        </w:rPr>
        <w:t>.</w:t>
      </w:r>
      <w:r w:rsidR="003B5A5A" w:rsidRPr="00AF78D8">
        <w:rPr>
          <w:lang w:val="en-CA"/>
        </w:rPr>
        <w:t xml:space="preserve"> </w:t>
      </w:r>
      <w:r w:rsidR="003B5A5A" w:rsidRPr="00AF78D8">
        <w:rPr>
          <w:i/>
          <w:lang w:val="en-CA"/>
        </w:rPr>
        <w:t>R.</w:t>
      </w:r>
      <w:r w:rsidR="003B5A5A" w:rsidRPr="00AF78D8">
        <w:rPr>
          <w:lang w:val="en-CA"/>
        </w:rPr>
        <w:t>, 2020 QCCA 665</w:t>
      </w:r>
      <w:r w:rsidR="00395D2E" w:rsidRPr="00AF78D8">
        <w:rPr>
          <w:lang w:val="en-CA"/>
        </w:rPr>
        <w:t xml:space="preserve"> at para.</w:t>
      </w:r>
      <w:r w:rsidR="003B5A5A" w:rsidRPr="00AF78D8">
        <w:rPr>
          <w:lang w:val="en-CA"/>
        </w:rPr>
        <w:t xml:space="preserve"> 41,</w:t>
      </w:r>
      <w:r w:rsidR="00395D2E" w:rsidRPr="00AF78D8">
        <w:rPr>
          <w:lang w:val="en-CA"/>
        </w:rPr>
        <w:t xml:space="preserve"> leave to appeal to the SCC refused, 39281 (</w:t>
      </w:r>
      <w:r w:rsidR="00592EBC" w:rsidRPr="00AF78D8">
        <w:rPr>
          <w:lang w:val="en-CA"/>
        </w:rPr>
        <w:t xml:space="preserve">4 </w:t>
      </w:r>
      <w:r w:rsidR="00395D2E" w:rsidRPr="00AF78D8">
        <w:rPr>
          <w:lang w:val="en-CA"/>
        </w:rPr>
        <w:t>March 2021)</w:t>
      </w:r>
      <w:r w:rsidR="003B5A5A" w:rsidRPr="00AF78D8">
        <w:rPr>
          <w:lang w:val="en-CA"/>
        </w:rPr>
        <w:t>.</w:t>
      </w:r>
    </w:p>
  </w:footnote>
  <w:footnote w:id="52">
    <w:p w:rsidR="00374F00" w:rsidRPr="00AF78D8" w:rsidRDefault="00374F00" w:rsidP="00374F00">
      <w:pPr>
        <w:pStyle w:val="Notedebasdepage"/>
        <w:rPr>
          <w:lang w:val="en-CA"/>
        </w:rPr>
      </w:pPr>
      <w:r w:rsidRPr="00AF78D8">
        <w:rPr>
          <w:rStyle w:val="Appelnotedebasdep"/>
          <w:lang w:val="en-CA"/>
        </w:rPr>
        <w:footnoteRef/>
      </w:r>
      <w:r w:rsidRPr="00AF78D8">
        <w:rPr>
          <w:lang w:val="en-CA"/>
        </w:rPr>
        <w:t xml:space="preserve"> </w:t>
      </w:r>
      <w:r w:rsidRPr="00AF78D8">
        <w:rPr>
          <w:lang w:val="en-CA"/>
        </w:rPr>
        <w:tab/>
      </w:r>
      <w:r w:rsidRPr="00AF78D8">
        <w:rPr>
          <w:i/>
          <w:lang w:val="en-CA"/>
        </w:rPr>
        <w:t>Vellone</w:t>
      </w:r>
      <w:r w:rsidRPr="00AF78D8">
        <w:rPr>
          <w:lang w:val="en-CA"/>
        </w:rPr>
        <w:t xml:space="preserve"> </w:t>
      </w:r>
      <w:r w:rsidR="00431355" w:rsidRPr="00AF78D8">
        <w:rPr>
          <w:lang w:val="en-CA"/>
        </w:rPr>
        <w:t>v</w:t>
      </w:r>
      <w:r w:rsidRPr="00AF78D8">
        <w:rPr>
          <w:lang w:val="en-CA"/>
        </w:rPr>
        <w:t xml:space="preserve">. </w:t>
      </w:r>
      <w:r w:rsidRPr="00AF78D8">
        <w:rPr>
          <w:i/>
          <w:lang w:val="en-CA"/>
        </w:rPr>
        <w:t>R.</w:t>
      </w:r>
      <w:r w:rsidRPr="00AF78D8">
        <w:rPr>
          <w:lang w:val="en-CA"/>
        </w:rPr>
        <w:t>, 2020 QCCA 665 at para. 49, leave to appeal to the SCC refused, 39281 (4 March 2021).</w:t>
      </w:r>
    </w:p>
  </w:footnote>
  <w:footnote w:id="53">
    <w:p w:rsidR="008F307C" w:rsidRPr="00AF78D8" w:rsidRDefault="008F307C" w:rsidP="008F307C">
      <w:pPr>
        <w:pStyle w:val="Notedebasdepage"/>
        <w:rPr>
          <w:lang w:val="en-CA"/>
        </w:rPr>
      </w:pPr>
      <w:r w:rsidRPr="00AF78D8">
        <w:rPr>
          <w:rStyle w:val="Appelnotedebasdep"/>
          <w:lang w:val="en-CA"/>
        </w:rPr>
        <w:footnoteRef/>
      </w:r>
      <w:r w:rsidRPr="00AF78D8">
        <w:rPr>
          <w:lang w:val="en-CA"/>
        </w:rPr>
        <w:t xml:space="preserve"> </w:t>
      </w:r>
      <w:r w:rsidRPr="00AF78D8">
        <w:rPr>
          <w:lang w:val="en-CA"/>
        </w:rPr>
        <w:tab/>
      </w:r>
      <w:r w:rsidR="00457399" w:rsidRPr="00AF78D8">
        <w:rPr>
          <w:i/>
          <w:lang w:val="en-CA"/>
        </w:rPr>
        <w:t>I</w:t>
      </w:r>
      <w:r w:rsidR="00395D2E" w:rsidRPr="00AF78D8">
        <w:rPr>
          <w:i/>
          <w:lang w:val="en-CA"/>
        </w:rPr>
        <w:t>bi</w:t>
      </w:r>
      <w:r w:rsidR="00457399" w:rsidRPr="00AF78D8">
        <w:rPr>
          <w:i/>
          <w:lang w:val="en-CA"/>
        </w:rPr>
        <w:t>d.</w:t>
      </w:r>
      <w:r w:rsidR="00395D2E" w:rsidRPr="00AF78D8">
        <w:rPr>
          <w:lang w:val="en-CA"/>
        </w:rPr>
        <w:t xml:space="preserve"> at</w:t>
      </w:r>
      <w:r w:rsidR="00457399" w:rsidRPr="00AF78D8">
        <w:rPr>
          <w:lang w:val="en-CA"/>
        </w:rPr>
        <w:t xml:space="preserve"> para. 41.</w:t>
      </w:r>
    </w:p>
  </w:footnote>
  <w:footnote w:id="54">
    <w:p w:rsidR="00395D2E" w:rsidRPr="00AF78D8" w:rsidRDefault="00395D2E" w:rsidP="00395D2E">
      <w:pPr>
        <w:pStyle w:val="Notedebasdepage"/>
        <w:rPr>
          <w:lang w:val="en-CA"/>
        </w:rPr>
      </w:pPr>
      <w:r w:rsidRPr="00AF78D8">
        <w:rPr>
          <w:rStyle w:val="Appelnotedebasdep"/>
          <w:lang w:val="en-CA"/>
        </w:rPr>
        <w:footnoteRef/>
      </w:r>
      <w:r w:rsidRPr="00AF78D8">
        <w:rPr>
          <w:lang w:val="en-CA"/>
        </w:rPr>
        <w:t xml:space="preserve"> </w:t>
      </w:r>
      <w:r w:rsidRPr="00AF78D8">
        <w:rPr>
          <w:lang w:val="en-CA"/>
        </w:rPr>
        <w:tab/>
      </w:r>
      <w:r w:rsidRPr="00AF78D8">
        <w:rPr>
          <w:i/>
          <w:lang w:val="en-CA"/>
        </w:rPr>
        <w:t>R</w:t>
      </w:r>
      <w:r w:rsidRPr="00AF78D8">
        <w:rPr>
          <w:lang w:val="en-CA"/>
        </w:rPr>
        <w:t>.</w:t>
      </w:r>
      <w:r w:rsidR="00431355" w:rsidRPr="00AF78D8">
        <w:rPr>
          <w:lang w:val="en-CA"/>
        </w:rPr>
        <w:t xml:space="preserve"> v</w:t>
      </w:r>
      <w:r w:rsidRPr="00AF78D8">
        <w:rPr>
          <w:i/>
          <w:iCs/>
          <w:lang w:val="en-CA"/>
        </w:rPr>
        <w:t>.</w:t>
      </w:r>
      <w:r w:rsidRPr="00AF78D8">
        <w:rPr>
          <w:lang w:val="en-CA"/>
        </w:rPr>
        <w:t xml:space="preserve"> G</w:t>
      </w:r>
      <w:r w:rsidRPr="00AF78D8">
        <w:rPr>
          <w:i/>
          <w:lang w:val="en-CA"/>
        </w:rPr>
        <w:t>ray</w:t>
      </w:r>
      <w:r w:rsidRPr="00AF78D8">
        <w:rPr>
          <w:lang w:val="en-CA"/>
        </w:rPr>
        <w:t>, 2000 CanLII 28557 (NB BR) at 74.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32E9" w:rsidRDefault="007B32E9">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331251" o:spid="_x0000_s1026" type="#_x0000_t136" style="position:absolute;margin-left:0;margin-top:0;width:594pt;height:66pt;rotation:315;z-index:-251658752;mso-position-horizontal:center;mso-position-horizontal-relative:margin;mso-position-vertical:center;mso-position-vertical-relative:margin" o:allowincell="f" fillcolor="silver" stroked="f">
          <v:fill opacity=".5"/>
          <v:textpath style="font-family:&quot;Arial&quot;;font-size:1pt" string="Courtesy Translatio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5D4C" w:rsidRDefault="007B32E9" w:rsidP="00AD6D8D">
    <w:pPr>
      <w:tabs>
        <w:tab w:val="center" w:pos="4709"/>
        <w:tab w:val="right" w:pos="9360"/>
      </w:tabs>
      <w:spacing w:after="120"/>
      <w:ind w:right="522"/>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331252" o:spid="_x0000_s1027" type="#_x0000_t136" style="position:absolute;margin-left:0;margin-top:0;width:594pt;height:66pt;rotation:315;z-index:-251657728;mso-position-horizontal:center;mso-position-horizontal-relative:margin;mso-position-vertical:center;mso-position-vertical-relative:margin" o:allowincell="f" fillcolor="silver" stroked="f">
          <v:fill opacity=".5"/>
          <v:textpath style="font-family:&quot;Arial&quot;;font-size:1pt" string="Courtesy Translation"/>
        </v:shape>
      </w:pict>
    </w:r>
    <w:r w:rsidR="008E55CE" w:rsidRPr="00E5763B">
      <w:rPr>
        <w:b/>
      </w:rPr>
      <w:t>500-01-091480-134 et al.</w:t>
    </w:r>
    <w:r w:rsidR="00955D4C">
      <w:tab/>
    </w:r>
    <w:r w:rsidR="00955D4C">
      <w:tab/>
    </w:r>
    <w:r w:rsidR="00955D4C" w:rsidRPr="00E5763B">
      <w:t>Page:</w:t>
    </w:r>
    <w:r w:rsidR="00955D4C">
      <w:t xml:space="preserve"> </w:t>
    </w:r>
    <w:r w:rsidR="00955D4C">
      <w:fldChar w:fldCharType="begin"/>
    </w:r>
    <w:r w:rsidR="00955D4C">
      <w:instrText xml:space="preserve"> PAGE </w:instrText>
    </w:r>
    <w:r w:rsidR="00955D4C">
      <w:fldChar w:fldCharType="separate"/>
    </w:r>
    <w:r w:rsidR="00C602B4">
      <w:rPr>
        <w:noProof/>
      </w:rPr>
      <w:t>5</w:t>
    </w:r>
    <w:r w:rsidR="00955D4C">
      <w:fldChar w:fldCharType="end"/>
    </w:r>
  </w:p>
  <w:p w:rsidR="00955D4C" w:rsidRDefault="00955D4C">
    <w:pPr>
      <w:tabs>
        <w:tab w:val="center" w:pos="4709"/>
        <w:tab w:val="right" w:pos="9090"/>
      </w:tabs>
      <w:ind w:right="52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32E9" w:rsidRDefault="007B32E9">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331250" o:spid="_x0000_s1025" type="#_x0000_t136" style="position:absolute;margin-left:0;margin-top:0;width:594pt;height:66pt;rotation:315;z-index:-251659776;mso-position-horizontal:center;mso-position-horizontal-relative:margin;mso-position-vertical:center;mso-position-vertical-relative:margin" o:allowincell="f" fillcolor="silver" stroked="f">
          <v:fill opacity=".5"/>
          <v:textpath style="font-family:&quot;Arial&quot;;font-size:1pt" string="Courtesy Translat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5C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EA15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05247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300ED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784BF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57A9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5652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6F010B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346F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90CF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0588E"/>
    <w:multiLevelType w:val="hybridMultilevel"/>
    <w:tmpl w:val="F2764B5E"/>
    <w:lvl w:ilvl="0" w:tplc="DA907D4E">
      <w:start w:val="1"/>
      <w:numFmt w:val="decimal"/>
      <w:lvlText w:val="%1)"/>
      <w:lvlJc w:val="left"/>
      <w:pPr>
        <w:ind w:left="1080" w:hanging="360"/>
      </w:pPr>
    </w:lvl>
    <w:lvl w:ilvl="1" w:tplc="BB845394">
      <w:start w:val="1"/>
      <w:numFmt w:val="decimal"/>
      <w:lvlText w:val="%2)"/>
      <w:lvlJc w:val="left"/>
      <w:pPr>
        <w:ind w:left="1080" w:hanging="360"/>
      </w:pPr>
    </w:lvl>
    <w:lvl w:ilvl="2" w:tplc="A894ABC2">
      <w:start w:val="1"/>
      <w:numFmt w:val="decimal"/>
      <w:lvlText w:val="%3)"/>
      <w:lvlJc w:val="left"/>
      <w:pPr>
        <w:ind w:left="1080" w:hanging="360"/>
      </w:pPr>
    </w:lvl>
    <w:lvl w:ilvl="3" w:tplc="D7FC9C64">
      <w:start w:val="1"/>
      <w:numFmt w:val="decimal"/>
      <w:lvlText w:val="%4)"/>
      <w:lvlJc w:val="left"/>
      <w:pPr>
        <w:ind w:left="1080" w:hanging="360"/>
      </w:pPr>
    </w:lvl>
    <w:lvl w:ilvl="4" w:tplc="2670EF4C">
      <w:start w:val="1"/>
      <w:numFmt w:val="decimal"/>
      <w:lvlText w:val="%5)"/>
      <w:lvlJc w:val="left"/>
      <w:pPr>
        <w:ind w:left="1080" w:hanging="360"/>
      </w:pPr>
    </w:lvl>
    <w:lvl w:ilvl="5" w:tplc="F9AE4BE0">
      <w:start w:val="1"/>
      <w:numFmt w:val="decimal"/>
      <w:lvlText w:val="%6)"/>
      <w:lvlJc w:val="left"/>
      <w:pPr>
        <w:ind w:left="1080" w:hanging="360"/>
      </w:pPr>
    </w:lvl>
    <w:lvl w:ilvl="6" w:tplc="45508A50">
      <w:start w:val="1"/>
      <w:numFmt w:val="decimal"/>
      <w:lvlText w:val="%7)"/>
      <w:lvlJc w:val="left"/>
      <w:pPr>
        <w:ind w:left="1080" w:hanging="360"/>
      </w:pPr>
    </w:lvl>
    <w:lvl w:ilvl="7" w:tplc="A9E408AA">
      <w:start w:val="1"/>
      <w:numFmt w:val="decimal"/>
      <w:lvlText w:val="%8)"/>
      <w:lvlJc w:val="left"/>
      <w:pPr>
        <w:ind w:left="1080" w:hanging="360"/>
      </w:pPr>
    </w:lvl>
    <w:lvl w:ilvl="8" w:tplc="CCF8F640">
      <w:start w:val="1"/>
      <w:numFmt w:val="decimal"/>
      <w:lvlText w:val="%9)"/>
      <w:lvlJc w:val="left"/>
      <w:pPr>
        <w:ind w:left="1080" w:hanging="360"/>
      </w:pPr>
    </w:lvl>
  </w:abstractNum>
  <w:abstractNum w:abstractNumId="11" w15:restartNumberingAfterBreak="0">
    <w:nsid w:val="03395B8C"/>
    <w:multiLevelType w:val="hybridMultilevel"/>
    <w:tmpl w:val="A9B2B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9C528D"/>
    <w:multiLevelType w:val="hybridMultilevel"/>
    <w:tmpl w:val="773CC594"/>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12AB4F37"/>
    <w:multiLevelType w:val="hybridMultilevel"/>
    <w:tmpl w:val="8090921E"/>
    <w:lvl w:ilvl="0" w:tplc="D1E4A5A4">
      <w:start w:val="1"/>
      <w:numFmt w:val="decimal"/>
      <w:lvlText w:val="(%1)"/>
      <w:lvlJc w:val="left"/>
      <w:pPr>
        <w:ind w:left="1095" w:hanging="735"/>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A2D6184"/>
    <w:multiLevelType w:val="hybridMultilevel"/>
    <w:tmpl w:val="C4488E8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6216DE1"/>
    <w:multiLevelType w:val="hybridMultilevel"/>
    <w:tmpl w:val="24843AD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2B593C98"/>
    <w:multiLevelType w:val="hybridMultilevel"/>
    <w:tmpl w:val="526C546C"/>
    <w:lvl w:ilvl="0">
      <w:start w:val="1"/>
      <w:numFmt w:val="decimal"/>
      <w:lvlText w:val="%1."/>
      <w:lvlJc w:val="left"/>
      <w:pPr>
        <w:tabs>
          <w:tab w:val="num" w:pos="1095"/>
        </w:tabs>
        <w:ind w:left="1095" w:hanging="73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34474B3B"/>
    <w:multiLevelType w:val="hybridMultilevel"/>
    <w:tmpl w:val="A3C444B0"/>
    <w:lvl w:ilvl="0">
      <w:start w:val="1"/>
      <w:numFmt w:val="lowerLetter"/>
      <w:lvlText w:val="%1)"/>
      <w:lvlJc w:val="left"/>
      <w:pPr>
        <w:ind w:left="1092" w:hanging="372"/>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15:restartNumberingAfterBreak="0">
    <w:nsid w:val="3D51091E"/>
    <w:multiLevelType w:val="hybridMultilevel"/>
    <w:tmpl w:val="C38AFB9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3E21A7"/>
    <w:multiLevelType w:val="hybridMultilevel"/>
    <w:tmpl w:val="94FAC4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15:restartNumberingAfterBreak="0">
    <w:nsid w:val="41BE5B9B"/>
    <w:multiLevelType w:val="hybridMultilevel"/>
    <w:tmpl w:val="4542852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15:restartNumberingAfterBreak="0">
    <w:nsid w:val="493D6753"/>
    <w:multiLevelType w:val="hybridMultilevel"/>
    <w:tmpl w:val="5154560C"/>
    <w:lvl w:ilvl="0" w:tplc="9BCED02E">
      <w:start w:val="1"/>
      <w:numFmt w:val="decimal"/>
      <w:lvlText w:val="%1)"/>
      <w:lvlJc w:val="left"/>
      <w:pPr>
        <w:ind w:left="1140" w:hanging="360"/>
      </w:pPr>
    </w:lvl>
    <w:lvl w:ilvl="1" w:tplc="0812EB7A">
      <w:start w:val="1"/>
      <w:numFmt w:val="decimal"/>
      <w:lvlText w:val="%2)"/>
      <w:lvlJc w:val="left"/>
      <w:pPr>
        <w:ind w:left="1140" w:hanging="360"/>
      </w:pPr>
    </w:lvl>
    <w:lvl w:ilvl="2" w:tplc="249E1B5A">
      <w:start w:val="1"/>
      <w:numFmt w:val="decimal"/>
      <w:lvlText w:val="%3)"/>
      <w:lvlJc w:val="left"/>
      <w:pPr>
        <w:ind w:left="1140" w:hanging="360"/>
      </w:pPr>
    </w:lvl>
    <w:lvl w:ilvl="3" w:tplc="B66CC380">
      <w:start w:val="1"/>
      <w:numFmt w:val="decimal"/>
      <w:lvlText w:val="%4)"/>
      <w:lvlJc w:val="left"/>
      <w:pPr>
        <w:ind w:left="1140" w:hanging="360"/>
      </w:pPr>
    </w:lvl>
    <w:lvl w:ilvl="4" w:tplc="ADE6E21A">
      <w:start w:val="1"/>
      <w:numFmt w:val="decimal"/>
      <w:lvlText w:val="%5)"/>
      <w:lvlJc w:val="left"/>
      <w:pPr>
        <w:ind w:left="1140" w:hanging="360"/>
      </w:pPr>
    </w:lvl>
    <w:lvl w:ilvl="5" w:tplc="B1C20BFC">
      <w:start w:val="1"/>
      <w:numFmt w:val="decimal"/>
      <w:lvlText w:val="%6)"/>
      <w:lvlJc w:val="left"/>
      <w:pPr>
        <w:ind w:left="1140" w:hanging="360"/>
      </w:pPr>
    </w:lvl>
    <w:lvl w:ilvl="6" w:tplc="1D1C1FE2">
      <w:start w:val="1"/>
      <w:numFmt w:val="decimal"/>
      <w:lvlText w:val="%7)"/>
      <w:lvlJc w:val="left"/>
      <w:pPr>
        <w:ind w:left="1140" w:hanging="360"/>
      </w:pPr>
    </w:lvl>
    <w:lvl w:ilvl="7" w:tplc="A18C198A">
      <w:start w:val="1"/>
      <w:numFmt w:val="decimal"/>
      <w:lvlText w:val="%8)"/>
      <w:lvlJc w:val="left"/>
      <w:pPr>
        <w:ind w:left="1140" w:hanging="360"/>
      </w:pPr>
    </w:lvl>
    <w:lvl w:ilvl="8" w:tplc="45AC2F2C">
      <w:start w:val="1"/>
      <w:numFmt w:val="decimal"/>
      <w:lvlText w:val="%9)"/>
      <w:lvlJc w:val="left"/>
      <w:pPr>
        <w:ind w:left="1140" w:hanging="360"/>
      </w:pPr>
    </w:lvl>
  </w:abstractNum>
  <w:abstractNum w:abstractNumId="22" w15:restartNumberingAfterBreak="0">
    <w:nsid w:val="5A4B2E51"/>
    <w:multiLevelType w:val="hybridMultilevel"/>
    <w:tmpl w:val="FDAC7AD6"/>
    <w:lvl w:ilvl="0">
      <w:start w:val="1"/>
      <w:numFmt w:val="decimal"/>
      <w:lvlText w:val="%1."/>
      <w:lvlJc w:val="left"/>
      <w:pPr>
        <w:tabs>
          <w:tab w:val="num" w:pos="1095"/>
        </w:tabs>
        <w:ind w:left="1095" w:hanging="73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609C0DCC"/>
    <w:multiLevelType w:val="multilevel"/>
    <w:tmpl w:val="C1848992"/>
    <w:lvl w:ilvl="0">
      <w:start w:val="1"/>
      <w:numFmt w:val="decimal"/>
      <w:pStyle w:val="Paragraphe"/>
      <w:lvlText w:val="[%1]"/>
      <w:lvlJc w:val="left"/>
      <w:pPr>
        <w:tabs>
          <w:tab w:val="num" w:pos="360"/>
        </w:tabs>
        <w:ind w:left="0" w:firstLine="0"/>
      </w:pPr>
      <w:rPr>
        <w:rFonts w:ascii="Arial" w:hAnsi="Arial" w:hint="default"/>
        <w:b w:val="0"/>
        <w:i w:val="0"/>
        <w:sz w:val="24"/>
      </w:rPr>
    </w:lvl>
    <w:lvl w:ilvl="1">
      <w:start w:val="1"/>
      <w:numFmt w:val="decimal"/>
      <w:pStyle w:val="Sous-paragraphe"/>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65CE6F54"/>
    <w:multiLevelType w:val="hybridMultilevel"/>
    <w:tmpl w:val="8A685A7E"/>
    <w:lvl w:ilvl="0" w:tplc="20360B2A">
      <w:start w:val="1"/>
      <w:numFmt w:val="decimal"/>
      <w:lvlText w:val="(%1)"/>
      <w:lvlJc w:val="left"/>
      <w:pPr>
        <w:ind w:left="1080" w:hanging="360"/>
      </w:pPr>
    </w:lvl>
    <w:lvl w:ilvl="1" w:tplc="881E8950">
      <w:start w:val="1"/>
      <w:numFmt w:val="decimal"/>
      <w:lvlText w:val="(%2)"/>
      <w:lvlJc w:val="left"/>
      <w:pPr>
        <w:ind w:left="1080" w:hanging="360"/>
      </w:pPr>
    </w:lvl>
    <w:lvl w:ilvl="2" w:tplc="4F76BA7C">
      <w:start w:val="1"/>
      <w:numFmt w:val="decimal"/>
      <w:lvlText w:val="(%3)"/>
      <w:lvlJc w:val="left"/>
      <w:pPr>
        <w:ind w:left="1080" w:hanging="360"/>
      </w:pPr>
    </w:lvl>
    <w:lvl w:ilvl="3" w:tplc="B86A32C6">
      <w:start w:val="1"/>
      <w:numFmt w:val="decimal"/>
      <w:lvlText w:val="(%4)"/>
      <w:lvlJc w:val="left"/>
      <w:pPr>
        <w:ind w:left="1080" w:hanging="360"/>
      </w:pPr>
    </w:lvl>
    <w:lvl w:ilvl="4" w:tplc="2C6A5BF4">
      <w:start w:val="1"/>
      <w:numFmt w:val="decimal"/>
      <w:lvlText w:val="(%5)"/>
      <w:lvlJc w:val="left"/>
      <w:pPr>
        <w:ind w:left="1080" w:hanging="360"/>
      </w:pPr>
    </w:lvl>
    <w:lvl w:ilvl="5" w:tplc="196EF152">
      <w:start w:val="1"/>
      <w:numFmt w:val="decimal"/>
      <w:lvlText w:val="(%6)"/>
      <w:lvlJc w:val="left"/>
      <w:pPr>
        <w:ind w:left="1080" w:hanging="360"/>
      </w:pPr>
    </w:lvl>
    <w:lvl w:ilvl="6" w:tplc="81040052">
      <w:start w:val="1"/>
      <w:numFmt w:val="decimal"/>
      <w:lvlText w:val="(%7)"/>
      <w:lvlJc w:val="left"/>
      <w:pPr>
        <w:ind w:left="1080" w:hanging="360"/>
      </w:pPr>
    </w:lvl>
    <w:lvl w:ilvl="7" w:tplc="8C24AE10">
      <w:start w:val="1"/>
      <w:numFmt w:val="decimal"/>
      <w:lvlText w:val="(%8)"/>
      <w:lvlJc w:val="left"/>
      <w:pPr>
        <w:ind w:left="1080" w:hanging="360"/>
      </w:pPr>
    </w:lvl>
    <w:lvl w:ilvl="8" w:tplc="2990EF1A">
      <w:start w:val="1"/>
      <w:numFmt w:val="decimal"/>
      <w:lvlText w:val="(%9)"/>
      <w:lvlJc w:val="left"/>
      <w:pPr>
        <w:ind w:left="1080" w:hanging="360"/>
      </w:pPr>
    </w:lvl>
  </w:abstractNum>
  <w:abstractNum w:abstractNumId="25" w15:restartNumberingAfterBreak="0">
    <w:nsid w:val="6AB43E3C"/>
    <w:multiLevelType w:val="hybridMultilevel"/>
    <w:tmpl w:val="AE8EFF38"/>
    <w:lvl w:ilvl="0" w:tplc="D1E86BBE">
      <w:start w:val="1"/>
      <w:numFmt w:val="decimal"/>
      <w:lvlText w:val="%1)"/>
      <w:lvlJc w:val="left"/>
      <w:pPr>
        <w:ind w:left="720" w:hanging="360"/>
      </w:pPr>
    </w:lvl>
    <w:lvl w:ilvl="1" w:tplc="DE6A0ADE">
      <w:start w:val="1"/>
      <w:numFmt w:val="decimal"/>
      <w:lvlText w:val="%2)"/>
      <w:lvlJc w:val="left"/>
      <w:pPr>
        <w:ind w:left="720" w:hanging="360"/>
      </w:pPr>
    </w:lvl>
    <w:lvl w:ilvl="2" w:tplc="40B02B88">
      <w:start w:val="1"/>
      <w:numFmt w:val="decimal"/>
      <w:lvlText w:val="%3)"/>
      <w:lvlJc w:val="left"/>
      <w:pPr>
        <w:ind w:left="720" w:hanging="360"/>
      </w:pPr>
    </w:lvl>
    <w:lvl w:ilvl="3" w:tplc="52367B48">
      <w:start w:val="1"/>
      <w:numFmt w:val="decimal"/>
      <w:lvlText w:val="%4)"/>
      <w:lvlJc w:val="left"/>
      <w:pPr>
        <w:ind w:left="720" w:hanging="360"/>
      </w:pPr>
    </w:lvl>
    <w:lvl w:ilvl="4" w:tplc="FB7C6884">
      <w:start w:val="1"/>
      <w:numFmt w:val="decimal"/>
      <w:lvlText w:val="%5)"/>
      <w:lvlJc w:val="left"/>
      <w:pPr>
        <w:ind w:left="720" w:hanging="360"/>
      </w:pPr>
    </w:lvl>
    <w:lvl w:ilvl="5" w:tplc="2D241D12">
      <w:start w:val="1"/>
      <w:numFmt w:val="decimal"/>
      <w:lvlText w:val="%6)"/>
      <w:lvlJc w:val="left"/>
      <w:pPr>
        <w:ind w:left="720" w:hanging="360"/>
      </w:pPr>
    </w:lvl>
    <w:lvl w:ilvl="6" w:tplc="A62C5186">
      <w:start w:val="1"/>
      <w:numFmt w:val="decimal"/>
      <w:lvlText w:val="%7)"/>
      <w:lvlJc w:val="left"/>
      <w:pPr>
        <w:ind w:left="720" w:hanging="360"/>
      </w:pPr>
    </w:lvl>
    <w:lvl w:ilvl="7" w:tplc="09BA9AD6">
      <w:start w:val="1"/>
      <w:numFmt w:val="decimal"/>
      <w:lvlText w:val="%8)"/>
      <w:lvlJc w:val="left"/>
      <w:pPr>
        <w:ind w:left="720" w:hanging="360"/>
      </w:pPr>
    </w:lvl>
    <w:lvl w:ilvl="8" w:tplc="963E7646">
      <w:start w:val="1"/>
      <w:numFmt w:val="decimal"/>
      <w:lvlText w:val="%9)"/>
      <w:lvlJc w:val="left"/>
      <w:pPr>
        <w:ind w:left="720" w:hanging="360"/>
      </w:pPr>
    </w:lvl>
  </w:abstractNum>
  <w:abstractNum w:abstractNumId="26" w15:restartNumberingAfterBreak="0">
    <w:nsid w:val="75493FD4"/>
    <w:multiLevelType w:val="hybridMultilevel"/>
    <w:tmpl w:val="B4F22E8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6F39B2"/>
    <w:multiLevelType w:val="hybridMultilevel"/>
    <w:tmpl w:val="3BF48D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15:restartNumberingAfterBreak="0">
    <w:nsid w:val="7CCB581B"/>
    <w:multiLevelType w:val="hybridMultilevel"/>
    <w:tmpl w:val="B0D2DC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919413879">
    <w:abstractNumId w:val="23"/>
  </w:num>
  <w:num w:numId="2" w16cid:durableId="633291105">
    <w:abstractNumId w:val="23"/>
  </w:num>
  <w:num w:numId="3" w16cid:durableId="1834636735">
    <w:abstractNumId w:val="23"/>
  </w:num>
  <w:num w:numId="4" w16cid:durableId="1487358195">
    <w:abstractNumId w:val="8"/>
  </w:num>
  <w:num w:numId="5" w16cid:durableId="1349482866">
    <w:abstractNumId w:val="3"/>
  </w:num>
  <w:num w:numId="6" w16cid:durableId="1503817462">
    <w:abstractNumId w:val="2"/>
  </w:num>
  <w:num w:numId="7" w16cid:durableId="621112906">
    <w:abstractNumId w:val="1"/>
  </w:num>
  <w:num w:numId="8" w16cid:durableId="1459684277">
    <w:abstractNumId w:val="0"/>
  </w:num>
  <w:num w:numId="9" w16cid:durableId="1518539385">
    <w:abstractNumId w:val="9"/>
  </w:num>
  <w:num w:numId="10" w16cid:durableId="1758945189">
    <w:abstractNumId w:val="7"/>
  </w:num>
  <w:num w:numId="11" w16cid:durableId="333344437">
    <w:abstractNumId w:val="6"/>
  </w:num>
  <w:num w:numId="12" w16cid:durableId="1707872602">
    <w:abstractNumId w:val="5"/>
  </w:num>
  <w:num w:numId="13" w16cid:durableId="1688871592">
    <w:abstractNumId w:val="4"/>
  </w:num>
  <w:num w:numId="14" w16cid:durableId="1233002873">
    <w:abstractNumId w:val="22"/>
  </w:num>
  <w:num w:numId="15" w16cid:durableId="1293168571">
    <w:abstractNumId w:val="14"/>
  </w:num>
  <w:num w:numId="16" w16cid:durableId="1290628853">
    <w:abstractNumId w:val="18"/>
  </w:num>
  <w:num w:numId="17" w16cid:durableId="1966154270">
    <w:abstractNumId w:val="26"/>
  </w:num>
  <w:num w:numId="18" w16cid:durableId="300425845">
    <w:abstractNumId w:val="16"/>
  </w:num>
  <w:num w:numId="19" w16cid:durableId="254560474">
    <w:abstractNumId w:val="15"/>
  </w:num>
  <w:num w:numId="20" w16cid:durableId="382680957">
    <w:abstractNumId w:val="11"/>
  </w:num>
  <w:num w:numId="21" w16cid:durableId="1853374659">
    <w:abstractNumId w:val="12"/>
  </w:num>
  <w:num w:numId="22" w16cid:durableId="1145581440">
    <w:abstractNumId w:val="23"/>
  </w:num>
  <w:num w:numId="23" w16cid:durableId="1861509416">
    <w:abstractNumId w:val="20"/>
  </w:num>
  <w:num w:numId="24" w16cid:durableId="1995378277">
    <w:abstractNumId w:val="17"/>
  </w:num>
  <w:num w:numId="25" w16cid:durableId="1943487680">
    <w:abstractNumId w:val="23"/>
  </w:num>
  <w:num w:numId="26" w16cid:durableId="7949129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844349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60654587">
    <w:abstractNumId w:val="27"/>
  </w:num>
  <w:num w:numId="29" w16cid:durableId="343438893">
    <w:abstractNumId w:val="28"/>
  </w:num>
  <w:num w:numId="30" w16cid:durableId="194749298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40705361">
    <w:abstractNumId w:val="13"/>
  </w:num>
  <w:num w:numId="32" w16cid:durableId="1360427435">
    <w:abstractNumId w:val="19"/>
  </w:num>
  <w:num w:numId="33" w16cid:durableId="158448717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5319057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1666049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82505843">
    <w:abstractNumId w:val="21"/>
  </w:num>
  <w:num w:numId="37" w16cid:durableId="34544176">
    <w:abstractNumId w:val="10"/>
  </w:num>
  <w:num w:numId="38" w16cid:durableId="1463839981">
    <w:abstractNumId w:val="24"/>
  </w:num>
  <w:num w:numId="39" w16cid:durableId="47287091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4"/>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E33"/>
    <w:rsid w:val="000007E0"/>
    <w:rsid w:val="000031D0"/>
    <w:rsid w:val="000039B0"/>
    <w:rsid w:val="000073F8"/>
    <w:rsid w:val="00012101"/>
    <w:rsid w:val="000128A6"/>
    <w:rsid w:val="00014331"/>
    <w:rsid w:val="00020C09"/>
    <w:rsid w:val="00020F63"/>
    <w:rsid w:val="00022250"/>
    <w:rsid w:val="00022835"/>
    <w:rsid w:val="00027D33"/>
    <w:rsid w:val="00031062"/>
    <w:rsid w:val="0003204C"/>
    <w:rsid w:val="000407C6"/>
    <w:rsid w:val="00047C70"/>
    <w:rsid w:val="0005247D"/>
    <w:rsid w:val="000625EC"/>
    <w:rsid w:val="000651DA"/>
    <w:rsid w:val="000655AC"/>
    <w:rsid w:val="00067AB7"/>
    <w:rsid w:val="00070365"/>
    <w:rsid w:val="000703CE"/>
    <w:rsid w:val="00070E76"/>
    <w:rsid w:val="00071696"/>
    <w:rsid w:val="000748F5"/>
    <w:rsid w:val="000763FC"/>
    <w:rsid w:val="00083B8F"/>
    <w:rsid w:val="00083CB5"/>
    <w:rsid w:val="000938EE"/>
    <w:rsid w:val="0009411E"/>
    <w:rsid w:val="000A1186"/>
    <w:rsid w:val="000A5E5D"/>
    <w:rsid w:val="000A5F3D"/>
    <w:rsid w:val="000A6A6D"/>
    <w:rsid w:val="000B056E"/>
    <w:rsid w:val="000B1924"/>
    <w:rsid w:val="000B3265"/>
    <w:rsid w:val="000B4433"/>
    <w:rsid w:val="000B5891"/>
    <w:rsid w:val="000B6CAE"/>
    <w:rsid w:val="000B7DF0"/>
    <w:rsid w:val="000C08B5"/>
    <w:rsid w:val="000C1CBA"/>
    <w:rsid w:val="000C3DD0"/>
    <w:rsid w:val="000C7FA8"/>
    <w:rsid w:val="000D1926"/>
    <w:rsid w:val="000D57B9"/>
    <w:rsid w:val="000E18D2"/>
    <w:rsid w:val="000E4949"/>
    <w:rsid w:val="000F2983"/>
    <w:rsid w:val="000F652D"/>
    <w:rsid w:val="000F6919"/>
    <w:rsid w:val="000F740F"/>
    <w:rsid w:val="00100CD3"/>
    <w:rsid w:val="001044DB"/>
    <w:rsid w:val="001073F5"/>
    <w:rsid w:val="00107CE3"/>
    <w:rsid w:val="00111C72"/>
    <w:rsid w:val="00122378"/>
    <w:rsid w:val="001303AC"/>
    <w:rsid w:val="00132127"/>
    <w:rsid w:val="001337E1"/>
    <w:rsid w:val="00133B6E"/>
    <w:rsid w:val="00136BCC"/>
    <w:rsid w:val="00142A15"/>
    <w:rsid w:val="00143F08"/>
    <w:rsid w:val="001447D7"/>
    <w:rsid w:val="0014541B"/>
    <w:rsid w:val="00147946"/>
    <w:rsid w:val="00151FB4"/>
    <w:rsid w:val="00154055"/>
    <w:rsid w:val="00162905"/>
    <w:rsid w:val="00164617"/>
    <w:rsid w:val="001651AB"/>
    <w:rsid w:val="0017076E"/>
    <w:rsid w:val="001812FD"/>
    <w:rsid w:val="001873F5"/>
    <w:rsid w:val="0019149D"/>
    <w:rsid w:val="001917A2"/>
    <w:rsid w:val="00193B9A"/>
    <w:rsid w:val="00193EB4"/>
    <w:rsid w:val="00194391"/>
    <w:rsid w:val="00194821"/>
    <w:rsid w:val="00195CAA"/>
    <w:rsid w:val="00196F30"/>
    <w:rsid w:val="0019752B"/>
    <w:rsid w:val="001A0FD2"/>
    <w:rsid w:val="001B487A"/>
    <w:rsid w:val="001B7293"/>
    <w:rsid w:val="001C110F"/>
    <w:rsid w:val="001C1D4A"/>
    <w:rsid w:val="001C3B45"/>
    <w:rsid w:val="001C6429"/>
    <w:rsid w:val="001C6ED1"/>
    <w:rsid w:val="001C711E"/>
    <w:rsid w:val="001D147B"/>
    <w:rsid w:val="001D3039"/>
    <w:rsid w:val="001D48DC"/>
    <w:rsid w:val="001D510B"/>
    <w:rsid w:val="001D7816"/>
    <w:rsid w:val="001D7835"/>
    <w:rsid w:val="001E116E"/>
    <w:rsid w:val="001E1989"/>
    <w:rsid w:val="001E37AE"/>
    <w:rsid w:val="001E62DA"/>
    <w:rsid w:val="001F0486"/>
    <w:rsid w:val="001F7B7C"/>
    <w:rsid w:val="001F7D93"/>
    <w:rsid w:val="0021291E"/>
    <w:rsid w:val="00216445"/>
    <w:rsid w:val="00224F56"/>
    <w:rsid w:val="00225024"/>
    <w:rsid w:val="00225C8E"/>
    <w:rsid w:val="002260C0"/>
    <w:rsid w:val="002304BB"/>
    <w:rsid w:val="0023102E"/>
    <w:rsid w:val="002427A6"/>
    <w:rsid w:val="0024680E"/>
    <w:rsid w:val="00253499"/>
    <w:rsid w:val="002566B8"/>
    <w:rsid w:val="00260543"/>
    <w:rsid w:val="00264F00"/>
    <w:rsid w:val="00267B76"/>
    <w:rsid w:val="00270D8F"/>
    <w:rsid w:val="00277F5B"/>
    <w:rsid w:val="00284FF7"/>
    <w:rsid w:val="002920F8"/>
    <w:rsid w:val="00292772"/>
    <w:rsid w:val="002A3A5F"/>
    <w:rsid w:val="002A58A1"/>
    <w:rsid w:val="002B3C43"/>
    <w:rsid w:val="002B7425"/>
    <w:rsid w:val="002C36A1"/>
    <w:rsid w:val="002C3E1D"/>
    <w:rsid w:val="002C4A5A"/>
    <w:rsid w:val="002C5684"/>
    <w:rsid w:val="002C5EF7"/>
    <w:rsid w:val="002D2198"/>
    <w:rsid w:val="002D30DE"/>
    <w:rsid w:val="002D486A"/>
    <w:rsid w:val="002E0813"/>
    <w:rsid w:val="002E3A67"/>
    <w:rsid w:val="002E689A"/>
    <w:rsid w:val="003107F9"/>
    <w:rsid w:val="00310825"/>
    <w:rsid w:val="00313F2F"/>
    <w:rsid w:val="00323D33"/>
    <w:rsid w:val="0033373C"/>
    <w:rsid w:val="003339DE"/>
    <w:rsid w:val="003400ED"/>
    <w:rsid w:val="00340A53"/>
    <w:rsid w:val="00346069"/>
    <w:rsid w:val="0034669F"/>
    <w:rsid w:val="0036262E"/>
    <w:rsid w:val="00367046"/>
    <w:rsid w:val="00372A45"/>
    <w:rsid w:val="00374F00"/>
    <w:rsid w:val="003811F1"/>
    <w:rsid w:val="00386178"/>
    <w:rsid w:val="00390B48"/>
    <w:rsid w:val="00390FC8"/>
    <w:rsid w:val="00395D2E"/>
    <w:rsid w:val="00397EC8"/>
    <w:rsid w:val="003A1849"/>
    <w:rsid w:val="003A254E"/>
    <w:rsid w:val="003B5A5A"/>
    <w:rsid w:val="003C0839"/>
    <w:rsid w:val="003C1CFD"/>
    <w:rsid w:val="003C64EB"/>
    <w:rsid w:val="003C66E3"/>
    <w:rsid w:val="003D0DF5"/>
    <w:rsid w:val="003D26A5"/>
    <w:rsid w:val="003D530B"/>
    <w:rsid w:val="003D7FF2"/>
    <w:rsid w:val="003E0CD6"/>
    <w:rsid w:val="003E19D7"/>
    <w:rsid w:val="003F0EAC"/>
    <w:rsid w:val="003F3B13"/>
    <w:rsid w:val="003F3D83"/>
    <w:rsid w:val="003F46C3"/>
    <w:rsid w:val="003F4CE3"/>
    <w:rsid w:val="004005BB"/>
    <w:rsid w:val="004014B0"/>
    <w:rsid w:val="00406DC5"/>
    <w:rsid w:val="004100ED"/>
    <w:rsid w:val="00412852"/>
    <w:rsid w:val="00413BBC"/>
    <w:rsid w:val="00413EC9"/>
    <w:rsid w:val="00423546"/>
    <w:rsid w:val="0043001C"/>
    <w:rsid w:val="00431355"/>
    <w:rsid w:val="00433A3F"/>
    <w:rsid w:val="004436AD"/>
    <w:rsid w:val="0044444C"/>
    <w:rsid w:val="004502CE"/>
    <w:rsid w:val="0045035F"/>
    <w:rsid w:val="00455C11"/>
    <w:rsid w:val="004562E1"/>
    <w:rsid w:val="00456A88"/>
    <w:rsid w:val="00456E9A"/>
    <w:rsid w:val="00457399"/>
    <w:rsid w:val="004651B4"/>
    <w:rsid w:val="0046608C"/>
    <w:rsid w:val="00466A33"/>
    <w:rsid w:val="00467737"/>
    <w:rsid w:val="004703DE"/>
    <w:rsid w:val="004721EE"/>
    <w:rsid w:val="00472F06"/>
    <w:rsid w:val="00473073"/>
    <w:rsid w:val="0047315B"/>
    <w:rsid w:val="004963BC"/>
    <w:rsid w:val="004A2597"/>
    <w:rsid w:val="004A6695"/>
    <w:rsid w:val="004B0218"/>
    <w:rsid w:val="004B1F97"/>
    <w:rsid w:val="004B5E03"/>
    <w:rsid w:val="004B5E19"/>
    <w:rsid w:val="004B62AC"/>
    <w:rsid w:val="004C1A0A"/>
    <w:rsid w:val="004C23BA"/>
    <w:rsid w:val="004C3713"/>
    <w:rsid w:val="004C43E6"/>
    <w:rsid w:val="004C7512"/>
    <w:rsid w:val="004C7DD3"/>
    <w:rsid w:val="004D3F58"/>
    <w:rsid w:val="004D52EC"/>
    <w:rsid w:val="004D7F6E"/>
    <w:rsid w:val="004E1B20"/>
    <w:rsid w:val="004E7404"/>
    <w:rsid w:val="004F156B"/>
    <w:rsid w:val="004F302F"/>
    <w:rsid w:val="004F3FA8"/>
    <w:rsid w:val="004F7DFC"/>
    <w:rsid w:val="00500D96"/>
    <w:rsid w:val="0050122F"/>
    <w:rsid w:val="00501CBC"/>
    <w:rsid w:val="005037BE"/>
    <w:rsid w:val="0050703F"/>
    <w:rsid w:val="00514BB6"/>
    <w:rsid w:val="005160D6"/>
    <w:rsid w:val="0051631B"/>
    <w:rsid w:val="0052797D"/>
    <w:rsid w:val="00527A15"/>
    <w:rsid w:val="00532157"/>
    <w:rsid w:val="00533E33"/>
    <w:rsid w:val="00537AF8"/>
    <w:rsid w:val="00543C51"/>
    <w:rsid w:val="00550BBA"/>
    <w:rsid w:val="00551840"/>
    <w:rsid w:val="0055216E"/>
    <w:rsid w:val="00553AB0"/>
    <w:rsid w:val="00554E6F"/>
    <w:rsid w:val="00557DDB"/>
    <w:rsid w:val="00562033"/>
    <w:rsid w:val="00562FCC"/>
    <w:rsid w:val="00563057"/>
    <w:rsid w:val="00576538"/>
    <w:rsid w:val="0058469C"/>
    <w:rsid w:val="00584818"/>
    <w:rsid w:val="00585C39"/>
    <w:rsid w:val="00585DB3"/>
    <w:rsid w:val="00587E43"/>
    <w:rsid w:val="0059040B"/>
    <w:rsid w:val="00592EBC"/>
    <w:rsid w:val="005A1FF8"/>
    <w:rsid w:val="005A60A8"/>
    <w:rsid w:val="005A7DB0"/>
    <w:rsid w:val="005B27FC"/>
    <w:rsid w:val="005B685B"/>
    <w:rsid w:val="005C0DA5"/>
    <w:rsid w:val="005C12C6"/>
    <w:rsid w:val="005C672F"/>
    <w:rsid w:val="005C7734"/>
    <w:rsid w:val="005D1FB4"/>
    <w:rsid w:val="005E0372"/>
    <w:rsid w:val="005E59E3"/>
    <w:rsid w:val="005E5BC1"/>
    <w:rsid w:val="005E645E"/>
    <w:rsid w:val="005E7457"/>
    <w:rsid w:val="005F3C47"/>
    <w:rsid w:val="005F4F54"/>
    <w:rsid w:val="005F7652"/>
    <w:rsid w:val="00601939"/>
    <w:rsid w:val="00607EFF"/>
    <w:rsid w:val="00614CE7"/>
    <w:rsid w:val="00620510"/>
    <w:rsid w:val="00621C30"/>
    <w:rsid w:val="00627026"/>
    <w:rsid w:val="00632BC9"/>
    <w:rsid w:val="00635E52"/>
    <w:rsid w:val="00636C3A"/>
    <w:rsid w:val="00640638"/>
    <w:rsid w:val="006413F1"/>
    <w:rsid w:val="006476DF"/>
    <w:rsid w:val="00651E7C"/>
    <w:rsid w:val="00652B59"/>
    <w:rsid w:val="00653201"/>
    <w:rsid w:val="00656AF4"/>
    <w:rsid w:val="006576CD"/>
    <w:rsid w:val="00660532"/>
    <w:rsid w:val="00660CFB"/>
    <w:rsid w:val="00661161"/>
    <w:rsid w:val="0066211B"/>
    <w:rsid w:val="006677EE"/>
    <w:rsid w:val="00674DE3"/>
    <w:rsid w:val="00677283"/>
    <w:rsid w:val="00677A7E"/>
    <w:rsid w:val="006835F7"/>
    <w:rsid w:val="0068763D"/>
    <w:rsid w:val="00692406"/>
    <w:rsid w:val="0069633A"/>
    <w:rsid w:val="006A0FAD"/>
    <w:rsid w:val="006A23B2"/>
    <w:rsid w:val="006A48F3"/>
    <w:rsid w:val="006B244D"/>
    <w:rsid w:val="006B2AF1"/>
    <w:rsid w:val="006B339E"/>
    <w:rsid w:val="006B422F"/>
    <w:rsid w:val="006B5BCD"/>
    <w:rsid w:val="006B6136"/>
    <w:rsid w:val="006B65B6"/>
    <w:rsid w:val="006B77C5"/>
    <w:rsid w:val="006B7EC1"/>
    <w:rsid w:val="006C1821"/>
    <w:rsid w:val="006C2578"/>
    <w:rsid w:val="006C5F40"/>
    <w:rsid w:val="006D117B"/>
    <w:rsid w:val="006D17DE"/>
    <w:rsid w:val="006D296A"/>
    <w:rsid w:val="006D2E91"/>
    <w:rsid w:val="006D3B44"/>
    <w:rsid w:val="006D62FC"/>
    <w:rsid w:val="006D72AE"/>
    <w:rsid w:val="006E1CB0"/>
    <w:rsid w:val="006F027C"/>
    <w:rsid w:val="006F7DC9"/>
    <w:rsid w:val="007041DE"/>
    <w:rsid w:val="007053E9"/>
    <w:rsid w:val="00714646"/>
    <w:rsid w:val="007213D9"/>
    <w:rsid w:val="007220F1"/>
    <w:rsid w:val="00723D80"/>
    <w:rsid w:val="00724532"/>
    <w:rsid w:val="00730998"/>
    <w:rsid w:val="00730BFC"/>
    <w:rsid w:val="007322AB"/>
    <w:rsid w:val="0073326F"/>
    <w:rsid w:val="0073463F"/>
    <w:rsid w:val="0073729B"/>
    <w:rsid w:val="0074074F"/>
    <w:rsid w:val="00740ED9"/>
    <w:rsid w:val="00743E4D"/>
    <w:rsid w:val="00744062"/>
    <w:rsid w:val="007453FB"/>
    <w:rsid w:val="007556FA"/>
    <w:rsid w:val="0075626E"/>
    <w:rsid w:val="00760CFE"/>
    <w:rsid w:val="007642E4"/>
    <w:rsid w:val="007662C0"/>
    <w:rsid w:val="00772E3A"/>
    <w:rsid w:val="00773C35"/>
    <w:rsid w:val="00774960"/>
    <w:rsid w:val="00783242"/>
    <w:rsid w:val="00783CCF"/>
    <w:rsid w:val="00787B6F"/>
    <w:rsid w:val="00790FBF"/>
    <w:rsid w:val="00792A43"/>
    <w:rsid w:val="00794118"/>
    <w:rsid w:val="007961D8"/>
    <w:rsid w:val="007A0C45"/>
    <w:rsid w:val="007A13EF"/>
    <w:rsid w:val="007A2FCC"/>
    <w:rsid w:val="007A679D"/>
    <w:rsid w:val="007B14DB"/>
    <w:rsid w:val="007B2650"/>
    <w:rsid w:val="007B32E9"/>
    <w:rsid w:val="007C0A57"/>
    <w:rsid w:val="007C0C99"/>
    <w:rsid w:val="007C2E60"/>
    <w:rsid w:val="007C3D8A"/>
    <w:rsid w:val="007C4E5B"/>
    <w:rsid w:val="007D1C69"/>
    <w:rsid w:val="007D3710"/>
    <w:rsid w:val="007D59F5"/>
    <w:rsid w:val="007D61E5"/>
    <w:rsid w:val="007D7291"/>
    <w:rsid w:val="007E0A9E"/>
    <w:rsid w:val="007E2EE4"/>
    <w:rsid w:val="007E57D0"/>
    <w:rsid w:val="007F2889"/>
    <w:rsid w:val="007F325E"/>
    <w:rsid w:val="007F4C75"/>
    <w:rsid w:val="007F5A57"/>
    <w:rsid w:val="007F6081"/>
    <w:rsid w:val="007F7ADC"/>
    <w:rsid w:val="00803FAB"/>
    <w:rsid w:val="00804C49"/>
    <w:rsid w:val="00807612"/>
    <w:rsid w:val="0081627C"/>
    <w:rsid w:val="00816CC3"/>
    <w:rsid w:val="0081760F"/>
    <w:rsid w:val="00820A80"/>
    <w:rsid w:val="0082267F"/>
    <w:rsid w:val="00823364"/>
    <w:rsid w:val="00823D39"/>
    <w:rsid w:val="0082683D"/>
    <w:rsid w:val="0082764A"/>
    <w:rsid w:val="00833709"/>
    <w:rsid w:val="008354C2"/>
    <w:rsid w:val="00851152"/>
    <w:rsid w:val="00856CDA"/>
    <w:rsid w:val="00860A51"/>
    <w:rsid w:val="008613B9"/>
    <w:rsid w:val="00862A4F"/>
    <w:rsid w:val="00865EA9"/>
    <w:rsid w:val="0087035B"/>
    <w:rsid w:val="00876405"/>
    <w:rsid w:val="00880F5F"/>
    <w:rsid w:val="00880FBB"/>
    <w:rsid w:val="0088131C"/>
    <w:rsid w:val="00882FD7"/>
    <w:rsid w:val="008847E0"/>
    <w:rsid w:val="0088482C"/>
    <w:rsid w:val="0088500C"/>
    <w:rsid w:val="00887E3C"/>
    <w:rsid w:val="00891FA3"/>
    <w:rsid w:val="008945E8"/>
    <w:rsid w:val="00895A22"/>
    <w:rsid w:val="00895B9B"/>
    <w:rsid w:val="008960D3"/>
    <w:rsid w:val="0089623F"/>
    <w:rsid w:val="008A4063"/>
    <w:rsid w:val="008A7FCC"/>
    <w:rsid w:val="008B5FE1"/>
    <w:rsid w:val="008C169D"/>
    <w:rsid w:val="008C3246"/>
    <w:rsid w:val="008C341B"/>
    <w:rsid w:val="008C558E"/>
    <w:rsid w:val="008C68FF"/>
    <w:rsid w:val="008C7A69"/>
    <w:rsid w:val="008D0BE6"/>
    <w:rsid w:val="008D0DEB"/>
    <w:rsid w:val="008D314A"/>
    <w:rsid w:val="008E3573"/>
    <w:rsid w:val="008E55CE"/>
    <w:rsid w:val="008E5E58"/>
    <w:rsid w:val="008E6DC2"/>
    <w:rsid w:val="008F307C"/>
    <w:rsid w:val="008F6788"/>
    <w:rsid w:val="00901FDC"/>
    <w:rsid w:val="009028E7"/>
    <w:rsid w:val="009053BC"/>
    <w:rsid w:val="00906A7B"/>
    <w:rsid w:val="00907401"/>
    <w:rsid w:val="009110B8"/>
    <w:rsid w:val="00917CFE"/>
    <w:rsid w:val="00922583"/>
    <w:rsid w:val="00925E9D"/>
    <w:rsid w:val="00932F7A"/>
    <w:rsid w:val="009428A6"/>
    <w:rsid w:val="009439F3"/>
    <w:rsid w:val="00945317"/>
    <w:rsid w:val="00946E1F"/>
    <w:rsid w:val="00952727"/>
    <w:rsid w:val="00955D4C"/>
    <w:rsid w:val="0095683A"/>
    <w:rsid w:val="009607B1"/>
    <w:rsid w:val="00973249"/>
    <w:rsid w:val="0097699B"/>
    <w:rsid w:val="00976A67"/>
    <w:rsid w:val="00977FEF"/>
    <w:rsid w:val="00995AC7"/>
    <w:rsid w:val="009973AA"/>
    <w:rsid w:val="00997BDB"/>
    <w:rsid w:val="009A0019"/>
    <w:rsid w:val="009A1057"/>
    <w:rsid w:val="009B1F02"/>
    <w:rsid w:val="009B4D5B"/>
    <w:rsid w:val="009C3193"/>
    <w:rsid w:val="009D47B8"/>
    <w:rsid w:val="009D4D8E"/>
    <w:rsid w:val="009D5C65"/>
    <w:rsid w:val="009D738B"/>
    <w:rsid w:val="009E06C4"/>
    <w:rsid w:val="009E6234"/>
    <w:rsid w:val="009E65B5"/>
    <w:rsid w:val="009E7957"/>
    <w:rsid w:val="009F12EA"/>
    <w:rsid w:val="009F1473"/>
    <w:rsid w:val="009F2A13"/>
    <w:rsid w:val="009F2BD6"/>
    <w:rsid w:val="009F3D50"/>
    <w:rsid w:val="009F7E69"/>
    <w:rsid w:val="00A03F0E"/>
    <w:rsid w:val="00A0681B"/>
    <w:rsid w:val="00A13505"/>
    <w:rsid w:val="00A1682F"/>
    <w:rsid w:val="00A23654"/>
    <w:rsid w:val="00A238C1"/>
    <w:rsid w:val="00A33986"/>
    <w:rsid w:val="00A3502C"/>
    <w:rsid w:val="00A40F3E"/>
    <w:rsid w:val="00A4353D"/>
    <w:rsid w:val="00A47370"/>
    <w:rsid w:val="00A4744E"/>
    <w:rsid w:val="00A50582"/>
    <w:rsid w:val="00A62CA1"/>
    <w:rsid w:val="00A63125"/>
    <w:rsid w:val="00A632D1"/>
    <w:rsid w:val="00A64240"/>
    <w:rsid w:val="00A71EB5"/>
    <w:rsid w:val="00A72199"/>
    <w:rsid w:val="00A7450B"/>
    <w:rsid w:val="00A756ED"/>
    <w:rsid w:val="00A80D75"/>
    <w:rsid w:val="00A91782"/>
    <w:rsid w:val="00A940C2"/>
    <w:rsid w:val="00A94D71"/>
    <w:rsid w:val="00A954AE"/>
    <w:rsid w:val="00A96209"/>
    <w:rsid w:val="00AA31E1"/>
    <w:rsid w:val="00AA4A66"/>
    <w:rsid w:val="00AA5320"/>
    <w:rsid w:val="00AB0757"/>
    <w:rsid w:val="00AB14E9"/>
    <w:rsid w:val="00AB1843"/>
    <w:rsid w:val="00AB3394"/>
    <w:rsid w:val="00AC099F"/>
    <w:rsid w:val="00AC229E"/>
    <w:rsid w:val="00AC363D"/>
    <w:rsid w:val="00AC580D"/>
    <w:rsid w:val="00AD1321"/>
    <w:rsid w:val="00AD2DBD"/>
    <w:rsid w:val="00AD2EFB"/>
    <w:rsid w:val="00AD303C"/>
    <w:rsid w:val="00AD53E3"/>
    <w:rsid w:val="00AD5C20"/>
    <w:rsid w:val="00AD6D8D"/>
    <w:rsid w:val="00AE2837"/>
    <w:rsid w:val="00AE34BE"/>
    <w:rsid w:val="00AE3D64"/>
    <w:rsid w:val="00AE73C2"/>
    <w:rsid w:val="00AF2B0E"/>
    <w:rsid w:val="00AF78D8"/>
    <w:rsid w:val="00B00A75"/>
    <w:rsid w:val="00B113AC"/>
    <w:rsid w:val="00B14448"/>
    <w:rsid w:val="00B22D37"/>
    <w:rsid w:val="00B234D9"/>
    <w:rsid w:val="00B238A6"/>
    <w:rsid w:val="00B31236"/>
    <w:rsid w:val="00B34AC4"/>
    <w:rsid w:val="00B373CA"/>
    <w:rsid w:val="00B40169"/>
    <w:rsid w:val="00B42D17"/>
    <w:rsid w:val="00B45BE5"/>
    <w:rsid w:val="00B5127B"/>
    <w:rsid w:val="00B5186D"/>
    <w:rsid w:val="00B51FE5"/>
    <w:rsid w:val="00B5385D"/>
    <w:rsid w:val="00B55E96"/>
    <w:rsid w:val="00B5716C"/>
    <w:rsid w:val="00B605C3"/>
    <w:rsid w:val="00B61F15"/>
    <w:rsid w:val="00B64A5D"/>
    <w:rsid w:val="00B65BA6"/>
    <w:rsid w:val="00B70380"/>
    <w:rsid w:val="00B7082D"/>
    <w:rsid w:val="00B749A1"/>
    <w:rsid w:val="00B82C86"/>
    <w:rsid w:val="00B83C31"/>
    <w:rsid w:val="00B85439"/>
    <w:rsid w:val="00B86EB7"/>
    <w:rsid w:val="00B93F6C"/>
    <w:rsid w:val="00B96D65"/>
    <w:rsid w:val="00BA1558"/>
    <w:rsid w:val="00BB07A6"/>
    <w:rsid w:val="00BB7E87"/>
    <w:rsid w:val="00BC0BC0"/>
    <w:rsid w:val="00BC5551"/>
    <w:rsid w:val="00BD01D0"/>
    <w:rsid w:val="00BD603B"/>
    <w:rsid w:val="00BD6EE9"/>
    <w:rsid w:val="00BE1619"/>
    <w:rsid w:val="00BE1979"/>
    <w:rsid w:val="00BE2A48"/>
    <w:rsid w:val="00BE31EF"/>
    <w:rsid w:val="00BE3F82"/>
    <w:rsid w:val="00BF2959"/>
    <w:rsid w:val="00BF395C"/>
    <w:rsid w:val="00BF5584"/>
    <w:rsid w:val="00BF719C"/>
    <w:rsid w:val="00C0279E"/>
    <w:rsid w:val="00C05032"/>
    <w:rsid w:val="00C05573"/>
    <w:rsid w:val="00C15A38"/>
    <w:rsid w:val="00C15C06"/>
    <w:rsid w:val="00C220ED"/>
    <w:rsid w:val="00C24AC6"/>
    <w:rsid w:val="00C269E1"/>
    <w:rsid w:val="00C347A7"/>
    <w:rsid w:val="00C407FE"/>
    <w:rsid w:val="00C43FDC"/>
    <w:rsid w:val="00C459D5"/>
    <w:rsid w:val="00C46EB5"/>
    <w:rsid w:val="00C4711A"/>
    <w:rsid w:val="00C57C24"/>
    <w:rsid w:val="00C602B4"/>
    <w:rsid w:val="00C61D12"/>
    <w:rsid w:val="00C66328"/>
    <w:rsid w:val="00C66F16"/>
    <w:rsid w:val="00C741D3"/>
    <w:rsid w:val="00C74254"/>
    <w:rsid w:val="00C779A2"/>
    <w:rsid w:val="00C80C63"/>
    <w:rsid w:val="00C80D6E"/>
    <w:rsid w:val="00C935EA"/>
    <w:rsid w:val="00C949FF"/>
    <w:rsid w:val="00CA02F9"/>
    <w:rsid w:val="00CA3A03"/>
    <w:rsid w:val="00CA52BB"/>
    <w:rsid w:val="00CA52EA"/>
    <w:rsid w:val="00CB10A7"/>
    <w:rsid w:val="00CB1D10"/>
    <w:rsid w:val="00CB345A"/>
    <w:rsid w:val="00CB3770"/>
    <w:rsid w:val="00CB59E6"/>
    <w:rsid w:val="00CB7114"/>
    <w:rsid w:val="00CB7B03"/>
    <w:rsid w:val="00CC0DA6"/>
    <w:rsid w:val="00CC3959"/>
    <w:rsid w:val="00CC43EE"/>
    <w:rsid w:val="00CD0F76"/>
    <w:rsid w:val="00CD3FDA"/>
    <w:rsid w:val="00CD47F9"/>
    <w:rsid w:val="00CE648B"/>
    <w:rsid w:val="00CF187C"/>
    <w:rsid w:val="00CF262F"/>
    <w:rsid w:val="00CF569F"/>
    <w:rsid w:val="00D00919"/>
    <w:rsid w:val="00D0412D"/>
    <w:rsid w:val="00D102C1"/>
    <w:rsid w:val="00D17664"/>
    <w:rsid w:val="00D206E4"/>
    <w:rsid w:val="00D23172"/>
    <w:rsid w:val="00D25052"/>
    <w:rsid w:val="00D254D4"/>
    <w:rsid w:val="00D25810"/>
    <w:rsid w:val="00D27B57"/>
    <w:rsid w:val="00D300EF"/>
    <w:rsid w:val="00D317E4"/>
    <w:rsid w:val="00D32BD7"/>
    <w:rsid w:val="00D32C01"/>
    <w:rsid w:val="00D33571"/>
    <w:rsid w:val="00D33871"/>
    <w:rsid w:val="00D33B9A"/>
    <w:rsid w:val="00D35B86"/>
    <w:rsid w:val="00D46BED"/>
    <w:rsid w:val="00D50E18"/>
    <w:rsid w:val="00D52552"/>
    <w:rsid w:val="00D54ACE"/>
    <w:rsid w:val="00D57B88"/>
    <w:rsid w:val="00D60BDD"/>
    <w:rsid w:val="00D625CC"/>
    <w:rsid w:val="00D6523A"/>
    <w:rsid w:val="00D6709E"/>
    <w:rsid w:val="00D67C3C"/>
    <w:rsid w:val="00D74227"/>
    <w:rsid w:val="00D745D4"/>
    <w:rsid w:val="00D76181"/>
    <w:rsid w:val="00D7772A"/>
    <w:rsid w:val="00D828AA"/>
    <w:rsid w:val="00D915AF"/>
    <w:rsid w:val="00D97C91"/>
    <w:rsid w:val="00DA34C4"/>
    <w:rsid w:val="00DB1817"/>
    <w:rsid w:val="00DB222A"/>
    <w:rsid w:val="00DB624D"/>
    <w:rsid w:val="00DB6814"/>
    <w:rsid w:val="00DC008D"/>
    <w:rsid w:val="00DC283B"/>
    <w:rsid w:val="00DD0A54"/>
    <w:rsid w:val="00DD0B57"/>
    <w:rsid w:val="00DD2C62"/>
    <w:rsid w:val="00DD532C"/>
    <w:rsid w:val="00DD58BB"/>
    <w:rsid w:val="00DD61FA"/>
    <w:rsid w:val="00DE0B48"/>
    <w:rsid w:val="00DE3140"/>
    <w:rsid w:val="00DE3201"/>
    <w:rsid w:val="00DE37B0"/>
    <w:rsid w:val="00DE4822"/>
    <w:rsid w:val="00DE61B1"/>
    <w:rsid w:val="00DF2ABF"/>
    <w:rsid w:val="00E04BB1"/>
    <w:rsid w:val="00E1351B"/>
    <w:rsid w:val="00E216A4"/>
    <w:rsid w:val="00E2382B"/>
    <w:rsid w:val="00E25CCC"/>
    <w:rsid w:val="00E26A80"/>
    <w:rsid w:val="00E30E13"/>
    <w:rsid w:val="00E33801"/>
    <w:rsid w:val="00E410C4"/>
    <w:rsid w:val="00E42EEC"/>
    <w:rsid w:val="00E47F58"/>
    <w:rsid w:val="00E51ACA"/>
    <w:rsid w:val="00E53B2E"/>
    <w:rsid w:val="00E55243"/>
    <w:rsid w:val="00E5763B"/>
    <w:rsid w:val="00E616B7"/>
    <w:rsid w:val="00E62419"/>
    <w:rsid w:val="00E64561"/>
    <w:rsid w:val="00E657C2"/>
    <w:rsid w:val="00E659AC"/>
    <w:rsid w:val="00E65FF1"/>
    <w:rsid w:val="00E66750"/>
    <w:rsid w:val="00E74D94"/>
    <w:rsid w:val="00E8163B"/>
    <w:rsid w:val="00E81AA8"/>
    <w:rsid w:val="00E83400"/>
    <w:rsid w:val="00E85F36"/>
    <w:rsid w:val="00E8727B"/>
    <w:rsid w:val="00E972D8"/>
    <w:rsid w:val="00EA0308"/>
    <w:rsid w:val="00EA3840"/>
    <w:rsid w:val="00EB4FFC"/>
    <w:rsid w:val="00EB71F5"/>
    <w:rsid w:val="00EC5E2A"/>
    <w:rsid w:val="00EC66C6"/>
    <w:rsid w:val="00ED0044"/>
    <w:rsid w:val="00ED00FF"/>
    <w:rsid w:val="00ED0587"/>
    <w:rsid w:val="00ED0B74"/>
    <w:rsid w:val="00ED3821"/>
    <w:rsid w:val="00ED4AC1"/>
    <w:rsid w:val="00ED4B71"/>
    <w:rsid w:val="00ED6562"/>
    <w:rsid w:val="00EE7966"/>
    <w:rsid w:val="00EE7A02"/>
    <w:rsid w:val="00EF0C5B"/>
    <w:rsid w:val="00EF392A"/>
    <w:rsid w:val="00F02D67"/>
    <w:rsid w:val="00F02FED"/>
    <w:rsid w:val="00F035C4"/>
    <w:rsid w:val="00F04852"/>
    <w:rsid w:val="00F04943"/>
    <w:rsid w:val="00F04A19"/>
    <w:rsid w:val="00F04D7B"/>
    <w:rsid w:val="00F062DE"/>
    <w:rsid w:val="00F14AA9"/>
    <w:rsid w:val="00F162D8"/>
    <w:rsid w:val="00F16870"/>
    <w:rsid w:val="00F218DF"/>
    <w:rsid w:val="00F237EC"/>
    <w:rsid w:val="00F24551"/>
    <w:rsid w:val="00F3111F"/>
    <w:rsid w:val="00F32410"/>
    <w:rsid w:val="00F3272A"/>
    <w:rsid w:val="00F327A7"/>
    <w:rsid w:val="00F338A9"/>
    <w:rsid w:val="00F36D2E"/>
    <w:rsid w:val="00F43047"/>
    <w:rsid w:val="00F45ACA"/>
    <w:rsid w:val="00F46AB8"/>
    <w:rsid w:val="00F471C9"/>
    <w:rsid w:val="00F5161F"/>
    <w:rsid w:val="00F524AC"/>
    <w:rsid w:val="00F60828"/>
    <w:rsid w:val="00F64DCA"/>
    <w:rsid w:val="00F64E93"/>
    <w:rsid w:val="00F7094A"/>
    <w:rsid w:val="00F70E24"/>
    <w:rsid w:val="00F7448D"/>
    <w:rsid w:val="00F75D99"/>
    <w:rsid w:val="00F75E67"/>
    <w:rsid w:val="00F8765C"/>
    <w:rsid w:val="00F87D0B"/>
    <w:rsid w:val="00F90222"/>
    <w:rsid w:val="00F90814"/>
    <w:rsid w:val="00F91717"/>
    <w:rsid w:val="00F942E4"/>
    <w:rsid w:val="00F95684"/>
    <w:rsid w:val="00FA27B3"/>
    <w:rsid w:val="00FA2DF0"/>
    <w:rsid w:val="00FA3570"/>
    <w:rsid w:val="00FA4FAF"/>
    <w:rsid w:val="00FA745A"/>
    <w:rsid w:val="00FB2B41"/>
    <w:rsid w:val="00FB639C"/>
    <w:rsid w:val="00FB71EB"/>
    <w:rsid w:val="00FB74EA"/>
    <w:rsid w:val="00FB7FAD"/>
    <w:rsid w:val="00FC0553"/>
    <w:rsid w:val="00FC4ADA"/>
    <w:rsid w:val="00FC669A"/>
    <w:rsid w:val="00FD1539"/>
    <w:rsid w:val="00FD5080"/>
    <w:rsid w:val="00FE0E16"/>
    <w:rsid w:val="00FE45CE"/>
    <w:rsid w:val="00FE5B7B"/>
    <w:rsid w:val="00FF444C"/>
    <w:rsid w:val="00FF4480"/>
    <w:rsid w:val="00FF4D22"/>
    <w:rsid w:val="00FF4DA6"/>
    <w:rsid w:val="00FF6D0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5CCE42F0-8260-49EC-B7FC-4F7DA619D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fr-FR"/>
    </w:rPr>
  </w:style>
  <w:style w:type="paragraph" w:styleId="Titre1">
    <w:name w:val="heading 1"/>
    <w:basedOn w:val="Normal"/>
    <w:next w:val="Normal"/>
    <w:link w:val="Titre1Car"/>
    <w:qFormat/>
    <w:pPr>
      <w:keepNext/>
      <w:spacing w:before="240" w:after="60"/>
      <w:outlineLvl w:val="0"/>
    </w:pPr>
    <w:rPr>
      <w:b/>
      <w:kern w:val="28"/>
      <w:sz w:val="28"/>
    </w:rPr>
  </w:style>
  <w:style w:type="paragraph" w:styleId="Titre2">
    <w:name w:val="heading 2"/>
    <w:basedOn w:val="Normal"/>
    <w:next w:val="Normal"/>
    <w:qFormat/>
    <w:rsid w:val="00B96D65"/>
    <w:pPr>
      <w:keepNext/>
      <w:spacing w:before="240" w:after="60"/>
      <w:ind w:left="737"/>
      <w:outlineLvl w:val="1"/>
    </w:pPr>
    <w:rPr>
      <w:b/>
      <w:i/>
    </w:rPr>
  </w:style>
  <w:style w:type="paragraph" w:styleId="Titre3">
    <w:name w:val="heading 3"/>
    <w:basedOn w:val="Normal"/>
    <w:next w:val="Normal"/>
    <w:qFormat/>
    <w:pPr>
      <w:keepNext/>
      <w:spacing w:before="240" w:after="60"/>
      <w:outlineLvl w:val="2"/>
    </w:pPr>
  </w:style>
  <w:style w:type="paragraph" w:styleId="Titre4">
    <w:name w:val="heading 4"/>
    <w:basedOn w:val="Normal"/>
    <w:next w:val="Normal"/>
    <w:qFormat/>
    <w:pPr>
      <w:keepNext/>
      <w:spacing w:before="240" w:after="60"/>
      <w:outlineLvl w:val="3"/>
    </w:pPr>
    <w:rPr>
      <w:b/>
    </w:rPr>
  </w:style>
  <w:style w:type="paragraph" w:styleId="Titre5">
    <w:name w:val="heading 5"/>
    <w:basedOn w:val="Normal"/>
    <w:next w:val="Normal"/>
    <w:qFormat/>
    <w:pPr>
      <w:spacing w:before="240" w:after="60"/>
      <w:outlineLvl w:val="4"/>
    </w:pPr>
    <w:rPr>
      <w:sz w:val="22"/>
    </w:rPr>
  </w:style>
  <w:style w:type="paragraph" w:styleId="Titre6">
    <w:name w:val="heading 6"/>
    <w:basedOn w:val="Normal"/>
    <w:next w:val="Normal"/>
    <w:qFormat/>
    <w:pPr>
      <w:spacing w:before="240" w:after="60"/>
      <w:outlineLvl w:val="5"/>
    </w:pPr>
    <w:rPr>
      <w:i/>
      <w:sz w:val="22"/>
    </w:rPr>
  </w:style>
  <w:style w:type="paragraph" w:styleId="Titre7">
    <w:name w:val="heading 7"/>
    <w:basedOn w:val="Normal"/>
    <w:next w:val="Normal"/>
    <w:qFormat/>
    <w:pPr>
      <w:spacing w:before="240" w:after="60"/>
      <w:outlineLvl w:val="6"/>
    </w:pPr>
    <w:rPr>
      <w:sz w:val="20"/>
    </w:rPr>
  </w:style>
  <w:style w:type="paragraph" w:styleId="Titre8">
    <w:name w:val="heading 8"/>
    <w:basedOn w:val="Normal"/>
    <w:next w:val="Normal"/>
    <w:qFormat/>
    <w:pPr>
      <w:spacing w:before="240" w:after="60"/>
      <w:outlineLvl w:val="7"/>
    </w:pPr>
    <w:rPr>
      <w:i/>
      <w:sz w:val="20"/>
    </w:rPr>
  </w:style>
  <w:style w:type="paragraph" w:styleId="Titre9">
    <w:name w:val="heading 9"/>
    <w:basedOn w:val="Normal"/>
    <w:next w:val="Normal"/>
    <w:qFormat/>
    <w:pPr>
      <w:spacing w:before="240" w:after="60"/>
      <w:outlineLvl w:val="8"/>
    </w:pPr>
    <w:rPr>
      <w:b/>
      <w:i/>
      <w:sz w:val="18"/>
    </w:rPr>
  </w:style>
  <w:style w:type="character" w:default="1" w:styleId="Policepardfaut">
    <w:name w:val="Default Paragraph Font"/>
    <w:semiHidden/>
    <w:rPr>
      <w:lang w:val="fr-CA"/>
    </w:rPr>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Paragraphe">
    <w:name w:val="Paragraphe"/>
    <w:basedOn w:val="Normal"/>
    <w:pPr>
      <w:numPr>
        <w:numId w:val="2"/>
      </w:numPr>
      <w:spacing w:before="120" w:after="120" w:line="500" w:lineRule="exact"/>
      <w:jc w:val="both"/>
    </w:pPr>
    <w:rPr>
      <w:kern w:val="28"/>
    </w:rPr>
  </w:style>
  <w:style w:type="paragraph" w:customStyle="1" w:styleId="Citationenretrait">
    <w:name w:val="Citation en retrait"/>
    <w:basedOn w:val="Normal"/>
    <w:pPr>
      <w:spacing w:before="120" w:after="120"/>
      <w:ind w:left="720" w:right="720"/>
      <w:jc w:val="both"/>
    </w:pPr>
    <w:rPr>
      <w:kern w:val="24"/>
      <w:sz w:val="22"/>
    </w:rPr>
  </w:style>
  <w:style w:type="character" w:customStyle="1" w:styleId="Citationintgre">
    <w:name w:val="Citation intégrée"/>
    <w:rPr>
      <w:rFonts w:ascii="Arial" w:hAnsi="Arial"/>
      <w:i/>
      <w:noProof w:val="0"/>
      <w:sz w:val="22"/>
      <w:lang w:val="fr-CA"/>
    </w:rPr>
  </w:style>
  <w:style w:type="paragraph" w:styleId="Corpsdetexte">
    <w:name w:val="Body Text"/>
    <w:basedOn w:val="Normal"/>
    <w:pPr>
      <w:spacing w:after="120"/>
    </w:pPr>
  </w:style>
  <w:style w:type="paragraph" w:styleId="Notedebasdepage">
    <w:name w:val="footnote text"/>
    <w:basedOn w:val="Normal"/>
    <w:link w:val="NotedebasdepageCar"/>
    <w:semiHidden/>
    <w:pPr>
      <w:ind w:left="360" w:hanging="360"/>
      <w:jc w:val="both"/>
    </w:pPr>
    <w:rPr>
      <w:sz w:val="20"/>
    </w:rPr>
  </w:style>
  <w:style w:type="paragraph" w:styleId="Notedefin">
    <w:name w:val="endnote text"/>
    <w:basedOn w:val="Normal"/>
    <w:semiHidden/>
    <w:pPr>
      <w:ind w:left="-360"/>
      <w:jc w:val="both"/>
    </w:pPr>
    <w:rPr>
      <w:sz w:val="20"/>
    </w:rPr>
  </w:style>
  <w:style w:type="paragraph" w:customStyle="1" w:styleId="zSoquijlblCour">
    <w:name w:val="zSoquij_lblCour"/>
    <w:basedOn w:val="Normal"/>
    <w:pPr>
      <w:jc w:val="center"/>
    </w:pPr>
    <w:rPr>
      <w:b/>
      <w:sz w:val="36"/>
    </w:rPr>
  </w:style>
  <w:style w:type="paragraph" w:customStyle="1" w:styleId="zSoquijlblPays">
    <w:name w:val="zSoquij_lblPays"/>
    <w:basedOn w:val="Normal"/>
  </w:style>
  <w:style w:type="paragraph" w:customStyle="1" w:styleId="zSoquijlblProvince">
    <w:name w:val="zSoquij_lblProvince"/>
    <w:basedOn w:val="Normal"/>
  </w:style>
  <w:style w:type="paragraph" w:customStyle="1" w:styleId="zSoquijlblGreffe">
    <w:name w:val="zSoquij_lblGreffe"/>
    <w:basedOn w:val="Normal"/>
    <w:pPr>
      <w:ind w:left="70"/>
    </w:pPr>
  </w:style>
  <w:style w:type="paragraph" w:customStyle="1" w:styleId="zSoquijdatGreffe">
    <w:name w:val="zSoquij_datGreffe"/>
    <w:basedOn w:val="Normal"/>
    <w:pPr>
      <w:ind w:left="29"/>
    </w:pPr>
  </w:style>
  <w:style w:type="paragraph" w:customStyle="1" w:styleId="zSoquijdatDivision">
    <w:name w:val="zSoquij_datDivision"/>
    <w:basedOn w:val="Normal"/>
    <w:pPr>
      <w:jc w:val="center"/>
    </w:pPr>
    <w:rPr>
      <w:sz w:val="22"/>
    </w:rPr>
  </w:style>
  <w:style w:type="paragraph" w:customStyle="1" w:styleId="zSoquijlblNoDossier">
    <w:name w:val="zSoquij_lblNoDossier"/>
    <w:basedOn w:val="Normal"/>
  </w:style>
  <w:style w:type="paragraph" w:customStyle="1" w:styleId="zSoquijdatNoDossier">
    <w:name w:val="zSoquij_datNoDossier"/>
    <w:basedOn w:val="Normal"/>
  </w:style>
  <w:style w:type="paragraph" w:customStyle="1" w:styleId="zSoquijdatNoDossierAnt">
    <w:name w:val="zSoquij_datNoDossierAnt"/>
    <w:basedOn w:val="Normal"/>
  </w:style>
  <w:style w:type="paragraph" w:customStyle="1" w:styleId="zSoquijdatDateJugement">
    <w:name w:val="zSoquij_datDateJugement"/>
    <w:basedOn w:val="Normal"/>
  </w:style>
  <w:style w:type="paragraph" w:customStyle="1" w:styleId="zSoquijlblDateJugement">
    <w:name w:val="zSoquij_lblDateJugement"/>
    <w:basedOn w:val="Normal"/>
  </w:style>
  <w:style w:type="paragraph" w:customStyle="1" w:styleId="zSoquijlblJuge">
    <w:name w:val="zSoquij_lblJuge"/>
    <w:basedOn w:val="Normal"/>
    <w:pPr>
      <w:ind w:left="70"/>
    </w:pPr>
    <w:rPr>
      <w:b/>
    </w:rPr>
  </w:style>
  <w:style w:type="paragraph" w:customStyle="1" w:styleId="zSoquijdatQteJuge">
    <w:name w:val="zSoquij_datQteJuge"/>
    <w:basedOn w:val="Normal"/>
    <w:pPr>
      <w:ind w:left="29"/>
    </w:pPr>
    <w:rPr>
      <w:b/>
    </w:rPr>
  </w:style>
  <w:style w:type="paragraph" w:customStyle="1" w:styleId="zSoquijdatJuge">
    <w:name w:val="zSoquij_datJuge"/>
    <w:basedOn w:val="Normal"/>
    <w:pPr>
      <w:ind w:left="52"/>
    </w:pPr>
    <w:rPr>
      <w:b/>
    </w:rPr>
  </w:style>
  <w:style w:type="paragraph" w:customStyle="1" w:styleId="zSoquijdatNomPartieDem">
    <w:name w:val="zSoquij_datNomPartieDem"/>
    <w:basedOn w:val="Normal"/>
    <w:rPr>
      <w:b/>
      <w:bCs/>
    </w:rPr>
  </w:style>
  <w:style w:type="paragraph" w:customStyle="1" w:styleId="zSoquijdatQtePartieDem">
    <w:name w:val="zSoquij_datQtePartieDem"/>
    <w:basedOn w:val="Normal"/>
    <w:pPr>
      <w:ind w:left="708"/>
    </w:pPr>
  </w:style>
  <w:style w:type="paragraph" w:customStyle="1" w:styleId="zSoquijlblLienParties">
    <w:name w:val="zSoquij_lblLienParties"/>
    <w:basedOn w:val="Normal"/>
  </w:style>
  <w:style w:type="paragraph" w:customStyle="1" w:styleId="zSoquijdatNomPartieDef">
    <w:name w:val="zSoquij_datNomPartieDef"/>
    <w:basedOn w:val="Normal"/>
    <w:rPr>
      <w:b/>
      <w:bCs/>
    </w:rPr>
  </w:style>
  <w:style w:type="paragraph" w:customStyle="1" w:styleId="zSoquijdatQtePartieDef">
    <w:name w:val="zSoquij_datQtePartieDef"/>
    <w:basedOn w:val="Normal"/>
    <w:pPr>
      <w:ind w:left="708"/>
    </w:pPr>
  </w:style>
  <w:style w:type="paragraph" w:customStyle="1" w:styleId="zSoquijlblTypeDocument">
    <w:name w:val="zSoquij_lblTypeDocument"/>
    <w:basedOn w:val="Normal"/>
    <w:pPr>
      <w:jc w:val="center"/>
    </w:pPr>
  </w:style>
  <w:style w:type="paragraph" w:customStyle="1" w:styleId="zSoquijlblProcureurDem">
    <w:name w:val="zSoquij_lblProcureurDem"/>
    <w:basedOn w:val="Normal"/>
  </w:style>
  <w:style w:type="paragraph" w:customStyle="1" w:styleId="zSoquijlblProcureurDef">
    <w:name w:val="zSoquij_lblProcureurDef"/>
    <w:basedOn w:val="Normal"/>
  </w:style>
  <w:style w:type="paragraph" w:customStyle="1" w:styleId="zSoquijlblDateAudience">
    <w:name w:val="zSoquij_lblDateAudience"/>
    <w:basedOn w:val="Normal"/>
  </w:style>
  <w:style w:type="paragraph" w:customStyle="1" w:styleId="zSoquijdatDateAudience">
    <w:name w:val="zSoquij_datDateAudience"/>
    <w:basedOn w:val="Normal"/>
  </w:style>
  <w:style w:type="paragraph" w:customStyle="1" w:styleId="zSoquijlblNomChambre">
    <w:name w:val="zSoquij_lblNomChambre"/>
    <w:basedOn w:val="Normal"/>
  </w:style>
  <w:style w:type="paragraph" w:customStyle="1" w:styleId="zSoquijlblOpinionJuge">
    <w:name w:val="zSoquij_lblOpinionJuge"/>
    <w:basedOn w:val="Normal"/>
    <w:pPr>
      <w:tabs>
        <w:tab w:val="left" w:pos="720"/>
      </w:tabs>
      <w:jc w:val="center"/>
    </w:pPr>
  </w:style>
  <w:style w:type="character" w:customStyle="1" w:styleId="zSoquijlblEntNoDossier">
    <w:name w:val="zSoquij_lblEntNoDossier"/>
    <w:basedOn w:val="Policepardfaut"/>
    <w:rPr>
      <w:lang w:val="fr-CA"/>
    </w:rPr>
  </w:style>
  <w:style w:type="paragraph" w:customStyle="1" w:styleId="zSoquijlblTitrePartie">
    <w:name w:val="zSoquij_lblTitrePartie"/>
    <w:basedOn w:val="Normal"/>
  </w:style>
  <w:style w:type="paragraph" w:customStyle="1" w:styleId="zSoquijdatSignature3Juge">
    <w:name w:val="zSoquij_datSignature3Juge"/>
    <w:basedOn w:val="Normal"/>
  </w:style>
  <w:style w:type="paragraph" w:customStyle="1" w:styleId="ParagNonNum">
    <w:name w:val="ParagNonNum"/>
    <w:basedOn w:val="Paragraphe"/>
    <w:pPr>
      <w:numPr>
        <w:numId w:val="0"/>
      </w:numPr>
      <w:ind w:firstLine="734"/>
    </w:pPr>
  </w:style>
  <w:style w:type="paragraph" w:customStyle="1" w:styleId="zSoquijdatIdJuge">
    <w:name w:val="zSoquij_datIdJuge"/>
    <w:basedOn w:val="Normal"/>
    <w:pPr>
      <w:jc w:val="center"/>
    </w:pPr>
    <w:rPr>
      <w:sz w:val="20"/>
    </w:rPr>
  </w:style>
  <w:style w:type="paragraph" w:customStyle="1" w:styleId="Sous-paragraphe">
    <w:name w:val="Sous-paragraphe"/>
    <w:basedOn w:val="Normal"/>
    <w:pPr>
      <w:widowControl w:val="0"/>
      <w:numPr>
        <w:ilvl w:val="1"/>
        <w:numId w:val="2"/>
      </w:numPr>
      <w:spacing w:after="120"/>
      <w:jc w:val="both"/>
    </w:pPr>
    <w:rPr>
      <w:kern w:val="28"/>
    </w:rPr>
  </w:style>
  <w:style w:type="paragraph" w:customStyle="1" w:styleId="zSoquijdatNomProcureurDem">
    <w:name w:val="zSoquij_datNomProcureurDem"/>
    <w:basedOn w:val="zSoquijlblProcureurDem"/>
  </w:style>
  <w:style w:type="paragraph" w:customStyle="1" w:styleId="zSoquijdatNomProcureurDef">
    <w:name w:val="zSoquij_datNomProcureurDef"/>
    <w:basedOn w:val="zSoquijlblProcureurDef"/>
  </w:style>
  <w:style w:type="paragraph" w:customStyle="1" w:styleId="zSoquijdatCabinetProcureurDem">
    <w:name w:val="zSoquij_datCabinetProcureurDem"/>
    <w:basedOn w:val="Normal"/>
  </w:style>
  <w:style w:type="paragraph" w:customStyle="1" w:styleId="zSoquijdatCabinetProcureurDef">
    <w:name w:val="zSoquij_datCabinetProcureurDef"/>
    <w:basedOn w:val="zSoquijlblProcureurDef"/>
  </w:style>
  <w:style w:type="paragraph" w:customStyle="1" w:styleId="zSoquijdatSignatureJuge1">
    <w:name w:val="zSoquij_datSignatureJuge1"/>
    <w:basedOn w:val="Normal"/>
  </w:style>
  <w:style w:type="paragraph" w:customStyle="1" w:styleId="zSoquijdatSignatureJuge2">
    <w:name w:val="zSoquij_datSignatureJuge2"/>
    <w:basedOn w:val="Normal"/>
  </w:style>
  <w:style w:type="paragraph" w:customStyle="1" w:styleId="zSoquijdatSignatureJuge3">
    <w:name w:val="zSoquij_datSignatureJuge3"/>
    <w:basedOn w:val="Normal"/>
  </w:style>
  <w:style w:type="paragraph" w:customStyle="1" w:styleId="zSoquijdatRepertorie">
    <w:name w:val="zSoquij_datRepertorie"/>
    <w:basedOn w:val="zSoquijlblCour"/>
    <w:pPr>
      <w:jc w:val="left"/>
    </w:pPr>
    <w:rPr>
      <w:noProof/>
      <w:sz w:val="22"/>
    </w:rPr>
  </w:style>
  <w:style w:type="paragraph" w:customStyle="1" w:styleId="zSoquijdatRefNeutre">
    <w:name w:val="zSoquij_datRefNeutre"/>
    <w:basedOn w:val="zSoquijlblCour"/>
    <w:pPr>
      <w:jc w:val="left"/>
    </w:pPr>
    <w:rPr>
      <w:noProof/>
      <w:sz w:val="22"/>
    </w:rPr>
  </w:style>
  <w:style w:type="paragraph" w:customStyle="1" w:styleId="zSoquijdatSignature2Juge">
    <w:name w:val="zSoquij_datSignature2Juge"/>
    <w:basedOn w:val="zSoquijdatSignatureJuge3"/>
  </w:style>
  <w:style w:type="paragraph" w:customStyle="1" w:styleId="ParagAlaMarge">
    <w:name w:val="ParagAlaMarge"/>
    <w:basedOn w:val="ParagNonNum"/>
    <w:pPr>
      <w:ind w:firstLine="0"/>
    </w:pPr>
  </w:style>
  <w:style w:type="paragraph" w:customStyle="1" w:styleId="zSoquijlblAssesseurs">
    <w:name w:val="zSoquij_lblAssesseurs"/>
    <w:basedOn w:val="Normal"/>
    <w:pPr>
      <w:ind w:left="14" w:right="-67"/>
    </w:pPr>
  </w:style>
  <w:style w:type="paragraph" w:customStyle="1" w:styleId="zSoquijdatAssesseurs">
    <w:name w:val="zSoquij_datAssesseurs"/>
    <w:basedOn w:val="Normal"/>
    <w:pPr>
      <w:ind w:left="14" w:right="-67"/>
    </w:pPr>
  </w:style>
  <w:style w:type="paragraph" w:customStyle="1" w:styleId="zSoquijlblLocalite">
    <w:name w:val="zSoquij_lblLocalite"/>
    <w:basedOn w:val="zSoquijlblGreffe"/>
  </w:style>
  <w:style w:type="paragraph" w:customStyle="1" w:styleId="zSoquijdatLocalite">
    <w:name w:val="zSoquij_datLocalite"/>
    <w:basedOn w:val="zSoquijdatGreffe"/>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Appelnotedebasdep">
    <w:name w:val="footnote reference"/>
    <w:semiHidden/>
    <w:rPr>
      <w:vertAlign w:val="superscript"/>
      <w:lang w:val="fr-CA"/>
    </w:rPr>
  </w:style>
  <w:style w:type="character" w:styleId="Hyperlien">
    <w:name w:val="Hyperlink"/>
    <w:rPr>
      <w:color w:val="0000FF"/>
      <w:u w:val="single"/>
      <w:lang w:val="fr-CA"/>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paragraph" w:customStyle="1" w:styleId="subsection">
    <w:name w:val="subsection"/>
    <w:basedOn w:val="Normal"/>
    <w:pPr>
      <w:spacing w:before="168" w:after="120"/>
      <w:ind w:firstLine="360"/>
    </w:pPr>
    <w:rPr>
      <w:rFonts w:ascii="Arial Unicode MS" w:eastAsia="Arial Unicode MS" w:hAnsi="Arial Unicode MS" w:cs="Arial Unicode MS"/>
      <w:szCs w:val="24"/>
    </w:rPr>
  </w:style>
  <w:style w:type="paragraph" w:customStyle="1" w:styleId="paragraph">
    <w:name w:val="paragraph"/>
    <w:basedOn w:val="Normal"/>
    <w:pPr>
      <w:spacing w:before="168" w:after="120"/>
      <w:ind w:left="360"/>
    </w:pPr>
    <w:rPr>
      <w:rFonts w:ascii="Arial Unicode MS" w:eastAsia="Arial Unicode MS" w:hAnsi="Arial Unicode MS" w:cs="Arial Unicode MS"/>
      <w:szCs w:val="24"/>
    </w:rPr>
  </w:style>
  <w:style w:type="character" w:styleId="Accentuation">
    <w:name w:val="Emphasis"/>
    <w:qFormat/>
    <w:rPr>
      <w:i/>
      <w:iCs/>
      <w:lang w:val="fr-CA"/>
    </w:rPr>
  </w:style>
  <w:style w:type="paragraph" w:customStyle="1" w:styleId="paragraphe0">
    <w:name w:val="paragraphe"/>
    <w:basedOn w:val="Normal"/>
    <w:pPr>
      <w:spacing w:before="100" w:beforeAutospacing="1" w:after="100" w:afterAutospacing="1"/>
    </w:pPr>
    <w:rPr>
      <w:rFonts w:ascii="Arial Unicode MS" w:eastAsia="Arial Unicode MS" w:hAnsi="Arial Unicode MS" w:cs="Arial Unicode MS"/>
      <w:szCs w:val="24"/>
    </w:rPr>
  </w:style>
  <w:style w:type="paragraph" w:customStyle="1" w:styleId="metadata">
    <w:name w:val="metadata"/>
    <w:basedOn w:val="Normal"/>
    <w:pPr>
      <w:spacing w:before="100" w:beforeAutospacing="1" w:after="100" w:afterAutospacing="1"/>
    </w:pPr>
    <w:rPr>
      <w:rFonts w:ascii="Arial Unicode MS" w:eastAsia="Arial Unicode MS" w:hAnsi="Arial Unicode MS" w:cs="Arial Unicode MS"/>
      <w:szCs w:val="24"/>
    </w:rPr>
  </w:style>
  <w:style w:type="paragraph" w:customStyle="1" w:styleId="1">
    <w:name w:val="1"/>
    <w:basedOn w:val="Normal"/>
    <w:pPr>
      <w:spacing w:before="100" w:beforeAutospacing="1" w:after="100" w:afterAutospacing="1"/>
    </w:pPr>
    <w:rPr>
      <w:rFonts w:ascii="Arial Unicode MS" w:eastAsia="Arial Unicode MS" w:hAnsi="Arial Unicode MS" w:cs="Arial Unicode MS"/>
      <w:szCs w:val="24"/>
    </w:rPr>
  </w:style>
  <w:style w:type="paragraph" w:styleId="Textedebulles">
    <w:name w:val="Balloon Text"/>
    <w:basedOn w:val="Normal"/>
    <w:link w:val="TextedebullesCar"/>
    <w:rsid w:val="00F75D99"/>
    <w:rPr>
      <w:rFonts w:ascii="Segoe UI" w:hAnsi="Segoe UI" w:cs="Segoe UI"/>
      <w:sz w:val="18"/>
      <w:szCs w:val="18"/>
    </w:rPr>
  </w:style>
  <w:style w:type="character" w:customStyle="1" w:styleId="TextedebullesCar">
    <w:name w:val="Texte de bulles Car"/>
    <w:link w:val="Textedebulles"/>
    <w:rsid w:val="00F75D99"/>
    <w:rPr>
      <w:rFonts w:ascii="Segoe UI" w:hAnsi="Segoe UI" w:cs="Segoe UI"/>
      <w:sz w:val="18"/>
      <w:szCs w:val="18"/>
      <w:lang w:val="fr-CA" w:eastAsia="fr-FR"/>
    </w:rPr>
  </w:style>
  <w:style w:type="character" w:customStyle="1" w:styleId="NotedebasdepageCar">
    <w:name w:val="Note de bas de page Car"/>
    <w:link w:val="Notedebasdepage"/>
    <w:semiHidden/>
    <w:rsid w:val="0047315B"/>
    <w:rPr>
      <w:rFonts w:ascii="Arial" w:hAnsi="Arial"/>
      <w:lang w:eastAsia="fr-FR"/>
    </w:rPr>
  </w:style>
  <w:style w:type="paragraph" w:styleId="En-ttedetabledesmatires">
    <w:name w:val="TOC Heading"/>
    <w:basedOn w:val="Titre1"/>
    <w:next w:val="Normal"/>
    <w:uiPriority w:val="39"/>
    <w:qFormat/>
    <w:rsid w:val="00ED0044"/>
    <w:pPr>
      <w:keepLines/>
      <w:spacing w:after="0" w:line="259" w:lineRule="auto"/>
      <w:outlineLvl w:val="9"/>
    </w:pPr>
    <w:rPr>
      <w:rFonts w:ascii="Calibri Light" w:hAnsi="Calibri Light"/>
      <w:b w:val="0"/>
      <w:color w:val="2E74B5"/>
      <w:kern w:val="0"/>
      <w:sz w:val="32"/>
      <w:szCs w:val="32"/>
      <w:lang w:eastAsia="fr-CA"/>
    </w:rPr>
  </w:style>
  <w:style w:type="paragraph" w:styleId="TM2">
    <w:name w:val="toc 2"/>
    <w:basedOn w:val="Normal"/>
    <w:next w:val="Normal"/>
    <w:autoRedefine/>
    <w:uiPriority w:val="39"/>
    <w:unhideWhenUsed/>
    <w:rsid w:val="00ED0044"/>
    <w:pPr>
      <w:spacing w:after="100" w:line="259" w:lineRule="auto"/>
      <w:ind w:left="220"/>
    </w:pPr>
    <w:rPr>
      <w:rFonts w:ascii="Calibri" w:hAnsi="Calibri"/>
      <w:sz w:val="22"/>
      <w:szCs w:val="22"/>
      <w:lang w:eastAsia="fr-CA"/>
    </w:rPr>
  </w:style>
  <w:style w:type="paragraph" w:styleId="TM1">
    <w:name w:val="toc 1"/>
    <w:basedOn w:val="Normal"/>
    <w:next w:val="Normal"/>
    <w:autoRedefine/>
    <w:uiPriority w:val="39"/>
    <w:unhideWhenUsed/>
    <w:rsid w:val="00ED0044"/>
    <w:pPr>
      <w:spacing w:after="100" w:line="259" w:lineRule="auto"/>
    </w:pPr>
    <w:rPr>
      <w:rFonts w:ascii="Calibri" w:hAnsi="Calibri"/>
      <w:sz w:val="22"/>
      <w:szCs w:val="22"/>
      <w:lang w:eastAsia="fr-CA"/>
    </w:rPr>
  </w:style>
  <w:style w:type="paragraph" w:styleId="TM3">
    <w:name w:val="toc 3"/>
    <w:basedOn w:val="Normal"/>
    <w:next w:val="Normal"/>
    <w:autoRedefine/>
    <w:uiPriority w:val="39"/>
    <w:unhideWhenUsed/>
    <w:rsid w:val="00ED0044"/>
    <w:pPr>
      <w:spacing w:after="100" w:line="259" w:lineRule="auto"/>
      <w:ind w:left="440"/>
    </w:pPr>
    <w:rPr>
      <w:rFonts w:ascii="Calibri" w:hAnsi="Calibri"/>
      <w:sz w:val="22"/>
      <w:szCs w:val="22"/>
      <w:lang w:eastAsia="fr-CA"/>
    </w:rPr>
  </w:style>
  <w:style w:type="character" w:customStyle="1" w:styleId="Titre1Car">
    <w:name w:val="Titre 1 Car"/>
    <w:link w:val="Titre1"/>
    <w:rsid w:val="00012101"/>
    <w:rPr>
      <w:rFonts w:ascii="Arial" w:hAnsi="Arial"/>
      <w:b/>
      <w:kern w:val="28"/>
      <w:sz w:val="28"/>
      <w:lang w:eastAsia="fr-FR"/>
    </w:rPr>
  </w:style>
  <w:style w:type="character" w:styleId="Marquedecommentaire">
    <w:name w:val="annotation reference"/>
    <w:rsid w:val="0052797D"/>
    <w:rPr>
      <w:sz w:val="16"/>
      <w:szCs w:val="16"/>
      <w:lang w:val="fr-CA"/>
    </w:rPr>
  </w:style>
  <w:style w:type="paragraph" w:styleId="Commentaire">
    <w:name w:val="annotation text"/>
    <w:basedOn w:val="Normal"/>
    <w:link w:val="CommentaireCar"/>
    <w:rsid w:val="0052797D"/>
    <w:rPr>
      <w:sz w:val="20"/>
    </w:rPr>
  </w:style>
  <w:style w:type="character" w:customStyle="1" w:styleId="CommentaireCar">
    <w:name w:val="Commentaire Car"/>
    <w:link w:val="Commentaire"/>
    <w:rsid w:val="0052797D"/>
    <w:rPr>
      <w:rFonts w:ascii="Arial" w:hAnsi="Arial"/>
      <w:lang w:val="fr-CA" w:eastAsia="fr-FR"/>
    </w:rPr>
  </w:style>
  <w:style w:type="paragraph" w:styleId="Objetducommentaire">
    <w:name w:val="annotation subject"/>
    <w:basedOn w:val="Commentaire"/>
    <w:next w:val="Commentaire"/>
    <w:link w:val="ObjetducommentaireCar"/>
    <w:rsid w:val="0052797D"/>
    <w:rPr>
      <w:b/>
      <w:bCs/>
    </w:rPr>
  </w:style>
  <w:style w:type="character" w:customStyle="1" w:styleId="ObjetducommentaireCar">
    <w:name w:val="Objet du commentaire Car"/>
    <w:link w:val="Objetducommentaire"/>
    <w:rsid w:val="0052797D"/>
    <w:rPr>
      <w:rFonts w:ascii="Arial" w:hAnsi="Arial"/>
      <w:b/>
      <w:bCs/>
      <w:lang w:val="fr-CA" w:eastAsia="fr-FR"/>
    </w:rPr>
  </w:style>
  <w:style w:type="character" w:styleId="Mentionnonrsolue">
    <w:name w:val="Unresolved Mention"/>
    <w:uiPriority w:val="99"/>
    <w:semiHidden/>
    <w:unhideWhenUsed/>
    <w:rsid w:val="0052797D"/>
    <w:rPr>
      <w:color w:val="605E5C"/>
      <w:shd w:val="clear" w:color="auto" w:fill="E1DFDD"/>
      <w:lang w:val="fr-CA"/>
    </w:rPr>
  </w:style>
  <w:style w:type="paragraph" w:styleId="Rvision">
    <w:name w:val="Revision"/>
    <w:hidden/>
    <w:uiPriority w:val="99"/>
    <w:semiHidden/>
    <w:rsid w:val="009428A6"/>
    <w:rPr>
      <w:rFonts w:ascii="Arial" w:hAnsi="Arial"/>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484111">
      <w:bodyDiv w:val="1"/>
      <w:marLeft w:val="0"/>
      <w:marRight w:val="0"/>
      <w:marTop w:val="0"/>
      <w:marBottom w:val="0"/>
      <w:divBdr>
        <w:top w:val="none" w:sz="0" w:space="0" w:color="auto"/>
        <w:left w:val="none" w:sz="0" w:space="0" w:color="auto"/>
        <w:bottom w:val="none" w:sz="0" w:space="0" w:color="auto"/>
        <w:right w:val="none" w:sz="0" w:space="0" w:color="auto"/>
      </w:divBdr>
    </w:div>
    <w:div w:id="1885091862">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DBB1F-9DDE-4523-BAB7-F499846A3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6319</Words>
  <Characters>34758</Characters>
  <Application>Microsoft Office Word</Application>
  <DocSecurity>0</DocSecurity>
  <Lines>289</Lines>
  <Paragraphs>81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Traduction</dc:creator>
  <cp:keywords/>
  <cp:lastModifiedBy>Gauthier, François</cp:lastModifiedBy>
  <cp:revision>2</cp:revision>
  <cp:lastPrinted>1601-01-01T00:00:00Z</cp:lastPrinted>
  <dcterms:created xsi:type="dcterms:W3CDTF">2024-01-24T12:48:00Z</dcterms:created>
  <dcterms:modified xsi:type="dcterms:W3CDTF">2024-01-24T12:48:00Z</dcterms:modified>
</cp:coreProperties>
</file>