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7995" w14:textId="71F83A65" w:rsidR="00DF3B9C" w:rsidRPr="00874109" w:rsidRDefault="00DF3B9C">
      <w:pPr>
        <w:rPr>
          <w:lang w:val="en-CA"/>
        </w:rPr>
      </w:pPr>
      <w:r w:rsidRPr="00E739A4">
        <w:rPr>
          <w:rFonts w:cs="Arial"/>
          <w:bCs/>
          <w:lang w:val="en-CA"/>
        </w:rPr>
        <w:t>Unofficial English Translation of the Judgment of the Court</w:t>
      </w:r>
    </w:p>
    <w:tbl>
      <w:tblPr>
        <w:tblW w:w="9196" w:type="dxa"/>
        <w:tblLayout w:type="fixed"/>
        <w:tblCellMar>
          <w:left w:w="0" w:type="dxa"/>
          <w:right w:w="0" w:type="dxa"/>
        </w:tblCellMar>
        <w:tblLook w:val="0000" w:firstRow="0" w:lastRow="0" w:firstColumn="0" w:lastColumn="0" w:noHBand="0" w:noVBand="0"/>
      </w:tblPr>
      <w:tblGrid>
        <w:gridCol w:w="1030"/>
        <w:gridCol w:w="246"/>
        <w:gridCol w:w="180"/>
        <w:gridCol w:w="2350"/>
        <w:gridCol w:w="3402"/>
        <w:gridCol w:w="1988"/>
      </w:tblGrid>
      <w:tr w:rsidR="00874109" w:rsidRPr="003D4FFF" w14:paraId="490823A4" w14:textId="77777777" w:rsidTr="001740F2">
        <w:trPr>
          <w:trHeight w:val="248"/>
        </w:trPr>
        <w:tc>
          <w:tcPr>
            <w:tcW w:w="7208" w:type="dxa"/>
            <w:gridSpan w:val="5"/>
          </w:tcPr>
          <w:p w14:paraId="180D4045" w14:textId="6B08140C" w:rsidR="00874109" w:rsidRPr="000D1EAA" w:rsidRDefault="00874109" w:rsidP="00874109">
            <w:pPr>
              <w:pStyle w:val="zSoquijdatRepertorie"/>
              <w:rPr>
                <w:rFonts w:cs="Arial"/>
                <w:highlight w:val="yellow"/>
                <w:lang w:val="en-CA"/>
              </w:rPr>
            </w:pPr>
            <w:proofErr w:type="spellStart"/>
            <w:r>
              <w:rPr>
                <w:rFonts w:cs="Arial"/>
              </w:rPr>
              <w:t>Fossen</w:t>
            </w:r>
            <w:proofErr w:type="spellEnd"/>
            <w:r>
              <w:rPr>
                <w:rFonts w:cs="Arial"/>
              </w:rPr>
              <w:t xml:space="preserve"> c. R.</w:t>
            </w:r>
          </w:p>
        </w:tc>
        <w:tc>
          <w:tcPr>
            <w:tcW w:w="1988" w:type="dxa"/>
          </w:tcPr>
          <w:p w14:paraId="4F674D2A" w14:textId="0F0D7792" w:rsidR="00874109" w:rsidRPr="000D1EAA" w:rsidRDefault="00874109" w:rsidP="00874109">
            <w:pPr>
              <w:pStyle w:val="zSoquijdatRefNeutre"/>
              <w:jc w:val="right"/>
              <w:rPr>
                <w:rFonts w:cs="Arial"/>
                <w:highlight w:val="yellow"/>
                <w:lang w:val="en-CA"/>
              </w:rPr>
            </w:pPr>
            <w:r w:rsidRPr="00F12956">
              <w:rPr>
                <w:rFonts w:cs="Arial"/>
              </w:rPr>
              <w:t>2022 QCCA 1518</w:t>
            </w:r>
          </w:p>
        </w:tc>
      </w:tr>
      <w:tr w:rsidR="00874109" w:rsidRPr="000D1EAA" w14:paraId="241C3D15" w14:textId="77777777" w:rsidTr="001740F2">
        <w:trPr>
          <w:trHeight w:val="247"/>
        </w:trPr>
        <w:tc>
          <w:tcPr>
            <w:tcW w:w="9196" w:type="dxa"/>
            <w:gridSpan w:val="6"/>
          </w:tcPr>
          <w:p w14:paraId="372BBDC7" w14:textId="603394B4" w:rsidR="00874109" w:rsidRPr="000D1EAA" w:rsidRDefault="00874109" w:rsidP="00874109">
            <w:pPr>
              <w:pStyle w:val="zSoquijlblCour"/>
              <w:rPr>
                <w:lang w:val="en-CA"/>
              </w:rPr>
            </w:pPr>
            <w:r w:rsidRPr="000D1EAA">
              <w:rPr>
                <w:lang w:val="en-CA"/>
              </w:rPr>
              <w:t>COURT OF APPEAL</w:t>
            </w:r>
          </w:p>
        </w:tc>
      </w:tr>
      <w:tr w:rsidR="00874109" w:rsidRPr="000D1EAA" w14:paraId="0300B7AC" w14:textId="77777777" w:rsidTr="001740F2">
        <w:trPr>
          <w:trHeight w:val="540"/>
        </w:trPr>
        <w:tc>
          <w:tcPr>
            <w:tcW w:w="9196" w:type="dxa"/>
            <w:gridSpan w:val="6"/>
          </w:tcPr>
          <w:p w14:paraId="6A601489" w14:textId="77777777" w:rsidR="00874109" w:rsidRPr="000D1EAA" w:rsidRDefault="00874109" w:rsidP="00874109">
            <w:pPr>
              <w:pStyle w:val="zSoquijdatDivision"/>
              <w:rPr>
                <w:lang w:val="en-CA"/>
              </w:rPr>
            </w:pPr>
          </w:p>
        </w:tc>
      </w:tr>
      <w:tr w:rsidR="00874109" w:rsidRPr="000D1EAA" w14:paraId="17487003" w14:textId="77777777" w:rsidTr="001740F2">
        <w:tc>
          <w:tcPr>
            <w:tcW w:w="9196" w:type="dxa"/>
            <w:gridSpan w:val="6"/>
          </w:tcPr>
          <w:p w14:paraId="4D92E42D" w14:textId="77777777" w:rsidR="00874109" w:rsidRPr="000D1EAA" w:rsidRDefault="00874109" w:rsidP="00874109">
            <w:pPr>
              <w:pStyle w:val="zSoquijlblPays"/>
              <w:rPr>
                <w:lang w:val="en-CA"/>
              </w:rPr>
            </w:pPr>
            <w:r w:rsidRPr="000D1EAA">
              <w:rPr>
                <w:lang w:val="en-CA"/>
              </w:rPr>
              <w:t>CANADA</w:t>
            </w:r>
          </w:p>
        </w:tc>
      </w:tr>
      <w:tr w:rsidR="00874109" w:rsidRPr="000D1EAA" w14:paraId="38DA7F48" w14:textId="77777777" w:rsidTr="001740F2">
        <w:tc>
          <w:tcPr>
            <w:tcW w:w="9196" w:type="dxa"/>
            <w:gridSpan w:val="6"/>
          </w:tcPr>
          <w:p w14:paraId="50FDEF84" w14:textId="3B4C49B9" w:rsidR="00874109" w:rsidRPr="000D1EAA" w:rsidRDefault="00874109" w:rsidP="00874109">
            <w:pPr>
              <w:pStyle w:val="zSoquijlblProvince"/>
              <w:rPr>
                <w:lang w:val="en-CA"/>
              </w:rPr>
            </w:pPr>
            <w:r w:rsidRPr="000D1EAA">
              <w:rPr>
                <w:lang w:val="en-CA"/>
              </w:rPr>
              <w:t>PROVINCE OF QUEBEC</w:t>
            </w:r>
          </w:p>
        </w:tc>
      </w:tr>
      <w:tr w:rsidR="00874109" w:rsidRPr="000D1EAA" w14:paraId="16811D17" w14:textId="77777777" w:rsidTr="001740F2">
        <w:tc>
          <w:tcPr>
            <w:tcW w:w="1276" w:type="dxa"/>
            <w:gridSpan w:val="2"/>
          </w:tcPr>
          <w:p w14:paraId="2A8B07F4" w14:textId="0A0211DD" w:rsidR="00874109" w:rsidRPr="000D1EAA" w:rsidRDefault="00874109" w:rsidP="00874109">
            <w:pPr>
              <w:pStyle w:val="zSoquijlblGreffe"/>
              <w:rPr>
                <w:lang w:val="en-CA"/>
              </w:rPr>
            </w:pPr>
            <w:r w:rsidRPr="000D1EAA">
              <w:rPr>
                <w:lang w:val="en-CA"/>
              </w:rPr>
              <w:t>REGISTRY</w:t>
            </w:r>
          </w:p>
        </w:tc>
        <w:tc>
          <w:tcPr>
            <w:tcW w:w="7920" w:type="dxa"/>
            <w:gridSpan w:val="4"/>
          </w:tcPr>
          <w:p w14:paraId="32BCF7F4" w14:textId="5608C556" w:rsidR="00874109" w:rsidRPr="000D1EAA" w:rsidRDefault="00874109" w:rsidP="00874109">
            <w:pPr>
              <w:pStyle w:val="zSoquijdatGreffe"/>
              <w:rPr>
                <w:lang w:val="en-CA"/>
              </w:rPr>
            </w:pPr>
            <w:bookmarkStart w:id="0" w:name="NomGreffe"/>
            <w:r w:rsidRPr="000D1EAA">
              <w:rPr>
                <w:lang w:val="en-CA"/>
              </w:rPr>
              <w:t>OF QU</w:t>
            </w:r>
            <w:r w:rsidR="00B23BDC">
              <w:rPr>
                <w:lang w:val="en-CA"/>
              </w:rPr>
              <w:t>É</w:t>
            </w:r>
            <w:r w:rsidRPr="000D1EAA">
              <w:rPr>
                <w:lang w:val="en-CA"/>
              </w:rPr>
              <w:t>BEC</w:t>
            </w:r>
            <w:bookmarkEnd w:id="0"/>
            <w:r w:rsidRPr="000D1EAA">
              <w:rPr>
                <w:lang w:val="en-CA"/>
              </w:rPr>
              <w:t xml:space="preserve"> </w:t>
            </w:r>
          </w:p>
        </w:tc>
      </w:tr>
      <w:tr w:rsidR="00874109" w:rsidRPr="000D1EAA" w14:paraId="7C68DDA7" w14:textId="77777777" w:rsidTr="001740F2">
        <w:tc>
          <w:tcPr>
            <w:tcW w:w="1030" w:type="dxa"/>
          </w:tcPr>
          <w:p w14:paraId="4129BDFC" w14:textId="77777777" w:rsidR="00874109" w:rsidRPr="000D1EAA" w:rsidRDefault="00874109" w:rsidP="00874109">
            <w:pPr>
              <w:pStyle w:val="zSoquijlblNoDossier"/>
              <w:rPr>
                <w:lang w:val="en-CA"/>
              </w:rPr>
            </w:pPr>
          </w:p>
        </w:tc>
        <w:tc>
          <w:tcPr>
            <w:tcW w:w="8166" w:type="dxa"/>
            <w:gridSpan w:val="5"/>
          </w:tcPr>
          <w:p w14:paraId="796A41BD" w14:textId="77777777" w:rsidR="00874109" w:rsidRPr="000D1EAA" w:rsidRDefault="00874109" w:rsidP="00874109">
            <w:pPr>
              <w:pStyle w:val="zSoquijdatNoDossier"/>
              <w:rPr>
                <w:lang w:val="en-CA"/>
              </w:rPr>
            </w:pPr>
          </w:p>
        </w:tc>
      </w:tr>
      <w:tr w:rsidR="00874109" w:rsidRPr="000D1EAA" w14:paraId="62F8F85E" w14:textId="77777777" w:rsidTr="001740F2">
        <w:tc>
          <w:tcPr>
            <w:tcW w:w="1030" w:type="dxa"/>
          </w:tcPr>
          <w:p w14:paraId="7245BFD6" w14:textId="00B576AB" w:rsidR="00874109" w:rsidRPr="000D1EAA" w:rsidRDefault="00874109" w:rsidP="00874109">
            <w:pPr>
              <w:pStyle w:val="zSoquijlblNoDossier"/>
              <w:rPr>
                <w:lang w:val="en-CA"/>
              </w:rPr>
            </w:pPr>
            <w:r w:rsidRPr="000D1EAA">
              <w:rPr>
                <w:lang w:val="en-CA"/>
              </w:rPr>
              <w:t>No.:</w:t>
            </w:r>
          </w:p>
        </w:tc>
        <w:tc>
          <w:tcPr>
            <w:tcW w:w="8166" w:type="dxa"/>
            <w:gridSpan w:val="5"/>
          </w:tcPr>
          <w:p w14:paraId="78DD75B1" w14:textId="77777777" w:rsidR="00874109" w:rsidRPr="000D1EAA" w:rsidRDefault="00874109" w:rsidP="00874109">
            <w:pPr>
              <w:pStyle w:val="zSoquijdatNoDossier"/>
              <w:rPr>
                <w:lang w:val="en-CA"/>
              </w:rPr>
            </w:pPr>
            <w:bookmarkStart w:id="1" w:name="NoDossier"/>
            <w:r w:rsidRPr="000D1EAA">
              <w:rPr>
                <w:lang w:val="en-CA"/>
              </w:rPr>
              <w:t>200-10-700002-210</w:t>
            </w:r>
            <w:bookmarkEnd w:id="1"/>
          </w:p>
        </w:tc>
      </w:tr>
      <w:tr w:rsidR="00874109" w:rsidRPr="000D1EAA" w14:paraId="0098001F" w14:textId="77777777" w:rsidTr="001740F2">
        <w:tc>
          <w:tcPr>
            <w:tcW w:w="9196" w:type="dxa"/>
            <w:gridSpan w:val="6"/>
          </w:tcPr>
          <w:p w14:paraId="045D0BBD" w14:textId="77777777" w:rsidR="00874109" w:rsidRPr="000D1EAA" w:rsidRDefault="00874109" w:rsidP="00874109">
            <w:pPr>
              <w:pStyle w:val="zSoquijdatNoDossierAnt"/>
              <w:rPr>
                <w:lang w:val="en-CA"/>
              </w:rPr>
            </w:pPr>
            <w:r w:rsidRPr="000D1EAA">
              <w:rPr>
                <w:lang w:val="en-CA"/>
              </w:rPr>
              <w:t>(160-36-000001-210) (160-01-000586-206)</w:t>
            </w:r>
          </w:p>
        </w:tc>
      </w:tr>
      <w:tr w:rsidR="00874109" w:rsidRPr="000D1EAA" w14:paraId="30AAB5AF" w14:textId="77777777" w:rsidTr="001740F2">
        <w:tc>
          <w:tcPr>
            <w:tcW w:w="9196" w:type="dxa"/>
            <w:gridSpan w:val="6"/>
          </w:tcPr>
          <w:p w14:paraId="62494A0D" w14:textId="77777777" w:rsidR="00874109" w:rsidRPr="000D1EAA" w:rsidRDefault="00874109" w:rsidP="00874109">
            <w:pPr>
              <w:rPr>
                <w:lang w:val="en-CA"/>
              </w:rPr>
            </w:pPr>
          </w:p>
        </w:tc>
      </w:tr>
      <w:tr w:rsidR="00874109" w:rsidRPr="000D1EAA" w14:paraId="63FA30F2" w14:textId="77777777" w:rsidTr="001740F2">
        <w:tc>
          <w:tcPr>
            <w:tcW w:w="1030" w:type="dxa"/>
          </w:tcPr>
          <w:p w14:paraId="2008BB2A" w14:textId="4C962C20" w:rsidR="00874109" w:rsidRPr="000D1EAA" w:rsidRDefault="00874109" w:rsidP="00874109">
            <w:pPr>
              <w:pStyle w:val="zSoquijlblDateJugement"/>
              <w:rPr>
                <w:lang w:val="en-CA"/>
              </w:rPr>
            </w:pPr>
            <w:r w:rsidRPr="000D1EAA">
              <w:rPr>
                <w:lang w:val="en-CA"/>
              </w:rPr>
              <w:t>DATE:</w:t>
            </w:r>
          </w:p>
        </w:tc>
        <w:tc>
          <w:tcPr>
            <w:tcW w:w="8166" w:type="dxa"/>
            <w:gridSpan w:val="5"/>
          </w:tcPr>
          <w:p w14:paraId="0A0103C4" w14:textId="44DB3CF0" w:rsidR="00874109" w:rsidRPr="000D1EAA" w:rsidRDefault="00874109" w:rsidP="00874109">
            <w:pPr>
              <w:pStyle w:val="zSoquijdatDateJugement"/>
              <w:rPr>
                <w:lang w:val="en-CA"/>
              </w:rPr>
            </w:pPr>
            <w:r w:rsidRPr="000D1EAA">
              <w:rPr>
                <w:lang w:val="en-CA"/>
              </w:rPr>
              <w:t>November 7, 2022</w:t>
            </w:r>
          </w:p>
        </w:tc>
      </w:tr>
      <w:tr w:rsidR="00874109" w:rsidRPr="000D1EAA" w14:paraId="4D84DBE3" w14:textId="77777777" w:rsidTr="001740F2">
        <w:tc>
          <w:tcPr>
            <w:tcW w:w="9196" w:type="dxa"/>
            <w:gridSpan w:val="6"/>
            <w:tcBorders>
              <w:bottom w:val="single" w:sz="8" w:space="0" w:color="auto"/>
            </w:tcBorders>
          </w:tcPr>
          <w:p w14:paraId="10349D57" w14:textId="77777777" w:rsidR="00874109" w:rsidRPr="000D1EAA" w:rsidRDefault="00874109" w:rsidP="00874109">
            <w:pPr>
              <w:rPr>
                <w:lang w:val="en-CA"/>
              </w:rPr>
            </w:pPr>
          </w:p>
        </w:tc>
      </w:tr>
      <w:tr w:rsidR="00874109" w:rsidRPr="000D1EAA" w14:paraId="4606F28C" w14:textId="77777777" w:rsidTr="001740F2">
        <w:tc>
          <w:tcPr>
            <w:tcW w:w="9196" w:type="dxa"/>
            <w:gridSpan w:val="6"/>
            <w:tcBorders>
              <w:top w:val="single" w:sz="8" w:space="0" w:color="auto"/>
            </w:tcBorders>
          </w:tcPr>
          <w:p w14:paraId="7CF45FAA" w14:textId="0A96F736" w:rsidR="00874109" w:rsidRPr="000D1EAA" w:rsidRDefault="00874109" w:rsidP="00874109">
            <w:pPr>
              <w:rPr>
                <w:lang w:val="en-CA"/>
              </w:rPr>
            </w:pPr>
            <w:r w:rsidRPr="000D1EAA">
              <w:rPr>
                <w:lang w:val="en-CA"/>
              </w:rPr>
              <w:t xml:space="preserve"> </w:t>
            </w:r>
          </w:p>
        </w:tc>
      </w:tr>
      <w:tr w:rsidR="00874109" w:rsidRPr="000D1EAA" w14:paraId="4F9346CD" w14:textId="77777777" w:rsidTr="001740F2">
        <w:tc>
          <w:tcPr>
            <w:tcW w:w="1456" w:type="dxa"/>
            <w:gridSpan w:val="3"/>
          </w:tcPr>
          <w:p w14:paraId="1393AD05" w14:textId="5FB25EB2" w:rsidR="00874109" w:rsidRPr="000D1EAA" w:rsidRDefault="00874109" w:rsidP="00874109">
            <w:pPr>
              <w:pStyle w:val="zSoquijlblJuge"/>
              <w:ind w:right="-142"/>
              <w:rPr>
                <w:lang w:val="en-CA"/>
              </w:rPr>
            </w:pPr>
            <w:bookmarkStart w:id="2" w:name="FORMATION"/>
            <w:r w:rsidRPr="000D1EAA">
              <w:rPr>
                <w:lang w:val="en-CA"/>
              </w:rPr>
              <w:t>CORAM:</w:t>
            </w:r>
            <w:bookmarkEnd w:id="2"/>
          </w:p>
        </w:tc>
        <w:tc>
          <w:tcPr>
            <w:tcW w:w="2350" w:type="dxa"/>
          </w:tcPr>
          <w:p w14:paraId="23614939" w14:textId="57FBB8DD" w:rsidR="00874109" w:rsidRPr="000D1EAA" w:rsidRDefault="00874109" w:rsidP="00874109">
            <w:pPr>
              <w:pStyle w:val="zSoquijdatQteJuge"/>
              <w:rPr>
                <w:lang w:val="en-CA"/>
              </w:rPr>
            </w:pPr>
            <w:bookmarkStart w:id="3" w:name="Honorables"/>
            <w:r w:rsidRPr="000D1EAA">
              <w:rPr>
                <w:lang w:val="en-CA"/>
              </w:rPr>
              <w:t>THE HONOURABLE</w:t>
            </w:r>
            <w:bookmarkEnd w:id="3"/>
          </w:p>
        </w:tc>
        <w:tc>
          <w:tcPr>
            <w:tcW w:w="5390" w:type="dxa"/>
            <w:gridSpan w:val="2"/>
          </w:tcPr>
          <w:p w14:paraId="6642D038" w14:textId="501BD306" w:rsidR="00874109" w:rsidRPr="003D4FFF" w:rsidRDefault="00874109" w:rsidP="00874109">
            <w:pPr>
              <w:pStyle w:val="zSoquijdatJuge"/>
            </w:pPr>
            <w:bookmarkStart w:id="4" w:name="NomJuge1"/>
            <w:r w:rsidRPr="003D4FFF">
              <w:t xml:space="preserve">ROBERT M. MAINVILLE, </w:t>
            </w:r>
            <w:proofErr w:type="spellStart"/>
            <w:r w:rsidRPr="003D4FFF">
              <w:t>J.A</w:t>
            </w:r>
            <w:proofErr w:type="spellEnd"/>
            <w:r w:rsidRPr="003D4FFF">
              <w:t>.</w:t>
            </w:r>
            <w:bookmarkEnd w:id="4"/>
          </w:p>
          <w:p w14:paraId="2C3ADD3F" w14:textId="6128177E" w:rsidR="00874109" w:rsidRPr="000D1EAA" w:rsidRDefault="00874109" w:rsidP="00874109">
            <w:pPr>
              <w:pStyle w:val="zSoquijdatJuge"/>
              <w:rPr>
                <w:lang w:val="en-CA"/>
              </w:rPr>
            </w:pPr>
            <w:bookmarkStart w:id="5" w:name="NomJuge2"/>
            <w:r w:rsidRPr="000D1EAA">
              <w:rPr>
                <w:lang w:val="en-CA"/>
              </w:rPr>
              <w:t>STEPHEN W. HAMILTON, J.A.</w:t>
            </w:r>
            <w:bookmarkEnd w:id="5"/>
          </w:p>
          <w:p w14:paraId="694678C0" w14:textId="43F67F9A" w:rsidR="00874109" w:rsidRPr="000D1EAA" w:rsidRDefault="00874109" w:rsidP="00874109">
            <w:pPr>
              <w:pStyle w:val="zSoquijdatJuge"/>
              <w:rPr>
                <w:lang w:val="en-CA"/>
              </w:rPr>
            </w:pPr>
            <w:bookmarkStart w:id="6" w:name="_Hlt520513784"/>
            <w:bookmarkStart w:id="7" w:name="NomJuge3"/>
            <w:bookmarkEnd w:id="6"/>
            <w:r w:rsidRPr="000D1EAA">
              <w:rPr>
                <w:lang w:val="en-CA"/>
              </w:rPr>
              <w:t xml:space="preserve">SOPHIE </w:t>
            </w:r>
            <w:proofErr w:type="spellStart"/>
            <w:r w:rsidRPr="000D1EAA">
              <w:rPr>
                <w:lang w:val="en-CA"/>
              </w:rPr>
              <w:t>LAVALLÉE</w:t>
            </w:r>
            <w:proofErr w:type="spellEnd"/>
            <w:r w:rsidRPr="000D1EAA">
              <w:rPr>
                <w:lang w:val="en-CA"/>
              </w:rPr>
              <w:t>, J.A.</w:t>
            </w:r>
            <w:bookmarkEnd w:id="7"/>
          </w:p>
        </w:tc>
      </w:tr>
      <w:tr w:rsidR="00874109" w:rsidRPr="000D1EAA" w14:paraId="5EF4A53C" w14:textId="77777777" w:rsidTr="001740F2">
        <w:tc>
          <w:tcPr>
            <w:tcW w:w="9196" w:type="dxa"/>
            <w:gridSpan w:val="6"/>
            <w:tcBorders>
              <w:bottom w:val="single" w:sz="8" w:space="0" w:color="auto"/>
            </w:tcBorders>
          </w:tcPr>
          <w:p w14:paraId="600FF346" w14:textId="77777777" w:rsidR="00874109" w:rsidRPr="000D1EAA" w:rsidRDefault="00874109" w:rsidP="00874109">
            <w:pPr>
              <w:rPr>
                <w:lang w:val="en-CA"/>
              </w:rPr>
            </w:pPr>
          </w:p>
        </w:tc>
      </w:tr>
      <w:tr w:rsidR="00874109" w:rsidRPr="000D1EAA" w14:paraId="7ACD39E1" w14:textId="77777777" w:rsidTr="001740F2">
        <w:tc>
          <w:tcPr>
            <w:tcW w:w="9196" w:type="dxa"/>
            <w:gridSpan w:val="6"/>
          </w:tcPr>
          <w:p w14:paraId="6A73E2B5" w14:textId="70F40E16" w:rsidR="00874109" w:rsidRPr="000D1EAA" w:rsidRDefault="00874109" w:rsidP="00874109">
            <w:pPr>
              <w:pStyle w:val="zSoquijlblTitrePartie"/>
              <w:rPr>
                <w:lang w:val="en-CA"/>
              </w:rPr>
            </w:pPr>
          </w:p>
        </w:tc>
      </w:tr>
      <w:tr w:rsidR="00874109" w:rsidRPr="000D1EAA" w14:paraId="5D45856B" w14:textId="77777777" w:rsidTr="001740F2">
        <w:tc>
          <w:tcPr>
            <w:tcW w:w="9196" w:type="dxa"/>
            <w:gridSpan w:val="6"/>
          </w:tcPr>
          <w:p w14:paraId="2E325DCE" w14:textId="77777777" w:rsidR="00874109" w:rsidRPr="000D1EAA" w:rsidRDefault="00874109" w:rsidP="00874109">
            <w:pPr>
              <w:pStyle w:val="zSoquijdatNomPartieDem"/>
              <w:rPr>
                <w:lang w:val="en-CA"/>
              </w:rPr>
            </w:pPr>
            <w:r w:rsidRPr="000D1EAA">
              <w:rPr>
                <w:lang w:val="en-CA"/>
              </w:rPr>
              <w:t>PHILIP FOSSEN</w:t>
            </w:r>
          </w:p>
        </w:tc>
      </w:tr>
      <w:tr w:rsidR="00874109" w:rsidRPr="000D1EAA" w14:paraId="0CF7C53E" w14:textId="77777777" w:rsidTr="001740F2">
        <w:tc>
          <w:tcPr>
            <w:tcW w:w="9196" w:type="dxa"/>
            <w:gridSpan w:val="6"/>
          </w:tcPr>
          <w:p w14:paraId="4F1C550D" w14:textId="71BFCD55" w:rsidR="00874109" w:rsidRPr="000D1EAA" w:rsidRDefault="00874109" w:rsidP="00874109">
            <w:pPr>
              <w:pStyle w:val="zSoquijdatQtePartieDem"/>
              <w:rPr>
                <w:lang w:val="en-CA"/>
              </w:rPr>
            </w:pPr>
            <w:r w:rsidRPr="000D1EAA">
              <w:rPr>
                <w:lang w:val="en-CA"/>
              </w:rPr>
              <w:t xml:space="preserve">APPELLANT – </w:t>
            </w:r>
            <w:r>
              <w:rPr>
                <w:lang w:val="en-CA"/>
              </w:rPr>
              <w:t>I</w:t>
            </w:r>
            <w:r w:rsidRPr="000D1EAA">
              <w:rPr>
                <w:lang w:val="en-CA"/>
              </w:rPr>
              <w:t>mpleaded party</w:t>
            </w:r>
          </w:p>
        </w:tc>
      </w:tr>
      <w:tr w:rsidR="00874109" w:rsidRPr="000D1EAA" w14:paraId="4CC9D863" w14:textId="77777777" w:rsidTr="001740F2">
        <w:tc>
          <w:tcPr>
            <w:tcW w:w="9196" w:type="dxa"/>
            <w:gridSpan w:val="6"/>
          </w:tcPr>
          <w:p w14:paraId="312ACDAD" w14:textId="77777777" w:rsidR="00874109" w:rsidRPr="000D1EAA" w:rsidRDefault="00874109" w:rsidP="00874109">
            <w:pPr>
              <w:pStyle w:val="zSoquijlblLienParties"/>
              <w:rPr>
                <w:lang w:val="en-CA"/>
              </w:rPr>
            </w:pPr>
          </w:p>
          <w:p w14:paraId="1856961F" w14:textId="446365AF" w:rsidR="00874109" w:rsidRPr="000D1EAA" w:rsidRDefault="00874109" w:rsidP="00874109">
            <w:pPr>
              <w:pStyle w:val="zSoquijlblLienParties"/>
              <w:rPr>
                <w:lang w:val="en-CA"/>
              </w:rPr>
            </w:pPr>
            <w:r w:rsidRPr="000D1EAA">
              <w:rPr>
                <w:lang w:val="en-CA"/>
              </w:rPr>
              <w:t>v.</w:t>
            </w:r>
          </w:p>
        </w:tc>
      </w:tr>
      <w:tr w:rsidR="00874109" w:rsidRPr="000D1EAA" w14:paraId="05E7C9DE" w14:textId="77777777" w:rsidTr="001740F2">
        <w:tc>
          <w:tcPr>
            <w:tcW w:w="9196" w:type="dxa"/>
            <w:gridSpan w:val="6"/>
          </w:tcPr>
          <w:p w14:paraId="767F1F7C" w14:textId="77777777" w:rsidR="00874109" w:rsidRPr="000D1EAA" w:rsidRDefault="00874109" w:rsidP="00874109">
            <w:pPr>
              <w:rPr>
                <w:lang w:val="en-CA"/>
              </w:rPr>
            </w:pPr>
          </w:p>
        </w:tc>
      </w:tr>
      <w:tr w:rsidR="00874109" w:rsidRPr="000D1EAA" w14:paraId="06780BFE" w14:textId="77777777" w:rsidTr="001740F2">
        <w:tc>
          <w:tcPr>
            <w:tcW w:w="9196" w:type="dxa"/>
            <w:gridSpan w:val="6"/>
          </w:tcPr>
          <w:p w14:paraId="2837F9D4" w14:textId="7AC056C1" w:rsidR="00874109" w:rsidRPr="000D1EAA" w:rsidRDefault="00874109" w:rsidP="00874109">
            <w:pPr>
              <w:pStyle w:val="zSoquijdatNomPartieDef"/>
              <w:rPr>
                <w:lang w:val="en-CA"/>
              </w:rPr>
            </w:pPr>
            <w:r w:rsidRPr="000D1EAA">
              <w:rPr>
                <w:lang w:val="en-CA"/>
              </w:rPr>
              <w:t>HIS MAJESTY THE KING</w:t>
            </w:r>
          </w:p>
        </w:tc>
      </w:tr>
      <w:tr w:rsidR="00874109" w:rsidRPr="000D1EAA" w14:paraId="6D48644D" w14:textId="77777777" w:rsidTr="001740F2">
        <w:tc>
          <w:tcPr>
            <w:tcW w:w="9196" w:type="dxa"/>
            <w:gridSpan w:val="6"/>
          </w:tcPr>
          <w:p w14:paraId="4670B7CF" w14:textId="1EDF1E0A" w:rsidR="00874109" w:rsidRPr="000D1EAA" w:rsidRDefault="00874109" w:rsidP="00874109">
            <w:pPr>
              <w:pStyle w:val="zSoquijdatQtePartieDef"/>
              <w:rPr>
                <w:lang w:val="en-CA"/>
              </w:rPr>
            </w:pPr>
            <w:r w:rsidRPr="000D1EAA">
              <w:rPr>
                <w:lang w:val="en-CA"/>
              </w:rPr>
              <w:t xml:space="preserve">RESPONDENT – </w:t>
            </w:r>
            <w:r>
              <w:rPr>
                <w:lang w:val="en-CA"/>
              </w:rPr>
              <w:t>A</w:t>
            </w:r>
            <w:r w:rsidRPr="000D1EAA">
              <w:rPr>
                <w:lang w:val="en-CA"/>
              </w:rPr>
              <w:t>pplicant</w:t>
            </w:r>
          </w:p>
        </w:tc>
      </w:tr>
      <w:tr w:rsidR="00874109" w:rsidRPr="000D1EAA" w14:paraId="71414BD2" w14:textId="77777777" w:rsidTr="001740F2">
        <w:tc>
          <w:tcPr>
            <w:tcW w:w="9196" w:type="dxa"/>
            <w:gridSpan w:val="6"/>
          </w:tcPr>
          <w:p w14:paraId="0D3CD197" w14:textId="23F4C07E" w:rsidR="00874109" w:rsidRPr="000D1EAA" w:rsidRDefault="00874109" w:rsidP="00874109">
            <w:pPr>
              <w:pStyle w:val="zSoquijlblLienParties"/>
              <w:rPr>
                <w:lang w:val="en-CA"/>
              </w:rPr>
            </w:pPr>
            <w:r>
              <w:rPr>
                <w:lang w:val="en-CA"/>
              </w:rPr>
              <w:t>a</w:t>
            </w:r>
            <w:r w:rsidRPr="000D1EAA">
              <w:rPr>
                <w:lang w:val="en-CA"/>
              </w:rPr>
              <w:t>nd</w:t>
            </w:r>
          </w:p>
        </w:tc>
      </w:tr>
      <w:tr w:rsidR="00874109" w:rsidRPr="000D1EAA" w14:paraId="25398275" w14:textId="77777777" w:rsidTr="001740F2">
        <w:tc>
          <w:tcPr>
            <w:tcW w:w="9196" w:type="dxa"/>
            <w:gridSpan w:val="6"/>
          </w:tcPr>
          <w:p w14:paraId="71069971" w14:textId="77777777" w:rsidR="00874109" w:rsidRPr="000D1EAA" w:rsidRDefault="00874109" w:rsidP="00874109">
            <w:pPr>
              <w:rPr>
                <w:lang w:val="en-CA"/>
              </w:rPr>
            </w:pPr>
          </w:p>
        </w:tc>
      </w:tr>
      <w:tr w:rsidR="00874109" w:rsidRPr="00F6241B" w14:paraId="21895368" w14:textId="77777777" w:rsidTr="001740F2">
        <w:tc>
          <w:tcPr>
            <w:tcW w:w="9196" w:type="dxa"/>
            <w:gridSpan w:val="6"/>
          </w:tcPr>
          <w:p w14:paraId="2A4E8677" w14:textId="50BB7704" w:rsidR="00874109" w:rsidRPr="000D1EAA" w:rsidRDefault="00874109" w:rsidP="00874109">
            <w:pPr>
              <w:pStyle w:val="zSoquijdatNomPartieDef"/>
              <w:rPr>
                <w:b w:val="0"/>
                <w:lang w:val="en-CA"/>
              </w:rPr>
            </w:pPr>
            <w:r w:rsidRPr="000D1EAA">
              <w:rPr>
                <w:lang w:val="en-CA"/>
              </w:rPr>
              <w:t xml:space="preserve">RICHARD P. </w:t>
            </w:r>
            <w:proofErr w:type="spellStart"/>
            <w:r w:rsidRPr="000D1EAA">
              <w:rPr>
                <w:lang w:val="en-CA"/>
              </w:rPr>
              <w:t>DAOUST</w:t>
            </w:r>
            <w:proofErr w:type="spellEnd"/>
            <w:r w:rsidRPr="000D1EAA">
              <w:rPr>
                <w:bCs w:val="0"/>
                <w:lang w:val="en-CA"/>
              </w:rPr>
              <w:t>, in his capacity as judge</w:t>
            </w:r>
          </w:p>
        </w:tc>
      </w:tr>
      <w:tr w:rsidR="00874109" w:rsidRPr="000D1EAA" w14:paraId="4D578E1C" w14:textId="77777777" w:rsidTr="001740F2">
        <w:tc>
          <w:tcPr>
            <w:tcW w:w="9196" w:type="dxa"/>
            <w:gridSpan w:val="6"/>
          </w:tcPr>
          <w:p w14:paraId="2C517DE5" w14:textId="11CAFECB" w:rsidR="00874109" w:rsidRPr="000D1EAA" w:rsidRDefault="00874109" w:rsidP="00874109">
            <w:pPr>
              <w:pStyle w:val="zSoquijdatQtePartieDef"/>
              <w:rPr>
                <w:lang w:val="en-CA"/>
              </w:rPr>
            </w:pPr>
            <w:r w:rsidRPr="000D1EAA">
              <w:rPr>
                <w:lang w:val="en-CA"/>
              </w:rPr>
              <w:t xml:space="preserve">IMPLEADED PARTY – </w:t>
            </w:r>
            <w:r>
              <w:rPr>
                <w:lang w:val="en-CA"/>
              </w:rPr>
              <w:t>R</w:t>
            </w:r>
            <w:r w:rsidRPr="000D1EAA">
              <w:rPr>
                <w:lang w:val="en-CA"/>
              </w:rPr>
              <w:t>espondent</w:t>
            </w:r>
          </w:p>
        </w:tc>
      </w:tr>
      <w:tr w:rsidR="00874109" w:rsidRPr="000D1EAA" w14:paraId="4A1F01CB" w14:textId="77777777" w:rsidTr="001740F2">
        <w:tc>
          <w:tcPr>
            <w:tcW w:w="9196" w:type="dxa"/>
            <w:gridSpan w:val="6"/>
          </w:tcPr>
          <w:p w14:paraId="32F3B2CC" w14:textId="77777777" w:rsidR="00874109" w:rsidRPr="000D1EAA" w:rsidRDefault="00874109" w:rsidP="00874109">
            <w:pPr>
              <w:rPr>
                <w:lang w:val="en-CA"/>
              </w:rPr>
            </w:pPr>
          </w:p>
        </w:tc>
      </w:tr>
      <w:tr w:rsidR="00874109" w:rsidRPr="000D1EAA" w14:paraId="3AC0EB14" w14:textId="77777777" w:rsidTr="001740F2">
        <w:tc>
          <w:tcPr>
            <w:tcW w:w="9196" w:type="dxa"/>
            <w:gridSpan w:val="6"/>
            <w:tcBorders>
              <w:top w:val="single" w:sz="8" w:space="0" w:color="auto"/>
            </w:tcBorders>
          </w:tcPr>
          <w:p w14:paraId="22949FBD" w14:textId="77777777" w:rsidR="00874109" w:rsidRPr="000D1EAA" w:rsidRDefault="00874109" w:rsidP="00874109">
            <w:pPr>
              <w:rPr>
                <w:lang w:val="en-CA"/>
              </w:rPr>
            </w:pPr>
          </w:p>
        </w:tc>
      </w:tr>
      <w:tr w:rsidR="00874109" w:rsidRPr="000D1EAA" w14:paraId="2E67B0D3" w14:textId="77777777" w:rsidTr="001740F2">
        <w:tc>
          <w:tcPr>
            <w:tcW w:w="9196" w:type="dxa"/>
            <w:gridSpan w:val="6"/>
          </w:tcPr>
          <w:p w14:paraId="16073ACE" w14:textId="72A88A5F" w:rsidR="00874109" w:rsidRPr="000D1EAA" w:rsidRDefault="00874109" w:rsidP="00874109">
            <w:pPr>
              <w:pStyle w:val="zSoquijlblTypeDocument"/>
              <w:rPr>
                <w:lang w:val="en-CA"/>
              </w:rPr>
            </w:pPr>
            <w:bookmarkStart w:id="8" w:name="TitreDocument"/>
            <w:r>
              <w:rPr>
                <w:lang w:val="en-CA"/>
              </w:rPr>
              <w:t>JUDGMENT</w:t>
            </w:r>
            <w:bookmarkEnd w:id="8"/>
          </w:p>
        </w:tc>
      </w:tr>
      <w:tr w:rsidR="00874109" w:rsidRPr="000D1EAA" w14:paraId="6122B36D" w14:textId="77777777" w:rsidTr="001740F2">
        <w:tc>
          <w:tcPr>
            <w:tcW w:w="9196" w:type="dxa"/>
            <w:gridSpan w:val="6"/>
            <w:tcBorders>
              <w:bottom w:val="single" w:sz="8" w:space="0" w:color="auto"/>
            </w:tcBorders>
          </w:tcPr>
          <w:p w14:paraId="5AF76D23" w14:textId="77777777" w:rsidR="00874109" w:rsidRPr="000D1EAA" w:rsidRDefault="00874109" w:rsidP="00874109">
            <w:pPr>
              <w:rPr>
                <w:lang w:val="en-CA"/>
              </w:rPr>
            </w:pPr>
          </w:p>
        </w:tc>
      </w:tr>
      <w:tr w:rsidR="00874109" w:rsidRPr="000D1EAA" w14:paraId="3AFA22A2" w14:textId="77777777" w:rsidTr="001740F2">
        <w:tc>
          <w:tcPr>
            <w:tcW w:w="9196" w:type="dxa"/>
            <w:gridSpan w:val="6"/>
            <w:tcBorders>
              <w:top w:val="single" w:sz="8" w:space="0" w:color="auto"/>
            </w:tcBorders>
          </w:tcPr>
          <w:p w14:paraId="0B4A4307" w14:textId="77777777" w:rsidR="00874109" w:rsidRPr="000D1EAA" w:rsidRDefault="00874109" w:rsidP="00874109">
            <w:pPr>
              <w:rPr>
                <w:lang w:val="en-CA"/>
              </w:rPr>
            </w:pPr>
          </w:p>
        </w:tc>
      </w:tr>
    </w:tbl>
    <w:p w14:paraId="290F7872" w14:textId="29D7C0B3" w:rsidR="00F42B92" w:rsidRPr="000D1EAA" w:rsidRDefault="005F5E2E" w:rsidP="007D5826">
      <w:pPr>
        <w:pStyle w:val="Paragraphe"/>
        <w:spacing w:before="240" w:line="240" w:lineRule="auto"/>
        <w:rPr>
          <w:rFonts w:asciiTheme="minorHAnsi" w:hAnsiTheme="minorHAnsi" w:cstheme="minorBidi"/>
          <w:sz w:val="22"/>
          <w:szCs w:val="22"/>
          <w:lang w:val="en-CA"/>
        </w:rPr>
      </w:pPr>
      <w:bookmarkStart w:id="9" w:name="Arret"/>
      <w:r w:rsidRPr="000D1EAA">
        <w:rPr>
          <w:lang w:val="en-CA"/>
        </w:rPr>
        <w:t>Th</w:t>
      </w:r>
      <w:r w:rsidR="00223B04">
        <w:rPr>
          <w:lang w:val="en-CA"/>
        </w:rPr>
        <w:t>is is an appeal</w:t>
      </w:r>
      <w:r w:rsidRPr="000D1EAA">
        <w:rPr>
          <w:lang w:val="en-CA"/>
        </w:rPr>
        <w:t xml:space="preserve"> pursuant to </w:t>
      </w:r>
      <w:r w:rsidR="00763DD7" w:rsidRPr="000D1EAA">
        <w:rPr>
          <w:lang w:val="en-CA"/>
        </w:rPr>
        <w:t>s. </w:t>
      </w:r>
      <w:r w:rsidR="003F7B75" w:rsidRPr="000D1EAA">
        <w:rPr>
          <w:lang w:val="en-CA"/>
        </w:rPr>
        <w:t xml:space="preserve">784(1) </w:t>
      </w:r>
      <w:r w:rsidRPr="000D1EAA">
        <w:rPr>
          <w:lang w:val="en-CA"/>
        </w:rPr>
        <w:t xml:space="preserve">of the </w:t>
      </w:r>
      <w:r w:rsidRPr="000D1EAA">
        <w:rPr>
          <w:i/>
          <w:lang w:val="en-CA"/>
        </w:rPr>
        <w:t>Criminal Code</w:t>
      </w:r>
      <w:r w:rsidR="003F7B75" w:rsidRPr="000D1EAA">
        <w:rPr>
          <w:lang w:val="en-CA"/>
        </w:rPr>
        <w:t xml:space="preserve"> </w:t>
      </w:r>
      <w:r w:rsidR="006463F8" w:rsidRPr="000D1EAA">
        <w:rPr>
          <w:lang w:val="en-CA"/>
        </w:rPr>
        <w:t xml:space="preserve">from the judgment </w:t>
      </w:r>
      <w:r w:rsidR="008E545F">
        <w:rPr>
          <w:lang w:val="en-CA"/>
        </w:rPr>
        <w:t xml:space="preserve">rendered on </w:t>
      </w:r>
      <w:r w:rsidR="006463F8" w:rsidRPr="000D1EAA">
        <w:rPr>
          <w:lang w:val="en-CA"/>
        </w:rPr>
        <w:t xml:space="preserve">December 2, </w:t>
      </w:r>
      <w:r w:rsidR="003F7B75" w:rsidRPr="000D1EAA">
        <w:rPr>
          <w:lang w:val="en-CA"/>
        </w:rPr>
        <w:t>2021 (</w:t>
      </w:r>
      <w:r w:rsidR="00DF3B9C">
        <w:rPr>
          <w:lang w:val="en-CA"/>
        </w:rPr>
        <w:t>corrected</w:t>
      </w:r>
      <w:r w:rsidR="006463F8" w:rsidRPr="000D1EAA">
        <w:rPr>
          <w:lang w:val="en-CA"/>
        </w:rPr>
        <w:t xml:space="preserve"> on December 3, </w:t>
      </w:r>
      <w:r w:rsidR="003F7B75" w:rsidRPr="000D1EAA">
        <w:rPr>
          <w:lang w:val="en-CA"/>
        </w:rPr>
        <w:t>2021)</w:t>
      </w:r>
      <w:r w:rsidR="008F5A6C" w:rsidRPr="000D1EAA">
        <w:rPr>
          <w:lang w:val="en-CA"/>
        </w:rPr>
        <w:t xml:space="preserve"> </w:t>
      </w:r>
      <w:r w:rsidR="006463F8" w:rsidRPr="000D1EAA">
        <w:rPr>
          <w:lang w:val="en-CA"/>
        </w:rPr>
        <w:t xml:space="preserve">by </w:t>
      </w:r>
      <w:r w:rsidR="00051DE0">
        <w:rPr>
          <w:lang w:val="en-CA"/>
        </w:rPr>
        <w:t>the Honourable</w:t>
      </w:r>
      <w:r w:rsidR="006463F8" w:rsidRPr="000D1EAA">
        <w:rPr>
          <w:lang w:val="en-CA"/>
        </w:rPr>
        <w:t> </w:t>
      </w:r>
      <w:r w:rsidR="003F7B75" w:rsidRPr="000D1EAA">
        <w:rPr>
          <w:lang w:val="en-CA"/>
        </w:rPr>
        <w:t xml:space="preserve">Raymond W. Pronovost </w:t>
      </w:r>
      <w:r w:rsidR="006463F8" w:rsidRPr="000D1EAA">
        <w:rPr>
          <w:lang w:val="en-CA"/>
        </w:rPr>
        <w:t xml:space="preserve">of the Superior Court, </w:t>
      </w:r>
      <w:r w:rsidR="00DF3B9C">
        <w:rPr>
          <w:lang w:val="en-CA"/>
        </w:rPr>
        <w:t>D</w:t>
      </w:r>
      <w:r w:rsidR="003F7B75" w:rsidRPr="000D1EAA">
        <w:rPr>
          <w:lang w:val="en-CA"/>
        </w:rPr>
        <w:t xml:space="preserve">istrict </w:t>
      </w:r>
      <w:r w:rsidR="006463F8" w:rsidRPr="000D1EAA">
        <w:rPr>
          <w:lang w:val="en-CA"/>
        </w:rPr>
        <w:t xml:space="preserve">of </w:t>
      </w:r>
      <w:r w:rsidR="003F7B75" w:rsidRPr="000D1EAA">
        <w:rPr>
          <w:lang w:val="en-CA"/>
        </w:rPr>
        <w:t xml:space="preserve">Alma, </w:t>
      </w:r>
      <w:r w:rsidR="006463F8" w:rsidRPr="000D1EAA">
        <w:rPr>
          <w:lang w:val="en-CA"/>
        </w:rPr>
        <w:t xml:space="preserve">which granted </w:t>
      </w:r>
      <w:r w:rsidR="008C3DC5">
        <w:rPr>
          <w:lang w:val="en-CA"/>
        </w:rPr>
        <w:t>the Crown’s</w:t>
      </w:r>
      <w:r w:rsidR="006463F8" w:rsidRPr="000D1EAA">
        <w:rPr>
          <w:lang w:val="en-CA"/>
        </w:rPr>
        <w:t xml:space="preserve"> </w:t>
      </w:r>
      <w:r w:rsidR="003F7B75" w:rsidRPr="000D1EAA">
        <w:rPr>
          <w:i/>
          <w:lang w:val="en-CA"/>
        </w:rPr>
        <w:t>certiorari</w:t>
      </w:r>
      <w:r w:rsidR="003F7B75" w:rsidRPr="000D1EAA">
        <w:rPr>
          <w:lang w:val="en-CA"/>
        </w:rPr>
        <w:t xml:space="preserve"> </w:t>
      </w:r>
      <w:r w:rsidR="008C3DC5" w:rsidRPr="000D1EAA">
        <w:rPr>
          <w:lang w:val="en-CA"/>
        </w:rPr>
        <w:t>application</w:t>
      </w:r>
      <w:r w:rsidR="008C3DC5">
        <w:rPr>
          <w:lang w:val="en-CA"/>
        </w:rPr>
        <w:t xml:space="preserve"> </w:t>
      </w:r>
      <w:r w:rsidR="006463F8" w:rsidRPr="000D1EAA">
        <w:rPr>
          <w:lang w:val="en-CA"/>
        </w:rPr>
        <w:t xml:space="preserve">against a judgment </w:t>
      </w:r>
      <w:r w:rsidR="00D07FD3">
        <w:rPr>
          <w:lang w:val="en-CA"/>
        </w:rPr>
        <w:t xml:space="preserve">rendered </w:t>
      </w:r>
      <w:r w:rsidR="006463F8" w:rsidRPr="000D1EAA">
        <w:rPr>
          <w:lang w:val="en-CA"/>
        </w:rPr>
        <w:t xml:space="preserve">by the </w:t>
      </w:r>
      <w:r w:rsidR="007D535C">
        <w:rPr>
          <w:rFonts w:cs="Arial"/>
          <w:szCs w:val="24"/>
          <w:lang w:val="en-CA"/>
        </w:rPr>
        <w:t>Court of Québec</w:t>
      </w:r>
      <w:r w:rsidR="008F5A6C" w:rsidRPr="000D1EAA">
        <w:rPr>
          <w:rFonts w:cs="Arial"/>
          <w:szCs w:val="24"/>
          <w:lang w:val="en-CA"/>
        </w:rPr>
        <w:t xml:space="preserve"> </w:t>
      </w:r>
      <w:r w:rsidR="00981BA5">
        <w:rPr>
          <w:rFonts w:cs="Arial"/>
          <w:szCs w:val="24"/>
          <w:lang w:val="en-CA"/>
        </w:rPr>
        <w:t>after</w:t>
      </w:r>
      <w:r w:rsidR="006463F8" w:rsidRPr="000D1EAA">
        <w:rPr>
          <w:rFonts w:cs="Arial"/>
          <w:szCs w:val="24"/>
          <w:lang w:val="en-CA"/>
        </w:rPr>
        <w:t xml:space="preserve"> a </w:t>
      </w:r>
      <w:r w:rsidR="008C3DC5">
        <w:rPr>
          <w:rFonts w:cs="Arial"/>
          <w:szCs w:val="24"/>
          <w:lang w:val="en-CA"/>
        </w:rPr>
        <w:t>guilty plea</w:t>
      </w:r>
      <w:r w:rsidR="005F122E">
        <w:rPr>
          <w:rFonts w:cs="Arial"/>
          <w:szCs w:val="24"/>
          <w:lang w:val="en-CA"/>
        </w:rPr>
        <w:t xml:space="preserve"> </w:t>
      </w:r>
      <w:r w:rsidR="00981BA5">
        <w:rPr>
          <w:rFonts w:cs="Arial"/>
          <w:szCs w:val="24"/>
          <w:lang w:val="en-CA"/>
        </w:rPr>
        <w:t>to</w:t>
      </w:r>
      <w:r w:rsidR="006463F8" w:rsidRPr="000D1EAA">
        <w:rPr>
          <w:rFonts w:cs="Arial"/>
          <w:szCs w:val="24"/>
          <w:lang w:val="en-CA"/>
        </w:rPr>
        <w:t xml:space="preserve"> a charge of </w:t>
      </w:r>
      <w:r w:rsidR="003B1D5D">
        <w:rPr>
          <w:rFonts w:cs="Arial"/>
          <w:szCs w:val="24"/>
          <w:lang w:val="en-CA"/>
        </w:rPr>
        <w:t>impaired driving</w:t>
      </w:r>
      <w:r w:rsidR="006463F8" w:rsidRPr="000D1EAA">
        <w:rPr>
          <w:rFonts w:cs="Arial"/>
          <w:szCs w:val="24"/>
          <w:lang w:val="en-CA"/>
        </w:rPr>
        <w:t>.</w:t>
      </w:r>
    </w:p>
    <w:p w14:paraId="518C6DDA" w14:textId="6A0AFFCB" w:rsidR="00F42B92" w:rsidRPr="000D1EAA" w:rsidRDefault="006463F8" w:rsidP="007D5826">
      <w:pPr>
        <w:pStyle w:val="Paragraphe"/>
        <w:spacing w:line="240" w:lineRule="auto"/>
        <w:rPr>
          <w:rFonts w:asciiTheme="minorHAnsi" w:eastAsiaTheme="minorHAnsi" w:hAnsiTheme="minorHAnsi" w:cstheme="minorBidi"/>
          <w:b/>
          <w:sz w:val="22"/>
          <w:szCs w:val="22"/>
          <w:lang w:val="en-CA" w:eastAsia="en-US"/>
        </w:rPr>
      </w:pPr>
      <w:r w:rsidRPr="000D1EAA">
        <w:rPr>
          <w:lang w:val="en-CA"/>
        </w:rPr>
        <w:t xml:space="preserve">For the reasons of </w:t>
      </w:r>
      <w:proofErr w:type="spellStart"/>
      <w:r w:rsidR="003F7B75" w:rsidRPr="000D1EAA">
        <w:rPr>
          <w:lang w:val="en-CA"/>
        </w:rPr>
        <w:t>Mainville</w:t>
      </w:r>
      <w:proofErr w:type="spellEnd"/>
      <w:r w:rsidRPr="000D1EAA">
        <w:rPr>
          <w:lang w:val="en-CA"/>
        </w:rPr>
        <w:t xml:space="preserve"> J.A.</w:t>
      </w:r>
      <w:r w:rsidR="003F7B75" w:rsidRPr="000D1EAA">
        <w:rPr>
          <w:lang w:val="en-CA"/>
        </w:rPr>
        <w:t xml:space="preserve">, Hamilton </w:t>
      </w:r>
      <w:r w:rsidRPr="000D1EAA">
        <w:rPr>
          <w:lang w:val="en-CA"/>
        </w:rPr>
        <w:t xml:space="preserve">and </w:t>
      </w:r>
      <w:proofErr w:type="spellStart"/>
      <w:r w:rsidR="003F7B75" w:rsidRPr="000D1EAA">
        <w:rPr>
          <w:lang w:val="en-CA"/>
        </w:rPr>
        <w:t>Lavallée</w:t>
      </w:r>
      <w:proofErr w:type="spellEnd"/>
      <w:r w:rsidRPr="000D1EAA">
        <w:rPr>
          <w:lang w:val="en-CA"/>
        </w:rPr>
        <w:t xml:space="preserve"> </w:t>
      </w:r>
      <w:proofErr w:type="spellStart"/>
      <w:r w:rsidRPr="000D1EAA">
        <w:rPr>
          <w:lang w:val="en-CA"/>
        </w:rPr>
        <w:t>JJ.A</w:t>
      </w:r>
      <w:proofErr w:type="spellEnd"/>
      <w:r w:rsidRPr="000D1EAA">
        <w:rPr>
          <w:lang w:val="en-CA"/>
        </w:rPr>
        <w:t>.</w:t>
      </w:r>
      <w:r w:rsidR="00DF3B9C">
        <w:rPr>
          <w:lang w:val="en-CA"/>
        </w:rPr>
        <w:t xml:space="preserve"> concurring</w:t>
      </w:r>
      <w:r w:rsidR="00BE4D03" w:rsidRPr="000D1EAA">
        <w:rPr>
          <w:lang w:val="en-CA"/>
        </w:rPr>
        <w:t>,</w:t>
      </w:r>
      <w:r w:rsidR="003F7B75" w:rsidRPr="000D1EAA">
        <w:rPr>
          <w:lang w:val="en-CA"/>
        </w:rPr>
        <w:t xml:space="preserve"> </w:t>
      </w:r>
      <w:r w:rsidRPr="000D1EAA">
        <w:rPr>
          <w:b/>
          <w:lang w:val="en-CA"/>
        </w:rPr>
        <w:t xml:space="preserve">THE </w:t>
      </w:r>
      <w:r w:rsidR="003F7B75" w:rsidRPr="000D1EAA">
        <w:rPr>
          <w:b/>
          <w:lang w:val="en-CA"/>
        </w:rPr>
        <w:t xml:space="preserve"> COUR</w:t>
      </w:r>
      <w:r w:rsidRPr="000D1EAA">
        <w:rPr>
          <w:b/>
          <w:lang w:val="en-CA"/>
        </w:rPr>
        <w:t>T</w:t>
      </w:r>
      <w:r w:rsidR="003F7B75" w:rsidRPr="000D1EAA">
        <w:rPr>
          <w:b/>
          <w:lang w:val="en-CA"/>
        </w:rPr>
        <w:t>:</w:t>
      </w:r>
    </w:p>
    <w:p w14:paraId="135F2621" w14:textId="0BF91BD7" w:rsidR="008F364A" w:rsidRPr="000D1EAA" w:rsidRDefault="006463F8" w:rsidP="007D5826">
      <w:pPr>
        <w:pStyle w:val="Paragraphe"/>
        <w:spacing w:line="240" w:lineRule="auto"/>
        <w:rPr>
          <w:lang w:val="en-CA"/>
        </w:rPr>
      </w:pPr>
      <w:r w:rsidRPr="000D1EAA">
        <w:rPr>
          <w:b/>
          <w:lang w:val="en-CA"/>
        </w:rPr>
        <w:lastRenderedPageBreak/>
        <w:t>DISMISSES</w:t>
      </w:r>
      <w:r w:rsidR="003F7B75" w:rsidRPr="000D1EAA">
        <w:rPr>
          <w:lang w:val="en-CA"/>
        </w:rPr>
        <w:t xml:space="preserve"> </w:t>
      </w:r>
      <w:r w:rsidRPr="000D1EAA">
        <w:rPr>
          <w:lang w:val="en-CA"/>
        </w:rPr>
        <w:t>the appeal</w:t>
      </w:r>
      <w:r w:rsidR="003F7B75" w:rsidRPr="000D1EAA">
        <w:rPr>
          <w:lang w:val="en-CA"/>
        </w:rPr>
        <w:t>.</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5B2C47" w:rsidRPr="000D1EAA" w14:paraId="601B7321" w14:textId="77777777" w:rsidTr="003E3239">
        <w:trPr>
          <w:trHeight w:val="576"/>
        </w:trPr>
        <w:tc>
          <w:tcPr>
            <w:tcW w:w="9362" w:type="dxa"/>
            <w:gridSpan w:val="3"/>
            <w:tcBorders>
              <w:top w:val="nil"/>
              <w:bottom w:val="nil"/>
            </w:tcBorders>
          </w:tcPr>
          <w:p w14:paraId="444682F9" w14:textId="77777777" w:rsidR="008F364A" w:rsidRPr="000D1EAA" w:rsidRDefault="008F364A">
            <w:pPr>
              <w:keepNext/>
              <w:rPr>
                <w:lang w:val="en-CA"/>
              </w:rPr>
            </w:pPr>
          </w:p>
        </w:tc>
      </w:tr>
      <w:tr w:rsidR="005B2C47" w:rsidRPr="000D1EAA" w14:paraId="64BB993B" w14:textId="77777777" w:rsidTr="00117914">
        <w:trPr>
          <w:trHeight w:val="283"/>
        </w:trPr>
        <w:tc>
          <w:tcPr>
            <w:tcW w:w="4682" w:type="dxa"/>
            <w:gridSpan w:val="2"/>
            <w:tcBorders>
              <w:top w:val="nil"/>
              <w:bottom w:val="nil"/>
            </w:tcBorders>
          </w:tcPr>
          <w:p w14:paraId="181CAFAD" w14:textId="77777777" w:rsidR="008F364A" w:rsidRPr="000D1EAA" w:rsidRDefault="008F364A">
            <w:pPr>
              <w:keepNext/>
              <w:rPr>
                <w:lang w:val="en-CA"/>
              </w:rPr>
            </w:pPr>
          </w:p>
        </w:tc>
        <w:tc>
          <w:tcPr>
            <w:tcW w:w="4680" w:type="dxa"/>
            <w:tcBorders>
              <w:top w:val="nil"/>
              <w:bottom w:val="single" w:sz="8" w:space="0" w:color="auto"/>
            </w:tcBorders>
          </w:tcPr>
          <w:p w14:paraId="1F8C4EE6" w14:textId="77777777" w:rsidR="008F364A" w:rsidRPr="000D1EAA" w:rsidRDefault="008F364A">
            <w:pPr>
              <w:keepNext/>
              <w:rPr>
                <w:lang w:val="en-CA"/>
              </w:rPr>
            </w:pPr>
          </w:p>
        </w:tc>
      </w:tr>
      <w:tr w:rsidR="005B2C47" w:rsidRPr="000D1EAA" w14:paraId="2D863240" w14:textId="77777777" w:rsidTr="00117914">
        <w:trPr>
          <w:trHeight w:val="283"/>
        </w:trPr>
        <w:tc>
          <w:tcPr>
            <w:tcW w:w="4682" w:type="dxa"/>
            <w:gridSpan w:val="2"/>
            <w:tcBorders>
              <w:top w:val="nil"/>
            </w:tcBorders>
          </w:tcPr>
          <w:p w14:paraId="0BF257CF" w14:textId="77777777" w:rsidR="008F364A" w:rsidRPr="000D1EAA" w:rsidRDefault="008F364A">
            <w:pPr>
              <w:keepNext/>
              <w:rPr>
                <w:lang w:val="en-CA"/>
              </w:rPr>
            </w:pPr>
          </w:p>
        </w:tc>
        <w:tc>
          <w:tcPr>
            <w:tcW w:w="4680" w:type="dxa"/>
            <w:tcBorders>
              <w:top w:val="single" w:sz="8" w:space="0" w:color="auto"/>
            </w:tcBorders>
          </w:tcPr>
          <w:p w14:paraId="6B1F5ED6" w14:textId="3E564ABA" w:rsidR="008F364A" w:rsidRPr="003D4FFF" w:rsidRDefault="003F7B75">
            <w:r w:rsidRPr="003D4FFF">
              <w:t xml:space="preserve">ROBERT M. MAINVILLE, </w:t>
            </w:r>
            <w:proofErr w:type="spellStart"/>
            <w:r w:rsidR="001740F2" w:rsidRPr="003D4FFF">
              <w:t>J.A</w:t>
            </w:r>
            <w:proofErr w:type="spellEnd"/>
            <w:r w:rsidR="001740F2" w:rsidRPr="003D4FFF">
              <w:t>.</w:t>
            </w:r>
          </w:p>
        </w:tc>
      </w:tr>
      <w:tr w:rsidR="005B2C47" w:rsidRPr="000D1EAA" w14:paraId="7D95FDCE" w14:textId="77777777" w:rsidTr="00117914">
        <w:trPr>
          <w:trHeight w:val="283"/>
        </w:trPr>
        <w:tc>
          <w:tcPr>
            <w:tcW w:w="4682" w:type="dxa"/>
            <w:gridSpan w:val="2"/>
            <w:tcBorders>
              <w:top w:val="nil"/>
            </w:tcBorders>
          </w:tcPr>
          <w:p w14:paraId="10429A7E" w14:textId="77777777" w:rsidR="008F364A" w:rsidRPr="003D4FFF" w:rsidRDefault="008F364A">
            <w:pPr>
              <w:keepNext/>
            </w:pPr>
            <w:bookmarkStart w:id="10" w:name="Signature2"/>
          </w:p>
        </w:tc>
        <w:tc>
          <w:tcPr>
            <w:tcW w:w="4680" w:type="dxa"/>
            <w:tcBorders>
              <w:top w:val="nil"/>
            </w:tcBorders>
          </w:tcPr>
          <w:p w14:paraId="662D940F" w14:textId="77777777" w:rsidR="008F364A" w:rsidRPr="003D4FFF" w:rsidRDefault="008F364A">
            <w:pPr>
              <w:keepNext/>
            </w:pPr>
          </w:p>
        </w:tc>
      </w:tr>
      <w:tr w:rsidR="005B2C47" w:rsidRPr="000D1EAA" w14:paraId="525A561F" w14:textId="77777777" w:rsidTr="00117914">
        <w:trPr>
          <w:trHeight w:val="283"/>
        </w:trPr>
        <w:tc>
          <w:tcPr>
            <w:tcW w:w="4682" w:type="dxa"/>
            <w:gridSpan w:val="2"/>
            <w:tcBorders>
              <w:top w:val="nil"/>
              <w:bottom w:val="nil"/>
            </w:tcBorders>
          </w:tcPr>
          <w:p w14:paraId="7E36B96C" w14:textId="77777777" w:rsidR="008F364A" w:rsidRPr="003D4FFF" w:rsidRDefault="008F364A">
            <w:pPr>
              <w:keepNext/>
            </w:pPr>
          </w:p>
        </w:tc>
        <w:tc>
          <w:tcPr>
            <w:tcW w:w="4680" w:type="dxa"/>
            <w:tcBorders>
              <w:top w:val="nil"/>
              <w:bottom w:val="single" w:sz="8" w:space="0" w:color="auto"/>
            </w:tcBorders>
          </w:tcPr>
          <w:p w14:paraId="14747287" w14:textId="77777777" w:rsidR="008F364A" w:rsidRPr="003D4FFF" w:rsidRDefault="008F364A">
            <w:pPr>
              <w:keepNext/>
            </w:pPr>
          </w:p>
        </w:tc>
      </w:tr>
      <w:tr w:rsidR="005B2C47" w:rsidRPr="00F6241B" w14:paraId="4F2DD7C9" w14:textId="77777777" w:rsidTr="00117914">
        <w:trPr>
          <w:trHeight w:val="283"/>
        </w:trPr>
        <w:tc>
          <w:tcPr>
            <w:tcW w:w="4682" w:type="dxa"/>
            <w:gridSpan w:val="2"/>
            <w:tcBorders>
              <w:top w:val="nil"/>
            </w:tcBorders>
          </w:tcPr>
          <w:p w14:paraId="6EA6BC20" w14:textId="77777777" w:rsidR="008F364A" w:rsidRPr="003D4FFF" w:rsidRDefault="008F364A">
            <w:pPr>
              <w:keepNext/>
            </w:pPr>
          </w:p>
        </w:tc>
        <w:tc>
          <w:tcPr>
            <w:tcW w:w="4680" w:type="dxa"/>
            <w:tcBorders>
              <w:top w:val="single" w:sz="8" w:space="0" w:color="auto"/>
            </w:tcBorders>
          </w:tcPr>
          <w:p w14:paraId="0D8C01CD" w14:textId="5FC8A7F0" w:rsidR="008F364A" w:rsidRPr="000D1EAA" w:rsidRDefault="003F7B75">
            <w:pPr>
              <w:keepNext/>
              <w:rPr>
                <w:lang w:val="en-CA"/>
              </w:rPr>
            </w:pPr>
            <w:r w:rsidRPr="000D1EAA">
              <w:rPr>
                <w:lang w:val="en-CA"/>
              </w:rPr>
              <w:t xml:space="preserve">STEPHEN W. HAMILTON, </w:t>
            </w:r>
            <w:r w:rsidR="001740F2" w:rsidRPr="000D1EAA">
              <w:rPr>
                <w:lang w:val="en-CA"/>
              </w:rPr>
              <w:t>J.A.</w:t>
            </w:r>
          </w:p>
        </w:tc>
      </w:tr>
      <w:tr w:rsidR="005B2C47" w:rsidRPr="00F6241B" w14:paraId="385F087F" w14:textId="77777777" w:rsidTr="00117914">
        <w:trPr>
          <w:trHeight w:val="283"/>
        </w:trPr>
        <w:tc>
          <w:tcPr>
            <w:tcW w:w="4682" w:type="dxa"/>
            <w:gridSpan w:val="2"/>
            <w:tcBorders>
              <w:top w:val="nil"/>
            </w:tcBorders>
          </w:tcPr>
          <w:p w14:paraId="2CBC0A58" w14:textId="77777777" w:rsidR="008F364A" w:rsidRPr="000D1EAA" w:rsidRDefault="008F364A">
            <w:pPr>
              <w:keepNext/>
              <w:rPr>
                <w:lang w:val="en-CA"/>
              </w:rPr>
            </w:pPr>
            <w:bookmarkStart w:id="11" w:name="Signature3"/>
            <w:bookmarkEnd w:id="10"/>
          </w:p>
        </w:tc>
        <w:tc>
          <w:tcPr>
            <w:tcW w:w="4680" w:type="dxa"/>
            <w:tcBorders>
              <w:top w:val="nil"/>
            </w:tcBorders>
          </w:tcPr>
          <w:p w14:paraId="44E5A105" w14:textId="77777777" w:rsidR="008F364A" w:rsidRPr="000D1EAA" w:rsidRDefault="008F364A">
            <w:pPr>
              <w:keepNext/>
              <w:rPr>
                <w:lang w:val="en-CA"/>
              </w:rPr>
            </w:pPr>
          </w:p>
        </w:tc>
      </w:tr>
      <w:tr w:rsidR="005B2C47" w:rsidRPr="00F6241B" w14:paraId="56DCB68F" w14:textId="77777777" w:rsidTr="00117914">
        <w:trPr>
          <w:trHeight w:val="283"/>
        </w:trPr>
        <w:tc>
          <w:tcPr>
            <w:tcW w:w="4682" w:type="dxa"/>
            <w:gridSpan w:val="2"/>
            <w:tcBorders>
              <w:top w:val="nil"/>
              <w:bottom w:val="nil"/>
            </w:tcBorders>
          </w:tcPr>
          <w:p w14:paraId="30D5B526" w14:textId="77777777" w:rsidR="008F364A" w:rsidRPr="000D1EAA" w:rsidRDefault="008F364A">
            <w:pPr>
              <w:keepNext/>
              <w:rPr>
                <w:lang w:val="en-CA"/>
              </w:rPr>
            </w:pPr>
          </w:p>
        </w:tc>
        <w:tc>
          <w:tcPr>
            <w:tcW w:w="4680" w:type="dxa"/>
            <w:tcBorders>
              <w:top w:val="nil"/>
              <w:bottom w:val="single" w:sz="8" w:space="0" w:color="auto"/>
            </w:tcBorders>
          </w:tcPr>
          <w:p w14:paraId="11933173" w14:textId="77777777" w:rsidR="008F364A" w:rsidRPr="000D1EAA" w:rsidRDefault="008F364A">
            <w:pPr>
              <w:keepNext/>
              <w:rPr>
                <w:lang w:val="en-CA"/>
              </w:rPr>
            </w:pPr>
          </w:p>
        </w:tc>
      </w:tr>
      <w:tr w:rsidR="005B2C47" w:rsidRPr="000D1EAA" w14:paraId="367AE189" w14:textId="77777777" w:rsidTr="00117914">
        <w:trPr>
          <w:trHeight w:val="283"/>
        </w:trPr>
        <w:tc>
          <w:tcPr>
            <w:tcW w:w="4682" w:type="dxa"/>
            <w:gridSpan w:val="2"/>
            <w:tcBorders>
              <w:top w:val="nil"/>
            </w:tcBorders>
          </w:tcPr>
          <w:p w14:paraId="6C54651D" w14:textId="77777777" w:rsidR="008F364A" w:rsidRPr="000D1EAA" w:rsidRDefault="008F364A">
            <w:pPr>
              <w:keepNext/>
              <w:rPr>
                <w:lang w:val="en-CA"/>
              </w:rPr>
            </w:pPr>
          </w:p>
        </w:tc>
        <w:tc>
          <w:tcPr>
            <w:tcW w:w="4680" w:type="dxa"/>
            <w:tcBorders>
              <w:top w:val="single" w:sz="8" w:space="0" w:color="auto"/>
            </w:tcBorders>
          </w:tcPr>
          <w:p w14:paraId="7CB7E937" w14:textId="2CF35B37" w:rsidR="008F364A" w:rsidRPr="000D1EAA" w:rsidRDefault="003F7B75">
            <w:pPr>
              <w:keepNext/>
              <w:rPr>
                <w:lang w:val="en-CA"/>
              </w:rPr>
            </w:pPr>
            <w:r w:rsidRPr="000D1EAA">
              <w:rPr>
                <w:lang w:val="en-CA"/>
              </w:rPr>
              <w:t xml:space="preserve">SOPHIE </w:t>
            </w:r>
            <w:proofErr w:type="spellStart"/>
            <w:r w:rsidRPr="000D1EAA">
              <w:rPr>
                <w:lang w:val="en-CA"/>
              </w:rPr>
              <w:t>LAVALLÉE</w:t>
            </w:r>
            <w:proofErr w:type="spellEnd"/>
            <w:r w:rsidRPr="000D1EAA">
              <w:rPr>
                <w:lang w:val="en-CA"/>
              </w:rPr>
              <w:t xml:space="preserve">, </w:t>
            </w:r>
            <w:r w:rsidR="001740F2" w:rsidRPr="000D1EAA">
              <w:rPr>
                <w:lang w:val="en-CA"/>
              </w:rPr>
              <w:t>J.A.</w:t>
            </w:r>
          </w:p>
        </w:tc>
      </w:tr>
      <w:bookmarkEnd w:id="11"/>
      <w:tr w:rsidR="005B2C47" w:rsidRPr="000D1EAA" w14:paraId="4711660D" w14:textId="77777777" w:rsidTr="00423DF1">
        <w:tc>
          <w:tcPr>
            <w:tcW w:w="9362" w:type="dxa"/>
            <w:gridSpan w:val="3"/>
          </w:tcPr>
          <w:p w14:paraId="232B16AB" w14:textId="77777777" w:rsidR="005A78BF" w:rsidRPr="000D1EAA" w:rsidRDefault="005A78BF" w:rsidP="005A78BF">
            <w:pPr>
              <w:rPr>
                <w:lang w:val="en-CA"/>
              </w:rPr>
            </w:pPr>
          </w:p>
        </w:tc>
      </w:tr>
      <w:tr w:rsidR="005B2C47" w:rsidRPr="000D1EAA" w14:paraId="62E97F27" w14:textId="77777777" w:rsidTr="00423DF1">
        <w:tc>
          <w:tcPr>
            <w:tcW w:w="9362" w:type="dxa"/>
            <w:gridSpan w:val="3"/>
          </w:tcPr>
          <w:p w14:paraId="0184E8F4" w14:textId="77777777" w:rsidR="00D33A55" w:rsidRPr="000D1EAA" w:rsidRDefault="00D33A55" w:rsidP="005A78BF">
            <w:pPr>
              <w:rPr>
                <w:lang w:val="en-CA"/>
              </w:rPr>
            </w:pPr>
          </w:p>
        </w:tc>
      </w:tr>
      <w:tr w:rsidR="005B2C47" w:rsidRPr="000D1EAA" w14:paraId="067232D0" w14:textId="77777777" w:rsidTr="00423DF1">
        <w:tc>
          <w:tcPr>
            <w:tcW w:w="9362" w:type="dxa"/>
            <w:gridSpan w:val="3"/>
          </w:tcPr>
          <w:p w14:paraId="32BFE2F2" w14:textId="77777777" w:rsidR="00514E9A" w:rsidRPr="000D1EAA" w:rsidRDefault="00514E9A" w:rsidP="005A78BF">
            <w:pPr>
              <w:rPr>
                <w:lang w:val="en-CA"/>
              </w:rPr>
            </w:pPr>
          </w:p>
        </w:tc>
      </w:tr>
      <w:tr w:rsidR="005B2C47" w:rsidRPr="000D1EAA" w14:paraId="288383A1" w14:textId="77777777" w:rsidTr="00423DF1">
        <w:tc>
          <w:tcPr>
            <w:tcW w:w="9362" w:type="dxa"/>
            <w:gridSpan w:val="3"/>
          </w:tcPr>
          <w:p w14:paraId="66140152" w14:textId="77777777" w:rsidR="00514E9A" w:rsidRPr="000D1EAA" w:rsidRDefault="00514E9A" w:rsidP="005A78BF">
            <w:pPr>
              <w:rPr>
                <w:lang w:val="en-CA"/>
              </w:rPr>
            </w:pPr>
          </w:p>
        </w:tc>
      </w:tr>
      <w:tr w:rsidR="005B2C47" w:rsidRPr="000D1EAA" w14:paraId="132AF3EA" w14:textId="77777777" w:rsidTr="00423DF1">
        <w:tc>
          <w:tcPr>
            <w:tcW w:w="9362" w:type="dxa"/>
            <w:gridSpan w:val="3"/>
          </w:tcPr>
          <w:p w14:paraId="585D6CFC" w14:textId="77777777" w:rsidR="00D33A55" w:rsidRPr="000D1EAA" w:rsidRDefault="00D33A55" w:rsidP="005A78BF">
            <w:pPr>
              <w:rPr>
                <w:lang w:val="en-CA"/>
              </w:rPr>
            </w:pPr>
          </w:p>
        </w:tc>
      </w:tr>
      <w:tr w:rsidR="005B2C47" w:rsidRPr="000D1EAA" w14:paraId="2232BFE7" w14:textId="77777777" w:rsidTr="00423DF1">
        <w:tc>
          <w:tcPr>
            <w:tcW w:w="9362" w:type="dxa"/>
            <w:gridSpan w:val="3"/>
          </w:tcPr>
          <w:p w14:paraId="71DC0EDA" w14:textId="76E71615" w:rsidR="005A78BF" w:rsidRPr="000D1EAA" w:rsidRDefault="003F7B75" w:rsidP="005A78BF">
            <w:pPr>
              <w:pStyle w:val="zSoquijdatNomProcureurDem"/>
              <w:rPr>
                <w:lang w:val="en-CA"/>
              </w:rPr>
            </w:pPr>
            <w:r w:rsidRPr="000D1EAA">
              <w:rPr>
                <w:lang w:val="en-CA"/>
              </w:rPr>
              <w:t>M</w:t>
            </w:r>
            <w:r w:rsidR="006463F8" w:rsidRPr="000D1EAA">
              <w:rPr>
                <w:lang w:val="en-CA"/>
              </w:rPr>
              <w:t>tr</w:t>
            </w:r>
            <w:r w:rsidRPr="000D1EAA">
              <w:rPr>
                <w:lang w:val="en-CA"/>
              </w:rPr>
              <w:t>e Jean-Marc Fradette</w:t>
            </w:r>
          </w:p>
        </w:tc>
      </w:tr>
      <w:tr w:rsidR="005B2C47" w:rsidRPr="000D1EAA" w14:paraId="54134E04" w14:textId="77777777" w:rsidTr="00423DF1">
        <w:tc>
          <w:tcPr>
            <w:tcW w:w="9362" w:type="dxa"/>
            <w:gridSpan w:val="3"/>
          </w:tcPr>
          <w:p w14:paraId="0FF8BA64" w14:textId="357E7C67" w:rsidR="00F42B92" w:rsidRPr="000D1EAA" w:rsidRDefault="003F7B75" w:rsidP="005A78BF">
            <w:pPr>
              <w:pStyle w:val="zSoquijdatNomProcureurDem"/>
              <w:rPr>
                <w:lang w:val="en-CA"/>
              </w:rPr>
            </w:pPr>
            <w:r w:rsidRPr="000D1EAA">
              <w:rPr>
                <w:lang w:val="en-CA"/>
              </w:rPr>
              <w:t>M</w:t>
            </w:r>
            <w:r w:rsidR="006463F8" w:rsidRPr="000D1EAA">
              <w:rPr>
                <w:lang w:val="en-CA"/>
              </w:rPr>
              <w:t>tr</w:t>
            </w:r>
            <w:r w:rsidRPr="000D1EAA">
              <w:rPr>
                <w:lang w:val="en-CA"/>
              </w:rPr>
              <w:t>e Ariane Bergeron</w:t>
            </w:r>
          </w:p>
        </w:tc>
      </w:tr>
      <w:tr w:rsidR="005B2C47" w:rsidRPr="000D1EAA" w14:paraId="660FB9CB" w14:textId="77777777" w:rsidTr="00423DF1">
        <w:tc>
          <w:tcPr>
            <w:tcW w:w="9362" w:type="dxa"/>
            <w:gridSpan w:val="3"/>
          </w:tcPr>
          <w:p w14:paraId="03A4D86F" w14:textId="77777777" w:rsidR="005A78BF" w:rsidRPr="000D1EAA" w:rsidRDefault="003F7B75" w:rsidP="005A78BF">
            <w:pPr>
              <w:pStyle w:val="zSoquijdatCabinetProcureurDem"/>
              <w:rPr>
                <w:lang w:val="en-CA"/>
              </w:rPr>
            </w:pPr>
            <w:r w:rsidRPr="000D1EAA">
              <w:rPr>
                <w:lang w:val="en-CA"/>
              </w:rPr>
              <w:t>FRADETTE &amp; LE BEL, AVOCATS</w:t>
            </w:r>
          </w:p>
        </w:tc>
      </w:tr>
      <w:tr w:rsidR="005B2C47" w:rsidRPr="000D1EAA" w14:paraId="2CB00B06" w14:textId="77777777" w:rsidTr="00423DF1">
        <w:tc>
          <w:tcPr>
            <w:tcW w:w="9362" w:type="dxa"/>
            <w:gridSpan w:val="3"/>
          </w:tcPr>
          <w:p w14:paraId="045785AE" w14:textId="4C7BD3EA" w:rsidR="005A78BF" w:rsidRPr="000D1EAA" w:rsidRDefault="006463F8" w:rsidP="005A78BF">
            <w:pPr>
              <w:pStyle w:val="zSoquijlblProcureurDem"/>
              <w:rPr>
                <w:lang w:val="en-CA"/>
              </w:rPr>
            </w:pPr>
            <w:r w:rsidRPr="000D1EAA">
              <w:rPr>
                <w:lang w:val="en-CA"/>
              </w:rPr>
              <w:t>For the appellant</w:t>
            </w:r>
          </w:p>
        </w:tc>
      </w:tr>
      <w:tr w:rsidR="005B2C47" w:rsidRPr="000D1EAA" w14:paraId="3D682E8A" w14:textId="77777777" w:rsidTr="00423DF1">
        <w:tc>
          <w:tcPr>
            <w:tcW w:w="9362" w:type="dxa"/>
            <w:gridSpan w:val="3"/>
          </w:tcPr>
          <w:p w14:paraId="78A3C276" w14:textId="77777777" w:rsidR="005A78BF" w:rsidRPr="000D1EAA" w:rsidRDefault="005A78BF" w:rsidP="005A78BF">
            <w:pPr>
              <w:rPr>
                <w:lang w:val="en-CA"/>
              </w:rPr>
            </w:pPr>
          </w:p>
        </w:tc>
      </w:tr>
      <w:tr w:rsidR="005B2C47" w:rsidRPr="000D1EAA" w14:paraId="63714806" w14:textId="77777777" w:rsidTr="00423DF1">
        <w:tc>
          <w:tcPr>
            <w:tcW w:w="9362" w:type="dxa"/>
            <w:gridSpan w:val="3"/>
          </w:tcPr>
          <w:p w14:paraId="60CE3FC5" w14:textId="28835462" w:rsidR="005A78BF" w:rsidRPr="000D1EAA" w:rsidRDefault="003F7B75" w:rsidP="00F42B92">
            <w:pPr>
              <w:pStyle w:val="zSoquijdatNomProcureurDef"/>
              <w:rPr>
                <w:lang w:val="en-CA"/>
              </w:rPr>
            </w:pPr>
            <w:r w:rsidRPr="000D1EAA">
              <w:rPr>
                <w:lang w:val="en-CA"/>
              </w:rPr>
              <w:t>M</w:t>
            </w:r>
            <w:r w:rsidR="006463F8" w:rsidRPr="000D1EAA">
              <w:rPr>
                <w:lang w:val="en-CA"/>
              </w:rPr>
              <w:t>tr</w:t>
            </w:r>
            <w:r w:rsidRPr="000D1EAA">
              <w:rPr>
                <w:lang w:val="en-CA"/>
              </w:rPr>
              <w:t xml:space="preserve">e Sébastien </w:t>
            </w:r>
            <w:proofErr w:type="spellStart"/>
            <w:r w:rsidRPr="000D1EAA">
              <w:rPr>
                <w:lang w:val="en-CA"/>
              </w:rPr>
              <w:t>Vallée</w:t>
            </w:r>
            <w:proofErr w:type="spellEnd"/>
          </w:p>
        </w:tc>
      </w:tr>
      <w:tr w:rsidR="005B2C47" w:rsidRPr="00F6241B" w14:paraId="6A017E54" w14:textId="77777777" w:rsidTr="00423DF1">
        <w:tc>
          <w:tcPr>
            <w:tcW w:w="9362" w:type="dxa"/>
            <w:gridSpan w:val="3"/>
          </w:tcPr>
          <w:p w14:paraId="0BE4F7C2" w14:textId="18F5153C" w:rsidR="005A78BF" w:rsidRPr="000D1EAA" w:rsidRDefault="007C62E4" w:rsidP="005A78BF">
            <w:pPr>
              <w:pStyle w:val="zSoquijdatCabinetProcureurDef"/>
              <w:rPr>
                <w:lang w:val="en-CA"/>
              </w:rPr>
            </w:pPr>
            <w:r w:rsidRPr="000D1EAA">
              <w:rPr>
                <w:lang w:val="en-CA"/>
              </w:rPr>
              <w:t>DIRECTOR OF CRIMINAL AND PENAL PROSECUT</w:t>
            </w:r>
            <w:r w:rsidR="001D791D" w:rsidRPr="000D1EAA">
              <w:rPr>
                <w:lang w:val="en-CA"/>
              </w:rPr>
              <w:t>IONS</w:t>
            </w:r>
          </w:p>
        </w:tc>
      </w:tr>
      <w:tr w:rsidR="005B2C47" w:rsidRPr="000D1EAA" w14:paraId="13A27648" w14:textId="77777777" w:rsidTr="00423DF1">
        <w:tc>
          <w:tcPr>
            <w:tcW w:w="9362" w:type="dxa"/>
            <w:gridSpan w:val="3"/>
          </w:tcPr>
          <w:p w14:paraId="565846D6" w14:textId="73CCD6A8" w:rsidR="005A78BF" w:rsidRPr="000D1EAA" w:rsidRDefault="007C62E4" w:rsidP="005A78BF">
            <w:pPr>
              <w:pStyle w:val="zSoquijlblProcureurDef"/>
              <w:rPr>
                <w:lang w:val="en-CA"/>
              </w:rPr>
            </w:pPr>
            <w:r w:rsidRPr="000D1EAA">
              <w:rPr>
                <w:lang w:val="en-CA"/>
              </w:rPr>
              <w:t>For the respondent</w:t>
            </w:r>
          </w:p>
        </w:tc>
      </w:tr>
      <w:tr w:rsidR="005B2C47" w:rsidRPr="000D1EAA" w14:paraId="56F34FFC" w14:textId="77777777" w:rsidTr="00423DF1">
        <w:tc>
          <w:tcPr>
            <w:tcW w:w="9362" w:type="dxa"/>
            <w:gridSpan w:val="3"/>
          </w:tcPr>
          <w:p w14:paraId="5AA06945" w14:textId="77777777" w:rsidR="005A78BF" w:rsidRPr="000D1EAA" w:rsidRDefault="005A78BF" w:rsidP="005A78BF">
            <w:pPr>
              <w:rPr>
                <w:lang w:val="en-CA"/>
              </w:rPr>
            </w:pPr>
          </w:p>
        </w:tc>
      </w:tr>
      <w:tr w:rsidR="005B2C47" w:rsidRPr="000D1EAA" w14:paraId="4DB6691D" w14:textId="77777777" w:rsidTr="00423DF1">
        <w:tc>
          <w:tcPr>
            <w:tcW w:w="1997" w:type="dxa"/>
          </w:tcPr>
          <w:p w14:paraId="4F50612B" w14:textId="1BE96650" w:rsidR="005A78BF" w:rsidRPr="000D1EAA" w:rsidRDefault="003F7B75" w:rsidP="005A78BF">
            <w:pPr>
              <w:pStyle w:val="zSoquijlblDateAudience"/>
              <w:rPr>
                <w:lang w:val="en-CA"/>
              </w:rPr>
            </w:pPr>
            <w:r w:rsidRPr="000D1EAA">
              <w:rPr>
                <w:lang w:val="en-CA"/>
              </w:rPr>
              <w:t xml:space="preserve">Date </w:t>
            </w:r>
            <w:r w:rsidR="006463F8" w:rsidRPr="000D1EAA">
              <w:rPr>
                <w:lang w:val="en-CA"/>
              </w:rPr>
              <w:t>of hearing</w:t>
            </w:r>
            <w:r w:rsidRPr="000D1EAA">
              <w:rPr>
                <w:lang w:val="en-CA"/>
              </w:rPr>
              <w:t>:</w:t>
            </w:r>
          </w:p>
        </w:tc>
        <w:tc>
          <w:tcPr>
            <w:tcW w:w="7365" w:type="dxa"/>
            <w:gridSpan w:val="2"/>
          </w:tcPr>
          <w:p w14:paraId="59AC9AAB" w14:textId="0D2475E2" w:rsidR="005A78BF" w:rsidRPr="000D1EAA" w:rsidRDefault="006463F8" w:rsidP="005A78BF">
            <w:pPr>
              <w:pStyle w:val="zSoquijdatDateAudience"/>
              <w:rPr>
                <w:lang w:val="en-CA"/>
              </w:rPr>
            </w:pPr>
            <w:r w:rsidRPr="000D1EAA">
              <w:rPr>
                <w:lang w:val="en-CA"/>
              </w:rPr>
              <w:t xml:space="preserve">October </w:t>
            </w:r>
            <w:r w:rsidR="003F7B75" w:rsidRPr="000D1EAA">
              <w:rPr>
                <w:lang w:val="en-CA"/>
              </w:rPr>
              <w:t>5</w:t>
            </w:r>
            <w:r w:rsidRPr="000D1EAA">
              <w:rPr>
                <w:lang w:val="en-CA"/>
              </w:rPr>
              <w:t>,</w:t>
            </w:r>
            <w:r w:rsidR="003F7B75" w:rsidRPr="000D1EAA">
              <w:rPr>
                <w:lang w:val="en-CA"/>
              </w:rPr>
              <w:t xml:space="preserve"> 2022</w:t>
            </w:r>
          </w:p>
        </w:tc>
      </w:tr>
    </w:tbl>
    <w:p w14:paraId="69EB52F4" w14:textId="77777777" w:rsidR="00514E9A" w:rsidRPr="000D1EAA" w:rsidRDefault="00514E9A" w:rsidP="00514E9A">
      <w:pPr>
        <w:rPr>
          <w:lang w:val="en-CA"/>
        </w:rPr>
        <w:sectPr w:rsidR="00514E9A" w:rsidRPr="000D1EAA" w:rsidSect="00F43559">
          <w:headerReference w:type="default" r:id="rId8"/>
          <w:pgSz w:w="12242" w:h="15842" w:code="1"/>
          <w:pgMar w:top="1440" w:right="1008" w:bottom="1440" w:left="1872" w:header="1440" w:footer="792" w:gutter="0"/>
          <w:cols w:space="720"/>
          <w:formProt w:val="0"/>
          <w:titlePg/>
        </w:sectPr>
      </w:pPr>
      <w:bookmarkStart w:id="12" w:name="Opinion"/>
      <w:bookmarkEnd w:id="9"/>
    </w:p>
    <w:tbl>
      <w:tblPr>
        <w:tblW w:w="0" w:type="auto"/>
        <w:tblLayout w:type="fixed"/>
        <w:tblCellMar>
          <w:left w:w="0" w:type="dxa"/>
          <w:right w:w="0" w:type="dxa"/>
        </w:tblCellMar>
        <w:tblLook w:val="0000" w:firstRow="0" w:lastRow="0" w:firstColumn="0" w:lastColumn="0" w:noHBand="0" w:noVBand="0"/>
      </w:tblPr>
      <w:tblGrid>
        <w:gridCol w:w="9360"/>
      </w:tblGrid>
      <w:tr w:rsidR="005B2C47" w:rsidRPr="000D1EAA" w14:paraId="65839FB3" w14:textId="77777777" w:rsidTr="00E84569">
        <w:tc>
          <w:tcPr>
            <w:tcW w:w="9360" w:type="dxa"/>
            <w:tcBorders>
              <w:bottom w:val="single" w:sz="8" w:space="0" w:color="auto"/>
            </w:tcBorders>
          </w:tcPr>
          <w:p w14:paraId="03DA372E" w14:textId="77777777" w:rsidR="00514E9A" w:rsidRPr="000D1EAA" w:rsidRDefault="003F7B75" w:rsidP="00E84569">
            <w:pPr>
              <w:rPr>
                <w:lang w:val="en-CA"/>
              </w:rPr>
            </w:pPr>
            <w:r w:rsidRPr="000D1EAA">
              <w:rPr>
                <w:lang w:val="en-CA"/>
              </w:rPr>
              <w:lastRenderedPageBreak/>
              <w:br w:type="page"/>
            </w:r>
          </w:p>
        </w:tc>
      </w:tr>
      <w:tr w:rsidR="005B2C47" w:rsidRPr="000D1EAA" w14:paraId="5E8CA14D" w14:textId="77777777" w:rsidTr="00E84569">
        <w:tc>
          <w:tcPr>
            <w:tcW w:w="9360" w:type="dxa"/>
            <w:tcBorders>
              <w:top w:val="single" w:sz="8" w:space="0" w:color="auto"/>
            </w:tcBorders>
          </w:tcPr>
          <w:p w14:paraId="05927484" w14:textId="77777777" w:rsidR="00514E9A" w:rsidRPr="000D1EAA" w:rsidRDefault="00514E9A" w:rsidP="00E84569">
            <w:pPr>
              <w:rPr>
                <w:lang w:val="en-CA"/>
              </w:rPr>
            </w:pPr>
          </w:p>
        </w:tc>
      </w:tr>
      <w:tr w:rsidR="005B2C47" w:rsidRPr="00F6241B" w14:paraId="41E44782" w14:textId="77777777" w:rsidTr="00E84569">
        <w:tc>
          <w:tcPr>
            <w:tcW w:w="9360" w:type="dxa"/>
          </w:tcPr>
          <w:p w14:paraId="5414ED66" w14:textId="2FA37023" w:rsidR="00514E9A" w:rsidRPr="000D1EAA" w:rsidRDefault="00B74598" w:rsidP="00E84569">
            <w:pPr>
              <w:pStyle w:val="zSoquijlblOpinionJuge"/>
              <w:rPr>
                <w:lang w:val="en-CA"/>
              </w:rPr>
            </w:pPr>
            <w:bookmarkStart w:id="13" w:name="MotifJuge1"/>
            <w:r w:rsidRPr="000D1EAA">
              <w:rPr>
                <w:lang w:val="en-CA"/>
              </w:rPr>
              <w:t xml:space="preserve">REASONS OF </w:t>
            </w:r>
            <w:bookmarkEnd w:id="13"/>
            <w:proofErr w:type="spellStart"/>
            <w:r w:rsidR="00EE3C5D" w:rsidRPr="000D1EAA">
              <w:rPr>
                <w:lang w:val="en-CA"/>
              </w:rPr>
              <w:t>MAINVILLE</w:t>
            </w:r>
            <w:proofErr w:type="spellEnd"/>
            <w:r w:rsidR="00D07FD3">
              <w:rPr>
                <w:lang w:val="en-CA"/>
              </w:rPr>
              <w:t>,</w:t>
            </w:r>
            <w:r w:rsidRPr="000D1EAA">
              <w:rPr>
                <w:lang w:val="en-CA"/>
              </w:rPr>
              <w:t xml:space="preserve"> J.A.</w:t>
            </w:r>
          </w:p>
        </w:tc>
      </w:tr>
      <w:tr w:rsidR="005B2C47" w:rsidRPr="00F6241B" w14:paraId="7FBCC1B9" w14:textId="77777777" w:rsidTr="00E84569">
        <w:tc>
          <w:tcPr>
            <w:tcW w:w="9360" w:type="dxa"/>
            <w:tcBorders>
              <w:bottom w:val="single" w:sz="8" w:space="0" w:color="auto"/>
            </w:tcBorders>
          </w:tcPr>
          <w:p w14:paraId="6D981DD1" w14:textId="77777777" w:rsidR="00514E9A" w:rsidRPr="000D1EAA" w:rsidRDefault="00514E9A" w:rsidP="00E84569">
            <w:pPr>
              <w:rPr>
                <w:lang w:val="en-CA"/>
              </w:rPr>
            </w:pPr>
          </w:p>
        </w:tc>
      </w:tr>
      <w:tr w:rsidR="005B2C47" w:rsidRPr="00F6241B" w14:paraId="2A44BDED" w14:textId="77777777" w:rsidTr="00E84569">
        <w:tc>
          <w:tcPr>
            <w:tcW w:w="9360" w:type="dxa"/>
            <w:tcBorders>
              <w:top w:val="single" w:sz="8" w:space="0" w:color="auto"/>
            </w:tcBorders>
          </w:tcPr>
          <w:p w14:paraId="0760DE81" w14:textId="77777777" w:rsidR="00514E9A" w:rsidRPr="000D1EAA" w:rsidRDefault="00514E9A" w:rsidP="00E84569">
            <w:pPr>
              <w:rPr>
                <w:lang w:val="en-CA"/>
              </w:rPr>
            </w:pPr>
          </w:p>
        </w:tc>
      </w:tr>
    </w:tbl>
    <w:p w14:paraId="2A36F661" w14:textId="02B5A72B" w:rsidR="00514E9A" w:rsidRPr="000D1EAA" w:rsidRDefault="00B74598" w:rsidP="00514E9A">
      <w:pPr>
        <w:pStyle w:val="Paragraphe"/>
        <w:spacing w:before="240" w:line="240" w:lineRule="auto"/>
        <w:rPr>
          <w:lang w:val="en-CA"/>
        </w:rPr>
      </w:pPr>
      <w:r w:rsidRPr="000D1EAA">
        <w:rPr>
          <w:lang w:val="en-CA"/>
        </w:rPr>
        <w:t xml:space="preserve">The appellant </w:t>
      </w:r>
      <w:r w:rsidR="00763DD7" w:rsidRPr="000D1EAA">
        <w:rPr>
          <w:lang w:val="en-CA"/>
        </w:rPr>
        <w:t>appeal</w:t>
      </w:r>
      <w:r w:rsidR="00D07FD3">
        <w:rPr>
          <w:lang w:val="en-CA"/>
        </w:rPr>
        <w:t>s</w:t>
      </w:r>
      <w:r w:rsidRPr="000D1EAA">
        <w:rPr>
          <w:lang w:val="en-CA"/>
        </w:rPr>
        <w:t xml:space="preserve"> pursuant to </w:t>
      </w:r>
      <w:r w:rsidR="00763DD7" w:rsidRPr="000D1EAA">
        <w:rPr>
          <w:lang w:val="en-CA"/>
        </w:rPr>
        <w:t>s. </w:t>
      </w:r>
      <w:r w:rsidRPr="000D1EAA">
        <w:rPr>
          <w:lang w:val="en-CA"/>
        </w:rPr>
        <w:t xml:space="preserve">784(1) </w:t>
      </w:r>
      <w:r w:rsidR="00FF7CA0" w:rsidRPr="00FF7CA0">
        <w:rPr>
          <w:i/>
          <w:iCs/>
          <w:lang w:val="en-CA"/>
        </w:rPr>
        <w:t>Cr. C</w:t>
      </w:r>
      <w:r w:rsidRPr="00DD2614">
        <w:rPr>
          <w:lang w:val="en-CA"/>
        </w:rPr>
        <w:t>.</w:t>
      </w:r>
      <w:r w:rsidRPr="000D1EAA">
        <w:rPr>
          <w:lang w:val="en-CA"/>
        </w:rPr>
        <w:t xml:space="preserve"> from the judgment </w:t>
      </w:r>
      <w:r w:rsidR="00D07FD3">
        <w:rPr>
          <w:lang w:val="en-CA"/>
        </w:rPr>
        <w:t>rendered on</w:t>
      </w:r>
      <w:r w:rsidR="00D07FD3" w:rsidRPr="000D1EAA">
        <w:rPr>
          <w:lang w:val="en-CA"/>
        </w:rPr>
        <w:t xml:space="preserve"> </w:t>
      </w:r>
      <w:r w:rsidRPr="000D1EAA">
        <w:rPr>
          <w:lang w:val="en-CA"/>
        </w:rPr>
        <w:t>December 2,</w:t>
      </w:r>
      <w:r w:rsidR="00DD2614">
        <w:rPr>
          <w:lang w:val="en-CA"/>
        </w:rPr>
        <w:t xml:space="preserve"> </w:t>
      </w:r>
      <w:r w:rsidRPr="000D1EAA">
        <w:rPr>
          <w:lang w:val="en-CA"/>
        </w:rPr>
        <w:t>2021 (</w:t>
      </w:r>
      <w:r w:rsidR="00C37457">
        <w:rPr>
          <w:lang w:val="en-CA"/>
        </w:rPr>
        <w:t>corrected</w:t>
      </w:r>
      <w:r w:rsidRPr="000D1EAA">
        <w:rPr>
          <w:lang w:val="en-CA"/>
        </w:rPr>
        <w:t xml:space="preserve"> on December 3, 2021)</w:t>
      </w:r>
      <w:r w:rsidRPr="000D1EAA">
        <w:rPr>
          <w:rStyle w:val="Appelnotedebasdep"/>
          <w:lang w:val="en-CA"/>
        </w:rPr>
        <w:footnoteReference w:id="1"/>
      </w:r>
      <w:r w:rsidRPr="000D1EAA">
        <w:rPr>
          <w:lang w:val="en-CA"/>
        </w:rPr>
        <w:t xml:space="preserve"> by </w:t>
      </w:r>
      <w:r w:rsidR="00DD2614">
        <w:rPr>
          <w:lang w:val="en-CA"/>
        </w:rPr>
        <w:t>the Honourable</w:t>
      </w:r>
      <w:r w:rsidRPr="000D1EAA">
        <w:rPr>
          <w:lang w:val="en-CA"/>
        </w:rPr>
        <w:t> Raymond</w:t>
      </w:r>
      <w:r w:rsidR="00B03F0F" w:rsidRPr="000D1EAA">
        <w:rPr>
          <w:lang w:val="en-CA"/>
        </w:rPr>
        <w:t> </w:t>
      </w:r>
      <w:r w:rsidRPr="000D1EAA">
        <w:rPr>
          <w:lang w:val="en-CA"/>
        </w:rPr>
        <w:t>W. Pronovost</w:t>
      </w:r>
      <w:r w:rsidR="00D07FD3">
        <w:rPr>
          <w:lang w:val="en-CA"/>
        </w:rPr>
        <w:t xml:space="preserve"> of the Superior Court</w:t>
      </w:r>
      <w:r w:rsidRPr="000D1EAA">
        <w:rPr>
          <w:lang w:val="en-CA"/>
        </w:rPr>
        <w:t xml:space="preserve">, </w:t>
      </w:r>
      <w:r w:rsidR="00DF3B9C">
        <w:rPr>
          <w:lang w:val="en-CA"/>
        </w:rPr>
        <w:t>D</w:t>
      </w:r>
      <w:r w:rsidRPr="000D1EAA">
        <w:rPr>
          <w:lang w:val="en-CA"/>
        </w:rPr>
        <w:t xml:space="preserve">istrict of Alma, </w:t>
      </w:r>
      <w:r w:rsidR="00D07FD3">
        <w:rPr>
          <w:lang w:val="en-CA"/>
        </w:rPr>
        <w:t xml:space="preserve">which </w:t>
      </w:r>
      <w:r w:rsidRPr="000D1EAA">
        <w:rPr>
          <w:lang w:val="en-CA"/>
        </w:rPr>
        <w:t>grant</w:t>
      </w:r>
      <w:r w:rsidR="00D07FD3">
        <w:rPr>
          <w:lang w:val="en-CA"/>
        </w:rPr>
        <w:t>ed</w:t>
      </w:r>
      <w:r w:rsidR="00DF3B9C">
        <w:rPr>
          <w:lang w:val="en-CA"/>
        </w:rPr>
        <w:t xml:space="preserve"> </w:t>
      </w:r>
      <w:r w:rsidR="00981BA5">
        <w:rPr>
          <w:lang w:val="en-CA"/>
        </w:rPr>
        <w:t xml:space="preserve">the </w:t>
      </w:r>
      <w:r w:rsidR="00B61A78">
        <w:rPr>
          <w:lang w:val="en-CA"/>
        </w:rPr>
        <w:t xml:space="preserve">Crown’s </w:t>
      </w:r>
      <w:r w:rsidR="00B61A78" w:rsidRPr="00B00106">
        <w:rPr>
          <w:i/>
          <w:iCs/>
          <w:lang w:val="en-CA"/>
        </w:rPr>
        <w:t>certiorari</w:t>
      </w:r>
      <w:r w:rsidRPr="000D1EAA">
        <w:rPr>
          <w:lang w:val="en-CA"/>
        </w:rPr>
        <w:t xml:space="preserve"> </w:t>
      </w:r>
      <w:r w:rsidR="00981BA5">
        <w:rPr>
          <w:lang w:val="en-CA"/>
        </w:rPr>
        <w:t>application</w:t>
      </w:r>
      <w:r w:rsidRPr="000D1EAA">
        <w:rPr>
          <w:lang w:val="en-CA"/>
        </w:rPr>
        <w:t xml:space="preserve"> against a judgment</w:t>
      </w:r>
      <w:r w:rsidR="00D07FD3">
        <w:rPr>
          <w:lang w:val="en-CA"/>
        </w:rPr>
        <w:t xml:space="preserve"> rendered</w:t>
      </w:r>
      <w:r w:rsidRPr="000D1EAA">
        <w:rPr>
          <w:lang w:val="en-CA"/>
        </w:rPr>
        <w:t xml:space="preserve"> by the </w:t>
      </w:r>
      <w:r w:rsidRPr="000D1EAA">
        <w:rPr>
          <w:rFonts w:cs="Arial"/>
          <w:szCs w:val="24"/>
          <w:lang w:val="en-CA"/>
        </w:rPr>
        <w:t>Court of Qu</w:t>
      </w:r>
      <w:r w:rsidR="007D535C">
        <w:rPr>
          <w:rFonts w:cs="Arial"/>
          <w:szCs w:val="24"/>
          <w:lang w:val="en-CA"/>
        </w:rPr>
        <w:t>é</w:t>
      </w:r>
      <w:r w:rsidRPr="000D1EAA">
        <w:rPr>
          <w:rFonts w:cs="Arial"/>
          <w:szCs w:val="24"/>
          <w:lang w:val="en-CA"/>
        </w:rPr>
        <w:t xml:space="preserve">bec </w:t>
      </w:r>
      <w:r w:rsidR="00981BA5">
        <w:rPr>
          <w:rFonts w:cs="Arial"/>
          <w:szCs w:val="24"/>
          <w:lang w:val="en-CA"/>
        </w:rPr>
        <w:t>after</w:t>
      </w:r>
      <w:r w:rsidRPr="000D1EAA">
        <w:rPr>
          <w:rFonts w:cs="Arial"/>
          <w:szCs w:val="24"/>
          <w:lang w:val="en-CA"/>
        </w:rPr>
        <w:t xml:space="preserve"> a </w:t>
      </w:r>
      <w:r w:rsidR="00981BA5">
        <w:rPr>
          <w:rFonts w:cs="Arial"/>
          <w:szCs w:val="24"/>
          <w:lang w:val="en-CA"/>
        </w:rPr>
        <w:t xml:space="preserve">guilty </w:t>
      </w:r>
      <w:r w:rsidRPr="000D1EAA">
        <w:rPr>
          <w:rFonts w:cs="Arial"/>
          <w:szCs w:val="24"/>
          <w:lang w:val="en-CA"/>
        </w:rPr>
        <w:t>plea</w:t>
      </w:r>
      <w:r w:rsidR="00AD11AC">
        <w:rPr>
          <w:rFonts w:cs="Arial"/>
          <w:szCs w:val="24"/>
          <w:lang w:val="en-CA"/>
        </w:rPr>
        <w:t xml:space="preserve"> </w:t>
      </w:r>
      <w:r w:rsidRPr="000D1EAA">
        <w:rPr>
          <w:rFonts w:cs="Arial"/>
          <w:szCs w:val="24"/>
          <w:lang w:val="en-CA"/>
        </w:rPr>
        <w:t xml:space="preserve">to a charge of </w:t>
      </w:r>
      <w:r w:rsidR="003B1D5D">
        <w:rPr>
          <w:rFonts w:cs="Arial"/>
          <w:szCs w:val="24"/>
          <w:lang w:val="en-CA"/>
        </w:rPr>
        <w:t>impaired driving</w:t>
      </w:r>
      <w:r w:rsidR="003F7B75" w:rsidRPr="000D1EAA">
        <w:rPr>
          <w:lang w:val="en-CA"/>
        </w:rPr>
        <w:t>.</w:t>
      </w:r>
    </w:p>
    <w:p w14:paraId="1996B371" w14:textId="42DE9212" w:rsidR="00514E9A" w:rsidRPr="000D1EAA" w:rsidRDefault="00B74598" w:rsidP="00514E9A">
      <w:pPr>
        <w:pStyle w:val="Paragraphe"/>
        <w:numPr>
          <w:ilvl w:val="0"/>
          <w:numId w:val="0"/>
        </w:numPr>
        <w:spacing w:before="240" w:after="240" w:line="240" w:lineRule="auto"/>
        <w:rPr>
          <w:b/>
          <w:u w:val="single"/>
          <w:lang w:val="en-CA"/>
        </w:rPr>
      </w:pPr>
      <w:r w:rsidRPr="000D1EAA">
        <w:rPr>
          <w:b/>
          <w:u w:val="single"/>
          <w:lang w:val="en-CA"/>
        </w:rPr>
        <w:t>BACKGROUND</w:t>
      </w:r>
    </w:p>
    <w:p w14:paraId="456EC57A" w14:textId="22DF26CE" w:rsidR="00514E9A" w:rsidRPr="000D1EAA" w:rsidRDefault="00B74598" w:rsidP="00514E9A">
      <w:pPr>
        <w:pStyle w:val="Paragraphe"/>
        <w:spacing w:line="240" w:lineRule="auto"/>
        <w:rPr>
          <w:lang w:val="en-CA"/>
        </w:rPr>
      </w:pPr>
      <w:r w:rsidRPr="000D1EAA">
        <w:rPr>
          <w:lang w:val="en-CA"/>
        </w:rPr>
        <w:t xml:space="preserve">On November 25, </w:t>
      </w:r>
      <w:r w:rsidR="003F7B75" w:rsidRPr="000D1EAA">
        <w:rPr>
          <w:lang w:val="en-CA"/>
        </w:rPr>
        <w:t xml:space="preserve">2020, </w:t>
      </w:r>
      <w:r w:rsidRPr="000D1EAA">
        <w:rPr>
          <w:lang w:val="en-CA"/>
        </w:rPr>
        <w:t xml:space="preserve">the </w:t>
      </w:r>
      <w:r w:rsidR="006463F8" w:rsidRPr="000D1EAA">
        <w:rPr>
          <w:lang w:val="en-CA"/>
        </w:rPr>
        <w:t>appellant</w:t>
      </w:r>
      <w:r w:rsidR="003F7B75" w:rsidRPr="000D1EAA">
        <w:rPr>
          <w:lang w:val="en-CA"/>
        </w:rPr>
        <w:t xml:space="preserve"> </w:t>
      </w:r>
      <w:r w:rsidRPr="000D1EAA">
        <w:rPr>
          <w:lang w:val="en-CA"/>
        </w:rPr>
        <w:t xml:space="preserve">appeared before the </w:t>
      </w:r>
      <w:r w:rsidR="007D535C">
        <w:rPr>
          <w:lang w:val="en-CA"/>
        </w:rPr>
        <w:t>Court of Québec</w:t>
      </w:r>
      <w:r w:rsidR="003F7B75" w:rsidRPr="000D1EAA">
        <w:rPr>
          <w:lang w:val="en-CA"/>
        </w:rPr>
        <w:t xml:space="preserve"> </w:t>
      </w:r>
      <w:r w:rsidR="00AC4CDB" w:rsidRPr="000D1EAA">
        <w:rPr>
          <w:lang w:val="en-CA"/>
        </w:rPr>
        <w:t xml:space="preserve">on the following two charges prosecuted by way of </w:t>
      </w:r>
      <w:r w:rsidR="00FF5D06" w:rsidRPr="000D1EAA">
        <w:rPr>
          <w:lang w:val="en-CA"/>
        </w:rPr>
        <w:t>summary conviction</w:t>
      </w:r>
      <w:r w:rsidR="003F7B75" w:rsidRPr="000D1EAA">
        <w:rPr>
          <w:lang w:val="en-CA"/>
        </w:rPr>
        <w:t>:</w:t>
      </w:r>
    </w:p>
    <w:p w14:paraId="25BE9F37" w14:textId="56FA2636" w:rsidR="00AC4CDB" w:rsidRPr="000D1EAA" w:rsidRDefault="001D196F" w:rsidP="00AC4CDB">
      <w:pPr>
        <w:pStyle w:val="Paragraphe"/>
        <w:numPr>
          <w:ilvl w:val="0"/>
          <w:numId w:val="0"/>
        </w:numPr>
        <w:spacing w:line="240" w:lineRule="auto"/>
        <w:ind w:left="720"/>
        <w:rPr>
          <w:lang w:val="en-CA"/>
        </w:rPr>
      </w:pPr>
      <w:r w:rsidRPr="000D1EAA">
        <w:rPr>
          <w:rFonts w:cs="Arial"/>
          <w:lang w:val="en-CA"/>
        </w:rPr>
        <w:t>[</w:t>
      </w:r>
      <w:r w:rsidRPr="000D1EAA">
        <w:rPr>
          <w:rFonts w:cs="Arial"/>
          <w:smallCaps/>
          <w:lang w:val="en-CA"/>
        </w:rPr>
        <w:t>translation</w:t>
      </w:r>
      <w:r w:rsidRPr="000D1EAA">
        <w:rPr>
          <w:rFonts w:cs="Arial"/>
          <w:lang w:val="en-CA"/>
        </w:rPr>
        <w:t>]</w:t>
      </w:r>
    </w:p>
    <w:p w14:paraId="459AA17A" w14:textId="54BB8F9D" w:rsidR="00514E9A" w:rsidRPr="000D1EAA" w:rsidRDefault="003F7B75" w:rsidP="00514E9A">
      <w:pPr>
        <w:pStyle w:val="citationenretrait0"/>
        <w:spacing w:before="120" w:beforeAutospacing="0" w:after="120" w:afterAutospacing="0"/>
        <w:ind w:left="1080" w:right="720" w:hanging="360"/>
        <w:jc w:val="both"/>
        <w:rPr>
          <w:rFonts w:ascii="Arial" w:hAnsi="Arial" w:cs="Arial"/>
          <w:color w:val="000000"/>
          <w:sz w:val="22"/>
          <w:szCs w:val="22"/>
          <w:lang w:val="en-CA"/>
        </w:rPr>
      </w:pPr>
      <w:r w:rsidRPr="000D1EAA">
        <w:rPr>
          <w:rFonts w:ascii="Arial" w:hAnsi="Arial" w:cs="Arial"/>
          <w:color w:val="000000"/>
          <w:sz w:val="22"/>
          <w:szCs w:val="22"/>
          <w:lang w:val="en-CA"/>
        </w:rPr>
        <w:t>1)</w:t>
      </w:r>
      <w:r w:rsidRPr="000D1EAA">
        <w:rPr>
          <w:color w:val="000000"/>
          <w:sz w:val="14"/>
          <w:szCs w:val="14"/>
          <w:lang w:val="en-CA"/>
        </w:rPr>
        <w:t>   </w:t>
      </w:r>
      <w:r w:rsidR="00AC4CDB" w:rsidRPr="000D1EAA">
        <w:rPr>
          <w:rFonts w:ascii="Arial" w:hAnsi="Arial" w:cs="Arial"/>
          <w:color w:val="000000"/>
          <w:sz w:val="22"/>
          <w:szCs w:val="22"/>
          <w:lang w:val="en-CA"/>
        </w:rPr>
        <w:t>On or about July 18, 2020, in</w:t>
      </w:r>
      <w:r w:rsidRPr="000D1EAA">
        <w:rPr>
          <w:rFonts w:ascii="Arial" w:hAnsi="Arial" w:cs="Arial"/>
          <w:color w:val="000000"/>
          <w:sz w:val="22"/>
          <w:szCs w:val="22"/>
          <w:lang w:val="en-CA"/>
        </w:rPr>
        <w:t xml:space="preserve"> Alma, </w:t>
      </w:r>
      <w:r w:rsidR="007D535C">
        <w:rPr>
          <w:rFonts w:ascii="Arial" w:hAnsi="Arial" w:cs="Arial"/>
          <w:color w:val="000000"/>
          <w:sz w:val="22"/>
          <w:szCs w:val="22"/>
          <w:lang w:val="en-CA"/>
        </w:rPr>
        <w:t>D</w:t>
      </w:r>
      <w:r w:rsidRPr="000D1EAA">
        <w:rPr>
          <w:rFonts w:ascii="Arial" w:hAnsi="Arial" w:cs="Arial"/>
          <w:color w:val="000000"/>
          <w:sz w:val="22"/>
          <w:szCs w:val="22"/>
          <w:lang w:val="en-CA"/>
        </w:rPr>
        <w:t xml:space="preserve">istrict </w:t>
      </w:r>
      <w:r w:rsidR="00AC4CDB" w:rsidRPr="000D1EAA">
        <w:rPr>
          <w:rFonts w:ascii="Arial" w:hAnsi="Arial" w:cs="Arial"/>
          <w:color w:val="000000"/>
          <w:sz w:val="22"/>
          <w:szCs w:val="22"/>
          <w:lang w:val="en-CA"/>
        </w:rPr>
        <w:t xml:space="preserve">of </w:t>
      </w:r>
      <w:r w:rsidRPr="000D1EAA">
        <w:rPr>
          <w:rFonts w:ascii="Arial" w:hAnsi="Arial" w:cs="Arial"/>
          <w:color w:val="000000"/>
          <w:sz w:val="22"/>
          <w:szCs w:val="22"/>
          <w:lang w:val="en-CA"/>
        </w:rPr>
        <w:t xml:space="preserve">Alma, </w:t>
      </w:r>
      <w:r w:rsidR="00AC4CDB" w:rsidRPr="000D1EAA">
        <w:rPr>
          <w:rFonts w:ascii="Arial" w:hAnsi="Arial" w:cs="Arial"/>
          <w:color w:val="000000"/>
          <w:sz w:val="22"/>
          <w:szCs w:val="22"/>
          <w:lang w:val="en-CA"/>
        </w:rPr>
        <w:t xml:space="preserve">did </w:t>
      </w:r>
      <w:r w:rsidR="009375BF" w:rsidRPr="000D1EAA">
        <w:rPr>
          <w:rFonts w:ascii="Arial" w:hAnsi="Arial" w:cs="Arial"/>
          <w:color w:val="000000"/>
          <w:sz w:val="22"/>
          <w:szCs w:val="22"/>
          <w:lang w:val="en-CA"/>
        </w:rPr>
        <w:t>operate</w:t>
      </w:r>
      <w:r w:rsidR="00AC4CDB" w:rsidRPr="000D1EAA">
        <w:rPr>
          <w:rFonts w:ascii="Arial" w:hAnsi="Arial" w:cs="Arial"/>
          <w:color w:val="000000"/>
          <w:sz w:val="22"/>
          <w:szCs w:val="22"/>
          <w:lang w:val="en-CA"/>
        </w:rPr>
        <w:t xml:space="preserve"> a </w:t>
      </w:r>
      <w:r w:rsidR="00E60FE6" w:rsidRPr="000D1EAA">
        <w:rPr>
          <w:rFonts w:ascii="Arial" w:hAnsi="Arial" w:cs="Arial"/>
          <w:color w:val="000000"/>
          <w:sz w:val="22"/>
          <w:szCs w:val="22"/>
          <w:lang w:val="en-CA"/>
        </w:rPr>
        <w:t>conveyance</w:t>
      </w:r>
      <w:r w:rsidR="00AC4CDB" w:rsidRPr="000D1EAA">
        <w:rPr>
          <w:rFonts w:ascii="Arial" w:hAnsi="Arial" w:cs="Arial"/>
          <w:color w:val="000000"/>
          <w:sz w:val="22"/>
          <w:szCs w:val="22"/>
          <w:lang w:val="en-CA"/>
        </w:rPr>
        <w:t xml:space="preserve">, namely </w:t>
      </w:r>
      <w:r w:rsidR="00E60FE6" w:rsidRPr="000D1EAA">
        <w:rPr>
          <w:rFonts w:ascii="Arial" w:hAnsi="Arial" w:cs="Arial"/>
          <w:color w:val="000000"/>
          <w:sz w:val="22"/>
          <w:szCs w:val="22"/>
          <w:lang w:val="en-CA"/>
        </w:rPr>
        <w:t>a</w:t>
      </w:r>
      <w:r w:rsidR="00AC4CDB" w:rsidRPr="000D1EAA">
        <w:rPr>
          <w:rFonts w:ascii="Arial" w:hAnsi="Arial" w:cs="Arial"/>
          <w:color w:val="000000"/>
          <w:sz w:val="22"/>
          <w:szCs w:val="22"/>
          <w:lang w:val="en-CA"/>
        </w:rPr>
        <w:t xml:space="preserve"> motor vehicle</w:t>
      </w:r>
      <w:r w:rsidR="00E60FE6" w:rsidRPr="000D1EAA">
        <w:rPr>
          <w:rFonts w:ascii="Arial" w:hAnsi="Arial" w:cs="Arial"/>
          <w:color w:val="000000"/>
          <w:sz w:val="22"/>
          <w:szCs w:val="22"/>
          <w:lang w:val="en-CA"/>
        </w:rPr>
        <w:t>,</w:t>
      </w:r>
      <w:r w:rsidR="00AC4CDB" w:rsidRPr="000D1EAA">
        <w:rPr>
          <w:rFonts w:ascii="Arial" w:hAnsi="Arial" w:cs="Arial"/>
          <w:color w:val="000000"/>
          <w:sz w:val="22"/>
          <w:szCs w:val="22"/>
          <w:lang w:val="en-CA"/>
        </w:rPr>
        <w:t xml:space="preserve"> while his ability to </w:t>
      </w:r>
      <w:r w:rsidR="009375BF" w:rsidRPr="000D1EAA">
        <w:rPr>
          <w:rFonts w:ascii="Arial" w:hAnsi="Arial" w:cs="Arial"/>
          <w:color w:val="000000"/>
          <w:sz w:val="22"/>
          <w:szCs w:val="22"/>
          <w:lang w:val="en-CA"/>
        </w:rPr>
        <w:t>operate it</w:t>
      </w:r>
      <w:r w:rsidR="00AC4CDB" w:rsidRPr="000D1EAA">
        <w:rPr>
          <w:rFonts w:ascii="Arial" w:hAnsi="Arial" w:cs="Arial"/>
          <w:color w:val="000000"/>
          <w:sz w:val="22"/>
          <w:szCs w:val="22"/>
          <w:lang w:val="en-CA"/>
        </w:rPr>
        <w:t xml:space="preserve"> was impaired by alcohol, thereby committing the offence punishable on </w:t>
      </w:r>
      <w:r w:rsidR="00FF5D06" w:rsidRPr="000D1EAA">
        <w:rPr>
          <w:rFonts w:ascii="Arial" w:hAnsi="Arial" w:cs="Arial"/>
          <w:color w:val="000000"/>
          <w:sz w:val="22"/>
          <w:szCs w:val="22"/>
          <w:lang w:val="en-CA"/>
        </w:rPr>
        <w:t>summary conviction</w:t>
      </w:r>
      <w:r w:rsidR="00AC4CDB" w:rsidRPr="000D1EAA">
        <w:rPr>
          <w:rFonts w:ascii="Arial" w:hAnsi="Arial" w:cs="Arial"/>
          <w:color w:val="000000"/>
          <w:sz w:val="22"/>
          <w:szCs w:val="22"/>
          <w:lang w:val="en-CA"/>
        </w:rPr>
        <w:t xml:space="preserve"> </w:t>
      </w:r>
      <w:r w:rsidR="00F304CB">
        <w:rPr>
          <w:rFonts w:ascii="Arial" w:hAnsi="Arial" w:cs="Arial"/>
          <w:color w:val="000000"/>
          <w:sz w:val="22"/>
          <w:szCs w:val="22"/>
          <w:lang w:val="en-CA"/>
        </w:rPr>
        <w:t>set out</w:t>
      </w:r>
      <w:r w:rsidR="00AC4CDB" w:rsidRPr="000D1EAA">
        <w:rPr>
          <w:rFonts w:ascii="Arial" w:hAnsi="Arial" w:cs="Arial"/>
          <w:color w:val="000000"/>
          <w:sz w:val="22"/>
          <w:szCs w:val="22"/>
          <w:lang w:val="en-CA"/>
        </w:rPr>
        <w:t xml:space="preserve"> in </w:t>
      </w:r>
      <w:r w:rsidR="009375BF" w:rsidRPr="000D1EAA">
        <w:rPr>
          <w:rFonts w:ascii="Arial" w:hAnsi="Arial" w:cs="Arial"/>
          <w:color w:val="000000"/>
          <w:sz w:val="22"/>
          <w:szCs w:val="22"/>
          <w:lang w:val="en-CA"/>
        </w:rPr>
        <w:t>ss. </w:t>
      </w:r>
      <w:r w:rsidRPr="000D1EAA">
        <w:rPr>
          <w:rFonts w:ascii="Arial" w:hAnsi="Arial" w:cs="Arial"/>
          <w:color w:val="000000"/>
          <w:sz w:val="22"/>
          <w:szCs w:val="22"/>
          <w:lang w:val="en-CA"/>
        </w:rPr>
        <w:t>320.14(1)</w:t>
      </w:r>
      <w:r w:rsidR="00AC4CDB" w:rsidRPr="000D1EAA">
        <w:rPr>
          <w:rFonts w:ascii="Arial" w:hAnsi="Arial" w:cs="Arial"/>
          <w:color w:val="000000"/>
          <w:sz w:val="22"/>
          <w:szCs w:val="22"/>
          <w:lang w:val="en-CA"/>
        </w:rPr>
        <w:t>(</w:t>
      </w:r>
      <w:r w:rsidRPr="000D1EAA">
        <w:rPr>
          <w:rFonts w:ascii="Arial" w:hAnsi="Arial" w:cs="Arial"/>
          <w:color w:val="000000"/>
          <w:sz w:val="22"/>
          <w:szCs w:val="22"/>
          <w:lang w:val="en-CA"/>
        </w:rPr>
        <w:t xml:space="preserve">a) </w:t>
      </w:r>
      <w:r w:rsidR="00AC4CDB" w:rsidRPr="000D1EAA">
        <w:rPr>
          <w:rFonts w:ascii="Arial" w:hAnsi="Arial" w:cs="Arial"/>
          <w:color w:val="000000"/>
          <w:sz w:val="22"/>
          <w:szCs w:val="22"/>
          <w:lang w:val="en-CA"/>
        </w:rPr>
        <w:t xml:space="preserve">and </w:t>
      </w:r>
      <w:r w:rsidRPr="000D1EAA">
        <w:rPr>
          <w:rFonts w:ascii="Arial" w:hAnsi="Arial" w:cs="Arial"/>
          <w:color w:val="000000"/>
          <w:sz w:val="22"/>
          <w:szCs w:val="22"/>
          <w:lang w:val="en-CA"/>
        </w:rPr>
        <w:t xml:space="preserve">320.19(1) </w:t>
      </w:r>
      <w:r w:rsidR="00AC4CDB" w:rsidRPr="000D1EAA">
        <w:rPr>
          <w:rFonts w:ascii="Arial" w:hAnsi="Arial" w:cs="Arial"/>
          <w:color w:val="000000"/>
          <w:sz w:val="22"/>
          <w:szCs w:val="22"/>
          <w:lang w:val="en-CA"/>
        </w:rPr>
        <w:t xml:space="preserve">of the </w:t>
      </w:r>
      <w:r w:rsidR="005F5E2E" w:rsidRPr="000D1EAA">
        <w:rPr>
          <w:rFonts w:ascii="Arial" w:hAnsi="Arial" w:cs="Arial"/>
          <w:i/>
          <w:iCs/>
          <w:color w:val="000000"/>
          <w:sz w:val="22"/>
          <w:szCs w:val="22"/>
          <w:lang w:val="en-CA"/>
        </w:rPr>
        <w:t>Criminal Code</w:t>
      </w:r>
      <w:r w:rsidRPr="000D1EAA">
        <w:rPr>
          <w:rFonts w:ascii="Arial" w:hAnsi="Arial" w:cs="Arial"/>
          <w:color w:val="000000"/>
          <w:sz w:val="22"/>
          <w:szCs w:val="22"/>
          <w:lang w:val="en-CA"/>
        </w:rPr>
        <w:t>.</w:t>
      </w:r>
    </w:p>
    <w:p w14:paraId="3B857725" w14:textId="4219B0ED" w:rsidR="00D3242B" w:rsidRPr="000D1EAA" w:rsidRDefault="003F7B75" w:rsidP="00D3242B">
      <w:pPr>
        <w:pStyle w:val="citationenretrait0"/>
        <w:spacing w:before="120" w:beforeAutospacing="0" w:after="120" w:afterAutospacing="0"/>
        <w:ind w:left="1080" w:right="720" w:hanging="360"/>
        <w:jc w:val="both"/>
        <w:rPr>
          <w:lang w:val="en-CA"/>
        </w:rPr>
      </w:pPr>
      <w:r w:rsidRPr="000D1EAA">
        <w:rPr>
          <w:rFonts w:ascii="Arial" w:hAnsi="Arial" w:cs="Arial"/>
          <w:color w:val="000000"/>
          <w:sz w:val="22"/>
          <w:szCs w:val="22"/>
          <w:lang w:val="en-CA"/>
        </w:rPr>
        <w:t>2)</w:t>
      </w:r>
      <w:r w:rsidRPr="000D1EAA">
        <w:rPr>
          <w:color w:val="000000"/>
          <w:sz w:val="14"/>
          <w:szCs w:val="14"/>
          <w:lang w:val="en-CA"/>
        </w:rPr>
        <w:t>   </w:t>
      </w:r>
      <w:r w:rsidR="00AC4CDB" w:rsidRPr="000D1EAA">
        <w:rPr>
          <w:rFonts w:ascii="Arial" w:hAnsi="Arial" w:cs="Arial"/>
          <w:color w:val="000000"/>
          <w:sz w:val="22"/>
          <w:szCs w:val="22"/>
          <w:lang w:val="en-CA"/>
        </w:rPr>
        <w:t>On or about July 18, 2020, in Alma, district of Alma, did</w:t>
      </w:r>
      <w:r w:rsidRPr="000D1EAA">
        <w:rPr>
          <w:rFonts w:ascii="Arial" w:hAnsi="Arial" w:cs="Arial"/>
          <w:color w:val="000000"/>
          <w:sz w:val="22"/>
          <w:szCs w:val="22"/>
          <w:lang w:val="en-CA"/>
        </w:rPr>
        <w:t xml:space="preserve"> </w:t>
      </w:r>
      <w:r w:rsidR="00AC4CDB" w:rsidRPr="000D1EAA">
        <w:rPr>
          <w:rFonts w:ascii="Arial" w:hAnsi="Arial" w:cs="Arial"/>
          <w:color w:val="000000"/>
          <w:sz w:val="22"/>
          <w:szCs w:val="22"/>
          <w:lang w:val="en-CA"/>
        </w:rPr>
        <w:t xml:space="preserve">have a blood alcohol </w:t>
      </w:r>
      <w:r w:rsidR="006F1F3D" w:rsidRPr="000D1EAA">
        <w:rPr>
          <w:rFonts w:ascii="Arial" w:hAnsi="Arial" w:cs="Arial"/>
          <w:color w:val="000000"/>
          <w:sz w:val="22"/>
          <w:szCs w:val="22"/>
          <w:lang w:val="en-CA"/>
        </w:rPr>
        <w:t xml:space="preserve">concentration </w:t>
      </w:r>
      <w:r w:rsidR="00AC4CDB" w:rsidRPr="000D1EAA">
        <w:rPr>
          <w:rFonts w:ascii="Arial" w:hAnsi="Arial" w:cs="Arial"/>
          <w:color w:val="000000"/>
          <w:sz w:val="22"/>
          <w:szCs w:val="22"/>
          <w:lang w:val="en-CA"/>
        </w:rPr>
        <w:t xml:space="preserve">equal to </w:t>
      </w:r>
      <w:r w:rsidR="006F1F3D" w:rsidRPr="000D1EAA">
        <w:rPr>
          <w:rFonts w:ascii="Arial" w:hAnsi="Arial" w:cs="Arial"/>
          <w:color w:val="000000"/>
          <w:sz w:val="22"/>
          <w:szCs w:val="22"/>
          <w:lang w:val="en-CA"/>
        </w:rPr>
        <w:t xml:space="preserve">or exceeding </w:t>
      </w:r>
      <w:r w:rsidRPr="000D1EAA">
        <w:rPr>
          <w:rFonts w:ascii="Arial" w:hAnsi="Arial" w:cs="Arial"/>
          <w:color w:val="000000"/>
          <w:sz w:val="22"/>
          <w:szCs w:val="22"/>
          <w:lang w:val="en-CA"/>
        </w:rPr>
        <w:t xml:space="preserve">80 </w:t>
      </w:r>
      <w:r w:rsidR="00EE3124" w:rsidRPr="000D1EAA">
        <w:rPr>
          <w:rFonts w:ascii="Arial" w:hAnsi="Arial" w:cs="Arial"/>
          <w:color w:val="000000"/>
          <w:sz w:val="22"/>
          <w:szCs w:val="22"/>
          <w:lang w:val="en-CA"/>
        </w:rPr>
        <w:t>m</w:t>
      </w:r>
      <w:r w:rsidR="005E35FF" w:rsidRPr="000D1EAA">
        <w:rPr>
          <w:rFonts w:ascii="Arial" w:hAnsi="Arial" w:cs="Arial"/>
          <w:color w:val="000000"/>
          <w:sz w:val="22"/>
          <w:szCs w:val="22"/>
          <w:lang w:val="en-CA"/>
        </w:rPr>
        <w:t>g</w:t>
      </w:r>
      <w:r w:rsidRPr="000D1EAA">
        <w:rPr>
          <w:rFonts w:ascii="Arial" w:hAnsi="Arial" w:cs="Arial"/>
          <w:color w:val="000000"/>
          <w:sz w:val="22"/>
          <w:szCs w:val="22"/>
          <w:lang w:val="en-CA"/>
        </w:rPr>
        <w:t xml:space="preserve"> </w:t>
      </w:r>
      <w:r w:rsidR="00AC4CDB" w:rsidRPr="000D1EAA">
        <w:rPr>
          <w:rFonts w:ascii="Arial" w:hAnsi="Arial" w:cs="Arial"/>
          <w:color w:val="000000"/>
          <w:sz w:val="22"/>
          <w:szCs w:val="22"/>
          <w:lang w:val="en-CA"/>
        </w:rPr>
        <w:t xml:space="preserve">of alcohol </w:t>
      </w:r>
      <w:r w:rsidR="005E35FF" w:rsidRPr="000D1EAA">
        <w:rPr>
          <w:rFonts w:ascii="Arial" w:hAnsi="Arial" w:cs="Arial"/>
          <w:color w:val="000000"/>
          <w:sz w:val="22"/>
          <w:szCs w:val="22"/>
          <w:lang w:val="en-CA"/>
        </w:rPr>
        <w:t xml:space="preserve">in </w:t>
      </w:r>
      <w:r w:rsidRPr="000D1EAA">
        <w:rPr>
          <w:rFonts w:ascii="Arial" w:hAnsi="Arial" w:cs="Arial"/>
          <w:color w:val="000000"/>
          <w:sz w:val="22"/>
          <w:szCs w:val="22"/>
          <w:lang w:val="en-CA"/>
        </w:rPr>
        <w:t>100</w:t>
      </w:r>
      <w:r w:rsidR="00AC4CDB" w:rsidRPr="000D1EAA">
        <w:rPr>
          <w:rFonts w:ascii="Arial" w:hAnsi="Arial" w:cs="Arial"/>
          <w:color w:val="000000"/>
          <w:sz w:val="22"/>
          <w:szCs w:val="22"/>
          <w:lang w:val="en-CA"/>
        </w:rPr>
        <w:t xml:space="preserve"> </w:t>
      </w:r>
      <w:r w:rsidR="005E35FF" w:rsidRPr="000D1EAA">
        <w:rPr>
          <w:rFonts w:ascii="Arial" w:hAnsi="Arial" w:cs="Arial"/>
          <w:color w:val="000000"/>
          <w:sz w:val="22"/>
          <w:szCs w:val="22"/>
          <w:lang w:val="en-CA"/>
        </w:rPr>
        <w:t>mL</w:t>
      </w:r>
      <w:r w:rsidRPr="000D1EAA">
        <w:rPr>
          <w:rFonts w:ascii="Arial" w:hAnsi="Arial" w:cs="Arial"/>
          <w:color w:val="000000"/>
          <w:sz w:val="22"/>
          <w:szCs w:val="22"/>
          <w:lang w:val="en-CA"/>
        </w:rPr>
        <w:t xml:space="preserve"> </w:t>
      </w:r>
      <w:r w:rsidR="00AC4CDB" w:rsidRPr="000D1EAA">
        <w:rPr>
          <w:rFonts w:ascii="Arial" w:hAnsi="Arial" w:cs="Arial"/>
          <w:color w:val="000000"/>
          <w:sz w:val="22"/>
          <w:szCs w:val="22"/>
          <w:lang w:val="en-CA"/>
        </w:rPr>
        <w:t xml:space="preserve">of blood </w:t>
      </w:r>
      <w:r w:rsidR="009A579B" w:rsidRPr="000D1EAA">
        <w:rPr>
          <w:rFonts w:ascii="Arial" w:hAnsi="Arial" w:cs="Arial"/>
          <w:color w:val="000000"/>
          <w:sz w:val="22"/>
          <w:szCs w:val="22"/>
          <w:lang w:val="en-CA"/>
        </w:rPr>
        <w:t>within two hours after ceasing to operate a conveyance</w:t>
      </w:r>
      <w:r w:rsidRPr="000D1EAA">
        <w:rPr>
          <w:rFonts w:ascii="Arial" w:hAnsi="Arial" w:cs="Arial"/>
          <w:color w:val="000000"/>
          <w:sz w:val="22"/>
          <w:szCs w:val="22"/>
          <w:lang w:val="en-CA"/>
        </w:rPr>
        <w:t xml:space="preserve">, </w:t>
      </w:r>
      <w:r w:rsidR="00AC4CDB" w:rsidRPr="000D1EAA">
        <w:rPr>
          <w:rFonts w:ascii="Arial" w:hAnsi="Arial" w:cs="Arial"/>
          <w:color w:val="000000"/>
          <w:sz w:val="22"/>
          <w:szCs w:val="22"/>
          <w:lang w:val="en-CA"/>
        </w:rPr>
        <w:t xml:space="preserve">namely a motor vehicle, thereby committing the offence punishable on </w:t>
      </w:r>
      <w:r w:rsidR="00FF5D06" w:rsidRPr="000D1EAA">
        <w:rPr>
          <w:rFonts w:ascii="Arial" w:hAnsi="Arial" w:cs="Arial"/>
          <w:color w:val="000000"/>
          <w:sz w:val="22"/>
          <w:szCs w:val="22"/>
          <w:lang w:val="en-CA"/>
        </w:rPr>
        <w:t>summary conviction</w:t>
      </w:r>
      <w:r w:rsidR="00AC4CDB" w:rsidRPr="000D1EAA">
        <w:rPr>
          <w:rFonts w:ascii="Arial" w:hAnsi="Arial" w:cs="Arial"/>
          <w:color w:val="000000"/>
          <w:sz w:val="22"/>
          <w:szCs w:val="22"/>
          <w:lang w:val="en-CA"/>
        </w:rPr>
        <w:t xml:space="preserve"> </w:t>
      </w:r>
      <w:r w:rsidR="00F304CB">
        <w:rPr>
          <w:rFonts w:ascii="Arial" w:hAnsi="Arial" w:cs="Arial"/>
          <w:color w:val="000000"/>
          <w:sz w:val="22"/>
          <w:szCs w:val="22"/>
          <w:lang w:val="en-CA"/>
        </w:rPr>
        <w:t>set out</w:t>
      </w:r>
      <w:r w:rsidR="00AC4CDB" w:rsidRPr="000D1EAA">
        <w:rPr>
          <w:rFonts w:ascii="Arial" w:hAnsi="Arial" w:cs="Arial"/>
          <w:color w:val="000000"/>
          <w:sz w:val="22"/>
          <w:szCs w:val="22"/>
          <w:lang w:val="en-CA"/>
        </w:rPr>
        <w:t xml:space="preserve"> in s</w:t>
      </w:r>
      <w:r w:rsidR="00D3242B" w:rsidRPr="000D1EAA">
        <w:rPr>
          <w:rFonts w:ascii="Arial" w:hAnsi="Arial" w:cs="Arial"/>
          <w:color w:val="000000"/>
          <w:sz w:val="22"/>
          <w:szCs w:val="22"/>
          <w:lang w:val="en-CA"/>
        </w:rPr>
        <w:t>s. </w:t>
      </w:r>
      <w:r w:rsidR="00AC4CDB" w:rsidRPr="000D1EAA">
        <w:rPr>
          <w:rFonts w:ascii="Arial" w:hAnsi="Arial" w:cs="Arial"/>
          <w:color w:val="000000"/>
          <w:sz w:val="22"/>
          <w:szCs w:val="22"/>
          <w:lang w:val="en-CA"/>
        </w:rPr>
        <w:t xml:space="preserve">320.14(1)(a) and 320.19(1) of the </w:t>
      </w:r>
      <w:r w:rsidR="00AC4CDB" w:rsidRPr="000D1EAA">
        <w:rPr>
          <w:rFonts w:ascii="Arial" w:hAnsi="Arial" w:cs="Arial"/>
          <w:i/>
          <w:iCs/>
          <w:color w:val="000000"/>
          <w:sz w:val="22"/>
          <w:szCs w:val="22"/>
          <w:lang w:val="en-CA"/>
        </w:rPr>
        <w:t>Criminal Code</w:t>
      </w:r>
      <w:r w:rsidR="00AC4CDB" w:rsidRPr="000D1EAA">
        <w:rPr>
          <w:rFonts w:ascii="Arial" w:hAnsi="Arial" w:cs="Arial"/>
          <w:color w:val="000000"/>
          <w:sz w:val="22"/>
          <w:szCs w:val="22"/>
          <w:lang w:val="en-CA"/>
        </w:rPr>
        <w:t>.</w:t>
      </w:r>
    </w:p>
    <w:p w14:paraId="23EEE01B" w14:textId="3D078B32" w:rsidR="008C296B" w:rsidRPr="000D1EAA" w:rsidRDefault="008C296B" w:rsidP="000A67BB">
      <w:pPr>
        <w:pStyle w:val="Paragraphe"/>
        <w:spacing w:before="240" w:line="240" w:lineRule="auto"/>
        <w:rPr>
          <w:lang w:val="en-CA"/>
        </w:rPr>
      </w:pPr>
      <w:r w:rsidRPr="000D1EAA">
        <w:rPr>
          <w:lang w:val="en-CA"/>
        </w:rPr>
        <w:t xml:space="preserve">On May 12, 2021, the appellant announced to Robert </w:t>
      </w:r>
      <w:proofErr w:type="spellStart"/>
      <w:r w:rsidRPr="000D1EAA">
        <w:rPr>
          <w:lang w:val="en-CA"/>
        </w:rPr>
        <w:t>Daoust</w:t>
      </w:r>
      <w:proofErr w:type="spellEnd"/>
      <w:r w:rsidRPr="000D1EAA">
        <w:rPr>
          <w:lang w:val="en-CA"/>
        </w:rPr>
        <w:t xml:space="preserve"> </w:t>
      </w:r>
      <w:r w:rsidR="00A52081">
        <w:rPr>
          <w:lang w:val="en-CA"/>
        </w:rPr>
        <w:t xml:space="preserve">J.C.Q. </w:t>
      </w:r>
      <w:r w:rsidRPr="000D1EAA">
        <w:rPr>
          <w:lang w:val="en-CA"/>
        </w:rPr>
        <w:t xml:space="preserve">that he intended to plead guilty </w:t>
      </w:r>
      <w:r w:rsidR="009E37F5">
        <w:rPr>
          <w:lang w:val="en-CA"/>
        </w:rPr>
        <w:t>to</w:t>
      </w:r>
      <w:r w:rsidRPr="000D1EAA">
        <w:rPr>
          <w:lang w:val="en-CA"/>
        </w:rPr>
        <w:t xml:space="preserve"> the first </w:t>
      </w:r>
      <w:r w:rsidR="00F56D7E" w:rsidRPr="000D1EAA">
        <w:rPr>
          <w:lang w:val="en-CA"/>
        </w:rPr>
        <w:t xml:space="preserve">count </w:t>
      </w:r>
      <w:r w:rsidR="00A52081">
        <w:rPr>
          <w:lang w:val="en-CA"/>
        </w:rPr>
        <w:t>of</w:t>
      </w:r>
      <w:r w:rsidRPr="000D1EAA">
        <w:rPr>
          <w:lang w:val="en-CA"/>
        </w:rPr>
        <w:t xml:space="preserve"> </w:t>
      </w:r>
      <w:r w:rsidR="003B1D5D">
        <w:rPr>
          <w:lang w:val="en-CA"/>
        </w:rPr>
        <w:t>impaired driving</w:t>
      </w:r>
      <w:r w:rsidRPr="000D1EAA">
        <w:rPr>
          <w:lang w:val="en-CA"/>
        </w:rPr>
        <w:t xml:space="preserve">. The </w:t>
      </w:r>
      <w:r w:rsidR="00DE1802">
        <w:rPr>
          <w:lang w:val="en-CA"/>
        </w:rPr>
        <w:t>Crown objected</w:t>
      </w:r>
      <w:r w:rsidRPr="000D1EAA">
        <w:rPr>
          <w:lang w:val="en-CA"/>
        </w:rPr>
        <w:t xml:space="preserve"> on the ground that the appellant was attempting to circumvent </w:t>
      </w:r>
      <w:r w:rsidR="00461B40">
        <w:rPr>
          <w:lang w:val="en-CA"/>
        </w:rPr>
        <w:t xml:space="preserve">the </w:t>
      </w:r>
      <w:r w:rsidR="00EB0112">
        <w:rPr>
          <w:lang w:val="en-CA"/>
        </w:rPr>
        <w:t xml:space="preserve">imposition of a </w:t>
      </w:r>
      <w:r w:rsidR="00461B40">
        <w:rPr>
          <w:lang w:val="en-CA"/>
        </w:rPr>
        <w:t>more severe</w:t>
      </w:r>
      <w:r w:rsidRPr="000D1EAA">
        <w:rPr>
          <w:lang w:val="en-CA"/>
        </w:rPr>
        <w:t xml:space="preserve"> penalty. The </w:t>
      </w:r>
      <w:r w:rsidR="00981BA5">
        <w:rPr>
          <w:lang w:val="en-CA"/>
        </w:rPr>
        <w:t>Crown</w:t>
      </w:r>
      <w:r w:rsidRPr="000D1EAA">
        <w:rPr>
          <w:lang w:val="en-CA"/>
        </w:rPr>
        <w:t xml:space="preserve"> </w:t>
      </w:r>
      <w:r w:rsidR="00F56D7E" w:rsidRPr="000D1EAA">
        <w:rPr>
          <w:lang w:val="en-CA"/>
        </w:rPr>
        <w:t xml:space="preserve">instead </w:t>
      </w:r>
      <w:r w:rsidRPr="000D1EAA">
        <w:rPr>
          <w:lang w:val="en-CA"/>
        </w:rPr>
        <w:t xml:space="preserve">proposed to the judge that the guilty plea be </w:t>
      </w:r>
      <w:r w:rsidR="00EF3A0E">
        <w:rPr>
          <w:lang w:val="en-CA"/>
        </w:rPr>
        <w:t>held in abeyance</w:t>
      </w:r>
      <w:r w:rsidRPr="000D1EAA">
        <w:rPr>
          <w:lang w:val="en-CA"/>
        </w:rPr>
        <w:t xml:space="preserve"> for the first </w:t>
      </w:r>
      <w:r w:rsidR="00F56D7E" w:rsidRPr="000D1EAA">
        <w:rPr>
          <w:lang w:val="en-CA"/>
        </w:rPr>
        <w:t xml:space="preserve">count </w:t>
      </w:r>
      <w:r w:rsidR="00583E64">
        <w:rPr>
          <w:lang w:val="en-CA"/>
        </w:rPr>
        <w:t>pending</w:t>
      </w:r>
      <w:r w:rsidRPr="000D1EAA">
        <w:rPr>
          <w:lang w:val="en-CA"/>
        </w:rPr>
        <w:t xml:space="preserve"> the trial on the second c</w:t>
      </w:r>
      <w:r w:rsidR="00F56D7E" w:rsidRPr="000D1EAA">
        <w:rPr>
          <w:lang w:val="en-CA"/>
        </w:rPr>
        <w:t>ount</w:t>
      </w:r>
      <w:r w:rsidRPr="000D1EAA">
        <w:rPr>
          <w:lang w:val="en-CA"/>
        </w:rPr>
        <w:t>.</w:t>
      </w:r>
    </w:p>
    <w:p w14:paraId="1A9BD38D" w14:textId="69B2E664" w:rsidR="00514E9A" w:rsidRPr="000D1EAA" w:rsidRDefault="00A77508" w:rsidP="00514E9A">
      <w:pPr>
        <w:pStyle w:val="Paragraphe"/>
        <w:spacing w:line="240" w:lineRule="auto"/>
        <w:rPr>
          <w:lang w:val="en-CA"/>
        </w:rPr>
      </w:pPr>
      <w:r w:rsidRPr="000D1EAA">
        <w:rPr>
          <w:lang w:val="en-CA"/>
        </w:rPr>
        <w:t xml:space="preserve">The </w:t>
      </w:r>
      <w:r w:rsidR="007D535C">
        <w:rPr>
          <w:lang w:val="en-CA"/>
        </w:rPr>
        <w:t>Court of Québec</w:t>
      </w:r>
      <w:r w:rsidR="003F7B75" w:rsidRPr="000D1EAA">
        <w:rPr>
          <w:lang w:val="en-CA"/>
        </w:rPr>
        <w:t xml:space="preserve"> </w:t>
      </w:r>
      <w:r w:rsidR="00E876FB">
        <w:rPr>
          <w:lang w:val="en-CA"/>
        </w:rPr>
        <w:t xml:space="preserve">judge </w:t>
      </w:r>
      <w:r w:rsidR="007C0AC3">
        <w:rPr>
          <w:lang w:val="en-CA"/>
        </w:rPr>
        <w:t>rejected</w:t>
      </w:r>
      <w:r w:rsidR="007C0AC3" w:rsidRPr="000D1EAA">
        <w:rPr>
          <w:lang w:val="en-CA"/>
        </w:rPr>
        <w:t xml:space="preserve"> </w:t>
      </w:r>
      <w:r w:rsidRPr="000D1EAA">
        <w:rPr>
          <w:lang w:val="en-CA"/>
        </w:rPr>
        <w:t xml:space="preserve">the </w:t>
      </w:r>
      <w:r w:rsidR="00981BA5">
        <w:rPr>
          <w:lang w:val="en-CA"/>
        </w:rPr>
        <w:t xml:space="preserve">Crown’s </w:t>
      </w:r>
      <w:r w:rsidR="007C0AC3">
        <w:rPr>
          <w:lang w:val="en-CA"/>
        </w:rPr>
        <w:t>submissions</w:t>
      </w:r>
      <w:r w:rsidRPr="000D1EAA">
        <w:rPr>
          <w:lang w:val="en-CA"/>
        </w:rPr>
        <w:t xml:space="preserve">, </w:t>
      </w:r>
      <w:r w:rsidR="00E876FB">
        <w:rPr>
          <w:lang w:val="en-CA"/>
        </w:rPr>
        <w:t>accepted</w:t>
      </w:r>
      <w:r w:rsidRPr="000D1EAA">
        <w:rPr>
          <w:lang w:val="en-CA"/>
        </w:rPr>
        <w:t xml:space="preserve"> the guilty plea </w:t>
      </w:r>
      <w:r w:rsidR="005B0CF2">
        <w:rPr>
          <w:lang w:val="en-CA"/>
        </w:rPr>
        <w:t>on</w:t>
      </w:r>
      <w:r w:rsidRPr="000D1EAA">
        <w:rPr>
          <w:lang w:val="en-CA"/>
        </w:rPr>
        <w:t xml:space="preserve"> the first </w:t>
      </w:r>
      <w:r w:rsidR="00D77D81" w:rsidRPr="000D1EAA">
        <w:rPr>
          <w:lang w:val="en-CA"/>
        </w:rPr>
        <w:t>count</w:t>
      </w:r>
      <w:r w:rsidRPr="000D1EAA">
        <w:rPr>
          <w:lang w:val="en-CA"/>
        </w:rPr>
        <w:t xml:space="preserve">, convicted the </w:t>
      </w:r>
      <w:r w:rsidR="006463F8" w:rsidRPr="000D1EAA">
        <w:rPr>
          <w:lang w:val="en-CA"/>
        </w:rPr>
        <w:t>appellant</w:t>
      </w:r>
      <w:r w:rsidR="003F7B75" w:rsidRPr="000D1EAA">
        <w:rPr>
          <w:lang w:val="en-CA"/>
        </w:rPr>
        <w:t xml:space="preserve"> </w:t>
      </w:r>
      <w:r w:rsidR="005B0CF2">
        <w:rPr>
          <w:lang w:val="en-CA"/>
        </w:rPr>
        <w:t>on</w:t>
      </w:r>
      <w:r w:rsidRPr="000D1EAA">
        <w:rPr>
          <w:lang w:val="en-CA"/>
        </w:rPr>
        <w:t xml:space="preserve"> </w:t>
      </w:r>
      <w:r w:rsidR="007C0AC3">
        <w:rPr>
          <w:lang w:val="en-CA"/>
        </w:rPr>
        <w:t>that</w:t>
      </w:r>
      <w:r w:rsidR="007C0AC3" w:rsidRPr="000D1EAA">
        <w:rPr>
          <w:lang w:val="en-CA"/>
        </w:rPr>
        <w:t xml:space="preserve"> </w:t>
      </w:r>
      <w:r w:rsidRPr="000D1EAA">
        <w:rPr>
          <w:lang w:val="en-CA"/>
        </w:rPr>
        <w:t>c</w:t>
      </w:r>
      <w:r w:rsidR="00D77D81" w:rsidRPr="000D1EAA">
        <w:rPr>
          <w:lang w:val="en-CA"/>
        </w:rPr>
        <w:t>ount</w:t>
      </w:r>
      <w:r w:rsidR="007C0AC3">
        <w:rPr>
          <w:lang w:val="en-CA"/>
        </w:rPr>
        <w:t>,</w:t>
      </w:r>
      <w:r w:rsidRPr="000D1EAA">
        <w:rPr>
          <w:lang w:val="en-CA"/>
        </w:rPr>
        <w:t xml:space="preserve"> and </w:t>
      </w:r>
      <w:r w:rsidR="007C0AC3">
        <w:rPr>
          <w:lang w:val="en-CA"/>
        </w:rPr>
        <w:t xml:space="preserve">condemned </w:t>
      </w:r>
      <w:r w:rsidR="0024078C" w:rsidRPr="000D1EAA">
        <w:rPr>
          <w:lang w:val="en-CA"/>
        </w:rPr>
        <w:t xml:space="preserve">him to </w:t>
      </w:r>
      <w:r w:rsidR="007C0AC3">
        <w:rPr>
          <w:lang w:val="en-CA"/>
        </w:rPr>
        <w:t xml:space="preserve">pay </w:t>
      </w:r>
      <w:r w:rsidR="0024078C" w:rsidRPr="000D1EAA">
        <w:rPr>
          <w:lang w:val="en-CA"/>
        </w:rPr>
        <w:t xml:space="preserve">a $1,000 fine plus costs and the </w:t>
      </w:r>
      <w:r w:rsidR="00EA3568" w:rsidRPr="000D1EAA">
        <w:rPr>
          <w:lang w:val="en-CA"/>
        </w:rPr>
        <w:t xml:space="preserve">victim fine </w:t>
      </w:r>
      <w:r w:rsidR="0024078C" w:rsidRPr="000D1EAA">
        <w:rPr>
          <w:lang w:val="en-CA"/>
        </w:rPr>
        <w:t>surcharge</w:t>
      </w:r>
      <w:r w:rsidR="003F7B75" w:rsidRPr="000D1EAA">
        <w:rPr>
          <w:lang w:val="en-CA"/>
        </w:rPr>
        <w:t>, confis</w:t>
      </w:r>
      <w:r w:rsidR="0024078C" w:rsidRPr="000D1EAA">
        <w:rPr>
          <w:lang w:val="en-CA"/>
        </w:rPr>
        <w:t>cated his driver’s licence</w:t>
      </w:r>
      <w:r w:rsidR="007C0AC3">
        <w:rPr>
          <w:lang w:val="en-CA"/>
        </w:rPr>
        <w:t>,</w:t>
      </w:r>
      <w:r w:rsidR="0024078C" w:rsidRPr="000D1EAA">
        <w:rPr>
          <w:lang w:val="en-CA"/>
        </w:rPr>
        <w:t xml:space="preserve"> and </w:t>
      </w:r>
      <w:r w:rsidR="00116B8C" w:rsidRPr="000D1EAA">
        <w:rPr>
          <w:lang w:val="en-CA"/>
        </w:rPr>
        <w:t xml:space="preserve">prohibited </w:t>
      </w:r>
      <w:r w:rsidR="0024078C" w:rsidRPr="000D1EAA">
        <w:rPr>
          <w:lang w:val="en-CA"/>
        </w:rPr>
        <w:t xml:space="preserve">him from </w:t>
      </w:r>
      <w:r w:rsidR="00116B8C" w:rsidRPr="000D1EAA">
        <w:rPr>
          <w:lang w:val="en-CA"/>
        </w:rPr>
        <w:t>operating</w:t>
      </w:r>
      <w:r w:rsidR="0024078C" w:rsidRPr="000D1EAA">
        <w:rPr>
          <w:lang w:val="en-CA"/>
        </w:rPr>
        <w:t xml:space="preserve"> a motor vehicle on a </w:t>
      </w:r>
      <w:r w:rsidR="005B0CF2">
        <w:rPr>
          <w:lang w:val="en-CA"/>
        </w:rPr>
        <w:t>public road</w:t>
      </w:r>
      <w:r w:rsidR="0024078C" w:rsidRPr="000D1EAA">
        <w:rPr>
          <w:lang w:val="en-CA"/>
        </w:rPr>
        <w:t xml:space="preserve"> for one year, subject </w:t>
      </w:r>
      <w:r w:rsidR="0024078C" w:rsidRPr="000D1EAA">
        <w:rPr>
          <w:lang w:val="en-CA"/>
        </w:rPr>
        <w:lastRenderedPageBreak/>
        <w:t xml:space="preserve">to the provisions </w:t>
      </w:r>
      <w:r w:rsidR="002361BB">
        <w:rPr>
          <w:lang w:val="en-CA"/>
        </w:rPr>
        <w:t xml:space="preserve">concerning </w:t>
      </w:r>
      <w:r w:rsidR="002B27D0" w:rsidRPr="000D1EAA">
        <w:rPr>
          <w:lang w:val="en-CA"/>
        </w:rPr>
        <w:t>breathalyzer</w:t>
      </w:r>
      <w:r w:rsidR="002361BB">
        <w:rPr>
          <w:lang w:val="en-CA"/>
        </w:rPr>
        <w:t xml:space="preserve"> </w:t>
      </w:r>
      <w:r w:rsidR="00B61A78">
        <w:rPr>
          <w:lang w:val="en-CA"/>
        </w:rPr>
        <w:t>devices</w:t>
      </w:r>
      <w:r w:rsidR="00B61A78" w:rsidRPr="000D1EAA">
        <w:rPr>
          <w:lang w:val="en-CA"/>
        </w:rPr>
        <w:t xml:space="preserve"> if</w:t>
      </w:r>
      <w:r w:rsidR="002B27D0" w:rsidRPr="000D1EAA">
        <w:rPr>
          <w:lang w:val="en-CA"/>
        </w:rPr>
        <w:t xml:space="preserve"> he qualified.</w:t>
      </w:r>
      <w:r w:rsidR="003F7B75" w:rsidRPr="000D1EAA">
        <w:rPr>
          <w:lang w:val="en-CA"/>
        </w:rPr>
        <w:t xml:space="preserve"> </w:t>
      </w:r>
      <w:r w:rsidR="002B27D0" w:rsidRPr="000D1EAA">
        <w:rPr>
          <w:lang w:val="en-CA"/>
        </w:rPr>
        <w:t xml:space="preserve">The judge then set </w:t>
      </w:r>
      <w:r w:rsidR="005752C0">
        <w:rPr>
          <w:lang w:val="en-CA"/>
        </w:rPr>
        <w:t xml:space="preserve">the </w:t>
      </w:r>
      <w:r w:rsidR="002B27D0" w:rsidRPr="000D1EAA">
        <w:rPr>
          <w:lang w:val="en-CA"/>
        </w:rPr>
        <w:t xml:space="preserve">trial </w:t>
      </w:r>
      <w:r w:rsidR="005752C0">
        <w:rPr>
          <w:lang w:val="en-CA"/>
        </w:rPr>
        <w:t xml:space="preserve">date for </w:t>
      </w:r>
      <w:r w:rsidR="002B27D0" w:rsidRPr="000D1EAA">
        <w:rPr>
          <w:lang w:val="en-CA"/>
        </w:rPr>
        <w:t xml:space="preserve">the second </w:t>
      </w:r>
      <w:r w:rsidR="00116B8C" w:rsidRPr="000D1EAA">
        <w:rPr>
          <w:lang w:val="en-CA"/>
        </w:rPr>
        <w:t>count</w:t>
      </w:r>
      <w:r w:rsidR="002B27D0" w:rsidRPr="000D1EAA">
        <w:rPr>
          <w:lang w:val="en-CA"/>
        </w:rPr>
        <w:t>.</w:t>
      </w:r>
    </w:p>
    <w:p w14:paraId="670F8716" w14:textId="2E78FB65" w:rsidR="00514E9A" w:rsidRPr="000D1EAA" w:rsidRDefault="002B27D0" w:rsidP="00514E9A">
      <w:pPr>
        <w:pStyle w:val="Paragraphe"/>
        <w:spacing w:line="240" w:lineRule="auto"/>
        <w:rPr>
          <w:lang w:val="en-CA"/>
        </w:rPr>
      </w:pPr>
      <w:r w:rsidRPr="000D1EAA">
        <w:rPr>
          <w:lang w:val="en-CA"/>
        </w:rPr>
        <w:t xml:space="preserve">On June 9, </w:t>
      </w:r>
      <w:r w:rsidR="003F7B75" w:rsidRPr="000D1EAA">
        <w:rPr>
          <w:lang w:val="en-CA"/>
        </w:rPr>
        <w:t xml:space="preserve">2021, </w:t>
      </w:r>
      <w:r w:rsidRPr="000D1EAA">
        <w:rPr>
          <w:lang w:val="en-CA"/>
        </w:rPr>
        <w:t xml:space="preserve">the </w:t>
      </w:r>
      <w:r w:rsidR="00981BA5">
        <w:rPr>
          <w:lang w:val="en-CA"/>
        </w:rPr>
        <w:t>Crown</w:t>
      </w:r>
      <w:r w:rsidRPr="000D1EAA">
        <w:rPr>
          <w:lang w:val="en-CA"/>
        </w:rPr>
        <w:t xml:space="preserve"> filed an </w:t>
      </w:r>
      <w:r w:rsidR="006649F6" w:rsidRPr="000D1EAA">
        <w:rPr>
          <w:lang w:val="en-CA"/>
        </w:rPr>
        <w:t>application for</w:t>
      </w:r>
      <w:r w:rsidRPr="000D1EAA">
        <w:rPr>
          <w:lang w:val="en-CA"/>
        </w:rPr>
        <w:t xml:space="preserve"> </w:t>
      </w:r>
      <w:r w:rsidR="003F7B75" w:rsidRPr="000D1EAA">
        <w:rPr>
          <w:i/>
          <w:lang w:val="en-CA"/>
        </w:rPr>
        <w:t xml:space="preserve">certiorari </w:t>
      </w:r>
      <w:r w:rsidRPr="000D1EAA">
        <w:rPr>
          <w:lang w:val="en-CA"/>
        </w:rPr>
        <w:t xml:space="preserve">with the Superior Court to quash the </w:t>
      </w:r>
      <w:r w:rsidR="003F7B75" w:rsidRPr="000D1EAA">
        <w:rPr>
          <w:lang w:val="en-CA"/>
        </w:rPr>
        <w:t>d</w:t>
      </w:r>
      <w:r w:rsidRPr="000D1EAA">
        <w:rPr>
          <w:lang w:val="en-CA"/>
        </w:rPr>
        <w:t>e</w:t>
      </w:r>
      <w:r w:rsidR="003F7B75" w:rsidRPr="000D1EAA">
        <w:rPr>
          <w:lang w:val="en-CA"/>
        </w:rPr>
        <w:t xml:space="preserve">cisions </w:t>
      </w:r>
      <w:r w:rsidRPr="000D1EAA">
        <w:rPr>
          <w:lang w:val="en-CA"/>
        </w:rPr>
        <w:t xml:space="preserve">of the </w:t>
      </w:r>
      <w:r w:rsidR="00A13DE2" w:rsidRPr="000D1EAA">
        <w:rPr>
          <w:lang w:val="en-CA"/>
        </w:rPr>
        <w:t xml:space="preserve">judge </w:t>
      </w:r>
      <w:r w:rsidRPr="000D1EAA">
        <w:rPr>
          <w:lang w:val="en-CA"/>
        </w:rPr>
        <w:t xml:space="preserve">of the </w:t>
      </w:r>
      <w:r w:rsidR="007D535C">
        <w:rPr>
          <w:lang w:val="en-CA"/>
        </w:rPr>
        <w:t>Court of Québec</w:t>
      </w:r>
      <w:r w:rsidR="003F7B75" w:rsidRPr="000D1EAA">
        <w:rPr>
          <w:lang w:val="en-CA"/>
        </w:rPr>
        <w:t xml:space="preserve">. </w:t>
      </w:r>
      <w:r w:rsidRPr="000D1EAA">
        <w:rPr>
          <w:lang w:val="en-CA"/>
        </w:rPr>
        <w:t xml:space="preserve">The case was heard by </w:t>
      </w:r>
      <w:r w:rsidR="003F7B75" w:rsidRPr="000D1EAA">
        <w:rPr>
          <w:lang w:val="en-CA"/>
        </w:rPr>
        <w:t xml:space="preserve">Pronovost </w:t>
      </w:r>
      <w:r w:rsidR="005752C0">
        <w:rPr>
          <w:lang w:val="en-CA"/>
        </w:rPr>
        <w:t xml:space="preserve">J.S.C. </w:t>
      </w:r>
      <w:r w:rsidRPr="000D1EAA">
        <w:rPr>
          <w:lang w:val="en-CA"/>
        </w:rPr>
        <w:t xml:space="preserve">on November 19, </w:t>
      </w:r>
      <w:r w:rsidR="003F7B75" w:rsidRPr="000D1EAA">
        <w:rPr>
          <w:lang w:val="en-CA"/>
        </w:rPr>
        <w:t>2021</w:t>
      </w:r>
      <w:r w:rsidRPr="000D1EAA">
        <w:rPr>
          <w:lang w:val="en-CA"/>
        </w:rPr>
        <w:t xml:space="preserve">. He </w:t>
      </w:r>
      <w:r w:rsidR="005752C0">
        <w:rPr>
          <w:lang w:val="en-CA"/>
        </w:rPr>
        <w:t xml:space="preserve">rendered </w:t>
      </w:r>
      <w:r w:rsidRPr="000D1EAA">
        <w:rPr>
          <w:lang w:val="en-CA"/>
        </w:rPr>
        <w:t>judgment on December 2</w:t>
      </w:r>
      <w:r w:rsidR="003F7B75" w:rsidRPr="000D1EAA">
        <w:rPr>
          <w:lang w:val="en-CA"/>
        </w:rPr>
        <w:t xml:space="preserve">, </w:t>
      </w:r>
      <w:r w:rsidR="00952F1F" w:rsidRPr="000D1EAA">
        <w:rPr>
          <w:lang w:val="en-CA"/>
        </w:rPr>
        <w:t>2021,</w:t>
      </w:r>
      <w:r w:rsidR="003F7B75" w:rsidRPr="000D1EAA">
        <w:rPr>
          <w:lang w:val="en-CA"/>
        </w:rPr>
        <w:t xml:space="preserve"> </w:t>
      </w:r>
      <w:r w:rsidRPr="000D1EAA">
        <w:rPr>
          <w:lang w:val="en-CA"/>
        </w:rPr>
        <w:t xml:space="preserve">and </w:t>
      </w:r>
      <w:r w:rsidR="005752C0">
        <w:rPr>
          <w:lang w:val="en-CA"/>
        </w:rPr>
        <w:t>corrected</w:t>
      </w:r>
      <w:r w:rsidR="003F7B75" w:rsidRPr="000D1EAA">
        <w:rPr>
          <w:lang w:val="en-CA"/>
        </w:rPr>
        <w:t xml:space="preserve"> </w:t>
      </w:r>
      <w:r w:rsidRPr="000D1EAA">
        <w:rPr>
          <w:lang w:val="en-CA"/>
        </w:rPr>
        <w:t xml:space="preserve">it the next </w:t>
      </w:r>
      <w:r w:rsidR="00A13DE2" w:rsidRPr="000D1EAA">
        <w:rPr>
          <w:lang w:val="en-CA"/>
        </w:rPr>
        <w:t>day</w:t>
      </w:r>
      <w:r w:rsidR="003F7B75" w:rsidRPr="000D1EAA">
        <w:rPr>
          <w:lang w:val="en-CA"/>
        </w:rPr>
        <w:t>.</w:t>
      </w:r>
    </w:p>
    <w:p w14:paraId="59BE570B" w14:textId="703ED435" w:rsidR="00514E9A" w:rsidRPr="000D1EAA" w:rsidRDefault="002B27D0" w:rsidP="00514E9A">
      <w:pPr>
        <w:pStyle w:val="Paragraphe"/>
        <w:numPr>
          <w:ilvl w:val="0"/>
          <w:numId w:val="0"/>
        </w:numPr>
        <w:spacing w:before="240" w:after="240" w:line="240" w:lineRule="auto"/>
        <w:rPr>
          <w:b/>
          <w:u w:val="single"/>
          <w:lang w:val="en-CA"/>
        </w:rPr>
      </w:pPr>
      <w:r w:rsidRPr="000D1EAA">
        <w:rPr>
          <w:b/>
          <w:u w:val="single"/>
          <w:lang w:val="en-CA"/>
        </w:rPr>
        <w:t>THE</w:t>
      </w:r>
      <w:r w:rsidR="003F7B75" w:rsidRPr="000D1EAA">
        <w:rPr>
          <w:b/>
          <w:u w:val="single"/>
          <w:lang w:val="en-CA"/>
        </w:rPr>
        <w:t xml:space="preserve"> </w:t>
      </w:r>
      <w:r w:rsidRPr="000D1EAA">
        <w:rPr>
          <w:b/>
          <w:u w:val="single"/>
          <w:lang w:val="en-CA"/>
        </w:rPr>
        <w:t>SUPERIOR COURT JUDGMENT</w:t>
      </w:r>
    </w:p>
    <w:p w14:paraId="761E2B17" w14:textId="539E6127" w:rsidR="00514E9A" w:rsidRPr="000D1EAA" w:rsidRDefault="0027704F" w:rsidP="00514E9A">
      <w:pPr>
        <w:pStyle w:val="Paragraphe"/>
        <w:spacing w:line="240" w:lineRule="auto"/>
        <w:rPr>
          <w:lang w:val="en-CA"/>
        </w:rPr>
      </w:pPr>
      <w:r w:rsidRPr="000D1EAA">
        <w:rPr>
          <w:lang w:val="en-CA"/>
        </w:rPr>
        <w:t xml:space="preserve">Basing himself </w:t>
      </w:r>
      <w:r w:rsidR="00B61A78">
        <w:rPr>
          <w:lang w:val="en-CA"/>
        </w:rPr>
        <w:t>on</w:t>
      </w:r>
      <w:r w:rsidRPr="000D1EAA">
        <w:rPr>
          <w:lang w:val="en-CA"/>
        </w:rPr>
        <w:t xml:space="preserve"> </w:t>
      </w:r>
      <w:proofErr w:type="spellStart"/>
      <w:r w:rsidR="003F7B75" w:rsidRPr="000D1EAA">
        <w:rPr>
          <w:i/>
          <w:iCs/>
          <w:lang w:val="en-CA"/>
        </w:rPr>
        <w:t>Loyer</w:t>
      </w:r>
      <w:proofErr w:type="spellEnd"/>
      <w:r w:rsidRPr="00B00106">
        <w:rPr>
          <w:lang w:val="en-CA"/>
        </w:rPr>
        <w:t>,</w:t>
      </w:r>
      <w:r w:rsidR="003F7B75" w:rsidRPr="000D1EAA">
        <w:rPr>
          <w:rStyle w:val="Appelnotedebasdep"/>
          <w:lang w:val="en-CA"/>
        </w:rPr>
        <w:footnoteReference w:id="2"/>
      </w:r>
      <w:r w:rsidR="003F7B75" w:rsidRPr="000D1EAA">
        <w:rPr>
          <w:lang w:val="en-CA"/>
        </w:rPr>
        <w:t xml:space="preserve"> Pronovost </w:t>
      </w:r>
      <w:r w:rsidR="00952F1F">
        <w:rPr>
          <w:lang w:val="en-CA"/>
        </w:rPr>
        <w:t xml:space="preserve">J.S.C. </w:t>
      </w:r>
      <w:r w:rsidRPr="000D1EAA">
        <w:rPr>
          <w:lang w:val="en-CA"/>
        </w:rPr>
        <w:t xml:space="preserve">found that the </w:t>
      </w:r>
      <w:r w:rsidR="007D535C">
        <w:rPr>
          <w:lang w:val="en-CA"/>
        </w:rPr>
        <w:t>Court of Québec</w:t>
      </w:r>
      <w:r w:rsidR="003F7B75" w:rsidRPr="000D1EAA">
        <w:rPr>
          <w:lang w:val="en-CA"/>
        </w:rPr>
        <w:t xml:space="preserve"> </w:t>
      </w:r>
      <w:r w:rsidR="00952F1F">
        <w:rPr>
          <w:lang w:val="en-CA"/>
        </w:rPr>
        <w:t xml:space="preserve">judge </w:t>
      </w:r>
      <w:r w:rsidRPr="000D1EAA">
        <w:rPr>
          <w:lang w:val="en-CA"/>
        </w:rPr>
        <w:t>had erred</w:t>
      </w:r>
      <w:r w:rsidR="003F7B75" w:rsidRPr="000D1EAA">
        <w:rPr>
          <w:lang w:val="en-CA"/>
        </w:rPr>
        <w:t xml:space="preserve">. </w:t>
      </w:r>
      <w:r w:rsidRPr="000D1EAA">
        <w:rPr>
          <w:lang w:val="en-CA"/>
        </w:rPr>
        <w:t xml:space="preserve">While the </w:t>
      </w:r>
      <w:r w:rsidR="006463F8" w:rsidRPr="000D1EAA">
        <w:rPr>
          <w:lang w:val="en-CA"/>
        </w:rPr>
        <w:t>appellant</w:t>
      </w:r>
      <w:r w:rsidR="003F7B75" w:rsidRPr="000D1EAA">
        <w:rPr>
          <w:lang w:val="en-CA"/>
        </w:rPr>
        <w:t xml:space="preserve"> </w:t>
      </w:r>
      <w:r w:rsidRPr="000D1EAA">
        <w:rPr>
          <w:lang w:val="en-CA"/>
        </w:rPr>
        <w:t xml:space="preserve">argued that the </w:t>
      </w:r>
      <w:r w:rsidR="003F7B75" w:rsidRPr="000D1EAA">
        <w:rPr>
          <w:lang w:val="en-CA"/>
        </w:rPr>
        <w:t>princip</w:t>
      </w:r>
      <w:r w:rsidRPr="000D1EAA">
        <w:rPr>
          <w:lang w:val="en-CA"/>
        </w:rPr>
        <w:t>l</w:t>
      </w:r>
      <w:r w:rsidR="003F7B75" w:rsidRPr="000D1EAA">
        <w:rPr>
          <w:lang w:val="en-CA"/>
        </w:rPr>
        <w:t xml:space="preserve">e </w:t>
      </w:r>
      <w:r w:rsidRPr="000D1EAA">
        <w:rPr>
          <w:lang w:val="en-CA"/>
        </w:rPr>
        <w:t xml:space="preserve">of </w:t>
      </w:r>
      <w:proofErr w:type="spellStart"/>
      <w:r w:rsidR="003F7B75" w:rsidRPr="000D1EAA">
        <w:rPr>
          <w:i/>
          <w:lang w:val="en-CA"/>
        </w:rPr>
        <w:t>Loyer</w:t>
      </w:r>
      <w:proofErr w:type="spellEnd"/>
      <w:r w:rsidR="003F7B75" w:rsidRPr="000D1EAA">
        <w:rPr>
          <w:lang w:val="en-CA"/>
        </w:rPr>
        <w:t xml:space="preserve"> </w:t>
      </w:r>
      <w:r w:rsidRPr="000D1EAA">
        <w:rPr>
          <w:lang w:val="en-CA"/>
        </w:rPr>
        <w:t>did not apply to the offences in question</w:t>
      </w:r>
      <w:r w:rsidR="003F7B75" w:rsidRPr="000D1EAA">
        <w:rPr>
          <w:lang w:val="en-CA"/>
        </w:rPr>
        <w:t xml:space="preserve">, Pronovost </w:t>
      </w:r>
      <w:r w:rsidR="00952F1F">
        <w:rPr>
          <w:lang w:val="en-CA"/>
        </w:rPr>
        <w:t xml:space="preserve">J.S.C. </w:t>
      </w:r>
      <w:r w:rsidRPr="000D1EAA">
        <w:rPr>
          <w:lang w:val="en-CA"/>
        </w:rPr>
        <w:t xml:space="preserve">referred to a number of </w:t>
      </w:r>
      <w:r w:rsidR="003F7B75" w:rsidRPr="000D1EAA">
        <w:rPr>
          <w:lang w:val="en-CA"/>
        </w:rPr>
        <w:t xml:space="preserve">sources </w:t>
      </w:r>
      <w:r w:rsidRPr="000D1EAA">
        <w:rPr>
          <w:lang w:val="en-CA"/>
        </w:rPr>
        <w:t>that stated the contrary</w:t>
      </w:r>
      <w:r w:rsidR="003F7B75" w:rsidRPr="000D1EAA">
        <w:rPr>
          <w:lang w:val="en-CA"/>
        </w:rPr>
        <w:t xml:space="preserve">. Pronovost </w:t>
      </w:r>
      <w:r w:rsidR="00952F1F">
        <w:rPr>
          <w:lang w:val="en-CA"/>
        </w:rPr>
        <w:t xml:space="preserve">J.S.C. </w:t>
      </w:r>
      <w:r w:rsidRPr="000D1EAA">
        <w:rPr>
          <w:lang w:val="en-CA"/>
        </w:rPr>
        <w:t xml:space="preserve">therefore found as follows </w:t>
      </w:r>
      <w:r w:rsidR="00FB5EB8">
        <w:rPr>
          <w:lang w:val="en-CA"/>
        </w:rPr>
        <w:t>with regard to the substantive issue</w:t>
      </w:r>
      <w:r w:rsidRPr="000D1EAA">
        <w:rPr>
          <w:lang w:val="en-CA"/>
        </w:rPr>
        <w:t>:</w:t>
      </w:r>
      <w:r w:rsidR="003F7B75" w:rsidRPr="000D1EAA">
        <w:rPr>
          <w:rStyle w:val="Appelnotedebasdep"/>
          <w:lang w:val="en-CA"/>
        </w:rPr>
        <w:footnoteReference w:id="3"/>
      </w:r>
    </w:p>
    <w:p w14:paraId="14D1C649" w14:textId="3F75B76F" w:rsidR="003159E3" w:rsidRPr="000D1EAA" w:rsidRDefault="001D196F" w:rsidP="003159E3">
      <w:pPr>
        <w:pStyle w:val="Paragraphe"/>
        <w:numPr>
          <w:ilvl w:val="0"/>
          <w:numId w:val="0"/>
        </w:numPr>
        <w:spacing w:line="240" w:lineRule="auto"/>
        <w:ind w:left="720"/>
        <w:rPr>
          <w:lang w:val="en-CA"/>
        </w:rPr>
      </w:pPr>
      <w:r w:rsidRPr="000D1EAA">
        <w:rPr>
          <w:lang w:val="en-CA"/>
        </w:rPr>
        <w:t>[</w:t>
      </w:r>
      <w:r w:rsidR="00724707" w:rsidRPr="000D1EAA">
        <w:rPr>
          <w:smallCaps/>
          <w:lang w:val="en-CA"/>
        </w:rPr>
        <w:t>translation</w:t>
      </w:r>
      <w:r w:rsidRPr="000D1EAA">
        <w:rPr>
          <w:lang w:val="en-CA"/>
        </w:rPr>
        <w:t>]</w:t>
      </w:r>
    </w:p>
    <w:p w14:paraId="7E681959" w14:textId="5772D4F5" w:rsidR="00514E9A" w:rsidRPr="000D1EAA" w:rsidRDefault="003F7B75" w:rsidP="00514E9A">
      <w:pPr>
        <w:pStyle w:val="Citationenretrait"/>
        <w:spacing w:line="240" w:lineRule="auto"/>
        <w:rPr>
          <w:lang w:val="en-CA" w:eastAsia="fr-CA"/>
        </w:rPr>
      </w:pPr>
      <w:r w:rsidRPr="000D1EAA">
        <w:rPr>
          <w:lang w:val="en-CA" w:eastAsia="fr-CA"/>
        </w:rPr>
        <w:t>[</w:t>
      </w:r>
      <w:bookmarkStart w:id="14" w:name="par42"/>
      <w:r w:rsidRPr="000D1EAA">
        <w:rPr>
          <w:lang w:val="en-CA" w:eastAsia="fr-CA"/>
        </w:rPr>
        <w:t>42</w:t>
      </w:r>
      <w:bookmarkEnd w:id="14"/>
      <w:r w:rsidRPr="000D1EAA">
        <w:rPr>
          <w:lang w:val="en-CA" w:eastAsia="fr-CA"/>
        </w:rPr>
        <w:t>]</w:t>
      </w:r>
      <w:r w:rsidRPr="000D1EAA">
        <w:rPr>
          <w:rFonts w:ascii="Times New Roman" w:hAnsi="Times New Roman"/>
          <w:sz w:val="14"/>
          <w:szCs w:val="14"/>
          <w:lang w:val="en-CA" w:eastAsia="fr-CA"/>
        </w:rPr>
        <w:tab/>
      </w:r>
      <w:r w:rsidR="00FB5EB8">
        <w:rPr>
          <w:lang w:val="en-CA" w:eastAsia="fr-CA"/>
        </w:rPr>
        <w:t xml:space="preserve">The </w:t>
      </w:r>
      <w:r w:rsidR="005C1D2B">
        <w:rPr>
          <w:lang w:val="en-CA" w:eastAsia="fr-CA"/>
        </w:rPr>
        <w:t xml:space="preserve">case law and commentary </w:t>
      </w:r>
      <w:r w:rsidR="00FB5EB8">
        <w:rPr>
          <w:lang w:val="en-CA" w:eastAsia="fr-CA"/>
        </w:rPr>
        <w:t>establish that</w:t>
      </w:r>
      <w:r w:rsidRPr="000D1EAA">
        <w:rPr>
          <w:lang w:val="en-CA" w:eastAsia="fr-CA"/>
        </w:rPr>
        <w:t xml:space="preserve"> </w:t>
      </w:r>
      <w:r w:rsidR="0064192B" w:rsidRPr="000D1EAA">
        <w:rPr>
          <w:lang w:val="en-CA" w:eastAsia="fr-CA"/>
        </w:rPr>
        <w:t xml:space="preserve">the </w:t>
      </w:r>
      <w:r w:rsidR="007C62E4" w:rsidRPr="000D1EAA">
        <w:rPr>
          <w:lang w:val="en-CA" w:eastAsia="fr-CA"/>
        </w:rPr>
        <w:t>respondent</w:t>
      </w:r>
      <w:r w:rsidRPr="000D1EAA">
        <w:rPr>
          <w:lang w:val="en-CA" w:eastAsia="fr-CA"/>
        </w:rPr>
        <w:t xml:space="preserve"> </w:t>
      </w:r>
      <w:r w:rsidR="00FB5EB8">
        <w:rPr>
          <w:lang w:val="en-CA" w:eastAsia="fr-CA"/>
        </w:rPr>
        <w:t>erred in</w:t>
      </w:r>
      <w:r w:rsidR="0064192B" w:rsidRPr="000D1EAA">
        <w:rPr>
          <w:lang w:val="en-CA" w:eastAsia="fr-CA"/>
        </w:rPr>
        <w:t xml:space="preserve"> </w:t>
      </w:r>
      <w:r w:rsidR="00CC6D18" w:rsidRPr="000D1EAA">
        <w:rPr>
          <w:lang w:val="en-CA" w:eastAsia="fr-CA"/>
        </w:rPr>
        <w:t xml:space="preserve">passing </w:t>
      </w:r>
      <w:r w:rsidR="0064192B" w:rsidRPr="000D1EAA">
        <w:rPr>
          <w:lang w:val="en-CA" w:eastAsia="fr-CA"/>
        </w:rPr>
        <w:t xml:space="preserve">sentence </w:t>
      </w:r>
      <w:r w:rsidR="00CC6D18" w:rsidRPr="000D1EAA">
        <w:rPr>
          <w:lang w:val="en-CA" w:eastAsia="fr-CA"/>
        </w:rPr>
        <w:t xml:space="preserve">immediately </w:t>
      </w:r>
      <w:r w:rsidR="0064192B" w:rsidRPr="000D1EAA">
        <w:rPr>
          <w:lang w:val="en-CA" w:eastAsia="fr-CA"/>
        </w:rPr>
        <w:t xml:space="preserve">on the first </w:t>
      </w:r>
      <w:r w:rsidR="00E64233">
        <w:rPr>
          <w:lang w:val="en-CA" w:eastAsia="fr-CA"/>
        </w:rPr>
        <w:t>count</w:t>
      </w:r>
      <w:r w:rsidR="0064192B" w:rsidRPr="000D1EAA">
        <w:rPr>
          <w:lang w:val="en-CA" w:eastAsia="fr-CA"/>
        </w:rPr>
        <w:t xml:space="preserve">. He should have </w:t>
      </w:r>
      <w:r w:rsidR="00480F1F">
        <w:rPr>
          <w:lang w:val="en-CA" w:eastAsia="fr-CA"/>
        </w:rPr>
        <w:t xml:space="preserve">held </w:t>
      </w:r>
      <w:r w:rsidR="0064192B" w:rsidRPr="000D1EAA">
        <w:rPr>
          <w:lang w:val="en-CA" w:eastAsia="fr-CA"/>
        </w:rPr>
        <w:t>the guilty plea</w:t>
      </w:r>
      <w:r w:rsidR="00480F1F">
        <w:rPr>
          <w:lang w:val="en-CA" w:eastAsia="fr-CA"/>
        </w:rPr>
        <w:t xml:space="preserve"> in abeyance</w:t>
      </w:r>
      <w:r w:rsidR="0064192B" w:rsidRPr="000D1EAA">
        <w:rPr>
          <w:lang w:val="en-CA" w:eastAsia="fr-CA"/>
        </w:rPr>
        <w:t xml:space="preserve"> and heard the evidence on the second c</w:t>
      </w:r>
      <w:r w:rsidR="00E64233">
        <w:rPr>
          <w:lang w:val="en-CA" w:eastAsia="fr-CA"/>
        </w:rPr>
        <w:t>ount</w:t>
      </w:r>
      <w:r w:rsidR="0064192B" w:rsidRPr="000D1EAA">
        <w:rPr>
          <w:lang w:val="en-CA" w:eastAsia="fr-CA"/>
        </w:rPr>
        <w:t xml:space="preserve"> since </w:t>
      </w:r>
      <w:r w:rsidR="0009035A">
        <w:rPr>
          <w:lang w:val="en-CA" w:eastAsia="fr-CA"/>
        </w:rPr>
        <w:t>the facts were the same.</w:t>
      </w:r>
    </w:p>
    <w:p w14:paraId="7AA15F3E" w14:textId="22746807" w:rsidR="00514E9A" w:rsidRPr="000D1EAA" w:rsidRDefault="003F7B75" w:rsidP="00514E9A">
      <w:pPr>
        <w:pStyle w:val="Citationenretrait"/>
        <w:spacing w:line="240" w:lineRule="auto"/>
        <w:rPr>
          <w:lang w:val="en-CA" w:eastAsia="fr-CA"/>
        </w:rPr>
      </w:pPr>
      <w:r w:rsidRPr="000D1EAA">
        <w:rPr>
          <w:lang w:val="en-CA" w:eastAsia="fr-CA"/>
        </w:rPr>
        <w:t>[</w:t>
      </w:r>
      <w:bookmarkStart w:id="15" w:name="par43"/>
      <w:r w:rsidRPr="000D1EAA">
        <w:rPr>
          <w:lang w:val="en-CA" w:eastAsia="fr-CA"/>
        </w:rPr>
        <w:t>43</w:t>
      </w:r>
      <w:bookmarkEnd w:id="15"/>
      <w:r w:rsidRPr="000D1EAA">
        <w:rPr>
          <w:lang w:val="en-CA" w:eastAsia="fr-CA"/>
        </w:rPr>
        <w:t>]</w:t>
      </w:r>
      <w:r w:rsidRPr="000D1EAA">
        <w:rPr>
          <w:rFonts w:ascii="Times New Roman" w:hAnsi="Times New Roman"/>
          <w:sz w:val="14"/>
          <w:szCs w:val="14"/>
          <w:lang w:val="en-CA" w:eastAsia="fr-CA"/>
        </w:rPr>
        <w:tab/>
      </w:r>
      <w:r w:rsidR="0064192B" w:rsidRPr="000D1EAA">
        <w:rPr>
          <w:lang w:val="en-CA" w:eastAsia="fr-CA"/>
        </w:rPr>
        <w:t>By acting in this way, the</w:t>
      </w:r>
      <w:r w:rsidRPr="000D1EAA">
        <w:rPr>
          <w:lang w:val="en-CA" w:eastAsia="fr-CA"/>
        </w:rPr>
        <w:t xml:space="preserve"> </w:t>
      </w:r>
      <w:r w:rsidR="007C62E4" w:rsidRPr="000D1EAA">
        <w:rPr>
          <w:lang w:val="en-CA" w:eastAsia="fr-CA"/>
        </w:rPr>
        <w:t>respondent</w:t>
      </w:r>
      <w:r w:rsidRPr="000D1EAA">
        <w:rPr>
          <w:lang w:val="en-CA" w:eastAsia="fr-CA"/>
        </w:rPr>
        <w:t xml:space="preserve"> </w:t>
      </w:r>
      <w:r w:rsidR="0064192B" w:rsidRPr="000D1EAA">
        <w:rPr>
          <w:lang w:val="en-CA" w:eastAsia="fr-CA"/>
        </w:rPr>
        <w:t xml:space="preserve">prevented the </w:t>
      </w:r>
      <w:r w:rsidR="00B74598" w:rsidRPr="000D1EAA">
        <w:rPr>
          <w:lang w:val="en-CA" w:eastAsia="fr-CA"/>
        </w:rPr>
        <w:t>applicant</w:t>
      </w:r>
      <w:r w:rsidR="0064192B" w:rsidRPr="000D1EAA">
        <w:rPr>
          <w:lang w:val="en-CA" w:eastAsia="fr-CA"/>
        </w:rPr>
        <w:t xml:space="preserve"> from obtaining a decision </w:t>
      </w:r>
      <w:r w:rsidR="005F0424">
        <w:rPr>
          <w:lang w:val="en-CA" w:eastAsia="fr-CA"/>
        </w:rPr>
        <w:t>c</w:t>
      </w:r>
      <w:r w:rsidR="0064192B" w:rsidRPr="000D1EAA">
        <w:rPr>
          <w:lang w:val="en-CA" w:eastAsia="fr-CA"/>
        </w:rPr>
        <w:t>on</w:t>
      </w:r>
      <w:r w:rsidR="005F0424">
        <w:rPr>
          <w:lang w:val="en-CA" w:eastAsia="fr-CA"/>
        </w:rPr>
        <w:t>cerning</w:t>
      </w:r>
      <w:r w:rsidR="0064192B" w:rsidRPr="000D1EAA">
        <w:rPr>
          <w:lang w:val="en-CA" w:eastAsia="fr-CA"/>
        </w:rPr>
        <w:t xml:space="preserve"> guilt </w:t>
      </w:r>
      <w:r w:rsidR="00E64233">
        <w:rPr>
          <w:lang w:val="en-CA" w:eastAsia="fr-CA"/>
        </w:rPr>
        <w:t>on</w:t>
      </w:r>
      <w:r w:rsidR="0064192B" w:rsidRPr="000D1EAA">
        <w:rPr>
          <w:lang w:val="en-CA" w:eastAsia="fr-CA"/>
        </w:rPr>
        <w:t xml:space="preserve"> the second </w:t>
      </w:r>
      <w:r w:rsidR="00E64233">
        <w:rPr>
          <w:lang w:val="en-CA" w:eastAsia="fr-CA"/>
        </w:rPr>
        <w:t>count</w:t>
      </w:r>
      <w:r w:rsidR="0064192B" w:rsidRPr="000D1EAA">
        <w:rPr>
          <w:lang w:val="en-CA" w:eastAsia="fr-CA"/>
        </w:rPr>
        <w:t xml:space="preserve"> and </w:t>
      </w:r>
      <w:r w:rsidR="00760537" w:rsidRPr="000D1EAA">
        <w:rPr>
          <w:lang w:val="en-CA" w:eastAsia="fr-CA"/>
        </w:rPr>
        <w:t xml:space="preserve">a fit </w:t>
      </w:r>
      <w:r w:rsidRPr="000D1EAA">
        <w:rPr>
          <w:lang w:val="en-CA" w:eastAsia="fr-CA"/>
        </w:rPr>
        <w:t>sentence</w:t>
      </w:r>
      <w:r w:rsidR="0064192B" w:rsidRPr="000D1EAA">
        <w:rPr>
          <w:lang w:val="en-CA" w:eastAsia="fr-CA"/>
        </w:rPr>
        <w:t xml:space="preserve">. </w:t>
      </w:r>
      <w:r w:rsidR="005375A3">
        <w:rPr>
          <w:lang w:val="en-CA" w:eastAsia="fr-CA"/>
        </w:rPr>
        <w:t>This</w:t>
      </w:r>
      <w:r w:rsidR="0064192B" w:rsidRPr="000D1EAA">
        <w:rPr>
          <w:lang w:val="en-CA" w:eastAsia="fr-CA"/>
        </w:rPr>
        <w:t xml:space="preserve"> </w:t>
      </w:r>
      <w:r w:rsidR="006C0288">
        <w:rPr>
          <w:lang w:val="en-CA" w:eastAsia="fr-CA"/>
        </w:rPr>
        <w:t xml:space="preserve">is what was argued by </w:t>
      </w:r>
      <w:r w:rsidR="00760537" w:rsidRPr="000D1EAA">
        <w:rPr>
          <w:lang w:val="en-CA" w:eastAsia="fr-CA"/>
        </w:rPr>
        <w:t xml:space="preserve">counsel </w:t>
      </w:r>
      <w:r w:rsidR="0064192B" w:rsidRPr="000D1EAA">
        <w:rPr>
          <w:lang w:val="en-CA" w:eastAsia="fr-CA"/>
        </w:rPr>
        <w:t xml:space="preserve">for the </w:t>
      </w:r>
      <w:r w:rsidR="005A3429" w:rsidRPr="000D1EAA">
        <w:rPr>
          <w:lang w:val="en-CA" w:eastAsia="fr-CA"/>
        </w:rPr>
        <w:t>impleaded party</w:t>
      </w:r>
      <w:r w:rsidR="00E64233">
        <w:rPr>
          <w:lang w:val="en-CA" w:eastAsia="fr-CA"/>
        </w:rPr>
        <w:t>;</w:t>
      </w:r>
      <w:r w:rsidR="0064192B" w:rsidRPr="000D1EAA">
        <w:rPr>
          <w:lang w:val="en-CA" w:eastAsia="fr-CA"/>
        </w:rPr>
        <w:t xml:space="preserve"> namely, that the judge who </w:t>
      </w:r>
      <w:r w:rsidR="005375A3">
        <w:rPr>
          <w:lang w:val="en-CA" w:eastAsia="fr-CA"/>
        </w:rPr>
        <w:t>will hear</w:t>
      </w:r>
      <w:r w:rsidR="0064192B" w:rsidRPr="000D1EAA">
        <w:rPr>
          <w:lang w:val="en-CA" w:eastAsia="fr-CA"/>
        </w:rPr>
        <w:t xml:space="preserve"> the second c</w:t>
      </w:r>
      <w:r w:rsidR="005375A3">
        <w:rPr>
          <w:lang w:val="en-CA" w:eastAsia="fr-CA"/>
        </w:rPr>
        <w:t>ount</w:t>
      </w:r>
      <w:r w:rsidR="0064192B" w:rsidRPr="000D1EAA">
        <w:rPr>
          <w:lang w:val="en-CA" w:eastAsia="fr-CA"/>
        </w:rPr>
        <w:t xml:space="preserve"> would have no choice but to </w:t>
      </w:r>
      <w:r w:rsidR="00E64233">
        <w:rPr>
          <w:lang w:val="en-CA" w:eastAsia="fr-CA"/>
        </w:rPr>
        <w:t>order</w:t>
      </w:r>
      <w:r w:rsidR="0064192B" w:rsidRPr="000D1EAA">
        <w:rPr>
          <w:lang w:val="en-CA" w:eastAsia="fr-CA"/>
        </w:rPr>
        <w:t xml:space="preserve"> a stay of proceedings.</w:t>
      </w:r>
    </w:p>
    <w:p w14:paraId="1BCFCDBA" w14:textId="52D1FC09" w:rsidR="00514E9A" w:rsidRPr="000D1EAA" w:rsidRDefault="003F7B75" w:rsidP="00514E9A">
      <w:pPr>
        <w:pStyle w:val="Citationenretrait"/>
        <w:spacing w:line="240" w:lineRule="auto"/>
        <w:rPr>
          <w:lang w:val="en-CA" w:eastAsia="fr-CA"/>
        </w:rPr>
      </w:pPr>
      <w:r w:rsidRPr="000D1EAA">
        <w:rPr>
          <w:lang w:val="en-CA" w:eastAsia="fr-CA"/>
        </w:rPr>
        <w:t>[</w:t>
      </w:r>
      <w:bookmarkStart w:id="16" w:name="par44"/>
      <w:r w:rsidRPr="000D1EAA">
        <w:rPr>
          <w:lang w:val="en-CA" w:eastAsia="fr-CA"/>
        </w:rPr>
        <w:t>44</w:t>
      </w:r>
      <w:bookmarkEnd w:id="16"/>
      <w:r w:rsidRPr="000D1EAA">
        <w:rPr>
          <w:lang w:val="en-CA" w:eastAsia="fr-CA"/>
        </w:rPr>
        <w:t>]</w:t>
      </w:r>
      <w:r w:rsidRPr="000D1EAA">
        <w:rPr>
          <w:rFonts w:ascii="Times New Roman" w:hAnsi="Times New Roman"/>
          <w:sz w:val="14"/>
          <w:szCs w:val="14"/>
          <w:lang w:val="en-CA" w:eastAsia="fr-CA"/>
        </w:rPr>
        <w:tab/>
      </w:r>
      <w:r w:rsidR="0064192B" w:rsidRPr="000D1EAA">
        <w:rPr>
          <w:lang w:val="en-CA" w:eastAsia="fr-CA"/>
        </w:rPr>
        <w:t>In addition</w:t>
      </w:r>
      <w:r w:rsidRPr="000D1EAA">
        <w:rPr>
          <w:lang w:val="en-CA" w:eastAsia="fr-CA"/>
        </w:rPr>
        <w:t xml:space="preserve">, </w:t>
      </w:r>
      <w:r w:rsidR="0064192B" w:rsidRPr="000D1EAA">
        <w:rPr>
          <w:lang w:val="en-CA" w:eastAsia="fr-CA"/>
        </w:rPr>
        <w:t xml:space="preserve">the </w:t>
      </w:r>
      <w:r w:rsidR="007C62E4" w:rsidRPr="000D1EAA">
        <w:rPr>
          <w:lang w:val="en-CA" w:eastAsia="fr-CA"/>
        </w:rPr>
        <w:t>respondent</w:t>
      </w:r>
      <w:r w:rsidRPr="000D1EAA">
        <w:rPr>
          <w:lang w:val="en-CA" w:eastAsia="fr-CA"/>
        </w:rPr>
        <w:t xml:space="preserve"> </w:t>
      </w:r>
      <w:r w:rsidR="0064192B" w:rsidRPr="000D1EAA">
        <w:rPr>
          <w:lang w:val="en-CA" w:eastAsia="fr-CA"/>
        </w:rPr>
        <w:t>committed another error</w:t>
      </w:r>
      <w:r w:rsidR="007175E4">
        <w:rPr>
          <w:lang w:val="en-CA" w:eastAsia="fr-CA"/>
        </w:rPr>
        <w:t>, as</w:t>
      </w:r>
      <w:r w:rsidR="0064192B" w:rsidRPr="000D1EAA">
        <w:rPr>
          <w:lang w:val="en-CA" w:eastAsia="fr-CA"/>
        </w:rPr>
        <w:t xml:space="preserve"> he should have heard the evidence </w:t>
      </w:r>
      <w:r w:rsidR="007175E4">
        <w:rPr>
          <w:lang w:val="en-CA" w:eastAsia="fr-CA"/>
        </w:rPr>
        <w:t>on</w:t>
      </w:r>
      <w:r w:rsidR="0064192B" w:rsidRPr="000D1EAA">
        <w:rPr>
          <w:lang w:val="en-CA" w:eastAsia="fr-CA"/>
        </w:rPr>
        <w:t xml:space="preserve"> the second </w:t>
      </w:r>
      <w:r w:rsidR="007175E4">
        <w:rPr>
          <w:lang w:val="en-CA" w:eastAsia="fr-CA"/>
        </w:rPr>
        <w:t xml:space="preserve">count </w:t>
      </w:r>
      <w:r w:rsidR="0064192B" w:rsidRPr="000D1EAA">
        <w:rPr>
          <w:lang w:val="en-CA" w:eastAsia="fr-CA"/>
        </w:rPr>
        <w:t xml:space="preserve">since </w:t>
      </w:r>
      <w:r w:rsidR="007175E4">
        <w:rPr>
          <w:lang w:val="en-CA" w:eastAsia="fr-CA"/>
        </w:rPr>
        <w:t xml:space="preserve">the facts were </w:t>
      </w:r>
      <w:r w:rsidR="0064192B" w:rsidRPr="000D1EAA">
        <w:rPr>
          <w:lang w:val="en-CA" w:eastAsia="fr-CA"/>
        </w:rPr>
        <w:t>the same</w:t>
      </w:r>
      <w:r w:rsidRPr="000D1EAA">
        <w:rPr>
          <w:lang w:val="en-CA" w:eastAsia="fr-CA"/>
        </w:rPr>
        <w:t>.  </w:t>
      </w:r>
    </w:p>
    <w:p w14:paraId="0E142A52" w14:textId="3C89DD92" w:rsidR="00514E9A" w:rsidRPr="000D1EAA" w:rsidRDefault="0064192B" w:rsidP="002F3B11">
      <w:pPr>
        <w:pStyle w:val="Paragraphe"/>
        <w:spacing w:before="240" w:line="240" w:lineRule="auto"/>
        <w:rPr>
          <w:lang w:val="en-CA"/>
        </w:rPr>
      </w:pPr>
      <w:r w:rsidRPr="000D1EAA">
        <w:rPr>
          <w:lang w:val="en-CA"/>
        </w:rPr>
        <w:t>That said, the</w:t>
      </w:r>
      <w:r w:rsidR="003F7B75" w:rsidRPr="000D1EAA">
        <w:rPr>
          <w:lang w:val="en-CA"/>
        </w:rPr>
        <w:t xml:space="preserve"> </w:t>
      </w:r>
      <w:r w:rsidR="006463F8" w:rsidRPr="000D1EAA">
        <w:rPr>
          <w:lang w:val="en-CA"/>
        </w:rPr>
        <w:t>appellant</w:t>
      </w:r>
      <w:r w:rsidR="003F7B75" w:rsidRPr="000D1EAA">
        <w:rPr>
          <w:lang w:val="en-CA"/>
        </w:rPr>
        <w:t xml:space="preserve"> </w:t>
      </w:r>
      <w:r w:rsidRPr="000D1EAA">
        <w:rPr>
          <w:lang w:val="en-CA"/>
        </w:rPr>
        <w:t xml:space="preserve">also maintained that the Superior Court could not </w:t>
      </w:r>
      <w:r w:rsidR="008E7373" w:rsidRPr="000D1EAA">
        <w:rPr>
          <w:lang w:val="en-CA"/>
        </w:rPr>
        <w:t xml:space="preserve">consider </w:t>
      </w:r>
      <w:r w:rsidRPr="000D1EAA">
        <w:rPr>
          <w:lang w:val="en-CA"/>
        </w:rPr>
        <w:t xml:space="preserve">the </w:t>
      </w:r>
      <w:r w:rsidR="00DF56A8">
        <w:rPr>
          <w:lang w:val="en-CA"/>
        </w:rPr>
        <w:t>issue</w:t>
      </w:r>
      <w:r w:rsidRPr="000D1EAA">
        <w:rPr>
          <w:lang w:val="en-CA"/>
        </w:rPr>
        <w:t xml:space="preserve"> by way of </w:t>
      </w:r>
      <w:r w:rsidR="003F7B75" w:rsidRPr="000D1EAA">
        <w:rPr>
          <w:i/>
          <w:lang w:val="en-CA"/>
        </w:rPr>
        <w:t>certiorari</w:t>
      </w:r>
      <w:r w:rsidR="003F7B75" w:rsidRPr="000D1EAA">
        <w:rPr>
          <w:lang w:val="en-CA"/>
        </w:rPr>
        <w:t xml:space="preserve"> </w:t>
      </w:r>
      <w:r w:rsidRPr="000D1EAA">
        <w:rPr>
          <w:lang w:val="en-CA"/>
        </w:rPr>
        <w:t>but rather by way of an appeal</w:t>
      </w:r>
      <w:r w:rsidR="003F7B75" w:rsidRPr="000D1EAA">
        <w:rPr>
          <w:lang w:val="en-CA"/>
        </w:rPr>
        <w:t xml:space="preserve">. Pronovost </w:t>
      </w:r>
      <w:r w:rsidR="006C0288">
        <w:rPr>
          <w:lang w:val="en-CA"/>
        </w:rPr>
        <w:t xml:space="preserve">J.S.C. </w:t>
      </w:r>
      <w:r w:rsidRPr="000D1EAA">
        <w:rPr>
          <w:lang w:val="en-CA"/>
        </w:rPr>
        <w:t xml:space="preserve">dismissed this claim for the reasons </w:t>
      </w:r>
      <w:r w:rsidR="00477BDF">
        <w:rPr>
          <w:lang w:val="en-CA"/>
        </w:rPr>
        <w:t>that follow</w:t>
      </w:r>
      <w:r w:rsidRPr="000D1EAA">
        <w:rPr>
          <w:lang w:val="en-CA"/>
        </w:rPr>
        <w:t>:</w:t>
      </w:r>
      <w:r w:rsidR="003F7B75" w:rsidRPr="000D1EAA">
        <w:rPr>
          <w:rStyle w:val="Appelnotedebasdep"/>
          <w:lang w:val="en-CA"/>
        </w:rPr>
        <w:footnoteReference w:id="4"/>
      </w:r>
    </w:p>
    <w:p w14:paraId="472A9042" w14:textId="23EFDA89" w:rsidR="00EE3F1F" w:rsidRPr="000D1EAA" w:rsidRDefault="001D196F" w:rsidP="00EE3F1F">
      <w:pPr>
        <w:pStyle w:val="Paragraphe"/>
        <w:numPr>
          <w:ilvl w:val="0"/>
          <w:numId w:val="0"/>
        </w:numPr>
        <w:spacing w:before="240" w:line="240" w:lineRule="auto"/>
        <w:ind w:left="720"/>
        <w:rPr>
          <w:lang w:val="en-CA"/>
        </w:rPr>
      </w:pPr>
      <w:r w:rsidRPr="000D1EAA">
        <w:rPr>
          <w:lang w:val="en-CA"/>
        </w:rPr>
        <w:t>[</w:t>
      </w:r>
      <w:r w:rsidR="002E5D24" w:rsidRPr="000D1EAA">
        <w:rPr>
          <w:smallCaps/>
          <w:lang w:val="en-CA"/>
        </w:rPr>
        <w:t>translation</w:t>
      </w:r>
      <w:r w:rsidRPr="000D1EAA">
        <w:rPr>
          <w:lang w:val="en-CA"/>
        </w:rPr>
        <w:t>]</w:t>
      </w:r>
    </w:p>
    <w:p w14:paraId="36A845C9" w14:textId="0C219D5B" w:rsidR="00514E9A" w:rsidRPr="000D1EAA" w:rsidRDefault="003F7B75" w:rsidP="00514E9A">
      <w:pPr>
        <w:pStyle w:val="Citationenretrait"/>
        <w:spacing w:line="240" w:lineRule="auto"/>
        <w:rPr>
          <w:lang w:val="en-CA" w:eastAsia="fr-CA"/>
        </w:rPr>
      </w:pPr>
      <w:r w:rsidRPr="000D1EAA">
        <w:rPr>
          <w:lang w:val="en-CA" w:eastAsia="fr-CA"/>
        </w:rPr>
        <w:t>[</w:t>
      </w:r>
      <w:bookmarkStart w:id="17" w:name="par45"/>
      <w:r w:rsidRPr="000D1EAA">
        <w:rPr>
          <w:lang w:val="en-CA" w:eastAsia="fr-CA"/>
        </w:rPr>
        <w:t>45</w:t>
      </w:r>
      <w:bookmarkEnd w:id="17"/>
      <w:r w:rsidRPr="000D1EAA">
        <w:rPr>
          <w:lang w:val="en-CA" w:eastAsia="fr-CA"/>
        </w:rPr>
        <w:t>]</w:t>
      </w:r>
      <w:r w:rsidRPr="000D1EAA">
        <w:rPr>
          <w:rFonts w:ascii="Times New Roman" w:hAnsi="Times New Roman"/>
          <w:sz w:val="14"/>
          <w:szCs w:val="14"/>
          <w:lang w:val="en-CA" w:eastAsia="fr-CA"/>
        </w:rPr>
        <w:tab/>
      </w:r>
      <w:r w:rsidR="00EB60DA" w:rsidRPr="000D1EAA">
        <w:rPr>
          <w:lang w:val="en-CA" w:eastAsia="fr-CA"/>
        </w:rPr>
        <w:t xml:space="preserve">Regarding the procedural vehicle, </w:t>
      </w:r>
      <w:r w:rsidR="007C32AA" w:rsidRPr="000D1EAA">
        <w:rPr>
          <w:lang w:val="en-CA" w:eastAsia="fr-CA"/>
        </w:rPr>
        <w:t xml:space="preserve">counsel </w:t>
      </w:r>
      <w:r w:rsidR="00EB60DA" w:rsidRPr="000D1EAA">
        <w:rPr>
          <w:lang w:val="en-CA" w:eastAsia="fr-CA"/>
        </w:rPr>
        <w:t xml:space="preserve">for the </w:t>
      </w:r>
      <w:r w:rsidR="005A3429" w:rsidRPr="000D1EAA">
        <w:rPr>
          <w:lang w:val="en-CA" w:eastAsia="fr-CA"/>
        </w:rPr>
        <w:t>impleaded party</w:t>
      </w:r>
      <w:r w:rsidRPr="000D1EAA">
        <w:rPr>
          <w:lang w:val="en-CA" w:eastAsia="fr-CA"/>
        </w:rPr>
        <w:t xml:space="preserve"> </w:t>
      </w:r>
      <w:r w:rsidR="00EB60DA" w:rsidRPr="000D1EAA">
        <w:rPr>
          <w:lang w:val="en-CA" w:eastAsia="fr-CA"/>
        </w:rPr>
        <w:t xml:space="preserve">argues that this is not an excess of jurisdiction and that the judge exercised his jurisdiction. The </w:t>
      </w:r>
      <w:r w:rsidR="00B74598" w:rsidRPr="000D1EAA">
        <w:rPr>
          <w:lang w:val="en-CA" w:eastAsia="fr-CA"/>
        </w:rPr>
        <w:t>applicant</w:t>
      </w:r>
      <w:r w:rsidRPr="000D1EAA">
        <w:rPr>
          <w:lang w:val="en-CA" w:eastAsia="fr-CA"/>
        </w:rPr>
        <w:t xml:space="preserve"> </w:t>
      </w:r>
      <w:r w:rsidR="007C32AA" w:rsidRPr="000D1EAA">
        <w:rPr>
          <w:lang w:val="en-CA" w:eastAsia="fr-CA"/>
        </w:rPr>
        <w:t>should have proceeded by appeal.</w:t>
      </w:r>
    </w:p>
    <w:p w14:paraId="7089FA1F" w14:textId="5E412333" w:rsidR="00514E9A" w:rsidRPr="000D1EAA" w:rsidRDefault="003F7B75" w:rsidP="00514E9A">
      <w:pPr>
        <w:pStyle w:val="Citationenretrait"/>
        <w:spacing w:line="240" w:lineRule="auto"/>
        <w:rPr>
          <w:lang w:val="en-CA" w:eastAsia="fr-CA"/>
        </w:rPr>
      </w:pPr>
      <w:r w:rsidRPr="000D1EAA">
        <w:rPr>
          <w:lang w:val="en-CA" w:eastAsia="fr-CA"/>
        </w:rPr>
        <w:lastRenderedPageBreak/>
        <w:t>[</w:t>
      </w:r>
      <w:bookmarkStart w:id="18" w:name="par46"/>
      <w:r w:rsidRPr="000D1EAA">
        <w:rPr>
          <w:lang w:val="en-CA" w:eastAsia="fr-CA"/>
        </w:rPr>
        <w:t>46</w:t>
      </w:r>
      <w:bookmarkEnd w:id="18"/>
      <w:r w:rsidRPr="000D1EAA">
        <w:rPr>
          <w:lang w:val="en-CA" w:eastAsia="fr-CA"/>
        </w:rPr>
        <w:t>]</w:t>
      </w:r>
      <w:r w:rsidRPr="000D1EAA">
        <w:rPr>
          <w:rFonts w:ascii="Times New Roman" w:hAnsi="Times New Roman"/>
          <w:sz w:val="14"/>
          <w:szCs w:val="14"/>
          <w:lang w:val="en-CA" w:eastAsia="fr-CA"/>
        </w:rPr>
        <w:tab/>
      </w:r>
      <w:r w:rsidR="007C32AA" w:rsidRPr="000D1EAA">
        <w:rPr>
          <w:lang w:val="en-CA" w:eastAsia="fr-CA"/>
        </w:rPr>
        <w:t xml:space="preserve">At the hearing, the undersigned </w:t>
      </w:r>
      <w:r w:rsidR="00477BDF">
        <w:rPr>
          <w:lang w:val="en-CA" w:eastAsia="fr-CA"/>
        </w:rPr>
        <w:t>not</w:t>
      </w:r>
      <w:r w:rsidR="007C32AA" w:rsidRPr="000D1EAA">
        <w:rPr>
          <w:lang w:val="en-CA" w:eastAsia="fr-CA"/>
        </w:rPr>
        <w:t xml:space="preserve">ed that counsel for the </w:t>
      </w:r>
      <w:r w:rsidR="00B74598" w:rsidRPr="000D1EAA">
        <w:rPr>
          <w:lang w:val="en-CA" w:eastAsia="fr-CA"/>
        </w:rPr>
        <w:t>applicant</w:t>
      </w:r>
      <w:r w:rsidRPr="000D1EAA">
        <w:rPr>
          <w:lang w:val="en-CA" w:eastAsia="fr-CA"/>
        </w:rPr>
        <w:t xml:space="preserve"> </w:t>
      </w:r>
      <w:r w:rsidR="007C32AA" w:rsidRPr="000D1EAA">
        <w:rPr>
          <w:lang w:val="en-CA" w:eastAsia="fr-CA"/>
        </w:rPr>
        <w:t>could easily have changed his proce</w:t>
      </w:r>
      <w:r w:rsidR="00CD3D5C" w:rsidRPr="000D1EAA">
        <w:rPr>
          <w:lang w:val="en-CA" w:eastAsia="fr-CA"/>
        </w:rPr>
        <w:t>eding</w:t>
      </w:r>
      <w:r w:rsidR="007C32AA" w:rsidRPr="000D1EAA">
        <w:rPr>
          <w:lang w:val="en-CA" w:eastAsia="fr-CA"/>
        </w:rPr>
        <w:t xml:space="preserve"> to an appeal.</w:t>
      </w:r>
      <w:r w:rsidRPr="000D1EAA">
        <w:rPr>
          <w:lang w:val="en-CA" w:eastAsia="fr-CA"/>
        </w:rPr>
        <w:t xml:space="preserve"> </w:t>
      </w:r>
      <w:r w:rsidR="007C32AA" w:rsidRPr="000D1EAA">
        <w:rPr>
          <w:lang w:val="en-CA" w:eastAsia="fr-CA"/>
        </w:rPr>
        <w:t>Counsel for the</w:t>
      </w:r>
      <w:r w:rsidRPr="000D1EAA">
        <w:rPr>
          <w:lang w:val="en-CA" w:eastAsia="fr-CA"/>
        </w:rPr>
        <w:t xml:space="preserve"> </w:t>
      </w:r>
      <w:r w:rsidR="005A3429" w:rsidRPr="000D1EAA">
        <w:rPr>
          <w:lang w:val="en-CA" w:eastAsia="fr-CA"/>
        </w:rPr>
        <w:t>impleaded party</w:t>
      </w:r>
      <w:r w:rsidRPr="000D1EAA">
        <w:rPr>
          <w:lang w:val="en-CA" w:eastAsia="fr-CA"/>
        </w:rPr>
        <w:t xml:space="preserve"> </w:t>
      </w:r>
      <w:r w:rsidR="00477BDF">
        <w:rPr>
          <w:lang w:val="en-CA" w:eastAsia="fr-CA"/>
        </w:rPr>
        <w:t>countere</w:t>
      </w:r>
      <w:r w:rsidR="002A1CC3" w:rsidRPr="000D1EAA">
        <w:rPr>
          <w:lang w:val="en-CA" w:eastAsia="fr-CA"/>
        </w:rPr>
        <w:t xml:space="preserve">d that </w:t>
      </w:r>
      <w:r w:rsidR="00D95CA2">
        <w:rPr>
          <w:lang w:val="en-CA" w:eastAsia="fr-CA"/>
        </w:rPr>
        <w:t>the time limit had expired</w:t>
      </w:r>
      <w:r w:rsidRPr="000D1EAA">
        <w:rPr>
          <w:lang w:val="en-CA" w:eastAsia="fr-CA"/>
        </w:rPr>
        <w:t xml:space="preserve">. </w:t>
      </w:r>
      <w:r w:rsidR="002A1CC3" w:rsidRPr="000D1EAA">
        <w:rPr>
          <w:lang w:val="en-CA" w:eastAsia="fr-CA"/>
        </w:rPr>
        <w:t xml:space="preserve">An extension of the time </w:t>
      </w:r>
      <w:r w:rsidR="00D95CA2">
        <w:rPr>
          <w:lang w:val="en-CA" w:eastAsia="fr-CA"/>
        </w:rPr>
        <w:t xml:space="preserve">limit </w:t>
      </w:r>
      <w:r w:rsidR="002A1CC3" w:rsidRPr="000D1EAA">
        <w:rPr>
          <w:lang w:val="en-CA" w:eastAsia="fr-CA"/>
        </w:rPr>
        <w:t xml:space="preserve">could easily have been granted given the </w:t>
      </w:r>
      <w:r w:rsidRPr="000D1EAA">
        <w:rPr>
          <w:lang w:val="en-CA" w:eastAsia="fr-CA"/>
        </w:rPr>
        <w:t>situation. Natur</w:t>
      </w:r>
      <w:r w:rsidR="002A1CC3" w:rsidRPr="000D1EAA">
        <w:rPr>
          <w:lang w:val="en-CA" w:eastAsia="fr-CA"/>
        </w:rPr>
        <w:t xml:space="preserve">ally, </w:t>
      </w:r>
      <w:r w:rsidR="007C32AA" w:rsidRPr="000D1EAA">
        <w:rPr>
          <w:lang w:val="en-CA" w:eastAsia="fr-CA"/>
        </w:rPr>
        <w:t>counsel for the</w:t>
      </w:r>
      <w:r w:rsidRPr="000D1EAA">
        <w:rPr>
          <w:lang w:val="en-CA" w:eastAsia="fr-CA"/>
        </w:rPr>
        <w:t xml:space="preserve"> </w:t>
      </w:r>
      <w:r w:rsidR="005A3429" w:rsidRPr="000D1EAA">
        <w:rPr>
          <w:lang w:val="en-CA" w:eastAsia="fr-CA"/>
        </w:rPr>
        <w:t>impleaded party</w:t>
      </w:r>
      <w:r w:rsidRPr="000D1EAA">
        <w:rPr>
          <w:lang w:val="en-CA" w:eastAsia="fr-CA"/>
        </w:rPr>
        <w:t xml:space="preserve"> </w:t>
      </w:r>
      <w:r w:rsidR="00D95CA2">
        <w:rPr>
          <w:lang w:val="en-CA" w:eastAsia="fr-CA"/>
        </w:rPr>
        <w:t>objected</w:t>
      </w:r>
      <w:r w:rsidRPr="000D1EAA">
        <w:rPr>
          <w:lang w:val="en-CA" w:eastAsia="fr-CA"/>
        </w:rPr>
        <w:t>.</w:t>
      </w:r>
    </w:p>
    <w:p w14:paraId="784D69C0" w14:textId="71165A09" w:rsidR="00514E9A" w:rsidRPr="000D1EAA" w:rsidRDefault="003F7B75" w:rsidP="00514E9A">
      <w:pPr>
        <w:pStyle w:val="Citationenretrait"/>
        <w:spacing w:line="240" w:lineRule="auto"/>
        <w:rPr>
          <w:lang w:val="en-CA" w:eastAsia="fr-CA"/>
        </w:rPr>
      </w:pPr>
      <w:r w:rsidRPr="000D1EAA">
        <w:rPr>
          <w:lang w:val="en-CA" w:eastAsia="fr-CA"/>
        </w:rPr>
        <w:t>[</w:t>
      </w:r>
      <w:bookmarkStart w:id="19" w:name="par47"/>
      <w:r w:rsidRPr="000D1EAA">
        <w:rPr>
          <w:lang w:val="en-CA" w:eastAsia="fr-CA"/>
        </w:rPr>
        <w:t>47</w:t>
      </w:r>
      <w:bookmarkEnd w:id="19"/>
      <w:r w:rsidRPr="000D1EAA">
        <w:rPr>
          <w:lang w:val="en-CA" w:eastAsia="fr-CA"/>
        </w:rPr>
        <w:t>]</w:t>
      </w:r>
      <w:r w:rsidRPr="000D1EAA">
        <w:rPr>
          <w:rFonts w:ascii="Times New Roman" w:hAnsi="Times New Roman"/>
          <w:sz w:val="14"/>
          <w:szCs w:val="14"/>
          <w:lang w:val="en-CA" w:eastAsia="fr-CA"/>
        </w:rPr>
        <w:tab/>
      </w:r>
      <w:r w:rsidR="00CC2DB7" w:rsidRPr="000D1EAA">
        <w:rPr>
          <w:lang w:val="en-CA" w:eastAsia="fr-CA"/>
        </w:rPr>
        <w:t xml:space="preserve">Following the strategy used by </w:t>
      </w:r>
      <w:r w:rsidR="007C32AA" w:rsidRPr="000D1EAA">
        <w:rPr>
          <w:lang w:val="en-CA" w:eastAsia="fr-CA"/>
        </w:rPr>
        <w:t>counsel for the</w:t>
      </w:r>
      <w:r w:rsidRPr="000D1EAA">
        <w:rPr>
          <w:lang w:val="en-CA" w:eastAsia="fr-CA"/>
        </w:rPr>
        <w:t xml:space="preserve"> </w:t>
      </w:r>
      <w:r w:rsidR="005A3429" w:rsidRPr="000D1EAA">
        <w:rPr>
          <w:lang w:val="en-CA" w:eastAsia="fr-CA"/>
        </w:rPr>
        <w:t>impleaded party</w:t>
      </w:r>
      <w:r w:rsidRPr="000D1EAA">
        <w:rPr>
          <w:lang w:val="en-CA" w:eastAsia="fr-CA"/>
        </w:rPr>
        <w:t xml:space="preserve"> </w:t>
      </w:r>
      <w:r w:rsidR="00CC2DB7" w:rsidRPr="000D1EAA">
        <w:rPr>
          <w:lang w:val="en-CA" w:eastAsia="fr-CA"/>
        </w:rPr>
        <w:t xml:space="preserve">and the respondent’s </w:t>
      </w:r>
      <w:r w:rsidRPr="000D1EAA">
        <w:rPr>
          <w:lang w:val="en-CA" w:eastAsia="fr-CA"/>
        </w:rPr>
        <w:t>d</w:t>
      </w:r>
      <w:r w:rsidR="00CC2DB7" w:rsidRPr="000D1EAA">
        <w:rPr>
          <w:lang w:val="en-CA" w:eastAsia="fr-CA"/>
        </w:rPr>
        <w:t>e</w:t>
      </w:r>
      <w:r w:rsidRPr="000D1EAA">
        <w:rPr>
          <w:lang w:val="en-CA" w:eastAsia="fr-CA"/>
        </w:rPr>
        <w:t xml:space="preserve">cision, </w:t>
      </w:r>
      <w:r w:rsidR="00CC2DB7" w:rsidRPr="000D1EAA">
        <w:rPr>
          <w:lang w:val="en-CA" w:eastAsia="fr-CA"/>
        </w:rPr>
        <w:t xml:space="preserve">the </w:t>
      </w:r>
      <w:r w:rsidR="00B74598" w:rsidRPr="000D1EAA">
        <w:rPr>
          <w:lang w:val="en-CA" w:eastAsia="fr-CA"/>
        </w:rPr>
        <w:t>applicant</w:t>
      </w:r>
      <w:r w:rsidRPr="000D1EAA">
        <w:rPr>
          <w:lang w:val="en-CA" w:eastAsia="fr-CA"/>
        </w:rPr>
        <w:t xml:space="preserve"> </w:t>
      </w:r>
      <w:r w:rsidR="00CC2DB7" w:rsidRPr="000D1EAA">
        <w:rPr>
          <w:lang w:val="en-CA" w:eastAsia="fr-CA"/>
        </w:rPr>
        <w:t xml:space="preserve">finds himself at an </w:t>
      </w:r>
      <w:r w:rsidRPr="000D1EAA">
        <w:rPr>
          <w:lang w:val="en-CA" w:eastAsia="fr-CA"/>
        </w:rPr>
        <w:t xml:space="preserve">impasse. </w:t>
      </w:r>
      <w:r w:rsidR="000E5DD8" w:rsidRPr="000D1EAA">
        <w:rPr>
          <w:lang w:val="en-CA" w:eastAsia="fr-CA"/>
        </w:rPr>
        <w:t>This situation must be remedied</w:t>
      </w:r>
      <w:r w:rsidRPr="000D1EAA">
        <w:rPr>
          <w:lang w:val="en-CA" w:eastAsia="fr-CA"/>
        </w:rPr>
        <w:t xml:space="preserve">. </w:t>
      </w:r>
      <w:r w:rsidR="000E5DD8" w:rsidRPr="000D1EAA">
        <w:rPr>
          <w:lang w:val="en-CA" w:eastAsia="fr-CA"/>
        </w:rPr>
        <w:t>C</w:t>
      </w:r>
      <w:r w:rsidR="007C32AA" w:rsidRPr="000D1EAA">
        <w:rPr>
          <w:lang w:val="en-CA" w:eastAsia="fr-CA"/>
        </w:rPr>
        <w:t>ounsel for the</w:t>
      </w:r>
      <w:r w:rsidRPr="000D1EAA">
        <w:rPr>
          <w:lang w:val="en-CA" w:eastAsia="fr-CA"/>
        </w:rPr>
        <w:t xml:space="preserve"> </w:t>
      </w:r>
      <w:r w:rsidR="005A3429" w:rsidRPr="000D1EAA">
        <w:rPr>
          <w:lang w:val="en-CA" w:eastAsia="fr-CA"/>
        </w:rPr>
        <w:t>impleaded party</w:t>
      </w:r>
      <w:r w:rsidRPr="000D1EAA">
        <w:rPr>
          <w:lang w:val="en-CA" w:eastAsia="fr-CA"/>
        </w:rPr>
        <w:t xml:space="preserve"> </w:t>
      </w:r>
      <w:r w:rsidR="000E5DD8" w:rsidRPr="000D1EAA">
        <w:rPr>
          <w:lang w:val="en-CA" w:eastAsia="fr-CA"/>
        </w:rPr>
        <w:t xml:space="preserve">stated that a </w:t>
      </w:r>
      <w:r w:rsidR="008B4F56" w:rsidRPr="000D1EAA">
        <w:rPr>
          <w:lang w:val="en-CA" w:eastAsia="fr-CA"/>
        </w:rPr>
        <w:t>final</w:t>
      </w:r>
      <w:r w:rsidR="000E5DD8" w:rsidRPr="000D1EAA">
        <w:rPr>
          <w:lang w:val="en-CA" w:eastAsia="fr-CA"/>
        </w:rPr>
        <w:t xml:space="preserve"> judgment had been rendered and that the only </w:t>
      </w:r>
      <w:r w:rsidRPr="000D1EAA">
        <w:rPr>
          <w:lang w:val="en-CA" w:eastAsia="fr-CA"/>
        </w:rPr>
        <w:t xml:space="preserve">avenue </w:t>
      </w:r>
      <w:r w:rsidR="000E5DD8" w:rsidRPr="000D1EAA">
        <w:rPr>
          <w:lang w:val="en-CA" w:eastAsia="fr-CA"/>
        </w:rPr>
        <w:t>was appeal.</w:t>
      </w:r>
    </w:p>
    <w:p w14:paraId="4CDED992" w14:textId="26394C30" w:rsidR="00514E9A" w:rsidRPr="000D1EAA" w:rsidRDefault="003F7B75" w:rsidP="00514E9A">
      <w:pPr>
        <w:pStyle w:val="Citationenretrait"/>
        <w:spacing w:line="240" w:lineRule="auto"/>
        <w:rPr>
          <w:lang w:val="en-CA" w:eastAsia="fr-CA"/>
        </w:rPr>
      </w:pPr>
      <w:r w:rsidRPr="000D1EAA">
        <w:rPr>
          <w:lang w:val="en-CA" w:eastAsia="fr-CA"/>
        </w:rPr>
        <w:t>[</w:t>
      </w:r>
      <w:bookmarkStart w:id="20" w:name="par48"/>
      <w:r w:rsidRPr="000D1EAA">
        <w:rPr>
          <w:lang w:val="en-CA" w:eastAsia="fr-CA"/>
        </w:rPr>
        <w:t>48</w:t>
      </w:r>
      <w:bookmarkEnd w:id="20"/>
      <w:r w:rsidRPr="000D1EAA">
        <w:rPr>
          <w:lang w:val="en-CA" w:eastAsia="fr-CA"/>
        </w:rPr>
        <w:t>]</w:t>
      </w:r>
      <w:r w:rsidRPr="000D1EAA">
        <w:rPr>
          <w:rFonts w:ascii="Times New Roman" w:hAnsi="Times New Roman"/>
          <w:sz w:val="14"/>
          <w:szCs w:val="14"/>
          <w:lang w:val="en-CA" w:eastAsia="fr-CA"/>
        </w:rPr>
        <w:tab/>
      </w:r>
      <w:r w:rsidR="00BE4A09" w:rsidRPr="000D1EAA">
        <w:rPr>
          <w:lang w:val="en-CA" w:eastAsia="fr-CA"/>
        </w:rPr>
        <w:t>The procedural vehicle, as in the present circumstance, is more or less importan</w:t>
      </w:r>
      <w:r w:rsidR="00385F79">
        <w:rPr>
          <w:lang w:val="en-CA" w:eastAsia="fr-CA"/>
        </w:rPr>
        <w:t>t</w:t>
      </w:r>
      <w:r w:rsidR="00BE4A09" w:rsidRPr="000D1EAA">
        <w:rPr>
          <w:lang w:val="en-CA" w:eastAsia="fr-CA"/>
        </w:rPr>
        <w:t>.</w:t>
      </w:r>
    </w:p>
    <w:p w14:paraId="1C4D8265" w14:textId="2C34C53E" w:rsidR="00514E9A" w:rsidRPr="00B61A78" w:rsidRDefault="003F7B75" w:rsidP="00514E9A">
      <w:pPr>
        <w:pStyle w:val="Citationenretrait"/>
        <w:spacing w:line="240" w:lineRule="auto"/>
        <w:rPr>
          <w:lang w:val="en-CA" w:eastAsia="fr-CA"/>
        </w:rPr>
      </w:pPr>
      <w:r w:rsidRPr="000D1EAA">
        <w:rPr>
          <w:lang w:val="en-CA" w:eastAsia="fr-CA"/>
        </w:rPr>
        <w:t>[</w:t>
      </w:r>
      <w:bookmarkStart w:id="21" w:name="par49"/>
      <w:r w:rsidRPr="000D1EAA">
        <w:rPr>
          <w:lang w:val="en-CA" w:eastAsia="fr-CA"/>
        </w:rPr>
        <w:t>49</w:t>
      </w:r>
      <w:bookmarkEnd w:id="21"/>
      <w:r w:rsidRPr="000D1EAA">
        <w:rPr>
          <w:lang w:val="en-CA" w:eastAsia="fr-CA"/>
        </w:rPr>
        <w:t>]</w:t>
      </w:r>
      <w:r w:rsidRPr="000D1EAA">
        <w:rPr>
          <w:rFonts w:ascii="Times New Roman" w:hAnsi="Times New Roman"/>
          <w:sz w:val="14"/>
          <w:szCs w:val="14"/>
          <w:lang w:val="en-CA" w:eastAsia="fr-CA"/>
        </w:rPr>
        <w:tab/>
      </w:r>
      <w:r w:rsidR="00BE4A09" w:rsidRPr="000D1EAA">
        <w:rPr>
          <w:lang w:val="en-CA" w:eastAsia="fr-CA"/>
        </w:rPr>
        <w:t xml:space="preserve">Furthermore, </w:t>
      </w:r>
      <w:r w:rsidR="00385F79" w:rsidRPr="00B61A78">
        <w:rPr>
          <w:lang w:val="en-CA" w:eastAsia="fr-CA"/>
        </w:rPr>
        <w:t>the Supreme Court</w:t>
      </w:r>
      <w:r w:rsidR="00554B8C">
        <w:rPr>
          <w:lang w:val="en-CA" w:eastAsia="fr-CA"/>
        </w:rPr>
        <w:t xml:space="preserve">, per </w:t>
      </w:r>
      <w:proofErr w:type="spellStart"/>
      <w:r w:rsidR="00554B8C">
        <w:rPr>
          <w:lang w:val="en-CA" w:eastAsia="fr-CA"/>
        </w:rPr>
        <w:t>Sopinka</w:t>
      </w:r>
      <w:proofErr w:type="spellEnd"/>
      <w:r w:rsidR="00554B8C">
        <w:rPr>
          <w:lang w:val="en-CA" w:eastAsia="fr-CA"/>
        </w:rPr>
        <w:t xml:space="preserve"> J.,</w:t>
      </w:r>
      <w:r w:rsidR="00385F79" w:rsidRPr="00B61A78">
        <w:rPr>
          <w:lang w:val="en-CA" w:eastAsia="fr-CA"/>
        </w:rPr>
        <w:t xml:space="preserve"> </w:t>
      </w:r>
      <w:r w:rsidR="00554B8C">
        <w:rPr>
          <w:lang w:val="en-CA" w:eastAsia="fr-CA"/>
        </w:rPr>
        <w:t>stated</w:t>
      </w:r>
      <w:r w:rsidRPr="00B61A78">
        <w:rPr>
          <w:lang w:val="en-CA" w:eastAsia="fr-CA"/>
        </w:rPr>
        <w:t>:</w:t>
      </w:r>
    </w:p>
    <w:p w14:paraId="649013B0" w14:textId="7E61286B" w:rsidR="00514E9A" w:rsidRPr="00B61A78" w:rsidRDefault="00D03D3E" w:rsidP="00514E9A">
      <w:pPr>
        <w:pStyle w:val="Citationenretrait"/>
        <w:spacing w:line="240" w:lineRule="auto"/>
        <w:ind w:left="1440"/>
        <w:rPr>
          <w:sz w:val="20"/>
          <w:lang w:val="en-CA" w:eastAsia="fr-CA"/>
        </w:rPr>
      </w:pPr>
      <w:r w:rsidRPr="00B61A78">
        <w:rPr>
          <w:sz w:val="20"/>
          <w:lang w:val="en-CA" w:eastAsia="fr-CA"/>
        </w:rPr>
        <w:t>In my opinion, it would be extraordinary if the Court were powerless to remedy the injustice that is conceded as present in this case.  As a general principle, the rules of procedure should be the servant of substantive rights and not the master</w:t>
      </w:r>
      <w:r w:rsidR="003F7B75" w:rsidRPr="00B61A78">
        <w:rPr>
          <w:sz w:val="20"/>
          <w:lang w:val="en-CA" w:eastAsia="fr-CA"/>
        </w:rPr>
        <w:t>.</w:t>
      </w:r>
    </w:p>
    <w:p w14:paraId="06502D38" w14:textId="003A7D5F" w:rsidR="00514E9A" w:rsidRPr="000D1EAA" w:rsidRDefault="003F7B75" w:rsidP="00514E9A">
      <w:pPr>
        <w:pStyle w:val="Citationenretrait"/>
        <w:spacing w:line="240" w:lineRule="auto"/>
        <w:rPr>
          <w:lang w:val="en-CA" w:eastAsia="fr-CA"/>
        </w:rPr>
      </w:pPr>
      <w:r w:rsidRPr="000D1EAA">
        <w:rPr>
          <w:lang w:val="en-CA" w:eastAsia="fr-CA"/>
        </w:rPr>
        <w:t>[</w:t>
      </w:r>
      <w:bookmarkStart w:id="22" w:name="par50"/>
      <w:r w:rsidRPr="000D1EAA">
        <w:rPr>
          <w:lang w:val="en-CA" w:eastAsia="fr-CA"/>
        </w:rPr>
        <w:t>50</w:t>
      </w:r>
      <w:bookmarkEnd w:id="22"/>
      <w:r w:rsidRPr="000D1EAA">
        <w:rPr>
          <w:lang w:val="en-CA" w:eastAsia="fr-CA"/>
        </w:rPr>
        <w:t>]</w:t>
      </w:r>
      <w:r w:rsidRPr="000D1EAA">
        <w:rPr>
          <w:rFonts w:ascii="Times New Roman" w:hAnsi="Times New Roman"/>
          <w:sz w:val="14"/>
          <w:szCs w:val="14"/>
          <w:lang w:val="en-CA" w:eastAsia="fr-CA"/>
        </w:rPr>
        <w:tab/>
      </w:r>
      <w:r w:rsidR="00F03731" w:rsidRPr="000D1EAA">
        <w:rPr>
          <w:lang w:val="en-CA" w:eastAsia="fr-CA"/>
        </w:rPr>
        <w:t xml:space="preserve">Moreover, in </w:t>
      </w:r>
      <w:r w:rsidRPr="000D1EAA">
        <w:rPr>
          <w:i/>
          <w:lang w:val="en-CA" w:eastAsia="fr-CA"/>
        </w:rPr>
        <w:t>Jordan</w:t>
      </w:r>
      <w:r w:rsidRPr="000D1EAA">
        <w:rPr>
          <w:lang w:val="en-CA" w:eastAsia="fr-CA"/>
        </w:rPr>
        <w:t> </w:t>
      </w:r>
      <w:r w:rsidR="00F03731" w:rsidRPr="000D1EAA">
        <w:rPr>
          <w:lang w:val="en-CA" w:eastAsia="fr-CA"/>
        </w:rPr>
        <w:t>and</w:t>
      </w:r>
      <w:r w:rsidRPr="000D1EAA">
        <w:rPr>
          <w:lang w:val="en-CA" w:eastAsia="fr-CA"/>
        </w:rPr>
        <w:t> </w:t>
      </w:r>
      <w:r w:rsidRPr="000D1EAA">
        <w:rPr>
          <w:i/>
          <w:lang w:val="en-CA" w:eastAsia="fr-CA"/>
        </w:rPr>
        <w:t>Cody</w:t>
      </w:r>
      <w:r w:rsidR="005645C8">
        <w:rPr>
          <w:lang w:val="en-CA" w:eastAsia="fr-CA"/>
        </w:rPr>
        <w:t xml:space="preserve">, </w:t>
      </w:r>
      <w:r w:rsidR="005645C8" w:rsidRPr="000D1EAA">
        <w:rPr>
          <w:lang w:val="en-CA" w:eastAsia="fr-CA"/>
        </w:rPr>
        <w:t xml:space="preserve">the Supreme Court recommends </w:t>
      </w:r>
      <w:r w:rsidR="00F03731" w:rsidRPr="000D1EAA">
        <w:rPr>
          <w:lang w:val="en-CA" w:eastAsia="fr-CA"/>
        </w:rPr>
        <w:t>proceed</w:t>
      </w:r>
      <w:r w:rsidR="005645C8">
        <w:rPr>
          <w:lang w:val="en-CA" w:eastAsia="fr-CA"/>
        </w:rPr>
        <w:t>ing</w:t>
      </w:r>
      <w:r w:rsidR="00F03731" w:rsidRPr="000D1EAA">
        <w:rPr>
          <w:lang w:val="en-CA" w:eastAsia="fr-CA"/>
        </w:rPr>
        <w:t xml:space="preserve"> quickly and ensur</w:t>
      </w:r>
      <w:r w:rsidR="005645C8">
        <w:rPr>
          <w:lang w:val="en-CA" w:eastAsia="fr-CA"/>
        </w:rPr>
        <w:t>ing</w:t>
      </w:r>
      <w:r w:rsidR="00F03731" w:rsidRPr="000D1EAA">
        <w:rPr>
          <w:lang w:val="en-CA" w:eastAsia="fr-CA"/>
        </w:rPr>
        <w:t xml:space="preserve"> that the criminal proce</w:t>
      </w:r>
      <w:r w:rsidR="00ED697B" w:rsidRPr="000D1EAA">
        <w:rPr>
          <w:lang w:val="en-CA" w:eastAsia="fr-CA"/>
        </w:rPr>
        <w:t>edings</w:t>
      </w:r>
      <w:r w:rsidR="00F03731" w:rsidRPr="000D1EAA">
        <w:rPr>
          <w:lang w:val="en-CA" w:eastAsia="fr-CA"/>
        </w:rPr>
        <w:t xml:space="preserve"> </w:t>
      </w:r>
      <w:r w:rsidR="00AB49F3">
        <w:rPr>
          <w:lang w:val="en-CA" w:eastAsia="fr-CA"/>
        </w:rPr>
        <w:t>are carried out</w:t>
      </w:r>
      <w:r w:rsidR="00F03731" w:rsidRPr="000D1EAA">
        <w:rPr>
          <w:lang w:val="en-CA" w:eastAsia="fr-CA"/>
        </w:rPr>
        <w:t xml:space="preserve"> in a manner </w:t>
      </w:r>
      <w:r w:rsidR="00AD60A3">
        <w:rPr>
          <w:lang w:val="en-CA" w:eastAsia="fr-CA"/>
        </w:rPr>
        <w:t>consistent</w:t>
      </w:r>
      <w:r w:rsidR="00F03731" w:rsidRPr="000D1EAA">
        <w:rPr>
          <w:lang w:val="en-CA" w:eastAsia="fr-CA"/>
        </w:rPr>
        <w:t xml:space="preserve"> with an </w:t>
      </w:r>
      <w:r w:rsidR="009A0FCD" w:rsidRPr="000D1EAA">
        <w:rPr>
          <w:lang w:val="en-CA" w:eastAsia="fr-CA"/>
        </w:rPr>
        <w:t>accused</w:t>
      </w:r>
      <w:r w:rsidR="00F03731" w:rsidRPr="000D1EAA">
        <w:rPr>
          <w:lang w:val="en-CA" w:eastAsia="fr-CA"/>
        </w:rPr>
        <w:t xml:space="preserve">’s right to </w:t>
      </w:r>
      <w:r w:rsidR="00AD60A3">
        <w:rPr>
          <w:lang w:val="en-CA" w:eastAsia="fr-CA"/>
        </w:rPr>
        <w:t>a trial</w:t>
      </w:r>
      <w:r w:rsidR="00F03731" w:rsidRPr="000D1EAA">
        <w:rPr>
          <w:lang w:val="en-CA" w:eastAsia="fr-CA"/>
        </w:rPr>
        <w:t xml:space="preserve"> within a reasonable time and </w:t>
      </w:r>
      <w:r w:rsidR="002F053D">
        <w:rPr>
          <w:lang w:val="en-CA" w:eastAsia="fr-CA"/>
        </w:rPr>
        <w:t>acting</w:t>
      </w:r>
      <w:r w:rsidR="00340554">
        <w:rPr>
          <w:lang w:val="en-CA" w:eastAsia="fr-CA"/>
        </w:rPr>
        <w:t xml:space="preserve"> accordingly</w:t>
      </w:r>
      <w:r w:rsidR="00F03731" w:rsidRPr="000D1EAA">
        <w:rPr>
          <w:lang w:val="en-CA" w:eastAsia="fr-CA"/>
        </w:rPr>
        <w:t>.</w:t>
      </w:r>
    </w:p>
    <w:p w14:paraId="4CE36E7F" w14:textId="38F1A3CA" w:rsidR="00514E9A" w:rsidRPr="000D1EAA" w:rsidRDefault="003F7B75" w:rsidP="00514E9A">
      <w:pPr>
        <w:pStyle w:val="Citationenretrait"/>
        <w:spacing w:line="240" w:lineRule="auto"/>
        <w:rPr>
          <w:lang w:val="en-CA" w:eastAsia="fr-CA"/>
        </w:rPr>
      </w:pPr>
      <w:r w:rsidRPr="000D1EAA">
        <w:rPr>
          <w:lang w:val="en-CA" w:eastAsia="fr-CA"/>
        </w:rPr>
        <w:t>[</w:t>
      </w:r>
      <w:bookmarkStart w:id="23" w:name="par51"/>
      <w:r w:rsidRPr="000D1EAA">
        <w:rPr>
          <w:lang w:val="en-CA" w:eastAsia="fr-CA"/>
        </w:rPr>
        <w:t>51</w:t>
      </w:r>
      <w:bookmarkEnd w:id="23"/>
      <w:r w:rsidRPr="000D1EAA">
        <w:rPr>
          <w:lang w:val="en-CA" w:eastAsia="fr-CA"/>
        </w:rPr>
        <w:t>]</w:t>
      </w:r>
      <w:r w:rsidRPr="000D1EAA">
        <w:rPr>
          <w:rFonts w:ascii="Times New Roman" w:hAnsi="Times New Roman"/>
          <w:sz w:val="14"/>
          <w:szCs w:val="14"/>
          <w:lang w:val="en-CA" w:eastAsia="fr-CA"/>
        </w:rPr>
        <w:tab/>
      </w:r>
      <w:r w:rsidR="00F03731" w:rsidRPr="000D1EAA">
        <w:rPr>
          <w:lang w:val="en-CA" w:eastAsia="fr-CA"/>
        </w:rPr>
        <w:t xml:space="preserve">Whether this be </w:t>
      </w:r>
      <w:r w:rsidR="00C71579" w:rsidRPr="000D1EAA">
        <w:rPr>
          <w:lang w:val="en-CA" w:eastAsia="fr-CA"/>
        </w:rPr>
        <w:t>by</w:t>
      </w:r>
      <w:r w:rsidR="00F03731" w:rsidRPr="000D1EAA">
        <w:rPr>
          <w:lang w:val="en-CA" w:eastAsia="fr-CA"/>
        </w:rPr>
        <w:t xml:space="preserve"> </w:t>
      </w:r>
      <w:r w:rsidRPr="000D1EAA">
        <w:rPr>
          <w:i/>
          <w:iCs/>
          <w:lang w:val="en-CA" w:eastAsia="fr-CA"/>
        </w:rPr>
        <w:t>certiorari</w:t>
      </w:r>
      <w:r w:rsidRPr="000D1EAA">
        <w:rPr>
          <w:lang w:val="en-CA" w:eastAsia="fr-CA"/>
        </w:rPr>
        <w:t> </w:t>
      </w:r>
      <w:r w:rsidR="00F03731" w:rsidRPr="000D1EAA">
        <w:rPr>
          <w:lang w:val="en-CA" w:eastAsia="fr-CA"/>
        </w:rPr>
        <w:t>or by an appeal proce</w:t>
      </w:r>
      <w:r w:rsidR="00C71579" w:rsidRPr="000D1EAA">
        <w:rPr>
          <w:lang w:val="en-CA" w:eastAsia="fr-CA"/>
        </w:rPr>
        <w:t>eding</w:t>
      </w:r>
      <w:r w:rsidR="00F03731" w:rsidRPr="000D1EAA">
        <w:rPr>
          <w:lang w:val="en-CA" w:eastAsia="fr-CA"/>
        </w:rPr>
        <w:t xml:space="preserve">, the Court must </w:t>
      </w:r>
      <w:r w:rsidR="00C71579" w:rsidRPr="000D1EAA">
        <w:rPr>
          <w:lang w:val="en-CA" w:eastAsia="fr-CA"/>
        </w:rPr>
        <w:t>set aside</w:t>
      </w:r>
      <w:r w:rsidR="00F03731" w:rsidRPr="000D1EAA">
        <w:rPr>
          <w:lang w:val="en-CA" w:eastAsia="fr-CA"/>
        </w:rPr>
        <w:t xml:space="preserve"> this decision. This is a significant error on the respondent’s </w:t>
      </w:r>
      <w:r w:rsidR="00B61A78" w:rsidRPr="000D1EAA">
        <w:rPr>
          <w:lang w:val="en-CA" w:eastAsia="fr-CA"/>
        </w:rPr>
        <w:t>part,</w:t>
      </w:r>
      <w:r w:rsidR="00F03731" w:rsidRPr="000D1EAA">
        <w:rPr>
          <w:lang w:val="en-CA" w:eastAsia="fr-CA"/>
        </w:rPr>
        <w:t xml:space="preserve"> and it is necessary to re</w:t>
      </w:r>
      <w:r w:rsidR="00C71579" w:rsidRPr="000D1EAA">
        <w:rPr>
          <w:lang w:val="en-CA" w:eastAsia="fr-CA"/>
        </w:rPr>
        <w:t>store</w:t>
      </w:r>
      <w:r w:rsidR="00F03731" w:rsidRPr="000D1EAA">
        <w:rPr>
          <w:szCs w:val="22"/>
          <w:lang w:val="en-CA" w:eastAsia="fr-CA"/>
        </w:rPr>
        <w:t xml:space="preserve"> the </w:t>
      </w:r>
      <w:r w:rsidRPr="000D1EAA">
        <w:rPr>
          <w:szCs w:val="22"/>
          <w:lang w:val="en-CA" w:eastAsia="fr-CA"/>
        </w:rPr>
        <w:t xml:space="preserve">parties </w:t>
      </w:r>
      <w:r w:rsidR="00F03731" w:rsidRPr="000D1EAA">
        <w:rPr>
          <w:szCs w:val="22"/>
          <w:lang w:val="en-CA" w:eastAsia="fr-CA"/>
        </w:rPr>
        <w:t>to the state they were in before the respondent’s decision.</w:t>
      </w:r>
    </w:p>
    <w:p w14:paraId="4C12DDF8" w14:textId="4723A5EB" w:rsidR="00514E9A" w:rsidRPr="000D1EAA" w:rsidRDefault="003F7B75" w:rsidP="00514E9A">
      <w:pPr>
        <w:pStyle w:val="Citationenretrait"/>
        <w:spacing w:line="240" w:lineRule="auto"/>
        <w:jc w:val="right"/>
        <w:rPr>
          <w:lang w:val="en-CA" w:eastAsia="fr-CA"/>
        </w:rPr>
      </w:pPr>
      <w:r w:rsidRPr="000D1EAA">
        <w:rPr>
          <w:lang w:val="en-CA" w:eastAsia="fr-CA"/>
        </w:rPr>
        <w:t>[</w:t>
      </w:r>
      <w:r w:rsidR="00F03731" w:rsidRPr="000D1EAA">
        <w:rPr>
          <w:lang w:val="en-CA" w:eastAsia="fr-CA"/>
        </w:rPr>
        <w:t>Footn</w:t>
      </w:r>
      <w:r w:rsidRPr="000D1EAA">
        <w:rPr>
          <w:lang w:val="en-CA" w:eastAsia="fr-CA"/>
        </w:rPr>
        <w:t xml:space="preserve">otes </w:t>
      </w:r>
      <w:r w:rsidR="00F03731" w:rsidRPr="000D1EAA">
        <w:rPr>
          <w:lang w:val="en-CA" w:eastAsia="fr-CA"/>
        </w:rPr>
        <w:t>omitted</w:t>
      </w:r>
      <w:r w:rsidRPr="000D1EAA">
        <w:rPr>
          <w:lang w:val="en-CA" w:eastAsia="fr-CA"/>
        </w:rPr>
        <w:t>]</w:t>
      </w:r>
    </w:p>
    <w:p w14:paraId="0ADA5926" w14:textId="353AA31B" w:rsidR="00514E9A" w:rsidRPr="000D1EAA" w:rsidRDefault="00AE0193" w:rsidP="00514E9A">
      <w:pPr>
        <w:pStyle w:val="Paragraphe"/>
        <w:numPr>
          <w:ilvl w:val="0"/>
          <w:numId w:val="0"/>
        </w:numPr>
        <w:spacing w:line="240" w:lineRule="auto"/>
        <w:rPr>
          <w:b/>
          <w:u w:val="single"/>
          <w:lang w:val="en-CA"/>
        </w:rPr>
      </w:pPr>
      <w:r w:rsidRPr="000D1EAA">
        <w:rPr>
          <w:b/>
          <w:u w:val="single"/>
          <w:lang w:val="en-CA"/>
        </w:rPr>
        <w:t xml:space="preserve">GROUNDS </w:t>
      </w:r>
      <w:r w:rsidR="0048235D" w:rsidRPr="000D1EAA">
        <w:rPr>
          <w:b/>
          <w:u w:val="single"/>
          <w:lang w:val="en-CA"/>
        </w:rPr>
        <w:t>FOR</w:t>
      </w:r>
      <w:r w:rsidRPr="000D1EAA">
        <w:rPr>
          <w:b/>
          <w:u w:val="single"/>
          <w:lang w:val="en-CA"/>
        </w:rPr>
        <w:t xml:space="preserve"> APPEAL</w:t>
      </w:r>
    </w:p>
    <w:p w14:paraId="66110384" w14:textId="7DE20369" w:rsidR="00A00744" w:rsidRPr="000D1EAA" w:rsidRDefault="00AE0193" w:rsidP="00514E9A">
      <w:pPr>
        <w:pStyle w:val="Paragraphe"/>
        <w:spacing w:line="240" w:lineRule="auto"/>
        <w:rPr>
          <w:lang w:val="en-CA"/>
        </w:rPr>
      </w:pPr>
      <w:r w:rsidRPr="000D1EAA">
        <w:rPr>
          <w:lang w:val="en-CA"/>
        </w:rPr>
        <w:t xml:space="preserve">In his </w:t>
      </w:r>
      <w:r w:rsidR="00C45E9D" w:rsidRPr="000D1EAA">
        <w:rPr>
          <w:lang w:val="en-CA"/>
        </w:rPr>
        <w:t>statement</w:t>
      </w:r>
      <w:r w:rsidRPr="000D1EAA">
        <w:rPr>
          <w:lang w:val="en-CA"/>
        </w:rPr>
        <w:t xml:space="preserve">, the </w:t>
      </w:r>
      <w:r w:rsidR="006463F8" w:rsidRPr="000D1EAA">
        <w:rPr>
          <w:lang w:val="en-CA"/>
        </w:rPr>
        <w:t>appellant</w:t>
      </w:r>
      <w:r w:rsidR="003F7B75" w:rsidRPr="000D1EAA">
        <w:rPr>
          <w:lang w:val="en-CA"/>
        </w:rPr>
        <w:t xml:space="preserve"> </w:t>
      </w:r>
      <w:r w:rsidRPr="000D1EAA">
        <w:rPr>
          <w:lang w:val="en-CA"/>
        </w:rPr>
        <w:t xml:space="preserve">sets out the following grounds </w:t>
      </w:r>
      <w:r w:rsidR="00CD3D5C" w:rsidRPr="000D1EAA">
        <w:rPr>
          <w:lang w:val="en-CA"/>
        </w:rPr>
        <w:t>for</w:t>
      </w:r>
      <w:r w:rsidRPr="000D1EAA">
        <w:rPr>
          <w:lang w:val="en-CA"/>
        </w:rPr>
        <w:t xml:space="preserve"> appeal</w:t>
      </w:r>
      <w:r w:rsidR="003F7B75" w:rsidRPr="000D1EAA">
        <w:rPr>
          <w:lang w:val="en-CA"/>
        </w:rPr>
        <w:t>:</w:t>
      </w:r>
    </w:p>
    <w:p w14:paraId="759AC96A" w14:textId="1D6FA123" w:rsidR="00514E9A" w:rsidRPr="000D1EAA" w:rsidRDefault="001D196F" w:rsidP="00A00744">
      <w:pPr>
        <w:pStyle w:val="Paragraphe"/>
        <w:numPr>
          <w:ilvl w:val="0"/>
          <w:numId w:val="0"/>
        </w:numPr>
        <w:spacing w:line="240" w:lineRule="auto"/>
        <w:ind w:left="720"/>
        <w:rPr>
          <w:lang w:val="en-CA"/>
        </w:rPr>
      </w:pPr>
      <w:r w:rsidRPr="000D1EAA">
        <w:rPr>
          <w:lang w:val="en-CA"/>
        </w:rPr>
        <w:t>[</w:t>
      </w:r>
      <w:r w:rsidR="00C45E9D" w:rsidRPr="000D1EAA">
        <w:rPr>
          <w:smallCaps/>
          <w:lang w:val="en-CA"/>
        </w:rPr>
        <w:t>translation</w:t>
      </w:r>
      <w:r w:rsidRPr="000D1EAA">
        <w:rPr>
          <w:lang w:val="en-CA"/>
        </w:rPr>
        <w:t>]</w:t>
      </w:r>
      <w:r w:rsidR="003F7B75" w:rsidRPr="000D1EAA">
        <w:rPr>
          <w:lang w:val="en-CA"/>
        </w:rPr>
        <w:t xml:space="preserve"> </w:t>
      </w:r>
    </w:p>
    <w:p w14:paraId="4E2DD3B4" w14:textId="2CFD3EA3" w:rsidR="00514E9A" w:rsidRPr="000D1EAA" w:rsidRDefault="00A00744" w:rsidP="00514E9A">
      <w:pPr>
        <w:pStyle w:val="Paragraphe"/>
        <w:numPr>
          <w:ilvl w:val="0"/>
          <w:numId w:val="19"/>
        </w:numPr>
        <w:spacing w:line="240" w:lineRule="auto"/>
        <w:rPr>
          <w:sz w:val="22"/>
          <w:szCs w:val="18"/>
          <w:lang w:val="en-CA"/>
        </w:rPr>
      </w:pPr>
      <w:r w:rsidRPr="000D1EAA">
        <w:rPr>
          <w:sz w:val="22"/>
          <w:szCs w:val="18"/>
          <w:lang w:val="en-CA"/>
        </w:rPr>
        <w:t xml:space="preserve">Did the Superior Court judge err in law </w:t>
      </w:r>
      <w:r w:rsidR="00EB6086">
        <w:rPr>
          <w:sz w:val="22"/>
          <w:szCs w:val="18"/>
          <w:lang w:val="en-CA"/>
        </w:rPr>
        <w:t>in</w:t>
      </w:r>
      <w:r w:rsidRPr="000D1EAA">
        <w:rPr>
          <w:sz w:val="22"/>
          <w:szCs w:val="18"/>
          <w:lang w:val="en-CA"/>
        </w:rPr>
        <w:t xml:space="preserve"> applying the </w:t>
      </w:r>
      <w:r w:rsidR="003F7B75" w:rsidRPr="000D1EAA">
        <w:rPr>
          <w:sz w:val="22"/>
          <w:szCs w:val="18"/>
          <w:lang w:val="en-CA"/>
        </w:rPr>
        <w:t>princip</w:t>
      </w:r>
      <w:r w:rsidRPr="000D1EAA">
        <w:rPr>
          <w:sz w:val="22"/>
          <w:szCs w:val="18"/>
          <w:lang w:val="en-CA"/>
        </w:rPr>
        <w:t>l</w:t>
      </w:r>
      <w:r w:rsidR="003F7B75" w:rsidRPr="000D1EAA">
        <w:rPr>
          <w:sz w:val="22"/>
          <w:szCs w:val="18"/>
          <w:lang w:val="en-CA"/>
        </w:rPr>
        <w:t xml:space="preserve">es </w:t>
      </w:r>
      <w:r w:rsidRPr="000D1EAA">
        <w:rPr>
          <w:sz w:val="22"/>
          <w:szCs w:val="18"/>
          <w:lang w:val="en-CA"/>
        </w:rPr>
        <w:t xml:space="preserve">of </w:t>
      </w:r>
      <w:proofErr w:type="spellStart"/>
      <w:r w:rsidR="003F7B75" w:rsidRPr="000D1EAA">
        <w:rPr>
          <w:i/>
          <w:iCs/>
          <w:sz w:val="22"/>
          <w:szCs w:val="18"/>
          <w:lang w:val="en-CA"/>
        </w:rPr>
        <w:t>Loyer</w:t>
      </w:r>
      <w:proofErr w:type="spellEnd"/>
      <w:r w:rsidR="003F7B75" w:rsidRPr="000D1EAA">
        <w:rPr>
          <w:i/>
          <w:iCs/>
          <w:sz w:val="22"/>
          <w:szCs w:val="18"/>
          <w:lang w:val="en-CA"/>
        </w:rPr>
        <w:t xml:space="preserve"> </w:t>
      </w:r>
      <w:r w:rsidR="00EB6086">
        <w:rPr>
          <w:iCs/>
          <w:sz w:val="22"/>
          <w:szCs w:val="18"/>
          <w:lang w:val="en-CA"/>
        </w:rPr>
        <w:t>to</w:t>
      </w:r>
      <w:r w:rsidR="000C3A95" w:rsidRPr="000D1EAA">
        <w:rPr>
          <w:iCs/>
          <w:sz w:val="22"/>
          <w:szCs w:val="18"/>
          <w:lang w:val="en-CA"/>
        </w:rPr>
        <w:t xml:space="preserve"> </w:t>
      </w:r>
      <w:r w:rsidR="00EB6086">
        <w:rPr>
          <w:iCs/>
          <w:sz w:val="22"/>
          <w:szCs w:val="18"/>
          <w:lang w:val="en-CA"/>
        </w:rPr>
        <w:t>this</w:t>
      </w:r>
      <w:r w:rsidR="000C3A95" w:rsidRPr="000D1EAA">
        <w:rPr>
          <w:iCs/>
          <w:sz w:val="22"/>
          <w:szCs w:val="18"/>
          <w:lang w:val="en-CA"/>
        </w:rPr>
        <w:t xml:space="preserve"> </w:t>
      </w:r>
      <w:r w:rsidR="00327041">
        <w:rPr>
          <w:iCs/>
          <w:sz w:val="22"/>
          <w:szCs w:val="18"/>
          <w:lang w:val="en-CA"/>
        </w:rPr>
        <w:t>case</w:t>
      </w:r>
      <w:r w:rsidR="003F7B75" w:rsidRPr="000D1EAA">
        <w:rPr>
          <w:sz w:val="22"/>
          <w:szCs w:val="18"/>
          <w:lang w:val="en-CA"/>
        </w:rPr>
        <w:t>?</w:t>
      </w:r>
    </w:p>
    <w:p w14:paraId="4F1F8552" w14:textId="79F0359C" w:rsidR="00514E9A" w:rsidRPr="000D1EAA" w:rsidRDefault="006B1B8E" w:rsidP="00514E9A">
      <w:pPr>
        <w:pStyle w:val="Paragraphe"/>
        <w:numPr>
          <w:ilvl w:val="0"/>
          <w:numId w:val="19"/>
        </w:numPr>
        <w:spacing w:line="240" w:lineRule="auto"/>
        <w:rPr>
          <w:sz w:val="22"/>
          <w:szCs w:val="18"/>
          <w:lang w:val="en-CA"/>
        </w:rPr>
      </w:pPr>
      <w:r w:rsidRPr="000D1EAA">
        <w:rPr>
          <w:sz w:val="22"/>
          <w:szCs w:val="18"/>
          <w:lang w:val="en-CA"/>
        </w:rPr>
        <w:t>Did the Superior Court judge err</w:t>
      </w:r>
      <w:r w:rsidR="003F7B75" w:rsidRPr="000D1EAA">
        <w:rPr>
          <w:sz w:val="22"/>
          <w:szCs w:val="18"/>
          <w:lang w:val="en-CA"/>
        </w:rPr>
        <w:t xml:space="preserve"> </w:t>
      </w:r>
      <w:r w:rsidR="001F0D8E">
        <w:rPr>
          <w:sz w:val="22"/>
          <w:szCs w:val="18"/>
          <w:lang w:val="en-CA"/>
        </w:rPr>
        <w:t>in</w:t>
      </w:r>
      <w:r w:rsidRPr="000D1EAA">
        <w:rPr>
          <w:sz w:val="22"/>
          <w:szCs w:val="18"/>
          <w:lang w:val="en-CA"/>
        </w:rPr>
        <w:t xml:space="preserve"> </w:t>
      </w:r>
      <w:r w:rsidR="00FF7CA0">
        <w:rPr>
          <w:sz w:val="22"/>
          <w:szCs w:val="18"/>
          <w:lang w:val="en-CA"/>
        </w:rPr>
        <w:t>characterizing</w:t>
      </w:r>
      <w:r w:rsidR="00FF7CA0" w:rsidRPr="000D1EAA">
        <w:rPr>
          <w:sz w:val="22"/>
          <w:szCs w:val="18"/>
          <w:lang w:val="en-CA"/>
        </w:rPr>
        <w:t xml:space="preserve"> </w:t>
      </w:r>
      <w:r w:rsidRPr="000D1EAA">
        <w:rPr>
          <w:sz w:val="22"/>
          <w:szCs w:val="18"/>
          <w:lang w:val="en-CA"/>
        </w:rPr>
        <w:t xml:space="preserve">the </w:t>
      </w:r>
      <w:r w:rsidR="00714F49">
        <w:rPr>
          <w:sz w:val="22"/>
          <w:szCs w:val="18"/>
          <w:lang w:val="en-CA"/>
        </w:rPr>
        <w:t xml:space="preserve">offence of driving while </w:t>
      </w:r>
      <w:r w:rsidR="003B1D5D">
        <w:rPr>
          <w:sz w:val="22"/>
          <w:szCs w:val="18"/>
          <w:lang w:val="en-CA"/>
        </w:rPr>
        <w:t xml:space="preserve">impaired </w:t>
      </w:r>
      <w:r w:rsidR="003F7B75" w:rsidRPr="000D1EAA">
        <w:rPr>
          <w:sz w:val="22"/>
          <w:szCs w:val="18"/>
          <w:lang w:val="en-CA"/>
        </w:rPr>
        <w:t>(320.14(1)</w:t>
      </w:r>
      <w:r w:rsidRPr="000D1EAA">
        <w:rPr>
          <w:sz w:val="22"/>
          <w:szCs w:val="18"/>
          <w:lang w:val="en-CA"/>
        </w:rPr>
        <w:t>(</w:t>
      </w:r>
      <w:r w:rsidR="003F7B75" w:rsidRPr="000D1EAA">
        <w:rPr>
          <w:sz w:val="22"/>
          <w:szCs w:val="18"/>
          <w:lang w:val="en-CA"/>
        </w:rPr>
        <w:t xml:space="preserve">a)) </w:t>
      </w:r>
      <w:r w:rsidRPr="000D1EAA">
        <w:rPr>
          <w:sz w:val="22"/>
          <w:szCs w:val="18"/>
          <w:lang w:val="en-CA"/>
        </w:rPr>
        <w:t xml:space="preserve">as a lesser offence than driving with a </w:t>
      </w:r>
      <w:r w:rsidR="00714F49">
        <w:rPr>
          <w:sz w:val="22"/>
          <w:szCs w:val="18"/>
          <w:lang w:val="en-CA"/>
        </w:rPr>
        <w:t>blood alcohol concentration exceeding the legal limit</w:t>
      </w:r>
      <w:r w:rsidRPr="000D1EAA">
        <w:rPr>
          <w:sz w:val="22"/>
          <w:szCs w:val="18"/>
          <w:lang w:val="en-CA"/>
        </w:rPr>
        <w:t xml:space="preserve"> </w:t>
      </w:r>
      <w:r w:rsidR="003F7B75" w:rsidRPr="000D1EAA">
        <w:rPr>
          <w:sz w:val="22"/>
          <w:szCs w:val="18"/>
          <w:lang w:val="en-CA"/>
        </w:rPr>
        <w:t>(320.14(1)</w:t>
      </w:r>
      <w:r w:rsidRPr="000D1EAA">
        <w:rPr>
          <w:sz w:val="22"/>
          <w:szCs w:val="18"/>
          <w:lang w:val="en-CA"/>
        </w:rPr>
        <w:t>(</w:t>
      </w:r>
      <w:r w:rsidR="003F7B75" w:rsidRPr="000D1EAA">
        <w:rPr>
          <w:sz w:val="22"/>
          <w:szCs w:val="18"/>
          <w:lang w:val="en-CA"/>
        </w:rPr>
        <w:t>b))?</w:t>
      </w:r>
    </w:p>
    <w:p w14:paraId="074A67F8" w14:textId="763DBAD4" w:rsidR="00514E9A" w:rsidRPr="000D1EAA" w:rsidRDefault="006B1B8E" w:rsidP="00514E9A">
      <w:pPr>
        <w:pStyle w:val="Paragraphe"/>
        <w:numPr>
          <w:ilvl w:val="0"/>
          <w:numId w:val="19"/>
        </w:numPr>
        <w:spacing w:line="240" w:lineRule="auto"/>
        <w:rPr>
          <w:sz w:val="22"/>
          <w:szCs w:val="18"/>
          <w:lang w:val="en-CA"/>
        </w:rPr>
      </w:pPr>
      <w:r w:rsidRPr="000D1EAA">
        <w:rPr>
          <w:sz w:val="22"/>
          <w:szCs w:val="18"/>
          <w:lang w:val="en-CA"/>
        </w:rPr>
        <w:t>Did the Superior Court judge err</w:t>
      </w:r>
      <w:r w:rsidR="003F7B75" w:rsidRPr="000D1EAA">
        <w:rPr>
          <w:sz w:val="22"/>
          <w:szCs w:val="18"/>
          <w:lang w:val="en-CA"/>
        </w:rPr>
        <w:t xml:space="preserve"> </w:t>
      </w:r>
      <w:r w:rsidR="00714F49">
        <w:rPr>
          <w:sz w:val="22"/>
          <w:szCs w:val="18"/>
          <w:lang w:val="en-CA"/>
        </w:rPr>
        <w:t>in</w:t>
      </w:r>
      <w:r w:rsidR="0020010B" w:rsidRPr="000D1EAA">
        <w:rPr>
          <w:sz w:val="22"/>
          <w:szCs w:val="18"/>
          <w:lang w:val="en-CA"/>
        </w:rPr>
        <w:t xml:space="preserve"> stating that the prosecutor’s consent was required </w:t>
      </w:r>
      <w:r w:rsidR="003254CF">
        <w:rPr>
          <w:sz w:val="22"/>
          <w:szCs w:val="18"/>
          <w:lang w:val="en-CA"/>
        </w:rPr>
        <w:t>under</w:t>
      </w:r>
      <w:r w:rsidR="0020010B" w:rsidRPr="000D1EAA">
        <w:rPr>
          <w:sz w:val="22"/>
          <w:szCs w:val="18"/>
          <w:lang w:val="en-CA"/>
        </w:rPr>
        <w:t xml:space="preserve"> s</w:t>
      </w:r>
      <w:r w:rsidR="006E1876" w:rsidRPr="000D1EAA">
        <w:rPr>
          <w:sz w:val="22"/>
          <w:szCs w:val="18"/>
          <w:lang w:val="en-CA"/>
        </w:rPr>
        <w:t>. </w:t>
      </w:r>
      <w:r w:rsidR="003F7B75" w:rsidRPr="000D1EAA">
        <w:rPr>
          <w:sz w:val="22"/>
          <w:szCs w:val="18"/>
          <w:lang w:val="en-CA"/>
        </w:rPr>
        <w:t xml:space="preserve">606(4) </w:t>
      </w:r>
      <w:r w:rsidR="00FF7CA0" w:rsidRPr="00FF7CA0">
        <w:rPr>
          <w:i/>
          <w:iCs/>
          <w:sz w:val="22"/>
          <w:szCs w:val="18"/>
          <w:lang w:val="en-CA"/>
        </w:rPr>
        <w:t>Cr. C</w:t>
      </w:r>
      <w:r w:rsidR="004119A7" w:rsidRPr="004119A7">
        <w:rPr>
          <w:sz w:val="22"/>
          <w:szCs w:val="18"/>
          <w:lang w:val="en-CA"/>
        </w:rPr>
        <w:t>.</w:t>
      </w:r>
      <w:r w:rsidR="003F7B75" w:rsidRPr="000D1EAA">
        <w:rPr>
          <w:sz w:val="22"/>
          <w:szCs w:val="18"/>
          <w:lang w:val="en-CA"/>
        </w:rPr>
        <w:t>?</w:t>
      </w:r>
    </w:p>
    <w:p w14:paraId="4C834C04" w14:textId="20B16C40" w:rsidR="00514E9A" w:rsidRPr="000D1EAA" w:rsidRDefault="0020010B" w:rsidP="00514E9A">
      <w:pPr>
        <w:pStyle w:val="Paragraphe"/>
        <w:numPr>
          <w:ilvl w:val="0"/>
          <w:numId w:val="19"/>
        </w:numPr>
        <w:spacing w:line="240" w:lineRule="auto"/>
        <w:rPr>
          <w:sz w:val="22"/>
          <w:szCs w:val="18"/>
          <w:lang w:val="en-CA"/>
        </w:rPr>
      </w:pPr>
      <w:r w:rsidRPr="000D1EAA">
        <w:rPr>
          <w:sz w:val="22"/>
          <w:szCs w:val="18"/>
          <w:lang w:val="en-CA"/>
        </w:rPr>
        <w:lastRenderedPageBreak/>
        <w:t xml:space="preserve">Did the Superior Court judge err </w:t>
      </w:r>
      <w:r w:rsidR="003254CF">
        <w:rPr>
          <w:sz w:val="22"/>
          <w:szCs w:val="18"/>
          <w:lang w:val="en-CA"/>
        </w:rPr>
        <w:t>in</w:t>
      </w:r>
      <w:r w:rsidR="003F7B75" w:rsidRPr="000D1EAA">
        <w:rPr>
          <w:sz w:val="22"/>
          <w:szCs w:val="18"/>
          <w:lang w:val="en-CA"/>
        </w:rPr>
        <w:t xml:space="preserve"> </w:t>
      </w:r>
      <w:r w:rsidR="00FF7CA0">
        <w:rPr>
          <w:sz w:val="22"/>
          <w:szCs w:val="18"/>
          <w:lang w:val="en-CA"/>
        </w:rPr>
        <w:t>purporting</w:t>
      </w:r>
      <w:r w:rsidR="00FF7CA0" w:rsidRPr="000D1EAA">
        <w:rPr>
          <w:sz w:val="22"/>
          <w:szCs w:val="18"/>
          <w:lang w:val="en-CA"/>
        </w:rPr>
        <w:t xml:space="preserve"> </w:t>
      </w:r>
      <w:r w:rsidR="000E393D" w:rsidRPr="000D1EAA">
        <w:rPr>
          <w:sz w:val="22"/>
          <w:szCs w:val="18"/>
          <w:lang w:val="en-CA"/>
        </w:rPr>
        <w:t xml:space="preserve">that the trial judge </w:t>
      </w:r>
      <w:r w:rsidR="00FF7CA0">
        <w:rPr>
          <w:sz w:val="22"/>
          <w:szCs w:val="18"/>
          <w:lang w:val="en-CA"/>
        </w:rPr>
        <w:t>had been</w:t>
      </w:r>
      <w:r w:rsidR="00FF7CA0" w:rsidRPr="000D1EAA">
        <w:rPr>
          <w:sz w:val="22"/>
          <w:szCs w:val="18"/>
          <w:lang w:val="en-CA"/>
        </w:rPr>
        <w:t xml:space="preserve"> </w:t>
      </w:r>
      <w:r w:rsidR="000E393D" w:rsidRPr="000D1EAA">
        <w:rPr>
          <w:sz w:val="22"/>
          <w:szCs w:val="18"/>
          <w:lang w:val="en-CA"/>
        </w:rPr>
        <w:t xml:space="preserve">seized </w:t>
      </w:r>
      <w:r w:rsidR="006E1876" w:rsidRPr="000D1EAA">
        <w:rPr>
          <w:sz w:val="22"/>
          <w:szCs w:val="18"/>
          <w:lang w:val="en-CA"/>
        </w:rPr>
        <w:t>of</w:t>
      </w:r>
      <w:r w:rsidR="000E393D" w:rsidRPr="000D1EAA">
        <w:rPr>
          <w:sz w:val="22"/>
          <w:szCs w:val="18"/>
          <w:lang w:val="en-CA"/>
        </w:rPr>
        <w:t xml:space="preserve"> the second </w:t>
      </w:r>
      <w:r w:rsidR="006E1876" w:rsidRPr="000D1EAA">
        <w:rPr>
          <w:sz w:val="22"/>
          <w:szCs w:val="18"/>
          <w:lang w:val="en-CA"/>
        </w:rPr>
        <w:t>count</w:t>
      </w:r>
      <w:r w:rsidR="003F7B75" w:rsidRPr="000D1EAA">
        <w:rPr>
          <w:sz w:val="22"/>
          <w:szCs w:val="18"/>
          <w:lang w:val="en-CA"/>
        </w:rPr>
        <w:t>?</w:t>
      </w:r>
    </w:p>
    <w:p w14:paraId="640814C3" w14:textId="055D0E10" w:rsidR="00514E9A" w:rsidRPr="000D1EAA" w:rsidRDefault="0020010B" w:rsidP="00514E9A">
      <w:pPr>
        <w:pStyle w:val="Paragraphe"/>
        <w:numPr>
          <w:ilvl w:val="0"/>
          <w:numId w:val="19"/>
        </w:numPr>
        <w:spacing w:line="240" w:lineRule="auto"/>
        <w:rPr>
          <w:sz w:val="22"/>
          <w:szCs w:val="18"/>
          <w:lang w:val="en-CA"/>
        </w:rPr>
      </w:pPr>
      <w:r w:rsidRPr="000D1EAA">
        <w:rPr>
          <w:sz w:val="22"/>
          <w:szCs w:val="18"/>
          <w:lang w:val="en-CA"/>
        </w:rPr>
        <w:t>Did the Superior Court judge err</w:t>
      </w:r>
      <w:r w:rsidR="00327041">
        <w:rPr>
          <w:sz w:val="22"/>
          <w:szCs w:val="18"/>
          <w:lang w:val="en-CA"/>
        </w:rPr>
        <w:t xml:space="preserve"> in law</w:t>
      </w:r>
      <w:r w:rsidRPr="000D1EAA">
        <w:rPr>
          <w:sz w:val="22"/>
          <w:szCs w:val="18"/>
          <w:lang w:val="en-CA"/>
        </w:rPr>
        <w:t xml:space="preserve"> </w:t>
      </w:r>
      <w:r w:rsidR="003254CF">
        <w:rPr>
          <w:sz w:val="22"/>
          <w:szCs w:val="18"/>
          <w:lang w:val="en-CA"/>
        </w:rPr>
        <w:t>in</w:t>
      </w:r>
      <w:r w:rsidRPr="000D1EAA">
        <w:rPr>
          <w:sz w:val="22"/>
          <w:szCs w:val="18"/>
          <w:lang w:val="en-CA"/>
        </w:rPr>
        <w:t xml:space="preserve"> </w:t>
      </w:r>
      <w:r w:rsidR="000E393D" w:rsidRPr="000D1EAA">
        <w:rPr>
          <w:sz w:val="22"/>
          <w:szCs w:val="18"/>
          <w:lang w:val="en-CA"/>
        </w:rPr>
        <w:t xml:space="preserve">stating that the procedural vehicle chosen by the </w:t>
      </w:r>
      <w:r w:rsidR="007C62E4" w:rsidRPr="000D1EAA">
        <w:rPr>
          <w:sz w:val="22"/>
          <w:szCs w:val="18"/>
          <w:lang w:val="en-CA"/>
        </w:rPr>
        <w:t>respondent</w:t>
      </w:r>
      <w:r w:rsidR="003F7B75" w:rsidRPr="000D1EAA">
        <w:rPr>
          <w:sz w:val="22"/>
          <w:szCs w:val="18"/>
          <w:lang w:val="en-CA"/>
        </w:rPr>
        <w:t xml:space="preserve">, </w:t>
      </w:r>
      <w:r w:rsidR="000E393D" w:rsidRPr="000D1EAA">
        <w:rPr>
          <w:sz w:val="22"/>
          <w:szCs w:val="18"/>
          <w:lang w:val="en-CA"/>
        </w:rPr>
        <w:t xml:space="preserve">namely </w:t>
      </w:r>
      <w:r w:rsidR="003F7B75" w:rsidRPr="000D1EAA">
        <w:rPr>
          <w:i/>
          <w:iCs/>
          <w:sz w:val="22"/>
          <w:szCs w:val="18"/>
          <w:lang w:val="en-CA"/>
        </w:rPr>
        <w:t>certiorari</w:t>
      </w:r>
      <w:r w:rsidR="003F7B75" w:rsidRPr="000D1EAA">
        <w:rPr>
          <w:sz w:val="22"/>
          <w:szCs w:val="18"/>
          <w:lang w:val="en-CA"/>
        </w:rPr>
        <w:t xml:space="preserve">, </w:t>
      </w:r>
      <w:r w:rsidR="000E393D" w:rsidRPr="000D1EAA">
        <w:rPr>
          <w:sz w:val="22"/>
          <w:szCs w:val="18"/>
          <w:lang w:val="en-CA"/>
        </w:rPr>
        <w:t xml:space="preserve">was </w:t>
      </w:r>
      <w:r w:rsidR="00ED7545">
        <w:rPr>
          <w:sz w:val="22"/>
          <w:szCs w:val="18"/>
          <w:lang w:val="en-CA"/>
        </w:rPr>
        <w:t>unimportant</w:t>
      </w:r>
      <w:r w:rsidR="003F7B75" w:rsidRPr="000D1EAA">
        <w:rPr>
          <w:sz w:val="22"/>
          <w:szCs w:val="18"/>
          <w:lang w:val="en-CA"/>
        </w:rPr>
        <w:t>?</w:t>
      </w:r>
    </w:p>
    <w:p w14:paraId="2511587B" w14:textId="71BACED9" w:rsidR="00514E9A" w:rsidRPr="000D1EAA" w:rsidRDefault="000E393D" w:rsidP="00514E9A">
      <w:pPr>
        <w:pStyle w:val="Paragraphe"/>
        <w:spacing w:line="240" w:lineRule="auto"/>
        <w:rPr>
          <w:szCs w:val="24"/>
          <w:lang w:val="en-CA"/>
        </w:rPr>
      </w:pPr>
      <w:r w:rsidRPr="000D1EAA">
        <w:rPr>
          <w:szCs w:val="24"/>
          <w:lang w:val="en-CA"/>
        </w:rPr>
        <w:t xml:space="preserve">Most of these grounds </w:t>
      </w:r>
      <w:r w:rsidR="006E1876" w:rsidRPr="000D1EAA">
        <w:rPr>
          <w:szCs w:val="24"/>
          <w:lang w:val="en-CA"/>
        </w:rPr>
        <w:t>overlap</w:t>
      </w:r>
      <w:r w:rsidR="003F7B75" w:rsidRPr="000D1EAA">
        <w:rPr>
          <w:szCs w:val="24"/>
          <w:lang w:val="en-CA"/>
        </w:rPr>
        <w:t xml:space="preserve">. </w:t>
      </w:r>
      <w:r w:rsidRPr="000D1EAA">
        <w:rPr>
          <w:szCs w:val="24"/>
          <w:lang w:val="en-CA"/>
        </w:rPr>
        <w:t xml:space="preserve">In </w:t>
      </w:r>
      <w:r w:rsidR="00FF7CA0">
        <w:rPr>
          <w:szCs w:val="24"/>
          <w:lang w:val="en-CA"/>
        </w:rPr>
        <w:t>reality</w:t>
      </w:r>
      <w:r w:rsidRPr="000D1EAA">
        <w:rPr>
          <w:szCs w:val="24"/>
          <w:lang w:val="en-CA"/>
        </w:rPr>
        <w:t xml:space="preserve">, the appeal raises only the following two </w:t>
      </w:r>
      <w:r w:rsidR="00327041">
        <w:rPr>
          <w:szCs w:val="24"/>
          <w:lang w:val="en-CA"/>
        </w:rPr>
        <w:t>issues</w:t>
      </w:r>
      <w:r w:rsidR="003F7B75" w:rsidRPr="000D1EAA">
        <w:rPr>
          <w:szCs w:val="24"/>
          <w:lang w:val="en-CA"/>
        </w:rPr>
        <w:t xml:space="preserve">: </w:t>
      </w:r>
    </w:p>
    <w:p w14:paraId="257C1FC8" w14:textId="68868892" w:rsidR="00514E9A" w:rsidRPr="00ED7545" w:rsidRDefault="0020010B" w:rsidP="008F5A6C">
      <w:pPr>
        <w:pStyle w:val="Paragraphe"/>
        <w:numPr>
          <w:ilvl w:val="0"/>
          <w:numId w:val="20"/>
        </w:numPr>
        <w:spacing w:line="240" w:lineRule="auto"/>
        <w:rPr>
          <w:szCs w:val="24"/>
          <w:lang w:val="en-CA"/>
        </w:rPr>
      </w:pPr>
      <w:r w:rsidRPr="00ED7545">
        <w:rPr>
          <w:szCs w:val="24"/>
          <w:lang w:val="en-CA"/>
        </w:rPr>
        <w:t xml:space="preserve">Did the Superior Court judge err </w:t>
      </w:r>
      <w:r w:rsidR="00411CFE" w:rsidRPr="00ED7545">
        <w:rPr>
          <w:szCs w:val="24"/>
          <w:lang w:val="en-CA"/>
        </w:rPr>
        <w:t>in</w:t>
      </w:r>
      <w:r w:rsidR="003F7B75" w:rsidRPr="00ED7545">
        <w:rPr>
          <w:szCs w:val="24"/>
          <w:lang w:val="en-CA"/>
        </w:rPr>
        <w:t xml:space="preserve"> </w:t>
      </w:r>
      <w:r w:rsidR="000C4B51" w:rsidRPr="00ED7545">
        <w:rPr>
          <w:szCs w:val="24"/>
          <w:lang w:val="en-CA"/>
        </w:rPr>
        <w:t xml:space="preserve">finding that the teachings of the Supreme Court in </w:t>
      </w:r>
      <w:proofErr w:type="spellStart"/>
      <w:r w:rsidR="003F7B75" w:rsidRPr="00ED7545">
        <w:rPr>
          <w:i/>
          <w:szCs w:val="24"/>
          <w:lang w:val="en-CA"/>
        </w:rPr>
        <w:t>Loyer</w:t>
      </w:r>
      <w:proofErr w:type="spellEnd"/>
      <w:r w:rsidR="003F7B75" w:rsidRPr="00ED7545">
        <w:rPr>
          <w:szCs w:val="24"/>
          <w:lang w:val="en-CA"/>
        </w:rPr>
        <w:t xml:space="preserve"> </w:t>
      </w:r>
      <w:r w:rsidR="000C4B51" w:rsidRPr="00ED7545">
        <w:rPr>
          <w:szCs w:val="24"/>
          <w:lang w:val="en-CA"/>
        </w:rPr>
        <w:t xml:space="preserve">were applicable in the </w:t>
      </w:r>
      <w:r w:rsidR="00411CFE" w:rsidRPr="00ED7545">
        <w:rPr>
          <w:szCs w:val="24"/>
          <w:lang w:val="en-CA"/>
        </w:rPr>
        <w:t xml:space="preserve">present </w:t>
      </w:r>
      <w:r w:rsidR="000C4B51" w:rsidRPr="00ED7545">
        <w:rPr>
          <w:szCs w:val="24"/>
          <w:lang w:val="en-CA"/>
        </w:rPr>
        <w:t>case</w:t>
      </w:r>
      <w:r w:rsidR="003F7B75" w:rsidRPr="00ED7545">
        <w:rPr>
          <w:szCs w:val="24"/>
          <w:lang w:val="en-CA"/>
        </w:rPr>
        <w:t>?</w:t>
      </w:r>
    </w:p>
    <w:p w14:paraId="25DBFEDE" w14:textId="0391959A" w:rsidR="00514E9A" w:rsidRPr="000D1EAA" w:rsidRDefault="0020010B" w:rsidP="00514E9A">
      <w:pPr>
        <w:pStyle w:val="Paragraphe"/>
        <w:numPr>
          <w:ilvl w:val="0"/>
          <w:numId w:val="20"/>
        </w:numPr>
        <w:spacing w:line="240" w:lineRule="auto"/>
        <w:rPr>
          <w:szCs w:val="24"/>
          <w:lang w:val="en-CA"/>
        </w:rPr>
      </w:pPr>
      <w:bookmarkStart w:id="24" w:name="_Hlk112148303"/>
      <w:r w:rsidRPr="00ED7545">
        <w:rPr>
          <w:szCs w:val="24"/>
          <w:lang w:val="en-CA"/>
        </w:rPr>
        <w:t xml:space="preserve">Did the Superior Court judge err </w:t>
      </w:r>
      <w:r w:rsidR="00411CFE" w:rsidRPr="00ED7545">
        <w:rPr>
          <w:szCs w:val="24"/>
          <w:lang w:val="en-CA"/>
        </w:rPr>
        <w:t>in</w:t>
      </w:r>
      <w:r w:rsidR="003F7B75" w:rsidRPr="00ED7545">
        <w:rPr>
          <w:szCs w:val="24"/>
          <w:lang w:val="en-CA"/>
        </w:rPr>
        <w:t xml:space="preserve"> </w:t>
      </w:r>
      <w:r w:rsidR="000C4B51" w:rsidRPr="00ED7545">
        <w:rPr>
          <w:szCs w:val="24"/>
          <w:lang w:val="en-CA"/>
        </w:rPr>
        <w:t xml:space="preserve">finding that </w:t>
      </w:r>
      <w:r w:rsidR="003F7B75" w:rsidRPr="00ED7545">
        <w:rPr>
          <w:i/>
          <w:iCs/>
          <w:szCs w:val="24"/>
          <w:lang w:val="en-CA"/>
        </w:rPr>
        <w:t>certiorari</w:t>
      </w:r>
      <w:r w:rsidR="003F7B75" w:rsidRPr="00ED7545">
        <w:rPr>
          <w:szCs w:val="24"/>
          <w:lang w:val="en-CA"/>
        </w:rPr>
        <w:t xml:space="preserve"> </w:t>
      </w:r>
      <w:r w:rsidR="000C4B51" w:rsidRPr="00ED7545">
        <w:rPr>
          <w:szCs w:val="24"/>
          <w:lang w:val="en-CA"/>
        </w:rPr>
        <w:t xml:space="preserve">was an appropriate vehicle for appealing from </w:t>
      </w:r>
      <w:r w:rsidR="00327041" w:rsidRPr="00ED7545">
        <w:rPr>
          <w:szCs w:val="24"/>
          <w:lang w:val="en-CA"/>
        </w:rPr>
        <w:t>the</w:t>
      </w:r>
      <w:r w:rsidR="000C4B51" w:rsidRPr="00ED7545">
        <w:rPr>
          <w:szCs w:val="24"/>
          <w:lang w:val="en-CA"/>
        </w:rPr>
        <w:t xml:space="preserve"> judgment</w:t>
      </w:r>
      <w:r w:rsidR="000C4B51" w:rsidRPr="000D1EAA">
        <w:rPr>
          <w:szCs w:val="24"/>
          <w:lang w:val="en-CA"/>
        </w:rPr>
        <w:t xml:space="preserve"> of the </w:t>
      </w:r>
      <w:r w:rsidR="007D535C">
        <w:rPr>
          <w:szCs w:val="24"/>
          <w:lang w:val="en-CA"/>
        </w:rPr>
        <w:t>Court of Québec</w:t>
      </w:r>
      <w:r w:rsidR="003F7B75" w:rsidRPr="000D1EAA">
        <w:rPr>
          <w:szCs w:val="24"/>
          <w:lang w:val="en-CA"/>
        </w:rPr>
        <w:t xml:space="preserve">?  </w:t>
      </w:r>
    </w:p>
    <w:bookmarkEnd w:id="24"/>
    <w:p w14:paraId="03CD61DE" w14:textId="57E8FBF2" w:rsidR="00514E9A" w:rsidRPr="000D1EAA" w:rsidRDefault="003F7B75" w:rsidP="00514E9A">
      <w:pPr>
        <w:pStyle w:val="Paragraphe"/>
        <w:numPr>
          <w:ilvl w:val="0"/>
          <w:numId w:val="0"/>
        </w:numPr>
        <w:spacing w:before="240" w:line="240" w:lineRule="auto"/>
        <w:rPr>
          <w:b/>
          <w:u w:val="single"/>
          <w:lang w:val="en-CA"/>
        </w:rPr>
      </w:pPr>
      <w:r w:rsidRPr="000D1EAA">
        <w:rPr>
          <w:b/>
          <w:u w:val="single"/>
          <w:lang w:val="en-CA"/>
        </w:rPr>
        <w:t>ANALYS</w:t>
      </w:r>
      <w:r w:rsidR="000D72D5" w:rsidRPr="000D1EAA">
        <w:rPr>
          <w:b/>
          <w:u w:val="single"/>
          <w:lang w:val="en-CA"/>
        </w:rPr>
        <w:t>IS</w:t>
      </w:r>
    </w:p>
    <w:p w14:paraId="7930459B" w14:textId="40D6098F" w:rsidR="00514E9A" w:rsidRPr="000D1EAA" w:rsidRDefault="000D72D5" w:rsidP="00514E9A">
      <w:pPr>
        <w:pStyle w:val="Paragraphe"/>
        <w:numPr>
          <w:ilvl w:val="0"/>
          <w:numId w:val="0"/>
        </w:numPr>
        <w:spacing w:line="240" w:lineRule="auto"/>
        <w:ind w:firstLine="720"/>
        <w:rPr>
          <w:b/>
          <w:szCs w:val="24"/>
          <w:u w:val="single"/>
          <w:lang w:val="en-CA"/>
        </w:rPr>
      </w:pPr>
      <w:r w:rsidRPr="000D1EAA">
        <w:rPr>
          <w:b/>
          <w:szCs w:val="24"/>
          <w:u w:val="single"/>
          <w:lang w:val="en-CA"/>
        </w:rPr>
        <w:t xml:space="preserve">Do the teachings of </w:t>
      </w:r>
      <w:proofErr w:type="spellStart"/>
      <w:r w:rsidR="003F7B75" w:rsidRPr="000D1EAA">
        <w:rPr>
          <w:b/>
          <w:i/>
          <w:iCs/>
          <w:szCs w:val="24"/>
          <w:u w:val="single"/>
          <w:lang w:val="en-CA"/>
        </w:rPr>
        <w:t>Loyer</w:t>
      </w:r>
      <w:proofErr w:type="spellEnd"/>
      <w:r w:rsidR="003F7B75" w:rsidRPr="000D1EAA">
        <w:rPr>
          <w:b/>
          <w:szCs w:val="24"/>
          <w:u w:val="single"/>
          <w:lang w:val="en-CA"/>
        </w:rPr>
        <w:t xml:space="preserve"> </w:t>
      </w:r>
      <w:r w:rsidRPr="000D1EAA">
        <w:rPr>
          <w:b/>
          <w:szCs w:val="24"/>
          <w:u w:val="single"/>
          <w:lang w:val="en-CA"/>
        </w:rPr>
        <w:t xml:space="preserve">apply </w:t>
      </w:r>
      <w:r w:rsidR="000A3C53">
        <w:rPr>
          <w:b/>
          <w:szCs w:val="24"/>
          <w:u w:val="single"/>
          <w:lang w:val="en-CA"/>
        </w:rPr>
        <w:t>here</w:t>
      </w:r>
      <w:r w:rsidR="003F7B75" w:rsidRPr="000D1EAA">
        <w:rPr>
          <w:b/>
          <w:szCs w:val="24"/>
          <w:u w:val="single"/>
          <w:lang w:val="en-CA"/>
        </w:rPr>
        <w:t>?</w:t>
      </w:r>
    </w:p>
    <w:p w14:paraId="4BEB41D8" w14:textId="28DEFCEB" w:rsidR="00514E9A" w:rsidRPr="000D1EAA" w:rsidRDefault="000D72D5" w:rsidP="00514E9A">
      <w:pPr>
        <w:pStyle w:val="Paragraphe"/>
        <w:spacing w:line="240" w:lineRule="auto"/>
        <w:rPr>
          <w:lang w:val="en-CA"/>
        </w:rPr>
      </w:pPr>
      <w:r w:rsidRPr="000D1EAA">
        <w:rPr>
          <w:lang w:val="en-CA"/>
        </w:rPr>
        <w:t xml:space="preserve">In </w:t>
      </w:r>
      <w:r w:rsidR="003F7B75" w:rsidRPr="000D1EAA">
        <w:rPr>
          <w:lang w:val="en-CA"/>
        </w:rPr>
        <w:t xml:space="preserve">1974, </w:t>
      </w:r>
      <w:r w:rsidR="00AC677A" w:rsidRPr="000D1EAA">
        <w:rPr>
          <w:lang w:val="en-CA"/>
        </w:rPr>
        <w:t xml:space="preserve">the Supreme Court </w:t>
      </w:r>
      <w:r w:rsidR="00FF7CA0">
        <w:rPr>
          <w:lang w:val="en-CA"/>
        </w:rPr>
        <w:t>set out</w:t>
      </w:r>
      <w:r w:rsidR="00FF7CA0" w:rsidRPr="000D1EAA">
        <w:rPr>
          <w:lang w:val="en-CA"/>
        </w:rPr>
        <w:t xml:space="preserve"> </w:t>
      </w:r>
      <w:r w:rsidRPr="000D1EAA">
        <w:rPr>
          <w:lang w:val="en-CA"/>
        </w:rPr>
        <w:t xml:space="preserve">the rule </w:t>
      </w:r>
      <w:r w:rsidR="000A3C53">
        <w:rPr>
          <w:lang w:val="en-CA"/>
        </w:rPr>
        <w:t>against</w:t>
      </w:r>
      <w:r w:rsidRPr="000D1EAA">
        <w:rPr>
          <w:lang w:val="en-CA"/>
        </w:rPr>
        <w:t xml:space="preserve"> multiple convictions in </w:t>
      </w:r>
      <w:proofErr w:type="spellStart"/>
      <w:r w:rsidR="003F7B75" w:rsidRPr="000D1EAA">
        <w:rPr>
          <w:i/>
          <w:lang w:val="en-CA"/>
        </w:rPr>
        <w:t>Kienapple</w:t>
      </w:r>
      <w:proofErr w:type="spellEnd"/>
      <w:r w:rsidRPr="000D1EAA">
        <w:rPr>
          <w:i/>
          <w:lang w:val="en-CA"/>
        </w:rPr>
        <w:t>.</w:t>
      </w:r>
      <w:r w:rsidR="003F7B75" w:rsidRPr="000D1EAA">
        <w:rPr>
          <w:rStyle w:val="Appelnotedebasdep"/>
          <w:lang w:val="en-CA"/>
        </w:rPr>
        <w:footnoteReference w:id="5"/>
      </w:r>
      <w:r w:rsidR="003F7B75" w:rsidRPr="000D1EAA">
        <w:rPr>
          <w:lang w:val="en-CA"/>
        </w:rPr>
        <w:t xml:space="preserve"> </w:t>
      </w:r>
      <w:r w:rsidRPr="000D1EAA">
        <w:rPr>
          <w:lang w:val="en-CA"/>
        </w:rPr>
        <w:t xml:space="preserve">This rule prohibits an individual from being convicted of two offences that, although theoretically different </w:t>
      </w:r>
      <w:r w:rsidR="00A871E0">
        <w:rPr>
          <w:lang w:val="en-CA"/>
        </w:rPr>
        <w:t>upon a</w:t>
      </w:r>
      <w:r w:rsidRPr="000D1EAA">
        <w:rPr>
          <w:lang w:val="en-CA"/>
        </w:rPr>
        <w:t xml:space="preserve"> reading of the charges, </w:t>
      </w:r>
      <w:r w:rsidR="00D90E29">
        <w:rPr>
          <w:lang w:val="en-CA"/>
        </w:rPr>
        <w:t>have</w:t>
      </w:r>
      <w:r w:rsidRPr="000D1EAA">
        <w:rPr>
          <w:lang w:val="en-CA"/>
        </w:rPr>
        <w:t xml:space="preserve"> </w:t>
      </w:r>
      <w:r w:rsidR="0056036F">
        <w:rPr>
          <w:lang w:val="en-CA"/>
        </w:rPr>
        <w:t>decisive</w:t>
      </w:r>
      <w:r w:rsidR="00D90E29">
        <w:rPr>
          <w:lang w:val="en-CA"/>
        </w:rPr>
        <w:t xml:space="preserve"> </w:t>
      </w:r>
      <w:r w:rsidR="006455B9">
        <w:rPr>
          <w:lang w:val="en-CA"/>
        </w:rPr>
        <w:t>elements</w:t>
      </w:r>
      <w:r w:rsidRPr="000D1EAA">
        <w:rPr>
          <w:lang w:val="en-CA"/>
        </w:rPr>
        <w:t xml:space="preserve"> that</w:t>
      </w:r>
      <w:r w:rsidR="005D022D" w:rsidRPr="000D1EAA">
        <w:rPr>
          <w:lang w:val="en-CA"/>
        </w:rPr>
        <w:t xml:space="preserve"> overlap</w:t>
      </w:r>
      <w:r w:rsidR="003F7B75" w:rsidRPr="000D1EAA">
        <w:rPr>
          <w:lang w:val="en-CA"/>
        </w:rPr>
        <w:t xml:space="preserve"> </w:t>
      </w:r>
      <w:r w:rsidRPr="000D1EAA">
        <w:rPr>
          <w:lang w:val="en-CA"/>
        </w:rPr>
        <w:t>and in fact apply to essentially identical behaviours.</w:t>
      </w:r>
      <w:r w:rsidR="003F7B75" w:rsidRPr="000D1EAA">
        <w:rPr>
          <w:rStyle w:val="Appelnotedebasdep"/>
          <w:lang w:val="en-CA"/>
        </w:rPr>
        <w:footnoteReference w:id="6"/>
      </w:r>
      <w:r w:rsidR="003F7B75" w:rsidRPr="000D1EAA">
        <w:rPr>
          <w:lang w:val="en-CA"/>
        </w:rPr>
        <w:t xml:space="preserve"> </w:t>
      </w:r>
      <w:r w:rsidR="00CA012F" w:rsidRPr="000D1EAA">
        <w:rPr>
          <w:lang w:val="en-CA"/>
        </w:rPr>
        <w:t xml:space="preserve">When the rule </w:t>
      </w:r>
      <w:r w:rsidR="000A3C53">
        <w:rPr>
          <w:lang w:val="en-CA"/>
        </w:rPr>
        <w:t>applies</w:t>
      </w:r>
      <w:r w:rsidR="00CA012F" w:rsidRPr="000D1EAA">
        <w:rPr>
          <w:lang w:val="en-CA"/>
        </w:rPr>
        <w:t xml:space="preserve">, the court </w:t>
      </w:r>
      <w:r w:rsidR="00054D4B">
        <w:rPr>
          <w:lang w:val="en-CA"/>
        </w:rPr>
        <w:t>enters</w:t>
      </w:r>
      <w:r w:rsidR="00054D4B" w:rsidRPr="000D1EAA">
        <w:rPr>
          <w:lang w:val="en-CA"/>
        </w:rPr>
        <w:t xml:space="preserve"> </w:t>
      </w:r>
      <w:r w:rsidR="00CA012F" w:rsidRPr="000D1EAA">
        <w:rPr>
          <w:lang w:val="en-CA"/>
        </w:rPr>
        <w:t>a conditional stay of proceedings on the less serious charge.</w:t>
      </w:r>
      <w:r w:rsidR="003F7B75" w:rsidRPr="000D1EAA">
        <w:rPr>
          <w:rStyle w:val="Appelnotedebasdep"/>
          <w:lang w:val="en-CA"/>
        </w:rPr>
        <w:footnoteReference w:id="7"/>
      </w:r>
      <w:r w:rsidR="003F7B75" w:rsidRPr="000D1EAA">
        <w:rPr>
          <w:lang w:val="en-CA"/>
        </w:rPr>
        <w:t xml:space="preserve"> </w:t>
      </w:r>
    </w:p>
    <w:p w14:paraId="1B49E319" w14:textId="769CB2CF" w:rsidR="00514E9A" w:rsidRPr="000D1EAA" w:rsidRDefault="00CA012F" w:rsidP="00514E9A">
      <w:pPr>
        <w:pStyle w:val="Paragraphe"/>
        <w:spacing w:line="240" w:lineRule="auto"/>
        <w:rPr>
          <w:lang w:val="en-CA"/>
        </w:rPr>
      </w:pPr>
      <w:r w:rsidRPr="000D1EAA">
        <w:rPr>
          <w:lang w:val="en-CA"/>
        </w:rPr>
        <w:t xml:space="preserve">In </w:t>
      </w:r>
      <w:r w:rsidR="003F7B75" w:rsidRPr="000D1EAA">
        <w:rPr>
          <w:i/>
          <w:iCs/>
          <w:lang w:val="en-CA"/>
        </w:rPr>
        <w:t>Prince</w:t>
      </w:r>
      <w:r w:rsidRPr="00B00106">
        <w:rPr>
          <w:lang w:val="en-CA"/>
        </w:rPr>
        <w:t>,</w:t>
      </w:r>
      <w:r w:rsidR="003F7B75" w:rsidRPr="000D1EAA">
        <w:rPr>
          <w:rStyle w:val="Appelnotedebasdep"/>
          <w:iCs/>
          <w:lang w:val="en-CA"/>
        </w:rPr>
        <w:footnoteReference w:id="8"/>
      </w:r>
      <w:r w:rsidRPr="000D1EAA">
        <w:rPr>
          <w:lang w:val="en-CA"/>
        </w:rPr>
        <w:t xml:space="preserve"> Dickson C.J., for a unanimous </w:t>
      </w:r>
      <w:r w:rsidR="000D72D5" w:rsidRPr="000D1EAA">
        <w:rPr>
          <w:lang w:val="en-CA"/>
        </w:rPr>
        <w:t>Supreme Court</w:t>
      </w:r>
      <w:r w:rsidR="003F7B75" w:rsidRPr="000D1EAA">
        <w:rPr>
          <w:lang w:val="en-CA"/>
        </w:rPr>
        <w:t xml:space="preserve"> </w:t>
      </w:r>
      <w:r w:rsidRPr="000D1EAA">
        <w:rPr>
          <w:lang w:val="en-CA"/>
        </w:rPr>
        <w:t xml:space="preserve">of </w:t>
      </w:r>
      <w:r w:rsidR="003F7B75" w:rsidRPr="000D1EAA">
        <w:rPr>
          <w:lang w:val="en-CA"/>
        </w:rPr>
        <w:t xml:space="preserve">Canada, </w:t>
      </w:r>
      <w:r w:rsidRPr="000D1EAA">
        <w:rPr>
          <w:lang w:val="en-CA"/>
        </w:rPr>
        <w:t xml:space="preserve">listed the criteria giving rise to the rule </w:t>
      </w:r>
      <w:r w:rsidR="00A871E0">
        <w:rPr>
          <w:lang w:val="en-CA"/>
        </w:rPr>
        <w:t>against</w:t>
      </w:r>
      <w:r w:rsidRPr="000D1EAA">
        <w:rPr>
          <w:lang w:val="en-CA"/>
        </w:rPr>
        <w:t xml:space="preserve"> multiple convictions.</w:t>
      </w:r>
      <w:r w:rsidR="003F7B75" w:rsidRPr="000D1EAA">
        <w:rPr>
          <w:lang w:val="en-CA"/>
        </w:rPr>
        <w:t xml:space="preserve"> </w:t>
      </w:r>
      <w:r w:rsidRPr="000D1EAA">
        <w:rPr>
          <w:lang w:val="en-CA"/>
        </w:rPr>
        <w:t xml:space="preserve">First of all, </w:t>
      </w:r>
      <w:r w:rsidR="00D27A81" w:rsidRPr="000D1EAA">
        <w:rPr>
          <w:lang w:val="en-CA"/>
        </w:rPr>
        <w:t xml:space="preserve">there must be a factual </w:t>
      </w:r>
      <w:r w:rsidR="00EE7246" w:rsidRPr="000D1EAA">
        <w:rPr>
          <w:lang w:val="en-CA"/>
        </w:rPr>
        <w:t>nexus</w:t>
      </w:r>
      <w:r w:rsidR="00D27A81" w:rsidRPr="000D1EAA">
        <w:rPr>
          <w:lang w:val="en-CA"/>
        </w:rPr>
        <w:t xml:space="preserve"> between the offences, </w:t>
      </w:r>
      <w:r w:rsidR="00706DE5">
        <w:rPr>
          <w:lang w:val="en-CA"/>
        </w:rPr>
        <w:t xml:space="preserve">or </w:t>
      </w:r>
      <w:r w:rsidR="00D27A81" w:rsidRPr="000D1EAA">
        <w:rPr>
          <w:lang w:val="en-CA"/>
        </w:rPr>
        <w:t xml:space="preserve">in other words, they must </w:t>
      </w:r>
      <w:r w:rsidR="000D1EAA" w:rsidRPr="000D1EAA">
        <w:rPr>
          <w:lang w:val="en-CA"/>
        </w:rPr>
        <w:t>arise</w:t>
      </w:r>
      <w:r w:rsidR="00D27A81" w:rsidRPr="000D1EAA">
        <w:rPr>
          <w:lang w:val="en-CA"/>
        </w:rPr>
        <w:t xml:space="preserve"> from the same </w:t>
      </w:r>
      <w:r w:rsidR="00EE7246" w:rsidRPr="000D1EAA">
        <w:rPr>
          <w:lang w:val="en-CA"/>
        </w:rPr>
        <w:t>transaction</w:t>
      </w:r>
      <w:r w:rsidR="00D27A81" w:rsidRPr="000D1EAA">
        <w:rPr>
          <w:lang w:val="en-CA"/>
        </w:rPr>
        <w:t>.</w:t>
      </w:r>
      <w:r w:rsidR="003F7B75" w:rsidRPr="000D1EAA">
        <w:rPr>
          <w:rStyle w:val="Appelnotedebasdep"/>
          <w:lang w:val="en-CA"/>
        </w:rPr>
        <w:footnoteReference w:id="9"/>
      </w:r>
      <w:r w:rsidR="003F7B75" w:rsidRPr="000D1EAA">
        <w:rPr>
          <w:lang w:val="en-CA"/>
        </w:rPr>
        <w:t xml:space="preserve"> </w:t>
      </w:r>
      <w:r w:rsidR="00D27A81" w:rsidRPr="000D1EAA">
        <w:rPr>
          <w:lang w:val="en-CA"/>
        </w:rPr>
        <w:t xml:space="preserve">Most often, this first </w:t>
      </w:r>
      <w:r w:rsidR="00706DE5">
        <w:rPr>
          <w:lang w:val="en-CA"/>
        </w:rPr>
        <w:t xml:space="preserve">test </w:t>
      </w:r>
      <w:r w:rsidR="00D27A81" w:rsidRPr="000D1EAA">
        <w:rPr>
          <w:lang w:val="en-CA"/>
        </w:rPr>
        <w:t xml:space="preserve">is </w:t>
      </w:r>
      <w:r w:rsidR="000D1EAA">
        <w:rPr>
          <w:lang w:val="en-CA"/>
        </w:rPr>
        <w:t>satisfied</w:t>
      </w:r>
      <w:r w:rsidR="00D27A81" w:rsidRPr="000D1EAA">
        <w:rPr>
          <w:lang w:val="en-CA"/>
        </w:rPr>
        <w:t xml:space="preserve"> if the question</w:t>
      </w:r>
      <w:r w:rsidR="003F7B75" w:rsidRPr="000D1EAA">
        <w:rPr>
          <w:lang w:val="en-CA"/>
        </w:rPr>
        <w:t xml:space="preserve">: </w:t>
      </w:r>
      <w:r w:rsidR="000D1EAA" w:rsidRPr="000D1EAA">
        <w:rPr>
          <w:lang w:val="en-CA"/>
        </w:rPr>
        <w:t>“</w:t>
      </w:r>
      <w:r w:rsidR="000D1EAA" w:rsidRPr="000D1EAA">
        <w:rPr>
          <w:color w:val="000000"/>
          <w:spacing w:val="-3"/>
          <w:lang w:val="en-CA"/>
        </w:rPr>
        <w:t>Does the same act of the accused ground each of the charges?</w:t>
      </w:r>
      <w:r w:rsidR="000D1EAA">
        <w:rPr>
          <w:color w:val="000000"/>
          <w:spacing w:val="-3"/>
          <w:lang w:val="en-CA"/>
        </w:rPr>
        <w:t>”</w:t>
      </w:r>
      <w:r w:rsidR="00D27A81" w:rsidRPr="000D1EAA">
        <w:rPr>
          <w:lang w:val="en-CA"/>
        </w:rPr>
        <w:t xml:space="preserve"> can be answered in the affirmati</w:t>
      </w:r>
      <w:r w:rsidR="009D0B89" w:rsidRPr="000D1EAA">
        <w:rPr>
          <w:lang w:val="en-CA"/>
        </w:rPr>
        <w:t>ve.</w:t>
      </w:r>
      <w:r w:rsidR="003F7B75" w:rsidRPr="000D1EAA">
        <w:rPr>
          <w:rStyle w:val="Appelnotedebasdep"/>
          <w:lang w:val="en-CA"/>
        </w:rPr>
        <w:footnoteReference w:id="10"/>
      </w:r>
      <w:r w:rsidR="003F7B75" w:rsidRPr="000D1EAA">
        <w:rPr>
          <w:lang w:val="en-CA"/>
        </w:rPr>
        <w:t xml:space="preserve"> </w:t>
      </w:r>
      <w:r w:rsidR="009D0B89" w:rsidRPr="000D1EAA">
        <w:rPr>
          <w:lang w:val="en-CA"/>
        </w:rPr>
        <w:t xml:space="preserve">Secondly, there must be an adequate relationship or </w:t>
      </w:r>
      <w:r w:rsidR="0054538C">
        <w:rPr>
          <w:lang w:val="en-CA"/>
        </w:rPr>
        <w:t>nexus</w:t>
      </w:r>
      <w:r w:rsidR="009D0B89" w:rsidRPr="000D1EAA">
        <w:rPr>
          <w:lang w:val="en-CA"/>
        </w:rPr>
        <w:t xml:space="preserve"> between the offences.</w:t>
      </w:r>
      <w:r w:rsidR="003F7B75" w:rsidRPr="000D1EAA">
        <w:rPr>
          <w:rStyle w:val="Appelnotedebasdep"/>
          <w:lang w:val="en-CA"/>
        </w:rPr>
        <w:footnoteReference w:id="11"/>
      </w:r>
      <w:r w:rsidR="003F7B75" w:rsidRPr="000D1EAA">
        <w:rPr>
          <w:lang w:val="en-CA"/>
        </w:rPr>
        <w:t xml:space="preserve"> </w:t>
      </w:r>
      <w:r w:rsidR="009D0B89" w:rsidRPr="000D1EAA">
        <w:rPr>
          <w:lang w:val="en-CA"/>
        </w:rPr>
        <w:t>As th</w:t>
      </w:r>
      <w:r w:rsidR="00DA68B6">
        <w:rPr>
          <w:lang w:val="en-CA"/>
        </w:rPr>
        <w:t>is</w:t>
      </w:r>
      <w:r w:rsidR="009D0B89" w:rsidRPr="000D1EAA">
        <w:rPr>
          <w:lang w:val="en-CA"/>
        </w:rPr>
        <w:t xml:space="preserve"> Court </w:t>
      </w:r>
      <w:r w:rsidR="00DA68B6">
        <w:rPr>
          <w:lang w:val="en-CA"/>
        </w:rPr>
        <w:t xml:space="preserve">has </w:t>
      </w:r>
      <w:r w:rsidR="009D0B89" w:rsidRPr="000D1EAA">
        <w:rPr>
          <w:lang w:val="en-CA"/>
        </w:rPr>
        <w:t>stated, more concretely, the judge must determine</w:t>
      </w:r>
      <w:r w:rsidR="003F7B75" w:rsidRPr="000D1EAA">
        <w:rPr>
          <w:rFonts w:cs="Arial"/>
          <w:color w:val="000000"/>
          <w:lang w:val="en-CA"/>
        </w:rPr>
        <w:t xml:space="preserve">: </w:t>
      </w:r>
      <w:r w:rsidR="00540239">
        <w:rPr>
          <w:rFonts w:cs="Arial"/>
          <w:color w:val="000000"/>
          <w:lang w:val="en-CA"/>
        </w:rPr>
        <w:t>(</w:t>
      </w:r>
      <w:r w:rsidR="003F7B75" w:rsidRPr="000D1EAA">
        <w:rPr>
          <w:rFonts w:cs="Arial"/>
          <w:color w:val="000000"/>
          <w:lang w:val="en-CA"/>
        </w:rPr>
        <w:t>1) </w:t>
      </w:r>
      <w:r w:rsidR="009D0B89" w:rsidRPr="000D1EAA">
        <w:rPr>
          <w:rFonts w:cs="Arial"/>
          <w:color w:val="000000"/>
          <w:lang w:val="en-CA"/>
        </w:rPr>
        <w:t xml:space="preserve">if the first offence is a particular </w:t>
      </w:r>
      <w:r w:rsidR="003F7B75" w:rsidRPr="000D1EAA">
        <w:rPr>
          <w:rFonts w:cs="Arial"/>
          <w:color w:val="000000"/>
          <w:lang w:val="en-CA"/>
        </w:rPr>
        <w:t xml:space="preserve">manifestation </w:t>
      </w:r>
      <w:r w:rsidR="009D0B89" w:rsidRPr="000D1EAA">
        <w:rPr>
          <w:rFonts w:cs="Arial"/>
          <w:color w:val="000000"/>
          <w:lang w:val="en-CA"/>
        </w:rPr>
        <w:t>of the second; and</w:t>
      </w:r>
      <w:r w:rsidR="003F7B75" w:rsidRPr="000D1EAA">
        <w:rPr>
          <w:rFonts w:cs="Arial"/>
          <w:color w:val="000000"/>
          <w:lang w:val="en-CA"/>
        </w:rPr>
        <w:t> </w:t>
      </w:r>
      <w:r w:rsidR="00540239">
        <w:rPr>
          <w:rFonts w:cs="Arial"/>
          <w:color w:val="000000"/>
          <w:lang w:val="en-CA"/>
        </w:rPr>
        <w:t>(</w:t>
      </w:r>
      <w:r w:rsidR="003F7B75" w:rsidRPr="000D1EAA">
        <w:rPr>
          <w:rFonts w:cs="Arial"/>
          <w:color w:val="000000"/>
          <w:lang w:val="en-CA"/>
        </w:rPr>
        <w:t>2) </w:t>
      </w:r>
      <w:r w:rsidR="009D0B89" w:rsidRPr="000D1EAA">
        <w:rPr>
          <w:rFonts w:cs="Arial"/>
          <w:color w:val="000000"/>
          <w:lang w:val="en-CA"/>
        </w:rPr>
        <w:t xml:space="preserve">if the constituent </w:t>
      </w:r>
      <w:r w:rsidR="0017052C">
        <w:rPr>
          <w:rFonts w:cs="Arial"/>
          <w:color w:val="000000"/>
          <w:lang w:val="en-CA"/>
        </w:rPr>
        <w:t>elements</w:t>
      </w:r>
      <w:r w:rsidR="009D0B89" w:rsidRPr="000D1EAA">
        <w:rPr>
          <w:rFonts w:cs="Arial"/>
          <w:color w:val="000000"/>
          <w:lang w:val="en-CA"/>
        </w:rPr>
        <w:t xml:space="preserve"> of the first offence are also part of the second.</w:t>
      </w:r>
      <w:r w:rsidR="003F7B75" w:rsidRPr="000D1EAA">
        <w:rPr>
          <w:rStyle w:val="Appelnotedebasdep"/>
          <w:rFonts w:cs="Arial"/>
          <w:color w:val="000000"/>
          <w:lang w:val="en-CA"/>
        </w:rPr>
        <w:footnoteReference w:id="12"/>
      </w:r>
      <w:r w:rsidR="003F7B75" w:rsidRPr="000D1EAA">
        <w:rPr>
          <w:rFonts w:cs="Arial"/>
          <w:color w:val="000000"/>
          <w:lang w:val="en-CA"/>
        </w:rPr>
        <w:t xml:space="preserve"> </w:t>
      </w:r>
    </w:p>
    <w:p w14:paraId="7C99F192" w14:textId="317B78FE" w:rsidR="00514E9A" w:rsidRPr="000D1EAA" w:rsidRDefault="003F7B75" w:rsidP="00514E9A">
      <w:pPr>
        <w:pStyle w:val="Paragraphe"/>
        <w:spacing w:line="240" w:lineRule="auto"/>
        <w:rPr>
          <w:lang w:val="en-CA"/>
        </w:rPr>
      </w:pPr>
      <w:proofErr w:type="spellStart"/>
      <w:r w:rsidRPr="000D1EAA">
        <w:rPr>
          <w:i/>
          <w:iCs/>
          <w:lang w:val="en-CA"/>
        </w:rPr>
        <w:lastRenderedPageBreak/>
        <w:t>Loyer</w:t>
      </w:r>
      <w:proofErr w:type="spellEnd"/>
      <w:r w:rsidRPr="000D1EAA">
        <w:rPr>
          <w:lang w:val="en-CA"/>
        </w:rPr>
        <w:t xml:space="preserve"> </w:t>
      </w:r>
      <w:r w:rsidR="001D7525">
        <w:rPr>
          <w:lang w:val="en-CA"/>
        </w:rPr>
        <w:t>involve</w:t>
      </w:r>
      <w:r w:rsidR="000E4303">
        <w:rPr>
          <w:lang w:val="en-CA"/>
        </w:rPr>
        <w:t>d</w:t>
      </w:r>
      <w:r w:rsidR="002A58CD" w:rsidRPr="000D1EAA">
        <w:rPr>
          <w:lang w:val="en-CA"/>
        </w:rPr>
        <w:t xml:space="preserve"> </w:t>
      </w:r>
      <w:r w:rsidRPr="000D1EAA">
        <w:rPr>
          <w:lang w:val="en-CA"/>
        </w:rPr>
        <w:t xml:space="preserve">situations </w:t>
      </w:r>
      <w:r w:rsidR="002A58CD" w:rsidRPr="000D1EAA">
        <w:rPr>
          <w:lang w:val="en-CA"/>
        </w:rPr>
        <w:t xml:space="preserve">in which </w:t>
      </w:r>
      <w:r w:rsidR="00997337" w:rsidRPr="000D1EAA">
        <w:rPr>
          <w:lang w:val="en-CA"/>
        </w:rPr>
        <w:t>an accused</w:t>
      </w:r>
      <w:r w:rsidRPr="000D1EAA">
        <w:rPr>
          <w:lang w:val="en-CA"/>
        </w:rPr>
        <w:t xml:space="preserve"> </w:t>
      </w:r>
      <w:r w:rsidR="001D7525">
        <w:rPr>
          <w:lang w:val="en-CA"/>
        </w:rPr>
        <w:t>wishe</w:t>
      </w:r>
      <w:r w:rsidR="000E4303">
        <w:rPr>
          <w:lang w:val="en-CA"/>
        </w:rPr>
        <w:t>d</w:t>
      </w:r>
      <w:r w:rsidR="002A58CD" w:rsidRPr="000D1EAA">
        <w:rPr>
          <w:lang w:val="en-CA"/>
        </w:rPr>
        <w:t xml:space="preserve"> to </w:t>
      </w:r>
      <w:r w:rsidR="001D7525">
        <w:rPr>
          <w:lang w:val="en-CA"/>
        </w:rPr>
        <w:t>plead</w:t>
      </w:r>
      <w:r w:rsidR="002A58CD" w:rsidRPr="000D1EAA">
        <w:rPr>
          <w:lang w:val="en-CA"/>
        </w:rPr>
        <w:t xml:space="preserve"> </w:t>
      </w:r>
      <w:r w:rsidR="00576F62">
        <w:rPr>
          <w:lang w:val="en-CA"/>
        </w:rPr>
        <w:t>guilt</w:t>
      </w:r>
      <w:r w:rsidR="001D7525">
        <w:rPr>
          <w:lang w:val="en-CA"/>
        </w:rPr>
        <w:t>y to</w:t>
      </w:r>
      <w:r w:rsidR="002A58CD" w:rsidRPr="000D1EAA">
        <w:rPr>
          <w:lang w:val="en-CA"/>
        </w:rPr>
        <w:t xml:space="preserve"> </w:t>
      </w:r>
      <w:r w:rsidR="000E4303">
        <w:rPr>
          <w:lang w:val="en-CA"/>
        </w:rPr>
        <w:t>one of two</w:t>
      </w:r>
      <w:r w:rsidR="000E4303" w:rsidRPr="000D1EAA">
        <w:rPr>
          <w:lang w:val="en-CA"/>
        </w:rPr>
        <w:t xml:space="preserve"> </w:t>
      </w:r>
      <w:r w:rsidR="002A58CD" w:rsidRPr="000D1EAA">
        <w:rPr>
          <w:lang w:val="en-CA"/>
        </w:rPr>
        <w:t>offence</w:t>
      </w:r>
      <w:r w:rsidR="000E4303">
        <w:rPr>
          <w:lang w:val="en-CA"/>
        </w:rPr>
        <w:t>s</w:t>
      </w:r>
      <w:r w:rsidR="00126F76">
        <w:rPr>
          <w:lang w:val="en-CA"/>
        </w:rPr>
        <w:t xml:space="preserve"> </w:t>
      </w:r>
      <w:r w:rsidR="002A58CD" w:rsidRPr="000D1EAA">
        <w:rPr>
          <w:lang w:val="en-CA"/>
        </w:rPr>
        <w:t xml:space="preserve">subject to the </w:t>
      </w:r>
      <w:r w:rsidR="00126F76">
        <w:rPr>
          <w:lang w:val="en-CA"/>
        </w:rPr>
        <w:t xml:space="preserve">application of </w:t>
      </w:r>
      <w:proofErr w:type="spellStart"/>
      <w:r w:rsidRPr="000D1EAA">
        <w:rPr>
          <w:i/>
          <w:iCs/>
          <w:lang w:val="en-CA"/>
        </w:rPr>
        <w:t>Kienapple</w:t>
      </w:r>
      <w:proofErr w:type="spellEnd"/>
      <w:r w:rsidR="00126F76" w:rsidRPr="00126F76">
        <w:rPr>
          <w:lang w:val="en-CA"/>
        </w:rPr>
        <w:t xml:space="preserve"> </w:t>
      </w:r>
      <w:r w:rsidR="00126F76">
        <w:rPr>
          <w:lang w:val="en-CA"/>
        </w:rPr>
        <w:t>principle</w:t>
      </w:r>
      <w:r w:rsidRPr="000D1EAA">
        <w:rPr>
          <w:i/>
          <w:iCs/>
          <w:lang w:val="en-CA"/>
        </w:rPr>
        <w:t>.</w:t>
      </w:r>
      <w:r w:rsidRPr="000D1EAA">
        <w:rPr>
          <w:lang w:val="en-CA"/>
        </w:rPr>
        <w:t xml:space="preserve"> </w:t>
      </w:r>
      <w:r w:rsidR="002A58CD" w:rsidRPr="000D1EAA">
        <w:rPr>
          <w:lang w:val="en-CA"/>
        </w:rPr>
        <w:t>In th</w:t>
      </w:r>
      <w:r w:rsidR="001D7525">
        <w:rPr>
          <w:lang w:val="en-CA"/>
        </w:rPr>
        <w:t>at</w:t>
      </w:r>
      <w:r w:rsidR="002A58CD" w:rsidRPr="000D1EAA">
        <w:rPr>
          <w:lang w:val="en-CA"/>
        </w:rPr>
        <w:t xml:space="preserve"> </w:t>
      </w:r>
      <w:r w:rsidR="00576F62">
        <w:rPr>
          <w:lang w:val="en-CA"/>
        </w:rPr>
        <w:t>case</w:t>
      </w:r>
      <w:r w:rsidR="002A58CD" w:rsidRPr="000D1EAA">
        <w:rPr>
          <w:lang w:val="en-CA"/>
        </w:rPr>
        <w:t>, the two accused were</w:t>
      </w:r>
      <w:r w:rsidR="00844A26">
        <w:rPr>
          <w:lang w:val="en-CA"/>
        </w:rPr>
        <w:t xml:space="preserve"> charged </w:t>
      </w:r>
      <w:r w:rsidR="00B00106">
        <w:rPr>
          <w:lang w:val="en-CA"/>
        </w:rPr>
        <w:t xml:space="preserve">in </w:t>
      </w:r>
      <w:r w:rsidR="00844A26">
        <w:rPr>
          <w:lang w:val="en-CA"/>
        </w:rPr>
        <w:t xml:space="preserve">two counts </w:t>
      </w:r>
      <w:r w:rsidR="00613C3E">
        <w:rPr>
          <w:lang w:val="en-CA"/>
        </w:rPr>
        <w:t>with</w:t>
      </w:r>
      <w:r w:rsidRPr="000D1EAA">
        <w:rPr>
          <w:lang w:val="en-CA"/>
        </w:rPr>
        <w:t xml:space="preserve"> </w:t>
      </w:r>
      <w:r w:rsidR="00844A26">
        <w:rPr>
          <w:lang w:val="en-CA"/>
        </w:rPr>
        <w:t>(</w:t>
      </w:r>
      <w:r w:rsidRPr="000D1EAA">
        <w:rPr>
          <w:lang w:val="en-CA"/>
        </w:rPr>
        <w:t>1) </w:t>
      </w:r>
      <w:r w:rsidR="002A58CD" w:rsidRPr="000D1EAA">
        <w:rPr>
          <w:lang w:val="en-CA"/>
        </w:rPr>
        <w:t>attempted armed robbery</w:t>
      </w:r>
      <w:r w:rsidR="00844A26">
        <w:rPr>
          <w:lang w:val="en-CA"/>
        </w:rPr>
        <w:t xml:space="preserve"> by use of a </w:t>
      </w:r>
      <w:r w:rsidR="002A58CD" w:rsidRPr="000D1EAA">
        <w:rPr>
          <w:lang w:val="en-CA"/>
        </w:rPr>
        <w:t xml:space="preserve">knife </w:t>
      </w:r>
      <w:r w:rsidR="00844A26" w:rsidRPr="003D4FFF">
        <w:rPr>
          <w:rFonts w:cs="Arial"/>
          <w:color w:val="000000"/>
          <w:lang w:val="en-CA"/>
        </w:rPr>
        <w:t>(which carrie</w:t>
      </w:r>
      <w:r w:rsidR="000E4303">
        <w:rPr>
          <w:rFonts w:cs="Arial"/>
          <w:color w:val="000000"/>
          <w:lang w:val="en-CA"/>
        </w:rPr>
        <w:t>d</w:t>
      </w:r>
      <w:r w:rsidR="00844A26" w:rsidRPr="003D4FFF">
        <w:rPr>
          <w:rFonts w:cs="Arial"/>
          <w:color w:val="000000"/>
          <w:lang w:val="en-CA"/>
        </w:rPr>
        <w:t xml:space="preserve"> a penalty of up to </w:t>
      </w:r>
      <w:r w:rsidR="000E4303">
        <w:rPr>
          <w:rFonts w:cs="Arial"/>
          <w:color w:val="000000"/>
          <w:lang w:val="en-CA"/>
        </w:rPr>
        <w:t>14</w:t>
      </w:r>
      <w:r w:rsidR="000E4303" w:rsidRPr="003D4FFF">
        <w:rPr>
          <w:rFonts w:cs="Arial"/>
          <w:color w:val="000000"/>
          <w:lang w:val="en-CA"/>
        </w:rPr>
        <w:t xml:space="preserve"> </w:t>
      </w:r>
      <w:r w:rsidR="00844A26" w:rsidRPr="003D4FFF">
        <w:rPr>
          <w:rFonts w:cs="Arial"/>
          <w:color w:val="000000"/>
          <w:lang w:val="en-CA"/>
        </w:rPr>
        <w:t>years’ imprisonment</w:t>
      </w:r>
      <w:r w:rsidRPr="000D1EAA">
        <w:rPr>
          <w:lang w:val="en-CA"/>
        </w:rPr>
        <w:t xml:space="preserve">) </w:t>
      </w:r>
      <w:r w:rsidR="002A58CD" w:rsidRPr="000D1EAA">
        <w:rPr>
          <w:lang w:val="en-CA"/>
        </w:rPr>
        <w:t>and</w:t>
      </w:r>
      <w:r w:rsidRPr="000D1EAA">
        <w:rPr>
          <w:lang w:val="en-CA"/>
        </w:rPr>
        <w:t xml:space="preserve"> </w:t>
      </w:r>
      <w:r w:rsidR="00844A26">
        <w:rPr>
          <w:lang w:val="en-CA"/>
        </w:rPr>
        <w:t>(</w:t>
      </w:r>
      <w:r w:rsidRPr="000D1EAA">
        <w:rPr>
          <w:lang w:val="en-CA"/>
        </w:rPr>
        <w:t xml:space="preserve">2) possession </w:t>
      </w:r>
      <w:r w:rsidR="002A58CD" w:rsidRPr="000D1EAA">
        <w:rPr>
          <w:lang w:val="en-CA"/>
        </w:rPr>
        <w:t xml:space="preserve">of a weapon </w:t>
      </w:r>
      <w:r w:rsidR="00844A26">
        <w:rPr>
          <w:lang w:val="en-CA"/>
        </w:rPr>
        <w:t xml:space="preserve">for the purpose of committing </w:t>
      </w:r>
      <w:r w:rsidR="002A58CD" w:rsidRPr="000D1EAA">
        <w:rPr>
          <w:lang w:val="en-CA"/>
        </w:rPr>
        <w:t>an offence</w:t>
      </w:r>
      <w:r w:rsidRPr="000D1EAA">
        <w:rPr>
          <w:lang w:val="en-CA"/>
        </w:rPr>
        <w:t xml:space="preserve"> (</w:t>
      </w:r>
      <w:r w:rsidR="006D04B8" w:rsidRPr="003D4FFF">
        <w:rPr>
          <w:rFonts w:cs="Arial"/>
          <w:color w:val="000000"/>
          <w:lang w:val="en-CA"/>
        </w:rPr>
        <w:t>which carrie</w:t>
      </w:r>
      <w:r w:rsidR="000E4303">
        <w:rPr>
          <w:rFonts w:cs="Arial"/>
          <w:color w:val="000000"/>
          <w:lang w:val="en-CA"/>
        </w:rPr>
        <w:t>d</w:t>
      </w:r>
      <w:r w:rsidR="006D04B8" w:rsidRPr="003D4FFF">
        <w:rPr>
          <w:rFonts w:cs="Arial"/>
          <w:color w:val="000000"/>
          <w:lang w:val="en-CA"/>
        </w:rPr>
        <w:t xml:space="preserve"> a penalty of up to </w:t>
      </w:r>
      <w:r w:rsidR="000E4303">
        <w:rPr>
          <w:rFonts w:cs="Arial"/>
          <w:color w:val="000000"/>
          <w:lang w:val="en-CA"/>
        </w:rPr>
        <w:t>5</w:t>
      </w:r>
      <w:r w:rsidR="000E4303" w:rsidRPr="003D4FFF">
        <w:rPr>
          <w:rFonts w:cs="Arial"/>
          <w:color w:val="000000"/>
          <w:lang w:val="en-CA"/>
        </w:rPr>
        <w:t xml:space="preserve"> </w:t>
      </w:r>
      <w:r w:rsidR="00576F62" w:rsidRPr="003D4FFF">
        <w:rPr>
          <w:rFonts w:cs="Arial"/>
          <w:color w:val="000000"/>
          <w:lang w:val="en-CA"/>
        </w:rPr>
        <w:t>years’ imprisonment</w:t>
      </w:r>
      <w:r w:rsidRPr="000D1EAA">
        <w:rPr>
          <w:lang w:val="en-CA"/>
        </w:rPr>
        <w:t xml:space="preserve">). </w:t>
      </w:r>
      <w:r w:rsidR="003D7FC3">
        <w:rPr>
          <w:lang w:val="en-CA"/>
        </w:rPr>
        <w:t>T</w:t>
      </w:r>
      <w:r w:rsidR="00E40B7D" w:rsidRPr="000D1EAA">
        <w:rPr>
          <w:lang w:val="en-CA"/>
        </w:rPr>
        <w:t>he accused pleaded not guilty to the first c</w:t>
      </w:r>
      <w:r w:rsidR="003D7FC3">
        <w:rPr>
          <w:lang w:val="en-CA"/>
        </w:rPr>
        <w:t>ount</w:t>
      </w:r>
      <w:r w:rsidR="00E40B7D" w:rsidRPr="000D1EAA">
        <w:rPr>
          <w:lang w:val="en-CA"/>
        </w:rPr>
        <w:t xml:space="preserve">, but guilty to the </w:t>
      </w:r>
      <w:r w:rsidRPr="000D1EAA">
        <w:rPr>
          <w:lang w:val="en-CA"/>
        </w:rPr>
        <w:t xml:space="preserve">second. </w:t>
      </w:r>
    </w:p>
    <w:p w14:paraId="38D576C9" w14:textId="6DC4D335" w:rsidR="00514E9A" w:rsidRPr="000D1EAA" w:rsidRDefault="000247D6" w:rsidP="00514E9A">
      <w:pPr>
        <w:pStyle w:val="Paragraphe"/>
        <w:spacing w:line="240" w:lineRule="auto"/>
        <w:rPr>
          <w:lang w:val="en-CA"/>
        </w:rPr>
      </w:pPr>
      <w:r w:rsidRPr="000D1EAA">
        <w:rPr>
          <w:lang w:val="en-CA"/>
        </w:rPr>
        <w:t xml:space="preserve">The trial judge found that the </w:t>
      </w:r>
      <w:r w:rsidR="00367215">
        <w:rPr>
          <w:lang w:val="en-CA"/>
        </w:rPr>
        <w:t>Crown</w:t>
      </w:r>
      <w:r w:rsidRPr="000D1EAA">
        <w:rPr>
          <w:lang w:val="en-CA"/>
        </w:rPr>
        <w:t xml:space="preserve"> had established </w:t>
      </w:r>
      <w:r w:rsidR="006455B9">
        <w:rPr>
          <w:lang w:val="en-CA"/>
        </w:rPr>
        <w:t xml:space="preserve">culpability </w:t>
      </w:r>
      <w:r w:rsidRPr="000D1EAA">
        <w:rPr>
          <w:lang w:val="en-CA"/>
        </w:rPr>
        <w:t xml:space="preserve">on the first </w:t>
      </w:r>
      <w:r w:rsidR="00E71826">
        <w:rPr>
          <w:lang w:val="en-CA"/>
        </w:rPr>
        <w:t>count</w:t>
      </w:r>
      <w:r w:rsidRPr="000D1EAA">
        <w:rPr>
          <w:lang w:val="en-CA"/>
        </w:rPr>
        <w:t xml:space="preserve"> punishable by a </w:t>
      </w:r>
      <w:r w:rsidR="00E71826">
        <w:rPr>
          <w:lang w:val="en-CA"/>
        </w:rPr>
        <w:t>harsher</w:t>
      </w:r>
      <w:r w:rsidRPr="000D1EAA">
        <w:rPr>
          <w:lang w:val="en-CA"/>
        </w:rPr>
        <w:t xml:space="preserve"> </w:t>
      </w:r>
      <w:r w:rsidR="00B61A78" w:rsidRPr="000D1EAA">
        <w:rPr>
          <w:lang w:val="en-CA"/>
        </w:rPr>
        <w:t>sentence but</w:t>
      </w:r>
      <w:r w:rsidRPr="000D1EAA">
        <w:rPr>
          <w:lang w:val="en-CA"/>
        </w:rPr>
        <w:t xml:space="preserve"> </w:t>
      </w:r>
      <w:r w:rsidR="00E64236">
        <w:rPr>
          <w:lang w:val="en-CA"/>
        </w:rPr>
        <w:t xml:space="preserve">concluded </w:t>
      </w:r>
      <w:r w:rsidR="00E71826">
        <w:rPr>
          <w:lang w:val="en-CA"/>
        </w:rPr>
        <w:t xml:space="preserve">that </w:t>
      </w:r>
      <w:r w:rsidRPr="000D1EAA">
        <w:rPr>
          <w:lang w:val="en-CA"/>
        </w:rPr>
        <w:t xml:space="preserve">the </w:t>
      </w:r>
      <w:r w:rsidR="003F7B75" w:rsidRPr="000D1EAA">
        <w:rPr>
          <w:lang w:val="en-CA"/>
        </w:rPr>
        <w:t>accus</w:t>
      </w:r>
      <w:r w:rsidRPr="000D1EAA">
        <w:rPr>
          <w:lang w:val="en-CA"/>
        </w:rPr>
        <w:t xml:space="preserve">ed </w:t>
      </w:r>
      <w:r w:rsidR="00E64236">
        <w:rPr>
          <w:lang w:val="en-CA"/>
        </w:rPr>
        <w:t xml:space="preserve">were entitled </w:t>
      </w:r>
      <w:r w:rsidRPr="000D1EAA">
        <w:rPr>
          <w:lang w:val="en-CA"/>
        </w:rPr>
        <w:t xml:space="preserve">to </w:t>
      </w:r>
      <w:r w:rsidR="00E64236">
        <w:rPr>
          <w:lang w:val="en-CA"/>
        </w:rPr>
        <w:t>an</w:t>
      </w:r>
      <w:r w:rsidRPr="000D1EAA">
        <w:rPr>
          <w:lang w:val="en-CA"/>
        </w:rPr>
        <w:t xml:space="preserve"> acquitt</w:t>
      </w:r>
      <w:r w:rsidR="00E64236">
        <w:rPr>
          <w:lang w:val="en-CA"/>
        </w:rPr>
        <w:t xml:space="preserve">al </w:t>
      </w:r>
      <w:r w:rsidR="00576F62">
        <w:rPr>
          <w:lang w:val="en-CA"/>
        </w:rPr>
        <w:t>on</w:t>
      </w:r>
      <w:r w:rsidR="00E64236">
        <w:rPr>
          <w:lang w:val="en-CA"/>
        </w:rPr>
        <w:t xml:space="preserve"> </w:t>
      </w:r>
      <w:r w:rsidRPr="000D1EAA">
        <w:rPr>
          <w:lang w:val="en-CA"/>
        </w:rPr>
        <w:t xml:space="preserve">this </w:t>
      </w:r>
      <w:r w:rsidR="00E64236">
        <w:rPr>
          <w:lang w:val="en-CA"/>
        </w:rPr>
        <w:t>count</w:t>
      </w:r>
      <w:r w:rsidRPr="000D1EAA">
        <w:rPr>
          <w:lang w:val="en-CA"/>
        </w:rPr>
        <w:t xml:space="preserve"> </w:t>
      </w:r>
      <w:r w:rsidR="00576F62">
        <w:rPr>
          <w:lang w:val="en-CA"/>
        </w:rPr>
        <w:t xml:space="preserve">given </w:t>
      </w:r>
      <w:r w:rsidRPr="000D1EAA">
        <w:rPr>
          <w:lang w:val="en-CA"/>
        </w:rPr>
        <w:t xml:space="preserve">their guilty </w:t>
      </w:r>
      <w:r w:rsidR="006455B9">
        <w:rPr>
          <w:lang w:val="en-CA"/>
        </w:rPr>
        <w:t xml:space="preserve">pleas </w:t>
      </w:r>
      <w:r w:rsidRPr="000D1EAA">
        <w:rPr>
          <w:lang w:val="en-CA"/>
        </w:rPr>
        <w:t xml:space="preserve">to the </w:t>
      </w:r>
      <w:r w:rsidR="003F7B75" w:rsidRPr="000D1EAA">
        <w:rPr>
          <w:lang w:val="en-CA"/>
        </w:rPr>
        <w:t xml:space="preserve">second </w:t>
      </w:r>
      <w:r w:rsidR="00E71826">
        <w:rPr>
          <w:lang w:val="en-CA"/>
        </w:rPr>
        <w:t>count</w:t>
      </w:r>
      <w:r w:rsidRPr="000D1EAA">
        <w:rPr>
          <w:lang w:val="en-CA"/>
        </w:rPr>
        <w:t xml:space="preserve"> and the </w:t>
      </w:r>
      <w:proofErr w:type="spellStart"/>
      <w:r w:rsidR="003F7B75" w:rsidRPr="000D1EAA">
        <w:rPr>
          <w:i/>
          <w:lang w:val="en-CA"/>
        </w:rPr>
        <w:t>Kienapple</w:t>
      </w:r>
      <w:proofErr w:type="spellEnd"/>
      <w:r w:rsidR="00126F76">
        <w:rPr>
          <w:i/>
          <w:lang w:val="en-CA"/>
        </w:rPr>
        <w:t xml:space="preserve"> </w:t>
      </w:r>
      <w:r w:rsidR="00126F76">
        <w:rPr>
          <w:iCs/>
          <w:lang w:val="en-CA"/>
        </w:rPr>
        <w:t>principle</w:t>
      </w:r>
      <w:r w:rsidR="003F7B75" w:rsidRPr="000D1EAA">
        <w:rPr>
          <w:lang w:val="en-CA"/>
        </w:rPr>
        <w:t>.</w:t>
      </w:r>
    </w:p>
    <w:p w14:paraId="703AC386" w14:textId="1BADF1D5" w:rsidR="00514E9A" w:rsidRPr="000D1EAA" w:rsidRDefault="000247D6" w:rsidP="00514E9A">
      <w:pPr>
        <w:pStyle w:val="Paragraphe"/>
        <w:spacing w:line="240" w:lineRule="auto"/>
        <w:rPr>
          <w:lang w:val="en-CA"/>
        </w:rPr>
      </w:pPr>
      <w:r w:rsidRPr="000D1EAA">
        <w:rPr>
          <w:lang w:val="en-CA"/>
        </w:rPr>
        <w:t>The</w:t>
      </w:r>
      <w:r w:rsidR="003F7B75" w:rsidRPr="000D1EAA">
        <w:rPr>
          <w:lang w:val="en-CA"/>
        </w:rPr>
        <w:t xml:space="preserve"> </w:t>
      </w:r>
      <w:r w:rsidR="000D72D5" w:rsidRPr="000D1EAA">
        <w:rPr>
          <w:lang w:val="en-CA"/>
        </w:rPr>
        <w:t>Supreme Court</w:t>
      </w:r>
      <w:r w:rsidR="003F7B75" w:rsidRPr="000D1EAA">
        <w:rPr>
          <w:lang w:val="en-CA"/>
        </w:rPr>
        <w:t xml:space="preserve"> </w:t>
      </w:r>
      <w:r w:rsidR="004D06AB" w:rsidRPr="000D1EAA">
        <w:rPr>
          <w:lang w:val="en-CA"/>
        </w:rPr>
        <w:t>of</w:t>
      </w:r>
      <w:r w:rsidR="003F7B75" w:rsidRPr="000D1EAA">
        <w:rPr>
          <w:lang w:val="en-CA"/>
        </w:rPr>
        <w:t xml:space="preserve"> Canada </w:t>
      </w:r>
      <w:r w:rsidR="004D06AB" w:rsidRPr="000D1EAA">
        <w:rPr>
          <w:lang w:val="en-CA"/>
        </w:rPr>
        <w:t>overturned</w:t>
      </w:r>
      <w:r w:rsidRPr="000D1EAA">
        <w:rPr>
          <w:lang w:val="en-CA"/>
        </w:rPr>
        <w:t xml:space="preserve"> </w:t>
      </w:r>
      <w:r w:rsidR="000E4303">
        <w:rPr>
          <w:lang w:val="en-CA"/>
        </w:rPr>
        <w:t>this</w:t>
      </w:r>
      <w:r w:rsidR="000E4303" w:rsidRPr="000D1EAA">
        <w:rPr>
          <w:lang w:val="en-CA"/>
        </w:rPr>
        <w:t xml:space="preserve"> </w:t>
      </w:r>
      <w:r w:rsidR="00422602">
        <w:rPr>
          <w:lang w:val="en-CA"/>
        </w:rPr>
        <w:t>Court</w:t>
      </w:r>
      <w:r w:rsidR="000E4303">
        <w:rPr>
          <w:lang w:val="en-CA"/>
        </w:rPr>
        <w:t>’s</w:t>
      </w:r>
      <w:r w:rsidR="00126F76">
        <w:rPr>
          <w:lang w:val="en-CA"/>
        </w:rPr>
        <w:t xml:space="preserve"> </w:t>
      </w:r>
      <w:r w:rsidR="00422602">
        <w:rPr>
          <w:lang w:val="en-CA"/>
        </w:rPr>
        <w:t>judgment</w:t>
      </w:r>
      <w:r w:rsidRPr="000D1EAA">
        <w:rPr>
          <w:lang w:val="en-CA"/>
        </w:rPr>
        <w:t xml:space="preserve"> </w:t>
      </w:r>
      <w:r w:rsidR="00422602">
        <w:rPr>
          <w:lang w:val="en-CA"/>
        </w:rPr>
        <w:t>upholding the trial judgment</w:t>
      </w:r>
      <w:r w:rsidRPr="000D1EAA">
        <w:rPr>
          <w:lang w:val="en-CA"/>
        </w:rPr>
        <w:t xml:space="preserve">, as it disagreed with this </w:t>
      </w:r>
      <w:r w:rsidR="007A5467">
        <w:rPr>
          <w:lang w:val="en-CA"/>
        </w:rPr>
        <w:t>way</w:t>
      </w:r>
      <w:r w:rsidRPr="000D1EAA">
        <w:rPr>
          <w:lang w:val="en-CA"/>
        </w:rPr>
        <w:t xml:space="preserve"> of proceeding.</w:t>
      </w:r>
      <w:r w:rsidR="003F7B75" w:rsidRPr="000D1EAA">
        <w:rPr>
          <w:lang w:val="en-CA"/>
        </w:rPr>
        <w:t xml:space="preserve"> </w:t>
      </w:r>
      <w:r w:rsidR="00422602">
        <w:rPr>
          <w:lang w:val="en-CA"/>
        </w:rPr>
        <w:t xml:space="preserve">In </w:t>
      </w:r>
      <w:proofErr w:type="spellStart"/>
      <w:r w:rsidR="003F7B75" w:rsidRPr="000D1EAA">
        <w:rPr>
          <w:i/>
          <w:lang w:val="en-CA"/>
        </w:rPr>
        <w:t>Loyer</w:t>
      </w:r>
      <w:proofErr w:type="spellEnd"/>
      <w:r w:rsidR="000E4303">
        <w:rPr>
          <w:iCs/>
          <w:lang w:val="en-CA"/>
        </w:rPr>
        <w:t>,</w:t>
      </w:r>
      <w:r w:rsidR="003F7B75" w:rsidRPr="000D1EAA">
        <w:rPr>
          <w:lang w:val="en-CA"/>
        </w:rPr>
        <w:t xml:space="preserve"> </w:t>
      </w:r>
      <w:r w:rsidR="000E4303">
        <w:rPr>
          <w:lang w:val="en-CA"/>
        </w:rPr>
        <w:t xml:space="preserve">the Supreme Court </w:t>
      </w:r>
      <w:r w:rsidR="00422602">
        <w:rPr>
          <w:lang w:val="en-CA"/>
        </w:rPr>
        <w:t>state</w:t>
      </w:r>
      <w:r w:rsidR="000E4303">
        <w:rPr>
          <w:lang w:val="en-CA"/>
        </w:rPr>
        <w:t>d</w:t>
      </w:r>
      <w:r w:rsidR="00422602">
        <w:rPr>
          <w:lang w:val="en-CA"/>
        </w:rPr>
        <w:t xml:space="preserve"> </w:t>
      </w:r>
      <w:r w:rsidRPr="000D1EAA">
        <w:rPr>
          <w:lang w:val="en-CA"/>
        </w:rPr>
        <w:t xml:space="preserve">that </w:t>
      </w:r>
      <w:r w:rsidR="00997337" w:rsidRPr="000D1EAA">
        <w:rPr>
          <w:lang w:val="en-CA"/>
        </w:rPr>
        <w:t>an accused</w:t>
      </w:r>
      <w:r w:rsidR="003F7B75" w:rsidRPr="000D1EAA">
        <w:rPr>
          <w:lang w:val="en-CA"/>
        </w:rPr>
        <w:t xml:space="preserve"> </w:t>
      </w:r>
      <w:r w:rsidR="00576F62">
        <w:rPr>
          <w:lang w:val="en-CA"/>
        </w:rPr>
        <w:t xml:space="preserve">charged with </w:t>
      </w:r>
      <w:r w:rsidRPr="000D1EAA">
        <w:rPr>
          <w:lang w:val="en-CA"/>
        </w:rPr>
        <w:t xml:space="preserve">two or more </w:t>
      </w:r>
      <w:r w:rsidR="004D06AB" w:rsidRPr="000D1EAA">
        <w:rPr>
          <w:lang w:val="en-CA"/>
        </w:rPr>
        <w:t>counts of different degrees of gravity</w:t>
      </w:r>
      <w:r w:rsidRPr="000D1EAA">
        <w:rPr>
          <w:lang w:val="en-CA"/>
        </w:rPr>
        <w:t xml:space="preserve"> </w:t>
      </w:r>
      <w:r w:rsidR="00126F76">
        <w:rPr>
          <w:lang w:val="en-CA"/>
        </w:rPr>
        <w:t>cannot</w:t>
      </w:r>
      <w:r w:rsidRPr="000D1EAA">
        <w:rPr>
          <w:lang w:val="en-CA"/>
        </w:rPr>
        <w:t xml:space="preserve"> avoid a </w:t>
      </w:r>
      <w:r w:rsidR="004D06AB" w:rsidRPr="000D1EAA">
        <w:rPr>
          <w:lang w:val="en-CA"/>
        </w:rPr>
        <w:t>harsher</w:t>
      </w:r>
      <w:r w:rsidRPr="000D1EAA">
        <w:rPr>
          <w:lang w:val="en-CA"/>
        </w:rPr>
        <w:t xml:space="preserve"> sentence by pleading guilty to the le</w:t>
      </w:r>
      <w:r w:rsidR="004D06AB" w:rsidRPr="000D1EAA">
        <w:rPr>
          <w:lang w:val="en-CA"/>
        </w:rPr>
        <w:t>ss</w:t>
      </w:r>
      <w:r w:rsidRPr="000D1EAA">
        <w:rPr>
          <w:lang w:val="en-CA"/>
        </w:rPr>
        <w:t xml:space="preserve"> serious charge and then arguing the </w:t>
      </w:r>
      <w:proofErr w:type="spellStart"/>
      <w:r w:rsidR="003F7B75" w:rsidRPr="000D1EAA">
        <w:rPr>
          <w:i/>
          <w:iCs/>
          <w:lang w:val="en-CA"/>
        </w:rPr>
        <w:t>Kienapple</w:t>
      </w:r>
      <w:proofErr w:type="spellEnd"/>
      <w:r w:rsidRPr="000D1EAA">
        <w:rPr>
          <w:lang w:val="en-CA"/>
        </w:rPr>
        <w:t xml:space="preserve"> rule</w:t>
      </w:r>
      <w:r w:rsidR="003F7B75" w:rsidRPr="000D1EAA">
        <w:rPr>
          <w:lang w:val="en-CA"/>
        </w:rPr>
        <w:t xml:space="preserve">. </w:t>
      </w:r>
      <w:r w:rsidR="0080124F">
        <w:rPr>
          <w:lang w:val="en-CA"/>
        </w:rPr>
        <w:t>The Supreme Court</w:t>
      </w:r>
      <w:r w:rsidRPr="000D1EAA">
        <w:rPr>
          <w:lang w:val="en-CA"/>
        </w:rPr>
        <w:t xml:space="preserve">, </w:t>
      </w:r>
      <w:r w:rsidR="00126F76">
        <w:rPr>
          <w:lang w:val="en-CA"/>
        </w:rPr>
        <w:t>per</w:t>
      </w:r>
      <w:r w:rsidRPr="000D1EAA">
        <w:rPr>
          <w:lang w:val="en-CA"/>
        </w:rPr>
        <w:t xml:space="preserve"> </w:t>
      </w:r>
      <w:r w:rsidR="003F7B75" w:rsidRPr="000D1EAA">
        <w:rPr>
          <w:lang w:val="en-CA"/>
        </w:rPr>
        <w:t>Laskin</w:t>
      </w:r>
      <w:r w:rsidRPr="000D1EAA">
        <w:rPr>
          <w:lang w:val="en-CA"/>
        </w:rPr>
        <w:t xml:space="preserve"> C.J.</w:t>
      </w:r>
      <w:r w:rsidR="003F7B75" w:rsidRPr="000D1EAA">
        <w:rPr>
          <w:lang w:val="en-CA"/>
        </w:rPr>
        <w:t xml:space="preserve">, </w:t>
      </w:r>
      <w:r w:rsidR="000E4303">
        <w:rPr>
          <w:lang w:val="en-CA"/>
        </w:rPr>
        <w:t xml:space="preserve">set out </w:t>
      </w:r>
      <w:r w:rsidRPr="000D1EAA">
        <w:rPr>
          <w:lang w:val="en-CA"/>
        </w:rPr>
        <w:t>the procedure to follow in similar circumstances</w:t>
      </w:r>
      <w:r w:rsidR="00333435" w:rsidRPr="000D1EAA">
        <w:rPr>
          <w:lang w:val="en-CA"/>
        </w:rPr>
        <w:t>:</w:t>
      </w:r>
      <w:r w:rsidR="003F7B75" w:rsidRPr="000D1EAA">
        <w:rPr>
          <w:rStyle w:val="Appelnotedebasdep"/>
          <w:lang w:val="en-CA"/>
        </w:rPr>
        <w:footnoteReference w:id="13"/>
      </w:r>
      <w:r w:rsidR="003F7B75" w:rsidRPr="000D1EAA">
        <w:rPr>
          <w:lang w:val="en-CA"/>
        </w:rPr>
        <w:t xml:space="preserve"> </w:t>
      </w:r>
    </w:p>
    <w:p w14:paraId="196BE8F6" w14:textId="37218FEF" w:rsidR="00514E9A" w:rsidRPr="000D1EAA" w:rsidRDefault="00796F71" w:rsidP="00514E9A">
      <w:pPr>
        <w:spacing w:before="240" w:after="120" w:line="240" w:lineRule="auto"/>
        <w:ind w:left="720" w:right="720"/>
        <w:jc w:val="both"/>
        <w:rPr>
          <w:rFonts w:cs="Arial"/>
          <w:color w:val="000000"/>
          <w:sz w:val="22"/>
          <w:szCs w:val="22"/>
          <w:lang w:val="en-CA" w:eastAsia="fr-CA"/>
        </w:rPr>
      </w:pPr>
      <w:r w:rsidRPr="000D1EAA">
        <w:rPr>
          <w:rFonts w:cs="Arial"/>
          <w:color w:val="000000"/>
          <w:sz w:val="22"/>
          <w:szCs w:val="22"/>
          <w:lang w:val="en-CA" w:eastAsia="fr-CA"/>
        </w:rPr>
        <w:t xml:space="preserve">The </w:t>
      </w:r>
      <w:proofErr w:type="spellStart"/>
      <w:r w:rsidRPr="000D1EAA">
        <w:rPr>
          <w:rFonts w:cs="Arial"/>
          <w:i/>
          <w:iCs/>
          <w:color w:val="000000"/>
          <w:sz w:val="22"/>
          <w:szCs w:val="22"/>
          <w:lang w:val="en-CA" w:eastAsia="fr-CA"/>
        </w:rPr>
        <w:t>Kienapple</w:t>
      </w:r>
      <w:proofErr w:type="spellEnd"/>
      <w:r w:rsidRPr="000D1EAA">
        <w:rPr>
          <w:rFonts w:cs="Arial"/>
          <w:color w:val="000000"/>
          <w:sz w:val="22"/>
          <w:szCs w:val="22"/>
          <w:lang w:val="en-CA" w:eastAsia="fr-CA"/>
        </w:rPr>
        <w:t xml:space="preserve"> doctrine cannot apply to bar a conviction of the more serious offence of which (as here) the accused would otherwise, on the evidence, be found guilty simply by offering a plea of guilty to the less serious offence and having the plea accepted. This case presents an opportunity to set out some guidelines on proper resort to the </w:t>
      </w:r>
      <w:proofErr w:type="spellStart"/>
      <w:r w:rsidRPr="000D1EAA">
        <w:rPr>
          <w:rFonts w:cs="Arial"/>
          <w:i/>
          <w:iCs/>
          <w:color w:val="000000"/>
          <w:sz w:val="22"/>
          <w:szCs w:val="22"/>
          <w:lang w:val="en-CA" w:eastAsia="fr-CA"/>
        </w:rPr>
        <w:t>Kienapple</w:t>
      </w:r>
      <w:proofErr w:type="spellEnd"/>
      <w:r w:rsidRPr="000D1EAA">
        <w:rPr>
          <w:rFonts w:cs="Arial"/>
          <w:color w:val="000000"/>
          <w:sz w:val="22"/>
          <w:szCs w:val="22"/>
          <w:lang w:val="en-CA" w:eastAsia="fr-CA"/>
        </w:rPr>
        <w:t xml:space="preserve"> principle where the facts justify its invocation by the Court.</w:t>
      </w:r>
    </w:p>
    <w:p w14:paraId="5BD4F3D1" w14:textId="3D04F922" w:rsidR="00514E9A" w:rsidRPr="000D1EAA" w:rsidRDefault="00AE68AF" w:rsidP="00514E9A">
      <w:pPr>
        <w:spacing w:before="120" w:after="120" w:line="240" w:lineRule="auto"/>
        <w:ind w:left="720" w:right="720"/>
        <w:jc w:val="both"/>
        <w:rPr>
          <w:rFonts w:cs="Arial"/>
          <w:color w:val="000000"/>
          <w:sz w:val="22"/>
          <w:szCs w:val="22"/>
          <w:lang w:val="en-CA" w:eastAsia="fr-CA"/>
        </w:rPr>
      </w:pPr>
      <w:r w:rsidRPr="000D1EAA">
        <w:rPr>
          <w:rFonts w:cs="Arial"/>
          <w:color w:val="000000"/>
          <w:sz w:val="22"/>
          <w:szCs w:val="22"/>
          <w:lang w:val="en-CA" w:eastAsia="fr-CA"/>
        </w:rPr>
        <w:t>Where a trial before a judge alone or before a judge and jury proceeds on two or more counts of offences of different degrees of gravity, and the same delict or matter underlies the offences in two of the counts, so as to invite application of the rule against multiple convictions, the trial judge should direct himself or direct the jury that if he or they find the accused guilty on the more serious charge, there should be an acquittal on the less serious one; but if he or they should acquit on the more serious charge, the question of culpability on the less serious charge should be pursued and a verdict rendered on the merits.</w:t>
      </w:r>
    </w:p>
    <w:p w14:paraId="139A7996" w14:textId="1ABE7C16" w:rsidR="00514E9A" w:rsidRPr="000D1EAA" w:rsidRDefault="00142988" w:rsidP="00514E9A">
      <w:pPr>
        <w:pStyle w:val="Citationenretrait"/>
        <w:spacing w:line="240" w:lineRule="auto"/>
        <w:rPr>
          <w:u w:val="single"/>
          <w:lang w:val="en-CA"/>
        </w:rPr>
      </w:pPr>
      <w:r w:rsidRPr="000D1EAA">
        <w:rPr>
          <w:lang w:val="en-CA"/>
        </w:rPr>
        <w:t>Again, if at the trial, there is a plea of guilty to the more serious charge, and a conviction is registered, an acquittal should be entered or directed on the less serious, alternative charge.</w:t>
      </w:r>
      <w:r w:rsidR="003F7B75" w:rsidRPr="000D1EAA">
        <w:rPr>
          <w:lang w:val="en-CA"/>
        </w:rPr>
        <w:t xml:space="preserve"> </w:t>
      </w:r>
      <w:bookmarkStart w:id="25" w:name="_Hlk111817711"/>
      <w:r w:rsidRPr="000D1EAA">
        <w:rPr>
          <w:u w:val="single"/>
          <w:lang w:val="en-CA"/>
        </w:rPr>
        <w:t xml:space="preserve">However, if, as was the case here, the accused pleads guilty to the less serious charge, the plea should be held in abeyance pending the trial on the more serious offence. If there is a finding of guilty on that charge, and </w:t>
      </w:r>
      <w:r w:rsidRPr="000D1EAA">
        <w:rPr>
          <w:u w:val="single"/>
          <w:lang w:val="en-CA"/>
        </w:rPr>
        <w:lastRenderedPageBreak/>
        <w:t>a conviction is entered accordingly, the plea already offered on the less serious charge should be struck out and an acquittal directed</w:t>
      </w:r>
      <w:r w:rsidRPr="000D1EAA">
        <w:rPr>
          <w:lang w:val="en-CA"/>
        </w:rPr>
        <w:t>.</w:t>
      </w:r>
      <w:r w:rsidR="003F7B75" w:rsidRPr="000D1EAA">
        <w:rPr>
          <w:rStyle w:val="Appelnotedebasdep"/>
          <w:lang w:val="en-CA"/>
        </w:rPr>
        <w:footnoteReference w:id="14"/>
      </w:r>
    </w:p>
    <w:bookmarkEnd w:id="25"/>
    <w:p w14:paraId="28372F1C" w14:textId="3389687A" w:rsidR="00514E9A" w:rsidRPr="000D1EAA" w:rsidRDefault="003F7B75" w:rsidP="00514E9A">
      <w:pPr>
        <w:pStyle w:val="Citationenretrait"/>
        <w:spacing w:before="0" w:line="240" w:lineRule="auto"/>
        <w:jc w:val="right"/>
        <w:rPr>
          <w:lang w:val="en-CA" w:eastAsia="fr-CA"/>
        </w:rPr>
      </w:pPr>
      <w:r w:rsidRPr="000D1EAA">
        <w:rPr>
          <w:lang w:val="en-CA"/>
        </w:rPr>
        <w:t>[</w:t>
      </w:r>
      <w:r w:rsidR="0011193B" w:rsidRPr="000D1EAA">
        <w:rPr>
          <w:lang w:val="en-CA"/>
        </w:rPr>
        <w:t>Emphasis added</w:t>
      </w:r>
      <w:r w:rsidRPr="000D1EAA">
        <w:rPr>
          <w:lang w:val="en-CA"/>
        </w:rPr>
        <w:t>]</w:t>
      </w:r>
    </w:p>
    <w:p w14:paraId="681700D0" w14:textId="00842C45" w:rsidR="00514E9A" w:rsidRPr="000D1EAA" w:rsidRDefault="0087522C" w:rsidP="002F3B11">
      <w:pPr>
        <w:pStyle w:val="Paragraphe"/>
        <w:spacing w:before="240" w:line="240" w:lineRule="auto"/>
        <w:rPr>
          <w:lang w:val="en-CA"/>
        </w:rPr>
      </w:pPr>
      <w:r w:rsidRPr="000D1EAA">
        <w:rPr>
          <w:lang w:val="en-CA"/>
        </w:rPr>
        <w:t xml:space="preserve">The </w:t>
      </w:r>
      <w:r w:rsidR="006463F8" w:rsidRPr="000D1EAA">
        <w:rPr>
          <w:lang w:val="en-CA"/>
        </w:rPr>
        <w:t>appellant</w:t>
      </w:r>
      <w:r w:rsidR="003F7B75" w:rsidRPr="000D1EAA">
        <w:rPr>
          <w:lang w:val="en-CA"/>
        </w:rPr>
        <w:t xml:space="preserve"> </w:t>
      </w:r>
      <w:r w:rsidRPr="000D1EAA">
        <w:rPr>
          <w:lang w:val="en-CA"/>
        </w:rPr>
        <w:t xml:space="preserve">is not challenging the </w:t>
      </w:r>
      <w:proofErr w:type="spellStart"/>
      <w:r w:rsidR="003F7B75" w:rsidRPr="000D1EAA">
        <w:rPr>
          <w:i/>
          <w:lang w:val="en-CA"/>
        </w:rPr>
        <w:t>Kienapple</w:t>
      </w:r>
      <w:proofErr w:type="spellEnd"/>
      <w:r w:rsidR="00AE3DF8" w:rsidRPr="00AE3DF8">
        <w:rPr>
          <w:lang w:val="en-CA"/>
        </w:rPr>
        <w:t xml:space="preserve"> </w:t>
      </w:r>
      <w:r w:rsidR="00AE3DF8" w:rsidRPr="000D1EAA">
        <w:rPr>
          <w:lang w:val="en-CA"/>
        </w:rPr>
        <w:t>principle</w:t>
      </w:r>
      <w:r w:rsidR="003F7B75" w:rsidRPr="000D1EAA">
        <w:rPr>
          <w:i/>
          <w:lang w:val="en-CA"/>
        </w:rPr>
        <w:t xml:space="preserve"> </w:t>
      </w:r>
      <w:r w:rsidRPr="000D1EAA">
        <w:rPr>
          <w:lang w:val="en-CA"/>
        </w:rPr>
        <w:t xml:space="preserve">or the teachings of </w:t>
      </w:r>
      <w:proofErr w:type="spellStart"/>
      <w:r w:rsidR="003F7B75" w:rsidRPr="000D1EAA">
        <w:rPr>
          <w:i/>
          <w:lang w:val="en-CA"/>
        </w:rPr>
        <w:t>Loyer</w:t>
      </w:r>
      <w:proofErr w:type="spellEnd"/>
      <w:r w:rsidR="003F7B75" w:rsidRPr="000D1EAA">
        <w:rPr>
          <w:i/>
          <w:lang w:val="en-CA"/>
        </w:rPr>
        <w:t>.</w:t>
      </w:r>
      <w:r w:rsidR="003F7B75" w:rsidRPr="000D1EAA">
        <w:rPr>
          <w:lang w:val="en-CA"/>
        </w:rPr>
        <w:t xml:space="preserve"> </w:t>
      </w:r>
      <w:r w:rsidRPr="000D1EAA">
        <w:rPr>
          <w:lang w:val="en-CA"/>
        </w:rPr>
        <w:t>Rather, he is maintaining that this principle and these teachings do not apply in his case.</w:t>
      </w:r>
    </w:p>
    <w:p w14:paraId="55871BE1" w14:textId="25D1BB2C" w:rsidR="00514E9A" w:rsidRPr="000D1EAA" w:rsidRDefault="0087522C" w:rsidP="00514E9A">
      <w:pPr>
        <w:pStyle w:val="Paragraphe"/>
        <w:spacing w:line="240" w:lineRule="auto"/>
        <w:rPr>
          <w:lang w:val="en-CA"/>
        </w:rPr>
      </w:pPr>
      <w:r w:rsidRPr="000D1EAA">
        <w:rPr>
          <w:lang w:val="en-CA"/>
        </w:rPr>
        <w:t xml:space="preserve">First, he </w:t>
      </w:r>
      <w:r w:rsidR="005853D4">
        <w:rPr>
          <w:lang w:val="en-CA"/>
        </w:rPr>
        <w:t>argues</w:t>
      </w:r>
      <w:r w:rsidRPr="000D1EAA">
        <w:rPr>
          <w:lang w:val="en-CA"/>
        </w:rPr>
        <w:t xml:space="preserve"> that the </w:t>
      </w:r>
      <w:r w:rsidR="0003642E" w:rsidRPr="000D1EAA">
        <w:rPr>
          <w:lang w:val="en-CA"/>
        </w:rPr>
        <w:t>offence</w:t>
      </w:r>
      <w:r w:rsidR="0003642E">
        <w:rPr>
          <w:lang w:val="en-CA"/>
        </w:rPr>
        <w:t xml:space="preserve"> of </w:t>
      </w:r>
      <w:r w:rsidR="003B1D5D">
        <w:rPr>
          <w:lang w:val="en-CA"/>
        </w:rPr>
        <w:t>impaired driving</w:t>
      </w:r>
      <w:r w:rsidRPr="000D1EAA">
        <w:rPr>
          <w:lang w:val="en-CA"/>
        </w:rPr>
        <w:t xml:space="preserve"> and </w:t>
      </w:r>
      <w:r w:rsidR="00587DA3">
        <w:rPr>
          <w:lang w:val="en-CA"/>
        </w:rPr>
        <w:t xml:space="preserve">the offence </w:t>
      </w:r>
      <w:r w:rsidRPr="000D1EAA">
        <w:rPr>
          <w:lang w:val="en-CA"/>
        </w:rPr>
        <w:t xml:space="preserve">of </w:t>
      </w:r>
      <w:r w:rsidR="003B1D5D">
        <w:rPr>
          <w:lang w:val="en-CA"/>
        </w:rPr>
        <w:t>driving</w:t>
      </w:r>
      <w:r w:rsidRPr="000D1EAA">
        <w:rPr>
          <w:lang w:val="en-CA"/>
        </w:rPr>
        <w:t xml:space="preserve"> with a blood alcohol </w:t>
      </w:r>
      <w:r w:rsidR="00587DA3">
        <w:rPr>
          <w:lang w:val="en-CA"/>
        </w:rPr>
        <w:t>concentration</w:t>
      </w:r>
      <w:r w:rsidRPr="000D1EAA">
        <w:rPr>
          <w:lang w:val="en-CA"/>
        </w:rPr>
        <w:t xml:space="preserve"> </w:t>
      </w:r>
      <w:r w:rsidR="00587DA3">
        <w:rPr>
          <w:lang w:val="en-CA"/>
        </w:rPr>
        <w:t xml:space="preserve">exceeding </w:t>
      </w:r>
      <w:r w:rsidR="003F7B75" w:rsidRPr="000D1EAA">
        <w:rPr>
          <w:lang w:val="en-CA"/>
        </w:rPr>
        <w:t xml:space="preserve">80 mg </w:t>
      </w:r>
      <w:r w:rsidR="00587DA3">
        <w:rPr>
          <w:lang w:val="en-CA"/>
        </w:rPr>
        <w:t>in</w:t>
      </w:r>
      <w:r w:rsidR="003F7B75" w:rsidRPr="000D1EAA">
        <w:rPr>
          <w:lang w:val="en-CA"/>
        </w:rPr>
        <w:t xml:space="preserve"> 100 m</w:t>
      </w:r>
      <w:r w:rsidR="00587DA3">
        <w:rPr>
          <w:lang w:val="en-CA"/>
        </w:rPr>
        <w:t>L</w:t>
      </w:r>
      <w:r w:rsidR="003F7B75" w:rsidRPr="000D1EAA">
        <w:rPr>
          <w:lang w:val="en-CA"/>
        </w:rPr>
        <w:t xml:space="preserve"> </w:t>
      </w:r>
      <w:r w:rsidRPr="000D1EAA">
        <w:rPr>
          <w:lang w:val="en-CA"/>
        </w:rPr>
        <w:t>of blood are separate offences</w:t>
      </w:r>
      <w:r w:rsidR="00207E03">
        <w:rPr>
          <w:lang w:val="en-CA"/>
        </w:rPr>
        <w:t xml:space="preserve"> and that</w:t>
      </w:r>
      <w:r w:rsidRPr="000D1EAA">
        <w:rPr>
          <w:lang w:val="en-CA"/>
        </w:rPr>
        <w:t xml:space="preserve"> one </w:t>
      </w:r>
      <w:r w:rsidR="00207E03">
        <w:rPr>
          <w:lang w:val="en-CA"/>
        </w:rPr>
        <w:t xml:space="preserve">is not </w:t>
      </w:r>
      <w:r w:rsidRPr="000D1EAA">
        <w:rPr>
          <w:lang w:val="en-CA"/>
        </w:rPr>
        <w:t>a lesser</w:t>
      </w:r>
      <w:r w:rsidR="003F7B75" w:rsidRPr="000D1EAA">
        <w:rPr>
          <w:lang w:val="en-CA"/>
        </w:rPr>
        <w:t xml:space="preserve"> </w:t>
      </w:r>
      <w:r w:rsidR="002A58CD" w:rsidRPr="000D1EAA">
        <w:rPr>
          <w:lang w:val="en-CA"/>
        </w:rPr>
        <w:t>offence</w:t>
      </w:r>
      <w:r w:rsidR="003F7B75" w:rsidRPr="000D1EAA">
        <w:rPr>
          <w:lang w:val="en-CA"/>
        </w:rPr>
        <w:t xml:space="preserve"> </w:t>
      </w:r>
      <w:r w:rsidRPr="000D1EAA">
        <w:rPr>
          <w:lang w:val="en-CA"/>
        </w:rPr>
        <w:t xml:space="preserve">included in the other, thereby suggesting that </w:t>
      </w:r>
      <w:proofErr w:type="spellStart"/>
      <w:r w:rsidR="003F7B75" w:rsidRPr="000D1EAA">
        <w:rPr>
          <w:i/>
          <w:lang w:val="en-CA"/>
        </w:rPr>
        <w:t>Loyer</w:t>
      </w:r>
      <w:proofErr w:type="spellEnd"/>
      <w:r w:rsidR="003F7B75" w:rsidRPr="000D1EAA">
        <w:rPr>
          <w:i/>
          <w:lang w:val="en-CA"/>
        </w:rPr>
        <w:t xml:space="preserve"> </w:t>
      </w:r>
      <w:r w:rsidR="0003642E">
        <w:rPr>
          <w:lang w:val="en-CA"/>
        </w:rPr>
        <w:t>can</w:t>
      </w:r>
      <w:r w:rsidRPr="000D1EAA">
        <w:rPr>
          <w:lang w:val="en-CA"/>
        </w:rPr>
        <w:t xml:space="preserve">not apply. Second, he adds that these two </w:t>
      </w:r>
      <w:r w:rsidR="002A58CD" w:rsidRPr="000D1EAA">
        <w:rPr>
          <w:lang w:val="en-CA"/>
        </w:rPr>
        <w:t>offence</w:t>
      </w:r>
      <w:r w:rsidR="003F7B75" w:rsidRPr="000D1EAA">
        <w:rPr>
          <w:lang w:val="en-CA"/>
        </w:rPr>
        <w:t xml:space="preserve">s </w:t>
      </w:r>
      <w:r w:rsidR="0003642E">
        <w:rPr>
          <w:lang w:val="en-CA"/>
        </w:rPr>
        <w:t>carry</w:t>
      </w:r>
      <w:r w:rsidRPr="000D1EAA">
        <w:rPr>
          <w:lang w:val="en-CA"/>
        </w:rPr>
        <w:t xml:space="preserve"> </w:t>
      </w:r>
      <w:r w:rsidR="00587DA3">
        <w:rPr>
          <w:lang w:val="en-CA"/>
        </w:rPr>
        <w:t xml:space="preserve">penalties of </w:t>
      </w:r>
      <w:r w:rsidRPr="000D1EAA">
        <w:rPr>
          <w:lang w:val="en-CA"/>
        </w:rPr>
        <w:t>equal severity, which also exclude</w:t>
      </w:r>
      <w:r w:rsidR="0003642E">
        <w:rPr>
          <w:lang w:val="en-CA"/>
        </w:rPr>
        <w:t>s</w:t>
      </w:r>
      <w:r w:rsidRPr="000D1EAA">
        <w:rPr>
          <w:lang w:val="en-CA"/>
        </w:rPr>
        <w:t xml:space="preserve"> the </w:t>
      </w:r>
      <w:r w:rsidR="003F7B75" w:rsidRPr="000D1EAA">
        <w:rPr>
          <w:lang w:val="en-CA"/>
        </w:rPr>
        <w:t xml:space="preserve">application </w:t>
      </w:r>
      <w:r w:rsidRPr="000D1EAA">
        <w:rPr>
          <w:lang w:val="en-CA"/>
        </w:rPr>
        <w:t xml:space="preserve">of </w:t>
      </w:r>
      <w:proofErr w:type="spellStart"/>
      <w:r w:rsidR="003F7B75" w:rsidRPr="000D1EAA">
        <w:rPr>
          <w:i/>
          <w:lang w:val="en-CA"/>
        </w:rPr>
        <w:t>Loyer</w:t>
      </w:r>
      <w:proofErr w:type="spellEnd"/>
      <w:r w:rsidR="003F7B75" w:rsidRPr="000D1EAA">
        <w:rPr>
          <w:lang w:val="en-CA"/>
        </w:rPr>
        <w:t>.</w:t>
      </w:r>
    </w:p>
    <w:p w14:paraId="3B456B4B" w14:textId="618E535C" w:rsidR="00514E9A" w:rsidRPr="000D1EAA" w:rsidRDefault="0087522C" w:rsidP="00514E9A">
      <w:pPr>
        <w:pStyle w:val="Paragraphe"/>
        <w:spacing w:line="240" w:lineRule="auto"/>
        <w:rPr>
          <w:lang w:val="en-CA"/>
        </w:rPr>
      </w:pPr>
      <w:r w:rsidRPr="000D1EAA">
        <w:rPr>
          <w:lang w:val="en-CA"/>
        </w:rPr>
        <w:t xml:space="preserve">The </w:t>
      </w:r>
      <w:r w:rsidR="006463F8" w:rsidRPr="000D1EAA">
        <w:rPr>
          <w:lang w:val="en-CA"/>
        </w:rPr>
        <w:t>appellant</w:t>
      </w:r>
      <w:r w:rsidR="003F7B75" w:rsidRPr="000D1EAA">
        <w:rPr>
          <w:lang w:val="en-CA"/>
        </w:rPr>
        <w:t xml:space="preserve"> </w:t>
      </w:r>
      <w:r w:rsidRPr="000D1EAA">
        <w:rPr>
          <w:lang w:val="en-CA"/>
        </w:rPr>
        <w:t xml:space="preserve">is mistaken </w:t>
      </w:r>
      <w:r w:rsidR="00207E03">
        <w:rPr>
          <w:lang w:val="en-CA"/>
        </w:rPr>
        <w:t>in</w:t>
      </w:r>
      <w:r w:rsidR="00207E03" w:rsidRPr="000D1EAA">
        <w:rPr>
          <w:lang w:val="en-CA"/>
        </w:rPr>
        <w:t xml:space="preserve"> </w:t>
      </w:r>
      <w:r w:rsidRPr="000D1EAA">
        <w:rPr>
          <w:lang w:val="en-CA"/>
        </w:rPr>
        <w:t xml:space="preserve">both </w:t>
      </w:r>
      <w:r w:rsidR="00207E03">
        <w:rPr>
          <w:lang w:val="en-CA"/>
        </w:rPr>
        <w:t xml:space="preserve">of the </w:t>
      </w:r>
      <w:r w:rsidRPr="000D1EAA">
        <w:rPr>
          <w:lang w:val="en-CA"/>
        </w:rPr>
        <w:t xml:space="preserve">grounds he </w:t>
      </w:r>
      <w:r w:rsidR="0003642E">
        <w:rPr>
          <w:lang w:val="en-CA"/>
        </w:rPr>
        <w:t>advances</w:t>
      </w:r>
      <w:r w:rsidR="003F7B75" w:rsidRPr="000D1EAA">
        <w:rPr>
          <w:lang w:val="en-CA"/>
        </w:rPr>
        <w:t>.</w:t>
      </w:r>
    </w:p>
    <w:p w14:paraId="7131ECF1" w14:textId="7FBB5F8E" w:rsidR="00514E9A" w:rsidRPr="000D1EAA" w:rsidRDefault="0003642E" w:rsidP="00514E9A">
      <w:pPr>
        <w:pStyle w:val="Paragraphe"/>
        <w:spacing w:line="240" w:lineRule="auto"/>
        <w:rPr>
          <w:lang w:val="en-CA"/>
        </w:rPr>
      </w:pPr>
      <w:r>
        <w:rPr>
          <w:lang w:val="en-CA"/>
        </w:rPr>
        <w:t>The c</w:t>
      </w:r>
      <w:r w:rsidR="007900D7" w:rsidRPr="000D1EAA">
        <w:rPr>
          <w:lang w:val="en-CA"/>
        </w:rPr>
        <w:t xml:space="preserve">ase law has long established that the offences of </w:t>
      </w:r>
      <w:r w:rsidR="003B1D5D">
        <w:rPr>
          <w:lang w:val="en-CA"/>
        </w:rPr>
        <w:t>impaired driving</w:t>
      </w:r>
      <w:r w:rsidR="00587DA3">
        <w:rPr>
          <w:lang w:val="en-CA"/>
        </w:rPr>
        <w:t xml:space="preserve"> and </w:t>
      </w:r>
      <w:r w:rsidR="003B1D5D">
        <w:rPr>
          <w:lang w:val="en-CA"/>
        </w:rPr>
        <w:t>driving</w:t>
      </w:r>
      <w:r w:rsidR="00587DA3">
        <w:rPr>
          <w:lang w:val="en-CA"/>
        </w:rPr>
        <w:t xml:space="preserve"> </w:t>
      </w:r>
      <w:r w:rsidR="0038331B" w:rsidRPr="000D1EAA">
        <w:rPr>
          <w:lang w:val="en-CA"/>
        </w:rPr>
        <w:t xml:space="preserve">with a blood alcohol </w:t>
      </w:r>
      <w:r w:rsidR="005853D4">
        <w:rPr>
          <w:lang w:val="en-CA"/>
        </w:rPr>
        <w:t>level over the legal limit</w:t>
      </w:r>
      <w:r w:rsidR="0038331B" w:rsidRPr="000D1EAA">
        <w:rPr>
          <w:lang w:val="en-CA"/>
        </w:rPr>
        <w:t xml:space="preserve"> are separate</w:t>
      </w:r>
      <w:r w:rsidR="003F7B75" w:rsidRPr="000D1EAA">
        <w:rPr>
          <w:lang w:val="en-CA"/>
        </w:rPr>
        <w:t xml:space="preserve"> </w:t>
      </w:r>
      <w:r w:rsidR="002A58CD" w:rsidRPr="000D1EAA">
        <w:rPr>
          <w:lang w:val="en-CA"/>
        </w:rPr>
        <w:t>offence</w:t>
      </w:r>
      <w:r w:rsidR="003F7B75" w:rsidRPr="000D1EAA">
        <w:rPr>
          <w:lang w:val="en-CA"/>
        </w:rPr>
        <w:t xml:space="preserve">s </w:t>
      </w:r>
      <w:r w:rsidR="0038331B" w:rsidRPr="000D1EAA">
        <w:rPr>
          <w:lang w:val="en-CA"/>
        </w:rPr>
        <w:t xml:space="preserve">but </w:t>
      </w:r>
      <w:r w:rsidR="00587DA3">
        <w:rPr>
          <w:lang w:val="en-CA"/>
        </w:rPr>
        <w:t>with a sufficient nexus</w:t>
      </w:r>
      <w:r w:rsidR="0038331B" w:rsidRPr="000D1EAA">
        <w:rPr>
          <w:lang w:val="en-CA"/>
        </w:rPr>
        <w:t xml:space="preserve"> to allow the </w:t>
      </w:r>
      <w:proofErr w:type="spellStart"/>
      <w:r w:rsidR="003F7B75" w:rsidRPr="000D1EAA">
        <w:rPr>
          <w:i/>
          <w:lang w:val="en-CA"/>
        </w:rPr>
        <w:t>Kienapple</w:t>
      </w:r>
      <w:proofErr w:type="spellEnd"/>
      <w:r w:rsidR="003F7B75" w:rsidRPr="000D1EAA">
        <w:rPr>
          <w:lang w:val="en-CA"/>
        </w:rPr>
        <w:t xml:space="preserve"> </w:t>
      </w:r>
      <w:r w:rsidR="0038331B" w:rsidRPr="000D1EAA">
        <w:rPr>
          <w:lang w:val="en-CA"/>
        </w:rPr>
        <w:t>rule to apply and</w:t>
      </w:r>
      <w:r w:rsidR="00207E03">
        <w:rPr>
          <w:lang w:val="en-CA"/>
        </w:rPr>
        <w:t>,</w:t>
      </w:r>
      <w:r w:rsidR="0038331B" w:rsidRPr="000D1EAA">
        <w:rPr>
          <w:lang w:val="en-CA"/>
        </w:rPr>
        <w:t xml:space="preserve"> </w:t>
      </w:r>
      <w:r w:rsidR="003F7B75" w:rsidRPr="000D1EAA">
        <w:rPr>
          <w:i/>
          <w:lang w:val="en-CA"/>
        </w:rPr>
        <w:t>a fortiori</w:t>
      </w:r>
      <w:r w:rsidR="00207E03">
        <w:rPr>
          <w:iCs/>
          <w:lang w:val="en-CA"/>
        </w:rPr>
        <w:t>,</w:t>
      </w:r>
      <w:r w:rsidR="003F7B75" w:rsidRPr="000D1EAA">
        <w:rPr>
          <w:lang w:val="en-CA"/>
        </w:rPr>
        <w:t xml:space="preserve"> </w:t>
      </w:r>
      <w:r w:rsidR="0038331B" w:rsidRPr="000D1EAA">
        <w:rPr>
          <w:lang w:val="en-CA"/>
        </w:rPr>
        <w:t xml:space="preserve">the </w:t>
      </w:r>
      <w:r w:rsidR="003F7B75" w:rsidRPr="000D1EAA">
        <w:rPr>
          <w:lang w:val="en-CA"/>
        </w:rPr>
        <w:t>princip</w:t>
      </w:r>
      <w:r w:rsidR="0038331B" w:rsidRPr="000D1EAA">
        <w:rPr>
          <w:lang w:val="en-CA"/>
        </w:rPr>
        <w:t>l</w:t>
      </w:r>
      <w:r w:rsidR="003F7B75" w:rsidRPr="000D1EAA">
        <w:rPr>
          <w:lang w:val="en-CA"/>
        </w:rPr>
        <w:t xml:space="preserve">es </w:t>
      </w:r>
      <w:r w:rsidR="0038331B" w:rsidRPr="000D1EAA">
        <w:rPr>
          <w:lang w:val="en-CA"/>
        </w:rPr>
        <w:t xml:space="preserve">of </w:t>
      </w:r>
      <w:proofErr w:type="spellStart"/>
      <w:r w:rsidR="003F7B75" w:rsidRPr="000D1EAA">
        <w:rPr>
          <w:i/>
          <w:lang w:val="en-CA"/>
        </w:rPr>
        <w:t>Loyer</w:t>
      </w:r>
      <w:proofErr w:type="spellEnd"/>
      <w:r w:rsidR="0038331B" w:rsidRPr="000D1EAA">
        <w:rPr>
          <w:iCs/>
          <w:lang w:val="en-CA"/>
        </w:rPr>
        <w:t>.</w:t>
      </w:r>
      <w:r w:rsidR="003F7B75" w:rsidRPr="000D1EAA">
        <w:rPr>
          <w:rStyle w:val="Appelnotedebasdep"/>
          <w:lang w:val="en-CA"/>
        </w:rPr>
        <w:footnoteReference w:id="15"/>
      </w:r>
      <w:r w:rsidR="003F7B75" w:rsidRPr="000D1EAA">
        <w:rPr>
          <w:lang w:val="en-CA"/>
        </w:rPr>
        <w:t xml:space="preserve"> </w:t>
      </w:r>
    </w:p>
    <w:p w14:paraId="235BCB72" w14:textId="4775ED82" w:rsidR="00514E9A" w:rsidRPr="000D1EAA" w:rsidRDefault="005853D4" w:rsidP="00514E9A">
      <w:pPr>
        <w:pStyle w:val="Paragraphe"/>
        <w:spacing w:line="240" w:lineRule="auto"/>
        <w:rPr>
          <w:lang w:val="en-CA"/>
        </w:rPr>
      </w:pPr>
      <w:r>
        <w:rPr>
          <w:lang w:val="en-CA"/>
        </w:rPr>
        <w:t xml:space="preserve">Moreover, compelling </w:t>
      </w:r>
      <w:r w:rsidR="0038331B" w:rsidRPr="000D1EAA">
        <w:rPr>
          <w:lang w:val="en-CA"/>
        </w:rPr>
        <w:t xml:space="preserve">proof of this can be found in the comments of </w:t>
      </w:r>
      <w:r w:rsidR="003F7B75" w:rsidRPr="000D1EAA">
        <w:rPr>
          <w:lang w:val="en-CA"/>
        </w:rPr>
        <w:t>Dickson</w:t>
      </w:r>
      <w:r w:rsidR="0038331B" w:rsidRPr="000D1EAA">
        <w:rPr>
          <w:lang w:val="en-CA"/>
        </w:rPr>
        <w:t xml:space="preserve"> C.J. in </w:t>
      </w:r>
      <w:r w:rsidR="003F7B75" w:rsidRPr="000D1EAA">
        <w:rPr>
          <w:i/>
          <w:lang w:val="en-CA"/>
        </w:rPr>
        <w:t>Prince</w:t>
      </w:r>
      <w:r w:rsidR="0038331B" w:rsidRPr="000D1EAA">
        <w:rPr>
          <w:iCs/>
          <w:lang w:val="en-CA"/>
        </w:rPr>
        <w:t>:</w:t>
      </w:r>
      <w:r w:rsidR="003F7B75" w:rsidRPr="000D1EAA">
        <w:rPr>
          <w:rStyle w:val="Appelnotedebasdep"/>
          <w:lang w:val="en-CA"/>
        </w:rPr>
        <w:footnoteReference w:id="16"/>
      </w:r>
    </w:p>
    <w:p w14:paraId="13988B7D" w14:textId="752F58C6" w:rsidR="00514E9A" w:rsidRPr="00602F9F" w:rsidRDefault="003F7B75" w:rsidP="00514E9A">
      <w:pPr>
        <w:pStyle w:val="Citationenretrait"/>
        <w:spacing w:line="240" w:lineRule="auto"/>
        <w:rPr>
          <w:u w:val="single"/>
          <w:lang w:val="en-CA"/>
        </w:rPr>
      </w:pPr>
      <w:r w:rsidRPr="00874109">
        <w:rPr>
          <w:lang w:val="en-CA"/>
        </w:rPr>
        <w:t>[38]</w:t>
      </w:r>
      <w:r w:rsidRPr="00874109">
        <w:rPr>
          <w:lang w:val="en-CA"/>
        </w:rPr>
        <w:tab/>
      </w:r>
      <w:r w:rsidR="00602F9F" w:rsidRPr="00602F9F">
        <w:rPr>
          <w:color w:val="000000"/>
          <w:spacing w:val="-3"/>
          <w:lang w:val="en-CA"/>
        </w:rPr>
        <w:t>The third situation in which there is sufficient correspondence between elements to sustain the </w:t>
      </w:r>
      <w:proofErr w:type="spellStart"/>
      <w:r w:rsidR="00602F9F" w:rsidRPr="00602F9F">
        <w:rPr>
          <w:i/>
          <w:iCs/>
          <w:color w:val="000000"/>
          <w:spacing w:val="-3"/>
          <w:lang w:val="en-CA"/>
        </w:rPr>
        <w:t>Kienapple</w:t>
      </w:r>
      <w:proofErr w:type="spellEnd"/>
      <w:r w:rsidR="00602F9F" w:rsidRPr="00602F9F">
        <w:rPr>
          <w:color w:val="000000"/>
          <w:spacing w:val="-3"/>
          <w:lang w:val="en-CA"/>
        </w:rPr>
        <w:t> principle is somewhat similar. It arises when Parliament in effect deems a particular element to be satisfied by proof of a different nature, not necessarily because logic compels that conclusion, but because of social policy or inherent difficulties of proof. The </w:t>
      </w:r>
      <w:proofErr w:type="spellStart"/>
      <w:r w:rsidR="00602F9F" w:rsidRPr="00602F9F">
        <w:rPr>
          <w:i/>
          <w:iCs/>
          <w:color w:val="000000"/>
          <w:spacing w:val="-3"/>
          <w:lang w:val="en-CA"/>
        </w:rPr>
        <w:t>Kienapple</w:t>
      </w:r>
      <w:proofErr w:type="spellEnd"/>
      <w:r w:rsidR="00602F9F" w:rsidRPr="00602F9F">
        <w:rPr>
          <w:color w:val="000000"/>
          <w:spacing w:val="-3"/>
          <w:lang w:val="en-CA"/>
        </w:rPr>
        <w:t> case itself affords one example. There, as we have seen, the element of the victim's age served as a substitute for the element of non</w:t>
      </w:r>
      <w:r w:rsidR="00602F9F" w:rsidRPr="00602F9F">
        <w:rPr>
          <w:color w:val="000000"/>
          <w:spacing w:val="-3"/>
          <w:lang w:val="en-CA"/>
        </w:rPr>
        <w:noBreakHyphen/>
        <w:t xml:space="preserve">consent. A girl of less than fourteen years of age could not in Parliament's opinion meaningfully consent to sexual intercourse. </w:t>
      </w:r>
      <w:r w:rsidR="00602F9F" w:rsidRPr="00602F9F">
        <w:rPr>
          <w:color w:val="000000"/>
          <w:spacing w:val="-3"/>
          <w:u w:val="single"/>
          <w:lang w:val="en-CA"/>
        </w:rPr>
        <w:t>Another example is provided by </w:t>
      </w:r>
      <w:r w:rsidR="00602F9F" w:rsidRPr="00602F9F">
        <w:rPr>
          <w:i/>
          <w:iCs/>
          <w:color w:val="000000"/>
          <w:spacing w:val="-3"/>
          <w:u w:val="single"/>
          <w:lang w:val="en-CA"/>
        </w:rPr>
        <w:t>Terlecki v. The Queen</w:t>
      </w:r>
      <w:r w:rsidR="00602F9F" w:rsidRPr="00602F9F">
        <w:rPr>
          <w:color w:val="000000"/>
          <w:spacing w:val="-3"/>
          <w:u w:val="single"/>
          <w:lang w:val="en-CA"/>
        </w:rPr>
        <w:t>, [1985] 2 S.C.R. 483. Although the case largely dealt with a procedural issue, the Court's decision was predicated on the applicability of </w:t>
      </w:r>
      <w:proofErr w:type="spellStart"/>
      <w:r w:rsidR="00602F9F" w:rsidRPr="00602F9F">
        <w:rPr>
          <w:i/>
          <w:iCs/>
          <w:color w:val="000000"/>
          <w:spacing w:val="-3"/>
          <w:u w:val="single"/>
          <w:lang w:val="en-CA"/>
        </w:rPr>
        <w:t>Kienapple</w:t>
      </w:r>
      <w:proofErr w:type="spellEnd"/>
      <w:r w:rsidR="00602F9F" w:rsidRPr="00602F9F">
        <w:rPr>
          <w:color w:val="000000"/>
          <w:spacing w:val="-3"/>
          <w:u w:val="single"/>
          <w:lang w:val="en-CA"/>
        </w:rPr>
        <w:t xml:space="preserve"> as between the offences of impaired driving contrary to s. 234 and "over 80" contrary to s. 236. Impairment is inherently difficult to prove, and Parliament has deemed a certain proportion of alcohol in one's blood to constitute an impairment of driving ability. The differences between the elements of these offences are explained by an attempt to facilitate the apprehension by the police or the conviction by the courts of persons who are guilty of essentially the same wrongful conduct: see </w:t>
      </w:r>
      <w:proofErr w:type="spellStart"/>
      <w:r w:rsidR="00602F9F" w:rsidRPr="00602F9F">
        <w:rPr>
          <w:color w:val="000000"/>
          <w:spacing w:val="-3"/>
          <w:u w:val="single"/>
          <w:lang w:val="en-CA"/>
        </w:rPr>
        <w:t>Leonoff</w:t>
      </w:r>
      <w:proofErr w:type="spellEnd"/>
      <w:r w:rsidR="00602F9F" w:rsidRPr="00602F9F">
        <w:rPr>
          <w:color w:val="000000"/>
          <w:spacing w:val="-3"/>
          <w:u w:val="single"/>
          <w:lang w:val="en-CA"/>
        </w:rPr>
        <w:t xml:space="preserve"> and Deutscher, </w:t>
      </w:r>
      <w:r w:rsidR="00602F9F" w:rsidRPr="00602F9F">
        <w:rPr>
          <w:i/>
          <w:iCs/>
          <w:color w:val="000000"/>
          <w:spacing w:val="-3"/>
          <w:u w:val="single"/>
          <w:lang w:val="en-CA"/>
        </w:rPr>
        <w:t>supra</w:t>
      </w:r>
      <w:r w:rsidR="00602F9F" w:rsidRPr="00602F9F">
        <w:rPr>
          <w:color w:val="000000"/>
          <w:spacing w:val="-3"/>
          <w:u w:val="single"/>
          <w:lang w:val="en-CA"/>
        </w:rPr>
        <w:t xml:space="preserve">, at p. 261. I believe that elements which serve only as </w:t>
      </w:r>
      <w:r w:rsidR="00602F9F" w:rsidRPr="00602F9F">
        <w:rPr>
          <w:color w:val="000000"/>
          <w:spacing w:val="-3"/>
          <w:u w:val="single"/>
          <w:lang w:val="en-CA"/>
        </w:rPr>
        <w:lastRenderedPageBreak/>
        <w:t>an evidentiary proxy for another element cannot be regarded as distinct or additional elements for the purposes of the rule against multiple convictions.</w:t>
      </w:r>
    </w:p>
    <w:p w14:paraId="5E2C014A" w14:textId="6E2A67BD" w:rsidR="00514E9A" w:rsidRPr="000D1EAA" w:rsidRDefault="003F7B75" w:rsidP="00514E9A">
      <w:pPr>
        <w:pStyle w:val="Citationenretrait"/>
        <w:spacing w:before="0" w:line="240" w:lineRule="auto"/>
        <w:jc w:val="right"/>
        <w:rPr>
          <w:lang w:val="en-CA"/>
        </w:rPr>
      </w:pPr>
      <w:r w:rsidRPr="000D1EAA">
        <w:rPr>
          <w:lang w:val="en-CA"/>
        </w:rPr>
        <w:t>[</w:t>
      </w:r>
      <w:r w:rsidR="00237F18" w:rsidRPr="000D1EAA">
        <w:rPr>
          <w:lang w:val="en-CA"/>
        </w:rPr>
        <w:t>Emphasis added</w:t>
      </w:r>
      <w:r w:rsidRPr="000D1EAA">
        <w:rPr>
          <w:lang w:val="en-CA"/>
        </w:rPr>
        <w:t>]</w:t>
      </w:r>
    </w:p>
    <w:p w14:paraId="593A6DA4" w14:textId="0F5D08B2" w:rsidR="00514E9A" w:rsidRPr="00EB423E" w:rsidRDefault="00535B6F" w:rsidP="00514E9A">
      <w:pPr>
        <w:pStyle w:val="Paragraphe"/>
        <w:spacing w:line="240" w:lineRule="auto"/>
        <w:rPr>
          <w:lang w:val="en-CA"/>
        </w:rPr>
      </w:pPr>
      <w:r w:rsidRPr="000D1EAA">
        <w:rPr>
          <w:lang w:val="en-CA"/>
        </w:rPr>
        <w:t xml:space="preserve">As for the </w:t>
      </w:r>
      <w:r w:rsidR="003F7B75" w:rsidRPr="000D1EAA">
        <w:rPr>
          <w:lang w:val="en-CA"/>
        </w:rPr>
        <w:t xml:space="preserve">argument </w:t>
      </w:r>
      <w:r w:rsidR="00CB64D0" w:rsidRPr="000D1EAA">
        <w:rPr>
          <w:lang w:val="en-CA"/>
        </w:rPr>
        <w:t xml:space="preserve">based on the </w:t>
      </w:r>
      <w:r w:rsidR="003D0152">
        <w:rPr>
          <w:lang w:val="en-CA"/>
        </w:rPr>
        <w:t xml:space="preserve">gravity </w:t>
      </w:r>
      <w:r w:rsidR="00CB64D0" w:rsidRPr="000D1EAA">
        <w:rPr>
          <w:lang w:val="en-CA"/>
        </w:rPr>
        <w:t xml:space="preserve">of the </w:t>
      </w:r>
      <w:r w:rsidR="00417908">
        <w:rPr>
          <w:lang w:val="en-CA"/>
        </w:rPr>
        <w:t>penalties</w:t>
      </w:r>
      <w:r w:rsidR="00CB64D0" w:rsidRPr="000D1EAA">
        <w:rPr>
          <w:lang w:val="en-CA"/>
        </w:rPr>
        <w:t xml:space="preserve"> </w:t>
      </w:r>
      <w:r w:rsidR="00602F9F">
        <w:rPr>
          <w:lang w:val="en-CA"/>
        </w:rPr>
        <w:t>at issue</w:t>
      </w:r>
      <w:r w:rsidR="00CB64D0" w:rsidRPr="000D1EAA">
        <w:rPr>
          <w:lang w:val="en-CA"/>
        </w:rPr>
        <w:t>, th</w:t>
      </w:r>
      <w:r w:rsidR="00774B20">
        <w:rPr>
          <w:lang w:val="en-CA"/>
        </w:rPr>
        <w:t>is determination must be made in accordance with th</w:t>
      </w:r>
      <w:r w:rsidR="00CB64D0" w:rsidRPr="000D1EAA">
        <w:rPr>
          <w:lang w:val="en-CA"/>
        </w:rPr>
        <w:t xml:space="preserve">e </w:t>
      </w:r>
      <w:r w:rsidR="005F5E2E" w:rsidRPr="000D1EAA">
        <w:rPr>
          <w:i/>
          <w:lang w:val="en-CA"/>
        </w:rPr>
        <w:t>Criminal Code</w:t>
      </w:r>
      <w:r w:rsidR="00CB64D0" w:rsidRPr="000D1EAA">
        <w:rPr>
          <w:iCs/>
          <w:lang w:val="en-CA"/>
        </w:rPr>
        <w:t xml:space="preserve">. Thus, even though the </w:t>
      </w:r>
      <w:r w:rsidR="00A06BEC">
        <w:rPr>
          <w:iCs/>
          <w:lang w:val="en-CA"/>
        </w:rPr>
        <w:t xml:space="preserve">penalties set out </w:t>
      </w:r>
      <w:r w:rsidR="00B27F70">
        <w:rPr>
          <w:iCs/>
          <w:lang w:val="en-CA"/>
        </w:rPr>
        <w:t xml:space="preserve">in </w:t>
      </w:r>
      <w:r w:rsidR="00A06BEC">
        <w:rPr>
          <w:iCs/>
          <w:lang w:val="en-CA"/>
        </w:rPr>
        <w:t>s. </w:t>
      </w:r>
      <w:r w:rsidR="003F7B75" w:rsidRPr="000D1EAA">
        <w:rPr>
          <w:lang w:val="en-CA"/>
        </w:rPr>
        <w:t>320.19(1) </w:t>
      </w:r>
      <w:r w:rsidR="00FF7CA0" w:rsidRPr="00FF7CA0">
        <w:rPr>
          <w:i/>
          <w:iCs/>
          <w:lang w:val="en-CA"/>
        </w:rPr>
        <w:t>Cr.</w:t>
      </w:r>
      <w:r w:rsidR="00774B20">
        <w:rPr>
          <w:i/>
          <w:iCs/>
          <w:lang w:val="en-CA"/>
        </w:rPr>
        <w:t> </w:t>
      </w:r>
      <w:r w:rsidR="00FF7CA0" w:rsidRPr="00FF7CA0">
        <w:rPr>
          <w:i/>
          <w:iCs/>
          <w:lang w:val="en-CA"/>
        </w:rPr>
        <w:t>C</w:t>
      </w:r>
      <w:r w:rsidR="0020010B" w:rsidRPr="00BA303E">
        <w:rPr>
          <w:iCs/>
          <w:lang w:val="en-CA"/>
        </w:rPr>
        <w:t>.</w:t>
      </w:r>
      <w:r w:rsidR="003F7B75" w:rsidRPr="000D1EAA">
        <w:rPr>
          <w:i/>
          <w:lang w:val="en-CA"/>
        </w:rPr>
        <w:t xml:space="preserve"> </w:t>
      </w:r>
      <w:r w:rsidR="00CB64D0" w:rsidRPr="000D1EAA">
        <w:rPr>
          <w:lang w:val="en-CA"/>
        </w:rPr>
        <w:t xml:space="preserve">are identical for the two </w:t>
      </w:r>
      <w:r w:rsidR="003F7B75" w:rsidRPr="000D1EAA">
        <w:rPr>
          <w:lang w:val="en-CA"/>
        </w:rPr>
        <w:t xml:space="preserve">types </w:t>
      </w:r>
      <w:r w:rsidR="00CB64D0" w:rsidRPr="000D1EAA">
        <w:rPr>
          <w:lang w:val="en-CA"/>
        </w:rPr>
        <w:t xml:space="preserve">of </w:t>
      </w:r>
      <w:r w:rsidR="002A58CD" w:rsidRPr="000D1EAA">
        <w:rPr>
          <w:lang w:val="en-CA"/>
        </w:rPr>
        <w:t>offence</w:t>
      </w:r>
      <w:r w:rsidR="003F7B75" w:rsidRPr="000D1EAA">
        <w:rPr>
          <w:lang w:val="en-CA"/>
        </w:rPr>
        <w:t xml:space="preserve">s, </w:t>
      </w:r>
      <w:r w:rsidR="00A06BEC">
        <w:rPr>
          <w:lang w:val="en-CA"/>
        </w:rPr>
        <w:t>s</w:t>
      </w:r>
      <w:r w:rsidR="003F7B75" w:rsidRPr="000D1EAA">
        <w:rPr>
          <w:lang w:val="en-CA"/>
        </w:rPr>
        <w:t>.</w:t>
      </w:r>
      <w:r w:rsidR="00A06BEC">
        <w:rPr>
          <w:lang w:val="en-CA"/>
        </w:rPr>
        <w:t> </w:t>
      </w:r>
      <w:r w:rsidR="003F7B75" w:rsidRPr="000D1EAA">
        <w:rPr>
          <w:lang w:val="en-CA"/>
        </w:rPr>
        <w:t>320.19(3) </w:t>
      </w:r>
      <w:r w:rsidR="00FF7CA0" w:rsidRPr="00FF7CA0">
        <w:rPr>
          <w:i/>
          <w:lang w:val="en-CA"/>
        </w:rPr>
        <w:t>Cr. C</w:t>
      </w:r>
      <w:r w:rsidR="0020010B" w:rsidRPr="002E371B">
        <w:rPr>
          <w:i/>
          <w:lang w:val="en-CA"/>
        </w:rPr>
        <w:t>.</w:t>
      </w:r>
      <w:r w:rsidR="003F7B75" w:rsidRPr="000D1EAA">
        <w:rPr>
          <w:i/>
          <w:lang w:val="en-CA"/>
        </w:rPr>
        <w:t xml:space="preserve"> </w:t>
      </w:r>
      <w:r w:rsidR="003F7B75" w:rsidRPr="000D1EAA">
        <w:rPr>
          <w:lang w:val="en-CA"/>
        </w:rPr>
        <w:t>pr</w:t>
      </w:r>
      <w:r w:rsidR="00CB64D0" w:rsidRPr="000D1EAA">
        <w:rPr>
          <w:lang w:val="en-CA"/>
        </w:rPr>
        <w:t xml:space="preserve">ovides a </w:t>
      </w:r>
      <w:r w:rsidR="00A06BEC">
        <w:rPr>
          <w:lang w:val="en-CA"/>
        </w:rPr>
        <w:t>harsher</w:t>
      </w:r>
      <w:r w:rsidR="00CB64D0" w:rsidRPr="000D1EAA">
        <w:rPr>
          <w:lang w:val="en-CA"/>
        </w:rPr>
        <w:t xml:space="preserve"> minimum </w:t>
      </w:r>
      <w:r w:rsidR="00A06BEC">
        <w:rPr>
          <w:lang w:val="en-CA"/>
        </w:rPr>
        <w:t>penalty</w:t>
      </w:r>
      <w:r w:rsidR="00CB64D0" w:rsidRPr="000D1EAA">
        <w:rPr>
          <w:lang w:val="en-CA"/>
        </w:rPr>
        <w:t xml:space="preserve"> for the </w:t>
      </w:r>
      <w:r w:rsidR="002A58CD" w:rsidRPr="000D1EAA">
        <w:rPr>
          <w:lang w:val="en-CA"/>
        </w:rPr>
        <w:t>offence</w:t>
      </w:r>
      <w:r w:rsidR="003F7B75" w:rsidRPr="000D1EAA">
        <w:rPr>
          <w:lang w:val="en-CA"/>
        </w:rPr>
        <w:t xml:space="preserve"> </w:t>
      </w:r>
      <w:r w:rsidR="00CB64D0" w:rsidRPr="000D1EAA">
        <w:rPr>
          <w:lang w:val="en-CA"/>
        </w:rPr>
        <w:t xml:space="preserve">of </w:t>
      </w:r>
      <w:r w:rsidR="0038331B" w:rsidRPr="000D1EAA">
        <w:rPr>
          <w:lang w:val="en-CA"/>
        </w:rPr>
        <w:t xml:space="preserve">driving with a blood alcohol </w:t>
      </w:r>
      <w:r w:rsidR="00BA303E">
        <w:rPr>
          <w:lang w:val="en-CA"/>
        </w:rPr>
        <w:t xml:space="preserve">level over the legal limit when the </w:t>
      </w:r>
      <w:r w:rsidR="00CB64D0" w:rsidRPr="000D1EAA">
        <w:rPr>
          <w:lang w:val="en-CA"/>
        </w:rPr>
        <w:t>blood alcohol con</w:t>
      </w:r>
      <w:r w:rsidR="00A06BEC">
        <w:rPr>
          <w:lang w:val="en-CA"/>
        </w:rPr>
        <w:t xml:space="preserve">centration is </w:t>
      </w:r>
      <w:r w:rsidR="00CB64D0" w:rsidRPr="000D1EAA">
        <w:rPr>
          <w:lang w:val="en-CA"/>
        </w:rPr>
        <w:t>equal to</w:t>
      </w:r>
      <w:r w:rsidR="00A06BEC">
        <w:rPr>
          <w:lang w:val="en-CA"/>
        </w:rPr>
        <w:t xml:space="preserve"> or exceeds</w:t>
      </w:r>
      <w:r w:rsidR="00CB64D0" w:rsidRPr="000D1EAA">
        <w:rPr>
          <w:lang w:val="en-CA"/>
        </w:rPr>
        <w:t xml:space="preserve"> </w:t>
      </w:r>
      <w:r w:rsidR="003F7B75" w:rsidRPr="000D1EAA">
        <w:rPr>
          <w:lang w:val="en-CA"/>
        </w:rPr>
        <w:t>120</w:t>
      </w:r>
      <w:r w:rsidR="00A06BEC">
        <w:rPr>
          <w:lang w:val="en-CA"/>
        </w:rPr>
        <w:t> </w:t>
      </w:r>
      <w:r w:rsidR="003F7B75" w:rsidRPr="000D1EAA">
        <w:rPr>
          <w:lang w:val="en-CA"/>
        </w:rPr>
        <w:t>mg</w:t>
      </w:r>
      <w:r w:rsidR="00A06BEC">
        <w:rPr>
          <w:lang w:val="en-CA"/>
        </w:rPr>
        <w:t xml:space="preserve"> in </w:t>
      </w:r>
      <w:r w:rsidR="003F7B75" w:rsidRPr="000D1EAA">
        <w:rPr>
          <w:lang w:val="en-CA"/>
        </w:rPr>
        <w:t xml:space="preserve">100 ml </w:t>
      </w:r>
      <w:r w:rsidR="00CB64D0" w:rsidRPr="000D1EAA">
        <w:rPr>
          <w:lang w:val="en-CA"/>
        </w:rPr>
        <w:t>of blood</w:t>
      </w:r>
      <w:r w:rsidR="00774B20">
        <w:rPr>
          <w:lang w:val="en-CA"/>
        </w:rPr>
        <w:t>,</w:t>
      </w:r>
      <w:r w:rsidR="00CB64D0" w:rsidRPr="000D1EAA">
        <w:rPr>
          <w:lang w:val="en-CA"/>
        </w:rPr>
        <w:t xml:space="preserve"> and even </w:t>
      </w:r>
      <w:r w:rsidR="00A06BEC">
        <w:rPr>
          <w:lang w:val="en-CA"/>
        </w:rPr>
        <w:t xml:space="preserve">harsher </w:t>
      </w:r>
      <w:r w:rsidR="00CB64D0" w:rsidRPr="000D1EAA">
        <w:rPr>
          <w:lang w:val="en-CA"/>
        </w:rPr>
        <w:t>when the con</w:t>
      </w:r>
      <w:r w:rsidR="00A06BEC">
        <w:rPr>
          <w:lang w:val="en-CA"/>
        </w:rPr>
        <w:t>centration is equal to or exceeds</w:t>
      </w:r>
      <w:r w:rsidR="00CB64D0" w:rsidRPr="000D1EAA">
        <w:rPr>
          <w:lang w:val="en-CA"/>
        </w:rPr>
        <w:t xml:space="preserve"> </w:t>
      </w:r>
      <w:r w:rsidR="003F7B75" w:rsidRPr="000D1EAA">
        <w:rPr>
          <w:lang w:val="en-CA"/>
        </w:rPr>
        <w:t>160 mg</w:t>
      </w:r>
      <w:r w:rsidR="00A06BEC">
        <w:rPr>
          <w:lang w:val="en-CA"/>
        </w:rPr>
        <w:t xml:space="preserve"> in </w:t>
      </w:r>
      <w:r w:rsidR="003F7B75" w:rsidRPr="000D1EAA">
        <w:rPr>
          <w:lang w:val="en-CA"/>
        </w:rPr>
        <w:t>100</w:t>
      </w:r>
      <w:r w:rsidR="00774B20">
        <w:rPr>
          <w:lang w:val="en-CA"/>
        </w:rPr>
        <w:t> </w:t>
      </w:r>
      <w:r w:rsidR="003F7B75" w:rsidRPr="000D1EAA">
        <w:rPr>
          <w:lang w:val="en-CA"/>
        </w:rPr>
        <w:t xml:space="preserve">ml </w:t>
      </w:r>
      <w:r w:rsidR="00CB64D0" w:rsidRPr="000D1EAA">
        <w:rPr>
          <w:lang w:val="en-CA"/>
        </w:rPr>
        <w:t>of blood</w:t>
      </w:r>
      <w:r w:rsidR="003F7B75" w:rsidRPr="000D1EAA">
        <w:rPr>
          <w:lang w:val="en-CA"/>
        </w:rPr>
        <w:t xml:space="preserve">. </w:t>
      </w:r>
      <w:r w:rsidR="00710263" w:rsidRPr="000D1EAA">
        <w:rPr>
          <w:lang w:val="en-CA"/>
        </w:rPr>
        <w:t xml:space="preserve">By </w:t>
      </w:r>
      <w:r w:rsidR="0067022A">
        <w:rPr>
          <w:lang w:val="en-CA"/>
        </w:rPr>
        <w:t xml:space="preserve">providing </w:t>
      </w:r>
      <w:r w:rsidR="00A06BEC">
        <w:rPr>
          <w:lang w:val="en-CA"/>
        </w:rPr>
        <w:t xml:space="preserve">harsher </w:t>
      </w:r>
      <w:r w:rsidR="00CB64D0" w:rsidRPr="000D1EAA">
        <w:rPr>
          <w:lang w:val="en-CA"/>
        </w:rPr>
        <w:t xml:space="preserve">minimum </w:t>
      </w:r>
      <w:r w:rsidR="00A06BEC">
        <w:rPr>
          <w:lang w:val="en-CA"/>
        </w:rPr>
        <w:t>penalties</w:t>
      </w:r>
      <w:r w:rsidR="003F7B75" w:rsidRPr="000D1EAA">
        <w:rPr>
          <w:lang w:val="en-CA"/>
        </w:rPr>
        <w:t xml:space="preserve"> </w:t>
      </w:r>
      <w:r w:rsidR="00710263" w:rsidRPr="000D1EAA">
        <w:rPr>
          <w:lang w:val="en-CA"/>
        </w:rPr>
        <w:t>based on the intensity of the blood alcohol con</w:t>
      </w:r>
      <w:r w:rsidR="00A06BEC">
        <w:rPr>
          <w:lang w:val="en-CA"/>
        </w:rPr>
        <w:t>centration</w:t>
      </w:r>
      <w:r w:rsidR="00710263" w:rsidRPr="000D1EAA">
        <w:rPr>
          <w:lang w:val="en-CA"/>
        </w:rPr>
        <w:t>, Parliament emphasiz</w:t>
      </w:r>
      <w:r w:rsidR="00D87E25">
        <w:rPr>
          <w:lang w:val="en-CA"/>
        </w:rPr>
        <w:t>e</w:t>
      </w:r>
      <w:r w:rsidR="00774B20">
        <w:rPr>
          <w:lang w:val="en-CA"/>
        </w:rPr>
        <w:t>s</w:t>
      </w:r>
      <w:r w:rsidR="00710263" w:rsidRPr="000D1EAA">
        <w:rPr>
          <w:lang w:val="en-CA"/>
        </w:rPr>
        <w:t xml:space="preserve"> the increased objective </w:t>
      </w:r>
      <w:r w:rsidR="00710263" w:rsidRPr="00EB423E">
        <w:rPr>
          <w:lang w:val="en-CA"/>
        </w:rPr>
        <w:t xml:space="preserve">gravity of the </w:t>
      </w:r>
      <w:r w:rsidR="002A58CD" w:rsidRPr="00EB423E">
        <w:rPr>
          <w:lang w:val="en-CA"/>
        </w:rPr>
        <w:t>offence</w:t>
      </w:r>
      <w:r w:rsidR="003F7B75" w:rsidRPr="00EB423E">
        <w:rPr>
          <w:lang w:val="en-CA"/>
        </w:rPr>
        <w:t xml:space="preserve">. </w:t>
      </w:r>
    </w:p>
    <w:p w14:paraId="318D0CCA" w14:textId="2EC75DCE" w:rsidR="00514E9A" w:rsidRPr="00EB423E" w:rsidRDefault="00134AA7" w:rsidP="00514E9A">
      <w:pPr>
        <w:pStyle w:val="Paragraphe"/>
        <w:spacing w:line="240" w:lineRule="auto"/>
        <w:rPr>
          <w:lang w:val="en-CA"/>
        </w:rPr>
      </w:pPr>
      <w:r w:rsidRPr="00EB423E">
        <w:rPr>
          <w:lang w:val="en-CA"/>
        </w:rPr>
        <w:t xml:space="preserve">There is also no reason to </w:t>
      </w:r>
      <w:r w:rsidR="00774B20">
        <w:rPr>
          <w:lang w:val="en-CA"/>
        </w:rPr>
        <w:t>accept</w:t>
      </w:r>
      <w:r w:rsidR="00774B20" w:rsidRPr="00EB423E">
        <w:rPr>
          <w:lang w:val="en-CA"/>
        </w:rPr>
        <w:t xml:space="preserve"> </w:t>
      </w:r>
      <w:r w:rsidRPr="00EB423E">
        <w:rPr>
          <w:lang w:val="en-CA"/>
        </w:rPr>
        <w:t xml:space="preserve">the </w:t>
      </w:r>
      <w:r w:rsidR="006463F8" w:rsidRPr="00EB423E">
        <w:rPr>
          <w:lang w:val="en-CA"/>
        </w:rPr>
        <w:t>appellant</w:t>
      </w:r>
      <w:r w:rsidRPr="00EB423E">
        <w:rPr>
          <w:lang w:val="en-CA"/>
        </w:rPr>
        <w:t xml:space="preserve">’s claim based on </w:t>
      </w:r>
      <w:r w:rsidR="001C1EC1" w:rsidRPr="00EB423E">
        <w:rPr>
          <w:lang w:val="en-CA"/>
        </w:rPr>
        <w:t>s. </w:t>
      </w:r>
      <w:r w:rsidR="003F7B75" w:rsidRPr="00EB423E">
        <w:rPr>
          <w:lang w:val="en-CA"/>
        </w:rPr>
        <w:t>320.22</w:t>
      </w:r>
      <w:r w:rsidRPr="00EB423E">
        <w:rPr>
          <w:lang w:val="en-CA"/>
        </w:rPr>
        <w:t>(</w:t>
      </w:r>
      <w:r w:rsidR="003F7B75" w:rsidRPr="00EB423E">
        <w:rPr>
          <w:i/>
          <w:lang w:val="en-CA"/>
        </w:rPr>
        <w:t>e</w:t>
      </w:r>
      <w:r w:rsidR="003F7B75" w:rsidRPr="00EB423E">
        <w:rPr>
          <w:lang w:val="en-CA"/>
        </w:rPr>
        <w:t xml:space="preserve">) </w:t>
      </w:r>
      <w:r w:rsidR="00FF7CA0" w:rsidRPr="00FF7CA0">
        <w:rPr>
          <w:i/>
          <w:lang w:val="en-CA"/>
        </w:rPr>
        <w:t>Cr.</w:t>
      </w:r>
      <w:r w:rsidR="00B00106">
        <w:rPr>
          <w:i/>
          <w:lang w:val="en-CA"/>
        </w:rPr>
        <w:t> </w:t>
      </w:r>
      <w:r w:rsidR="00FF7CA0" w:rsidRPr="00FF7CA0">
        <w:rPr>
          <w:i/>
          <w:lang w:val="en-CA"/>
        </w:rPr>
        <w:t>C</w:t>
      </w:r>
      <w:r w:rsidR="0020010B" w:rsidRPr="00B53197">
        <w:rPr>
          <w:i/>
          <w:lang w:val="en-CA"/>
        </w:rPr>
        <w:t>.</w:t>
      </w:r>
      <w:r w:rsidR="003F7B75" w:rsidRPr="00EB423E">
        <w:rPr>
          <w:lang w:val="en-CA"/>
        </w:rPr>
        <w:t xml:space="preserve"> </w:t>
      </w:r>
      <w:r w:rsidRPr="00EB423E">
        <w:rPr>
          <w:lang w:val="en-CA"/>
        </w:rPr>
        <w:t xml:space="preserve">This </w:t>
      </w:r>
      <w:r w:rsidR="005F5E2E" w:rsidRPr="00EB423E">
        <w:rPr>
          <w:i/>
          <w:lang w:val="en-CA"/>
        </w:rPr>
        <w:t>Criminal Code</w:t>
      </w:r>
      <w:r w:rsidR="003F7B75" w:rsidRPr="00EB423E">
        <w:rPr>
          <w:lang w:val="en-CA"/>
        </w:rPr>
        <w:t xml:space="preserve"> p</w:t>
      </w:r>
      <w:r w:rsidRPr="00EB423E">
        <w:rPr>
          <w:lang w:val="en-CA"/>
        </w:rPr>
        <w:t xml:space="preserve">rovision </w:t>
      </w:r>
      <w:r w:rsidR="00774B20">
        <w:rPr>
          <w:lang w:val="en-CA"/>
        </w:rPr>
        <w:t>provides</w:t>
      </w:r>
      <w:r w:rsidR="00774B20" w:rsidRPr="00EB423E">
        <w:rPr>
          <w:lang w:val="en-CA"/>
        </w:rPr>
        <w:t xml:space="preserve"> </w:t>
      </w:r>
      <w:r w:rsidRPr="00EB423E">
        <w:rPr>
          <w:lang w:val="en-CA"/>
        </w:rPr>
        <w:t>that</w:t>
      </w:r>
      <w:r w:rsidR="00774B20">
        <w:rPr>
          <w:lang w:val="en-CA"/>
        </w:rPr>
        <w:t>,</w:t>
      </w:r>
      <w:r w:rsidRPr="00EB423E">
        <w:rPr>
          <w:lang w:val="en-CA"/>
        </w:rPr>
        <w:t xml:space="preserve"> </w:t>
      </w:r>
      <w:r w:rsidR="00B53197">
        <w:rPr>
          <w:lang w:val="en-CA"/>
        </w:rPr>
        <w:t>when determining the</w:t>
      </w:r>
      <w:r w:rsidR="001C1EC1" w:rsidRPr="00EB423E">
        <w:rPr>
          <w:lang w:val="en-CA"/>
        </w:rPr>
        <w:t xml:space="preserve"> </w:t>
      </w:r>
      <w:r w:rsidRPr="00EB423E">
        <w:rPr>
          <w:lang w:val="en-CA"/>
        </w:rPr>
        <w:t xml:space="preserve">sentence </w:t>
      </w:r>
      <w:r w:rsidR="00B53197">
        <w:rPr>
          <w:lang w:val="en-CA"/>
        </w:rPr>
        <w:t>for</w:t>
      </w:r>
      <w:r w:rsidRPr="00EB423E">
        <w:rPr>
          <w:lang w:val="en-CA"/>
        </w:rPr>
        <w:t xml:space="preserve"> the </w:t>
      </w:r>
      <w:r w:rsidR="002A58CD" w:rsidRPr="00EB423E">
        <w:rPr>
          <w:lang w:val="en-CA"/>
        </w:rPr>
        <w:t>offence</w:t>
      </w:r>
      <w:r w:rsidR="003F7B75" w:rsidRPr="00EB423E">
        <w:rPr>
          <w:lang w:val="en-CA"/>
        </w:rPr>
        <w:t xml:space="preserve">s </w:t>
      </w:r>
      <w:r w:rsidR="00B53197">
        <w:rPr>
          <w:lang w:val="en-CA"/>
        </w:rPr>
        <w:t>under</w:t>
      </w:r>
      <w:r w:rsidRPr="00EB423E">
        <w:rPr>
          <w:lang w:val="en-CA"/>
        </w:rPr>
        <w:t xml:space="preserve"> s</w:t>
      </w:r>
      <w:r w:rsidR="00B53197">
        <w:rPr>
          <w:lang w:val="en-CA"/>
        </w:rPr>
        <w:t>s.</w:t>
      </w:r>
      <w:r w:rsidRPr="00EB423E">
        <w:rPr>
          <w:lang w:val="en-CA"/>
        </w:rPr>
        <w:t xml:space="preserve"> </w:t>
      </w:r>
      <w:r w:rsidR="003F7B75" w:rsidRPr="00EB423E">
        <w:rPr>
          <w:lang w:val="en-CA"/>
        </w:rPr>
        <w:t xml:space="preserve">320.13 </w:t>
      </w:r>
      <w:r w:rsidRPr="00EB423E">
        <w:rPr>
          <w:lang w:val="en-CA"/>
        </w:rPr>
        <w:t>to</w:t>
      </w:r>
      <w:r w:rsidR="003F7B75" w:rsidRPr="00EB423E">
        <w:rPr>
          <w:lang w:val="en-CA"/>
        </w:rPr>
        <w:t xml:space="preserve"> 320.18 </w:t>
      </w:r>
      <w:r w:rsidR="00FF7CA0" w:rsidRPr="00FF7CA0">
        <w:rPr>
          <w:i/>
          <w:lang w:val="en-CA"/>
        </w:rPr>
        <w:t>Cr. C</w:t>
      </w:r>
      <w:r w:rsidR="0020010B" w:rsidRPr="00B53197">
        <w:rPr>
          <w:i/>
          <w:lang w:val="en-CA"/>
        </w:rPr>
        <w:t>.</w:t>
      </w:r>
      <w:r w:rsidR="003F7B75" w:rsidRPr="00EB423E">
        <w:rPr>
          <w:lang w:val="en-CA"/>
        </w:rPr>
        <w:t xml:space="preserve"> (</w:t>
      </w:r>
      <w:r w:rsidR="00B53197">
        <w:rPr>
          <w:lang w:val="en-CA"/>
        </w:rPr>
        <w:t>including</w:t>
      </w:r>
      <w:r w:rsidRPr="00EB423E">
        <w:rPr>
          <w:lang w:val="en-CA"/>
        </w:rPr>
        <w:t xml:space="preserve"> the </w:t>
      </w:r>
      <w:r w:rsidR="002A58CD" w:rsidRPr="00EB423E">
        <w:rPr>
          <w:lang w:val="en-CA"/>
        </w:rPr>
        <w:t>offence</w:t>
      </w:r>
      <w:r w:rsidR="003F7B75" w:rsidRPr="00EB423E">
        <w:rPr>
          <w:lang w:val="en-CA"/>
        </w:rPr>
        <w:t xml:space="preserve"> </w:t>
      </w:r>
      <w:r w:rsidRPr="00EB423E">
        <w:rPr>
          <w:lang w:val="en-CA"/>
        </w:rPr>
        <w:t xml:space="preserve">of </w:t>
      </w:r>
      <w:r w:rsidR="003B1D5D" w:rsidRPr="00EB423E">
        <w:rPr>
          <w:lang w:val="en-CA"/>
        </w:rPr>
        <w:t>impaired driving</w:t>
      </w:r>
      <w:r w:rsidR="001C1EC1" w:rsidRPr="00EB423E">
        <w:rPr>
          <w:lang w:val="en-CA"/>
        </w:rPr>
        <w:t xml:space="preserve"> and </w:t>
      </w:r>
      <w:r w:rsidRPr="00EB423E">
        <w:rPr>
          <w:lang w:val="en-CA"/>
        </w:rPr>
        <w:t xml:space="preserve">that of </w:t>
      </w:r>
      <w:r w:rsidR="003B1D5D" w:rsidRPr="00EB423E">
        <w:rPr>
          <w:lang w:val="en-CA"/>
        </w:rPr>
        <w:t>driving</w:t>
      </w:r>
      <w:r w:rsidRPr="00EB423E">
        <w:rPr>
          <w:lang w:val="en-CA"/>
        </w:rPr>
        <w:t xml:space="preserve"> with a blood alcohol </w:t>
      </w:r>
      <w:r w:rsidR="009B33AA" w:rsidRPr="00EB423E">
        <w:rPr>
          <w:lang w:val="en-CA"/>
        </w:rPr>
        <w:t>level over the legal limit</w:t>
      </w:r>
      <w:r w:rsidR="003F7B75" w:rsidRPr="00EB423E">
        <w:rPr>
          <w:lang w:val="en-CA"/>
        </w:rPr>
        <w:t xml:space="preserve">), </w:t>
      </w:r>
      <w:r w:rsidRPr="00EB423E">
        <w:rPr>
          <w:lang w:val="en-CA"/>
        </w:rPr>
        <w:t>the court sha</w:t>
      </w:r>
      <w:r w:rsidR="003F7B75" w:rsidRPr="00EB423E">
        <w:rPr>
          <w:lang w:val="en-CA"/>
        </w:rPr>
        <w:t>l</w:t>
      </w:r>
      <w:r w:rsidRPr="00EB423E">
        <w:rPr>
          <w:lang w:val="en-CA"/>
        </w:rPr>
        <w:t xml:space="preserve">l </w:t>
      </w:r>
      <w:r w:rsidR="001A51C3">
        <w:rPr>
          <w:lang w:val="en-CA"/>
        </w:rPr>
        <w:t>consider the offender’s bloo</w:t>
      </w:r>
      <w:r w:rsidR="002E41FB">
        <w:rPr>
          <w:lang w:val="en-CA"/>
        </w:rPr>
        <w:t>d</w:t>
      </w:r>
      <w:r w:rsidR="001A51C3">
        <w:rPr>
          <w:lang w:val="en-CA"/>
        </w:rPr>
        <w:t xml:space="preserve"> alcohol level an</w:t>
      </w:r>
      <w:r w:rsidRPr="00EB423E">
        <w:rPr>
          <w:lang w:val="en-CA"/>
        </w:rPr>
        <w:t xml:space="preserve"> aggravating circumstance</w:t>
      </w:r>
      <w:r w:rsidR="001C1EC1" w:rsidRPr="00EB423E">
        <w:rPr>
          <w:lang w:val="en-CA"/>
        </w:rPr>
        <w:t xml:space="preserve"> </w:t>
      </w:r>
      <w:r w:rsidRPr="00EB423E">
        <w:rPr>
          <w:lang w:val="en-CA"/>
        </w:rPr>
        <w:t xml:space="preserve">when it is </w:t>
      </w:r>
      <w:r w:rsidR="0048235D" w:rsidRPr="00EB423E">
        <w:rPr>
          <w:lang w:val="en-CA"/>
        </w:rPr>
        <w:t>equal</w:t>
      </w:r>
      <w:r w:rsidRPr="00EB423E">
        <w:rPr>
          <w:lang w:val="en-CA"/>
        </w:rPr>
        <w:t xml:space="preserve"> to</w:t>
      </w:r>
      <w:r w:rsidR="00795AB7" w:rsidRPr="00EB423E">
        <w:rPr>
          <w:lang w:val="en-CA"/>
        </w:rPr>
        <w:t xml:space="preserve"> or exceeds</w:t>
      </w:r>
      <w:r w:rsidR="003F7B75" w:rsidRPr="00EB423E">
        <w:rPr>
          <w:lang w:val="en-CA"/>
        </w:rPr>
        <w:t xml:space="preserve"> 120 mg </w:t>
      </w:r>
      <w:r w:rsidRPr="00EB423E">
        <w:rPr>
          <w:lang w:val="en-CA"/>
        </w:rPr>
        <w:t xml:space="preserve">of alcohol </w:t>
      </w:r>
      <w:r w:rsidR="00795AB7" w:rsidRPr="00EB423E">
        <w:rPr>
          <w:lang w:val="en-CA"/>
        </w:rPr>
        <w:t xml:space="preserve">in </w:t>
      </w:r>
      <w:r w:rsidR="003F7B75" w:rsidRPr="00EB423E">
        <w:rPr>
          <w:lang w:val="en-CA"/>
        </w:rPr>
        <w:t xml:space="preserve">100 ml </w:t>
      </w:r>
      <w:r w:rsidRPr="00EB423E">
        <w:rPr>
          <w:lang w:val="en-CA"/>
        </w:rPr>
        <w:t>of blood. According to the</w:t>
      </w:r>
      <w:r w:rsidR="003F7B75" w:rsidRPr="00EB423E">
        <w:rPr>
          <w:lang w:val="en-CA"/>
        </w:rPr>
        <w:t xml:space="preserve"> </w:t>
      </w:r>
      <w:r w:rsidR="006463F8" w:rsidRPr="00EB423E">
        <w:rPr>
          <w:lang w:val="en-CA"/>
        </w:rPr>
        <w:t>appellant</w:t>
      </w:r>
      <w:r w:rsidR="003F7B75" w:rsidRPr="00EB423E">
        <w:rPr>
          <w:lang w:val="en-CA"/>
        </w:rPr>
        <w:t xml:space="preserve">, </w:t>
      </w:r>
      <w:r w:rsidRPr="00EB423E">
        <w:rPr>
          <w:lang w:val="en-CA"/>
        </w:rPr>
        <w:t xml:space="preserve">the </w:t>
      </w:r>
      <w:r w:rsidR="00CB64D0" w:rsidRPr="00EB423E">
        <w:rPr>
          <w:lang w:val="en-CA"/>
        </w:rPr>
        <w:t xml:space="preserve">minimum </w:t>
      </w:r>
      <w:r w:rsidR="008860A0" w:rsidRPr="00EB423E">
        <w:rPr>
          <w:lang w:val="en-CA"/>
        </w:rPr>
        <w:t>penalties</w:t>
      </w:r>
      <w:r w:rsidR="003F7B75" w:rsidRPr="00EB423E">
        <w:rPr>
          <w:lang w:val="en-CA"/>
        </w:rPr>
        <w:t xml:space="preserve"> </w:t>
      </w:r>
      <w:r w:rsidRPr="00EB423E">
        <w:rPr>
          <w:lang w:val="en-CA"/>
        </w:rPr>
        <w:t xml:space="preserve">set out in </w:t>
      </w:r>
      <w:r w:rsidR="00795AB7" w:rsidRPr="00EB423E">
        <w:rPr>
          <w:lang w:val="en-CA"/>
        </w:rPr>
        <w:t>s. </w:t>
      </w:r>
      <w:r w:rsidR="003F7B75" w:rsidRPr="00EB423E">
        <w:rPr>
          <w:lang w:val="en-CA"/>
        </w:rPr>
        <w:t xml:space="preserve">320.19(3) </w:t>
      </w:r>
      <w:r w:rsidR="00FF7CA0" w:rsidRPr="00FF7CA0">
        <w:rPr>
          <w:i/>
          <w:lang w:val="en-CA"/>
        </w:rPr>
        <w:t>Cr. C</w:t>
      </w:r>
      <w:r w:rsidR="0020010B" w:rsidRPr="002E41FB">
        <w:rPr>
          <w:i/>
          <w:lang w:val="en-CA"/>
        </w:rPr>
        <w:t>.</w:t>
      </w:r>
      <w:r w:rsidR="003F7B75" w:rsidRPr="00EB423E">
        <w:rPr>
          <w:lang w:val="en-CA"/>
        </w:rPr>
        <w:t xml:space="preserve"> </w:t>
      </w:r>
      <w:r w:rsidRPr="00EB423E">
        <w:rPr>
          <w:lang w:val="en-CA"/>
        </w:rPr>
        <w:t xml:space="preserve">and the </w:t>
      </w:r>
      <w:r w:rsidR="008860A0" w:rsidRPr="00EB423E">
        <w:rPr>
          <w:lang w:val="en-CA"/>
        </w:rPr>
        <w:t>penalty</w:t>
      </w:r>
      <w:r w:rsidRPr="00EB423E">
        <w:rPr>
          <w:lang w:val="en-CA"/>
        </w:rPr>
        <w:t xml:space="preserve"> </w:t>
      </w:r>
      <w:r w:rsidR="003F7B75" w:rsidRPr="00EB423E">
        <w:rPr>
          <w:lang w:val="en-CA"/>
        </w:rPr>
        <w:t xml:space="preserve">applicable </w:t>
      </w:r>
      <w:r w:rsidRPr="00EB423E">
        <w:rPr>
          <w:lang w:val="en-CA"/>
        </w:rPr>
        <w:t xml:space="preserve">for an </w:t>
      </w:r>
      <w:r w:rsidR="003B1D5D" w:rsidRPr="00EB423E">
        <w:rPr>
          <w:lang w:val="en-CA"/>
        </w:rPr>
        <w:t>impaired driving</w:t>
      </w:r>
      <w:r w:rsidRPr="00EB423E">
        <w:rPr>
          <w:lang w:val="en-CA"/>
        </w:rPr>
        <w:t xml:space="preserve"> offence are equivalent when the </w:t>
      </w:r>
      <w:r w:rsidR="00367215">
        <w:rPr>
          <w:lang w:val="en-CA"/>
        </w:rPr>
        <w:t>Crown</w:t>
      </w:r>
      <w:r w:rsidRPr="00EB423E">
        <w:rPr>
          <w:lang w:val="en-CA"/>
        </w:rPr>
        <w:t xml:space="preserve"> can show that the blood alcohol con</w:t>
      </w:r>
      <w:r w:rsidR="00795AB7" w:rsidRPr="00EB423E">
        <w:rPr>
          <w:lang w:val="en-CA"/>
        </w:rPr>
        <w:t>centration</w:t>
      </w:r>
      <w:r w:rsidR="003F7B75" w:rsidRPr="00EB423E">
        <w:rPr>
          <w:lang w:val="en-CA"/>
        </w:rPr>
        <w:t xml:space="preserve"> </w:t>
      </w:r>
      <w:r w:rsidR="002E41FB">
        <w:rPr>
          <w:lang w:val="en-CA"/>
        </w:rPr>
        <w:t>at the time of</w:t>
      </w:r>
      <w:r w:rsidRPr="00EB423E">
        <w:rPr>
          <w:lang w:val="en-CA"/>
        </w:rPr>
        <w:t xml:space="preserve"> this </w:t>
      </w:r>
      <w:r w:rsidR="002A58CD" w:rsidRPr="00EB423E">
        <w:rPr>
          <w:lang w:val="en-CA"/>
        </w:rPr>
        <w:t>offence</w:t>
      </w:r>
      <w:r w:rsidR="003F7B75" w:rsidRPr="00EB423E">
        <w:rPr>
          <w:lang w:val="en-CA"/>
        </w:rPr>
        <w:t xml:space="preserve"> </w:t>
      </w:r>
      <w:r w:rsidRPr="00EB423E">
        <w:rPr>
          <w:lang w:val="en-CA"/>
        </w:rPr>
        <w:t xml:space="preserve">exceeded </w:t>
      </w:r>
      <w:r w:rsidR="003F7B75" w:rsidRPr="00EB423E">
        <w:rPr>
          <w:lang w:val="en-CA"/>
        </w:rPr>
        <w:t>12</w:t>
      </w:r>
      <w:r w:rsidR="00795AB7" w:rsidRPr="00EB423E">
        <w:rPr>
          <w:lang w:val="en-CA"/>
        </w:rPr>
        <w:t> </w:t>
      </w:r>
      <w:r w:rsidR="003F7B75" w:rsidRPr="00EB423E">
        <w:rPr>
          <w:lang w:val="en-CA"/>
        </w:rPr>
        <w:t xml:space="preserve">mg </w:t>
      </w:r>
      <w:r w:rsidRPr="00EB423E">
        <w:rPr>
          <w:lang w:val="en-CA"/>
        </w:rPr>
        <w:t xml:space="preserve">of alcohol </w:t>
      </w:r>
      <w:r w:rsidR="00795AB7" w:rsidRPr="00EB423E">
        <w:rPr>
          <w:lang w:val="en-CA"/>
        </w:rPr>
        <w:t>in</w:t>
      </w:r>
      <w:r w:rsidRPr="00EB423E">
        <w:rPr>
          <w:lang w:val="en-CA"/>
        </w:rPr>
        <w:t xml:space="preserve"> </w:t>
      </w:r>
      <w:r w:rsidR="003F7B75" w:rsidRPr="00EB423E">
        <w:rPr>
          <w:lang w:val="en-CA"/>
        </w:rPr>
        <w:t xml:space="preserve">100 ml </w:t>
      </w:r>
      <w:r w:rsidRPr="00EB423E">
        <w:rPr>
          <w:lang w:val="en-CA"/>
        </w:rPr>
        <w:t xml:space="preserve">of blood or, as applicable, </w:t>
      </w:r>
      <w:r w:rsidR="003F7B75" w:rsidRPr="00EB423E">
        <w:rPr>
          <w:lang w:val="en-CA"/>
        </w:rPr>
        <w:t xml:space="preserve">16 mg </w:t>
      </w:r>
      <w:r w:rsidRPr="00EB423E">
        <w:rPr>
          <w:lang w:val="en-CA"/>
        </w:rPr>
        <w:t xml:space="preserve">of alcohol </w:t>
      </w:r>
      <w:r w:rsidR="00795AB7" w:rsidRPr="00EB423E">
        <w:rPr>
          <w:lang w:val="en-CA"/>
        </w:rPr>
        <w:t>in</w:t>
      </w:r>
      <w:r w:rsidRPr="00EB423E">
        <w:rPr>
          <w:lang w:val="en-CA"/>
        </w:rPr>
        <w:t xml:space="preserve"> 100 ml of blood</w:t>
      </w:r>
      <w:r w:rsidR="003F7B75" w:rsidRPr="00EB423E">
        <w:rPr>
          <w:lang w:val="en-CA"/>
        </w:rPr>
        <w:t>.</w:t>
      </w:r>
      <w:r w:rsidR="0067022A" w:rsidRPr="00EB423E">
        <w:rPr>
          <w:lang w:val="en-CA"/>
        </w:rPr>
        <w:t xml:space="preserve"> </w:t>
      </w:r>
    </w:p>
    <w:p w14:paraId="0B305D8E" w14:textId="002EDE3C" w:rsidR="00514E9A" w:rsidRPr="000D1EAA" w:rsidRDefault="00AD25D5" w:rsidP="00514E9A">
      <w:pPr>
        <w:pStyle w:val="Paragraphe"/>
        <w:spacing w:line="240" w:lineRule="auto"/>
        <w:rPr>
          <w:lang w:val="en-CA"/>
        </w:rPr>
      </w:pPr>
      <w:r w:rsidRPr="000D1EAA">
        <w:rPr>
          <w:lang w:val="en-CA"/>
        </w:rPr>
        <w:t>However, there are significant conceptual and legal</w:t>
      </w:r>
      <w:r w:rsidR="003F7B75" w:rsidRPr="000D1EAA">
        <w:rPr>
          <w:lang w:val="en-CA"/>
        </w:rPr>
        <w:t xml:space="preserve"> diff</w:t>
      </w:r>
      <w:r w:rsidRPr="000D1EAA">
        <w:rPr>
          <w:lang w:val="en-CA"/>
        </w:rPr>
        <w:t>e</w:t>
      </w:r>
      <w:r w:rsidR="003F7B75" w:rsidRPr="000D1EAA">
        <w:rPr>
          <w:lang w:val="en-CA"/>
        </w:rPr>
        <w:t xml:space="preserve">rences </w:t>
      </w:r>
      <w:r w:rsidRPr="000D1EAA">
        <w:rPr>
          <w:lang w:val="en-CA"/>
        </w:rPr>
        <w:t xml:space="preserve">between a </w:t>
      </w:r>
      <w:r w:rsidR="00CB64D0" w:rsidRPr="000D1EAA">
        <w:rPr>
          <w:lang w:val="en-CA"/>
        </w:rPr>
        <w:t xml:space="preserve">minimum </w:t>
      </w:r>
      <w:r w:rsidR="009A1B59">
        <w:rPr>
          <w:lang w:val="en-CA"/>
        </w:rPr>
        <w:t>penalty</w:t>
      </w:r>
      <w:r w:rsidR="003F7B75" w:rsidRPr="000D1EAA">
        <w:rPr>
          <w:lang w:val="en-CA"/>
        </w:rPr>
        <w:t xml:space="preserve"> </w:t>
      </w:r>
      <w:r w:rsidRPr="000D1EAA">
        <w:rPr>
          <w:lang w:val="en-CA"/>
        </w:rPr>
        <w:t xml:space="preserve">and an aggravating </w:t>
      </w:r>
      <w:r w:rsidR="003F7B75" w:rsidRPr="000D1EAA">
        <w:rPr>
          <w:lang w:val="en-CA"/>
        </w:rPr>
        <w:t>circ</w:t>
      </w:r>
      <w:r w:rsidRPr="000D1EAA">
        <w:rPr>
          <w:lang w:val="en-CA"/>
        </w:rPr>
        <w:t>um</w:t>
      </w:r>
      <w:r w:rsidR="003F7B75" w:rsidRPr="000D1EAA">
        <w:rPr>
          <w:lang w:val="en-CA"/>
        </w:rPr>
        <w:t xml:space="preserve">stance </w:t>
      </w:r>
      <w:r w:rsidRPr="000D1EAA">
        <w:rPr>
          <w:lang w:val="en-CA"/>
        </w:rPr>
        <w:t xml:space="preserve">used to determine a </w:t>
      </w:r>
      <w:r w:rsidR="009A1B59">
        <w:rPr>
          <w:lang w:val="en-CA"/>
        </w:rPr>
        <w:t>penalty</w:t>
      </w:r>
      <w:r w:rsidRPr="000D1EAA">
        <w:rPr>
          <w:lang w:val="en-CA"/>
        </w:rPr>
        <w:t>.</w:t>
      </w:r>
      <w:r w:rsidR="003F7B75" w:rsidRPr="000D1EAA">
        <w:rPr>
          <w:lang w:val="en-CA"/>
        </w:rPr>
        <w:t xml:space="preserve"> </w:t>
      </w:r>
      <w:r w:rsidRPr="000D1EAA">
        <w:rPr>
          <w:lang w:val="en-CA"/>
        </w:rPr>
        <w:t xml:space="preserve">The </w:t>
      </w:r>
      <w:r w:rsidR="00CB64D0" w:rsidRPr="000D1EAA">
        <w:rPr>
          <w:lang w:val="en-CA"/>
        </w:rPr>
        <w:t xml:space="preserve">minimum </w:t>
      </w:r>
      <w:r w:rsidR="009A1B59">
        <w:rPr>
          <w:lang w:val="en-CA"/>
        </w:rPr>
        <w:t>penalty</w:t>
      </w:r>
      <w:r w:rsidR="003F7B75" w:rsidRPr="000D1EAA">
        <w:rPr>
          <w:lang w:val="en-CA"/>
        </w:rPr>
        <w:t xml:space="preserve"> </w:t>
      </w:r>
      <w:r w:rsidRPr="000D1EAA">
        <w:rPr>
          <w:lang w:val="en-CA"/>
        </w:rPr>
        <w:t>binds the court</w:t>
      </w:r>
      <w:r w:rsidR="003C56B6">
        <w:rPr>
          <w:lang w:val="en-CA"/>
        </w:rPr>
        <w:t>,</w:t>
      </w:r>
      <w:r w:rsidRPr="000D1EAA">
        <w:rPr>
          <w:lang w:val="en-CA"/>
        </w:rPr>
        <w:t xml:space="preserve"> whereas an aggrav</w:t>
      </w:r>
      <w:r w:rsidR="0048235D" w:rsidRPr="000D1EAA">
        <w:rPr>
          <w:lang w:val="en-CA"/>
        </w:rPr>
        <w:t>at</w:t>
      </w:r>
      <w:r w:rsidRPr="000D1EAA">
        <w:rPr>
          <w:lang w:val="en-CA"/>
        </w:rPr>
        <w:t xml:space="preserve">ing </w:t>
      </w:r>
      <w:r w:rsidR="003F7B75" w:rsidRPr="000D1EAA">
        <w:rPr>
          <w:lang w:val="en-CA"/>
        </w:rPr>
        <w:t>circ</w:t>
      </w:r>
      <w:r w:rsidRPr="000D1EAA">
        <w:rPr>
          <w:lang w:val="en-CA"/>
        </w:rPr>
        <w:t>um</w:t>
      </w:r>
      <w:r w:rsidR="003F7B75" w:rsidRPr="000D1EAA">
        <w:rPr>
          <w:lang w:val="en-CA"/>
        </w:rPr>
        <w:t xml:space="preserve">stance </w:t>
      </w:r>
      <w:r w:rsidRPr="000D1EAA">
        <w:rPr>
          <w:lang w:val="en-CA"/>
        </w:rPr>
        <w:t xml:space="preserve">is one of the factors which the court takes into account </w:t>
      </w:r>
      <w:r w:rsidR="003C56B6">
        <w:rPr>
          <w:lang w:val="en-CA"/>
        </w:rPr>
        <w:t xml:space="preserve">as it exercises </w:t>
      </w:r>
      <w:r w:rsidRPr="000D1EAA">
        <w:rPr>
          <w:lang w:val="en-CA"/>
        </w:rPr>
        <w:t xml:space="preserve">its </w:t>
      </w:r>
      <w:r w:rsidR="003F7B75" w:rsidRPr="000D1EAA">
        <w:rPr>
          <w:lang w:val="en-CA"/>
        </w:rPr>
        <w:t>discr</w:t>
      </w:r>
      <w:r w:rsidRPr="000D1EAA">
        <w:rPr>
          <w:lang w:val="en-CA"/>
        </w:rPr>
        <w:t>e</w:t>
      </w:r>
      <w:r w:rsidR="003F7B75" w:rsidRPr="000D1EAA">
        <w:rPr>
          <w:lang w:val="en-CA"/>
        </w:rPr>
        <w:t xml:space="preserve">tion </w:t>
      </w:r>
      <w:r w:rsidRPr="000D1EAA">
        <w:rPr>
          <w:lang w:val="en-CA"/>
        </w:rPr>
        <w:t xml:space="preserve">in </w:t>
      </w:r>
      <w:r w:rsidR="009A1B59">
        <w:rPr>
          <w:lang w:val="en-CA"/>
        </w:rPr>
        <w:t>imposing</w:t>
      </w:r>
      <w:r w:rsidRPr="000D1EAA">
        <w:rPr>
          <w:lang w:val="en-CA"/>
        </w:rPr>
        <w:t xml:space="preserve"> the applicable sentence.</w:t>
      </w:r>
      <w:r w:rsidR="003F7B75" w:rsidRPr="000D1EAA">
        <w:rPr>
          <w:lang w:val="en-CA"/>
        </w:rPr>
        <w:t xml:space="preserve"> </w:t>
      </w:r>
      <w:r w:rsidRPr="000D1EAA">
        <w:rPr>
          <w:lang w:val="en-CA"/>
        </w:rPr>
        <w:t>An aggravating circum</w:t>
      </w:r>
      <w:r w:rsidR="003F7B75" w:rsidRPr="000D1EAA">
        <w:rPr>
          <w:lang w:val="en-CA"/>
        </w:rPr>
        <w:t xml:space="preserve">stance </w:t>
      </w:r>
      <w:r w:rsidRPr="000D1EAA">
        <w:rPr>
          <w:lang w:val="en-CA"/>
        </w:rPr>
        <w:t xml:space="preserve">is therefore not equivalent to a </w:t>
      </w:r>
      <w:r w:rsidR="00CB64D0" w:rsidRPr="000D1EAA">
        <w:rPr>
          <w:lang w:val="en-CA"/>
        </w:rPr>
        <w:t xml:space="preserve">minimum </w:t>
      </w:r>
      <w:r w:rsidR="009A1B59">
        <w:rPr>
          <w:lang w:val="en-CA"/>
        </w:rPr>
        <w:t>penalty</w:t>
      </w:r>
      <w:r w:rsidR="003F7B75" w:rsidRPr="000D1EAA">
        <w:rPr>
          <w:lang w:val="en-CA"/>
        </w:rPr>
        <w:t xml:space="preserve">, </w:t>
      </w:r>
      <w:r w:rsidRPr="000D1EAA">
        <w:rPr>
          <w:lang w:val="en-CA"/>
        </w:rPr>
        <w:t>on either the conceptual or the legal plane.</w:t>
      </w:r>
    </w:p>
    <w:p w14:paraId="5981BE97" w14:textId="5B26A3B2" w:rsidR="00514E9A" w:rsidRDefault="00AD25D5" w:rsidP="00514E9A">
      <w:pPr>
        <w:pStyle w:val="Paragraphe"/>
        <w:spacing w:line="240" w:lineRule="auto"/>
        <w:rPr>
          <w:lang w:val="en-CA"/>
        </w:rPr>
      </w:pPr>
      <w:r w:rsidRPr="000D1EAA">
        <w:rPr>
          <w:lang w:val="en-CA"/>
        </w:rPr>
        <w:t xml:space="preserve">The principles of </w:t>
      </w:r>
      <w:proofErr w:type="spellStart"/>
      <w:r w:rsidR="003F7B75" w:rsidRPr="000D1EAA">
        <w:rPr>
          <w:i/>
          <w:lang w:val="en-CA"/>
        </w:rPr>
        <w:t>Loyer</w:t>
      </w:r>
      <w:proofErr w:type="spellEnd"/>
      <w:r w:rsidR="003F7B75" w:rsidRPr="000D1EAA">
        <w:rPr>
          <w:lang w:val="en-CA"/>
        </w:rPr>
        <w:t xml:space="preserve"> </w:t>
      </w:r>
      <w:r w:rsidR="00664F49">
        <w:rPr>
          <w:lang w:val="en-CA"/>
        </w:rPr>
        <w:t xml:space="preserve">are </w:t>
      </w:r>
      <w:r w:rsidRPr="000D1EAA">
        <w:rPr>
          <w:lang w:val="en-CA"/>
        </w:rPr>
        <w:t xml:space="preserve">therefore </w:t>
      </w:r>
      <w:r w:rsidR="00664F49">
        <w:rPr>
          <w:lang w:val="en-CA"/>
        </w:rPr>
        <w:t>applicable</w:t>
      </w:r>
      <w:r w:rsidRPr="000D1EAA">
        <w:rPr>
          <w:lang w:val="en-CA"/>
        </w:rPr>
        <w:t xml:space="preserve"> in the present case.</w:t>
      </w:r>
      <w:r w:rsidR="003F7B75" w:rsidRPr="000D1EAA">
        <w:rPr>
          <w:lang w:val="en-CA"/>
        </w:rPr>
        <w:t xml:space="preserve"> </w:t>
      </w:r>
    </w:p>
    <w:p w14:paraId="0B0D645C" w14:textId="1BCFC24A" w:rsidR="009A1B59" w:rsidRDefault="009A1B59">
      <w:pPr>
        <w:spacing w:line="240" w:lineRule="auto"/>
        <w:rPr>
          <w:kern w:val="28"/>
          <w:lang w:val="en-CA"/>
        </w:rPr>
      </w:pPr>
      <w:r>
        <w:rPr>
          <w:lang w:val="en-CA"/>
        </w:rPr>
        <w:br w:type="page"/>
      </w:r>
    </w:p>
    <w:p w14:paraId="617994EC" w14:textId="1766E9AB" w:rsidR="00514E9A" w:rsidRPr="000D1EAA" w:rsidRDefault="00AD25D5" w:rsidP="00514E9A">
      <w:pPr>
        <w:pStyle w:val="Paragraphe"/>
        <w:numPr>
          <w:ilvl w:val="0"/>
          <w:numId w:val="0"/>
        </w:numPr>
        <w:spacing w:line="240" w:lineRule="auto"/>
        <w:rPr>
          <w:b/>
          <w:u w:val="single"/>
          <w:lang w:val="en-CA"/>
        </w:rPr>
      </w:pPr>
      <w:r w:rsidRPr="000D1EAA">
        <w:rPr>
          <w:b/>
          <w:u w:val="single"/>
          <w:lang w:val="en-CA"/>
        </w:rPr>
        <w:lastRenderedPageBreak/>
        <w:t xml:space="preserve">Is </w:t>
      </w:r>
      <w:r w:rsidR="003F7B75" w:rsidRPr="000D1EAA">
        <w:rPr>
          <w:b/>
          <w:i/>
          <w:u w:val="single"/>
          <w:lang w:val="en-CA"/>
        </w:rPr>
        <w:t>certiorari</w:t>
      </w:r>
      <w:r w:rsidR="003F7B75" w:rsidRPr="000D1EAA">
        <w:rPr>
          <w:b/>
          <w:u w:val="single"/>
          <w:lang w:val="en-CA"/>
        </w:rPr>
        <w:t xml:space="preserve"> </w:t>
      </w:r>
      <w:r w:rsidR="00133992">
        <w:rPr>
          <w:b/>
          <w:u w:val="single"/>
          <w:lang w:val="en-CA"/>
        </w:rPr>
        <w:t xml:space="preserve">the </w:t>
      </w:r>
      <w:r w:rsidR="003F7B75" w:rsidRPr="000D1EAA">
        <w:rPr>
          <w:b/>
          <w:u w:val="single"/>
          <w:lang w:val="en-CA"/>
        </w:rPr>
        <w:t>appropri</w:t>
      </w:r>
      <w:r w:rsidRPr="000D1EAA">
        <w:rPr>
          <w:b/>
          <w:u w:val="single"/>
          <w:lang w:val="en-CA"/>
        </w:rPr>
        <w:t>ate</w:t>
      </w:r>
      <w:r w:rsidR="00133992">
        <w:rPr>
          <w:b/>
          <w:u w:val="single"/>
          <w:lang w:val="en-CA"/>
        </w:rPr>
        <w:t xml:space="preserve"> remedy</w:t>
      </w:r>
      <w:r w:rsidR="003F7B75" w:rsidRPr="000D1EAA">
        <w:rPr>
          <w:b/>
          <w:lang w:val="en-CA"/>
        </w:rPr>
        <w:t>?</w:t>
      </w:r>
    </w:p>
    <w:p w14:paraId="10531B6C" w14:textId="0FA3443E" w:rsidR="00514E9A" w:rsidRPr="000D1EAA" w:rsidRDefault="00117189" w:rsidP="00514E9A">
      <w:pPr>
        <w:pStyle w:val="Paragraphe"/>
        <w:spacing w:line="240" w:lineRule="auto"/>
        <w:rPr>
          <w:lang w:val="en-CA"/>
        </w:rPr>
      </w:pPr>
      <w:r w:rsidRPr="000D1EAA">
        <w:rPr>
          <w:i/>
          <w:lang w:val="en-CA"/>
        </w:rPr>
        <w:t>C</w:t>
      </w:r>
      <w:r w:rsidR="003F7B75" w:rsidRPr="000D1EAA">
        <w:rPr>
          <w:i/>
          <w:lang w:val="en-CA"/>
        </w:rPr>
        <w:t>ertiorari</w:t>
      </w:r>
      <w:r w:rsidR="003F7B75" w:rsidRPr="000D1EAA">
        <w:rPr>
          <w:lang w:val="en-CA"/>
        </w:rPr>
        <w:t xml:space="preserve"> </w:t>
      </w:r>
      <w:r w:rsidR="00F41ECF" w:rsidRPr="000D1EAA">
        <w:rPr>
          <w:lang w:val="en-CA"/>
        </w:rPr>
        <w:t xml:space="preserve">is an extraordinary common law remedy which allows the Superior Court to intervene when a lower court acts without or </w:t>
      </w:r>
      <w:r w:rsidR="002150D4">
        <w:rPr>
          <w:lang w:val="en-CA"/>
        </w:rPr>
        <w:t>beyond</w:t>
      </w:r>
      <w:r w:rsidR="002150D4" w:rsidRPr="000D1EAA">
        <w:rPr>
          <w:lang w:val="en-CA"/>
        </w:rPr>
        <w:t xml:space="preserve"> </w:t>
      </w:r>
      <w:r w:rsidR="00F41ECF" w:rsidRPr="000D1EAA">
        <w:rPr>
          <w:lang w:val="en-CA"/>
        </w:rPr>
        <w:t>its jurisdiction.</w:t>
      </w:r>
      <w:r w:rsidR="003F7B75" w:rsidRPr="000D1EAA">
        <w:rPr>
          <w:lang w:val="en-CA"/>
        </w:rPr>
        <w:t xml:space="preserve"> </w:t>
      </w:r>
      <w:r w:rsidR="00F41ECF" w:rsidRPr="000D1EAA">
        <w:rPr>
          <w:lang w:val="en-CA"/>
        </w:rPr>
        <w:t>There is a jurisdiction</w:t>
      </w:r>
      <w:r w:rsidR="003E1032">
        <w:rPr>
          <w:lang w:val="en-CA"/>
        </w:rPr>
        <w:t>al error</w:t>
      </w:r>
      <w:r w:rsidR="00F41ECF" w:rsidRPr="000D1EAA">
        <w:rPr>
          <w:lang w:val="en-CA"/>
        </w:rPr>
        <w:t xml:space="preserve"> in the classic sense when a court is seized of a matter without the right to hear it or, in </w:t>
      </w:r>
      <w:r w:rsidR="00A048A6">
        <w:rPr>
          <w:lang w:val="en-CA"/>
        </w:rPr>
        <w:t>a</w:t>
      </w:r>
      <w:r w:rsidR="00242B21">
        <w:rPr>
          <w:lang w:val="en-CA"/>
        </w:rPr>
        <w:t xml:space="preserve"> </w:t>
      </w:r>
      <w:r w:rsidR="00F41ECF" w:rsidRPr="000D1EAA">
        <w:rPr>
          <w:lang w:val="en-CA"/>
        </w:rPr>
        <w:t xml:space="preserve">criminal </w:t>
      </w:r>
      <w:r w:rsidR="00242B21">
        <w:rPr>
          <w:lang w:val="en-CA"/>
        </w:rPr>
        <w:t>context</w:t>
      </w:r>
      <w:r w:rsidR="00F41ECF" w:rsidRPr="000D1EAA">
        <w:rPr>
          <w:lang w:val="en-CA"/>
        </w:rPr>
        <w:t xml:space="preserve">, when it </w:t>
      </w:r>
      <w:r w:rsidR="00452237">
        <w:rPr>
          <w:lang w:val="en-CA"/>
        </w:rPr>
        <w:t xml:space="preserve">fails to observe a mandatory </w:t>
      </w:r>
      <w:r w:rsidR="00F41ECF" w:rsidRPr="000D1EAA">
        <w:rPr>
          <w:lang w:val="en-CA"/>
        </w:rPr>
        <w:t xml:space="preserve">provision of a </w:t>
      </w:r>
      <w:r w:rsidR="00162ABB">
        <w:rPr>
          <w:lang w:val="en-CA"/>
        </w:rPr>
        <w:t>statute</w:t>
      </w:r>
      <w:r w:rsidR="00F41ECF" w:rsidRPr="000D1EAA">
        <w:rPr>
          <w:lang w:val="en-CA"/>
        </w:rPr>
        <w:t xml:space="preserve"> or </w:t>
      </w:r>
      <w:r w:rsidR="00452237">
        <w:rPr>
          <w:lang w:val="en-CA"/>
        </w:rPr>
        <w:t xml:space="preserve">acts in breach of </w:t>
      </w:r>
      <w:r w:rsidR="00F41ECF" w:rsidRPr="000D1EAA">
        <w:rPr>
          <w:lang w:val="en-CA"/>
        </w:rPr>
        <w:t xml:space="preserve">the </w:t>
      </w:r>
      <w:r w:rsidR="003F7B75" w:rsidRPr="000D1EAA">
        <w:rPr>
          <w:lang w:val="en-CA"/>
        </w:rPr>
        <w:t>princip</w:t>
      </w:r>
      <w:r w:rsidR="00F41ECF" w:rsidRPr="000D1EAA">
        <w:rPr>
          <w:lang w:val="en-CA"/>
        </w:rPr>
        <w:t>l</w:t>
      </w:r>
      <w:r w:rsidR="003F7B75" w:rsidRPr="000D1EAA">
        <w:rPr>
          <w:lang w:val="en-CA"/>
        </w:rPr>
        <w:t xml:space="preserve">es </w:t>
      </w:r>
      <w:r w:rsidR="00F41ECF" w:rsidRPr="000D1EAA">
        <w:rPr>
          <w:lang w:val="en-CA"/>
        </w:rPr>
        <w:t xml:space="preserve">of natural </w:t>
      </w:r>
      <w:r w:rsidR="003F7B75" w:rsidRPr="000D1EAA">
        <w:rPr>
          <w:lang w:val="en-CA"/>
        </w:rPr>
        <w:t>justice</w:t>
      </w:r>
      <w:r w:rsidR="00F41ECF" w:rsidRPr="000D1EAA">
        <w:rPr>
          <w:lang w:val="en-CA"/>
        </w:rPr>
        <w:t>.</w:t>
      </w:r>
      <w:r w:rsidR="003F7B75" w:rsidRPr="000D1EAA">
        <w:rPr>
          <w:rStyle w:val="Appelnotedebasdep"/>
          <w:lang w:val="en-CA"/>
        </w:rPr>
        <w:footnoteReference w:id="17"/>
      </w:r>
      <w:r w:rsidR="003F7B75" w:rsidRPr="000D1EAA">
        <w:rPr>
          <w:lang w:val="en-CA"/>
        </w:rPr>
        <w:t xml:space="preserve"> </w:t>
      </w:r>
      <w:r w:rsidR="00F41ECF" w:rsidRPr="000D1EAA">
        <w:rPr>
          <w:lang w:val="en-CA"/>
        </w:rPr>
        <w:t>Moreover, the</w:t>
      </w:r>
      <w:r w:rsidR="003F7B75" w:rsidRPr="000D1EAA">
        <w:rPr>
          <w:lang w:val="en-CA"/>
        </w:rPr>
        <w:t xml:space="preserve"> </w:t>
      </w:r>
      <w:r w:rsidR="005F5E2E" w:rsidRPr="000D1EAA">
        <w:rPr>
          <w:i/>
          <w:lang w:val="en-CA"/>
        </w:rPr>
        <w:t>Criminal Code</w:t>
      </w:r>
      <w:r w:rsidR="003F7B75" w:rsidRPr="000D1EAA">
        <w:rPr>
          <w:i/>
          <w:lang w:val="en-CA"/>
        </w:rPr>
        <w:t xml:space="preserve"> </w:t>
      </w:r>
      <w:r w:rsidR="002150D4">
        <w:rPr>
          <w:lang w:val="en-CA"/>
        </w:rPr>
        <w:t>refers to</w:t>
      </w:r>
      <w:r w:rsidR="002150D4" w:rsidRPr="000D1EAA">
        <w:rPr>
          <w:lang w:val="en-CA"/>
        </w:rPr>
        <w:t xml:space="preserve"> </w:t>
      </w:r>
      <w:r w:rsidR="003F7B75" w:rsidRPr="000D1EAA">
        <w:rPr>
          <w:i/>
          <w:lang w:val="en-CA"/>
        </w:rPr>
        <w:t xml:space="preserve">certiorari </w:t>
      </w:r>
      <w:r w:rsidR="00F41ECF" w:rsidRPr="000D1EAA">
        <w:rPr>
          <w:lang w:val="en-CA"/>
        </w:rPr>
        <w:t>in Part</w:t>
      </w:r>
      <w:r w:rsidR="003F7B75" w:rsidRPr="000D1EAA">
        <w:rPr>
          <w:lang w:val="en-CA"/>
        </w:rPr>
        <w:t xml:space="preserve"> XXVI </w:t>
      </w:r>
      <w:r w:rsidR="00F41ECF" w:rsidRPr="000D1EAA">
        <w:rPr>
          <w:lang w:val="en-CA"/>
        </w:rPr>
        <w:t>dealing with extraordinary remedies.</w:t>
      </w:r>
    </w:p>
    <w:p w14:paraId="5F4FB11C" w14:textId="6A51932C" w:rsidR="00514E9A" w:rsidRPr="000D1EAA" w:rsidRDefault="00F41ECF" w:rsidP="00514E9A">
      <w:pPr>
        <w:pStyle w:val="Paragraphe"/>
        <w:spacing w:line="240" w:lineRule="auto"/>
        <w:rPr>
          <w:lang w:val="en-CA"/>
        </w:rPr>
      </w:pPr>
      <w:r w:rsidRPr="000D1EAA">
        <w:rPr>
          <w:lang w:val="en-CA"/>
        </w:rPr>
        <w:t xml:space="preserve">In </w:t>
      </w:r>
      <w:r w:rsidR="00E13D2C">
        <w:rPr>
          <w:lang w:val="en-CA"/>
        </w:rPr>
        <w:t>this</w:t>
      </w:r>
      <w:r w:rsidRPr="000D1EAA">
        <w:rPr>
          <w:lang w:val="en-CA"/>
        </w:rPr>
        <w:t xml:space="preserve"> case, the</w:t>
      </w:r>
      <w:r w:rsidR="003F7B75" w:rsidRPr="000D1EAA">
        <w:rPr>
          <w:lang w:val="en-CA"/>
        </w:rPr>
        <w:t xml:space="preserve"> </w:t>
      </w:r>
      <w:r w:rsidR="007D535C">
        <w:rPr>
          <w:lang w:val="en-CA"/>
        </w:rPr>
        <w:t>Court of Québec</w:t>
      </w:r>
      <w:r w:rsidR="00527128" w:rsidRPr="000D1EAA">
        <w:rPr>
          <w:lang w:val="en-CA"/>
        </w:rPr>
        <w:t xml:space="preserve"> </w:t>
      </w:r>
      <w:r w:rsidR="00AE12BE">
        <w:rPr>
          <w:lang w:val="en-CA"/>
        </w:rPr>
        <w:t xml:space="preserve">judge </w:t>
      </w:r>
      <w:r w:rsidR="007B0809" w:rsidRPr="000D1EAA">
        <w:rPr>
          <w:lang w:val="en-CA"/>
        </w:rPr>
        <w:t xml:space="preserve">convicted the </w:t>
      </w:r>
      <w:r w:rsidR="006463F8" w:rsidRPr="000D1EAA">
        <w:rPr>
          <w:lang w:val="en-CA"/>
        </w:rPr>
        <w:t>appellant</w:t>
      </w:r>
      <w:r w:rsidR="003F7B75" w:rsidRPr="000D1EAA">
        <w:rPr>
          <w:lang w:val="en-CA"/>
        </w:rPr>
        <w:t xml:space="preserve"> </w:t>
      </w:r>
      <w:r w:rsidR="007B0809" w:rsidRPr="000D1EAA">
        <w:rPr>
          <w:lang w:val="en-CA"/>
        </w:rPr>
        <w:t xml:space="preserve">on the first </w:t>
      </w:r>
      <w:r w:rsidR="00162ABB">
        <w:rPr>
          <w:lang w:val="en-CA"/>
        </w:rPr>
        <w:t>count</w:t>
      </w:r>
      <w:r w:rsidR="002150D4">
        <w:rPr>
          <w:lang w:val="en-CA"/>
        </w:rPr>
        <w:t>,</w:t>
      </w:r>
      <w:r w:rsidR="007B0809" w:rsidRPr="000D1EAA">
        <w:rPr>
          <w:lang w:val="en-CA"/>
        </w:rPr>
        <w:t xml:space="preserve"> whereas he could not do so </w:t>
      </w:r>
      <w:r w:rsidR="00AE12BE">
        <w:rPr>
          <w:lang w:val="en-CA"/>
        </w:rPr>
        <w:t>until</w:t>
      </w:r>
      <w:r w:rsidR="007B0809" w:rsidRPr="000D1EAA">
        <w:rPr>
          <w:lang w:val="en-CA"/>
        </w:rPr>
        <w:t xml:space="preserve"> a </w:t>
      </w:r>
      <w:r w:rsidR="003F7B75" w:rsidRPr="000D1EAA">
        <w:rPr>
          <w:lang w:val="en-CA"/>
        </w:rPr>
        <w:t xml:space="preserve">verdict </w:t>
      </w:r>
      <w:r w:rsidR="007B0809" w:rsidRPr="000D1EAA">
        <w:rPr>
          <w:lang w:val="en-CA"/>
        </w:rPr>
        <w:t xml:space="preserve">had been </w:t>
      </w:r>
      <w:r w:rsidR="00AE12BE">
        <w:rPr>
          <w:lang w:val="en-CA"/>
        </w:rPr>
        <w:t>rendered</w:t>
      </w:r>
      <w:r w:rsidR="007B0809" w:rsidRPr="000D1EAA">
        <w:rPr>
          <w:lang w:val="en-CA"/>
        </w:rPr>
        <w:t xml:space="preserve"> </w:t>
      </w:r>
      <w:r w:rsidR="00AE12BE">
        <w:rPr>
          <w:lang w:val="en-CA"/>
        </w:rPr>
        <w:t>on</w:t>
      </w:r>
      <w:r w:rsidR="007B0809" w:rsidRPr="000D1EAA">
        <w:rPr>
          <w:lang w:val="en-CA"/>
        </w:rPr>
        <w:t xml:space="preserve"> the second </w:t>
      </w:r>
      <w:r w:rsidR="00162ABB">
        <w:rPr>
          <w:lang w:val="en-CA"/>
        </w:rPr>
        <w:t>count</w:t>
      </w:r>
      <w:r w:rsidR="007B0809" w:rsidRPr="000D1EAA">
        <w:rPr>
          <w:lang w:val="en-CA"/>
        </w:rPr>
        <w:t xml:space="preserve">. This is a </w:t>
      </w:r>
      <w:r w:rsidR="006A3341" w:rsidRPr="000D1EAA">
        <w:rPr>
          <w:lang w:val="en-CA"/>
        </w:rPr>
        <w:t xml:space="preserve">classic </w:t>
      </w:r>
      <w:r w:rsidR="007B0809" w:rsidRPr="000D1EAA">
        <w:rPr>
          <w:lang w:val="en-CA"/>
        </w:rPr>
        <w:t xml:space="preserve">case of </w:t>
      </w:r>
      <w:r w:rsidR="003F7B75" w:rsidRPr="000D1EAA">
        <w:rPr>
          <w:lang w:val="en-CA"/>
        </w:rPr>
        <w:t>exc</w:t>
      </w:r>
      <w:r w:rsidR="006A3341" w:rsidRPr="000D1EAA">
        <w:rPr>
          <w:lang w:val="en-CA"/>
        </w:rPr>
        <w:t xml:space="preserve">ess of jurisdiction. The remedy of </w:t>
      </w:r>
      <w:r w:rsidR="003F7B75" w:rsidRPr="000D1EAA">
        <w:rPr>
          <w:i/>
          <w:lang w:val="en-CA"/>
        </w:rPr>
        <w:t>certiorari</w:t>
      </w:r>
      <w:r w:rsidR="003F7B75" w:rsidRPr="000D1EAA">
        <w:rPr>
          <w:lang w:val="en-CA"/>
        </w:rPr>
        <w:t xml:space="preserve"> </w:t>
      </w:r>
      <w:r w:rsidR="006A3341" w:rsidRPr="000D1EAA">
        <w:rPr>
          <w:lang w:val="en-CA"/>
        </w:rPr>
        <w:t xml:space="preserve">was therefore </w:t>
      </w:r>
      <w:r w:rsidR="00162ABB">
        <w:rPr>
          <w:lang w:val="en-CA"/>
        </w:rPr>
        <w:t xml:space="preserve">available </w:t>
      </w:r>
      <w:r w:rsidR="006A3341" w:rsidRPr="000D1EAA">
        <w:rPr>
          <w:lang w:val="en-CA"/>
        </w:rPr>
        <w:t xml:space="preserve">to the </w:t>
      </w:r>
      <w:r w:rsidR="00367215">
        <w:rPr>
          <w:lang w:val="en-CA"/>
        </w:rPr>
        <w:t>Crown</w:t>
      </w:r>
      <w:r w:rsidR="006A3341" w:rsidRPr="000D1EAA">
        <w:rPr>
          <w:lang w:val="en-CA"/>
        </w:rPr>
        <w:t>.</w:t>
      </w:r>
    </w:p>
    <w:p w14:paraId="0F4A65D4" w14:textId="5AC3AB26" w:rsidR="00514E9A" w:rsidRPr="000D1EAA" w:rsidRDefault="006A3341" w:rsidP="00514E9A">
      <w:pPr>
        <w:pStyle w:val="Paragraphe"/>
        <w:spacing w:line="240" w:lineRule="auto"/>
        <w:rPr>
          <w:lang w:val="en-CA"/>
        </w:rPr>
      </w:pPr>
      <w:r w:rsidRPr="000D1EAA">
        <w:rPr>
          <w:lang w:val="en-CA"/>
        </w:rPr>
        <w:t>However, like mo</w:t>
      </w:r>
      <w:r w:rsidR="00E13D2C">
        <w:rPr>
          <w:lang w:val="en-CA"/>
        </w:rPr>
        <w:t>st</w:t>
      </w:r>
      <w:r w:rsidRPr="000D1EAA">
        <w:rPr>
          <w:lang w:val="en-CA"/>
        </w:rPr>
        <w:t xml:space="preserve"> of the extraordinary remedies at </w:t>
      </w:r>
      <w:r w:rsidR="003F7B75" w:rsidRPr="000D1EAA">
        <w:rPr>
          <w:iCs/>
          <w:lang w:val="en-CA"/>
        </w:rPr>
        <w:t>common law</w:t>
      </w:r>
      <w:r w:rsidR="003F7B75" w:rsidRPr="000D1EAA">
        <w:rPr>
          <w:lang w:val="en-CA"/>
        </w:rPr>
        <w:t xml:space="preserve">, </w:t>
      </w:r>
      <w:r w:rsidRPr="000D1EAA">
        <w:rPr>
          <w:lang w:val="en-CA"/>
        </w:rPr>
        <w:t xml:space="preserve">this remedy </w:t>
      </w:r>
      <w:r w:rsidR="00E13D2C">
        <w:rPr>
          <w:lang w:val="en-CA"/>
        </w:rPr>
        <w:t xml:space="preserve">is </w:t>
      </w:r>
      <w:r w:rsidRPr="000D1EAA">
        <w:rPr>
          <w:lang w:val="en-CA"/>
        </w:rPr>
        <w:t xml:space="preserve">exercised at the </w:t>
      </w:r>
      <w:r w:rsidR="003F7B75" w:rsidRPr="000D1EAA">
        <w:rPr>
          <w:lang w:val="en-CA"/>
        </w:rPr>
        <w:t>discr</w:t>
      </w:r>
      <w:r w:rsidRPr="000D1EAA">
        <w:rPr>
          <w:lang w:val="en-CA"/>
        </w:rPr>
        <w:t>e</w:t>
      </w:r>
      <w:r w:rsidR="003F7B75" w:rsidRPr="000D1EAA">
        <w:rPr>
          <w:lang w:val="en-CA"/>
        </w:rPr>
        <w:t xml:space="preserve">tion </w:t>
      </w:r>
      <w:r w:rsidRPr="000D1EAA">
        <w:rPr>
          <w:lang w:val="en-CA"/>
        </w:rPr>
        <w:t xml:space="preserve">of the Superior Court, which may therefore refuse to be seized of a case by way of </w:t>
      </w:r>
      <w:r w:rsidR="003F7B75" w:rsidRPr="000D1EAA">
        <w:rPr>
          <w:i/>
          <w:lang w:val="en-CA"/>
        </w:rPr>
        <w:t>certiorari</w:t>
      </w:r>
      <w:r w:rsidR="003F7B75" w:rsidRPr="000D1EAA">
        <w:rPr>
          <w:lang w:val="en-CA"/>
        </w:rPr>
        <w:t xml:space="preserve"> </w:t>
      </w:r>
      <w:r w:rsidRPr="000D1EAA">
        <w:rPr>
          <w:lang w:val="en-CA"/>
        </w:rPr>
        <w:t xml:space="preserve">when another </w:t>
      </w:r>
      <w:r w:rsidR="00E13D2C">
        <w:rPr>
          <w:lang w:val="en-CA"/>
        </w:rPr>
        <w:t>effective</w:t>
      </w:r>
      <w:r w:rsidRPr="000D1EAA">
        <w:rPr>
          <w:lang w:val="en-CA"/>
        </w:rPr>
        <w:t xml:space="preserve"> remedy, such as </w:t>
      </w:r>
      <w:r w:rsidR="00E13D2C">
        <w:rPr>
          <w:lang w:val="en-CA"/>
        </w:rPr>
        <w:t xml:space="preserve">an </w:t>
      </w:r>
      <w:r w:rsidRPr="000D1EAA">
        <w:rPr>
          <w:lang w:val="en-CA"/>
        </w:rPr>
        <w:t>appeal</w:t>
      </w:r>
      <w:r w:rsidR="00E13D2C">
        <w:rPr>
          <w:lang w:val="en-CA"/>
        </w:rPr>
        <w:t>, is provided by law</w:t>
      </w:r>
      <w:r w:rsidRPr="000D1EAA">
        <w:rPr>
          <w:lang w:val="en-CA"/>
        </w:rPr>
        <w:t>. Furthermore, this rule is partially codified and reinforced by s</w:t>
      </w:r>
      <w:r w:rsidR="002738D6">
        <w:rPr>
          <w:lang w:val="en-CA"/>
        </w:rPr>
        <w:t>.</w:t>
      </w:r>
      <w:r w:rsidR="003F7B75" w:rsidRPr="000D1EAA">
        <w:rPr>
          <w:lang w:val="en-CA"/>
        </w:rPr>
        <w:t xml:space="preserve"> 776 </w:t>
      </w:r>
      <w:r w:rsidR="00FF7CA0" w:rsidRPr="00FF7CA0">
        <w:rPr>
          <w:i/>
          <w:iCs/>
          <w:lang w:val="en-CA"/>
        </w:rPr>
        <w:t>Cr.</w:t>
      </w:r>
      <w:r w:rsidR="00B00106">
        <w:rPr>
          <w:i/>
          <w:iCs/>
          <w:lang w:val="en-CA"/>
        </w:rPr>
        <w:t> </w:t>
      </w:r>
      <w:r w:rsidR="00FF7CA0" w:rsidRPr="00FF7CA0">
        <w:rPr>
          <w:i/>
          <w:iCs/>
          <w:lang w:val="en-CA"/>
        </w:rPr>
        <w:t>C</w:t>
      </w:r>
      <w:r w:rsidR="004119A7" w:rsidRPr="002738D6">
        <w:rPr>
          <w:i/>
          <w:iCs/>
          <w:lang w:val="en-CA"/>
        </w:rPr>
        <w:t>.</w:t>
      </w:r>
      <w:r w:rsidR="003F7B75" w:rsidRPr="000D1EAA">
        <w:rPr>
          <w:lang w:val="en-CA"/>
        </w:rPr>
        <w:t xml:space="preserve">, </w:t>
      </w:r>
      <w:r w:rsidR="003C0518" w:rsidRPr="000D1EAA">
        <w:rPr>
          <w:lang w:val="en-CA"/>
        </w:rPr>
        <w:t xml:space="preserve">which </w:t>
      </w:r>
      <w:r w:rsidR="002150D4">
        <w:rPr>
          <w:lang w:val="en-CA"/>
        </w:rPr>
        <w:t xml:space="preserve">provides </w:t>
      </w:r>
      <w:r w:rsidR="003C0518" w:rsidRPr="000D1EAA">
        <w:rPr>
          <w:lang w:val="en-CA"/>
        </w:rPr>
        <w:t xml:space="preserve">that the Superior Court must </w:t>
      </w:r>
      <w:r w:rsidR="00DB22A4" w:rsidRPr="00DB22A4">
        <w:rPr>
          <w:lang w:val="en-CA"/>
        </w:rPr>
        <w:t xml:space="preserve">divest itself of </w:t>
      </w:r>
      <w:r w:rsidR="003F7B75" w:rsidRPr="00DB22A4">
        <w:rPr>
          <w:i/>
          <w:lang w:val="en-CA"/>
        </w:rPr>
        <w:t xml:space="preserve">certiorari </w:t>
      </w:r>
      <w:r w:rsidR="00DB22A4" w:rsidRPr="00DB22A4">
        <w:rPr>
          <w:iCs/>
          <w:lang w:val="en-CA"/>
        </w:rPr>
        <w:t xml:space="preserve">in the </w:t>
      </w:r>
      <w:r w:rsidR="00A16BC7">
        <w:rPr>
          <w:iCs/>
          <w:lang w:val="en-CA"/>
        </w:rPr>
        <w:t>scenarios described</w:t>
      </w:r>
      <w:r w:rsidR="003F7B75" w:rsidRPr="00DB22A4">
        <w:rPr>
          <w:lang w:val="en-CA"/>
        </w:rPr>
        <w:t xml:space="preserve">, </w:t>
      </w:r>
      <w:r w:rsidR="00DB22A4">
        <w:rPr>
          <w:lang w:val="en-CA"/>
        </w:rPr>
        <w:t xml:space="preserve">namely where an appeal </w:t>
      </w:r>
      <w:r w:rsidR="00FE716D">
        <w:rPr>
          <w:lang w:val="en-CA"/>
        </w:rPr>
        <w:t xml:space="preserve">was </w:t>
      </w:r>
      <w:r w:rsidR="00DB22A4">
        <w:rPr>
          <w:lang w:val="en-CA"/>
        </w:rPr>
        <w:t xml:space="preserve">actually taken or where the </w:t>
      </w:r>
      <w:r w:rsidR="00407772" w:rsidRPr="000D1EAA">
        <w:rPr>
          <w:lang w:val="en-CA"/>
        </w:rPr>
        <w:t xml:space="preserve">defendant could have appealed, thereby limiting the judicial </w:t>
      </w:r>
      <w:r w:rsidR="003F7B75" w:rsidRPr="000D1EAA">
        <w:rPr>
          <w:lang w:val="en-CA"/>
        </w:rPr>
        <w:t>discr</w:t>
      </w:r>
      <w:r w:rsidR="00407772" w:rsidRPr="000D1EAA">
        <w:rPr>
          <w:lang w:val="en-CA"/>
        </w:rPr>
        <w:t>e</w:t>
      </w:r>
      <w:r w:rsidR="003F7B75" w:rsidRPr="000D1EAA">
        <w:rPr>
          <w:lang w:val="en-CA"/>
        </w:rPr>
        <w:t xml:space="preserve">tion </w:t>
      </w:r>
      <w:r w:rsidR="00407772" w:rsidRPr="000D1EAA">
        <w:rPr>
          <w:lang w:val="en-CA"/>
        </w:rPr>
        <w:t>of the Superior Court</w:t>
      </w:r>
      <w:r w:rsidR="003F7B75" w:rsidRPr="000D1EAA">
        <w:rPr>
          <w:lang w:val="en-CA"/>
        </w:rPr>
        <w:t xml:space="preserve"> </w:t>
      </w:r>
      <w:r w:rsidR="00407772" w:rsidRPr="000D1EAA">
        <w:rPr>
          <w:lang w:val="en-CA"/>
        </w:rPr>
        <w:t>in such cases. I will return to this.</w:t>
      </w:r>
    </w:p>
    <w:p w14:paraId="343123A6" w14:textId="268C60D2" w:rsidR="00514E9A" w:rsidRPr="000D1EAA" w:rsidRDefault="003C77C5" w:rsidP="00514E9A">
      <w:pPr>
        <w:pStyle w:val="Paragraphe"/>
        <w:spacing w:line="240" w:lineRule="auto"/>
        <w:rPr>
          <w:lang w:val="en-CA"/>
        </w:rPr>
      </w:pPr>
      <w:r w:rsidRPr="000D1EAA">
        <w:rPr>
          <w:lang w:val="en-CA"/>
        </w:rPr>
        <w:t>Since t</w:t>
      </w:r>
      <w:r w:rsidR="001842CF" w:rsidRPr="000D1EAA">
        <w:rPr>
          <w:lang w:val="en-CA"/>
        </w:rPr>
        <w:t xml:space="preserve">he </w:t>
      </w:r>
      <w:r w:rsidR="00B30D1E" w:rsidRPr="000D1EAA">
        <w:rPr>
          <w:lang w:val="en-CA"/>
        </w:rPr>
        <w:t>charge</w:t>
      </w:r>
      <w:r w:rsidRPr="000D1EAA">
        <w:rPr>
          <w:lang w:val="en-CA"/>
        </w:rPr>
        <w:t>s</w:t>
      </w:r>
      <w:r w:rsidR="00B30D1E" w:rsidRPr="000D1EAA">
        <w:rPr>
          <w:lang w:val="en-CA"/>
        </w:rPr>
        <w:t xml:space="preserve"> in </w:t>
      </w:r>
      <w:r w:rsidR="00FE716D">
        <w:rPr>
          <w:lang w:val="en-CA"/>
        </w:rPr>
        <w:t xml:space="preserve">this </w:t>
      </w:r>
      <w:r w:rsidR="00B30D1E" w:rsidRPr="000D1EAA">
        <w:rPr>
          <w:lang w:val="en-CA"/>
        </w:rPr>
        <w:t>case</w:t>
      </w:r>
      <w:r w:rsidRPr="000D1EAA">
        <w:rPr>
          <w:lang w:val="en-CA"/>
        </w:rPr>
        <w:t xml:space="preserve"> </w:t>
      </w:r>
      <w:r w:rsidR="00DB22A4">
        <w:rPr>
          <w:lang w:val="en-CA"/>
        </w:rPr>
        <w:t>were</w:t>
      </w:r>
      <w:r w:rsidRPr="000D1EAA">
        <w:rPr>
          <w:lang w:val="en-CA"/>
        </w:rPr>
        <w:t xml:space="preserve"> p</w:t>
      </w:r>
      <w:r w:rsidR="001D0DCB" w:rsidRPr="000D1EAA">
        <w:rPr>
          <w:lang w:val="en-CA"/>
        </w:rPr>
        <w:t>rosecuted</w:t>
      </w:r>
      <w:r w:rsidRPr="000D1EAA">
        <w:rPr>
          <w:lang w:val="en-CA"/>
        </w:rPr>
        <w:t xml:space="preserve"> by summary conviction, the circum</w:t>
      </w:r>
      <w:r w:rsidR="003F7B75" w:rsidRPr="000D1EAA">
        <w:rPr>
          <w:lang w:val="en-CA"/>
        </w:rPr>
        <w:t xml:space="preserve">stances </w:t>
      </w:r>
      <w:r w:rsidRPr="000D1EAA">
        <w:rPr>
          <w:lang w:val="en-CA"/>
        </w:rPr>
        <w:t xml:space="preserve">in which an appeal is </w:t>
      </w:r>
      <w:r w:rsidR="003F7B75" w:rsidRPr="000D1EAA">
        <w:rPr>
          <w:lang w:val="en-CA"/>
        </w:rPr>
        <w:t xml:space="preserve">possible </w:t>
      </w:r>
      <w:r w:rsidRPr="000D1EAA">
        <w:rPr>
          <w:lang w:val="en-CA"/>
        </w:rPr>
        <w:t xml:space="preserve">in such cases are codified in Part </w:t>
      </w:r>
      <w:r w:rsidR="003F7B75" w:rsidRPr="000D1EAA">
        <w:rPr>
          <w:lang w:val="en-CA"/>
        </w:rPr>
        <w:t xml:space="preserve">XXVII </w:t>
      </w:r>
      <w:r w:rsidRPr="000D1EAA">
        <w:rPr>
          <w:lang w:val="en-CA"/>
        </w:rPr>
        <w:t>of the</w:t>
      </w:r>
      <w:r w:rsidR="003F7B75" w:rsidRPr="000D1EAA">
        <w:rPr>
          <w:lang w:val="en-CA"/>
        </w:rPr>
        <w:t xml:space="preserve"> </w:t>
      </w:r>
      <w:r w:rsidR="005F5E2E" w:rsidRPr="000D1EAA">
        <w:rPr>
          <w:i/>
          <w:lang w:val="en-CA"/>
        </w:rPr>
        <w:t>Criminal Code</w:t>
      </w:r>
      <w:r w:rsidR="003F7B75" w:rsidRPr="000D1EAA">
        <w:rPr>
          <w:lang w:val="en-CA"/>
        </w:rPr>
        <w:t xml:space="preserve">, </w:t>
      </w:r>
      <w:r w:rsidR="00857397" w:rsidRPr="000D1EAA">
        <w:rPr>
          <w:lang w:val="en-CA"/>
        </w:rPr>
        <w:t>more specifically in s</w:t>
      </w:r>
      <w:r w:rsidR="00DB22A4">
        <w:rPr>
          <w:lang w:val="en-CA"/>
        </w:rPr>
        <w:t>s.</w:t>
      </w:r>
      <w:r w:rsidR="003F7B75" w:rsidRPr="000D1EAA">
        <w:rPr>
          <w:lang w:val="en-CA"/>
        </w:rPr>
        <w:t xml:space="preserve"> 813 </w:t>
      </w:r>
      <w:r w:rsidR="00857397" w:rsidRPr="000D1EAA">
        <w:rPr>
          <w:lang w:val="en-CA"/>
        </w:rPr>
        <w:t xml:space="preserve">and </w:t>
      </w:r>
      <w:r w:rsidR="003F7B75" w:rsidRPr="000D1EAA">
        <w:rPr>
          <w:lang w:val="en-CA"/>
        </w:rPr>
        <w:t xml:space="preserve">830(1) </w:t>
      </w:r>
      <w:r w:rsidR="00FF7CA0" w:rsidRPr="00FF7CA0">
        <w:rPr>
          <w:i/>
          <w:iCs/>
          <w:lang w:val="en-CA"/>
        </w:rPr>
        <w:t>Cr. C</w:t>
      </w:r>
      <w:r w:rsidR="004119A7" w:rsidRPr="002738D6">
        <w:rPr>
          <w:i/>
          <w:iCs/>
          <w:lang w:val="en-CA"/>
        </w:rPr>
        <w:t>.</w:t>
      </w:r>
      <w:r w:rsidR="003F7B75" w:rsidRPr="000D1EAA">
        <w:rPr>
          <w:lang w:val="en-CA"/>
        </w:rPr>
        <w:t xml:space="preserve"> </w:t>
      </w:r>
    </w:p>
    <w:p w14:paraId="5C316288" w14:textId="345C3747" w:rsidR="00514E9A" w:rsidRPr="000D1EAA" w:rsidRDefault="001D0DCB" w:rsidP="00514E9A">
      <w:pPr>
        <w:pStyle w:val="Paragraphe"/>
        <w:spacing w:line="240" w:lineRule="auto"/>
        <w:rPr>
          <w:lang w:val="en-CA"/>
        </w:rPr>
      </w:pPr>
      <w:r w:rsidRPr="000D1EAA">
        <w:rPr>
          <w:lang w:val="en-CA"/>
        </w:rPr>
        <w:t xml:space="preserve">The appeal </w:t>
      </w:r>
      <w:r w:rsidR="00590239">
        <w:rPr>
          <w:lang w:val="en-CA"/>
        </w:rPr>
        <w:t>under s.</w:t>
      </w:r>
      <w:r w:rsidR="003F7B75" w:rsidRPr="000D1EAA">
        <w:rPr>
          <w:lang w:val="en-CA"/>
        </w:rPr>
        <w:t xml:space="preserve"> 813 </w:t>
      </w:r>
      <w:r w:rsidR="00FF7CA0" w:rsidRPr="00FF7CA0">
        <w:rPr>
          <w:i/>
          <w:iCs/>
          <w:lang w:val="en-CA"/>
        </w:rPr>
        <w:t>Cr. C</w:t>
      </w:r>
      <w:r w:rsidR="004119A7" w:rsidRPr="00590239">
        <w:rPr>
          <w:i/>
          <w:iCs/>
          <w:lang w:val="en-CA"/>
        </w:rPr>
        <w:t>.</w:t>
      </w:r>
      <w:r w:rsidR="003F7B75" w:rsidRPr="000D1EAA">
        <w:rPr>
          <w:lang w:val="en-CA"/>
        </w:rPr>
        <w:t xml:space="preserve"> </w:t>
      </w:r>
      <w:r w:rsidRPr="000D1EAA">
        <w:rPr>
          <w:lang w:val="en-CA"/>
        </w:rPr>
        <w:t xml:space="preserve">does not apply </w:t>
      </w:r>
      <w:r w:rsidR="00590239">
        <w:rPr>
          <w:lang w:val="en-CA"/>
        </w:rPr>
        <w:t>here</w:t>
      </w:r>
      <w:r w:rsidRPr="000D1EAA">
        <w:rPr>
          <w:lang w:val="en-CA"/>
        </w:rPr>
        <w:t xml:space="preserve"> given that the appeal is </w:t>
      </w:r>
      <w:r w:rsidR="00DB22A4">
        <w:rPr>
          <w:lang w:val="en-CA"/>
        </w:rPr>
        <w:t xml:space="preserve">available </w:t>
      </w:r>
      <w:r w:rsidRPr="000D1EAA">
        <w:rPr>
          <w:lang w:val="en-CA"/>
        </w:rPr>
        <w:t xml:space="preserve">to </w:t>
      </w:r>
      <w:r w:rsidR="00DB22A4">
        <w:rPr>
          <w:lang w:val="en-CA"/>
        </w:rPr>
        <w:t xml:space="preserve">the </w:t>
      </w:r>
      <w:r w:rsidRPr="000D1EAA">
        <w:rPr>
          <w:lang w:val="en-CA"/>
        </w:rPr>
        <w:t xml:space="preserve">prosecution only </w:t>
      </w:r>
      <w:r w:rsidR="004A6172">
        <w:rPr>
          <w:lang w:val="en-CA"/>
        </w:rPr>
        <w:t>from an order that stays proceedings on an information or dismisses an information, against sentence</w:t>
      </w:r>
      <w:r w:rsidR="00CC0D19">
        <w:rPr>
          <w:lang w:val="en-CA"/>
        </w:rPr>
        <w:t>,</w:t>
      </w:r>
      <w:r w:rsidR="004A6172">
        <w:rPr>
          <w:lang w:val="en-CA"/>
        </w:rPr>
        <w:t xml:space="preserve"> or against </w:t>
      </w:r>
      <w:r w:rsidRPr="000D1EAA">
        <w:rPr>
          <w:lang w:val="en-CA"/>
        </w:rPr>
        <w:t xml:space="preserve">a </w:t>
      </w:r>
      <w:r w:rsidR="003F7B75" w:rsidRPr="000D1EAA">
        <w:rPr>
          <w:lang w:val="en-CA"/>
        </w:rPr>
        <w:t xml:space="preserve">verdict </w:t>
      </w:r>
      <w:r w:rsidRPr="000D1EAA">
        <w:rPr>
          <w:lang w:val="en-CA"/>
        </w:rPr>
        <w:t>of unfit to stand trial or not criminally responsible on account of mental disorder</w:t>
      </w:r>
      <w:r w:rsidR="003F7B75" w:rsidRPr="000D1EAA">
        <w:rPr>
          <w:lang w:val="en-CA"/>
        </w:rPr>
        <w:t xml:space="preserve">. </w:t>
      </w:r>
      <w:r w:rsidRPr="000D1EAA">
        <w:rPr>
          <w:lang w:val="en-CA"/>
        </w:rPr>
        <w:t xml:space="preserve">The judgment of the </w:t>
      </w:r>
      <w:r w:rsidR="007D535C">
        <w:rPr>
          <w:lang w:val="en-CA"/>
        </w:rPr>
        <w:t>Court of Québec</w:t>
      </w:r>
      <w:r w:rsidR="003F7B75" w:rsidRPr="000D1EAA">
        <w:rPr>
          <w:lang w:val="en-CA"/>
        </w:rPr>
        <w:t xml:space="preserve"> </w:t>
      </w:r>
      <w:r w:rsidRPr="000D1EAA">
        <w:rPr>
          <w:lang w:val="en-CA"/>
        </w:rPr>
        <w:t xml:space="preserve">in this </w:t>
      </w:r>
      <w:r w:rsidR="00CC0D19">
        <w:rPr>
          <w:lang w:val="en-CA"/>
        </w:rPr>
        <w:t>case</w:t>
      </w:r>
      <w:r w:rsidR="00CC0D19" w:rsidRPr="000D1EAA">
        <w:rPr>
          <w:lang w:val="en-CA"/>
        </w:rPr>
        <w:t xml:space="preserve"> </w:t>
      </w:r>
      <w:r w:rsidRPr="000D1EAA">
        <w:rPr>
          <w:lang w:val="en-CA"/>
        </w:rPr>
        <w:t>is not among these</w:t>
      </w:r>
      <w:r w:rsidR="00DF2DD0">
        <w:rPr>
          <w:lang w:val="en-CA"/>
        </w:rPr>
        <w:t xml:space="preserve"> scenario</w:t>
      </w:r>
      <w:r w:rsidR="005836B3">
        <w:rPr>
          <w:lang w:val="en-CA"/>
        </w:rPr>
        <w:t>s</w:t>
      </w:r>
      <w:r w:rsidR="003F7B75" w:rsidRPr="000D1EAA">
        <w:rPr>
          <w:lang w:val="en-CA"/>
        </w:rPr>
        <w:t xml:space="preserve">. </w:t>
      </w:r>
      <w:r w:rsidRPr="000D1EAA">
        <w:rPr>
          <w:lang w:val="en-CA"/>
        </w:rPr>
        <w:t xml:space="preserve">Rather, </w:t>
      </w:r>
      <w:r w:rsidR="00CC0D19">
        <w:rPr>
          <w:lang w:val="en-CA"/>
        </w:rPr>
        <w:t xml:space="preserve">in a case like the one before us, an appeal is permitted under </w:t>
      </w:r>
      <w:r w:rsidRPr="000D1EAA">
        <w:rPr>
          <w:lang w:val="en-CA"/>
        </w:rPr>
        <w:t>s</w:t>
      </w:r>
      <w:r w:rsidR="005836B3">
        <w:rPr>
          <w:lang w:val="en-CA"/>
        </w:rPr>
        <w:t>.</w:t>
      </w:r>
      <w:r w:rsidR="00CC0D19">
        <w:rPr>
          <w:lang w:val="en-CA"/>
        </w:rPr>
        <w:t xml:space="preserve"> </w:t>
      </w:r>
      <w:r w:rsidR="003F7B75" w:rsidRPr="000D1EAA">
        <w:rPr>
          <w:lang w:val="en-CA"/>
        </w:rPr>
        <w:t xml:space="preserve">830(1) </w:t>
      </w:r>
      <w:r w:rsidR="00FF7CA0" w:rsidRPr="00FF7CA0">
        <w:rPr>
          <w:i/>
          <w:iCs/>
          <w:lang w:val="en-CA"/>
        </w:rPr>
        <w:t>Cr. C</w:t>
      </w:r>
      <w:r w:rsidR="004119A7" w:rsidRPr="004119A7">
        <w:rPr>
          <w:lang w:val="en-CA"/>
        </w:rPr>
        <w:t>.</w:t>
      </w:r>
      <w:r w:rsidR="003F7B75" w:rsidRPr="000D1EAA">
        <w:rPr>
          <w:rFonts w:cs="Arial"/>
          <w:color w:val="333333"/>
          <w:sz w:val="22"/>
          <w:szCs w:val="22"/>
          <w:lang w:val="en-CA" w:eastAsia="fr-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D63CA8" w:rsidRPr="00D63CA8" w14:paraId="3DE741EF" w14:textId="77777777">
        <w:tc>
          <w:tcPr>
            <w:tcW w:w="4676" w:type="dxa"/>
          </w:tcPr>
          <w:p w14:paraId="133D7436" w14:textId="554DF9AD" w:rsidR="00D63CA8" w:rsidRPr="00874109" w:rsidRDefault="00D63CA8" w:rsidP="00D63CA8">
            <w:pPr>
              <w:shd w:val="clear" w:color="auto" w:fill="FFFFFF"/>
              <w:spacing w:before="120" w:line="240" w:lineRule="auto"/>
              <w:ind w:left="680" w:right="113"/>
              <w:jc w:val="both"/>
              <w:rPr>
                <w:rFonts w:cs="Arial"/>
                <w:b/>
                <w:bCs/>
                <w:sz w:val="22"/>
                <w:szCs w:val="22"/>
                <w:lang w:val="en-CA" w:eastAsia="fr-CA"/>
              </w:rPr>
            </w:pPr>
            <w:r w:rsidRPr="00D63CA8">
              <w:rPr>
                <w:rFonts w:cs="Arial"/>
                <w:b/>
                <w:bCs/>
                <w:sz w:val="22"/>
                <w:szCs w:val="22"/>
                <w:lang w:val="en-CA" w:eastAsia="fr-CA"/>
              </w:rPr>
              <w:t>830</w:t>
            </w:r>
            <w:r w:rsidRPr="00D63CA8">
              <w:rPr>
                <w:rFonts w:cs="Arial"/>
                <w:sz w:val="22"/>
                <w:szCs w:val="22"/>
                <w:lang w:val="en-CA" w:eastAsia="fr-CA"/>
              </w:rPr>
              <w:t> </w:t>
            </w:r>
            <w:r w:rsidRPr="00D63CA8">
              <w:rPr>
                <w:rFonts w:cs="Arial"/>
                <w:b/>
                <w:bCs/>
                <w:sz w:val="22"/>
                <w:szCs w:val="22"/>
                <w:lang w:val="en-CA" w:eastAsia="fr-CA"/>
              </w:rPr>
              <w:t>(1)</w:t>
            </w:r>
            <w:r w:rsidRPr="00D63CA8">
              <w:rPr>
                <w:rFonts w:cs="Arial"/>
                <w:sz w:val="22"/>
                <w:szCs w:val="22"/>
                <w:lang w:val="en-CA" w:eastAsia="fr-CA"/>
              </w:rPr>
              <w:t xml:space="preserve"> A party to proceedings to which this Part applies or the Attorney General may appeal against a conviction, judgment, verdict of acquittal or verdict of not criminally responsible on account of mental disorder or of unfit to stand trial or other final order or determination of a </w:t>
            </w:r>
            <w:r w:rsidRPr="00D63CA8">
              <w:rPr>
                <w:rFonts w:cs="Arial"/>
                <w:sz w:val="22"/>
                <w:szCs w:val="22"/>
                <w:lang w:val="en-CA" w:eastAsia="fr-CA"/>
              </w:rPr>
              <w:lastRenderedPageBreak/>
              <w:t>summary conviction court on the ground that</w:t>
            </w:r>
          </w:p>
        </w:tc>
        <w:tc>
          <w:tcPr>
            <w:tcW w:w="4676" w:type="dxa"/>
          </w:tcPr>
          <w:p w14:paraId="6D9DE354" w14:textId="70C3666E" w:rsidR="00D63CA8" w:rsidRPr="00D63CA8" w:rsidRDefault="00D63CA8" w:rsidP="00D63CA8">
            <w:pPr>
              <w:shd w:val="clear" w:color="auto" w:fill="FFFFFF"/>
              <w:spacing w:before="120" w:line="240" w:lineRule="auto"/>
              <w:ind w:left="680" w:right="113"/>
              <w:jc w:val="both"/>
              <w:rPr>
                <w:rFonts w:cs="Arial"/>
                <w:color w:val="333333"/>
                <w:sz w:val="22"/>
                <w:szCs w:val="22"/>
                <w:lang w:eastAsia="fr-CA"/>
              </w:rPr>
            </w:pPr>
            <w:r w:rsidRPr="00D63CA8">
              <w:rPr>
                <w:rFonts w:cs="Arial"/>
                <w:b/>
                <w:bCs/>
                <w:sz w:val="22"/>
                <w:szCs w:val="22"/>
                <w:lang w:eastAsia="fr-CA"/>
              </w:rPr>
              <w:lastRenderedPageBreak/>
              <w:t>830</w:t>
            </w:r>
            <w:r w:rsidRPr="00D63CA8">
              <w:rPr>
                <w:rFonts w:cs="Arial"/>
                <w:sz w:val="22"/>
                <w:szCs w:val="22"/>
                <w:lang w:eastAsia="fr-CA"/>
              </w:rPr>
              <w:t> </w:t>
            </w:r>
            <w:r w:rsidRPr="00D63CA8">
              <w:rPr>
                <w:rFonts w:cs="Arial"/>
                <w:b/>
                <w:bCs/>
                <w:sz w:val="22"/>
                <w:szCs w:val="22"/>
                <w:lang w:eastAsia="fr-CA"/>
              </w:rPr>
              <w:t>(1)</w:t>
            </w:r>
            <w:r w:rsidRPr="00D63CA8">
              <w:rPr>
                <w:rFonts w:cs="Arial"/>
                <w:sz w:val="22"/>
                <w:szCs w:val="22"/>
                <w:lang w:eastAsia="fr-CA"/>
              </w:rPr>
              <w:t xml:space="preserve"> Une partie à des procédures que vise la présente partie ou le procureur général peut appeler d’une condamnation, d’un jugement ou verdict d’acquittement ou d’un verdict d’inaptitude à subir son procès ou de non-responsabilité criminelle pour cause de troubles mentaux ou d’une autre ordonnance ou décision </w:t>
            </w:r>
            <w:r w:rsidRPr="00D63CA8">
              <w:rPr>
                <w:rFonts w:cs="Arial"/>
                <w:sz w:val="22"/>
                <w:szCs w:val="22"/>
                <w:lang w:eastAsia="fr-CA"/>
              </w:rPr>
              <w:lastRenderedPageBreak/>
              <w:t>définitive d’une cour des poursuites sommaires, pour l’un des motifs suivants :</w:t>
            </w:r>
          </w:p>
        </w:tc>
      </w:tr>
      <w:tr w:rsidR="00D63CA8" w:rsidRPr="00D63CA8" w14:paraId="62986738" w14:textId="77777777">
        <w:tc>
          <w:tcPr>
            <w:tcW w:w="4676" w:type="dxa"/>
          </w:tcPr>
          <w:p w14:paraId="10EB97A1" w14:textId="2B7041D5" w:rsidR="00D63CA8" w:rsidRPr="00D63CA8" w:rsidRDefault="00D63CA8" w:rsidP="00D63CA8">
            <w:pPr>
              <w:shd w:val="clear" w:color="auto" w:fill="FFFFFF"/>
              <w:spacing w:before="120" w:line="240" w:lineRule="auto"/>
              <w:ind w:left="1134"/>
              <w:rPr>
                <w:rFonts w:cs="Arial"/>
                <w:b/>
                <w:bCs/>
                <w:sz w:val="22"/>
                <w:szCs w:val="22"/>
                <w:lang w:val="en-CA" w:eastAsia="fr-CA"/>
              </w:rPr>
            </w:pPr>
            <w:r w:rsidRPr="00D63CA8">
              <w:rPr>
                <w:rFonts w:cs="Arial"/>
                <w:b/>
                <w:bCs/>
                <w:sz w:val="22"/>
                <w:szCs w:val="22"/>
                <w:lang w:val="en-CA" w:eastAsia="fr-CA"/>
              </w:rPr>
              <w:lastRenderedPageBreak/>
              <w:t>(a)</w:t>
            </w:r>
            <w:r w:rsidRPr="00D63CA8">
              <w:rPr>
                <w:rFonts w:cs="Arial"/>
                <w:sz w:val="22"/>
                <w:szCs w:val="22"/>
                <w:lang w:val="en-CA" w:eastAsia="fr-CA"/>
              </w:rPr>
              <w:t> it is erroneous in point of law;</w:t>
            </w:r>
          </w:p>
        </w:tc>
        <w:tc>
          <w:tcPr>
            <w:tcW w:w="4676" w:type="dxa"/>
          </w:tcPr>
          <w:p w14:paraId="6BD943B1" w14:textId="37A004F9" w:rsidR="00D63CA8" w:rsidRPr="00D63CA8" w:rsidRDefault="00D63CA8" w:rsidP="00D63CA8">
            <w:pPr>
              <w:shd w:val="clear" w:color="auto" w:fill="FFFFFF"/>
              <w:spacing w:before="120" w:line="240" w:lineRule="auto"/>
              <w:ind w:left="1134"/>
              <w:rPr>
                <w:rFonts w:cs="Arial"/>
                <w:sz w:val="22"/>
                <w:szCs w:val="22"/>
                <w:lang w:val="en-CA" w:eastAsia="fr-CA"/>
              </w:rPr>
            </w:pPr>
            <w:r w:rsidRPr="00D63CA8">
              <w:rPr>
                <w:rFonts w:cs="Arial"/>
                <w:b/>
                <w:bCs/>
                <w:sz w:val="22"/>
                <w:szCs w:val="22"/>
                <w:lang w:val="en-CA" w:eastAsia="fr-CA"/>
              </w:rPr>
              <w:t>a)</w:t>
            </w:r>
            <w:r w:rsidRPr="00D63CA8">
              <w:rPr>
                <w:rFonts w:cs="Arial"/>
                <w:sz w:val="22"/>
                <w:szCs w:val="22"/>
                <w:lang w:val="en-CA" w:eastAsia="fr-CA"/>
              </w:rPr>
              <w:t> </w:t>
            </w:r>
            <w:proofErr w:type="spellStart"/>
            <w:r w:rsidRPr="00D63CA8">
              <w:rPr>
                <w:rFonts w:cs="Arial"/>
                <w:sz w:val="22"/>
                <w:szCs w:val="22"/>
                <w:lang w:val="en-CA" w:eastAsia="fr-CA"/>
              </w:rPr>
              <w:t>erreur</w:t>
            </w:r>
            <w:proofErr w:type="spellEnd"/>
            <w:r w:rsidRPr="00D63CA8">
              <w:rPr>
                <w:rFonts w:cs="Arial"/>
                <w:sz w:val="22"/>
                <w:szCs w:val="22"/>
                <w:lang w:val="en-CA" w:eastAsia="fr-CA"/>
              </w:rPr>
              <w:t xml:space="preserve"> de droit;</w:t>
            </w:r>
          </w:p>
        </w:tc>
      </w:tr>
      <w:tr w:rsidR="00D63CA8" w:rsidRPr="00D63CA8" w14:paraId="2BD09B8D" w14:textId="77777777">
        <w:tc>
          <w:tcPr>
            <w:tcW w:w="4676" w:type="dxa"/>
          </w:tcPr>
          <w:p w14:paraId="52EB2247" w14:textId="0C9A5602" w:rsidR="00D63CA8" w:rsidRPr="00D63CA8" w:rsidRDefault="00D63CA8" w:rsidP="00D63CA8">
            <w:pPr>
              <w:shd w:val="clear" w:color="auto" w:fill="FFFFFF"/>
              <w:spacing w:before="120" w:after="120" w:line="240" w:lineRule="auto"/>
              <w:ind w:left="1134"/>
              <w:rPr>
                <w:rFonts w:cs="Arial"/>
                <w:b/>
                <w:bCs/>
                <w:sz w:val="22"/>
                <w:szCs w:val="22"/>
                <w:lang w:val="en-CA" w:eastAsia="fr-CA"/>
              </w:rPr>
            </w:pPr>
            <w:r w:rsidRPr="00D63CA8">
              <w:rPr>
                <w:rFonts w:cs="Arial"/>
                <w:b/>
                <w:bCs/>
                <w:sz w:val="22"/>
                <w:szCs w:val="22"/>
                <w:lang w:val="en-CA" w:eastAsia="fr-CA"/>
              </w:rPr>
              <w:t>(b) </w:t>
            </w:r>
            <w:r w:rsidRPr="00D63CA8">
              <w:rPr>
                <w:rFonts w:cs="Arial"/>
                <w:bCs/>
                <w:sz w:val="22"/>
                <w:szCs w:val="22"/>
                <w:lang w:val="en-CA" w:eastAsia="fr-CA"/>
              </w:rPr>
              <w:t>it is in excess of jurisdiction; or</w:t>
            </w:r>
          </w:p>
        </w:tc>
        <w:tc>
          <w:tcPr>
            <w:tcW w:w="4676" w:type="dxa"/>
          </w:tcPr>
          <w:p w14:paraId="0BBCB70C" w14:textId="3924C6CB" w:rsidR="00D63CA8" w:rsidRPr="00D63CA8" w:rsidRDefault="00D63CA8" w:rsidP="00D63CA8">
            <w:pPr>
              <w:shd w:val="clear" w:color="auto" w:fill="FFFFFF"/>
              <w:spacing w:before="120" w:after="120" w:line="240" w:lineRule="auto"/>
              <w:ind w:left="1134"/>
              <w:rPr>
                <w:rFonts w:cs="Arial"/>
                <w:bCs/>
                <w:sz w:val="22"/>
                <w:szCs w:val="22"/>
                <w:lang w:val="en-CA" w:eastAsia="fr-CA"/>
              </w:rPr>
            </w:pPr>
            <w:r w:rsidRPr="00D63CA8">
              <w:rPr>
                <w:rFonts w:cs="Arial"/>
                <w:b/>
                <w:bCs/>
                <w:sz w:val="22"/>
                <w:szCs w:val="22"/>
                <w:lang w:val="en-CA" w:eastAsia="fr-CA"/>
              </w:rPr>
              <w:t>b) </w:t>
            </w:r>
            <w:proofErr w:type="spellStart"/>
            <w:r w:rsidRPr="00D63CA8">
              <w:rPr>
                <w:rFonts w:cs="Arial"/>
                <w:bCs/>
                <w:sz w:val="22"/>
                <w:szCs w:val="22"/>
                <w:lang w:val="en-CA" w:eastAsia="fr-CA"/>
              </w:rPr>
              <w:t>excès</w:t>
            </w:r>
            <w:proofErr w:type="spellEnd"/>
            <w:r w:rsidRPr="00D63CA8">
              <w:rPr>
                <w:rFonts w:cs="Arial"/>
                <w:bCs/>
                <w:sz w:val="22"/>
                <w:szCs w:val="22"/>
                <w:lang w:val="en-CA" w:eastAsia="fr-CA"/>
              </w:rPr>
              <w:t xml:space="preserve"> de </w:t>
            </w:r>
            <w:proofErr w:type="spellStart"/>
            <w:r w:rsidRPr="00D63CA8">
              <w:rPr>
                <w:rFonts w:cs="Arial"/>
                <w:bCs/>
                <w:sz w:val="22"/>
                <w:szCs w:val="22"/>
                <w:lang w:val="en-CA" w:eastAsia="fr-CA"/>
              </w:rPr>
              <w:t>compétence</w:t>
            </w:r>
            <w:proofErr w:type="spellEnd"/>
            <w:r w:rsidRPr="00D63CA8">
              <w:rPr>
                <w:rFonts w:cs="Arial"/>
                <w:bCs/>
                <w:sz w:val="22"/>
                <w:szCs w:val="22"/>
                <w:lang w:val="en-CA" w:eastAsia="fr-CA"/>
              </w:rPr>
              <w:t>;</w:t>
            </w:r>
          </w:p>
        </w:tc>
      </w:tr>
      <w:tr w:rsidR="00D63CA8" w:rsidRPr="00D63CA8" w14:paraId="061B7336" w14:textId="77777777">
        <w:tc>
          <w:tcPr>
            <w:tcW w:w="4676" w:type="dxa"/>
          </w:tcPr>
          <w:p w14:paraId="7EF63EE7" w14:textId="17E24519" w:rsidR="00D63CA8" w:rsidRPr="00874109" w:rsidRDefault="00D63CA8" w:rsidP="00D63CA8">
            <w:pPr>
              <w:shd w:val="clear" w:color="auto" w:fill="FFFFFF"/>
              <w:spacing w:before="120" w:line="240" w:lineRule="auto"/>
              <w:ind w:left="1134"/>
              <w:rPr>
                <w:rFonts w:cs="Arial"/>
                <w:b/>
                <w:bCs/>
                <w:sz w:val="22"/>
                <w:szCs w:val="22"/>
                <w:lang w:val="en-CA" w:eastAsia="fr-CA"/>
              </w:rPr>
            </w:pPr>
            <w:r w:rsidRPr="00D63CA8">
              <w:rPr>
                <w:rFonts w:cs="Arial"/>
                <w:b/>
                <w:bCs/>
                <w:sz w:val="22"/>
                <w:szCs w:val="22"/>
                <w:lang w:val="en-CA" w:eastAsia="fr-CA"/>
              </w:rPr>
              <w:t>(c) </w:t>
            </w:r>
            <w:r w:rsidRPr="00D63CA8">
              <w:rPr>
                <w:rFonts w:cs="Arial"/>
                <w:bCs/>
                <w:sz w:val="22"/>
                <w:szCs w:val="22"/>
                <w:lang w:val="en-CA" w:eastAsia="fr-CA"/>
              </w:rPr>
              <w:t>it constitutes a refusal or failure to exercise jurisdiction.</w:t>
            </w:r>
          </w:p>
        </w:tc>
        <w:tc>
          <w:tcPr>
            <w:tcW w:w="4676" w:type="dxa"/>
          </w:tcPr>
          <w:p w14:paraId="7CEC3707" w14:textId="218ED10A" w:rsidR="00D63CA8" w:rsidRPr="00D63CA8" w:rsidRDefault="00D63CA8" w:rsidP="00D63CA8">
            <w:pPr>
              <w:shd w:val="clear" w:color="auto" w:fill="FFFFFF"/>
              <w:spacing w:before="120" w:line="240" w:lineRule="auto"/>
              <w:ind w:left="1134"/>
              <w:rPr>
                <w:rFonts w:cs="Arial"/>
                <w:b/>
                <w:bCs/>
                <w:sz w:val="22"/>
                <w:szCs w:val="22"/>
                <w:lang w:eastAsia="fr-CA"/>
              </w:rPr>
            </w:pPr>
            <w:r w:rsidRPr="00D63CA8">
              <w:rPr>
                <w:rFonts w:cs="Arial"/>
                <w:b/>
                <w:bCs/>
                <w:sz w:val="22"/>
                <w:szCs w:val="22"/>
                <w:lang w:eastAsia="fr-CA"/>
              </w:rPr>
              <w:t>c) </w:t>
            </w:r>
            <w:r w:rsidRPr="00D63CA8">
              <w:rPr>
                <w:rFonts w:cs="Arial"/>
                <w:bCs/>
                <w:sz w:val="22"/>
                <w:szCs w:val="22"/>
                <w:lang w:eastAsia="fr-CA"/>
              </w:rPr>
              <w:t>refus ou défaut d’exercice de compétence</w:t>
            </w:r>
          </w:p>
        </w:tc>
      </w:tr>
    </w:tbl>
    <w:p w14:paraId="661F9A68" w14:textId="79D325F5" w:rsidR="00514E9A" w:rsidRPr="000D1EAA" w:rsidRDefault="001E5304" w:rsidP="002F3B11">
      <w:pPr>
        <w:pStyle w:val="Paragraphe"/>
        <w:spacing w:before="360" w:line="240" w:lineRule="auto"/>
        <w:rPr>
          <w:lang w:val="en-CA"/>
        </w:rPr>
      </w:pPr>
      <w:r w:rsidRPr="000D1EAA">
        <w:rPr>
          <w:lang w:val="en-CA"/>
        </w:rPr>
        <w:t xml:space="preserve">The </w:t>
      </w:r>
      <w:r w:rsidR="00B4041A">
        <w:rPr>
          <w:lang w:val="en-CA"/>
        </w:rPr>
        <w:t>Superior Court judge</w:t>
      </w:r>
      <w:r w:rsidRPr="000D1EAA">
        <w:rPr>
          <w:lang w:val="en-CA"/>
        </w:rPr>
        <w:t xml:space="preserve"> himself acknowledge</w:t>
      </w:r>
      <w:r w:rsidR="00857685">
        <w:rPr>
          <w:lang w:val="en-CA"/>
        </w:rPr>
        <w:t>d</w:t>
      </w:r>
      <w:r w:rsidRPr="000D1EAA">
        <w:rPr>
          <w:lang w:val="en-CA"/>
        </w:rPr>
        <w:t xml:space="preserve"> that </w:t>
      </w:r>
      <w:r w:rsidR="00CF2DAD">
        <w:rPr>
          <w:lang w:val="en-CA"/>
        </w:rPr>
        <w:t xml:space="preserve">an </w:t>
      </w:r>
      <w:r w:rsidRPr="000D1EAA">
        <w:rPr>
          <w:lang w:val="en-CA"/>
        </w:rPr>
        <w:t xml:space="preserve">appeal is a procedural avenue open to the </w:t>
      </w:r>
      <w:r w:rsidR="00367215">
        <w:rPr>
          <w:lang w:val="en-CA"/>
        </w:rPr>
        <w:t>Crown</w:t>
      </w:r>
      <w:r w:rsidR="003F7B75" w:rsidRPr="000D1EAA">
        <w:rPr>
          <w:lang w:val="en-CA"/>
        </w:rPr>
        <w:t xml:space="preserve"> </w:t>
      </w:r>
      <w:r w:rsidRPr="000D1EAA">
        <w:rPr>
          <w:lang w:val="en-CA"/>
        </w:rPr>
        <w:t>in this</w:t>
      </w:r>
      <w:r w:rsidR="00CF2DAD">
        <w:rPr>
          <w:lang w:val="en-CA"/>
        </w:rPr>
        <w:t xml:space="preserve"> case</w:t>
      </w:r>
      <w:r w:rsidRPr="000D1EAA">
        <w:rPr>
          <w:lang w:val="en-CA"/>
        </w:rPr>
        <w:t>.</w:t>
      </w:r>
      <w:r w:rsidR="003F7B75" w:rsidRPr="000D1EAA">
        <w:rPr>
          <w:rStyle w:val="Appelnotedebasdep"/>
          <w:lang w:val="en-CA"/>
        </w:rPr>
        <w:footnoteReference w:id="18"/>
      </w:r>
      <w:r w:rsidR="003F7B75" w:rsidRPr="000D1EAA">
        <w:rPr>
          <w:lang w:val="en-CA"/>
        </w:rPr>
        <w:t xml:space="preserve"> </w:t>
      </w:r>
      <w:r w:rsidRPr="000D1EAA">
        <w:rPr>
          <w:lang w:val="en-CA"/>
        </w:rPr>
        <w:t xml:space="preserve">It can be understood from his reasons that the </w:t>
      </w:r>
      <w:r w:rsidR="00367215">
        <w:rPr>
          <w:lang w:val="en-CA"/>
        </w:rPr>
        <w:t>Crown</w:t>
      </w:r>
      <w:r w:rsidR="003F7B75" w:rsidRPr="000D1EAA">
        <w:rPr>
          <w:lang w:val="en-CA"/>
        </w:rPr>
        <w:t xml:space="preserve"> </w:t>
      </w:r>
      <w:r w:rsidRPr="000D1EAA">
        <w:rPr>
          <w:lang w:val="en-CA"/>
        </w:rPr>
        <w:t xml:space="preserve">did not change its </w:t>
      </w:r>
      <w:r w:rsidR="003F7B75" w:rsidRPr="000D1EAA">
        <w:rPr>
          <w:lang w:val="en-CA"/>
        </w:rPr>
        <w:t>proc</w:t>
      </w:r>
      <w:r w:rsidRPr="000D1EAA">
        <w:rPr>
          <w:lang w:val="en-CA"/>
        </w:rPr>
        <w:t>e</w:t>
      </w:r>
      <w:r w:rsidR="00CF2DAD">
        <w:rPr>
          <w:lang w:val="en-CA"/>
        </w:rPr>
        <w:t>e</w:t>
      </w:r>
      <w:r w:rsidR="003F7B75" w:rsidRPr="000D1EAA">
        <w:rPr>
          <w:lang w:val="en-CA"/>
        </w:rPr>
        <w:t>d</w:t>
      </w:r>
      <w:r w:rsidR="00CF2DAD">
        <w:rPr>
          <w:lang w:val="en-CA"/>
        </w:rPr>
        <w:t>ing</w:t>
      </w:r>
      <w:r w:rsidR="003F7B75" w:rsidRPr="000D1EAA">
        <w:rPr>
          <w:lang w:val="en-CA"/>
        </w:rPr>
        <w:t xml:space="preserve"> </w:t>
      </w:r>
      <w:r w:rsidRPr="000D1EAA">
        <w:rPr>
          <w:lang w:val="en-CA"/>
        </w:rPr>
        <w:t xml:space="preserve">during the hearing to make it an appeal since the time </w:t>
      </w:r>
      <w:r w:rsidR="00857685">
        <w:rPr>
          <w:lang w:val="en-CA"/>
        </w:rPr>
        <w:t>limit</w:t>
      </w:r>
      <w:r w:rsidRPr="000D1EAA">
        <w:rPr>
          <w:lang w:val="en-CA"/>
        </w:rPr>
        <w:t xml:space="preserve"> </w:t>
      </w:r>
      <w:r w:rsidR="00CF2DAD">
        <w:rPr>
          <w:lang w:val="en-CA"/>
        </w:rPr>
        <w:t xml:space="preserve">had expired by then </w:t>
      </w:r>
      <w:r w:rsidRPr="000D1EAA">
        <w:rPr>
          <w:lang w:val="en-CA"/>
        </w:rPr>
        <w:t xml:space="preserve">and the </w:t>
      </w:r>
      <w:r w:rsidR="006463F8" w:rsidRPr="000D1EAA">
        <w:rPr>
          <w:lang w:val="en-CA"/>
        </w:rPr>
        <w:t>appellant</w:t>
      </w:r>
      <w:r w:rsidR="003F7B75" w:rsidRPr="000D1EAA">
        <w:rPr>
          <w:lang w:val="en-CA"/>
        </w:rPr>
        <w:t xml:space="preserve"> </w:t>
      </w:r>
      <w:r w:rsidR="00857685">
        <w:rPr>
          <w:lang w:val="en-CA"/>
        </w:rPr>
        <w:t>objected</w:t>
      </w:r>
      <w:r w:rsidRPr="000D1EAA">
        <w:rPr>
          <w:lang w:val="en-CA"/>
        </w:rPr>
        <w:t xml:space="preserve"> to an extension of the </w:t>
      </w:r>
      <w:r w:rsidR="00857685">
        <w:rPr>
          <w:lang w:val="en-CA"/>
        </w:rPr>
        <w:t xml:space="preserve">time </w:t>
      </w:r>
      <w:r w:rsidRPr="000D1EAA">
        <w:rPr>
          <w:lang w:val="en-CA"/>
        </w:rPr>
        <w:t>to appeal</w:t>
      </w:r>
      <w:r w:rsidR="003F7B75" w:rsidRPr="000D1EAA">
        <w:rPr>
          <w:lang w:val="en-CA"/>
        </w:rPr>
        <w:t xml:space="preserve">. </w:t>
      </w:r>
      <w:r w:rsidR="00EF1DE4" w:rsidRPr="000D1EAA">
        <w:rPr>
          <w:lang w:val="en-CA"/>
        </w:rPr>
        <w:t xml:space="preserve">The judge </w:t>
      </w:r>
      <w:r w:rsidR="00CF2DAD">
        <w:rPr>
          <w:lang w:val="en-CA"/>
        </w:rPr>
        <w:t xml:space="preserve">therefore </w:t>
      </w:r>
      <w:r w:rsidR="00EF1DE4" w:rsidRPr="000D1EAA">
        <w:rPr>
          <w:lang w:val="en-CA"/>
        </w:rPr>
        <w:t xml:space="preserve">concluded that the </w:t>
      </w:r>
      <w:r w:rsidR="00367215">
        <w:rPr>
          <w:lang w:val="en-CA"/>
        </w:rPr>
        <w:t>Crown</w:t>
      </w:r>
      <w:r w:rsidR="003F7B75" w:rsidRPr="000D1EAA">
        <w:rPr>
          <w:lang w:val="en-CA"/>
        </w:rPr>
        <w:t xml:space="preserve"> </w:t>
      </w:r>
      <w:r w:rsidR="00367215">
        <w:rPr>
          <w:lang w:val="en-CA"/>
        </w:rPr>
        <w:t>was</w:t>
      </w:r>
      <w:r w:rsidR="0082099E" w:rsidRPr="000D1EAA">
        <w:rPr>
          <w:lang w:val="en-CA"/>
        </w:rPr>
        <w:t xml:space="preserve"> </w:t>
      </w:r>
      <w:r w:rsidR="00F8757B">
        <w:rPr>
          <w:lang w:val="en-CA"/>
        </w:rPr>
        <w:t>at</w:t>
      </w:r>
      <w:r w:rsidR="00EF1DE4" w:rsidRPr="000D1EAA">
        <w:rPr>
          <w:lang w:val="en-CA"/>
        </w:rPr>
        <w:t xml:space="preserve"> an </w:t>
      </w:r>
      <w:r w:rsidR="003F7B75" w:rsidRPr="000D1EAA">
        <w:rPr>
          <w:lang w:val="en-CA"/>
        </w:rPr>
        <w:t>impasse</w:t>
      </w:r>
      <w:r w:rsidR="003F7B75" w:rsidRPr="000D1EAA">
        <w:rPr>
          <w:rStyle w:val="Appelnotedebasdep"/>
          <w:lang w:val="en-CA"/>
        </w:rPr>
        <w:footnoteReference w:id="19"/>
      </w:r>
      <w:r w:rsidR="003F7B75" w:rsidRPr="000D1EAA">
        <w:rPr>
          <w:lang w:val="en-CA"/>
        </w:rPr>
        <w:t xml:space="preserve"> </w:t>
      </w:r>
      <w:r w:rsidR="00CF2DAD">
        <w:rPr>
          <w:lang w:val="en-CA"/>
        </w:rPr>
        <w:t xml:space="preserve"> but </w:t>
      </w:r>
      <w:r w:rsidR="00EF1DE4" w:rsidRPr="000D1EAA">
        <w:rPr>
          <w:lang w:val="en-CA"/>
        </w:rPr>
        <w:t xml:space="preserve">nonetheless decided to </w:t>
      </w:r>
      <w:r w:rsidR="00133992">
        <w:rPr>
          <w:lang w:val="en-CA"/>
        </w:rPr>
        <w:t>consider the application for</w:t>
      </w:r>
      <w:r w:rsidR="0082099E" w:rsidRPr="000D1EAA">
        <w:rPr>
          <w:lang w:val="en-CA"/>
        </w:rPr>
        <w:t xml:space="preserve"> </w:t>
      </w:r>
      <w:r w:rsidR="003F7B75" w:rsidRPr="000D1EAA">
        <w:rPr>
          <w:i/>
          <w:lang w:val="en-CA"/>
        </w:rPr>
        <w:t xml:space="preserve">certiorari </w:t>
      </w:r>
      <w:r w:rsidR="00EF1DE4" w:rsidRPr="000D1EAA">
        <w:rPr>
          <w:iCs/>
          <w:lang w:val="en-CA"/>
        </w:rPr>
        <w:t xml:space="preserve">even though </w:t>
      </w:r>
      <w:r w:rsidR="00925567">
        <w:rPr>
          <w:iCs/>
          <w:lang w:val="en-CA"/>
        </w:rPr>
        <w:t xml:space="preserve">the Crown could have undertaken </w:t>
      </w:r>
      <w:r w:rsidR="00EF1DE4" w:rsidRPr="000D1EAA">
        <w:rPr>
          <w:iCs/>
          <w:lang w:val="en-CA"/>
        </w:rPr>
        <w:t>an appeal</w:t>
      </w:r>
      <w:r w:rsidR="003F7B75" w:rsidRPr="000D1EAA">
        <w:rPr>
          <w:lang w:val="en-CA"/>
        </w:rPr>
        <w:t>.</w:t>
      </w:r>
    </w:p>
    <w:p w14:paraId="65738609" w14:textId="7073FD0B" w:rsidR="00514E9A" w:rsidRPr="000D1EAA" w:rsidRDefault="0082099E" w:rsidP="00514E9A">
      <w:pPr>
        <w:pStyle w:val="Paragraphe"/>
        <w:spacing w:line="240" w:lineRule="auto"/>
        <w:rPr>
          <w:lang w:val="en-CA"/>
        </w:rPr>
      </w:pPr>
      <w:r w:rsidRPr="000D1EAA">
        <w:rPr>
          <w:lang w:val="en-CA"/>
        </w:rPr>
        <w:t xml:space="preserve">With respect, I do not see how the </w:t>
      </w:r>
      <w:r w:rsidR="00367215">
        <w:rPr>
          <w:lang w:val="en-CA"/>
        </w:rPr>
        <w:t>Crown</w:t>
      </w:r>
      <w:r w:rsidR="003F7B75" w:rsidRPr="000D1EAA">
        <w:rPr>
          <w:lang w:val="en-CA"/>
        </w:rPr>
        <w:t xml:space="preserve"> </w:t>
      </w:r>
      <w:r w:rsidR="00367215">
        <w:rPr>
          <w:lang w:val="en-CA"/>
        </w:rPr>
        <w:t>was</w:t>
      </w:r>
      <w:r w:rsidR="00F8757B">
        <w:rPr>
          <w:lang w:val="en-CA"/>
        </w:rPr>
        <w:t xml:space="preserve"> </w:t>
      </w:r>
      <w:r w:rsidR="001D196F" w:rsidRPr="000D1EAA">
        <w:rPr>
          <w:lang w:val="en-CA"/>
        </w:rPr>
        <w:t>[</w:t>
      </w:r>
      <w:r w:rsidR="00F8757B" w:rsidRPr="00F8757B">
        <w:rPr>
          <w:smallCaps/>
          <w:lang w:val="en-CA"/>
        </w:rPr>
        <w:t>translation</w:t>
      </w:r>
      <w:r w:rsidR="001D196F" w:rsidRPr="000D1EAA">
        <w:rPr>
          <w:lang w:val="en-CA"/>
        </w:rPr>
        <w:t>]</w:t>
      </w:r>
      <w:r w:rsidR="003F7B75" w:rsidRPr="000D1EAA">
        <w:rPr>
          <w:lang w:val="en-CA"/>
        </w:rPr>
        <w:t xml:space="preserve"> </w:t>
      </w:r>
      <w:r w:rsidR="00F8757B">
        <w:rPr>
          <w:lang w:val="en-CA"/>
        </w:rPr>
        <w:t>“at</w:t>
      </w:r>
      <w:r w:rsidRPr="000D1EAA">
        <w:rPr>
          <w:lang w:val="en-CA"/>
        </w:rPr>
        <w:t xml:space="preserve"> an impasse</w:t>
      </w:r>
      <w:r w:rsidR="00F8757B">
        <w:rPr>
          <w:lang w:val="en-CA"/>
        </w:rPr>
        <w:t>”</w:t>
      </w:r>
      <w:r w:rsidR="003F7B75" w:rsidRPr="000D1EAA">
        <w:rPr>
          <w:lang w:val="en-CA"/>
        </w:rPr>
        <w:t xml:space="preserve">, </w:t>
      </w:r>
      <w:r w:rsidRPr="000D1EAA">
        <w:rPr>
          <w:lang w:val="en-CA"/>
        </w:rPr>
        <w:t xml:space="preserve">as the </w:t>
      </w:r>
      <w:r w:rsidR="00B4041A">
        <w:rPr>
          <w:lang w:val="en-CA"/>
        </w:rPr>
        <w:t>Superior Court judge</w:t>
      </w:r>
      <w:r w:rsidRPr="000D1EAA">
        <w:rPr>
          <w:lang w:val="en-CA"/>
        </w:rPr>
        <w:t xml:space="preserve"> concluded</w:t>
      </w:r>
      <w:r w:rsidR="003F7B75" w:rsidRPr="000D1EAA">
        <w:rPr>
          <w:lang w:val="en-CA"/>
        </w:rPr>
        <w:t>. Contra</w:t>
      </w:r>
      <w:r w:rsidR="00195129" w:rsidRPr="000D1EAA">
        <w:rPr>
          <w:lang w:val="en-CA"/>
        </w:rPr>
        <w:t xml:space="preserve">ry to what the </w:t>
      </w:r>
      <w:r w:rsidR="001E5304" w:rsidRPr="000D1EAA">
        <w:rPr>
          <w:lang w:val="en-CA"/>
        </w:rPr>
        <w:t>prosecution</w:t>
      </w:r>
      <w:r w:rsidR="003F7B75" w:rsidRPr="000D1EAA">
        <w:rPr>
          <w:lang w:val="en-CA"/>
        </w:rPr>
        <w:t xml:space="preserve"> </w:t>
      </w:r>
      <w:r w:rsidR="00195129" w:rsidRPr="000D1EAA">
        <w:rPr>
          <w:lang w:val="en-CA"/>
        </w:rPr>
        <w:t xml:space="preserve">maintains in its </w:t>
      </w:r>
      <w:r w:rsidR="00F8757B">
        <w:rPr>
          <w:lang w:val="en-CA"/>
        </w:rPr>
        <w:t>statement</w:t>
      </w:r>
      <w:r w:rsidR="003F7B75" w:rsidRPr="000D1EAA">
        <w:rPr>
          <w:lang w:val="en-CA"/>
        </w:rPr>
        <w:t xml:space="preserve">, </w:t>
      </w:r>
      <w:r w:rsidR="00195129" w:rsidRPr="000D1EAA">
        <w:rPr>
          <w:lang w:val="en-CA"/>
        </w:rPr>
        <w:t xml:space="preserve">the appeal from the </w:t>
      </w:r>
      <w:r w:rsidR="007D535C">
        <w:rPr>
          <w:lang w:val="en-CA"/>
        </w:rPr>
        <w:t>Court of Québec</w:t>
      </w:r>
      <w:r w:rsidR="003F7B75" w:rsidRPr="000D1EAA">
        <w:rPr>
          <w:lang w:val="en-CA"/>
        </w:rPr>
        <w:t xml:space="preserve"> </w:t>
      </w:r>
      <w:r w:rsidR="00195129" w:rsidRPr="000D1EAA">
        <w:rPr>
          <w:lang w:val="en-CA"/>
        </w:rPr>
        <w:t xml:space="preserve">judgment did not bear on an </w:t>
      </w:r>
      <w:r w:rsidR="003F7B75" w:rsidRPr="000D1EAA">
        <w:rPr>
          <w:lang w:val="en-CA"/>
        </w:rPr>
        <w:t>interlocuto</w:t>
      </w:r>
      <w:r w:rsidR="00195129" w:rsidRPr="000D1EAA">
        <w:rPr>
          <w:lang w:val="en-CA"/>
        </w:rPr>
        <w:t xml:space="preserve">ry judgment that could not give rise to an immediate appeal on his part. Acceptance of the </w:t>
      </w:r>
      <w:r w:rsidR="00107609" w:rsidRPr="000D1EAA">
        <w:rPr>
          <w:lang w:val="en-CA"/>
        </w:rPr>
        <w:t xml:space="preserve">guilty plea </w:t>
      </w:r>
      <w:r w:rsidR="00CF2DAD">
        <w:rPr>
          <w:lang w:val="en-CA"/>
        </w:rPr>
        <w:t xml:space="preserve">on </w:t>
      </w:r>
      <w:r w:rsidR="00107609" w:rsidRPr="000D1EAA">
        <w:rPr>
          <w:lang w:val="en-CA"/>
        </w:rPr>
        <w:t>the first c</w:t>
      </w:r>
      <w:r w:rsidR="00F8757B">
        <w:rPr>
          <w:lang w:val="en-CA"/>
        </w:rPr>
        <w:t>ount</w:t>
      </w:r>
      <w:r w:rsidR="00107609" w:rsidRPr="000D1EAA">
        <w:rPr>
          <w:lang w:val="en-CA"/>
        </w:rPr>
        <w:t xml:space="preserve"> concerning </w:t>
      </w:r>
      <w:r w:rsidR="003B1D5D">
        <w:rPr>
          <w:lang w:val="en-CA"/>
        </w:rPr>
        <w:t>impaired driving</w:t>
      </w:r>
      <w:r w:rsidR="003F7B75" w:rsidRPr="000D1EAA">
        <w:rPr>
          <w:lang w:val="en-CA"/>
        </w:rPr>
        <w:t xml:space="preserve"> </w:t>
      </w:r>
      <w:r w:rsidR="00107609" w:rsidRPr="000D1EAA">
        <w:rPr>
          <w:lang w:val="en-CA"/>
        </w:rPr>
        <w:t xml:space="preserve">is a final and definitive judgment, at least with regard to that </w:t>
      </w:r>
      <w:r w:rsidR="00F8757B">
        <w:rPr>
          <w:lang w:val="en-CA"/>
        </w:rPr>
        <w:t>count</w:t>
      </w:r>
      <w:r w:rsidR="00107609" w:rsidRPr="000D1EAA">
        <w:rPr>
          <w:lang w:val="en-CA"/>
        </w:rPr>
        <w:t xml:space="preserve">, </w:t>
      </w:r>
      <w:r w:rsidR="001408B8">
        <w:rPr>
          <w:lang w:val="en-CA"/>
        </w:rPr>
        <w:t>because</w:t>
      </w:r>
      <w:r w:rsidR="00107609" w:rsidRPr="000D1EAA">
        <w:rPr>
          <w:lang w:val="en-CA"/>
        </w:rPr>
        <w:t xml:space="preserve">, for the purposes of the </w:t>
      </w:r>
      <w:r w:rsidR="005F5E2E" w:rsidRPr="000D1EAA">
        <w:rPr>
          <w:rFonts w:cs="Arial"/>
          <w:i/>
          <w:iCs/>
          <w:color w:val="000000"/>
          <w:lang w:val="en-CA"/>
        </w:rPr>
        <w:t>Criminal Code</w:t>
      </w:r>
      <w:r w:rsidR="003F7B75" w:rsidRPr="000D1EAA">
        <w:rPr>
          <w:rFonts w:cs="Arial"/>
          <w:i/>
          <w:iCs/>
          <w:color w:val="000000"/>
          <w:lang w:val="en-CA"/>
        </w:rPr>
        <w:t xml:space="preserve">, </w:t>
      </w:r>
      <w:r w:rsidR="00107609" w:rsidRPr="000D1EAA">
        <w:rPr>
          <w:rFonts w:cs="Arial"/>
          <w:color w:val="000000"/>
          <w:lang w:val="en-CA"/>
        </w:rPr>
        <w:t>each c</w:t>
      </w:r>
      <w:r w:rsidR="00F8757B">
        <w:rPr>
          <w:rFonts w:cs="Arial"/>
          <w:color w:val="000000"/>
          <w:lang w:val="en-CA"/>
        </w:rPr>
        <w:t>ount</w:t>
      </w:r>
      <w:r w:rsidR="00107609" w:rsidRPr="000D1EAA">
        <w:rPr>
          <w:rFonts w:cs="Arial"/>
          <w:color w:val="000000"/>
          <w:lang w:val="en-CA"/>
        </w:rPr>
        <w:t xml:space="preserve"> can be treated as a separate indictment.</w:t>
      </w:r>
      <w:r w:rsidR="003F7B75" w:rsidRPr="000D1EAA">
        <w:rPr>
          <w:rStyle w:val="Appelnotedebasdep"/>
          <w:rFonts w:cs="Arial"/>
          <w:color w:val="000000"/>
          <w:lang w:val="en-CA"/>
        </w:rPr>
        <w:footnoteReference w:id="20"/>
      </w:r>
      <w:r w:rsidR="003F7B75" w:rsidRPr="000D1EAA">
        <w:rPr>
          <w:lang w:val="en-CA"/>
        </w:rPr>
        <w:t xml:space="preserve"> </w:t>
      </w:r>
      <w:r w:rsidR="00107609" w:rsidRPr="000D1EAA">
        <w:rPr>
          <w:lang w:val="en-CA"/>
        </w:rPr>
        <w:t xml:space="preserve">The </w:t>
      </w:r>
      <w:r w:rsidR="00367215">
        <w:rPr>
          <w:lang w:val="en-CA"/>
        </w:rPr>
        <w:t>Crown</w:t>
      </w:r>
      <w:r w:rsidR="003F7B75" w:rsidRPr="000D1EAA">
        <w:rPr>
          <w:lang w:val="en-CA"/>
        </w:rPr>
        <w:t xml:space="preserve"> </w:t>
      </w:r>
      <w:r w:rsidR="00107609" w:rsidRPr="000D1EAA">
        <w:rPr>
          <w:lang w:val="en-CA"/>
        </w:rPr>
        <w:t xml:space="preserve">could therefore have appealed from this </w:t>
      </w:r>
      <w:r w:rsidR="003F7B75" w:rsidRPr="000D1EAA">
        <w:rPr>
          <w:lang w:val="en-CA"/>
        </w:rPr>
        <w:t>ju</w:t>
      </w:r>
      <w:r w:rsidR="00107609" w:rsidRPr="000D1EAA">
        <w:rPr>
          <w:lang w:val="en-CA"/>
        </w:rPr>
        <w:t>d</w:t>
      </w:r>
      <w:r w:rsidR="003F7B75" w:rsidRPr="000D1EAA">
        <w:rPr>
          <w:lang w:val="en-CA"/>
        </w:rPr>
        <w:t xml:space="preserve">gment </w:t>
      </w:r>
      <w:r w:rsidR="00107609" w:rsidRPr="000D1EAA">
        <w:rPr>
          <w:lang w:val="en-CA"/>
        </w:rPr>
        <w:t>on a point of law or jurisdiction pursuant to s</w:t>
      </w:r>
      <w:r w:rsidR="00F85E80">
        <w:rPr>
          <w:lang w:val="en-CA"/>
        </w:rPr>
        <w:t>. </w:t>
      </w:r>
      <w:r w:rsidR="003F7B75" w:rsidRPr="000D1EAA">
        <w:rPr>
          <w:lang w:val="en-CA"/>
        </w:rPr>
        <w:t>830(1) </w:t>
      </w:r>
      <w:r w:rsidR="00FF7CA0" w:rsidRPr="00FF7CA0">
        <w:rPr>
          <w:i/>
          <w:iCs/>
          <w:lang w:val="en-CA"/>
        </w:rPr>
        <w:t>Cr. C</w:t>
      </w:r>
      <w:r w:rsidR="004119A7" w:rsidRPr="008E68BA">
        <w:rPr>
          <w:i/>
          <w:iCs/>
          <w:lang w:val="en-CA"/>
        </w:rPr>
        <w:t>.</w:t>
      </w:r>
      <w:r w:rsidR="003F7B75" w:rsidRPr="000D1EAA">
        <w:rPr>
          <w:lang w:val="en-CA"/>
        </w:rPr>
        <w:t xml:space="preserve"> </w:t>
      </w:r>
    </w:p>
    <w:p w14:paraId="12E498F7" w14:textId="2276BBEA" w:rsidR="006203C5" w:rsidRDefault="003F12DD">
      <w:pPr>
        <w:pStyle w:val="Paragraphe"/>
        <w:spacing w:line="240" w:lineRule="auto"/>
        <w:rPr>
          <w:rFonts w:cs="Arial"/>
          <w:color w:val="000000"/>
          <w:lang w:val="en-CA"/>
        </w:rPr>
      </w:pPr>
      <w:r w:rsidRPr="006203C5">
        <w:rPr>
          <w:rFonts w:cs="Arial"/>
          <w:color w:val="000000"/>
          <w:lang w:val="en-CA"/>
        </w:rPr>
        <w:t xml:space="preserve">Be that as it may, at the hearing of the application for </w:t>
      </w:r>
      <w:r w:rsidR="003F7B75" w:rsidRPr="006203C5">
        <w:rPr>
          <w:rFonts w:cs="Arial"/>
          <w:i/>
          <w:color w:val="000000"/>
          <w:lang w:val="en-CA"/>
        </w:rPr>
        <w:t>certiorari</w:t>
      </w:r>
      <w:r w:rsidR="003F7B75" w:rsidRPr="006203C5">
        <w:rPr>
          <w:rFonts w:cs="Arial"/>
          <w:color w:val="000000"/>
          <w:lang w:val="en-CA"/>
        </w:rPr>
        <w:t xml:space="preserve"> </w:t>
      </w:r>
      <w:r w:rsidRPr="006203C5">
        <w:rPr>
          <w:rFonts w:cs="Arial"/>
          <w:color w:val="000000"/>
          <w:lang w:val="en-CA"/>
        </w:rPr>
        <w:t>before the</w:t>
      </w:r>
      <w:r w:rsidR="003F7B75" w:rsidRPr="006203C5">
        <w:rPr>
          <w:rFonts w:cs="Arial"/>
          <w:color w:val="000000"/>
          <w:lang w:val="en-CA"/>
        </w:rPr>
        <w:t xml:space="preserve"> </w:t>
      </w:r>
      <w:r w:rsidR="00407772" w:rsidRPr="006203C5">
        <w:rPr>
          <w:rFonts w:cs="Arial"/>
          <w:color w:val="000000"/>
          <w:lang w:val="en-CA"/>
        </w:rPr>
        <w:t>Superior Court</w:t>
      </w:r>
      <w:r w:rsidR="003F7B75" w:rsidRPr="006203C5">
        <w:rPr>
          <w:rFonts w:cs="Arial"/>
          <w:color w:val="000000"/>
          <w:lang w:val="en-CA"/>
        </w:rPr>
        <w:t xml:space="preserve">, </w:t>
      </w:r>
      <w:r w:rsidRPr="006203C5">
        <w:rPr>
          <w:rFonts w:cs="Arial"/>
          <w:color w:val="000000"/>
          <w:lang w:val="en-CA"/>
        </w:rPr>
        <w:t xml:space="preserve">the </w:t>
      </w:r>
      <w:r w:rsidR="004A15B2" w:rsidRPr="006203C5">
        <w:rPr>
          <w:rFonts w:cs="Arial"/>
          <w:color w:val="000000"/>
          <w:lang w:val="en-CA"/>
        </w:rPr>
        <w:t xml:space="preserve">30-day time </w:t>
      </w:r>
      <w:r w:rsidR="008E68BA">
        <w:rPr>
          <w:rFonts w:cs="Arial"/>
          <w:color w:val="000000"/>
          <w:lang w:val="en-CA"/>
        </w:rPr>
        <w:t>limit</w:t>
      </w:r>
      <w:r w:rsidR="004A15B2" w:rsidRPr="006203C5">
        <w:rPr>
          <w:rFonts w:cs="Arial"/>
          <w:color w:val="000000"/>
          <w:lang w:val="en-CA"/>
        </w:rPr>
        <w:t xml:space="preserve"> to institute such an appeal had expired.</w:t>
      </w:r>
      <w:r w:rsidR="00527128" w:rsidRPr="006203C5">
        <w:rPr>
          <w:rFonts w:cs="Arial"/>
          <w:color w:val="000000"/>
          <w:lang w:val="en-CA"/>
        </w:rPr>
        <w:t xml:space="preserve"> </w:t>
      </w:r>
      <w:r w:rsidR="008E68BA">
        <w:rPr>
          <w:rFonts w:cs="Arial"/>
          <w:color w:val="000000"/>
          <w:lang w:val="en-CA"/>
        </w:rPr>
        <w:t>T</w:t>
      </w:r>
      <w:r w:rsidR="004A15B2" w:rsidRPr="006203C5">
        <w:rPr>
          <w:rFonts w:cs="Arial"/>
          <w:color w:val="000000"/>
          <w:lang w:val="en-CA"/>
        </w:rPr>
        <w:t>hat did not prevent the</w:t>
      </w:r>
      <w:r w:rsidR="00527128" w:rsidRPr="006203C5">
        <w:rPr>
          <w:rFonts w:cs="Arial"/>
          <w:color w:val="000000"/>
          <w:lang w:val="en-CA"/>
        </w:rPr>
        <w:t xml:space="preserve"> </w:t>
      </w:r>
      <w:r w:rsidR="00367215">
        <w:rPr>
          <w:rFonts w:cs="Arial"/>
          <w:color w:val="000000"/>
          <w:lang w:val="en-CA"/>
        </w:rPr>
        <w:t>Crown</w:t>
      </w:r>
      <w:r w:rsidR="00527128" w:rsidRPr="006203C5">
        <w:rPr>
          <w:rFonts w:cs="Arial"/>
          <w:color w:val="000000"/>
          <w:lang w:val="en-CA"/>
        </w:rPr>
        <w:t xml:space="preserve"> </w:t>
      </w:r>
      <w:r w:rsidR="004A15B2" w:rsidRPr="006203C5">
        <w:rPr>
          <w:rFonts w:cs="Arial"/>
          <w:color w:val="000000"/>
          <w:lang w:val="en-CA"/>
        </w:rPr>
        <w:t xml:space="preserve">from requesting an extension of the time period to appeal, </w:t>
      </w:r>
      <w:r w:rsidR="008E68BA">
        <w:rPr>
          <w:rFonts w:cs="Arial"/>
          <w:color w:val="000000"/>
          <w:lang w:val="en-CA"/>
        </w:rPr>
        <w:t>h</w:t>
      </w:r>
      <w:r w:rsidR="008E68BA" w:rsidRPr="006203C5">
        <w:rPr>
          <w:rFonts w:cs="Arial"/>
          <w:color w:val="000000"/>
          <w:lang w:val="en-CA"/>
        </w:rPr>
        <w:t xml:space="preserve">owever, </w:t>
      </w:r>
      <w:r w:rsidR="004A15B2" w:rsidRPr="006203C5">
        <w:rPr>
          <w:rFonts w:cs="Arial"/>
          <w:color w:val="000000"/>
          <w:lang w:val="en-CA"/>
        </w:rPr>
        <w:t>since s</w:t>
      </w:r>
      <w:r w:rsidR="00AC0288" w:rsidRPr="006203C5">
        <w:rPr>
          <w:rFonts w:cs="Arial"/>
          <w:color w:val="000000"/>
          <w:lang w:val="en-CA"/>
        </w:rPr>
        <w:t>. </w:t>
      </w:r>
      <w:r w:rsidR="003F7B75" w:rsidRPr="006203C5">
        <w:rPr>
          <w:rFonts w:cs="Arial"/>
          <w:color w:val="000000"/>
          <w:lang w:val="en-CA"/>
        </w:rPr>
        <w:t xml:space="preserve">838 </w:t>
      </w:r>
      <w:r w:rsidR="00FF7CA0" w:rsidRPr="00FF7CA0">
        <w:rPr>
          <w:rFonts w:cs="Arial"/>
          <w:i/>
          <w:iCs/>
          <w:color w:val="000000"/>
          <w:lang w:val="en-CA"/>
        </w:rPr>
        <w:t>Cr. C</w:t>
      </w:r>
      <w:r w:rsidR="004119A7" w:rsidRPr="008E68BA">
        <w:rPr>
          <w:rFonts w:cs="Arial"/>
          <w:i/>
          <w:iCs/>
          <w:color w:val="000000"/>
          <w:lang w:val="en-CA"/>
        </w:rPr>
        <w:t>.</w:t>
      </w:r>
      <w:r w:rsidR="003F7B75" w:rsidRPr="006203C5">
        <w:rPr>
          <w:rFonts w:cs="Arial"/>
          <w:color w:val="000000"/>
          <w:lang w:val="en-CA"/>
        </w:rPr>
        <w:t xml:space="preserve"> </w:t>
      </w:r>
      <w:r w:rsidR="004A15B2" w:rsidRPr="006203C5">
        <w:rPr>
          <w:rFonts w:cs="Arial"/>
          <w:color w:val="000000"/>
          <w:lang w:val="en-CA"/>
        </w:rPr>
        <w:t xml:space="preserve">allows a </w:t>
      </w:r>
      <w:r w:rsidR="00407772" w:rsidRPr="006203C5">
        <w:rPr>
          <w:rFonts w:cs="Arial"/>
          <w:color w:val="000000"/>
          <w:lang w:val="en-CA"/>
        </w:rPr>
        <w:t>Superior Court</w:t>
      </w:r>
      <w:r w:rsidR="003F7B75" w:rsidRPr="006203C5">
        <w:rPr>
          <w:rFonts w:cs="Arial"/>
          <w:color w:val="000000"/>
          <w:lang w:val="en-CA"/>
        </w:rPr>
        <w:t xml:space="preserve"> </w:t>
      </w:r>
      <w:r w:rsidR="004A15B2" w:rsidRPr="006203C5">
        <w:rPr>
          <w:rFonts w:cs="Arial"/>
          <w:color w:val="000000"/>
          <w:lang w:val="en-CA"/>
        </w:rPr>
        <w:t xml:space="preserve">judge to grant such an extension </w:t>
      </w:r>
      <w:r w:rsidR="00D63BAE" w:rsidRPr="006203C5">
        <w:rPr>
          <w:rFonts w:cs="Arial"/>
          <w:color w:val="000000"/>
          <w:lang w:val="en-CA"/>
        </w:rPr>
        <w:t>“</w:t>
      </w:r>
      <w:r w:rsidR="004A15B2" w:rsidRPr="006203C5">
        <w:rPr>
          <w:rFonts w:cs="Arial"/>
          <w:color w:val="000000"/>
          <w:lang w:val="en-CA"/>
        </w:rPr>
        <w:t>at any time</w:t>
      </w:r>
      <w:r w:rsidR="00D63BAE" w:rsidRPr="006203C5">
        <w:rPr>
          <w:rFonts w:cs="Arial"/>
          <w:color w:val="000000"/>
          <w:lang w:val="en-CA"/>
        </w:rPr>
        <w:t>”</w:t>
      </w:r>
      <w:r w:rsidR="003F7B75" w:rsidRPr="006203C5">
        <w:rPr>
          <w:rFonts w:cs="Arial"/>
          <w:color w:val="000000"/>
          <w:lang w:val="en-CA"/>
        </w:rPr>
        <w:t xml:space="preserve">, </w:t>
      </w:r>
      <w:r w:rsidR="001A1FA5" w:rsidRPr="006203C5">
        <w:rPr>
          <w:rFonts w:cs="Arial"/>
          <w:color w:val="000000"/>
          <w:lang w:val="en-CA"/>
        </w:rPr>
        <w:t xml:space="preserve">subject, of course, to the criteria developed </w:t>
      </w:r>
      <w:r w:rsidR="008E68BA">
        <w:rPr>
          <w:rFonts w:cs="Arial"/>
          <w:color w:val="000000"/>
          <w:lang w:val="en-CA"/>
        </w:rPr>
        <w:t>in the</w:t>
      </w:r>
      <w:r w:rsidR="001A1FA5" w:rsidRPr="006203C5">
        <w:rPr>
          <w:rFonts w:cs="Arial"/>
          <w:color w:val="000000"/>
          <w:lang w:val="en-CA"/>
        </w:rPr>
        <w:t xml:space="preserve"> case law for this purpose.</w:t>
      </w:r>
      <w:r w:rsidR="003F7B75" w:rsidRPr="000D1EAA">
        <w:rPr>
          <w:rStyle w:val="Appelnotedebasdep"/>
          <w:rFonts w:cs="Arial"/>
          <w:color w:val="000000"/>
          <w:lang w:val="en-CA"/>
        </w:rPr>
        <w:footnoteReference w:id="21"/>
      </w:r>
      <w:r w:rsidR="003F7B75" w:rsidRPr="006203C5">
        <w:rPr>
          <w:rFonts w:cs="Arial"/>
          <w:color w:val="000000"/>
          <w:lang w:val="en-CA"/>
        </w:rPr>
        <w:t xml:space="preserve"> </w:t>
      </w:r>
      <w:r w:rsidR="001A1FA5" w:rsidRPr="006203C5">
        <w:rPr>
          <w:rFonts w:cs="Arial"/>
          <w:color w:val="000000"/>
          <w:lang w:val="en-CA"/>
        </w:rPr>
        <w:t xml:space="preserve">There was therefore certainly no </w:t>
      </w:r>
      <w:r w:rsidR="003F7B75" w:rsidRPr="006203C5">
        <w:rPr>
          <w:rFonts w:cs="Arial"/>
          <w:color w:val="000000"/>
          <w:lang w:val="en-CA"/>
        </w:rPr>
        <w:t xml:space="preserve">impasse </w:t>
      </w:r>
      <w:r w:rsidR="001A1FA5" w:rsidRPr="006203C5">
        <w:rPr>
          <w:rFonts w:cs="Arial"/>
          <w:color w:val="000000"/>
          <w:lang w:val="en-CA"/>
        </w:rPr>
        <w:t xml:space="preserve">regarding an appeal by the </w:t>
      </w:r>
      <w:r w:rsidR="00367215">
        <w:rPr>
          <w:rFonts w:cs="Arial"/>
          <w:color w:val="000000"/>
          <w:lang w:val="en-CA"/>
        </w:rPr>
        <w:t>Crown</w:t>
      </w:r>
      <w:r w:rsidR="003F7B75" w:rsidRPr="006203C5">
        <w:rPr>
          <w:rFonts w:cs="Arial"/>
          <w:color w:val="000000"/>
          <w:lang w:val="en-CA"/>
        </w:rPr>
        <w:t>.</w:t>
      </w:r>
    </w:p>
    <w:p w14:paraId="6B35DC50" w14:textId="77777777" w:rsidR="006203C5" w:rsidRDefault="006203C5">
      <w:pPr>
        <w:spacing w:line="240" w:lineRule="auto"/>
        <w:rPr>
          <w:rFonts w:cs="Arial"/>
          <w:color w:val="000000"/>
          <w:kern w:val="28"/>
          <w:lang w:val="en-CA"/>
        </w:rPr>
      </w:pPr>
      <w:r>
        <w:rPr>
          <w:rFonts w:cs="Arial"/>
          <w:color w:val="000000"/>
          <w:lang w:val="en-CA"/>
        </w:rPr>
        <w:br w:type="page"/>
      </w:r>
    </w:p>
    <w:p w14:paraId="76CC9C93" w14:textId="75B8D2D5" w:rsidR="00514E9A" w:rsidRPr="000D1EAA" w:rsidRDefault="003E46FB" w:rsidP="00514E9A">
      <w:pPr>
        <w:pStyle w:val="Paragraphe"/>
        <w:spacing w:line="240" w:lineRule="auto"/>
        <w:rPr>
          <w:lang w:val="en-CA"/>
        </w:rPr>
      </w:pPr>
      <w:r>
        <w:rPr>
          <w:rFonts w:cs="Arial"/>
          <w:color w:val="000000"/>
          <w:lang w:val="en-CA"/>
        </w:rPr>
        <w:lastRenderedPageBreak/>
        <w:t>However</w:t>
      </w:r>
      <w:r w:rsidR="00A05E7C" w:rsidRPr="000D1EAA">
        <w:rPr>
          <w:rFonts w:cs="Arial"/>
          <w:color w:val="000000"/>
          <w:lang w:val="en-CA"/>
        </w:rPr>
        <w:t xml:space="preserve">, </w:t>
      </w:r>
      <w:r w:rsidR="00D63CA8">
        <w:rPr>
          <w:rFonts w:cs="Arial"/>
          <w:color w:val="000000"/>
          <w:lang w:val="en-CA"/>
        </w:rPr>
        <w:t xml:space="preserve">the </w:t>
      </w:r>
      <w:r w:rsidR="00A05E7C" w:rsidRPr="000D1EAA">
        <w:rPr>
          <w:rFonts w:cs="Arial"/>
          <w:color w:val="000000"/>
          <w:lang w:val="en-CA"/>
        </w:rPr>
        <w:t xml:space="preserve">case law recognizes that, although </w:t>
      </w:r>
      <w:r w:rsidR="008E68BA">
        <w:rPr>
          <w:rFonts w:cs="Arial"/>
          <w:color w:val="000000"/>
          <w:lang w:val="en-CA"/>
        </w:rPr>
        <w:t xml:space="preserve">an </w:t>
      </w:r>
      <w:r w:rsidR="00A05E7C" w:rsidRPr="000D1EAA">
        <w:rPr>
          <w:rFonts w:cs="Arial"/>
          <w:color w:val="000000"/>
          <w:lang w:val="en-CA"/>
        </w:rPr>
        <w:t xml:space="preserve">appeal may be available, the </w:t>
      </w:r>
      <w:r w:rsidR="00367215">
        <w:rPr>
          <w:rFonts w:cs="Arial"/>
          <w:color w:val="000000"/>
          <w:lang w:val="en-CA"/>
        </w:rPr>
        <w:t>Crown</w:t>
      </w:r>
      <w:r w:rsidR="003F7B75" w:rsidRPr="000D1EAA">
        <w:rPr>
          <w:rFonts w:cs="Arial"/>
          <w:color w:val="000000"/>
          <w:lang w:val="en-CA"/>
        </w:rPr>
        <w:t xml:space="preserve"> </w:t>
      </w:r>
      <w:r w:rsidR="00A05E7C" w:rsidRPr="000D1EAA">
        <w:rPr>
          <w:rFonts w:cs="Arial"/>
          <w:color w:val="000000"/>
          <w:lang w:val="en-CA"/>
        </w:rPr>
        <w:t xml:space="preserve">is not precluded from proceeding </w:t>
      </w:r>
      <w:r w:rsidR="00280C1D" w:rsidRPr="000D1EAA">
        <w:rPr>
          <w:rFonts w:cs="Arial"/>
          <w:color w:val="000000"/>
          <w:lang w:val="en-CA"/>
        </w:rPr>
        <w:t xml:space="preserve">by </w:t>
      </w:r>
      <w:r w:rsidR="003F7B75" w:rsidRPr="000D1EAA">
        <w:rPr>
          <w:rFonts w:cs="Arial"/>
          <w:i/>
          <w:color w:val="000000"/>
          <w:lang w:val="en-CA"/>
        </w:rPr>
        <w:t>certiorari</w:t>
      </w:r>
      <w:r w:rsidR="003F7B75" w:rsidRPr="000D1EAA">
        <w:rPr>
          <w:rFonts w:cs="Arial"/>
          <w:color w:val="000000"/>
          <w:lang w:val="en-CA"/>
        </w:rPr>
        <w:t xml:space="preserve"> </w:t>
      </w:r>
      <w:r w:rsidR="00ED1277">
        <w:rPr>
          <w:rFonts w:cs="Arial"/>
          <w:color w:val="000000"/>
          <w:lang w:val="en-CA"/>
        </w:rPr>
        <w:t>where appropriate</w:t>
      </w:r>
      <w:r w:rsidR="00A05E7C" w:rsidRPr="000D1EAA">
        <w:rPr>
          <w:rFonts w:cs="Arial"/>
          <w:color w:val="000000"/>
          <w:lang w:val="en-CA"/>
        </w:rPr>
        <w:t>, given the specific wording of s</w:t>
      </w:r>
      <w:r w:rsidR="008E68BA">
        <w:rPr>
          <w:rFonts w:cs="Arial"/>
          <w:color w:val="000000"/>
          <w:lang w:val="en-CA"/>
        </w:rPr>
        <w:t>.</w:t>
      </w:r>
      <w:r w:rsidR="00A05E7C" w:rsidRPr="000D1EAA">
        <w:rPr>
          <w:rFonts w:cs="Arial"/>
          <w:color w:val="000000"/>
          <w:lang w:val="en-CA"/>
        </w:rPr>
        <w:t xml:space="preserve"> </w:t>
      </w:r>
      <w:r w:rsidR="003F7B75" w:rsidRPr="000D1EAA">
        <w:rPr>
          <w:rFonts w:cs="Arial"/>
          <w:color w:val="000000"/>
          <w:lang w:val="en-CA"/>
        </w:rPr>
        <w:t xml:space="preserve">776 </w:t>
      </w:r>
      <w:r w:rsidR="00FF7CA0" w:rsidRPr="00FF7CA0">
        <w:rPr>
          <w:rFonts w:cs="Arial"/>
          <w:i/>
          <w:iCs/>
          <w:color w:val="000000"/>
          <w:lang w:val="en-CA"/>
        </w:rPr>
        <w:t>Cr. C</w:t>
      </w:r>
      <w:r w:rsidR="004119A7" w:rsidRPr="004119A7">
        <w:rPr>
          <w:rFonts w:cs="Arial"/>
          <w:color w:val="000000"/>
          <w:lang w:val="en-CA"/>
        </w:rPr>
        <w:t>.</w:t>
      </w:r>
      <w:r w:rsidR="003F7B75" w:rsidRPr="000D1EAA">
        <w:rPr>
          <w:rFonts w:cs="Arial"/>
          <w:color w:val="000000"/>
          <w:lang w:val="en-CA"/>
        </w:rPr>
        <w:t xml:space="preserve">, </w:t>
      </w:r>
      <w:r w:rsidR="00A05E7C" w:rsidRPr="000D1EAA">
        <w:rPr>
          <w:rFonts w:cs="Arial"/>
          <w:color w:val="000000"/>
          <w:lang w:val="en-CA"/>
        </w:rPr>
        <w:t xml:space="preserve">which prohibits the defendant alone from proceeding by </w:t>
      </w:r>
      <w:r w:rsidR="003F7B75" w:rsidRPr="000D1EAA">
        <w:rPr>
          <w:rFonts w:cs="Arial"/>
          <w:i/>
          <w:color w:val="000000"/>
          <w:lang w:val="en-CA"/>
        </w:rPr>
        <w:t>certiorari</w:t>
      </w:r>
      <w:r w:rsidR="003F7B75" w:rsidRPr="000D1EAA">
        <w:rPr>
          <w:rFonts w:cs="Arial"/>
          <w:color w:val="000000"/>
          <w:lang w:val="en-CA"/>
        </w:rPr>
        <w:t xml:space="preserve"> </w:t>
      </w:r>
      <w:r w:rsidR="00A05E7C" w:rsidRPr="000D1EAA">
        <w:rPr>
          <w:rFonts w:cs="Arial"/>
          <w:color w:val="000000"/>
          <w:lang w:val="en-CA"/>
        </w:rPr>
        <w:t>when an appeal might have been taken.</w:t>
      </w:r>
      <w:r w:rsidR="003F7B75" w:rsidRPr="000D1EAA">
        <w:rPr>
          <w:rFonts w:cs="Arial"/>
          <w:color w:val="000000"/>
          <w:lang w:val="en-CA"/>
        </w:rPr>
        <w:t xml:space="preserve"> </w:t>
      </w:r>
      <w:r w:rsidR="00280C1D" w:rsidRPr="000D1EAA">
        <w:rPr>
          <w:rFonts w:cs="Arial"/>
          <w:color w:val="000000"/>
          <w:lang w:val="en-CA"/>
        </w:rPr>
        <w:t xml:space="preserve">Thus, in </w:t>
      </w:r>
      <w:proofErr w:type="spellStart"/>
      <w:r w:rsidR="003F7B75" w:rsidRPr="000D1EAA">
        <w:rPr>
          <w:rFonts w:cs="Arial"/>
          <w:i/>
          <w:color w:val="000000"/>
          <w:lang w:val="en-CA"/>
        </w:rPr>
        <w:t>Eross</w:t>
      </w:r>
      <w:proofErr w:type="spellEnd"/>
      <w:r w:rsidR="003F7B75" w:rsidRPr="000D1EAA">
        <w:rPr>
          <w:rFonts w:cs="Arial"/>
          <w:color w:val="000000"/>
          <w:lang w:val="en-CA"/>
        </w:rPr>
        <w:t xml:space="preserve">, </w:t>
      </w:r>
      <w:r w:rsidR="00280C1D" w:rsidRPr="000D1EAA">
        <w:rPr>
          <w:rFonts w:cs="Arial"/>
          <w:color w:val="000000"/>
          <w:lang w:val="en-CA"/>
        </w:rPr>
        <w:t xml:space="preserve">the </w:t>
      </w:r>
      <w:r w:rsidR="003F7B75" w:rsidRPr="000D1EAA">
        <w:rPr>
          <w:rFonts w:cs="Arial"/>
          <w:color w:val="000000"/>
          <w:lang w:val="en-CA"/>
        </w:rPr>
        <w:t>Cour</w:t>
      </w:r>
      <w:r w:rsidR="00280C1D" w:rsidRPr="000D1EAA">
        <w:rPr>
          <w:rFonts w:cs="Arial"/>
          <w:color w:val="000000"/>
          <w:lang w:val="en-CA"/>
        </w:rPr>
        <w:t>t of Appeal for British Columbia expressed itself as follows in this regard</w:t>
      </w:r>
      <w:r w:rsidR="003F7B75" w:rsidRPr="000D1EAA">
        <w:rPr>
          <w:rFonts w:cs="Arial"/>
          <w:color w:val="000000"/>
          <w:lang w:val="en-CA"/>
        </w:rPr>
        <w:t xml:space="preserve">, </w:t>
      </w:r>
      <w:r w:rsidR="00280C1D" w:rsidRPr="000D1EAA">
        <w:rPr>
          <w:rFonts w:cs="Arial"/>
          <w:color w:val="000000"/>
          <w:lang w:val="en-CA"/>
        </w:rPr>
        <w:t xml:space="preserve">per </w:t>
      </w:r>
      <w:r w:rsidR="003F7B75" w:rsidRPr="000D1EAA">
        <w:rPr>
          <w:rFonts w:cs="Arial"/>
          <w:color w:val="000000"/>
          <w:lang w:val="en-CA"/>
        </w:rPr>
        <w:t>McFarlane</w:t>
      </w:r>
      <w:r w:rsidR="00612ED2">
        <w:rPr>
          <w:rFonts w:cs="Arial"/>
          <w:color w:val="000000"/>
          <w:lang w:val="en-CA"/>
        </w:rPr>
        <w:t xml:space="preserve"> J.A.</w:t>
      </w:r>
      <w:r w:rsidR="00280C1D" w:rsidRPr="000D1EAA">
        <w:rPr>
          <w:rFonts w:cs="Arial"/>
          <w:color w:val="000000"/>
          <w:lang w:val="en-CA"/>
        </w:rPr>
        <w:t>:</w:t>
      </w:r>
      <w:r w:rsidR="003F7B75" w:rsidRPr="000D1EAA">
        <w:rPr>
          <w:rStyle w:val="Appelnotedebasdep"/>
          <w:rFonts w:cs="Arial"/>
          <w:color w:val="000000"/>
          <w:lang w:val="en-CA"/>
        </w:rPr>
        <w:footnoteReference w:id="22"/>
      </w:r>
    </w:p>
    <w:p w14:paraId="229F9E41" w14:textId="191F6B92" w:rsidR="00514E9A" w:rsidRPr="00D63CA8" w:rsidRDefault="003F7B75" w:rsidP="00514E9A">
      <w:pPr>
        <w:pStyle w:val="Citationenretrait"/>
        <w:spacing w:line="240" w:lineRule="auto"/>
        <w:rPr>
          <w:lang w:val="en-CA"/>
        </w:rPr>
      </w:pPr>
      <w:r w:rsidRPr="00D63CA8">
        <w:rPr>
          <w:lang w:val="en-CA"/>
        </w:rPr>
        <w:t>Counsel for the Crown submitted that s. 682 [</w:t>
      </w:r>
      <w:r w:rsidR="00FB51C5" w:rsidRPr="00D63CA8">
        <w:rPr>
          <w:i/>
          <w:lang w:val="en-CA"/>
        </w:rPr>
        <w:t>now s. </w:t>
      </w:r>
      <w:r w:rsidRPr="00D63CA8">
        <w:rPr>
          <w:i/>
          <w:lang w:val="en-CA"/>
        </w:rPr>
        <w:t>776</w:t>
      </w:r>
      <w:r w:rsidRPr="00D63CA8">
        <w:rPr>
          <w:i/>
          <w:iCs/>
          <w:lang w:val="en-CA"/>
        </w:rPr>
        <w:t xml:space="preserve"> </w:t>
      </w:r>
      <w:r w:rsidR="00FF7CA0" w:rsidRPr="00FF7CA0">
        <w:rPr>
          <w:i/>
          <w:iCs/>
          <w:lang w:val="en-CA"/>
        </w:rPr>
        <w:t>Cr. C</w:t>
      </w:r>
      <w:r w:rsidR="004119A7" w:rsidRPr="00D63CA8">
        <w:rPr>
          <w:i/>
          <w:iCs/>
          <w:lang w:val="en-CA"/>
        </w:rPr>
        <w:t>.</w:t>
      </w:r>
      <w:r w:rsidRPr="00D63CA8">
        <w:rPr>
          <w:lang w:val="en-CA"/>
        </w:rPr>
        <w:t xml:space="preserve">] does not destroy or affect the right which the Crown has had for many years to ask and obtain </w:t>
      </w:r>
      <w:r w:rsidRPr="00D63CA8">
        <w:rPr>
          <w:i/>
          <w:lang w:val="en-CA"/>
        </w:rPr>
        <w:t>certiorari</w:t>
      </w:r>
      <w:r w:rsidRPr="00D63CA8">
        <w:rPr>
          <w:lang w:val="en-CA"/>
        </w:rPr>
        <w:t xml:space="preserve"> for the purpose of bringing the proceedings of inferior tribunals before superior Courts. He contended that this prerogative right of the Crown cannot be taken away unless the Crown be expressly mentioned or unless the language of the statute be such as to show a clear legislative intention to bind the Crown. He referred, </w:t>
      </w:r>
      <w:r w:rsidRPr="00D63CA8">
        <w:rPr>
          <w:i/>
          <w:lang w:val="en-CA"/>
        </w:rPr>
        <w:t>inter alia</w:t>
      </w:r>
      <w:r w:rsidRPr="00D63CA8">
        <w:rPr>
          <w:lang w:val="en-CA"/>
        </w:rPr>
        <w:t xml:space="preserve">, to </w:t>
      </w:r>
      <w:r w:rsidRPr="00D63CA8">
        <w:rPr>
          <w:i/>
          <w:lang w:val="en-CA"/>
        </w:rPr>
        <w:t xml:space="preserve">Re Martin and </w:t>
      </w:r>
      <w:proofErr w:type="spellStart"/>
      <w:r w:rsidRPr="00D63CA8">
        <w:rPr>
          <w:i/>
          <w:lang w:val="en-CA"/>
        </w:rPr>
        <w:t>Garlow</w:t>
      </w:r>
      <w:proofErr w:type="spellEnd"/>
      <w:r w:rsidRPr="00D63CA8">
        <w:rPr>
          <w:lang w:val="en-CA"/>
        </w:rPr>
        <w:t xml:space="preserve"> (1910), 15 </w:t>
      </w:r>
      <w:proofErr w:type="spellStart"/>
      <w:r w:rsidRPr="00D63CA8">
        <w:rPr>
          <w:lang w:val="en-CA"/>
        </w:rPr>
        <w:t>C.C.C</w:t>
      </w:r>
      <w:proofErr w:type="spellEnd"/>
      <w:r w:rsidRPr="00D63CA8">
        <w:rPr>
          <w:lang w:val="en-CA"/>
        </w:rPr>
        <w:t xml:space="preserve">. 446, 20 O.L.R. 295, and to </w:t>
      </w:r>
      <w:r w:rsidRPr="00D63CA8">
        <w:rPr>
          <w:i/>
          <w:lang w:val="en-CA"/>
        </w:rPr>
        <w:t>R. v. On Sing</w:t>
      </w:r>
      <w:r w:rsidRPr="00D63CA8">
        <w:rPr>
          <w:lang w:val="en-CA"/>
        </w:rPr>
        <w:t xml:space="preserve">, [1924] 2 </w:t>
      </w:r>
      <w:proofErr w:type="spellStart"/>
      <w:r w:rsidRPr="00D63CA8">
        <w:rPr>
          <w:lang w:val="en-CA"/>
        </w:rPr>
        <w:t>W.W.R</w:t>
      </w:r>
      <w:proofErr w:type="spellEnd"/>
      <w:r w:rsidRPr="00D63CA8">
        <w:rPr>
          <w:lang w:val="en-CA"/>
        </w:rPr>
        <w:t xml:space="preserve">. 258. </w:t>
      </w:r>
    </w:p>
    <w:p w14:paraId="6086D7FD" w14:textId="77777777" w:rsidR="00514E9A" w:rsidRPr="00D63CA8" w:rsidRDefault="003F7B75" w:rsidP="00514E9A">
      <w:pPr>
        <w:pStyle w:val="Citationenretrait"/>
        <w:spacing w:line="240" w:lineRule="auto"/>
        <w:rPr>
          <w:lang w:val="en-CA"/>
        </w:rPr>
      </w:pPr>
      <w:r w:rsidRPr="00D63CA8">
        <w:rPr>
          <w:lang w:val="en-CA"/>
        </w:rPr>
        <w:t xml:space="preserve">The general principle is stated in 11 Hals, 3rd ed., p. 138, para. 259, as follows: </w:t>
      </w:r>
    </w:p>
    <w:p w14:paraId="3018DD7A" w14:textId="77777777" w:rsidR="00514E9A" w:rsidRPr="00D63CA8" w:rsidRDefault="003F7B75" w:rsidP="00514E9A">
      <w:pPr>
        <w:pStyle w:val="Citationenretrait"/>
        <w:spacing w:line="240" w:lineRule="auto"/>
        <w:ind w:left="1440"/>
        <w:rPr>
          <w:sz w:val="20"/>
          <w:lang w:val="en-CA"/>
        </w:rPr>
      </w:pPr>
      <w:r w:rsidRPr="00D63CA8">
        <w:rPr>
          <w:sz w:val="20"/>
          <w:lang w:val="en-CA"/>
        </w:rPr>
        <w:t xml:space="preserve">Effect upon Crown. Although certiorari is taken away by statute, the order may nevertheless be granted on the application of the Crown. Clauses by which certiorari is taken away do not affect the Crown, unless it is expressly mentioned, or unless there are words to show a clear intention that the Crown shall be included in the operation of those clauses. This rule extends, unless a contrary intention is manifested, to private persons prosecuting in the name of the Queen, though the Crown is not directly interested, and though the prosecutor may have become nominally the defendant. </w:t>
      </w:r>
    </w:p>
    <w:p w14:paraId="44F55F9F" w14:textId="52E4EE8E" w:rsidR="00514E9A" w:rsidRPr="00D63CA8" w:rsidRDefault="003F7B75" w:rsidP="00514E9A">
      <w:pPr>
        <w:pStyle w:val="Citationenretrait"/>
        <w:spacing w:line="240" w:lineRule="auto"/>
        <w:rPr>
          <w:lang w:val="en-CA"/>
        </w:rPr>
      </w:pPr>
      <w:r w:rsidRPr="00D63CA8">
        <w:rPr>
          <w:lang w:val="en-CA"/>
        </w:rPr>
        <w:t xml:space="preserve">This principle of interpretation applies to the statutory provision under consideration by virtue of the </w:t>
      </w:r>
      <w:r w:rsidRPr="00D63CA8">
        <w:rPr>
          <w:i/>
          <w:lang w:val="en-CA"/>
        </w:rPr>
        <w:t>Interpretation Act</w:t>
      </w:r>
      <w:r w:rsidRPr="00D63CA8">
        <w:rPr>
          <w:lang w:val="en-CA"/>
        </w:rPr>
        <w:t>, 1967-68 (Can.), s. 16 [</w:t>
      </w:r>
      <w:r w:rsidR="001F62C9" w:rsidRPr="00D63CA8">
        <w:rPr>
          <w:i/>
          <w:lang w:val="en-CA"/>
        </w:rPr>
        <w:t>now</w:t>
      </w:r>
      <w:r w:rsidRPr="00D63CA8">
        <w:rPr>
          <w:i/>
          <w:lang w:val="en-CA"/>
        </w:rPr>
        <w:t xml:space="preserve"> </w:t>
      </w:r>
      <w:r w:rsidR="001F62C9" w:rsidRPr="00D63CA8">
        <w:rPr>
          <w:i/>
          <w:lang w:val="en-CA"/>
        </w:rPr>
        <w:t>s. </w:t>
      </w:r>
      <w:r w:rsidRPr="00D63CA8">
        <w:rPr>
          <w:i/>
          <w:lang w:val="en-CA"/>
        </w:rPr>
        <w:t>17</w:t>
      </w:r>
      <w:r w:rsidRPr="00D63CA8">
        <w:rPr>
          <w:lang w:val="en-CA"/>
        </w:rPr>
        <w:t xml:space="preserve">], which reads: </w:t>
      </w:r>
    </w:p>
    <w:p w14:paraId="1462297C" w14:textId="77777777" w:rsidR="00514E9A" w:rsidRPr="00D63CA8" w:rsidRDefault="003F7B75" w:rsidP="00514E9A">
      <w:pPr>
        <w:pStyle w:val="Citationenretrait"/>
        <w:spacing w:line="240" w:lineRule="auto"/>
        <w:ind w:left="1440"/>
        <w:rPr>
          <w:sz w:val="20"/>
          <w:lang w:val="en-CA"/>
        </w:rPr>
      </w:pPr>
      <w:r w:rsidRPr="00D63CA8">
        <w:rPr>
          <w:sz w:val="20"/>
          <w:lang w:val="en-CA"/>
        </w:rPr>
        <w:t xml:space="preserve">16. No enactment is binding on Her Majesty or affects Her Majesty on Her Majesty's rights or prerogatives in any manner, except only as therein mentioned or referred to. </w:t>
      </w:r>
    </w:p>
    <w:p w14:paraId="14DE41E8" w14:textId="22CC42D1" w:rsidR="00514E9A" w:rsidRPr="00D63CA8" w:rsidRDefault="003F7B75" w:rsidP="00514E9A">
      <w:pPr>
        <w:pStyle w:val="Citationenretrait"/>
        <w:spacing w:line="240" w:lineRule="auto"/>
        <w:rPr>
          <w:lang w:val="en-CA"/>
        </w:rPr>
      </w:pPr>
      <w:r w:rsidRPr="00D63CA8">
        <w:rPr>
          <w:lang w:val="en-CA"/>
        </w:rPr>
        <w:t>The rights and prerogatives of the Crown are not mentioned or referred to in s.</w:t>
      </w:r>
      <w:r w:rsidR="00E7510F" w:rsidRPr="00D63CA8">
        <w:rPr>
          <w:lang w:val="en-CA"/>
        </w:rPr>
        <w:t> </w:t>
      </w:r>
      <w:r w:rsidRPr="00D63CA8">
        <w:rPr>
          <w:lang w:val="en-CA"/>
        </w:rPr>
        <w:t xml:space="preserve">682. Consideration of the section itself does not show a clear intention that the Crown should be included in its operation. On the contrary, para. (b) indicates an intention to deal with procedures available to defendants only. The application of s. 682 to motions by the Crown for </w:t>
      </w:r>
      <w:r w:rsidRPr="00D63CA8">
        <w:rPr>
          <w:i/>
          <w:lang w:val="en-CA"/>
        </w:rPr>
        <w:t>certiorari</w:t>
      </w:r>
      <w:r w:rsidRPr="00D63CA8">
        <w:rPr>
          <w:lang w:val="en-CA"/>
        </w:rPr>
        <w:t xml:space="preserve"> was not dealt with in </w:t>
      </w:r>
      <w:r w:rsidRPr="00D63CA8">
        <w:rPr>
          <w:i/>
          <w:lang w:val="en-CA"/>
        </w:rPr>
        <w:t>Sanders v. The Queen</w:t>
      </w:r>
      <w:r w:rsidRPr="00D63CA8">
        <w:rPr>
          <w:lang w:val="en-CA"/>
        </w:rPr>
        <w:t xml:space="preserve"> which was a case of a person found to be a criminal sexual psychopath who sought </w:t>
      </w:r>
      <w:r w:rsidRPr="00D63CA8">
        <w:rPr>
          <w:i/>
          <w:lang w:val="en-CA"/>
        </w:rPr>
        <w:t>habeas corpus</w:t>
      </w:r>
      <w:r w:rsidRPr="00D63CA8">
        <w:rPr>
          <w:lang w:val="en-CA"/>
        </w:rPr>
        <w:t xml:space="preserve"> with </w:t>
      </w:r>
      <w:r w:rsidRPr="00D63CA8">
        <w:rPr>
          <w:i/>
          <w:lang w:val="en-CA"/>
        </w:rPr>
        <w:t>certiorari</w:t>
      </w:r>
      <w:r w:rsidRPr="00D63CA8">
        <w:rPr>
          <w:lang w:val="en-CA"/>
        </w:rPr>
        <w:t xml:space="preserve"> in aid. </w:t>
      </w:r>
    </w:p>
    <w:p w14:paraId="3210B8AB" w14:textId="77777777" w:rsidR="00E3258A" w:rsidRPr="00D63CA8" w:rsidRDefault="00E3258A">
      <w:pPr>
        <w:spacing w:line="240" w:lineRule="auto"/>
        <w:rPr>
          <w:kern w:val="24"/>
          <w:sz w:val="22"/>
          <w:lang w:val="en-CA"/>
        </w:rPr>
      </w:pPr>
      <w:r w:rsidRPr="00D63CA8">
        <w:rPr>
          <w:lang w:val="en-CA"/>
        </w:rPr>
        <w:br w:type="page"/>
      </w:r>
    </w:p>
    <w:p w14:paraId="6F9DEE18" w14:textId="48459FD0" w:rsidR="006203C5" w:rsidRDefault="003F7B75" w:rsidP="006203C5">
      <w:pPr>
        <w:pStyle w:val="Citationenretrait"/>
        <w:spacing w:line="240" w:lineRule="auto"/>
        <w:rPr>
          <w:lang w:val="en-CA"/>
        </w:rPr>
      </w:pPr>
      <w:r w:rsidRPr="00D63CA8">
        <w:rPr>
          <w:lang w:val="en-CA"/>
        </w:rPr>
        <w:lastRenderedPageBreak/>
        <w:t xml:space="preserve">I am accordingly of the opinion that Code, s. 682 does not prevent the removal by </w:t>
      </w:r>
      <w:r w:rsidRPr="00D63CA8">
        <w:rPr>
          <w:i/>
          <w:lang w:val="en-CA"/>
        </w:rPr>
        <w:t>certiorari</w:t>
      </w:r>
      <w:r w:rsidRPr="00D63CA8">
        <w:rPr>
          <w:lang w:val="en-CA"/>
        </w:rPr>
        <w:t xml:space="preserve"> of a conviction or order on the application of the Crown.</w:t>
      </w:r>
    </w:p>
    <w:p w14:paraId="7CD7686C" w14:textId="6A93D221" w:rsidR="00A8020B" w:rsidRPr="000D1EAA" w:rsidRDefault="00970C45" w:rsidP="006203C5">
      <w:pPr>
        <w:pStyle w:val="Citationenretrait"/>
        <w:spacing w:line="240" w:lineRule="auto"/>
        <w:ind w:left="0"/>
        <w:rPr>
          <w:lang w:val="en-CA"/>
        </w:rPr>
      </w:pPr>
      <w:r w:rsidRPr="005C3D54">
        <w:rPr>
          <w:rFonts w:cs="Arial"/>
          <w:sz w:val="24"/>
          <w:szCs w:val="24"/>
          <w:lang w:val="en-CA"/>
        </w:rPr>
        <w:t>[36]</w:t>
      </w:r>
      <w:r w:rsidRPr="005C3D54">
        <w:rPr>
          <w:rFonts w:cs="Arial"/>
          <w:sz w:val="24"/>
          <w:szCs w:val="24"/>
          <w:lang w:val="en-CA"/>
        </w:rPr>
        <w:tab/>
      </w:r>
      <w:r w:rsidR="00A8020B" w:rsidRPr="005C3D54">
        <w:rPr>
          <w:sz w:val="24"/>
          <w:szCs w:val="24"/>
          <w:lang w:val="en-CA"/>
        </w:rPr>
        <w:t xml:space="preserve">This approach was </w:t>
      </w:r>
      <w:r w:rsidR="005C2097" w:rsidRPr="005C3D54">
        <w:rPr>
          <w:sz w:val="24"/>
          <w:szCs w:val="24"/>
          <w:lang w:val="en-CA"/>
        </w:rPr>
        <w:t>af</w:t>
      </w:r>
      <w:r w:rsidR="00A8020B" w:rsidRPr="005C3D54">
        <w:rPr>
          <w:sz w:val="24"/>
          <w:szCs w:val="24"/>
          <w:lang w:val="en-CA"/>
        </w:rPr>
        <w:t xml:space="preserve">firmed by the </w:t>
      </w:r>
      <w:r w:rsidR="003F7B75" w:rsidRPr="005C3D54">
        <w:rPr>
          <w:iCs/>
          <w:sz w:val="24"/>
          <w:szCs w:val="24"/>
          <w:lang w:val="en-CA"/>
        </w:rPr>
        <w:t xml:space="preserve">Supreme Court of Alberta Appeal Division </w:t>
      </w:r>
      <w:r w:rsidR="00A8020B" w:rsidRPr="005C3D54">
        <w:rPr>
          <w:sz w:val="24"/>
          <w:szCs w:val="24"/>
          <w:lang w:val="en-CA"/>
        </w:rPr>
        <w:t xml:space="preserve">in </w:t>
      </w:r>
      <w:r w:rsidR="003F7B75" w:rsidRPr="005C3D54">
        <w:rPr>
          <w:i/>
          <w:sz w:val="24"/>
          <w:szCs w:val="24"/>
          <w:lang w:val="en-CA"/>
        </w:rPr>
        <w:t xml:space="preserve">R. </w:t>
      </w:r>
      <w:r w:rsidR="00A8020B" w:rsidRPr="005C3D54">
        <w:rPr>
          <w:i/>
          <w:sz w:val="24"/>
          <w:szCs w:val="24"/>
          <w:lang w:val="en-CA"/>
        </w:rPr>
        <w:t>v</w:t>
      </w:r>
      <w:r w:rsidR="003F7B75" w:rsidRPr="005C3D54">
        <w:rPr>
          <w:i/>
          <w:sz w:val="24"/>
          <w:szCs w:val="24"/>
          <w:lang w:val="en-CA"/>
        </w:rPr>
        <w:t>. Conley</w:t>
      </w:r>
      <w:r w:rsidR="003F7B75" w:rsidRPr="000D1EAA">
        <w:rPr>
          <w:rStyle w:val="Appelnotedebasdep"/>
          <w:lang w:val="en-CA"/>
        </w:rPr>
        <w:footnoteReference w:id="23"/>
      </w:r>
      <w:r w:rsidR="003F7B75" w:rsidRPr="000D1EAA">
        <w:rPr>
          <w:lang w:val="en-CA"/>
        </w:rPr>
        <w:t xml:space="preserve"> </w:t>
      </w:r>
      <w:r w:rsidR="00A8020B" w:rsidRPr="005C3D54">
        <w:rPr>
          <w:sz w:val="24"/>
          <w:szCs w:val="24"/>
          <w:lang w:val="en-CA"/>
        </w:rPr>
        <w:t xml:space="preserve">and taken up by the </w:t>
      </w:r>
      <w:r w:rsidR="00407772" w:rsidRPr="005C3D54">
        <w:rPr>
          <w:sz w:val="24"/>
          <w:szCs w:val="24"/>
          <w:lang w:val="en-CA"/>
        </w:rPr>
        <w:t xml:space="preserve">Superior </w:t>
      </w:r>
      <w:r w:rsidR="007D535C" w:rsidRPr="005C3D54">
        <w:rPr>
          <w:sz w:val="24"/>
          <w:szCs w:val="24"/>
          <w:lang w:val="en-CA"/>
        </w:rPr>
        <w:t>Court of Québec</w:t>
      </w:r>
      <w:r w:rsidR="003F7B75" w:rsidRPr="005C3D54">
        <w:rPr>
          <w:sz w:val="24"/>
          <w:szCs w:val="24"/>
          <w:lang w:val="en-CA"/>
        </w:rPr>
        <w:t xml:space="preserve"> </w:t>
      </w:r>
      <w:r w:rsidR="00A8020B" w:rsidRPr="005C3D54">
        <w:rPr>
          <w:sz w:val="24"/>
          <w:szCs w:val="24"/>
          <w:lang w:val="en-CA"/>
        </w:rPr>
        <w:t xml:space="preserve">in </w:t>
      </w:r>
      <w:r w:rsidR="003F7B75" w:rsidRPr="005C3D54">
        <w:rPr>
          <w:i/>
          <w:sz w:val="24"/>
          <w:szCs w:val="24"/>
          <w:lang w:val="en-CA"/>
        </w:rPr>
        <w:t>R. c. Henry</w:t>
      </w:r>
      <w:r w:rsidR="00A8020B" w:rsidRPr="000D1EAA">
        <w:rPr>
          <w:iCs/>
          <w:lang w:val="en-CA"/>
        </w:rPr>
        <w:t>,</w:t>
      </w:r>
      <w:r w:rsidR="003F7B75" w:rsidRPr="000D1EAA">
        <w:rPr>
          <w:rStyle w:val="Appelnotedebasdep"/>
          <w:lang w:val="en-CA"/>
        </w:rPr>
        <w:footnoteReference w:id="24"/>
      </w:r>
      <w:r w:rsidR="003F7B75" w:rsidRPr="000D1EAA">
        <w:rPr>
          <w:lang w:val="en-CA"/>
        </w:rPr>
        <w:t xml:space="preserve"> </w:t>
      </w:r>
      <w:r w:rsidR="009B6B89" w:rsidRPr="005C3D54">
        <w:rPr>
          <w:sz w:val="24"/>
          <w:szCs w:val="24"/>
          <w:lang w:val="en-CA"/>
        </w:rPr>
        <w:t>in which</w:t>
      </w:r>
      <w:r w:rsidR="00A8020B" w:rsidRPr="005C3D54">
        <w:rPr>
          <w:sz w:val="24"/>
          <w:szCs w:val="24"/>
          <w:lang w:val="en-CA"/>
        </w:rPr>
        <w:t xml:space="preserve"> </w:t>
      </w:r>
      <w:r w:rsidR="000B0938" w:rsidRPr="005C3D54">
        <w:rPr>
          <w:sz w:val="24"/>
          <w:szCs w:val="24"/>
          <w:lang w:val="en-CA"/>
        </w:rPr>
        <w:t>the Honourable</w:t>
      </w:r>
      <w:r w:rsidR="00A8020B" w:rsidRPr="005C3D54">
        <w:rPr>
          <w:sz w:val="24"/>
          <w:szCs w:val="24"/>
          <w:lang w:val="en-CA"/>
        </w:rPr>
        <w:t xml:space="preserve"> </w:t>
      </w:r>
      <w:r w:rsidR="003F7B75" w:rsidRPr="005C3D54">
        <w:rPr>
          <w:sz w:val="24"/>
          <w:szCs w:val="24"/>
          <w:lang w:val="en-CA"/>
        </w:rPr>
        <w:t xml:space="preserve">Pierre Béliveau </w:t>
      </w:r>
      <w:r w:rsidR="00A8020B" w:rsidRPr="005C3D54">
        <w:rPr>
          <w:sz w:val="24"/>
          <w:szCs w:val="24"/>
          <w:lang w:val="en-CA"/>
        </w:rPr>
        <w:t>stated</w:t>
      </w:r>
      <w:r w:rsidR="00A8020B" w:rsidRPr="000D1EAA">
        <w:rPr>
          <w:lang w:val="en-CA"/>
        </w:rPr>
        <w:t>:</w:t>
      </w:r>
      <w:r w:rsidR="003F7B75" w:rsidRPr="000D1EAA">
        <w:rPr>
          <w:rStyle w:val="Appelnotedebasdep"/>
          <w:lang w:val="en-CA"/>
        </w:rPr>
        <w:footnoteReference w:id="25"/>
      </w:r>
    </w:p>
    <w:p w14:paraId="3E1BC210" w14:textId="4540F72B" w:rsidR="00A8020B" w:rsidRPr="000D1EAA" w:rsidRDefault="001D196F" w:rsidP="00A8020B">
      <w:pPr>
        <w:pStyle w:val="Paragraphe"/>
        <w:numPr>
          <w:ilvl w:val="0"/>
          <w:numId w:val="0"/>
        </w:numPr>
        <w:spacing w:before="240" w:line="240" w:lineRule="auto"/>
        <w:ind w:left="720"/>
        <w:rPr>
          <w:lang w:val="en-CA"/>
        </w:rPr>
      </w:pPr>
      <w:r w:rsidRPr="000D1EAA">
        <w:rPr>
          <w:lang w:val="en-CA"/>
        </w:rPr>
        <w:t>[</w:t>
      </w:r>
      <w:r w:rsidR="00611604" w:rsidRPr="00611604">
        <w:rPr>
          <w:smallCaps/>
          <w:lang w:val="en-CA"/>
        </w:rPr>
        <w:t>translation</w:t>
      </w:r>
      <w:r w:rsidRPr="000D1EAA">
        <w:rPr>
          <w:lang w:val="en-CA"/>
        </w:rPr>
        <w:t>]</w:t>
      </w:r>
    </w:p>
    <w:p w14:paraId="209C065F" w14:textId="4250C36D" w:rsidR="00514E9A" w:rsidRPr="000D1EAA" w:rsidRDefault="003F7B75" w:rsidP="00514E9A">
      <w:pPr>
        <w:pStyle w:val="Citationenretrait"/>
        <w:spacing w:line="240" w:lineRule="auto"/>
        <w:rPr>
          <w:lang w:val="en-CA"/>
        </w:rPr>
      </w:pPr>
      <w:bookmarkStart w:id="26" w:name="par5"/>
      <w:r w:rsidRPr="000D1EAA">
        <w:rPr>
          <w:lang w:val="en-CA"/>
        </w:rPr>
        <w:t>[5</w:t>
      </w:r>
      <w:bookmarkEnd w:id="26"/>
      <w:r w:rsidRPr="000D1EAA">
        <w:rPr>
          <w:lang w:val="en-CA"/>
        </w:rPr>
        <w:t>]</w:t>
      </w:r>
      <w:r w:rsidRPr="000D1EAA">
        <w:rPr>
          <w:lang w:val="en-CA"/>
        </w:rPr>
        <w:tab/>
      </w:r>
      <w:r w:rsidR="00A8020B" w:rsidRPr="000D1EAA">
        <w:rPr>
          <w:lang w:val="en-CA"/>
        </w:rPr>
        <w:t xml:space="preserve">To the extent that, in criminal law, the right to appeal is statutory, this clearly </w:t>
      </w:r>
      <w:r w:rsidR="005C3D54">
        <w:rPr>
          <w:lang w:val="en-CA"/>
        </w:rPr>
        <w:t>raises</w:t>
      </w:r>
      <w:r w:rsidR="00A8020B" w:rsidRPr="000D1EAA">
        <w:rPr>
          <w:lang w:val="en-CA"/>
        </w:rPr>
        <w:t xml:space="preserve"> the </w:t>
      </w:r>
      <w:r w:rsidR="005C3D54">
        <w:rPr>
          <w:lang w:val="en-CA"/>
        </w:rPr>
        <w:t>question</w:t>
      </w:r>
      <w:r w:rsidRPr="000D1EAA">
        <w:rPr>
          <w:lang w:val="en-CA"/>
        </w:rPr>
        <w:t xml:space="preserve"> </w:t>
      </w:r>
      <w:r w:rsidR="00A8020B" w:rsidRPr="000D1EAA">
        <w:rPr>
          <w:lang w:val="en-CA"/>
        </w:rPr>
        <w:t xml:space="preserve">of the admissibility of </w:t>
      </w:r>
      <w:r w:rsidR="005E2084">
        <w:rPr>
          <w:lang w:val="en-CA"/>
        </w:rPr>
        <w:t>this</w:t>
      </w:r>
      <w:r w:rsidR="00A8020B" w:rsidRPr="000D1EAA">
        <w:rPr>
          <w:lang w:val="en-CA"/>
        </w:rPr>
        <w:t xml:space="preserve"> </w:t>
      </w:r>
      <w:r w:rsidR="00611604">
        <w:rPr>
          <w:lang w:val="en-CA"/>
        </w:rPr>
        <w:t>appeal</w:t>
      </w:r>
      <w:r w:rsidR="00A8020B" w:rsidRPr="000D1EAA">
        <w:rPr>
          <w:lang w:val="en-CA"/>
        </w:rPr>
        <w:t xml:space="preserve"> against the order rendered </w:t>
      </w:r>
      <w:r w:rsidR="005C3D54">
        <w:rPr>
          <w:lang w:val="en-CA"/>
        </w:rPr>
        <w:t>under</w:t>
      </w:r>
      <w:r w:rsidR="00A8020B" w:rsidRPr="000D1EAA">
        <w:rPr>
          <w:lang w:val="en-CA"/>
        </w:rPr>
        <w:t xml:space="preserve"> s</w:t>
      </w:r>
      <w:r w:rsidR="00611604">
        <w:rPr>
          <w:lang w:val="en-CA"/>
        </w:rPr>
        <w:t>. </w:t>
      </w:r>
      <w:r w:rsidRPr="000D1EAA">
        <w:rPr>
          <w:lang w:val="en-CA"/>
        </w:rPr>
        <w:t xml:space="preserve">810. </w:t>
      </w:r>
      <w:r w:rsidR="00611604">
        <w:rPr>
          <w:lang w:val="en-CA"/>
        </w:rPr>
        <w:t>On</w:t>
      </w:r>
      <w:r w:rsidR="00A8020B" w:rsidRPr="000D1EAA">
        <w:rPr>
          <w:lang w:val="en-CA"/>
        </w:rPr>
        <w:t xml:space="preserve"> the second day of the hearing, </w:t>
      </w:r>
      <w:r w:rsidR="005E2084">
        <w:rPr>
          <w:lang w:val="en-CA"/>
        </w:rPr>
        <w:t xml:space="preserve">therefore, </w:t>
      </w:r>
      <w:r w:rsidR="00A8020B" w:rsidRPr="000D1EAA">
        <w:rPr>
          <w:lang w:val="en-CA"/>
        </w:rPr>
        <w:t>the appel</w:t>
      </w:r>
      <w:r w:rsidR="00B0663B" w:rsidRPr="000D1EAA">
        <w:rPr>
          <w:lang w:val="en-CA"/>
        </w:rPr>
        <w:t>l</w:t>
      </w:r>
      <w:r w:rsidR="00A8020B" w:rsidRPr="000D1EAA">
        <w:rPr>
          <w:lang w:val="en-CA"/>
        </w:rPr>
        <w:t xml:space="preserve">ant </w:t>
      </w:r>
      <w:r w:rsidR="00B0663B" w:rsidRPr="000D1EAA">
        <w:rPr>
          <w:lang w:val="en-CA"/>
        </w:rPr>
        <w:t xml:space="preserve">sought </w:t>
      </w:r>
      <w:r w:rsidR="005841F3">
        <w:rPr>
          <w:lang w:val="en-CA"/>
        </w:rPr>
        <w:t>leave</w:t>
      </w:r>
      <w:r w:rsidRPr="000D1EAA">
        <w:rPr>
          <w:lang w:val="en-CA"/>
        </w:rPr>
        <w:t xml:space="preserve"> </w:t>
      </w:r>
      <w:r w:rsidR="00B0663B" w:rsidRPr="000D1EAA">
        <w:rPr>
          <w:lang w:val="en-CA"/>
        </w:rPr>
        <w:t xml:space="preserve">under </w:t>
      </w:r>
      <w:r w:rsidR="00CA75DC" w:rsidRPr="000D1EAA">
        <w:rPr>
          <w:lang w:val="en-CA"/>
        </w:rPr>
        <w:t>s</w:t>
      </w:r>
      <w:r w:rsidR="005C3D54">
        <w:rPr>
          <w:lang w:val="en-CA"/>
        </w:rPr>
        <w:t>.</w:t>
      </w:r>
      <w:r w:rsidRPr="000D1EAA">
        <w:rPr>
          <w:lang w:val="en-CA"/>
        </w:rPr>
        <w:t xml:space="preserve"> 18 </w:t>
      </w:r>
      <w:r w:rsidR="00CA75DC" w:rsidRPr="000D1EAA">
        <w:rPr>
          <w:lang w:val="en-CA"/>
        </w:rPr>
        <w:t xml:space="preserve">of the </w:t>
      </w:r>
      <w:r w:rsidR="00CA75DC" w:rsidRPr="009B6B89">
        <w:rPr>
          <w:i/>
          <w:iCs/>
          <w:lang w:val="en-CA"/>
        </w:rPr>
        <w:t xml:space="preserve">Rules of Practice of the </w:t>
      </w:r>
      <w:r w:rsidR="00407772" w:rsidRPr="009B6B89">
        <w:rPr>
          <w:i/>
          <w:iCs/>
          <w:lang w:val="en-CA"/>
        </w:rPr>
        <w:t>Superior Court</w:t>
      </w:r>
      <w:r w:rsidRPr="009B6B89">
        <w:rPr>
          <w:i/>
          <w:iCs/>
          <w:lang w:val="en-CA"/>
        </w:rPr>
        <w:t xml:space="preserve">, </w:t>
      </w:r>
      <w:r w:rsidR="00CA75DC" w:rsidRPr="009B6B89">
        <w:rPr>
          <w:i/>
          <w:iCs/>
          <w:lang w:val="en-CA"/>
        </w:rPr>
        <w:t>Criminal Division</w:t>
      </w:r>
      <w:r w:rsidRPr="000D1EAA">
        <w:rPr>
          <w:lang w:val="en-CA"/>
        </w:rPr>
        <w:t xml:space="preserve">, </w:t>
      </w:r>
      <w:r w:rsidR="00CA75DC" w:rsidRPr="000D1EAA">
        <w:rPr>
          <w:lang w:val="en-CA"/>
        </w:rPr>
        <w:t xml:space="preserve">to extend the 30-day time </w:t>
      </w:r>
      <w:r w:rsidR="005C3D54">
        <w:rPr>
          <w:lang w:val="en-CA"/>
        </w:rPr>
        <w:t>limit</w:t>
      </w:r>
      <w:r w:rsidR="00CA75DC" w:rsidRPr="000D1EAA">
        <w:rPr>
          <w:lang w:val="en-CA"/>
        </w:rPr>
        <w:t xml:space="preserve"> to appeal for </w:t>
      </w:r>
      <w:r w:rsidRPr="000D1EAA">
        <w:rPr>
          <w:i/>
          <w:lang w:val="en-CA"/>
        </w:rPr>
        <w:t>certiorari</w:t>
      </w:r>
      <w:r w:rsidRPr="000D1EAA">
        <w:rPr>
          <w:lang w:val="en-CA"/>
        </w:rPr>
        <w:t xml:space="preserve">. </w:t>
      </w:r>
      <w:r w:rsidR="00CA75DC" w:rsidRPr="000D1EAA">
        <w:rPr>
          <w:lang w:val="en-CA"/>
        </w:rPr>
        <w:t xml:space="preserve">Since the </w:t>
      </w:r>
      <w:r w:rsidR="007C62E4" w:rsidRPr="000D1EAA">
        <w:rPr>
          <w:lang w:val="en-CA"/>
        </w:rPr>
        <w:t>respondent</w:t>
      </w:r>
      <w:r w:rsidRPr="000D1EAA">
        <w:rPr>
          <w:lang w:val="en-CA"/>
        </w:rPr>
        <w:t xml:space="preserve"> </w:t>
      </w:r>
      <w:r w:rsidR="00CB14ED">
        <w:rPr>
          <w:lang w:val="en-CA"/>
        </w:rPr>
        <w:t>did not object</w:t>
      </w:r>
      <w:r w:rsidR="00CA75DC" w:rsidRPr="000D1EAA">
        <w:rPr>
          <w:lang w:val="en-CA"/>
        </w:rPr>
        <w:t xml:space="preserve">, the Court </w:t>
      </w:r>
      <w:r w:rsidR="00EF759A">
        <w:rPr>
          <w:lang w:val="en-CA"/>
        </w:rPr>
        <w:t>granted</w:t>
      </w:r>
      <w:r w:rsidR="00CA75DC" w:rsidRPr="000D1EAA">
        <w:rPr>
          <w:lang w:val="en-CA"/>
        </w:rPr>
        <w:t xml:space="preserve"> the application and allowed the appellant to verbally present an application for </w:t>
      </w:r>
      <w:r w:rsidRPr="000D1EAA">
        <w:rPr>
          <w:i/>
          <w:lang w:val="en-CA"/>
        </w:rPr>
        <w:t>certiorari</w:t>
      </w:r>
      <w:r w:rsidRPr="000D1EAA">
        <w:rPr>
          <w:lang w:val="en-CA"/>
        </w:rPr>
        <w:t xml:space="preserve">. </w:t>
      </w:r>
      <w:r w:rsidR="00CA75DC" w:rsidRPr="000D1EAA">
        <w:rPr>
          <w:u w:val="single"/>
          <w:lang w:val="en-CA"/>
        </w:rPr>
        <w:t xml:space="preserve">In this regard, the undersigned </w:t>
      </w:r>
      <w:r w:rsidR="00D9611B">
        <w:rPr>
          <w:u w:val="single"/>
          <w:lang w:val="en-CA"/>
        </w:rPr>
        <w:t>states</w:t>
      </w:r>
      <w:r w:rsidR="00D9611B" w:rsidRPr="000D1EAA">
        <w:rPr>
          <w:u w:val="single"/>
          <w:lang w:val="en-CA"/>
        </w:rPr>
        <w:t xml:space="preserve"> </w:t>
      </w:r>
      <w:r w:rsidR="00CA75DC" w:rsidRPr="000D1EAA">
        <w:rPr>
          <w:u w:val="single"/>
          <w:lang w:val="en-CA"/>
        </w:rPr>
        <w:t xml:space="preserve">that the provisions of </w:t>
      </w:r>
      <w:r w:rsidR="004D52C6" w:rsidRPr="000D1EAA">
        <w:rPr>
          <w:u w:val="single"/>
          <w:lang w:val="en-CA"/>
        </w:rPr>
        <w:t>s</w:t>
      </w:r>
      <w:r w:rsidR="00EF759A">
        <w:rPr>
          <w:u w:val="single"/>
          <w:lang w:val="en-CA"/>
        </w:rPr>
        <w:t>. </w:t>
      </w:r>
      <w:r w:rsidRPr="000D1EAA">
        <w:rPr>
          <w:u w:val="single"/>
          <w:lang w:val="en-CA"/>
        </w:rPr>
        <w:t xml:space="preserve">776 </w:t>
      </w:r>
      <w:r w:rsidR="00FF7CA0" w:rsidRPr="00FF7CA0">
        <w:rPr>
          <w:i/>
          <w:iCs/>
          <w:u w:val="single"/>
          <w:lang w:val="en-CA"/>
        </w:rPr>
        <w:t>Cr. C</w:t>
      </w:r>
      <w:r w:rsidR="004119A7" w:rsidRPr="003F11D7">
        <w:rPr>
          <w:i/>
          <w:iCs/>
          <w:u w:val="single"/>
          <w:lang w:val="en-CA"/>
        </w:rPr>
        <w:t>.</w:t>
      </w:r>
      <w:r w:rsidRPr="000D1EAA">
        <w:rPr>
          <w:u w:val="single"/>
          <w:lang w:val="en-CA"/>
        </w:rPr>
        <w:t xml:space="preserve">, </w:t>
      </w:r>
      <w:r w:rsidR="004D52C6" w:rsidRPr="000D1EAA">
        <w:rPr>
          <w:u w:val="single"/>
          <w:lang w:val="en-CA"/>
        </w:rPr>
        <w:t>which prohibit such a remedy when an appeal may be taken, may not be set up against the Crown</w:t>
      </w:r>
      <w:r w:rsidRPr="000D1EAA">
        <w:rPr>
          <w:lang w:val="en-CA"/>
        </w:rPr>
        <w:t xml:space="preserve"> [</w:t>
      </w:r>
      <w:r w:rsidRPr="000D1EAA">
        <w:rPr>
          <w:i/>
          <w:lang w:val="en-CA"/>
        </w:rPr>
        <w:t xml:space="preserve">R. </w:t>
      </w:r>
      <w:r w:rsidR="004D52C6" w:rsidRPr="000D1EAA">
        <w:rPr>
          <w:i/>
          <w:lang w:val="en-CA"/>
        </w:rPr>
        <w:t>v</w:t>
      </w:r>
      <w:r w:rsidRPr="000D1EAA">
        <w:rPr>
          <w:i/>
          <w:lang w:val="en-CA"/>
        </w:rPr>
        <w:t>. Conley</w:t>
      </w:r>
      <w:r w:rsidRPr="000D1EAA">
        <w:rPr>
          <w:lang w:val="en-CA"/>
        </w:rPr>
        <w:t> </w:t>
      </w:r>
      <w:r w:rsidRPr="000D1EAA">
        <w:rPr>
          <w:rStyle w:val="reflex3-missing"/>
          <w:lang w:val="en-CA"/>
        </w:rPr>
        <w:t xml:space="preserve">47 </w:t>
      </w:r>
      <w:proofErr w:type="spellStart"/>
      <w:r w:rsidRPr="000D1EAA">
        <w:rPr>
          <w:rStyle w:val="reflex3-missing"/>
          <w:lang w:val="en-CA"/>
        </w:rPr>
        <w:t>C.C.C</w:t>
      </w:r>
      <w:proofErr w:type="spellEnd"/>
      <w:r w:rsidRPr="000D1EAA">
        <w:rPr>
          <w:rStyle w:val="reflex3-missing"/>
          <w:lang w:val="en-CA"/>
        </w:rPr>
        <w:t>. (3d) 359</w:t>
      </w:r>
      <w:r w:rsidRPr="000D1EAA">
        <w:rPr>
          <w:lang w:val="en-CA"/>
        </w:rPr>
        <w:t> C.A.A.; </w:t>
      </w:r>
      <w:r w:rsidRPr="000D1EAA">
        <w:rPr>
          <w:i/>
          <w:lang w:val="en-CA"/>
        </w:rPr>
        <w:t xml:space="preserve">R. </w:t>
      </w:r>
      <w:r w:rsidR="00D20645" w:rsidRPr="000D1EAA">
        <w:rPr>
          <w:i/>
          <w:lang w:val="en-CA"/>
        </w:rPr>
        <w:t>v</w:t>
      </w:r>
      <w:r w:rsidRPr="000D1EAA">
        <w:rPr>
          <w:i/>
          <w:lang w:val="en-CA"/>
        </w:rPr>
        <w:t xml:space="preserve">. </w:t>
      </w:r>
      <w:proofErr w:type="spellStart"/>
      <w:r w:rsidRPr="000D1EAA">
        <w:rPr>
          <w:i/>
          <w:lang w:val="en-CA"/>
        </w:rPr>
        <w:t>Eross</w:t>
      </w:r>
      <w:proofErr w:type="spellEnd"/>
      <w:r w:rsidRPr="000D1EAA">
        <w:rPr>
          <w:lang w:val="en-CA"/>
        </w:rPr>
        <w:t> </w:t>
      </w:r>
      <w:r w:rsidRPr="000D1EAA">
        <w:rPr>
          <w:rStyle w:val="solexhl"/>
          <w:lang w:val="en-CA"/>
        </w:rPr>
        <w:t>1970 CanLII 1004 (BC</w:t>
      </w:r>
      <w:r w:rsidR="00946ABF">
        <w:rPr>
          <w:rStyle w:val="solexhl"/>
          <w:lang w:val="en-CA"/>
        </w:rPr>
        <w:t xml:space="preserve"> </w:t>
      </w:r>
      <w:r w:rsidRPr="000D1EAA">
        <w:rPr>
          <w:rStyle w:val="solexhl"/>
          <w:lang w:val="en-CA"/>
        </w:rPr>
        <w:t>CA)</w:t>
      </w:r>
      <w:r w:rsidRPr="000D1EAA">
        <w:rPr>
          <w:rStyle w:val="reflex3-block"/>
          <w:lang w:val="en-CA"/>
        </w:rPr>
        <w:t xml:space="preserve">, [1970] 5 </w:t>
      </w:r>
      <w:proofErr w:type="spellStart"/>
      <w:r w:rsidRPr="000D1EAA">
        <w:rPr>
          <w:rStyle w:val="reflex3-block"/>
          <w:lang w:val="en-CA"/>
        </w:rPr>
        <w:t>C.C.C</w:t>
      </w:r>
      <w:proofErr w:type="spellEnd"/>
      <w:r w:rsidRPr="000D1EAA">
        <w:rPr>
          <w:rStyle w:val="reflex3-block"/>
          <w:lang w:val="en-CA"/>
        </w:rPr>
        <w:t>. 169</w:t>
      </w:r>
      <w:r w:rsidRPr="000D1EAA">
        <w:rPr>
          <w:lang w:val="en-CA"/>
        </w:rPr>
        <w:t> </w:t>
      </w:r>
      <w:r w:rsidR="00D20645" w:rsidRPr="000D1EAA">
        <w:rPr>
          <w:lang w:val="en-CA"/>
        </w:rPr>
        <w:t>B</w:t>
      </w:r>
      <w:r w:rsidRPr="000D1EAA">
        <w:rPr>
          <w:lang w:val="en-CA"/>
        </w:rPr>
        <w:t>C</w:t>
      </w:r>
      <w:r w:rsidR="005841F3">
        <w:rPr>
          <w:lang w:val="en-CA"/>
        </w:rPr>
        <w:t xml:space="preserve"> </w:t>
      </w:r>
      <w:r w:rsidRPr="000D1EAA">
        <w:rPr>
          <w:lang w:val="en-CA"/>
        </w:rPr>
        <w:t>C</w:t>
      </w:r>
      <w:r w:rsidR="00D20645" w:rsidRPr="000D1EAA">
        <w:rPr>
          <w:lang w:val="en-CA"/>
        </w:rPr>
        <w:t>A</w:t>
      </w:r>
      <w:r w:rsidRPr="000D1EAA">
        <w:rPr>
          <w:lang w:val="en-CA"/>
        </w:rPr>
        <w:t>].</w:t>
      </w:r>
    </w:p>
    <w:p w14:paraId="1CAD3777" w14:textId="634C2C25" w:rsidR="00514E9A" w:rsidRPr="000D1EAA" w:rsidRDefault="003F7B75" w:rsidP="00514E9A">
      <w:pPr>
        <w:pStyle w:val="Citationenretrait"/>
        <w:spacing w:line="240" w:lineRule="auto"/>
        <w:jc w:val="right"/>
        <w:rPr>
          <w:lang w:val="en-CA"/>
        </w:rPr>
      </w:pPr>
      <w:r w:rsidRPr="000D1EAA">
        <w:rPr>
          <w:lang w:val="en-CA"/>
        </w:rPr>
        <w:t>[</w:t>
      </w:r>
      <w:r w:rsidR="0048235D" w:rsidRPr="000D1EAA">
        <w:rPr>
          <w:lang w:val="en-CA"/>
        </w:rPr>
        <w:t>Emphasis added</w:t>
      </w:r>
      <w:r w:rsidRPr="000D1EAA">
        <w:rPr>
          <w:lang w:val="en-CA"/>
        </w:rPr>
        <w:t>]</w:t>
      </w:r>
    </w:p>
    <w:p w14:paraId="3C35989D" w14:textId="49427E62" w:rsidR="00514E9A" w:rsidRPr="00970C45" w:rsidRDefault="00946329" w:rsidP="00E5560B">
      <w:pPr>
        <w:pStyle w:val="Paragraphe"/>
        <w:numPr>
          <w:ilvl w:val="0"/>
          <w:numId w:val="22"/>
        </w:numPr>
        <w:spacing w:line="240" w:lineRule="auto"/>
        <w:ind w:left="0"/>
        <w:rPr>
          <w:lang w:val="en-CA"/>
        </w:rPr>
      </w:pPr>
      <w:r w:rsidRPr="00970C45">
        <w:rPr>
          <w:lang w:val="en-CA"/>
        </w:rPr>
        <w:t xml:space="preserve">That said, </w:t>
      </w:r>
      <w:r w:rsidR="00407772" w:rsidRPr="00970C45">
        <w:rPr>
          <w:lang w:val="en-CA"/>
        </w:rPr>
        <w:t>Superior Court</w:t>
      </w:r>
      <w:r w:rsidR="003F7B75" w:rsidRPr="00970C45">
        <w:rPr>
          <w:lang w:val="en-CA"/>
        </w:rPr>
        <w:t xml:space="preserve"> </w:t>
      </w:r>
      <w:r w:rsidRPr="00970C45">
        <w:rPr>
          <w:lang w:val="en-CA"/>
        </w:rPr>
        <w:t xml:space="preserve">judges must </w:t>
      </w:r>
      <w:r w:rsidR="00D9611B">
        <w:rPr>
          <w:lang w:val="en-CA"/>
        </w:rPr>
        <w:t xml:space="preserve">be sparing and restrained in the </w:t>
      </w:r>
      <w:r w:rsidR="001D32D9" w:rsidRPr="00970C45">
        <w:rPr>
          <w:lang w:val="en-CA"/>
        </w:rPr>
        <w:t xml:space="preserve">exercise </w:t>
      </w:r>
      <w:r w:rsidR="00D9611B">
        <w:rPr>
          <w:lang w:val="en-CA"/>
        </w:rPr>
        <w:t xml:space="preserve">of </w:t>
      </w:r>
      <w:r w:rsidR="001D32D9" w:rsidRPr="00970C45">
        <w:rPr>
          <w:lang w:val="en-CA"/>
        </w:rPr>
        <w:t xml:space="preserve">their discretion </w:t>
      </w:r>
      <w:r w:rsidR="005756FB">
        <w:rPr>
          <w:lang w:val="en-CA"/>
        </w:rPr>
        <w:t xml:space="preserve">to accept to hear an application for </w:t>
      </w:r>
      <w:r w:rsidR="005756FB" w:rsidRPr="00970C45">
        <w:rPr>
          <w:i/>
          <w:lang w:val="en-CA"/>
        </w:rPr>
        <w:t>certiorari</w:t>
      </w:r>
      <w:r w:rsidR="005756FB" w:rsidRPr="00970C45">
        <w:rPr>
          <w:lang w:val="en-CA"/>
        </w:rPr>
        <w:t xml:space="preserve"> </w:t>
      </w:r>
      <w:r w:rsidR="00374F3F">
        <w:rPr>
          <w:lang w:val="en-CA"/>
        </w:rPr>
        <w:t xml:space="preserve">if </w:t>
      </w:r>
      <w:r w:rsidR="001D32D9" w:rsidRPr="00970C45">
        <w:rPr>
          <w:lang w:val="en-CA"/>
        </w:rPr>
        <w:t xml:space="preserve">an appeal is available to </w:t>
      </w:r>
      <w:r w:rsidR="00DF6860">
        <w:rPr>
          <w:lang w:val="en-CA"/>
        </w:rPr>
        <w:t>the Crown</w:t>
      </w:r>
      <w:r w:rsidR="00F167B8" w:rsidRPr="00970C45">
        <w:rPr>
          <w:lang w:val="en-CA"/>
        </w:rPr>
        <w:t>.</w:t>
      </w:r>
    </w:p>
    <w:p w14:paraId="6F2C8457" w14:textId="6866A686" w:rsidR="00514E9A" w:rsidRPr="000D1EAA" w:rsidRDefault="001D32D9" w:rsidP="00514E9A">
      <w:pPr>
        <w:pStyle w:val="Paragraphe"/>
        <w:spacing w:line="240" w:lineRule="auto"/>
        <w:rPr>
          <w:lang w:val="en-CA"/>
        </w:rPr>
      </w:pPr>
      <w:r w:rsidRPr="000D1EAA">
        <w:rPr>
          <w:lang w:val="en-CA"/>
        </w:rPr>
        <w:t xml:space="preserve">In this case, </w:t>
      </w:r>
      <w:r w:rsidR="003F7B75" w:rsidRPr="000D1EAA">
        <w:rPr>
          <w:lang w:val="en-CA"/>
        </w:rPr>
        <w:t xml:space="preserve">Pronovost </w:t>
      </w:r>
      <w:r w:rsidR="00946ABF">
        <w:rPr>
          <w:lang w:val="en-CA"/>
        </w:rPr>
        <w:t xml:space="preserve">J.S.C. </w:t>
      </w:r>
      <w:r w:rsidR="00653579" w:rsidRPr="000D1EAA">
        <w:rPr>
          <w:lang w:val="en-CA"/>
        </w:rPr>
        <w:t xml:space="preserve">exercised his discretion by taking into consideration the significance of the error committed by the </w:t>
      </w:r>
      <w:r w:rsidR="007D535C">
        <w:rPr>
          <w:lang w:val="en-CA"/>
        </w:rPr>
        <w:t>Court of Québec</w:t>
      </w:r>
      <w:r w:rsidR="00946ABF" w:rsidRPr="00946ABF">
        <w:rPr>
          <w:lang w:val="en-CA"/>
        </w:rPr>
        <w:t xml:space="preserve"> </w:t>
      </w:r>
      <w:r w:rsidR="00946ABF" w:rsidRPr="000D1EAA">
        <w:rPr>
          <w:lang w:val="en-CA"/>
        </w:rPr>
        <w:t>judge</w:t>
      </w:r>
      <w:r w:rsidR="003F7B75" w:rsidRPr="000D1EAA">
        <w:rPr>
          <w:lang w:val="en-CA"/>
        </w:rPr>
        <w:t xml:space="preserve">, </w:t>
      </w:r>
      <w:r w:rsidR="00653579" w:rsidRPr="000D1EAA">
        <w:rPr>
          <w:lang w:val="en-CA"/>
        </w:rPr>
        <w:t xml:space="preserve">the fact that there was a need for the criminal proceedings to move </w:t>
      </w:r>
      <w:r w:rsidR="0021423C">
        <w:rPr>
          <w:lang w:val="en-CA"/>
        </w:rPr>
        <w:t xml:space="preserve">ahead </w:t>
      </w:r>
      <w:r w:rsidR="00653579" w:rsidRPr="000D1EAA">
        <w:rPr>
          <w:lang w:val="en-CA"/>
        </w:rPr>
        <w:t>quickly</w:t>
      </w:r>
      <w:r w:rsidR="00D9611B">
        <w:rPr>
          <w:lang w:val="en-CA"/>
        </w:rPr>
        <w:t>,</w:t>
      </w:r>
      <w:r w:rsidR="00653579" w:rsidRPr="000D1EAA">
        <w:rPr>
          <w:lang w:val="en-CA"/>
        </w:rPr>
        <w:t xml:space="preserve"> and the fact that the procedural vehicle used was of little </w:t>
      </w:r>
      <w:r w:rsidR="00946ABF">
        <w:rPr>
          <w:lang w:val="en-CA"/>
        </w:rPr>
        <w:t xml:space="preserve">consequence </w:t>
      </w:r>
      <w:r w:rsidR="00653579" w:rsidRPr="000D1EAA">
        <w:rPr>
          <w:lang w:val="en-CA"/>
        </w:rPr>
        <w:t>in the case at bar since the judgment</w:t>
      </w:r>
      <w:r w:rsidR="0021423C">
        <w:rPr>
          <w:lang w:val="en-CA"/>
        </w:rPr>
        <w:t xml:space="preserve"> that</w:t>
      </w:r>
      <w:r w:rsidR="00653579" w:rsidRPr="000D1EAA">
        <w:rPr>
          <w:lang w:val="en-CA"/>
        </w:rPr>
        <w:t xml:space="preserve"> the </w:t>
      </w:r>
      <w:r w:rsidR="0048235D" w:rsidRPr="000D1EAA">
        <w:rPr>
          <w:lang w:val="en-CA"/>
        </w:rPr>
        <w:t>prosecution</w:t>
      </w:r>
      <w:r w:rsidR="00653579" w:rsidRPr="000D1EAA">
        <w:rPr>
          <w:lang w:val="en-CA"/>
        </w:rPr>
        <w:t xml:space="preserve"> could have obtained through an appeal to the </w:t>
      </w:r>
      <w:r w:rsidR="00407772" w:rsidRPr="000D1EAA">
        <w:rPr>
          <w:lang w:val="en-CA"/>
        </w:rPr>
        <w:t>Superior Court</w:t>
      </w:r>
      <w:r w:rsidR="003F7B75" w:rsidRPr="000D1EAA">
        <w:rPr>
          <w:lang w:val="en-CA"/>
        </w:rPr>
        <w:t xml:space="preserve"> </w:t>
      </w:r>
      <w:r w:rsidR="00653579" w:rsidRPr="000D1EAA">
        <w:rPr>
          <w:lang w:val="en-CA"/>
        </w:rPr>
        <w:t xml:space="preserve">would have been identical to the one obtained by way of </w:t>
      </w:r>
      <w:r w:rsidR="003F7B75" w:rsidRPr="000D1EAA">
        <w:rPr>
          <w:i/>
          <w:lang w:val="en-CA"/>
        </w:rPr>
        <w:t>certiorari</w:t>
      </w:r>
      <w:r w:rsidR="003F7B75" w:rsidRPr="000D1EAA">
        <w:rPr>
          <w:lang w:val="en-CA"/>
        </w:rPr>
        <w:t xml:space="preserve">. </w:t>
      </w:r>
    </w:p>
    <w:p w14:paraId="19DDFE7C" w14:textId="74B2DD9F" w:rsidR="00514E9A" w:rsidRPr="000D1EAA" w:rsidRDefault="005F37E7" w:rsidP="00514E9A">
      <w:pPr>
        <w:pStyle w:val="Paragraphe"/>
        <w:spacing w:line="240" w:lineRule="auto"/>
        <w:rPr>
          <w:lang w:val="en-CA"/>
        </w:rPr>
      </w:pPr>
      <w:r w:rsidRPr="000D1EAA">
        <w:rPr>
          <w:lang w:val="en-CA"/>
        </w:rPr>
        <w:t xml:space="preserve">Given the specific </w:t>
      </w:r>
      <w:r w:rsidR="003F7B75" w:rsidRPr="000D1EAA">
        <w:rPr>
          <w:lang w:val="en-CA"/>
        </w:rPr>
        <w:t>circ</w:t>
      </w:r>
      <w:r w:rsidRPr="000D1EAA">
        <w:rPr>
          <w:lang w:val="en-CA"/>
        </w:rPr>
        <w:t>um</w:t>
      </w:r>
      <w:r w:rsidR="003F7B75" w:rsidRPr="000D1EAA">
        <w:rPr>
          <w:lang w:val="en-CA"/>
        </w:rPr>
        <w:t xml:space="preserve">stances </w:t>
      </w:r>
      <w:r w:rsidRPr="000D1EAA">
        <w:rPr>
          <w:lang w:val="en-CA"/>
        </w:rPr>
        <w:t xml:space="preserve">of </w:t>
      </w:r>
      <w:r w:rsidR="00946ABF">
        <w:rPr>
          <w:lang w:val="en-CA"/>
        </w:rPr>
        <w:t>this</w:t>
      </w:r>
      <w:r w:rsidRPr="000D1EAA">
        <w:rPr>
          <w:lang w:val="en-CA"/>
        </w:rPr>
        <w:t xml:space="preserve"> case, the </w:t>
      </w:r>
      <w:r w:rsidR="006463F8" w:rsidRPr="000D1EAA">
        <w:rPr>
          <w:lang w:val="en-CA"/>
        </w:rPr>
        <w:t>appellant</w:t>
      </w:r>
      <w:r w:rsidR="003F7B75" w:rsidRPr="000D1EAA">
        <w:rPr>
          <w:lang w:val="en-CA"/>
        </w:rPr>
        <w:t xml:space="preserve"> </w:t>
      </w:r>
      <w:r w:rsidRPr="000D1EAA">
        <w:rPr>
          <w:lang w:val="en-CA"/>
        </w:rPr>
        <w:t>has not convinced me that</w:t>
      </w:r>
      <w:r w:rsidR="002D0269">
        <w:rPr>
          <w:lang w:val="en-CA"/>
        </w:rPr>
        <w:t xml:space="preserve"> </w:t>
      </w:r>
      <w:r w:rsidR="00B74B74" w:rsidRPr="000D1EAA">
        <w:rPr>
          <w:lang w:val="en-CA"/>
        </w:rPr>
        <w:t xml:space="preserve">there is </w:t>
      </w:r>
      <w:r w:rsidR="002D0269">
        <w:rPr>
          <w:lang w:val="en-CA"/>
        </w:rPr>
        <w:t xml:space="preserve">any </w:t>
      </w:r>
      <w:r w:rsidR="00B74B74" w:rsidRPr="000D1EAA">
        <w:rPr>
          <w:lang w:val="en-CA"/>
        </w:rPr>
        <w:t xml:space="preserve">reason </w:t>
      </w:r>
      <w:r w:rsidRPr="000D1EAA">
        <w:rPr>
          <w:lang w:val="en-CA"/>
        </w:rPr>
        <w:t xml:space="preserve">to </w:t>
      </w:r>
      <w:r w:rsidR="002D0269">
        <w:rPr>
          <w:lang w:val="en-CA"/>
        </w:rPr>
        <w:t>interfere with the exercise of</w:t>
      </w:r>
      <w:r w:rsidRPr="000D1EAA">
        <w:rPr>
          <w:lang w:val="en-CA"/>
        </w:rPr>
        <w:t xml:space="preserve"> Pronovost</w:t>
      </w:r>
      <w:r w:rsidR="00B74B74">
        <w:rPr>
          <w:lang w:val="en-CA"/>
        </w:rPr>
        <w:t xml:space="preserve"> </w:t>
      </w:r>
      <w:proofErr w:type="spellStart"/>
      <w:r w:rsidR="00B74B74">
        <w:rPr>
          <w:lang w:val="en-CA"/>
        </w:rPr>
        <w:t>J.S.C.</w:t>
      </w:r>
      <w:r w:rsidRPr="000D1EAA">
        <w:rPr>
          <w:lang w:val="en-CA"/>
        </w:rPr>
        <w:t>’s</w:t>
      </w:r>
      <w:proofErr w:type="spellEnd"/>
      <w:r w:rsidRPr="000D1EAA">
        <w:rPr>
          <w:lang w:val="en-CA"/>
        </w:rPr>
        <w:t xml:space="preserve"> </w:t>
      </w:r>
      <w:r w:rsidR="003F7B75" w:rsidRPr="000D1EAA">
        <w:rPr>
          <w:lang w:val="en-CA"/>
        </w:rPr>
        <w:t>discr</w:t>
      </w:r>
      <w:r w:rsidRPr="000D1EAA">
        <w:rPr>
          <w:lang w:val="en-CA"/>
        </w:rPr>
        <w:t>e</w:t>
      </w:r>
      <w:r w:rsidR="003F7B75" w:rsidRPr="000D1EAA">
        <w:rPr>
          <w:lang w:val="en-CA"/>
        </w:rPr>
        <w:t xml:space="preserve">tion </w:t>
      </w:r>
      <w:r w:rsidR="002D0269">
        <w:rPr>
          <w:lang w:val="en-CA"/>
        </w:rPr>
        <w:t>to hear the</w:t>
      </w:r>
      <w:r w:rsidR="00FF3165" w:rsidRPr="000D1EAA">
        <w:rPr>
          <w:lang w:val="en-CA"/>
        </w:rPr>
        <w:t xml:space="preserve"> </w:t>
      </w:r>
      <w:r w:rsidR="002D0269">
        <w:rPr>
          <w:lang w:val="en-CA"/>
        </w:rPr>
        <w:t>application</w:t>
      </w:r>
      <w:r w:rsidR="006B73DD">
        <w:rPr>
          <w:lang w:val="en-CA"/>
        </w:rPr>
        <w:t xml:space="preserve"> for</w:t>
      </w:r>
      <w:r w:rsidR="00FF3165" w:rsidRPr="000D1EAA">
        <w:rPr>
          <w:lang w:val="en-CA"/>
        </w:rPr>
        <w:t xml:space="preserve"> </w:t>
      </w:r>
      <w:r w:rsidR="006B73DD" w:rsidRPr="000D1EAA">
        <w:rPr>
          <w:i/>
          <w:lang w:val="en-CA"/>
        </w:rPr>
        <w:t>certiorari</w:t>
      </w:r>
      <w:r w:rsidR="006B73DD" w:rsidRPr="000D1EAA">
        <w:rPr>
          <w:lang w:val="en-CA"/>
        </w:rPr>
        <w:t xml:space="preserve"> </w:t>
      </w:r>
      <w:r w:rsidR="002D0269">
        <w:rPr>
          <w:lang w:val="en-CA"/>
        </w:rPr>
        <w:t>des</w:t>
      </w:r>
      <w:r w:rsidR="00FF3165" w:rsidRPr="000D1EAA">
        <w:rPr>
          <w:lang w:val="en-CA"/>
        </w:rPr>
        <w:t>pite the availability of an appeal.</w:t>
      </w:r>
      <w:r w:rsidR="003F7B75" w:rsidRPr="000D1EAA">
        <w:rPr>
          <w:lang w:val="en-CA"/>
        </w:rPr>
        <w:t xml:space="preserve"> </w:t>
      </w:r>
      <w:r w:rsidR="00A31B34" w:rsidRPr="000D1EAA">
        <w:rPr>
          <w:lang w:val="en-CA"/>
        </w:rPr>
        <w:t xml:space="preserve">I </w:t>
      </w:r>
      <w:r w:rsidR="006B73DD">
        <w:rPr>
          <w:lang w:val="en-CA"/>
        </w:rPr>
        <w:t>note</w:t>
      </w:r>
      <w:r w:rsidR="00A31B34" w:rsidRPr="000D1EAA">
        <w:rPr>
          <w:lang w:val="en-CA"/>
        </w:rPr>
        <w:t xml:space="preserve"> that, if </w:t>
      </w:r>
      <w:r w:rsidR="00034F3A">
        <w:rPr>
          <w:lang w:val="en-CA"/>
        </w:rPr>
        <w:t>the</w:t>
      </w:r>
      <w:r w:rsidR="00034F3A" w:rsidRPr="000D1EAA">
        <w:rPr>
          <w:lang w:val="en-CA"/>
        </w:rPr>
        <w:t xml:space="preserve"> </w:t>
      </w:r>
      <w:r w:rsidR="00A31B34" w:rsidRPr="000D1EAA">
        <w:rPr>
          <w:lang w:val="en-CA"/>
        </w:rPr>
        <w:t xml:space="preserve">Court </w:t>
      </w:r>
      <w:r w:rsidR="00034F3A">
        <w:rPr>
          <w:lang w:val="en-CA"/>
        </w:rPr>
        <w:t>allowed</w:t>
      </w:r>
      <w:r w:rsidR="00034F3A" w:rsidRPr="000D1EAA">
        <w:rPr>
          <w:lang w:val="en-CA"/>
        </w:rPr>
        <w:t xml:space="preserve"> </w:t>
      </w:r>
      <w:r w:rsidR="00E803E7">
        <w:rPr>
          <w:lang w:val="en-CA"/>
        </w:rPr>
        <w:t xml:space="preserve">the </w:t>
      </w:r>
      <w:r w:rsidR="00A31B34" w:rsidRPr="000D1EAA">
        <w:rPr>
          <w:lang w:val="en-CA"/>
        </w:rPr>
        <w:t>appeal for this reason, the</w:t>
      </w:r>
      <w:r w:rsidR="003F7B75" w:rsidRPr="000D1EAA">
        <w:rPr>
          <w:lang w:val="en-CA"/>
        </w:rPr>
        <w:t xml:space="preserve"> </w:t>
      </w:r>
      <w:r w:rsidR="006B73DD">
        <w:rPr>
          <w:lang w:val="en-CA"/>
        </w:rPr>
        <w:t>Crown</w:t>
      </w:r>
      <w:r w:rsidR="003F7B75" w:rsidRPr="000D1EAA">
        <w:rPr>
          <w:lang w:val="en-CA"/>
        </w:rPr>
        <w:t xml:space="preserve"> </w:t>
      </w:r>
      <w:r w:rsidR="00A31B34" w:rsidRPr="000D1EAA">
        <w:rPr>
          <w:lang w:val="en-CA"/>
        </w:rPr>
        <w:t xml:space="preserve">could always avail itself of an application to extend the </w:t>
      </w:r>
      <w:r w:rsidR="00E803E7">
        <w:rPr>
          <w:lang w:val="en-CA"/>
        </w:rPr>
        <w:t xml:space="preserve">time </w:t>
      </w:r>
      <w:r w:rsidR="006B73DD">
        <w:rPr>
          <w:lang w:val="en-CA"/>
        </w:rPr>
        <w:t>limit to</w:t>
      </w:r>
      <w:r w:rsidR="00A31B34" w:rsidRPr="000D1EAA">
        <w:rPr>
          <w:lang w:val="en-CA"/>
        </w:rPr>
        <w:t xml:space="preserve"> appeal, which would almost </w:t>
      </w:r>
      <w:r w:rsidR="00EE3124" w:rsidRPr="000D1EAA">
        <w:rPr>
          <w:lang w:val="en-CA"/>
        </w:rPr>
        <w:t>certainly</w:t>
      </w:r>
      <w:r w:rsidR="00A31B34" w:rsidRPr="000D1EAA">
        <w:rPr>
          <w:lang w:val="en-CA"/>
        </w:rPr>
        <w:t xml:space="preserve"> be granted </w:t>
      </w:r>
      <w:r w:rsidR="006B73DD">
        <w:rPr>
          <w:lang w:val="en-CA"/>
        </w:rPr>
        <w:t>in</w:t>
      </w:r>
      <w:r w:rsidR="00A31B34" w:rsidRPr="000D1EAA">
        <w:rPr>
          <w:lang w:val="en-CA"/>
        </w:rPr>
        <w:t xml:space="preserve"> the circum</w:t>
      </w:r>
      <w:r w:rsidR="003F7B75" w:rsidRPr="000D1EAA">
        <w:rPr>
          <w:lang w:val="en-CA"/>
        </w:rPr>
        <w:t xml:space="preserve">stances. </w:t>
      </w:r>
      <w:r w:rsidR="00A31B34" w:rsidRPr="000D1EAA">
        <w:rPr>
          <w:lang w:val="en-CA"/>
        </w:rPr>
        <w:t xml:space="preserve">The resulting appeal before the </w:t>
      </w:r>
      <w:r w:rsidR="00407772" w:rsidRPr="000D1EAA">
        <w:rPr>
          <w:lang w:val="en-CA"/>
        </w:rPr>
        <w:t>Superior Court</w:t>
      </w:r>
      <w:r w:rsidR="003F7B75" w:rsidRPr="000D1EAA">
        <w:rPr>
          <w:lang w:val="en-CA"/>
        </w:rPr>
        <w:t xml:space="preserve"> </w:t>
      </w:r>
      <w:r w:rsidR="00A31B34" w:rsidRPr="000D1EAA">
        <w:rPr>
          <w:lang w:val="en-CA"/>
        </w:rPr>
        <w:t xml:space="preserve">would necessarily </w:t>
      </w:r>
      <w:r w:rsidR="00A31B34" w:rsidRPr="000D1EAA">
        <w:rPr>
          <w:lang w:val="en-CA"/>
        </w:rPr>
        <w:lastRenderedPageBreak/>
        <w:t xml:space="preserve">have to comply with the teachings of this </w:t>
      </w:r>
      <w:r w:rsidR="003F7B75" w:rsidRPr="000D1EAA">
        <w:rPr>
          <w:lang w:val="en-CA"/>
        </w:rPr>
        <w:t>Cour</w:t>
      </w:r>
      <w:r w:rsidR="00A31B34" w:rsidRPr="000D1EAA">
        <w:rPr>
          <w:lang w:val="en-CA"/>
        </w:rPr>
        <w:t xml:space="preserve">t in </w:t>
      </w:r>
      <w:r w:rsidR="006B73DD">
        <w:rPr>
          <w:lang w:val="en-CA"/>
        </w:rPr>
        <w:t>this</w:t>
      </w:r>
      <w:r w:rsidR="00A31B34" w:rsidRPr="000D1EAA">
        <w:rPr>
          <w:lang w:val="en-CA"/>
        </w:rPr>
        <w:t xml:space="preserve"> judgment.</w:t>
      </w:r>
      <w:r w:rsidR="003F7B75" w:rsidRPr="000D1EAA">
        <w:rPr>
          <w:lang w:val="en-CA"/>
        </w:rPr>
        <w:t xml:space="preserve"> I</w:t>
      </w:r>
      <w:r w:rsidR="00DE3547" w:rsidRPr="000D1EAA">
        <w:rPr>
          <w:lang w:val="en-CA"/>
        </w:rPr>
        <w:t xml:space="preserve">t follows that the potential appeal by the </w:t>
      </w:r>
      <w:r w:rsidR="006B73DD">
        <w:rPr>
          <w:lang w:val="en-CA"/>
        </w:rPr>
        <w:t>Crown</w:t>
      </w:r>
      <w:r w:rsidR="003F7B75" w:rsidRPr="000D1EAA">
        <w:rPr>
          <w:lang w:val="en-CA"/>
        </w:rPr>
        <w:t xml:space="preserve"> </w:t>
      </w:r>
      <w:r w:rsidR="00DE3547" w:rsidRPr="000D1EAA">
        <w:rPr>
          <w:lang w:val="en-CA"/>
        </w:rPr>
        <w:t>would necessarily be favourably received.</w:t>
      </w:r>
      <w:r w:rsidR="003F7B75" w:rsidRPr="000D1EAA">
        <w:rPr>
          <w:lang w:val="en-CA"/>
        </w:rPr>
        <w:t xml:space="preserve"> </w:t>
      </w:r>
      <w:r w:rsidR="00DE3547" w:rsidRPr="000D1EAA">
        <w:rPr>
          <w:lang w:val="en-CA"/>
        </w:rPr>
        <w:t xml:space="preserve">In this </w:t>
      </w:r>
      <w:r w:rsidR="003F7B75" w:rsidRPr="000D1EAA">
        <w:rPr>
          <w:lang w:val="en-CA"/>
        </w:rPr>
        <w:t xml:space="preserve">context, </w:t>
      </w:r>
      <w:r w:rsidR="00DE3547" w:rsidRPr="000D1EAA">
        <w:rPr>
          <w:lang w:val="en-CA"/>
        </w:rPr>
        <w:t xml:space="preserve">given that </w:t>
      </w:r>
      <w:r w:rsidR="003F7B75" w:rsidRPr="000D1EAA">
        <w:rPr>
          <w:i/>
          <w:lang w:val="en-CA"/>
        </w:rPr>
        <w:t>certiorari</w:t>
      </w:r>
      <w:r w:rsidR="003F7B75" w:rsidRPr="000D1EAA">
        <w:rPr>
          <w:lang w:val="en-CA"/>
        </w:rPr>
        <w:t xml:space="preserve"> </w:t>
      </w:r>
      <w:r w:rsidR="00DE3547" w:rsidRPr="000D1EAA">
        <w:rPr>
          <w:lang w:val="en-CA"/>
        </w:rPr>
        <w:t xml:space="preserve">was </w:t>
      </w:r>
      <w:r w:rsidR="006B73DD">
        <w:rPr>
          <w:lang w:val="en-CA"/>
        </w:rPr>
        <w:t>indeed</w:t>
      </w:r>
      <w:r w:rsidR="003F7B75" w:rsidRPr="000D1EAA">
        <w:rPr>
          <w:lang w:val="en-CA"/>
        </w:rPr>
        <w:t xml:space="preserve"> </w:t>
      </w:r>
      <w:r w:rsidR="00BA3006">
        <w:rPr>
          <w:lang w:val="en-CA"/>
        </w:rPr>
        <w:t>available to</w:t>
      </w:r>
      <w:r w:rsidR="00DE3547" w:rsidRPr="000D1EAA">
        <w:rPr>
          <w:lang w:val="en-CA"/>
        </w:rPr>
        <w:t xml:space="preserve"> the </w:t>
      </w:r>
      <w:r w:rsidR="006B73DD">
        <w:rPr>
          <w:lang w:val="en-CA"/>
        </w:rPr>
        <w:t>Crown</w:t>
      </w:r>
      <w:r w:rsidR="003F7B75" w:rsidRPr="000D1EAA">
        <w:rPr>
          <w:lang w:val="en-CA"/>
        </w:rPr>
        <w:t xml:space="preserve">, </w:t>
      </w:r>
      <w:r w:rsidR="00A756CB">
        <w:rPr>
          <w:lang w:val="en-CA"/>
        </w:rPr>
        <w:t xml:space="preserve">it is in </w:t>
      </w:r>
      <w:r w:rsidR="00DE3547" w:rsidRPr="000D1EAA">
        <w:rPr>
          <w:lang w:val="en-CA"/>
        </w:rPr>
        <w:t xml:space="preserve">the interests of </w:t>
      </w:r>
      <w:r w:rsidR="00034F3A">
        <w:rPr>
          <w:lang w:val="en-CA"/>
        </w:rPr>
        <w:t xml:space="preserve">justice </w:t>
      </w:r>
      <w:r w:rsidR="00A756CB">
        <w:rPr>
          <w:lang w:val="en-CA"/>
        </w:rPr>
        <w:t xml:space="preserve">not to </w:t>
      </w:r>
      <w:r w:rsidR="00A756CB" w:rsidRPr="00A756CB">
        <w:rPr>
          <w:lang w:val="en-CA"/>
        </w:rPr>
        <w:t>intervene</w:t>
      </w:r>
      <w:r w:rsidR="00DE3547" w:rsidRPr="00A756CB">
        <w:rPr>
          <w:lang w:val="en-CA"/>
        </w:rPr>
        <w:t xml:space="preserve"> in the </w:t>
      </w:r>
      <w:r w:rsidR="00B4041A" w:rsidRPr="00A756CB">
        <w:rPr>
          <w:lang w:val="en-CA"/>
        </w:rPr>
        <w:t>Superior</w:t>
      </w:r>
      <w:r w:rsidR="00B4041A">
        <w:rPr>
          <w:lang w:val="en-CA"/>
        </w:rPr>
        <w:t xml:space="preserve"> Court judge</w:t>
      </w:r>
      <w:r w:rsidR="00DE3547" w:rsidRPr="000D1EAA">
        <w:rPr>
          <w:lang w:val="en-CA"/>
        </w:rPr>
        <w:t xml:space="preserve">’s </w:t>
      </w:r>
      <w:r w:rsidR="003F7B75" w:rsidRPr="000D1EAA">
        <w:rPr>
          <w:lang w:val="en-CA"/>
        </w:rPr>
        <w:t>exerci</w:t>
      </w:r>
      <w:r w:rsidR="00DE3547" w:rsidRPr="000D1EAA">
        <w:rPr>
          <w:lang w:val="en-CA"/>
        </w:rPr>
        <w:t>s</w:t>
      </w:r>
      <w:r w:rsidR="003F7B75" w:rsidRPr="000D1EAA">
        <w:rPr>
          <w:lang w:val="en-CA"/>
        </w:rPr>
        <w:t xml:space="preserve">e </w:t>
      </w:r>
      <w:r w:rsidR="00DE3547" w:rsidRPr="000D1EAA">
        <w:rPr>
          <w:lang w:val="en-CA"/>
        </w:rPr>
        <w:t xml:space="preserve">of </w:t>
      </w:r>
      <w:r w:rsidR="003F7B75" w:rsidRPr="000D1EAA">
        <w:rPr>
          <w:lang w:val="en-CA"/>
        </w:rPr>
        <w:t>discr</w:t>
      </w:r>
      <w:r w:rsidR="00DE3547" w:rsidRPr="000D1EAA">
        <w:rPr>
          <w:lang w:val="en-CA"/>
        </w:rPr>
        <w:t>e</w:t>
      </w:r>
      <w:r w:rsidR="003F7B75" w:rsidRPr="000D1EAA">
        <w:rPr>
          <w:lang w:val="en-CA"/>
        </w:rPr>
        <w:t>tion</w:t>
      </w:r>
      <w:r w:rsidR="00DE3547" w:rsidRPr="000D1EAA">
        <w:rPr>
          <w:lang w:val="en-CA"/>
        </w:rPr>
        <w:t>.</w:t>
      </w:r>
    </w:p>
    <w:p w14:paraId="74789EB4" w14:textId="77777777" w:rsidR="00514E9A" w:rsidRPr="000D1EAA" w:rsidRDefault="003F7B75" w:rsidP="00514E9A">
      <w:pPr>
        <w:pStyle w:val="Paragraphe"/>
        <w:numPr>
          <w:ilvl w:val="0"/>
          <w:numId w:val="0"/>
        </w:numPr>
        <w:spacing w:before="240" w:after="240" w:line="240" w:lineRule="auto"/>
        <w:rPr>
          <w:b/>
          <w:u w:val="single"/>
          <w:lang w:val="en-CA"/>
        </w:rPr>
      </w:pPr>
      <w:r w:rsidRPr="000D1EAA">
        <w:rPr>
          <w:b/>
          <w:u w:val="single"/>
          <w:lang w:val="en-CA"/>
        </w:rPr>
        <w:t>CONCLUSION</w:t>
      </w:r>
    </w:p>
    <w:p w14:paraId="526D606B" w14:textId="77F84BE5" w:rsidR="00514E9A" w:rsidRPr="000D1EAA" w:rsidRDefault="00E15E2A" w:rsidP="00514E9A">
      <w:pPr>
        <w:pStyle w:val="Paragraphe"/>
        <w:spacing w:line="240" w:lineRule="auto"/>
        <w:rPr>
          <w:lang w:val="en-CA"/>
        </w:rPr>
      </w:pPr>
      <w:r w:rsidRPr="000D1EAA">
        <w:rPr>
          <w:lang w:val="en-CA"/>
        </w:rPr>
        <w:t xml:space="preserve">For these reasons, I suggest </w:t>
      </w:r>
      <w:r w:rsidR="00A756CB">
        <w:rPr>
          <w:lang w:val="en-CA"/>
        </w:rPr>
        <w:t>that</w:t>
      </w:r>
      <w:r w:rsidRPr="000D1EAA">
        <w:rPr>
          <w:lang w:val="en-CA"/>
        </w:rPr>
        <w:t xml:space="preserve"> the Court </w:t>
      </w:r>
      <w:r w:rsidR="00A756CB">
        <w:rPr>
          <w:lang w:val="en-CA"/>
        </w:rPr>
        <w:t xml:space="preserve">dismiss </w:t>
      </w:r>
      <w:r w:rsidRPr="000D1EAA">
        <w:rPr>
          <w:lang w:val="en-CA"/>
        </w:rPr>
        <w:t>the appeal.</w:t>
      </w:r>
    </w:p>
    <w:p w14:paraId="4918BA9E" w14:textId="77777777" w:rsidR="00514E9A" w:rsidRPr="000D1EAA" w:rsidRDefault="003F7B75" w:rsidP="00514E9A">
      <w:pPr>
        <w:pStyle w:val="Paragraphe"/>
        <w:numPr>
          <w:ilvl w:val="0"/>
          <w:numId w:val="0"/>
        </w:numPr>
        <w:tabs>
          <w:tab w:val="left" w:pos="2995"/>
        </w:tabs>
        <w:spacing w:line="240" w:lineRule="auto"/>
        <w:rPr>
          <w:lang w:val="en-CA"/>
        </w:rPr>
      </w:pPr>
      <w:r w:rsidRPr="000D1EAA">
        <w:rPr>
          <w:lang w:val="en-CA"/>
        </w:rPr>
        <w:tab/>
      </w:r>
    </w:p>
    <w:tbl>
      <w:tblPr>
        <w:tblW w:w="9360" w:type="dxa"/>
        <w:tblInd w:w="70" w:type="dxa"/>
        <w:tblLayout w:type="fixed"/>
        <w:tblCellMar>
          <w:left w:w="0" w:type="dxa"/>
          <w:right w:w="0" w:type="dxa"/>
        </w:tblCellMar>
        <w:tblLook w:val="0000" w:firstRow="0" w:lastRow="0" w:firstColumn="0" w:lastColumn="0" w:noHBand="0" w:noVBand="0"/>
      </w:tblPr>
      <w:tblGrid>
        <w:gridCol w:w="4735"/>
        <w:gridCol w:w="4625"/>
      </w:tblGrid>
      <w:tr w:rsidR="005B2C47" w:rsidRPr="00F6241B" w14:paraId="3B976342" w14:textId="77777777" w:rsidTr="00E84569">
        <w:trPr>
          <w:cantSplit/>
          <w:trHeight w:val="277"/>
        </w:trPr>
        <w:tc>
          <w:tcPr>
            <w:tcW w:w="4735" w:type="dxa"/>
            <w:vMerge w:val="restart"/>
          </w:tcPr>
          <w:p w14:paraId="54BC1FC1" w14:textId="77777777" w:rsidR="00514E9A" w:rsidRPr="000D1EAA" w:rsidRDefault="00514E9A" w:rsidP="00514E9A">
            <w:pPr>
              <w:spacing w:before="120" w:after="120" w:line="240" w:lineRule="auto"/>
              <w:rPr>
                <w:lang w:val="en-CA"/>
              </w:rPr>
            </w:pPr>
          </w:p>
        </w:tc>
        <w:tc>
          <w:tcPr>
            <w:tcW w:w="4625" w:type="dxa"/>
            <w:tcBorders>
              <w:bottom w:val="single" w:sz="8" w:space="0" w:color="auto"/>
            </w:tcBorders>
          </w:tcPr>
          <w:p w14:paraId="501B1F94" w14:textId="77777777" w:rsidR="00514E9A" w:rsidRPr="000D1EAA" w:rsidRDefault="00514E9A" w:rsidP="00514E9A">
            <w:pPr>
              <w:spacing w:before="120" w:after="120" w:line="240" w:lineRule="auto"/>
              <w:rPr>
                <w:lang w:val="en-CA"/>
              </w:rPr>
            </w:pPr>
          </w:p>
        </w:tc>
      </w:tr>
      <w:tr w:rsidR="005B2C47" w:rsidRPr="000D1EAA" w14:paraId="313EDB57" w14:textId="77777777" w:rsidTr="00E84569">
        <w:trPr>
          <w:cantSplit/>
          <w:trHeight w:val="276"/>
        </w:trPr>
        <w:tc>
          <w:tcPr>
            <w:tcW w:w="4735" w:type="dxa"/>
            <w:vMerge/>
          </w:tcPr>
          <w:p w14:paraId="39C7A36F" w14:textId="77777777" w:rsidR="00514E9A" w:rsidRPr="000D1EAA" w:rsidRDefault="00514E9A" w:rsidP="00514E9A">
            <w:pPr>
              <w:spacing w:before="120" w:after="120" w:line="240" w:lineRule="auto"/>
              <w:rPr>
                <w:lang w:val="en-CA"/>
              </w:rPr>
            </w:pPr>
          </w:p>
        </w:tc>
        <w:tc>
          <w:tcPr>
            <w:tcW w:w="4625" w:type="dxa"/>
          </w:tcPr>
          <w:p w14:paraId="3AD5A59A" w14:textId="6AC97741" w:rsidR="00514E9A" w:rsidRPr="003D4FFF" w:rsidRDefault="003F7B75" w:rsidP="00514E9A">
            <w:pPr>
              <w:spacing w:before="120" w:after="120" w:line="240" w:lineRule="auto"/>
            </w:pPr>
            <w:r w:rsidRPr="003D4FFF">
              <w:t xml:space="preserve">ROBERT M. MAINVILLE, </w:t>
            </w:r>
            <w:proofErr w:type="spellStart"/>
            <w:r w:rsidR="001740F2" w:rsidRPr="003D4FFF">
              <w:t>J.A</w:t>
            </w:r>
            <w:proofErr w:type="spellEnd"/>
            <w:r w:rsidR="001740F2" w:rsidRPr="003D4FFF">
              <w:t>.</w:t>
            </w:r>
          </w:p>
        </w:tc>
      </w:tr>
      <w:bookmarkEnd w:id="12"/>
    </w:tbl>
    <w:p w14:paraId="53715CA4" w14:textId="3D0AF4CB" w:rsidR="00740A17" w:rsidRPr="003D4FFF" w:rsidRDefault="00740A17" w:rsidP="00514E9A">
      <w:pPr>
        <w:spacing w:before="120" w:after="120" w:line="240" w:lineRule="auto"/>
        <w:rPr>
          <w:sz w:val="20"/>
          <w:szCs w:val="16"/>
        </w:rPr>
      </w:pPr>
    </w:p>
    <w:p w14:paraId="685DD3C7" w14:textId="2B503390" w:rsidR="000E393D" w:rsidRPr="003D4FFF" w:rsidRDefault="000E393D" w:rsidP="00514E9A">
      <w:pPr>
        <w:spacing w:before="120" w:after="120" w:line="240" w:lineRule="auto"/>
        <w:rPr>
          <w:sz w:val="20"/>
          <w:szCs w:val="16"/>
        </w:rPr>
      </w:pPr>
    </w:p>
    <w:p w14:paraId="4C5F62C9" w14:textId="77777777" w:rsidR="000247D6" w:rsidRPr="003D4FFF" w:rsidRDefault="000247D6" w:rsidP="00514E9A">
      <w:pPr>
        <w:spacing w:before="120" w:after="120" w:line="240" w:lineRule="auto"/>
        <w:rPr>
          <w:sz w:val="20"/>
          <w:szCs w:val="16"/>
        </w:rPr>
      </w:pPr>
    </w:p>
    <w:sectPr w:rsidR="000247D6" w:rsidRPr="003D4FFF" w:rsidSect="00514E9A">
      <w:headerReference w:type="default" r:id="rId9"/>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8E25" w14:textId="77777777" w:rsidR="00061D29" w:rsidRDefault="00061D29">
      <w:pPr>
        <w:spacing w:line="240" w:lineRule="auto"/>
      </w:pPr>
      <w:r>
        <w:separator/>
      </w:r>
    </w:p>
  </w:endnote>
  <w:endnote w:type="continuationSeparator" w:id="0">
    <w:p w14:paraId="0A89A7DD" w14:textId="77777777" w:rsidR="00061D29" w:rsidRDefault="00061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D586" w14:textId="77777777" w:rsidR="00061D29" w:rsidRDefault="00061D29">
      <w:r>
        <w:separator/>
      </w:r>
    </w:p>
  </w:footnote>
  <w:footnote w:type="continuationSeparator" w:id="0">
    <w:p w14:paraId="7400A6E7" w14:textId="77777777" w:rsidR="00061D29" w:rsidRDefault="00061D29">
      <w:r>
        <w:continuationSeparator/>
      </w:r>
    </w:p>
  </w:footnote>
  <w:footnote w:id="1">
    <w:p w14:paraId="746DBC80" w14:textId="012C6229" w:rsidR="00BE4A09" w:rsidRPr="003E6B52" w:rsidRDefault="00BE4A09" w:rsidP="00B74598">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 xml:space="preserve">R. c. </w:t>
      </w:r>
      <w:proofErr w:type="spellStart"/>
      <w:r w:rsidRPr="003E6B52">
        <w:rPr>
          <w:i/>
          <w:lang w:val="en-CA"/>
        </w:rPr>
        <w:t>Daoust</w:t>
      </w:r>
      <w:proofErr w:type="spellEnd"/>
      <w:r w:rsidRPr="003E6B52">
        <w:rPr>
          <w:lang w:val="en-CA"/>
        </w:rPr>
        <w:t xml:space="preserve">, 2021 QCCS 5066 (the </w:t>
      </w:r>
      <w:r w:rsidR="00EC27B3">
        <w:rPr>
          <w:lang w:val="en-CA"/>
        </w:rPr>
        <w:t>“</w:t>
      </w:r>
      <w:r w:rsidRPr="003E6B52">
        <w:rPr>
          <w:lang w:val="en-CA"/>
        </w:rPr>
        <w:t xml:space="preserve">Superior Court </w:t>
      </w:r>
      <w:r w:rsidR="00A52081">
        <w:rPr>
          <w:lang w:val="en-CA"/>
        </w:rPr>
        <w:t>J</w:t>
      </w:r>
      <w:r w:rsidRPr="003E6B52">
        <w:rPr>
          <w:lang w:val="en-CA"/>
        </w:rPr>
        <w:t>udgment</w:t>
      </w:r>
      <w:r w:rsidR="00EC27B3">
        <w:rPr>
          <w:lang w:val="en-CA"/>
        </w:rPr>
        <w:t>”</w:t>
      </w:r>
      <w:r w:rsidRPr="003E6B52">
        <w:rPr>
          <w:lang w:val="en-CA"/>
        </w:rPr>
        <w:t>).</w:t>
      </w:r>
    </w:p>
  </w:footnote>
  <w:footnote w:id="2">
    <w:p w14:paraId="1C841CAD" w14:textId="07652FDA" w:rsidR="00BE4A09" w:rsidRPr="003D4FFF" w:rsidRDefault="00BE4A09" w:rsidP="00514E9A">
      <w:pPr>
        <w:pStyle w:val="Notedebasdepage"/>
      </w:pPr>
      <w:r w:rsidRPr="003E6B52">
        <w:rPr>
          <w:rStyle w:val="Appelnotedebasdep"/>
          <w:lang w:val="en-CA"/>
        </w:rPr>
        <w:footnoteRef/>
      </w:r>
      <w:r w:rsidRPr="003D4FFF">
        <w:t xml:space="preserve"> </w:t>
      </w:r>
      <w:r w:rsidRPr="003D4FFF">
        <w:tab/>
      </w:r>
      <w:r w:rsidRPr="003D4FFF">
        <w:rPr>
          <w:i/>
          <w:iCs/>
        </w:rPr>
        <w:t xml:space="preserve">R. </w:t>
      </w:r>
      <w:r w:rsidR="002E5D24" w:rsidRPr="003D4FFF">
        <w:rPr>
          <w:i/>
          <w:iCs/>
        </w:rPr>
        <w:t>v</w:t>
      </w:r>
      <w:r w:rsidRPr="003D4FFF">
        <w:rPr>
          <w:i/>
          <w:iCs/>
        </w:rPr>
        <w:t xml:space="preserve">. Loyer et </w:t>
      </w:r>
      <w:r w:rsidR="002E5D24" w:rsidRPr="003D4FFF">
        <w:rPr>
          <w:i/>
          <w:iCs/>
        </w:rPr>
        <w:t>al.</w:t>
      </w:r>
      <w:r w:rsidRPr="003D4FFF">
        <w:t xml:space="preserve">, [1978] 2 </w:t>
      </w:r>
      <w:r w:rsidR="002E5D24" w:rsidRPr="003D4FFF">
        <w:t>S.C.</w:t>
      </w:r>
      <w:r w:rsidRPr="003D4FFF">
        <w:t xml:space="preserve">R. 631. </w:t>
      </w:r>
    </w:p>
  </w:footnote>
  <w:footnote w:id="3">
    <w:p w14:paraId="134CEA26" w14:textId="70D1933B"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t xml:space="preserve">Superior Court </w:t>
      </w:r>
      <w:r w:rsidR="00952F1F">
        <w:rPr>
          <w:lang w:val="en-CA"/>
        </w:rPr>
        <w:t>J</w:t>
      </w:r>
      <w:r w:rsidRPr="003E6B52">
        <w:rPr>
          <w:lang w:val="en-CA"/>
        </w:rPr>
        <w:t>udgment at paras. 42</w:t>
      </w:r>
      <w:r w:rsidR="00FB5EB8">
        <w:rPr>
          <w:lang w:val="en-CA"/>
        </w:rPr>
        <w:t>–</w:t>
      </w:r>
      <w:r w:rsidRPr="003E6B52">
        <w:rPr>
          <w:lang w:val="en-CA"/>
        </w:rPr>
        <w:t>44.</w:t>
      </w:r>
    </w:p>
  </w:footnote>
  <w:footnote w:id="4">
    <w:p w14:paraId="08BF6A5B" w14:textId="659E511A"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iCs/>
          <w:lang w:val="en-CA"/>
        </w:rPr>
        <w:t>I</w:t>
      </w:r>
      <w:r w:rsidR="00952F1F">
        <w:rPr>
          <w:i/>
          <w:iCs/>
          <w:lang w:val="en-CA"/>
        </w:rPr>
        <w:t>bi</w:t>
      </w:r>
      <w:r w:rsidRPr="003E6B52">
        <w:rPr>
          <w:i/>
          <w:iCs/>
          <w:lang w:val="en-CA"/>
        </w:rPr>
        <w:t>d.</w:t>
      </w:r>
      <w:r w:rsidRPr="003E6B52">
        <w:rPr>
          <w:lang w:val="en-CA"/>
        </w:rPr>
        <w:t xml:space="preserve"> at paras. 45</w:t>
      </w:r>
      <w:r w:rsidR="005375A3">
        <w:rPr>
          <w:lang w:val="en-CA"/>
        </w:rPr>
        <w:t>–</w:t>
      </w:r>
      <w:r w:rsidRPr="003E6B52">
        <w:rPr>
          <w:lang w:val="en-CA"/>
        </w:rPr>
        <w:t>51.</w:t>
      </w:r>
    </w:p>
  </w:footnote>
  <w:footnote w:id="5">
    <w:p w14:paraId="325FE187" w14:textId="33667499"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proofErr w:type="spellStart"/>
      <w:r w:rsidRPr="003E6B52">
        <w:rPr>
          <w:i/>
          <w:lang w:val="en-CA"/>
        </w:rPr>
        <w:t>Kienapple</w:t>
      </w:r>
      <w:proofErr w:type="spellEnd"/>
      <w:r w:rsidRPr="003E6B52">
        <w:rPr>
          <w:i/>
          <w:lang w:val="en-CA"/>
        </w:rPr>
        <w:t xml:space="preserve"> </w:t>
      </w:r>
      <w:r w:rsidR="00EE7246">
        <w:rPr>
          <w:i/>
          <w:lang w:val="en-CA"/>
        </w:rPr>
        <w:t>v</w:t>
      </w:r>
      <w:r w:rsidRPr="003E6B52">
        <w:rPr>
          <w:i/>
          <w:lang w:val="en-CA"/>
        </w:rPr>
        <w:t>. R.</w:t>
      </w:r>
      <w:r w:rsidRPr="003E6B52">
        <w:rPr>
          <w:lang w:val="en-CA"/>
        </w:rPr>
        <w:t xml:space="preserve">, [1975] 1 </w:t>
      </w:r>
      <w:r w:rsidR="0054538C">
        <w:rPr>
          <w:lang w:val="en-CA"/>
        </w:rPr>
        <w:t>S.C.</w:t>
      </w:r>
      <w:r w:rsidRPr="003E6B52">
        <w:rPr>
          <w:lang w:val="en-CA"/>
        </w:rPr>
        <w:t>R. 729.</w:t>
      </w:r>
    </w:p>
  </w:footnote>
  <w:footnote w:id="6">
    <w:p w14:paraId="235BC1ED" w14:textId="7BA23EC7" w:rsidR="00BE4A09" w:rsidRPr="003E6B52" w:rsidRDefault="00BE4A09" w:rsidP="00514E9A">
      <w:pPr>
        <w:pStyle w:val="Notedebasdepage"/>
        <w:rPr>
          <w:rFonts w:cs="Arial"/>
          <w:lang w:val="en-CA"/>
        </w:rPr>
      </w:pPr>
      <w:r w:rsidRPr="003E6B52">
        <w:rPr>
          <w:rStyle w:val="Appelnotedebasdep"/>
          <w:rFonts w:cs="Arial"/>
          <w:lang w:val="en-CA"/>
        </w:rPr>
        <w:footnoteRef/>
      </w:r>
      <w:r w:rsidRPr="003D4FFF">
        <w:rPr>
          <w:rFonts w:cs="Arial"/>
        </w:rPr>
        <w:t xml:space="preserve"> </w:t>
      </w:r>
      <w:r w:rsidRPr="003D4FFF">
        <w:rPr>
          <w:rFonts w:cs="Arial"/>
        </w:rPr>
        <w:tab/>
        <w:t>Martin Vauclair</w:t>
      </w:r>
      <w:r w:rsidR="00B9530C">
        <w:rPr>
          <w:rFonts w:cs="Arial"/>
        </w:rPr>
        <w:t xml:space="preserve"> &amp;</w:t>
      </w:r>
      <w:r w:rsidRPr="003D4FFF">
        <w:rPr>
          <w:rFonts w:cs="Arial"/>
        </w:rPr>
        <w:t xml:space="preserve"> Tristan Desjardins, </w:t>
      </w:r>
      <w:r w:rsidRPr="003D4FFF">
        <w:rPr>
          <w:rFonts w:cs="Arial"/>
          <w:i/>
        </w:rPr>
        <w:t>Traité général de preuve et de procédures pénales</w:t>
      </w:r>
      <w:r w:rsidRPr="003D4FFF">
        <w:rPr>
          <w:rFonts w:cs="Arial"/>
        </w:rPr>
        <w:t>, 2</w:t>
      </w:r>
      <w:r w:rsidR="00B9530C">
        <w:rPr>
          <w:rFonts w:cs="Arial"/>
        </w:rPr>
        <w:t>5th</w:t>
      </w:r>
      <w:r w:rsidR="0054538C" w:rsidRPr="003D4FFF">
        <w:rPr>
          <w:rFonts w:cs="Arial"/>
        </w:rPr>
        <w:t xml:space="preserve"> </w:t>
      </w:r>
      <w:proofErr w:type="spellStart"/>
      <w:r w:rsidR="0054538C" w:rsidRPr="003D4FFF">
        <w:rPr>
          <w:rFonts w:cs="Arial"/>
        </w:rPr>
        <w:t>e</w:t>
      </w:r>
      <w:r w:rsidRPr="003D4FFF">
        <w:rPr>
          <w:rFonts w:cs="Arial"/>
        </w:rPr>
        <w:t>d</w:t>
      </w:r>
      <w:proofErr w:type="spellEnd"/>
      <w:r w:rsidRPr="003D4FFF">
        <w:rPr>
          <w:rFonts w:cs="Arial"/>
        </w:rPr>
        <w:t xml:space="preserve">. </w:t>
      </w:r>
      <w:r w:rsidR="00B9530C" w:rsidRPr="00F6241B">
        <w:rPr>
          <w:rFonts w:cs="Arial"/>
          <w:lang w:val="en-CA"/>
        </w:rPr>
        <w:t>(</w:t>
      </w:r>
      <w:r w:rsidRPr="00F6241B">
        <w:rPr>
          <w:rFonts w:cs="Arial"/>
          <w:lang w:val="en-CA"/>
        </w:rPr>
        <w:t>Montr</w:t>
      </w:r>
      <w:r w:rsidR="0054538C" w:rsidRPr="00F6241B">
        <w:rPr>
          <w:rFonts w:cs="Arial"/>
          <w:lang w:val="en-CA"/>
        </w:rPr>
        <w:t>e</w:t>
      </w:r>
      <w:r w:rsidRPr="00F6241B">
        <w:rPr>
          <w:rFonts w:cs="Arial"/>
          <w:lang w:val="en-CA"/>
        </w:rPr>
        <w:t>al</w:t>
      </w:r>
      <w:r w:rsidR="00B61A78" w:rsidRPr="00F6241B">
        <w:rPr>
          <w:rFonts w:cs="Arial"/>
          <w:lang w:val="en-CA"/>
        </w:rPr>
        <w:t>:</w:t>
      </w:r>
      <w:r w:rsidRPr="00F6241B">
        <w:rPr>
          <w:rFonts w:cs="Arial"/>
          <w:lang w:val="en-CA"/>
        </w:rPr>
        <w:t xml:space="preserve"> Éditions Yvon Blais, 2021</w:t>
      </w:r>
      <w:r w:rsidR="00B9530C" w:rsidRPr="00F6241B">
        <w:rPr>
          <w:rFonts w:cs="Arial"/>
          <w:lang w:val="en-CA"/>
        </w:rPr>
        <w:t>)</w:t>
      </w:r>
      <w:r w:rsidRPr="00F6241B">
        <w:rPr>
          <w:rFonts w:cs="Arial"/>
          <w:lang w:val="en-CA"/>
        </w:rPr>
        <w:t xml:space="preserve"> </w:t>
      </w:r>
      <w:r w:rsidR="00EE7246" w:rsidRPr="00F6241B">
        <w:rPr>
          <w:rFonts w:cs="Arial"/>
          <w:lang w:val="en-CA"/>
        </w:rPr>
        <w:t xml:space="preserve">at </w:t>
      </w:r>
      <w:r w:rsidRPr="00F6241B">
        <w:rPr>
          <w:rFonts w:cs="Arial"/>
          <w:lang w:val="en-CA"/>
        </w:rPr>
        <w:t>1248</w:t>
      </w:r>
      <w:r w:rsidR="0054538C" w:rsidRPr="00F6241B">
        <w:rPr>
          <w:rFonts w:cs="Arial"/>
          <w:lang w:val="en-CA"/>
        </w:rPr>
        <w:t xml:space="preserve"> and</w:t>
      </w:r>
      <w:r w:rsidR="00EE7246" w:rsidRPr="00F6241B">
        <w:rPr>
          <w:rFonts w:cs="Arial"/>
          <w:lang w:val="en-CA"/>
        </w:rPr>
        <w:t xml:space="preserve"> </w:t>
      </w:r>
      <w:r w:rsidR="00B9530C" w:rsidRPr="00F6241B">
        <w:rPr>
          <w:rFonts w:cs="Arial"/>
          <w:lang w:val="en-CA"/>
        </w:rPr>
        <w:t xml:space="preserve">at </w:t>
      </w:r>
      <w:r w:rsidRPr="00F6241B">
        <w:rPr>
          <w:rFonts w:cs="Arial"/>
          <w:lang w:val="en-CA"/>
        </w:rPr>
        <w:t>par</w:t>
      </w:r>
      <w:r w:rsidR="00EE7246" w:rsidRPr="00F6241B">
        <w:rPr>
          <w:rFonts w:cs="Arial"/>
          <w:lang w:val="en-CA"/>
        </w:rPr>
        <w:t>a</w:t>
      </w:r>
      <w:r w:rsidRPr="00F6241B">
        <w:rPr>
          <w:rFonts w:cs="Arial"/>
          <w:lang w:val="en-CA"/>
        </w:rPr>
        <w:t xml:space="preserve">. </w:t>
      </w:r>
      <w:r w:rsidRPr="003E6B52">
        <w:rPr>
          <w:rFonts w:cs="Arial"/>
          <w:lang w:val="en-CA"/>
        </w:rPr>
        <w:t>34.76.</w:t>
      </w:r>
    </w:p>
  </w:footnote>
  <w:footnote w:id="7">
    <w:p w14:paraId="122B5853" w14:textId="3F11D7E0" w:rsidR="00BE4A09" w:rsidRPr="003E6B52" w:rsidRDefault="00BE4A09" w:rsidP="00514E9A">
      <w:pPr>
        <w:pStyle w:val="Notedebasdepage"/>
        <w:rPr>
          <w:rFonts w:cs="Arial"/>
          <w:lang w:val="en-CA"/>
        </w:rPr>
      </w:pPr>
      <w:r w:rsidRPr="003E6B52">
        <w:rPr>
          <w:rStyle w:val="Appelnotedebasdep"/>
          <w:rFonts w:cs="Arial"/>
          <w:lang w:val="en-CA"/>
        </w:rPr>
        <w:footnoteRef/>
      </w:r>
      <w:r w:rsidRPr="003E6B52">
        <w:rPr>
          <w:rFonts w:cs="Arial"/>
          <w:lang w:val="en-CA"/>
        </w:rPr>
        <w:t xml:space="preserve"> </w:t>
      </w:r>
      <w:r w:rsidRPr="003E6B52">
        <w:rPr>
          <w:rFonts w:cs="Arial"/>
          <w:lang w:val="en-CA"/>
        </w:rPr>
        <w:tab/>
      </w:r>
      <w:r w:rsidRPr="003E6B52">
        <w:rPr>
          <w:rFonts w:cs="Arial"/>
          <w:i/>
          <w:lang w:val="en-CA"/>
        </w:rPr>
        <w:t xml:space="preserve">R. </w:t>
      </w:r>
      <w:r w:rsidR="0054538C">
        <w:rPr>
          <w:rFonts w:cs="Arial"/>
          <w:i/>
          <w:lang w:val="en-CA"/>
        </w:rPr>
        <w:t>v</w:t>
      </w:r>
      <w:r w:rsidRPr="003E6B52">
        <w:rPr>
          <w:rFonts w:cs="Arial"/>
          <w:i/>
          <w:lang w:val="en-CA"/>
        </w:rPr>
        <w:t xml:space="preserve">. </w:t>
      </w:r>
      <w:proofErr w:type="spellStart"/>
      <w:r w:rsidRPr="003E6B52">
        <w:rPr>
          <w:rFonts w:cs="Arial"/>
          <w:i/>
          <w:lang w:val="en-CA"/>
        </w:rPr>
        <w:t>J.F</w:t>
      </w:r>
      <w:proofErr w:type="spellEnd"/>
      <w:r w:rsidRPr="003E6B52">
        <w:rPr>
          <w:rFonts w:cs="Arial"/>
          <w:lang w:val="en-CA"/>
        </w:rPr>
        <w:t xml:space="preserve">., [2008] 3 </w:t>
      </w:r>
      <w:r w:rsidR="0054538C">
        <w:rPr>
          <w:lang w:val="en-CA"/>
        </w:rPr>
        <w:t>S.C.</w:t>
      </w:r>
      <w:r w:rsidR="0054538C" w:rsidRPr="003E6B52">
        <w:rPr>
          <w:lang w:val="en-CA"/>
        </w:rPr>
        <w:t>R.</w:t>
      </w:r>
      <w:r w:rsidRPr="003E6B52">
        <w:rPr>
          <w:rFonts w:cs="Arial"/>
          <w:lang w:val="en-CA"/>
        </w:rPr>
        <w:t xml:space="preserve"> 215</w:t>
      </w:r>
      <w:r w:rsidR="000A3C53">
        <w:rPr>
          <w:rFonts w:cs="Arial"/>
          <w:lang w:val="en-CA"/>
        </w:rPr>
        <w:t xml:space="preserve"> </w:t>
      </w:r>
      <w:r w:rsidR="0054538C">
        <w:rPr>
          <w:rFonts w:cs="Arial"/>
          <w:lang w:val="en-CA"/>
        </w:rPr>
        <w:t xml:space="preserve">at </w:t>
      </w:r>
      <w:r w:rsidRPr="003E6B52">
        <w:rPr>
          <w:rFonts w:cs="Arial"/>
          <w:lang w:val="en-CA"/>
        </w:rPr>
        <w:t>par</w:t>
      </w:r>
      <w:r w:rsidR="0054538C">
        <w:rPr>
          <w:rFonts w:cs="Arial"/>
          <w:lang w:val="en-CA"/>
        </w:rPr>
        <w:t>a</w:t>
      </w:r>
      <w:r w:rsidRPr="003E6B52">
        <w:rPr>
          <w:rFonts w:cs="Arial"/>
          <w:lang w:val="en-CA"/>
        </w:rPr>
        <w:t>. 15.</w:t>
      </w:r>
    </w:p>
  </w:footnote>
  <w:footnote w:id="8">
    <w:p w14:paraId="23E8169C" w14:textId="0AF96E1F"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 xml:space="preserve">R. </w:t>
      </w:r>
      <w:r w:rsidR="0054538C">
        <w:rPr>
          <w:i/>
          <w:lang w:val="en-CA"/>
        </w:rPr>
        <w:t>v</w:t>
      </w:r>
      <w:r w:rsidRPr="003E6B52">
        <w:rPr>
          <w:i/>
          <w:lang w:val="en-CA"/>
        </w:rPr>
        <w:t>. Prince</w:t>
      </w:r>
      <w:r w:rsidRPr="003E6B52">
        <w:rPr>
          <w:lang w:val="en-CA"/>
        </w:rPr>
        <w:t xml:space="preserve">, [1986] 2 </w:t>
      </w:r>
      <w:r w:rsidR="0054538C">
        <w:rPr>
          <w:lang w:val="en-CA"/>
        </w:rPr>
        <w:t>S.C.</w:t>
      </w:r>
      <w:r w:rsidR="0054538C" w:rsidRPr="003E6B52">
        <w:rPr>
          <w:lang w:val="en-CA"/>
        </w:rPr>
        <w:t>R.</w:t>
      </w:r>
      <w:r w:rsidRPr="003E6B52">
        <w:rPr>
          <w:lang w:val="en-CA"/>
        </w:rPr>
        <w:t xml:space="preserve"> </w:t>
      </w:r>
      <w:r w:rsidR="00F6241B">
        <w:rPr>
          <w:lang w:val="en-CA"/>
        </w:rPr>
        <w:t>480</w:t>
      </w:r>
      <w:r w:rsidR="006E22A0">
        <w:rPr>
          <w:lang w:val="en-CA"/>
        </w:rPr>
        <w:t>.</w:t>
      </w:r>
    </w:p>
  </w:footnote>
  <w:footnote w:id="9">
    <w:p w14:paraId="19B829D4" w14:textId="07C4D514" w:rsidR="00BE4A09" w:rsidRPr="003E6B52" w:rsidRDefault="00BE4A09" w:rsidP="00514E9A">
      <w:pPr>
        <w:pStyle w:val="Notedebasdepage"/>
        <w:rPr>
          <w:rFonts w:cs="Arial"/>
          <w:lang w:val="en-CA"/>
        </w:rPr>
      </w:pPr>
      <w:r w:rsidRPr="003E6B52">
        <w:rPr>
          <w:rStyle w:val="Appelnotedebasdep"/>
          <w:rFonts w:cs="Arial"/>
          <w:lang w:val="en-CA"/>
        </w:rPr>
        <w:footnoteRef/>
      </w:r>
      <w:r w:rsidRPr="003E6B52">
        <w:rPr>
          <w:rFonts w:cs="Arial"/>
          <w:lang w:val="en-CA"/>
        </w:rPr>
        <w:t xml:space="preserve"> </w:t>
      </w:r>
      <w:r w:rsidRPr="003E6B52">
        <w:rPr>
          <w:rFonts w:cs="Arial"/>
          <w:lang w:val="en-CA"/>
        </w:rPr>
        <w:tab/>
      </w:r>
      <w:r w:rsidRPr="003E6B52">
        <w:rPr>
          <w:rFonts w:cs="Arial"/>
          <w:i/>
          <w:lang w:val="en-CA"/>
        </w:rPr>
        <w:t>I</w:t>
      </w:r>
      <w:r w:rsidR="00B9530C">
        <w:rPr>
          <w:rFonts w:cs="Arial"/>
          <w:i/>
          <w:lang w:val="en-CA"/>
        </w:rPr>
        <w:t>bi</w:t>
      </w:r>
      <w:r w:rsidRPr="003E6B52">
        <w:rPr>
          <w:rFonts w:cs="Arial"/>
          <w:i/>
          <w:lang w:val="en-CA"/>
        </w:rPr>
        <w:t>d.</w:t>
      </w:r>
      <w:r w:rsidR="00B9530C">
        <w:rPr>
          <w:rFonts w:cs="Arial"/>
          <w:lang w:val="en-CA"/>
        </w:rPr>
        <w:t xml:space="preserve"> at</w:t>
      </w:r>
      <w:r w:rsidRPr="003E6B52">
        <w:rPr>
          <w:rFonts w:cs="Arial"/>
          <w:lang w:val="en-CA"/>
        </w:rPr>
        <w:t xml:space="preserve"> 491.</w:t>
      </w:r>
    </w:p>
  </w:footnote>
  <w:footnote w:id="10">
    <w:p w14:paraId="4929649C" w14:textId="0ACB932E" w:rsidR="00BE4A09" w:rsidRPr="003E6B52" w:rsidRDefault="00BE4A09" w:rsidP="00514E9A">
      <w:pPr>
        <w:pStyle w:val="Notedebasdepage"/>
        <w:rPr>
          <w:rFonts w:cs="Arial"/>
          <w:lang w:val="en-CA"/>
        </w:rPr>
      </w:pPr>
      <w:r w:rsidRPr="003E6B52">
        <w:rPr>
          <w:rStyle w:val="Appelnotedebasdep"/>
          <w:rFonts w:cs="Arial"/>
          <w:lang w:val="en-CA"/>
        </w:rPr>
        <w:footnoteRef/>
      </w:r>
      <w:r w:rsidRPr="003E6B52">
        <w:rPr>
          <w:rFonts w:cs="Arial"/>
          <w:lang w:val="en-CA"/>
        </w:rPr>
        <w:t xml:space="preserve"> </w:t>
      </w:r>
      <w:r w:rsidRPr="003E6B52">
        <w:rPr>
          <w:rFonts w:cs="Arial"/>
          <w:lang w:val="en-CA"/>
        </w:rPr>
        <w:tab/>
      </w:r>
      <w:r w:rsidRPr="003E6B52">
        <w:rPr>
          <w:rFonts w:cs="Arial"/>
          <w:i/>
          <w:lang w:val="en-CA"/>
        </w:rPr>
        <w:t>I</w:t>
      </w:r>
      <w:r w:rsidR="00B9530C">
        <w:rPr>
          <w:rFonts w:cs="Arial"/>
          <w:i/>
          <w:lang w:val="en-CA"/>
        </w:rPr>
        <w:t>bi</w:t>
      </w:r>
      <w:r w:rsidRPr="003E6B52">
        <w:rPr>
          <w:rFonts w:cs="Arial"/>
          <w:i/>
          <w:lang w:val="en-CA"/>
        </w:rPr>
        <w:t>d</w:t>
      </w:r>
      <w:r w:rsidR="00B9530C">
        <w:rPr>
          <w:rFonts w:cs="Arial"/>
          <w:i/>
          <w:lang w:val="en-CA"/>
        </w:rPr>
        <w:t xml:space="preserve">. </w:t>
      </w:r>
      <w:r w:rsidR="00B9530C" w:rsidRPr="006E22A0">
        <w:rPr>
          <w:rFonts w:cs="Arial"/>
          <w:iCs/>
          <w:lang w:val="en-CA"/>
        </w:rPr>
        <w:t>at</w:t>
      </w:r>
      <w:r w:rsidRPr="00DA68B6">
        <w:rPr>
          <w:rFonts w:cs="Arial"/>
          <w:iCs/>
          <w:lang w:val="en-CA"/>
        </w:rPr>
        <w:t xml:space="preserve"> </w:t>
      </w:r>
      <w:r w:rsidRPr="003E6B52">
        <w:rPr>
          <w:rFonts w:cs="Arial"/>
          <w:lang w:val="en-CA"/>
        </w:rPr>
        <w:t>492.</w:t>
      </w:r>
    </w:p>
  </w:footnote>
  <w:footnote w:id="11">
    <w:p w14:paraId="54059029" w14:textId="4F82C7DF" w:rsidR="00BE4A09" w:rsidRPr="003E6B52" w:rsidRDefault="00BE4A09" w:rsidP="00514E9A">
      <w:pPr>
        <w:pStyle w:val="Notedebasdepage"/>
        <w:rPr>
          <w:rFonts w:cs="Arial"/>
          <w:lang w:val="en-CA"/>
        </w:rPr>
      </w:pPr>
      <w:r w:rsidRPr="003E6B52">
        <w:rPr>
          <w:rStyle w:val="Appelnotedebasdep"/>
          <w:rFonts w:cs="Arial"/>
          <w:lang w:val="en-CA"/>
        </w:rPr>
        <w:footnoteRef/>
      </w:r>
      <w:r w:rsidRPr="003E6B52">
        <w:rPr>
          <w:rFonts w:cs="Arial"/>
          <w:lang w:val="en-CA"/>
        </w:rPr>
        <w:t xml:space="preserve"> </w:t>
      </w:r>
      <w:r w:rsidRPr="003E6B52">
        <w:rPr>
          <w:rFonts w:cs="Arial"/>
          <w:lang w:val="en-CA"/>
        </w:rPr>
        <w:tab/>
      </w:r>
      <w:r w:rsidRPr="003E6B52">
        <w:rPr>
          <w:rFonts w:cs="Arial"/>
          <w:i/>
          <w:lang w:val="en-CA"/>
        </w:rPr>
        <w:t>I</w:t>
      </w:r>
      <w:r w:rsidR="00B9530C">
        <w:rPr>
          <w:rFonts w:cs="Arial"/>
          <w:i/>
          <w:lang w:val="en-CA"/>
        </w:rPr>
        <w:t>bi</w:t>
      </w:r>
      <w:r w:rsidRPr="003E6B52">
        <w:rPr>
          <w:rFonts w:cs="Arial"/>
          <w:i/>
          <w:lang w:val="en-CA"/>
        </w:rPr>
        <w:t>d.</w:t>
      </w:r>
      <w:r w:rsidR="00B9530C">
        <w:rPr>
          <w:rFonts w:cs="Arial"/>
          <w:lang w:val="en-CA"/>
        </w:rPr>
        <w:t xml:space="preserve"> </w:t>
      </w:r>
      <w:r w:rsidR="00DA68B6">
        <w:rPr>
          <w:rFonts w:cs="Arial"/>
          <w:lang w:val="en-CA"/>
        </w:rPr>
        <w:t xml:space="preserve">at </w:t>
      </w:r>
      <w:r w:rsidRPr="003E6B52">
        <w:rPr>
          <w:rFonts w:cs="Arial"/>
          <w:lang w:val="en-CA"/>
        </w:rPr>
        <w:t>493</w:t>
      </w:r>
      <w:r w:rsidR="001D7525">
        <w:rPr>
          <w:lang w:val="en-CA"/>
        </w:rPr>
        <w:t>–</w:t>
      </w:r>
      <w:r w:rsidRPr="003E6B52">
        <w:rPr>
          <w:rFonts w:cs="Arial"/>
          <w:lang w:val="en-CA"/>
        </w:rPr>
        <w:t>495.</w:t>
      </w:r>
    </w:p>
  </w:footnote>
  <w:footnote w:id="12">
    <w:p w14:paraId="7478466A" w14:textId="1072D95F" w:rsidR="00BE4A09" w:rsidRPr="00F6241B" w:rsidRDefault="00BE4A09" w:rsidP="00514E9A">
      <w:pPr>
        <w:pStyle w:val="Notedebasdepage"/>
        <w:rPr>
          <w:lang w:val="en-CA"/>
        </w:rPr>
      </w:pPr>
      <w:r w:rsidRPr="003E6B52">
        <w:rPr>
          <w:rStyle w:val="Appelnotedebasdep"/>
          <w:lang w:val="en-CA"/>
        </w:rPr>
        <w:footnoteRef/>
      </w:r>
      <w:r w:rsidRPr="00874109">
        <w:rPr>
          <w:lang w:val="en-CA"/>
        </w:rPr>
        <w:t xml:space="preserve"> </w:t>
      </w:r>
      <w:r w:rsidRPr="00874109">
        <w:rPr>
          <w:lang w:val="en-CA"/>
        </w:rPr>
        <w:tab/>
      </w:r>
      <w:r w:rsidRPr="00874109">
        <w:rPr>
          <w:i/>
          <w:iCs/>
          <w:lang w:val="en-CA"/>
        </w:rPr>
        <w:t>Pronovost c. R</w:t>
      </w:r>
      <w:r w:rsidRPr="00874109">
        <w:rPr>
          <w:lang w:val="en-CA"/>
        </w:rPr>
        <w:t xml:space="preserve">., 2018 QCCA 2212 </w:t>
      </w:r>
      <w:r w:rsidR="0048235D" w:rsidRPr="00874109">
        <w:rPr>
          <w:lang w:val="en-CA"/>
        </w:rPr>
        <w:t xml:space="preserve">at </w:t>
      </w:r>
      <w:r w:rsidRPr="00874109">
        <w:rPr>
          <w:lang w:val="en-CA"/>
        </w:rPr>
        <w:t>par</w:t>
      </w:r>
      <w:r w:rsidR="0048235D" w:rsidRPr="00874109">
        <w:rPr>
          <w:lang w:val="en-CA"/>
        </w:rPr>
        <w:t>a</w:t>
      </w:r>
      <w:r w:rsidRPr="00874109">
        <w:rPr>
          <w:lang w:val="en-CA"/>
        </w:rPr>
        <w:t xml:space="preserve">. </w:t>
      </w:r>
      <w:r w:rsidRPr="00F6241B">
        <w:rPr>
          <w:lang w:val="en-CA"/>
        </w:rPr>
        <w:t>26.</w:t>
      </w:r>
    </w:p>
  </w:footnote>
  <w:footnote w:id="13">
    <w:p w14:paraId="45324253" w14:textId="69F80D9C" w:rsidR="00BE4A09" w:rsidRPr="003E6B52" w:rsidRDefault="00BE4A09" w:rsidP="00514E9A">
      <w:pPr>
        <w:pStyle w:val="Notedebasdepage"/>
        <w:rPr>
          <w:lang w:val="en-CA"/>
        </w:rPr>
      </w:pPr>
      <w:r w:rsidRPr="003E6B52">
        <w:rPr>
          <w:rStyle w:val="Appelnotedebasdep"/>
          <w:lang w:val="en-CA"/>
        </w:rPr>
        <w:footnoteRef/>
      </w:r>
      <w:r w:rsidRPr="00F6241B">
        <w:rPr>
          <w:lang w:val="en-CA"/>
        </w:rPr>
        <w:t xml:space="preserve"> </w:t>
      </w:r>
      <w:r w:rsidRPr="00F6241B">
        <w:rPr>
          <w:lang w:val="en-CA"/>
        </w:rPr>
        <w:tab/>
      </w:r>
      <w:r w:rsidRPr="00F6241B">
        <w:rPr>
          <w:i/>
          <w:iCs/>
          <w:lang w:val="en-CA"/>
        </w:rPr>
        <w:t xml:space="preserve">R. </w:t>
      </w:r>
      <w:r w:rsidR="009205A3" w:rsidRPr="00F6241B">
        <w:rPr>
          <w:i/>
          <w:iCs/>
          <w:lang w:val="en-CA"/>
        </w:rPr>
        <w:t>v</w:t>
      </w:r>
      <w:r w:rsidRPr="00F6241B">
        <w:rPr>
          <w:i/>
          <w:iCs/>
          <w:lang w:val="en-CA"/>
        </w:rPr>
        <w:t xml:space="preserve">. </w:t>
      </w:r>
      <w:proofErr w:type="spellStart"/>
      <w:r w:rsidRPr="00F6241B">
        <w:rPr>
          <w:i/>
          <w:iCs/>
          <w:lang w:val="en-CA"/>
        </w:rPr>
        <w:t>Loyer</w:t>
      </w:r>
      <w:proofErr w:type="spellEnd"/>
      <w:r w:rsidRPr="00F6241B">
        <w:rPr>
          <w:i/>
          <w:iCs/>
          <w:lang w:val="en-CA"/>
        </w:rPr>
        <w:t xml:space="preserve"> et </w:t>
      </w:r>
      <w:r w:rsidR="00D740C4" w:rsidRPr="00F6241B">
        <w:rPr>
          <w:i/>
          <w:iCs/>
          <w:lang w:val="en-CA"/>
        </w:rPr>
        <w:t>al.</w:t>
      </w:r>
      <w:r w:rsidR="00C40689" w:rsidRPr="00F6241B">
        <w:rPr>
          <w:lang w:val="en-CA"/>
        </w:rPr>
        <w:t>,</w:t>
      </w:r>
      <w:r w:rsidRPr="00F6241B">
        <w:rPr>
          <w:lang w:val="en-CA"/>
        </w:rPr>
        <w:t xml:space="preserve"> </w:t>
      </w:r>
      <w:r w:rsidRPr="003E6B52">
        <w:rPr>
          <w:lang w:val="en-CA"/>
        </w:rPr>
        <w:t xml:space="preserve">[1978] 2 </w:t>
      </w:r>
      <w:r w:rsidR="009205A3">
        <w:rPr>
          <w:lang w:val="en-CA"/>
        </w:rPr>
        <w:t>S.C.</w:t>
      </w:r>
      <w:r w:rsidRPr="003E6B52">
        <w:rPr>
          <w:lang w:val="en-CA"/>
        </w:rPr>
        <w:t xml:space="preserve">R. 631 </w:t>
      </w:r>
      <w:r w:rsidR="0048235D">
        <w:rPr>
          <w:lang w:val="en-CA"/>
        </w:rPr>
        <w:t xml:space="preserve">at </w:t>
      </w:r>
      <w:r w:rsidRPr="003E6B52">
        <w:rPr>
          <w:lang w:val="en-CA"/>
        </w:rPr>
        <w:t xml:space="preserve">635. </w:t>
      </w:r>
    </w:p>
  </w:footnote>
  <w:footnote w:id="14">
    <w:p w14:paraId="342740B2" w14:textId="0F0BB664"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00412234">
        <w:rPr>
          <w:lang w:val="en-CA"/>
        </w:rPr>
        <w:t>S</w:t>
      </w:r>
      <w:r w:rsidRPr="003E6B52">
        <w:rPr>
          <w:lang w:val="en-CA"/>
        </w:rPr>
        <w:t>ubs</w:t>
      </w:r>
      <w:r w:rsidR="00412234">
        <w:rPr>
          <w:lang w:val="en-CA"/>
        </w:rPr>
        <w:t>e</w:t>
      </w:r>
      <w:r w:rsidRPr="003E6B52">
        <w:rPr>
          <w:lang w:val="en-CA"/>
        </w:rPr>
        <w:t>quent</w:t>
      </w:r>
      <w:r w:rsidR="00412234">
        <w:rPr>
          <w:lang w:val="en-CA"/>
        </w:rPr>
        <w:t xml:space="preserve"> case law has specified that it is instead a conditional stay of proceedings that must be entered</w:t>
      </w:r>
      <w:r w:rsidRPr="003E6B52">
        <w:rPr>
          <w:lang w:val="en-CA"/>
        </w:rPr>
        <w:t xml:space="preserve">: </w:t>
      </w:r>
      <w:r w:rsidRPr="003E6B52">
        <w:rPr>
          <w:i/>
          <w:iCs/>
          <w:lang w:val="en-CA"/>
        </w:rPr>
        <w:t xml:space="preserve">R. </w:t>
      </w:r>
      <w:r w:rsidR="00412234">
        <w:rPr>
          <w:i/>
          <w:iCs/>
          <w:lang w:val="en-CA"/>
        </w:rPr>
        <w:t>v</w:t>
      </w:r>
      <w:r w:rsidRPr="003E6B52">
        <w:rPr>
          <w:i/>
          <w:iCs/>
          <w:lang w:val="en-CA"/>
        </w:rPr>
        <w:t>. Provo</w:t>
      </w:r>
      <w:r w:rsidRPr="003E6B52">
        <w:rPr>
          <w:lang w:val="en-CA"/>
        </w:rPr>
        <w:t xml:space="preserve">, [1989] 2 </w:t>
      </w:r>
      <w:r w:rsidR="00412234">
        <w:rPr>
          <w:lang w:val="en-CA"/>
        </w:rPr>
        <w:t>S.C.</w:t>
      </w:r>
      <w:r w:rsidRPr="003E6B52">
        <w:rPr>
          <w:lang w:val="en-CA"/>
        </w:rPr>
        <w:t xml:space="preserve">R. 3 </w:t>
      </w:r>
      <w:r w:rsidR="001009D9">
        <w:rPr>
          <w:lang w:val="en-CA"/>
        </w:rPr>
        <w:t>at</w:t>
      </w:r>
      <w:r w:rsidRPr="003E6B52">
        <w:rPr>
          <w:lang w:val="en-CA"/>
        </w:rPr>
        <w:t xml:space="preserve"> 16</w:t>
      </w:r>
      <w:r w:rsidR="001009D9">
        <w:rPr>
          <w:lang w:val="en-CA"/>
        </w:rPr>
        <w:t>–</w:t>
      </w:r>
      <w:r w:rsidRPr="003E6B52">
        <w:rPr>
          <w:lang w:val="en-CA"/>
        </w:rPr>
        <w:t xml:space="preserve">18; </w:t>
      </w:r>
      <w:r w:rsidRPr="003E6B52">
        <w:rPr>
          <w:rFonts w:cs="Arial"/>
          <w:i/>
          <w:lang w:val="en-CA"/>
        </w:rPr>
        <w:t xml:space="preserve">R. </w:t>
      </w:r>
      <w:r w:rsidR="00412234">
        <w:rPr>
          <w:rFonts w:cs="Arial"/>
          <w:i/>
          <w:lang w:val="en-CA"/>
        </w:rPr>
        <w:t>v</w:t>
      </w:r>
      <w:r w:rsidRPr="003E6B52">
        <w:rPr>
          <w:rFonts w:cs="Arial"/>
          <w:i/>
          <w:lang w:val="en-CA"/>
        </w:rPr>
        <w:t xml:space="preserve">. </w:t>
      </w:r>
      <w:proofErr w:type="spellStart"/>
      <w:r w:rsidRPr="003E6B52">
        <w:rPr>
          <w:rFonts w:cs="Arial"/>
          <w:i/>
          <w:lang w:val="en-CA"/>
        </w:rPr>
        <w:t>J.F</w:t>
      </w:r>
      <w:proofErr w:type="spellEnd"/>
      <w:r w:rsidRPr="003E6B52">
        <w:rPr>
          <w:rFonts w:cs="Arial"/>
          <w:lang w:val="en-CA"/>
        </w:rPr>
        <w:t xml:space="preserve">., [2008] 3 </w:t>
      </w:r>
      <w:r w:rsidR="00412234">
        <w:rPr>
          <w:rFonts w:cs="Arial"/>
          <w:lang w:val="en-CA"/>
        </w:rPr>
        <w:t>S.C.</w:t>
      </w:r>
      <w:r w:rsidRPr="003E6B52">
        <w:rPr>
          <w:rFonts w:cs="Arial"/>
          <w:lang w:val="en-CA"/>
        </w:rPr>
        <w:t xml:space="preserve">R. 215 </w:t>
      </w:r>
      <w:r w:rsidR="00412234">
        <w:rPr>
          <w:rFonts w:cs="Arial"/>
          <w:lang w:val="en-CA"/>
        </w:rPr>
        <w:t xml:space="preserve">at </w:t>
      </w:r>
      <w:r w:rsidRPr="003E6B52">
        <w:rPr>
          <w:rFonts w:cs="Arial"/>
          <w:lang w:val="en-CA"/>
        </w:rPr>
        <w:t>par</w:t>
      </w:r>
      <w:r w:rsidR="00412234">
        <w:rPr>
          <w:rFonts w:cs="Arial"/>
          <w:lang w:val="en-CA"/>
        </w:rPr>
        <w:t>a</w:t>
      </w:r>
      <w:r w:rsidRPr="003E6B52">
        <w:rPr>
          <w:rFonts w:cs="Arial"/>
          <w:lang w:val="en-CA"/>
        </w:rPr>
        <w:t>. 15.</w:t>
      </w:r>
    </w:p>
  </w:footnote>
  <w:footnote w:id="15">
    <w:p w14:paraId="60E9BEA2" w14:textId="260521B0"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002F74D7">
        <w:rPr>
          <w:lang w:val="en-CA"/>
        </w:rPr>
        <w:t>See</w:t>
      </w:r>
      <w:r w:rsidR="00412234">
        <w:rPr>
          <w:lang w:val="en-CA"/>
        </w:rPr>
        <w:t xml:space="preserve"> </w:t>
      </w:r>
      <w:r w:rsidR="00554B8C" w:rsidRPr="00554B8C">
        <w:rPr>
          <w:i/>
          <w:iCs/>
          <w:lang w:val="en-CA"/>
        </w:rPr>
        <w:t>R.</w:t>
      </w:r>
      <w:r w:rsidRPr="003E6B52">
        <w:rPr>
          <w:i/>
          <w:lang w:val="en-CA"/>
        </w:rPr>
        <w:t xml:space="preserve"> c. Boivin</w:t>
      </w:r>
      <w:r w:rsidRPr="003E6B52">
        <w:rPr>
          <w:lang w:val="en-CA"/>
        </w:rPr>
        <w:t xml:space="preserve"> (1976), 34 </w:t>
      </w:r>
      <w:proofErr w:type="spellStart"/>
      <w:r w:rsidRPr="003E6B52">
        <w:rPr>
          <w:lang w:val="en-CA"/>
        </w:rPr>
        <w:t>C.C.C</w:t>
      </w:r>
      <w:proofErr w:type="spellEnd"/>
      <w:r w:rsidRPr="003E6B52">
        <w:rPr>
          <w:lang w:val="en-CA"/>
        </w:rPr>
        <w:t>. (2d) 203</w:t>
      </w:r>
      <w:r w:rsidR="001009D9">
        <w:rPr>
          <w:lang w:val="en-CA"/>
        </w:rPr>
        <w:t xml:space="preserve"> </w:t>
      </w:r>
      <w:r w:rsidRPr="003E6B52">
        <w:rPr>
          <w:lang w:val="en-CA"/>
        </w:rPr>
        <w:t>(</w:t>
      </w:r>
      <w:r w:rsidR="002F74D7">
        <w:rPr>
          <w:lang w:val="en-CA"/>
        </w:rPr>
        <w:t>Q</w:t>
      </w:r>
      <w:r w:rsidRPr="003E6B52">
        <w:rPr>
          <w:lang w:val="en-CA"/>
        </w:rPr>
        <w:t>u</w:t>
      </w:r>
      <w:r w:rsidR="00554B8C">
        <w:rPr>
          <w:lang w:val="en-CA"/>
        </w:rPr>
        <w:t>e</w:t>
      </w:r>
      <w:r w:rsidRPr="003E6B52">
        <w:rPr>
          <w:lang w:val="en-CA"/>
        </w:rPr>
        <w:t>.</w:t>
      </w:r>
      <w:r w:rsidR="002F74D7">
        <w:rPr>
          <w:lang w:val="en-CA"/>
        </w:rPr>
        <w:t xml:space="preserve"> </w:t>
      </w:r>
      <w:r w:rsidR="002F74D7" w:rsidRPr="003E6B52">
        <w:rPr>
          <w:lang w:val="en-CA"/>
        </w:rPr>
        <w:t>C.A.</w:t>
      </w:r>
      <w:r w:rsidRPr="003E6B52">
        <w:rPr>
          <w:lang w:val="en-CA"/>
        </w:rPr>
        <w:t xml:space="preserve">); </w:t>
      </w:r>
      <w:r w:rsidRPr="003E6B52">
        <w:rPr>
          <w:i/>
          <w:lang w:val="en-CA"/>
        </w:rPr>
        <w:t xml:space="preserve">R. </w:t>
      </w:r>
      <w:r w:rsidR="00412234">
        <w:rPr>
          <w:i/>
          <w:lang w:val="en-CA"/>
        </w:rPr>
        <w:t>v</w:t>
      </w:r>
      <w:r w:rsidRPr="003E6B52">
        <w:rPr>
          <w:i/>
          <w:lang w:val="en-CA"/>
        </w:rPr>
        <w:t>. Plank</w:t>
      </w:r>
      <w:r w:rsidRPr="003E6B52">
        <w:rPr>
          <w:lang w:val="en-CA"/>
        </w:rPr>
        <w:t xml:space="preserve"> (1987), 28 </w:t>
      </w:r>
      <w:proofErr w:type="spellStart"/>
      <w:r w:rsidRPr="003E6B52">
        <w:rPr>
          <w:lang w:val="en-CA"/>
        </w:rPr>
        <w:t>C.C.C</w:t>
      </w:r>
      <w:proofErr w:type="spellEnd"/>
      <w:r w:rsidRPr="003E6B52">
        <w:rPr>
          <w:lang w:val="en-CA"/>
        </w:rPr>
        <w:t>. (3d) 386 (</w:t>
      </w:r>
      <w:r w:rsidR="00412234">
        <w:rPr>
          <w:lang w:val="en-CA"/>
        </w:rPr>
        <w:t>O</w:t>
      </w:r>
      <w:r w:rsidR="001009D9">
        <w:rPr>
          <w:lang w:val="en-CA"/>
        </w:rPr>
        <w:t>nt. </w:t>
      </w:r>
      <w:r w:rsidRPr="003E6B52">
        <w:rPr>
          <w:lang w:val="en-CA"/>
        </w:rPr>
        <w:t xml:space="preserve">C.A.); </w:t>
      </w:r>
      <w:r w:rsidRPr="003E6B52">
        <w:rPr>
          <w:i/>
          <w:lang w:val="en-CA"/>
        </w:rPr>
        <w:t>R. c. Morisette</w:t>
      </w:r>
      <w:r w:rsidRPr="003E6B52">
        <w:rPr>
          <w:lang w:val="en-CA"/>
        </w:rPr>
        <w:t xml:space="preserve">, [2005] J.Q. </w:t>
      </w:r>
      <w:r w:rsidR="002F74D7">
        <w:rPr>
          <w:lang w:val="en-CA"/>
        </w:rPr>
        <w:t>N</w:t>
      </w:r>
      <w:r w:rsidRPr="003E6B52">
        <w:rPr>
          <w:lang w:val="en-CA"/>
        </w:rPr>
        <w:t>o</w:t>
      </w:r>
      <w:r w:rsidR="002F74D7">
        <w:rPr>
          <w:lang w:val="en-CA"/>
        </w:rPr>
        <w:t>.</w:t>
      </w:r>
      <w:r w:rsidRPr="003E6B52">
        <w:rPr>
          <w:lang w:val="en-CA"/>
        </w:rPr>
        <w:t xml:space="preserve"> 792 (CanLII) (Qu</w:t>
      </w:r>
      <w:r w:rsidR="00554B8C">
        <w:rPr>
          <w:lang w:val="en-CA"/>
        </w:rPr>
        <w:t>e</w:t>
      </w:r>
      <w:r w:rsidRPr="003E6B52">
        <w:rPr>
          <w:lang w:val="en-CA"/>
        </w:rPr>
        <w:t>.</w:t>
      </w:r>
      <w:r w:rsidR="002F74D7">
        <w:rPr>
          <w:lang w:val="en-CA"/>
        </w:rPr>
        <w:t xml:space="preserve"> </w:t>
      </w:r>
      <w:r w:rsidR="002F74D7" w:rsidRPr="003E6B52">
        <w:rPr>
          <w:lang w:val="en-CA"/>
        </w:rPr>
        <w:t>C.A.</w:t>
      </w:r>
      <w:r w:rsidRPr="003E6B52">
        <w:rPr>
          <w:lang w:val="en-CA"/>
        </w:rPr>
        <w:t>).</w:t>
      </w:r>
    </w:p>
  </w:footnote>
  <w:footnote w:id="16">
    <w:p w14:paraId="0243421E" w14:textId="5065C26C"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 xml:space="preserve">R. </w:t>
      </w:r>
      <w:r w:rsidR="00412234">
        <w:rPr>
          <w:i/>
          <w:lang w:val="en-CA"/>
        </w:rPr>
        <w:t>v</w:t>
      </w:r>
      <w:r w:rsidRPr="003E6B52">
        <w:rPr>
          <w:i/>
          <w:lang w:val="en-CA"/>
        </w:rPr>
        <w:t>. Prince</w:t>
      </w:r>
      <w:r w:rsidRPr="003E6B52">
        <w:rPr>
          <w:lang w:val="en-CA"/>
        </w:rPr>
        <w:t xml:space="preserve">, [1986] 2 </w:t>
      </w:r>
      <w:r w:rsidR="00412234">
        <w:rPr>
          <w:lang w:val="en-CA"/>
        </w:rPr>
        <w:t>S.C.</w:t>
      </w:r>
      <w:r w:rsidRPr="003E6B52">
        <w:rPr>
          <w:lang w:val="en-CA"/>
        </w:rPr>
        <w:t xml:space="preserve">R. 480 </w:t>
      </w:r>
      <w:r w:rsidR="00412234">
        <w:rPr>
          <w:lang w:val="en-CA"/>
        </w:rPr>
        <w:t xml:space="preserve">at </w:t>
      </w:r>
      <w:r w:rsidRPr="003E6B52">
        <w:rPr>
          <w:lang w:val="en-CA"/>
        </w:rPr>
        <w:t>par</w:t>
      </w:r>
      <w:r w:rsidR="00412234">
        <w:rPr>
          <w:lang w:val="en-CA"/>
        </w:rPr>
        <w:t>a</w:t>
      </w:r>
      <w:r w:rsidRPr="003E6B52">
        <w:rPr>
          <w:lang w:val="en-CA"/>
        </w:rPr>
        <w:t>. 38.</w:t>
      </w:r>
    </w:p>
  </w:footnote>
  <w:footnote w:id="17">
    <w:p w14:paraId="694C36A3" w14:textId="68463A70"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 xml:space="preserve">R. </w:t>
      </w:r>
      <w:r w:rsidR="0061401C">
        <w:rPr>
          <w:i/>
          <w:lang w:val="en-CA"/>
        </w:rPr>
        <w:t>v</w:t>
      </w:r>
      <w:r w:rsidRPr="003E6B52">
        <w:rPr>
          <w:i/>
          <w:lang w:val="en-CA"/>
        </w:rPr>
        <w:t xml:space="preserve">. </w:t>
      </w:r>
      <w:proofErr w:type="spellStart"/>
      <w:r w:rsidRPr="003E6B52">
        <w:rPr>
          <w:i/>
          <w:lang w:val="en-CA"/>
        </w:rPr>
        <w:t>Awashish</w:t>
      </w:r>
      <w:proofErr w:type="spellEnd"/>
      <w:r w:rsidRPr="003E6B52">
        <w:rPr>
          <w:lang w:val="en-CA"/>
        </w:rPr>
        <w:t xml:space="preserve">, 2018 </w:t>
      </w:r>
      <w:r w:rsidR="0061401C">
        <w:rPr>
          <w:lang w:val="en-CA"/>
        </w:rPr>
        <w:t>S</w:t>
      </w:r>
      <w:r w:rsidRPr="003E6B52">
        <w:rPr>
          <w:lang w:val="en-CA"/>
        </w:rPr>
        <w:t xml:space="preserve">CC 46, [2018] 3 </w:t>
      </w:r>
      <w:r w:rsidR="0061401C">
        <w:rPr>
          <w:lang w:val="en-CA"/>
        </w:rPr>
        <w:t>S</w:t>
      </w:r>
      <w:r w:rsidRPr="003E6B52">
        <w:rPr>
          <w:lang w:val="en-CA"/>
        </w:rPr>
        <w:t>.C.</w:t>
      </w:r>
      <w:r w:rsidR="0061401C">
        <w:rPr>
          <w:lang w:val="en-CA"/>
        </w:rPr>
        <w:t>R</w:t>
      </w:r>
      <w:r w:rsidRPr="003E6B52">
        <w:rPr>
          <w:lang w:val="en-CA"/>
        </w:rPr>
        <w:t xml:space="preserve">. 87 </w:t>
      </w:r>
      <w:r w:rsidR="0061401C">
        <w:rPr>
          <w:lang w:val="en-CA"/>
        </w:rPr>
        <w:t xml:space="preserve">at </w:t>
      </w:r>
      <w:r w:rsidRPr="003E6B52">
        <w:rPr>
          <w:lang w:val="en-CA"/>
        </w:rPr>
        <w:t>par</w:t>
      </w:r>
      <w:r w:rsidR="0061401C">
        <w:rPr>
          <w:lang w:val="en-CA"/>
        </w:rPr>
        <w:t>as</w:t>
      </w:r>
      <w:r w:rsidRPr="003E6B52">
        <w:rPr>
          <w:lang w:val="en-CA"/>
        </w:rPr>
        <w:t>. 11</w:t>
      </w:r>
      <w:r w:rsidR="003417AC">
        <w:rPr>
          <w:lang w:val="en-CA"/>
        </w:rPr>
        <w:t>–</w:t>
      </w:r>
      <w:r w:rsidRPr="003E6B52">
        <w:rPr>
          <w:lang w:val="en-CA"/>
        </w:rPr>
        <w:t xml:space="preserve">12 </w:t>
      </w:r>
      <w:r w:rsidR="0061401C">
        <w:rPr>
          <w:lang w:val="en-CA"/>
        </w:rPr>
        <w:t>and</w:t>
      </w:r>
      <w:r w:rsidRPr="003E6B52">
        <w:rPr>
          <w:lang w:val="en-CA"/>
        </w:rPr>
        <w:t xml:space="preserve"> 20</w:t>
      </w:r>
      <w:r w:rsidR="003417AC">
        <w:rPr>
          <w:lang w:val="en-CA"/>
        </w:rPr>
        <w:t>–</w:t>
      </w:r>
      <w:r w:rsidRPr="003E6B52">
        <w:rPr>
          <w:lang w:val="en-CA"/>
        </w:rPr>
        <w:t>23.</w:t>
      </w:r>
    </w:p>
  </w:footnote>
  <w:footnote w:id="18">
    <w:p w14:paraId="2BD8FED5" w14:textId="02AB65B9" w:rsidR="00BE4A09" w:rsidRPr="003E6B52" w:rsidRDefault="00BE4A09" w:rsidP="00514E9A">
      <w:pPr>
        <w:pStyle w:val="Notedebasdepage"/>
        <w:rPr>
          <w:lang w:val="en-CA"/>
        </w:rPr>
      </w:pPr>
      <w:r w:rsidRPr="003E6B52">
        <w:rPr>
          <w:rStyle w:val="Appelnotedebasdep"/>
          <w:lang w:val="en-CA"/>
        </w:rPr>
        <w:footnoteRef/>
      </w:r>
      <w:r w:rsidRPr="003E6B52">
        <w:rPr>
          <w:lang w:val="en-CA"/>
        </w:rPr>
        <w:tab/>
        <w:t xml:space="preserve">Superior Court </w:t>
      </w:r>
      <w:r w:rsidR="00F20072">
        <w:rPr>
          <w:lang w:val="en-CA"/>
        </w:rPr>
        <w:t>J</w:t>
      </w:r>
      <w:r w:rsidRPr="003E6B52">
        <w:rPr>
          <w:lang w:val="en-CA"/>
        </w:rPr>
        <w:t xml:space="preserve">udgment </w:t>
      </w:r>
      <w:r w:rsidR="005822C9" w:rsidRPr="003E6B52">
        <w:rPr>
          <w:lang w:val="en-CA"/>
        </w:rPr>
        <w:t xml:space="preserve">at </w:t>
      </w:r>
      <w:r w:rsidRPr="003E6B52">
        <w:rPr>
          <w:lang w:val="en-CA"/>
        </w:rPr>
        <w:t>par</w:t>
      </w:r>
      <w:r w:rsidR="005822C9" w:rsidRPr="003E6B52">
        <w:rPr>
          <w:lang w:val="en-CA"/>
        </w:rPr>
        <w:t>as</w:t>
      </w:r>
      <w:r w:rsidRPr="003E6B52">
        <w:rPr>
          <w:lang w:val="en-CA"/>
        </w:rPr>
        <w:t>. 46</w:t>
      </w:r>
      <w:r w:rsidR="00D63CA8">
        <w:rPr>
          <w:lang w:val="en-CA"/>
        </w:rPr>
        <w:t>–</w:t>
      </w:r>
      <w:r w:rsidRPr="003E6B52">
        <w:rPr>
          <w:lang w:val="en-CA"/>
        </w:rPr>
        <w:t>47.</w:t>
      </w:r>
    </w:p>
  </w:footnote>
  <w:footnote w:id="19">
    <w:p w14:paraId="3EB50646" w14:textId="7ACDB260" w:rsidR="00BE4A09" w:rsidRPr="003E6B52" w:rsidRDefault="00BE4A09" w:rsidP="00514E9A">
      <w:pPr>
        <w:pStyle w:val="Notedebasdepage"/>
        <w:rPr>
          <w:lang w:val="en-CA"/>
        </w:rPr>
      </w:pPr>
      <w:r w:rsidRPr="003E6B52">
        <w:rPr>
          <w:rStyle w:val="Appelnotedebasdep"/>
          <w:lang w:val="en-CA"/>
        </w:rPr>
        <w:footnoteRef/>
      </w:r>
      <w:r w:rsidRPr="003E6B52">
        <w:rPr>
          <w:i/>
          <w:lang w:val="en-CA"/>
        </w:rPr>
        <w:tab/>
        <w:t>I</w:t>
      </w:r>
      <w:r w:rsidR="00D63CA8">
        <w:rPr>
          <w:i/>
          <w:lang w:val="en-CA"/>
        </w:rPr>
        <w:t>bi</w:t>
      </w:r>
      <w:r w:rsidRPr="003E6B52">
        <w:rPr>
          <w:i/>
          <w:lang w:val="en-CA"/>
        </w:rPr>
        <w:t>d.</w:t>
      </w:r>
      <w:r w:rsidRPr="003E6B52">
        <w:rPr>
          <w:lang w:val="en-CA"/>
        </w:rPr>
        <w:t xml:space="preserve"> </w:t>
      </w:r>
      <w:r w:rsidR="005822C9" w:rsidRPr="003E6B52">
        <w:rPr>
          <w:lang w:val="en-CA"/>
        </w:rPr>
        <w:t xml:space="preserve">at </w:t>
      </w:r>
      <w:r w:rsidRPr="003E6B52">
        <w:rPr>
          <w:lang w:val="en-CA"/>
        </w:rPr>
        <w:t>par</w:t>
      </w:r>
      <w:r w:rsidR="005822C9" w:rsidRPr="003E6B52">
        <w:rPr>
          <w:lang w:val="en-CA"/>
        </w:rPr>
        <w:t>a</w:t>
      </w:r>
      <w:r w:rsidRPr="003E6B52">
        <w:rPr>
          <w:lang w:val="en-CA"/>
        </w:rPr>
        <w:t>. 47.</w:t>
      </w:r>
    </w:p>
  </w:footnote>
  <w:footnote w:id="20">
    <w:p w14:paraId="41BE7D8D" w14:textId="783ABAA4"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005822C9" w:rsidRPr="003E6B52">
        <w:rPr>
          <w:lang w:val="en-CA"/>
        </w:rPr>
        <w:t>Section</w:t>
      </w:r>
      <w:r w:rsidRPr="003E6B52">
        <w:rPr>
          <w:lang w:val="en-CA"/>
        </w:rPr>
        <w:t xml:space="preserve"> 591(2) </w:t>
      </w:r>
      <w:r w:rsidR="004119A7" w:rsidRPr="00D63CA8">
        <w:rPr>
          <w:i/>
          <w:iCs/>
          <w:lang w:val="en-CA"/>
        </w:rPr>
        <w:t>Cr. C</w:t>
      </w:r>
      <w:r w:rsidR="004119A7" w:rsidRPr="004119A7">
        <w:rPr>
          <w:lang w:val="en-CA"/>
        </w:rPr>
        <w:t>.</w:t>
      </w:r>
      <w:r w:rsidRPr="003E6B52">
        <w:rPr>
          <w:lang w:val="en-CA"/>
        </w:rPr>
        <w:t xml:space="preserve">; </w:t>
      </w:r>
      <w:r w:rsidRPr="003E6B52">
        <w:rPr>
          <w:i/>
          <w:iCs/>
          <w:lang w:val="en-CA"/>
        </w:rPr>
        <w:t>Beaulieu c. R</w:t>
      </w:r>
      <w:r w:rsidRPr="003E6B52">
        <w:rPr>
          <w:lang w:val="en-CA"/>
        </w:rPr>
        <w:t>., 2014 QCCA 2311</w:t>
      </w:r>
      <w:r w:rsidR="00F20072">
        <w:rPr>
          <w:lang w:val="en-CA"/>
        </w:rPr>
        <w:t xml:space="preserve"> </w:t>
      </w:r>
      <w:r w:rsidR="005822C9" w:rsidRPr="003E6B52">
        <w:rPr>
          <w:lang w:val="en-CA"/>
        </w:rPr>
        <w:t xml:space="preserve">at </w:t>
      </w:r>
      <w:r w:rsidRPr="003E6B52">
        <w:rPr>
          <w:lang w:val="en-CA"/>
        </w:rPr>
        <w:t>par</w:t>
      </w:r>
      <w:r w:rsidR="005822C9" w:rsidRPr="003E6B52">
        <w:rPr>
          <w:lang w:val="en-CA"/>
        </w:rPr>
        <w:t>a</w:t>
      </w:r>
      <w:r w:rsidRPr="003E6B52">
        <w:rPr>
          <w:lang w:val="en-CA"/>
        </w:rPr>
        <w:t xml:space="preserve">. 2. </w:t>
      </w:r>
    </w:p>
  </w:footnote>
  <w:footnote w:id="21">
    <w:p w14:paraId="43E3670F" w14:textId="0BBE0E5D"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 xml:space="preserve">R. c. Lamontagne </w:t>
      </w:r>
      <w:r w:rsidRPr="003E6B52">
        <w:rPr>
          <w:lang w:val="en-CA"/>
        </w:rPr>
        <w:t xml:space="preserve">(1994), 95 </w:t>
      </w:r>
      <w:proofErr w:type="spellStart"/>
      <w:r w:rsidRPr="003E6B52">
        <w:rPr>
          <w:lang w:val="en-CA"/>
        </w:rPr>
        <w:t>C.C.C</w:t>
      </w:r>
      <w:proofErr w:type="spellEnd"/>
      <w:r w:rsidRPr="003E6B52">
        <w:rPr>
          <w:lang w:val="en-CA"/>
        </w:rPr>
        <w:t>. (3d) 277 (Qu</w:t>
      </w:r>
      <w:r w:rsidR="008E68BA">
        <w:rPr>
          <w:lang w:val="en-CA"/>
        </w:rPr>
        <w:t>e</w:t>
      </w:r>
      <w:r w:rsidRPr="003E6B52">
        <w:rPr>
          <w:lang w:val="en-CA"/>
        </w:rPr>
        <w:t>.</w:t>
      </w:r>
      <w:r w:rsidR="004119A7">
        <w:rPr>
          <w:lang w:val="en-CA"/>
        </w:rPr>
        <w:t xml:space="preserve"> </w:t>
      </w:r>
      <w:r w:rsidR="004119A7" w:rsidRPr="003E6B52">
        <w:rPr>
          <w:lang w:val="en-CA"/>
        </w:rPr>
        <w:t>C.A.</w:t>
      </w:r>
      <w:r w:rsidRPr="003E6B52">
        <w:rPr>
          <w:lang w:val="en-CA"/>
        </w:rPr>
        <w:t xml:space="preserve">) </w:t>
      </w:r>
      <w:r w:rsidR="005822C9" w:rsidRPr="003E6B52">
        <w:rPr>
          <w:lang w:val="en-CA"/>
        </w:rPr>
        <w:t>and, by analogy</w:t>
      </w:r>
      <w:r w:rsidRPr="003E6B52">
        <w:rPr>
          <w:lang w:val="en-CA"/>
        </w:rPr>
        <w:t xml:space="preserve">, </w:t>
      </w:r>
      <w:r w:rsidRPr="003E6B52">
        <w:rPr>
          <w:i/>
          <w:lang w:val="en-CA"/>
        </w:rPr>
        <w:t xml:space="preserve">R. </w:t>
      </w:r>
      <w:r w:rsidR="00186530">
        <w:rPr>
          <w:i/>
          <w:lang w:val="en-CA"/>
        </w:rPr>
        <w:t>v.</w:t>
      </w:r>
      <w:r w:rsidRPr="003E6B52">
        <w:rPr>
          <w:i/>
          <w:lang w:val="en-CA"/>
        </w:rPr>
        <w:t xml:space="preserve"> Roberge</w:t>
      </w:r>
      <w:r w:rsidRPr="003E6B52">
        <w:rPr>
          <w:lang w:val="en-CA"/>
        </w:rPr>
        <w:t>, [2005] 2 </w:t>
      </w:r>
      <w:r w:rsidR="00186530">
        <w:rPr>
          <w:lang w:val="en-CA"/>
        </w:rPr>
        <w:t>S</w:t>
      </w:r>
      <w:r w:rsidRPr="003E6B52">
        <w:rPr>
          <w:lang w:val="en-CA"/>
        </w:rPr>
        <w:t>.C.</w:t>
      </w:r>
      <w:r w:rsidR="00186530">
        <w:rPr>
          <w:lang w:val="en-CA"/>
        </w:rPr>
        <w:t>R</w:t>
      </w:r>
      <w:r w:rsidRPr="003E6B52">
        <w:rPr>
          <w:lang w:val="en-CA"/>
        </w:rPr>
        <w:t xml:space="preserve">. 469; </w:t>
      </w:r>
      <w:r w:rsidRPr="003E6B52">
        <w:rPr>
          <w:i/>
          <w:lang w:val="en-CA"/>
        </w:rPr>
        <w:t>R. c</w:t>
      </w:r>
      <w:r w:rsidRPr="003E6B52">
        <w:rPr>
          <w:lang w:val="en-CA"/>
        </w:rPr>
        <w:t xml:space="preserve">. </w:t>
      </w:r>
      <w:r w:rsidRPr="003E6B52">
        <w:rPr>
          <w:i/>
          <w:lang w:val="en-CA"/>
        </w:rPr>
        <w:t>Lafortune</w:t>
      </w:r>
      <w:r w:rsidRPr="003E6B52">
        <w:rPr>
          <w:lang w:val="en-CA"/>
        </w:rPr>
        <w:t xml:space="preserve">, 2018 QCCA 16 </w:t>
      </w:r>
      <w:r w:rsidR="005822C9" w:rsidRPr="003E6B52">
        <w:rPr>
          <w:lang w:val="en-CA"/>
        </w:rPr>
        <w:t xml:space="preserve">at </w:t>
      </w:r>
      <w:r w:rsidRPr="003E6B52">
        <w:rPr>
          <w:lang w:val="en-CA"/>
        </w:rPr>
        <w:t>par</w:t>
      </w:r>
      <w:r w:rsidR="005822C9" w:rsidRPr="003E6B52">
        <w:rPr>
          <w:lang w:val="en-CA"/>
        </w:rPr>
        <w:t>as</w:t>
      </w:r>
      <w:r w:rsidRPr="003E6B52">
        <w:rPr>
          <w:lang w:val="en-CA"/>
        </w:rPr>
        <w:t>. 17</w:t>
      </w:r>
      <w:r w:rsidR="00D63CA8">
        <w:rPr>
          <w:lang w:val="en-CA"/>
        </w:rPr>
        <w:t>–</w:t>
      </w:r>
      <w:r w:rsidRPr="003E6B52">
        <w:rPr>
          <w:lang w:val="en-CA"/>
        </w:rPr>
        <w:t>18.</w:t>
      </w:r>
    </w:p>
  </w:footnote>
  <w:footnote w:id="22">
    <w:p w14:paraId="05F58651" w14:textId="63765F09"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 xml:space="preserve">R. v. </w:t>
      </w:r>
      <w:proofErr w:type="spellStart"/>
      <w:r w:rsidRPr="003E6B52">
        <w:rPr>
          <w:i/>
          <w:lang w:val="en-CA"/>
        </w:rPr>
        <w:t>Eross</w:t>
      </w:r>
      <w:proofErr w:type="spellEnd"/>
      <w:r w:rsidRPr="003E6B52">
        <w:rPr>
          <w:lang w:val="en-CA"/>
        </w:rPr>
        <w:t xml:space="preserve"> (1970), 5 </w:t>
      </w:r>
      <w:proofErr w:type="spellStart"/>
      <w:r w:rsidRPr="003E6B52">
        <w:rPr>
          <w:lang w:val="en-CA"/>
        </w:rPr>
        <w:t>C.C.C</w:t>
      </w:r>
      <w:proofErr w:type="spellEnd"/>
      <w:r w:rsidRPr="003E6B52">
        <w:rPr>
          <w:lang w:val="en-CA"/>
        </w:rPr>
        <w:t xml:space="preserve">. 169 </w:t>
      </w:r>
      <w:r w:rsidR="008515F1" w:rsidRPr="003E6B52">
        <w:rPr>
          <w:lang w:val="en-CA"/>
        </w:rPr>
        <w:t xml:space="preserve">at </w:t>
      </w:r>
      <w:r w:rsidRPr="003E6B52">
        <w:rPr>
          <w:lang w:val="en-CA"/>
        </w:rPr>
        <w:t>171</w:t>
      </w:r>
      <w:r w:rsidR="009B6B89">
        <w:rPr>
          <w:lang w:val="en-CA"/>
        </w:rPr>
        <w:t>–</w:t>
      </w:r>
      <w:r w:rsidRPr="003E6B52">
        <w:rPr>
          <w:lang w:val="en-CA"/>
        </w:rPr>
        <w:t>172 (</w:t>
      </w:r>
      <w:r w:rsidR="008515F1" w:rsidRPr="003E6B52">
        <w:rPr>
          <w:lang w:val="en-CA"/>
        </w:rPr>
        <w:t>B.C.</w:t>
      </w:r>
      <w:r w:rsidR="003F4A0F">
        <w:rPr>
          <w:lang w:val="en-CA"/>
        </w:rPr>
        <w:t xml:space="preserve"> </w:t>
      </w:r>
      <w:r w:rsidR="00E3258A" w:rsidRPr="003E6B52">
        <w:rPr>
          <w:lang w:val="en-CA"/>
        </w:rPr>
        <w:t>C.A.</w:t>
      </w:r>
      <w:r w:rsidRPr="003E6B52">
        <w:rPr>
          <w:lang w:val="en-CA"/>
        </w:rPr>
        <w:t>).</w:t>
      </w:r>
      <w:r w:rsidRPr="003E6B52">
        <w:rPr>
          <w:lang w:val="en-CA"/>
        </w:rPr>
        <w:tab/>
      </w:r>
    </w:p>
  </w:footnote>
  <w:footnote w:id="23">
    <w:p w14:paraId="372E7910" w14:textId="4593FFD1"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 xml:space="preserve">R. </w:t>
      </w:r>
      <w:r w:rsidR="00E66BDA" w:rsidRPr="003E6B52">
        <w:rPr>
          <w:i/>
          <w:lang w:val="en-CA"/>
        </w:rPr>
        <w:t>v</w:t>
      </w:r>
      <w:r w:rsidRPr="003E6B52">
        <w:rPr>
          <w:i/>
          <w:lang w:val="en-CA"/>
        </w:rPr>
        <w:t>. Conley</w:t>
      </w:r>
      <w:r w:rsidRPr="003E6B52">
        <w:rPr>
          <w:lang w:val="en-CA"/>
        </w:rPr>
        <w:t xml:space="preserve">, 1979 </w:t>
      </w:r>
      <w:proofErr w:type="spellStart"/>
      <w:r w:rsidRPr="003E6B52">
        <w:rPr>
          <w:lang w:val="en-CA"/>
        </w:rPr>
        <w:t>A</w:t>
      </w:r>
      <w:r w:rsidR="00A756CB">
        <w:rPr>
          <w:lang w:val="en-CA"/>
        </w:rPr>
        <w:t>LTA</w:t>
      </w:r>
      <w:r w:rsidRPr="003E6B52">
        <w:rPr>
          <w:lang w:val="en-CA"/>
        </w:rPr>
        <w:t>SCAD</w:t>
      </w:r>
      <w:proofErr w:type="spellEnd"/>
      <w:r w:rsidRPr="003E6B52">
        <w:rPr>
          <w:lang w:val="en-CA"/>
        </w:rPr>
        <w:t xml:space="preserve"> 129 (CanLII), 47 </w:t>
      </w:r>
      <w:proofErr w:type="spellStart"/>
      <w:r w:rsidRPr="003E6B52">
        <w:rPr>
          <w:lang w:val="en-CA"/>
        </w:rPr>
        <w:t>C.C.C</w:t>
      </w:r>
      <w:proofErr w:type="spellEnd"/>
      <w:r w:rsidRPr="003E6B52">
        <w:rPr>
          <w:lang w:val="en-CA"/>
        </w:rPr>
        <w:t xml:space="preserve">. (2d) 359 </w:t>
      </w:r>
      <w:r w:rsidR="00E66BDA" w:rsidRPr="003E6B52">
        <w:rPr>
          <w:lang w:val="en-CA"/>
        </w:rPr>
        <w:t xml:space="preserve">at </w:t>
      </w:r>
      <w:r w:rsidRPr="003E6B52">
        <w:rPr>
          <w:lang w:val="en-CA"/>
        </w:rPr>
        <w:t>par</w:t>
      </w:r>
      <w:r w:rsidR="00E66BDA" w:rsidRPr="003E6B52">
        <w:rPr>
          <w:lang w:val="en-CA"/>
        </w:rPr>
        <w:t>as</w:t>
      </w:r>
      <w:r w:rsidRPr="003E6B52">
        <w:rPr>
          <w:lang w:val="en-CA"/>
        </w:rPr>
        <w:t>. 22</w:t>
      </w:r>
      <w:r w:rsidR="00A756CB">
        <w:rPr>
          <w:lang w:val="en-CA"/>
        </w:rPr>
        <w:t>–</w:t>
      </w:r>
      <w:r w:rsidRPr="003E6B52">
        <w:rPr>
          <w:lang w:val="en-CA"/>
        </w:rPr>
        <w:t xml:space="preserve">23 </w:t>
      </w:r>
      <w:r w:rsidR="00021C03" w:rsidRPr="00874109">
        <w:rPr>
          <w:color w:val="000000"/>
          <w:lang w:val="en-CA"/>
        </w:rPr>
        <w:t>[cited to CanLII].</w:t>
      </w:r>
    </w:p>
  </w:footnote>
  <w:footnote w:id="24">
    <w:p w14:paraId="0CE73807" w14:textId="059DC620"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R. c. Henry</w:t>
      </w:r>
      <w:r w:rsidRPr="003E6B52">
        <w:rPr>
          <w:lang w:val="en-CA"/>
        </w:rPr>
        <w:t xml:space="preserve">, 1997 CanLII 9030 (QC </w:t>
      </w:r>
      <w:r w:rsidR="00021C03">
        <w:rPr>
          <w:lang w:val="en-CA"/>
        </w:rPr>
        <w:t>CS</w:t>
      </w:r>
      <w:r w:rsidRPr="003E6B52">
        <w:rPr>
          <w:lang w:val="en-CA"/>
        </w:rPr>
        <w:t xml:space="preserve">). </w:t>
      </w:r>
      <w:r w:rsidR="00A756CB">
        <w:rPr>
          <w:lang w:val="en-CA"/>
        </w:rPr>
        <w:t>See</w:t>
      </w:r>
      <w:r w:rsidRPr="003E6B52">
        <w:rPr>
          <w:lang w:val="en-CA"/>
        </w:rPr>
        <w:t xml:space="preserve"> </w:t>
      </w:r>
      <w:r w:rsidR="00381D9E" w:rsidRPr="003E6B52">
        <w:rPr>
          <w:lang w:val="en-CA"/>
        </w:rPr>
        <w:t>also</w:t>
      </w:r>
      <w:r w:rsidRPr="003E6B52">
        <w:rPr>
          <w:lang w:val="en-CA"/>
        </w:rPr>
        <w:t xml:space="preserve"> </w:t>
      </w:r>
      <w:r w:rsidRPr="003E6B52">
        <w:rPr>
          <w:i/>
          <w:lang w:val="en-CA"/>
        </w:rPr>
        <w:t>R. c. Leblanc</w:t>
      </w:r>
      <w:r w:rsidRPr="003E6B52">
        <w:rPr>
          <w:lang w:val="en-CA"/>
        </w:rPr>
        <w:t>, 2020 QCCS 4932</w:t>
      </w:r>
      <w:r w:rsidRPr="003E6B52">
        <w:rPr>
          <w:i/>
          <w:lang w:val="en-CA"/>
        </w:rPr>
        <w:t xml:space="preserve"> </w:t>
      </w:r>
      <w:r w:rsidR="00381D9E" w:rsidRPr="003E6B52">
        <w:rPr>
          <w:iCs/>
          <w:lang w:val="en-CA"/>
        </w:rPr>
        <w:t>at</w:t>
      </w:r>
      <w:r w:rsidR="00381D9E" w:rsidRPr="003E6B52">
        <w:rPr>
          <w:i/>
          <w:lang w:val="en-CA"/>
        </w:rPr>
        <w:t xml:space="preserve"> </w:t>
      </w:r>
      <w:r w:rsidRPr="003E6B52">
        <w:rPr>
          <w:lang w:val="en-CA"/>
        </w:rPr>
        <w:t>par</w:t>
      </w:r>
      <w:r w:rsidR="00381D9E" w:rsidRPr="003E6B52">
        <w:rPr>
          <w:lang w:val="en-CA"/>
        </w:rPr>
        <w:t>a</w:t>
      </w:r>
      <w:r w:rsidRPr="003E6B52">
        <w:rPr>
          <w:lang w:val="en-CA"/>
        </w:rPr>
        <w:t>. 6:</w:t>
      </w:r>
      <w:r w:rsidR="00381D9E" w:rsidRPr="003E6B52">
        <w:rPr>
          <w:lang w:val="en-CA"/>
        </w:rPr>
        <w:t xml:space="preserve"> </w:t>
      </w:r>
      <w:r w:rsidR="00EE5109" w:rsidRPr="003E6B52">
        <w:rPr>
          <w:lang w:val="en-CA"/>
        </w:rPr>
        <w:t>[</w:t>
      </w:r>
      <w:r w:rsidR="00381D9E" w:rsidRPr="00EE5109">
        <w:rPr>
          <w:smallCaps/>
          <w:lang w:val="en-CA"/>
        </w:rPr>
        <w:t>translation</w:t>
      </w:r>
      <w:r w:rsidR="00EE5109" w:rsidRPr="003E6B52">
        <w:rPr>
          <w:lang w:val="en-CA"/>
        </w:rPr>
        <w:t>]</w:t>
      </w:r>
      <w:r w:rsidRPr="003E6B52">
        <w:rPr>
          <w:lang w:val="en-CA"/>
        </w:rPr>
        <w:t xml:space="preserve"> </w:t>
      </w:r>
      <w:r w:rsidR="00EE5109">
        <w:rPr>
          <w:lang w:val="en-CA"/>
        </w:rPr>
        <w:t>“</w:t>
      </w:r>
      <w:r w:rsidR="00381D9E" w:rsidRPr="003E6B52">
        <w:rPr>
          <w:lang w:val="en-CA"/>
        </w:rPr>
        <w:t>S</w:t>
      </w:r>
      <w:r w:rsidR="00A756CB">
        <w:rPr>
          <w:lang w:val="en-CA"/>
        </w:rPr>
        <w:t>ection</w:t>
      </w:r>
      <w:r w:rsidR="00381D9E" w:rsidRPr="003E6B52">
        <w:rPr>
          <w:lang w:val="en-CA"/>
        </w:rPr>
        <w:t> </w:t>
      </w:r>
      <w:r w:rsidRPr="003E6B52">
        <w:rPr>
          <w:lang w:val="en-CA"/>
        </w:rPr>
        <w:t xml:space="preserve">776 </w:t>
      </w:r>
      <w:r w:rsidR="004119A7" w:rsidRPr="00A756CB">
        <w:rPr>
          <w:i/>
          <w:iCs/>
          <w:lang w:val="en-CA"/>
        </w:rPr>
        <w:t>Cr. C.</w:t>
      </w:r>
      <w:r w:rsidRPr="003E6B52">
        <w:rPr>
          <w:lang w:val="en-CA"/>
        </w:rPr>
        <w:t xml:space="preserve"> </w:t>
      </w:r>
      <w:r w:rsidR="00477916">
        <w:rPr>
          <w:lang w:val="en-CA"/>
        </w:rPr>
        <w:t>does not prevent the</w:t>
      </w:r>
      <w:r w:rsidR="00381D9E" w:rsidRPr="003E6B52">
        <w:rPr>
          <w:lang w:val="en-CA"/>
        </w:rPr>
        <w:t xml:space="preserve"> </w:t>
      </w:r>
      <w:r w:rsidR="00A756CB">
        <w:rPr>
          <w:lang w:val="en-CA"/>
        </w:rPr>
        <w:t xml:space="preserve">Crown </w:t>
      </w:r>
      <w:r w:rsidR="00477916">
        <w:rPr>
          <w:lang w:val="en-CA"/>
        </w:rPr>
        <w:t>from filing</w:t>
      </w:r>
      <w:r w:rsidR="00381D9E" w:rsidRPr="003E6B52">
        <w:rPr>
          <w:lang w:val="en-CA"/>
        </w:rPr>
        <w:t xml:space="preserve"> such a</w:t>
      </w:r>
      <w:r w:rsidR="00021C03">
        <w:rPr>
          <w:lang w:val="en-CA"/>
        </w:rPr>
        <w:t>n</w:t>
      </w:r>
      <w:r w:rsidR="00381D9E" w:rsidRPr="003E6B52">
        <w:rPr>
          <w:lang w:val="en-CA"/>
        </w:rPr>
        <w:t xml:space="preserve"> </w:t>
      </w:r>
      <w:r w:rsidR="00A756CB">
        <w:rPr>
          <w:lang w:val="en-CA"/>
        </w:rPr>
        <w:t>application</w:t>
      </w:r>
      <w:r w:rsidR="00381D9E" w:rsidRPr="003E6B52">
        <w:rPr>
          <w:lang w:val="en-CA"/>
        </w:rPr>
        <w:t xml:space="preserve"> </w:t>
      </w:r>
      <w:r w:rsidRPr="003E6B52">
        <w:rPr>
          <w:lang w:val="en-CA"/>
        </w:rPr>
        <w:t>[</w:t>
      </w:r>
      <w:r w:rsidR="00381D9E" w:rsidRPr="003E6B52">
        <w:rPr>
          <w:lang w:val="en-CA"/>
        </w:rPr>
        <w:t>for</w:t>
      </w:r>
      <w:r w:rsidRPr="003E6B52">
        <w:rPr>
          <w:lang w:val="en-CA"/>
        </w:rPr>
        <w:t xml:space="preserve"> </w:t>
      </w:r>
      <w:r w:rsidRPr="003E6B52">
        <w:rPr>
          <w:i/>
          <w:lang w:val="en-CA"/>
        </w:rPr>
        <w:t>certiorari</w:t>
      </w:r>
      <w:r w:rsidRPr="003E6B52">
        <w:rPr>
          <w:lang w:val="en-CA"/>
        </w:rPr>
        <w:t>]</w:t>
      </w:r>
      <w:r w:rsidR="00EE5109">
        <w:rPr>
          <w:lang w:val="en-CA"/>
        </w:rPr>
        <w:t>”</w:t>
      </w:r>
      <w:r w:rsidRPr="003E6B52">
        <w:rPr>
          <w:lang w:val="en-CA"/>
        </w:rPr>
        <w:t xml:space="preserve">; </w:t>
      </w:r>
      <w:r w:rsidRPr="003E6B52">
        <w:rPr>
          <w:rFonts w:cs="Arial"/>
          <w:color w:val="333333"/>
          <w:shd w:val="clear" w:color="auto" w:fill="FFFFFF"/>
          <w:lang w:val="en-CA"/>
        </w:rPr>
        <w:t xml:space="preserve">Roger E. Salhany, </w:t>
      </w:r>
      <w:r w:rsidRPr="003E6B52">
        <w:rPr>
          <w:rFonts w:cs="Arial"/>
          <w:i/>
          <w:iCs/>
          <w:color w:val="333333"/>
          <w:shd w:val="clear" w:color="auto" w:fill="FFFFFF"/>
          <w:lang w:val="en-CA"/>
        </w:rPr>
        <w:t>Canadian Criminal Procedure</w:t>
      </w:r>
      <w:r w:rsidRPr="003E6B52">
        <w:rPr>
          <w:rFonts w:cs="Arial"/>
          <w:color w:val="333333"/>
          <w:shd w:val="clear" w:color="auto" w:fill="FFFFFF"/>
          <w:lang w:val="en-CA"/>
        </w:rPr>
        <w:t>, 6th ed.</w:t>
      </w:r>
      <w:r w:rsidR="00021C03">
        <w:rPr>
          <w:rFonts w:cs="Arial"/>
          <w:color w:val="333333"/>
          <w:shd w:val="clear" w:color="auto" w:fill="FFFFFF"/>
          <w:lang w:val="en-CA"/>
        </w:rPr>
        <w:t xml:space="preserve"> (</w:t>
      </w:r>
      <w:r w:rsidRPr="003E6B52">
        <w:rPr>
          <w:rFonts w:cs="Arial"/>
          <w:color w:val="333333"/>
          <w:shd w:val="clear" w:color="auto" w:fill="FFFFFF"/>
          <w:lang w:val="en-CA"/>
        </w:rPr>
        <w:t>Aurora</w:t>
      </w:r>
      <w:r w:rsidR="00021C03">
        <w:rPr>
          <w:rFonts w:cs="Arial"/>
          <w:color w:val="333333"/>
          <w:shd w:val="clear" w:color="auto" w:fill="FFFFFF"/>
          <w:lang w:val="en-CA"/>
        </w:rPr>
        <w:t>, ON</w:t>
      </w:r>
      <w:r w:rsidR="003F4A0F">
        <w:rPr>
          <w:rFonts w:cs="Arial"/>
          <w:color w:val="333333"/>
          <w:shd w:val="clear" w:color="auto" w:fill="FFFFFF"/>
          <w:lang w:val="en-CA"/>
        </w:rPr>
        <w:t>:</w:t>
      </w:r>
      <w:r w:rsidRPr="003E6B52">
        <w:rPr>
          <w:rFonts w:cs="Arial"/>
          <w:color w:val="333333"/>
          <w:shd w:val="clear" w:color="auto" w:fill="FFFFFF"/>
          <w:lang w:val="en-CA"/>
        </w:rPr>
        <w:t xml:space="preserve"> Canada Law Book, 1994</w:t>
      </w:r>
      <w:r w:rsidR="00021C03">
        <w:rPr>
          <w:rFonts w:cs="Arial"/>
          <w:color w:val="333333"/>
          <w:shd w:val="clear" w:color="auto" w:fill="FFFFFF"/>
          <w:lang w:val="en-CA"/>
        </w:rPr>
        <w:t xml:space="preserve">) </w:t>
      </w:r>
      <w:r w:rsidR="00021C03" w:rsidRPr="003E6B52">
        <w:rPr>
          <w:rFonts w:cs="Arial"/>
          <w:color w:val="333333"/>
          <w:shd w:val="clear" w:color="auto" w:fill="FFFFFF"/>
          <w:lang w:val="en-CA"/>
        </w:rPr>
        <w:t>loose</w:t>
      </w:r>
      <w:r w:rsidR="004636C3">
        <w:rPr>
          <w:rFonts w:cs="Arial"/>
          <w:color w:val="333333"/>
          <w:shd w:val="clear" w:color="auto" w:fill="FFFFFF"/>
          <w:lang w:val="en-CA"/>
        </w:rPr>
        <w:t>-</w:t>
      </w:r>
      <w:r w:rsidR="00021C03" w:rsidRPr="003E6B52">
        <w:rPr>
          <w:rFonts w:cs="Arial"/>
          <w:color w:val="333333"/>
          <w:shd w:val="clear" w:color="auto" w:fill="FFFFFF"/>
          <w:lang w:val="en-CA"/>
        </w:rPr>
        <w:t>leaf</w:t>
      </w:r>
      <w:r w:rsidR="00021C03" w:rsidRPr="003E6B52">
        <w:rPr>
          <w:rStyle w:val="reftopo"/>
          <w:rFonts w:cs="Arial"/>
          <w:color w:val="333333"/>
          <w:shd w:val="clear" w:color="auto" w:fill="FFFFFF"/>
          <w:lang w:val="en-CA"/>
        </w:rPr>
        <w:t xml:space="preserve"> </w:t>
      </w:r>
      <w:r w:rsidR="00021C03">
        <w:rPr>
          <w:rStyle w:val="reftopo"/>
          <w:rFonts w:cs="Arial"/>
          <w:color w:val="333333"/>
          <w:shd w:val="clear" w:color="auto" w:fill="FFFFFF"/>
          <w:lang w:val="en-CA"/>
        </w:rPr>
        <w:t>ed.</w:t>
      </w:r>
      <w:r w:rsidR="004636C3">
        <w:rPr>
          <w:rStyle w:val="reftopo"/>
          <w:rFonts w:cs="Arial"/>
          <w:color w:val="333333"/>
          <w:shd w:val="clear" w:color="auto" w:fill="FFFFFF"/>
          <w:lang w:val="en-CA"/>
        </w:rPr>
        <w:t xml:space="preserve">, section </w:t>
      </w:r>
      <w:r w:rsidRPr="003E6B52">
        <w:rPr>
          <w:rStyle w:val="reftopo"/>
          <w:rFonts w:cs="Arial"/>
          <w:color w:val="333333"/>
          <w:shd w:val="clear" w:color="auto" w:fill="FFFFFF"/>
          <w:lang w:val="en-CA"/>
        </w:rPr>
        <w:t xml:space="preserve">10:9, </w:t>
      </w:r>
      <w:r w:rsidR="00381D9E" w:rsidRPr="003E6B52">
        <w:rPr>
          <w:rStyle w:val="reftopo"/>
          <w:rFonts w:cs="Arial"/>
          <w:color w:val="333333"/>
          <w:shd w:val="clear" w:color="auto" w:fill="FFFFFF"/>
          <w:lang w:val="en-CA"/>
        </w:rPr>
        <w:t xml:space="preserve">at </w:t>
      </w:r>
      <w:r w:rsidRPr="003E6B52">
        <w:rPr>
          <w:rStyle w:val="reftopo"/>
          <w:rFonts w:cs="Arial"/>
          <w:color w:val="333333"/>
          <w:shd w:val="clear" w:color="auto" w:fill="FFFFFF"/>
          <w:lang w:val="en-CA"/>
        </w:rPr>
        <w:t>10</w:t>
      </w:r>
      <w:r w:rsidR="004636C3">
        <w:rPr>
          <w:rStyle w:val="reftopo"/>
          <w:rFonts w:cs="Arial"/>
          <w:color w:val="333333"/>
          <w:shd w:val="clear" w:color="auto" w:fill="FFFFFF"/>
          <w:lang w:val="en-CA"/>
        </w:rPr>
        <w:t>–</w:t>
      </w:r>
      <w:r w:rsidRPr="003E6B52">
        <w:rPr>
          <w:rStyle w:val="reftopo"/>
          <w:rFonts w:cs="Arial"/>
          <w:color w:val="333333"/>
          <w:shd w:val="clear" w:color="auto" w:fill="FFFFFF"/>
          <w:lang w:val="en-CA"/>
        </w:rPr>
        <w:t>23.</w:t>
      </w:r>
    </w:p>
  </w:footnote>
  <w:footnote w:id="25">
    <w:p w14:paraId="1D5D1686" w14:textId="11F63B62" w:rsidR="00BE4A09" w:rsidRPr="003E6B52" w:rsidRDefault="00BE4A09" w:rsidP="00514E9A">
      <w:pPr>
        <w:pStyle w:val="Notedebasdepage"/>
        <w:rPr>
          <w:lang w:val="en-CA"/>
        </w:rPr>
      </w:pPr>
      <w:r w:rsidRPr="003E6B52">
        <w:rPr>
          <w:rStyle w:val="Appelnotedebasdep"/>
          <w:lang w:val="en-CA"/>
        </w:rPr>
        <w:footnoteRef/>
      </w:r>
      <w:r w:rsidRPr="003E6B52">
        <w:rPr>
          <w:lang w:val="en-CA"/>
        </w:rPr>
        <w:t xml:space="preserve"> </w:t>
      </w:r>
      <w:r w:rsidRPr="003E6B52">
        <w:rPr>
          <w:lang w:val="en-CA"/>
        </w:rPr>
        <w:tab/>
      </w:r>
      <w:r w:rsidRPr="003E6B52">
        <w:rPr>
          <w:i/>
          <w:lang w:val="en-CA"/>
        </w:rPr>
        <w:t>R. c. Henry</w:t>
      </w:r>
      <w:r w:rsidRPr="003E6B52">
        <w:rPr>
          <w:lang w:val="en-CA"/>
        </w:rPr>
        <w:t xml:space="preserve">, 1997 CanLII 9030 (QC CS), </w:t>
      </w:r>
      <w:r w:rsidR="00BE114B" w:rsidRPr="003E6B52">
        <w:rPr>
          <w:lang w:val="en-CA"/>
        </w:rPr>
        <w:t xml:space="preserve">at </w:t>
      </w:r>
      <w:r w:rsidRPr="003E6B52">
        <w:rPr>
          <w:lang w:val="en-CA"/>
        </w:rPr>
        <w:t>par</w:t>
      </w:r>
      <w:r w:rsidR="00BE114B" w:rsidRPr="003E6B52">
        <w:rPr>
          <w:lang w:val="en-CA"/>
        </w:rPr>
        <w:t>a</w:t>
      </w:r>
      <w:r w:rsidRPr="003E6B52">
        <w:rPr>
          <w:lang w:val="en-CA"/>
        </w:rPr>
        <w:t xml:space="preserve">. 5 </w:t>
      </w:r>
      <w:r w:rsidR="004636C3">
        <w:rPr>
          <w:color w:val="000000"/>
        </w:rPr>
        <w:t>[</w:t>
      </w:r>
      <w:proofErr w:type="spellStart"/>
      <w:r w:rsidR="004636C3">
        <w:rPr>
          <w:color w:val="000000"/>
        </w:rPr>
        <w:t>cited</w:t>
      </w:r>
      <w:proofErr w:type="spellEnd"/>
      <w:r w:rsidR="004636C3">
        <w:rPr>
          <w:color w:val="000000"/>
        </w:rPr>
        <w:t xml:space="preserve"> to CanLII].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8480" w14:textId="7CC8E9FD" w:rsidR="00BE4A09" w:rsidRDefault="00BE4A09" w:rsidP="009B16A3">
    <w:pPr>
      <w:tabs>
        <w:tab w:val="center" w:pos="4709"/>
        <w:tab w:val="right" w:pos="9360"/>
      </w:tabs>
      <w:spacing w:line="360" w:lineRule="auto"/>
      <w:ind w:right="524"/>
    </w:pPr>
    <w:r>
      <w:t>200-10-700002-210</w:t>
    </w:r>
    <w:r w:rsidRPr="007462D6">
      <w:t xml:space="preserve"> </w:t>
    </w:r>
    <w:r>
      <w:tab/>
    </w:r>
    <w:r>
      <w:tab/>
      <w:t xml:space="preserve">PAGE: </w:t>
    </w:r>
    <w:r>
      <w:fldChar w:fldCharType="begin"/>
    </w:r>
    <w:r>
      <w:instrText xml:space="preserve"> PAGE </w:instrText>
    </w:r>
    <w:r>
      <w:fldChar w:fldCharType="separate"/>
    </w:r>
    <w:r>
      <w:rPr>
        <w:noProof/>
      </w:rPr>
      <w:t>2</w:t>
    </w:r>
    <w:r>
      <w:fldChar w:fldCharType="end"/>
    </w:r>
  </w:p>
  <w:p w14:paraId="4CAB1165" w14:textId="77777777" w:rsidR="00BE4A09" w:rsidRDefault="00BE4A09" w:rsidP="009B16A3">
    <w:pPr>
      <w:tabs>
        <w:tab w:val="center" w:pos="4709"/>
        <w:tab w:val="right" w:pos="9360"/>
      </w:tabs>
      <w:spacing w:line="360" w:lineRule="auto"/>
      <w:ind w:right="52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B2BA" w14:textId="04CEF9F3" w:rsidR="00BE4A09" w:rsidRDefault="00BE4A09" w:rsidP="00DB2119">
    <w:pPr>
      <w:tabs>
        <w:tab w:val="center" w:pos="4709"/>
        <w:tab w:val="right" w:pos="9360"/>
      </w:tabs>
      <w:spacing w:line="360" w:lineRule="auto"/>
      <w:ind w:right="524"/>
    </w:pPr>
    <w:bookmarkStart w:id="27" w:name="EntDossier"/>
    <w:r>
      <w:t>200-10-700002-210</w:t>
    </w:r>
    <w:bookmarkEnd w:id="27"/>
    <w:r w:rsidRPr="007462D6">
      <w:t xml:space="preserve"> </w:t>
    </w:r>
    <w:r>
      <w:tab/>
    </w:r>
    <w:r>
      <w:tab/>
      <w:t xml:space="preserve">PAGE: </w:t>
    </w:r>
    <w:r>
      <w:fldChar w:fldCharType="begin"/>
    </w:r>
    <w:r>
      <w:instrText xml:space="preserve"> PAGE </w:instrText>
    </w:r>
    <w:r>
      <w:fldChar w:fldCharType="separate"/>
    </w:r>
    <w:r>
      <w:rPr>
        <w:noProof/>
      </w:rPr>
      <w:t>14</w:t>
    </w:r>
    <w:r>
      <w:fldChar w:fldCharType="end"/>
    </w:r>
  </w:p>
  <w:p w14:paraId="301D61B0" w14:textId="77777777" w:rsidR="00BE4A09" w:rsidRDefault="00BE4A09"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C22EFAD2"/>
    <w:lvl w:ilvl="0">
      <w:start w:val="1"/>
      <w:numFmt w:val="decimal"/>
      <w:pStyle w:val="Paragraphe"/>
      <w:lvlText w:val="[%1]"/>
      <w:lvlJc w:val="left"/>
      <w:pPr>
        <w:tabs>
          <w:tab w:val="num" w:pos="1004"/>
        </w:tabs>
        <w:ind w:left="284" w:firstLine="0"/>
      </w:pPr>
      <w:rPr>
        <w:rFonts w:ascii="Arial" w:hAnsi="Arial" w:cs="Arial" w:hint="default"/>
        <w:b w:val="0"/>
        <w:sz w:val="24"/>
        <w:szCs w:val="24"/>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55B3089"/>
    <w:multiLevelType w:val="hybridMultilevel"/>
    <w:tmpl w:val="5666E2C6"/>
    <w:lvl w:ilvl="0" w:tplc="18D62070">
      <w:start w:val="2"/>
      <w:numFmt w:val="bullet"/>
      <w:lvlText w:val="-"/>
      <w:lvlJc w:val="left"/>
      <w:pPr>
        <w:ind w:left="1080" w:hanging="360"/>
      </w:pPr>
      <w:rPr>
        <w:rFonts w:ascii="Arial" w:eastAsia="Times New Roman" w:hAnsi="Arial" w:cs="Arial" w:hint="default"/>
      </w:rPr>
    </w:lvl>
    <w:lvl w:ilvl="1" w:tplc="BA167F34" w:tentative="1">
      <w:start w:val="1"/>
      <w:numFmt w:val="bullet"/>
      <w:lvlText w:val="o"/>
      <w:lvlJc w:val="left"/>
      <w:pPr>
        <w:ind w:left="1800" w:hanging="360"/>
      </w:pPr>
      <w:rPr>
        <w:rFonts w:ascii="Courier New" w:hAnsi="Courier New" w:cs="Courier New" w:hint="default"/>
      </w:rPr>
    </w:lvl>
    <w:lvl w:ilvl="2" w:tplc="93489DFE" w:tentative="1">
      <w:start w:val="1"/>
      <w:numFmt w:val="bullet"/>
      <w:lvlText w:val=""/>
      <w:lvlJc w:val="left"/>
      <w:pPr>
        <w:ind w:left="2520" w:hanging="360"/>
      </w:pPr>
      <w:rPr>
        <w:rFonts w:ascii="Wingdings" w:hAnsi="Wingdings" w:hint="default"/>
      </w:rPr>
    </w:lvl>
    <w:lvl w:ilvl="3" w:tplc="ABAEB232" w:tentative="1">
      <w:start w:val="1"/>
      <w:numFmt w:val="bullet"/>
      <w:lvlText w:val=""/>
      <w:lvlJc w:val="left"/>
      <w:pPr>
        <w:ind w:left="3240" w:hanging="360"/>
      </w:pPr>
      <w:rPr>
        <w:rFonts w:ascii="Symbol" w:hAnsi="Symbol" w:hint="default"/>
      </w:rPr>
    </w:lvl>
    <w:lvl w:ilvl="4" w:tplc="DFFEB922" w:tentative="1">
      <w:start w:val="1"/>
      <w:numFmt w:val="bullet"/>
      <w:lvlText w:val="o"/>
      <w:lvlJc w:val="left"/>
      <w:pPr>
        <w:ind w:left="3960" w:hanging="360"/>
      </w:pPr>
      <w:rPr>
        <w:rFonts w:ascii="Courier New" w:hAnsi="Courier New" w:cs="Courier New" w:hint="default"/>
      </w:rPr>
    </w:lvl>
    <w:lvl w:ilvl="5" w:tplc="D5A6F610" w:tentative="1">
      <w:start w:val="1"/>
      <w:numFmt w:val="bullet"/>
      <w:lvlText w:val=""/>
      <w:lvlJc w:val="left"/>
      <w:pPr>
        <w:ind w:left="4680" w:hanging="360"/>
      </w:pPr>
      <w:rPr>
        <w:rFonts w:ascii="Wingdings" w:hAnsi="Wingdings" w:hint="default"/>
      </w:rPr>
    </w:lvl>
    <w:lvl w:ilvl="6" w:tplc="5EF096BC" w:tentative="1">
      <w:start w:val="1"/>
      <w:numFmt w:val="bullet"/>
      <w:lvlText w:val=""/>
      <w:lvlJc w:val="left"/>
      <w:pPr>
        <w:ind w:left="5400" w:hanging="360"/>
      </w:pPr>
      <w:rPr>
        <w:rFonts w:ascii="Symbol" w:hAnsi="Symbol" w:hint="default"/>
      </w:rPr>
    </w:lvl>
    <w:lvl w:ilvl="7" w:tplc="19F8B294" w:tentative="1">
      <w:start w:val="1"/>
      <w:numFmt w:val="bullet"/>
      <w:lvlText w:val="o"/>
      <w:lvlJc w:val="left"/>
      <w:pPr>
        <w:ind w:left="6120" w:hanging="360"/>
      </w:pPr>
      <w:rPr>
        <w:rFonts w:ascii="Courier New" w:hAnsi="Courier New" w:cs="Courier New" w:hint="default"/>
      </w:rPr>
    </w:lvl>
    <w:lvl w:ilvl="8" w:tplc="5A640A7E" w:tentative="1">
      <w:start w:val="1"/>
      <w:numFmt w:val="bullet"/>
      <w:lvlText w:val=""/>
      <w:lvlJc w:val="left"/>
      <w:pPr>
        <w:ind w:left="6840" w:hanging="360"/>
      </w:pPr>
      <w:rPr>
        <w:rFonts w:ascii="Wingdings" w:hAnsi="Wingdings" w:hint="default"/>
      </w:rPr>
    </w:lvl>
  </w:abstractNum>
  <w:abstractNum w:abstractNumId="14" w15:restartNumberingAfterBreak="0">
    <w:nsid w:val="694A0E31"/>
    <w:multiLevelType w:val="hybridMultilevel"/>
    <w:tmpl w:val="F5F8DDFE"/>
    <w:lvl w:ilvl="0" w:tplc="0370479A">
      <w:start w:val="1"/>
      <w:numFmt w:val="lowerRoman"/>
      <w:lvlText w:val="(%1)"/>
      <w:lvlJc w:val="left"/>
      <w:pPr>
        <w:ind w:left="1080" w:hanging="720"/>
      </w:pPr>
      <w:rPr>
        <w:rFonts w:hint="default"/>
      </w:rPr>
    </w:lvl>
    <w:lvl w:ilvl="1" w:tplc="76643504" w:tentative="1">
      <w:start w:val="1"/>
      <w:numFmt w:val="lowerLetter"/>
      <w:lvlText w:val="%2."/>
      <w:lvlJc w:val="left"/>
      <w:pPr>
        <w:ind w:left="1440" w:hanging="360"/>
      </w:pPr>
    </w:lvl>
    <w:lvl w:ilvl="2" w:tplc="3ED03CE8" w:tentative="1">
      <w:start w:val="1"/>
      <w:numFmt w:val="lowerRoman"/>
      <w:lvlText w:val="%3."/>
      <w:lvlJc w:val="right"/>
      <w:pPr>
        <w:ind w:left="2160" w:hanging="180"/>
      </w:pPr>
    </w:lvl>
    <w:lvl w:ilvl="3" w:tplc="F2A41FA4" w:tentative="1">
      <w:start w:val="1"/>
      <w:numFmt w:val="decimal"/>
      <w:lvlText w:val="%4."/>
      <w:lvlJc w:val="left"/>
      <w:pPr>
        <w:ind w:left="2880" w:hanging="360"/>
      </w:pPr>
    </w:lvl>
    <w:lvl w:ilvl="4" w:tplc="4022CBE8" w:tentative="1">
      <w:start w:val="1"/>
      <w:numFmt w:val="lowerLetter"/>
      <w:lvlText w:val="%5."/>
      <w:lvlJc w:val="left"/>
      <w:pPr>
        <w:ind w:left="3600" w:hanging="360"/>
      </w:pPr>
    </w:lvl>
    <w:lvl w:ilvl="5" w:tplc="F8B00514" w:tentative="1">
      <w:start w:val="1"/>
      <w:numFmt w:val="lowerRoman"/>
      <w:lvlText w:val="%6."/>
      <w:lvlJc w:val="right"/>
      <w:pPr>
        <w:ind w:left="4320" w:hanging="180"/>
      </w:pPr>
    </w:lvl>
    <w:lvl w:ilvl="6" w:tplc="395E29A8" w:tentative="1">
      <w:start w:val="1"/>
      <w:numFmt w:val="decimal"/>
      <w:lvlText w:val="%7."/>
      <w:lvlJc w:val="left"/>
      <w:pPr>
        <w:ind w:left="5040" w:hanging="360"/>
      </w:pPr>
    </w:lvl>
    <w:lvl w:ilvl="7" w:tplc="8DAA5578" w:tentative="1">
      <w:start w:val="1"/>
      <w:numFmt w:val="lowerLetter"/>
      <w:lvlText w:val="%8."/>
      <w:lvlJc w:val="left"/>
      <w:pPr>
        <w:ind w:left="5760" w:hanging="360"/>
      </w:pPr>
    </w:lvl>
    <w:lvl w:ilvl="8" w:tplc="4758624A" w:tentative="1">
      <w:start w:val="1"/>
      <w:numFmt w:val="lowerRoman"/>
      <w:lvlText w:val="%9."/>
      <w:lvlJc w:val="right"/>
      <w:pPr>
        <w:ind w:left="6480" w:hanging="180"/>
      </w:pPr>
    </w:lvl>
  </w:abstractNum>
  <w:num w:numId="1" w16cid:durableId="1079055855">
    <w:abstractNumId w:val="12"/>
  </w:num>
  <w:num w:numId="2" w16cid:durableId="668291907">
    <w:abstractNumId w:val="12"/>
  </w:num>
  <w:num w:numId="3" w16cid:durableId="565072308">
    <w:abstractNumId w:val="12"/>
  </w:num>
  <w:num w:numId="4" w16cid:durableId="1857040311">
    <w:abstractNumId w:val="8"/>
  </w:num>
  <w:num w:numId="5" w16cid:durableId="1017076180">
    <w:abstractNumId w:val="3"/>
  </w:num>
  <w:num w:numId="6" w16cid:durableId="816148568">
    <w:abstractNumId w:val="2"/>
  </w:num>
  <w:num w:numId="7" w16cid:durableId="2057116902">
    <w:abstractNumId w:val="1"/>
  </w:num>
  <w:num w:numId="8" w16cid:durableId="877547332">
    <w:abstractNumId w:val="0"/>
  </w:num>
  <w:num w:numId="9" w16cid:durableId="1318219920">
    <w:abstractNumId w:val="9"/>
  </w:num>
  <w:num w:numId="10" w16cid:durableId="874271523">
    <w:abstractNumId w:val="7"/>
  </w:num>
  <w:num w:numId="11" w16cid:durableId="1171263029">
    <w:abstractNumId w:val="6"/>
  </w:num>
  <w:num w:numId="12" w16cid:durableId="388654107">
    <w:abstractNumId w:val="5"/>
  </w:num>
  <w:num w:numId="13" w16cid:durableId="2017996769">
    <w:abstractNumId w:val="4"/>
  </w:num>
  <w:num w:numId="14" w16cid:durableId="1530529229">
    <w:abstractNumId w:val="12"/>
  </w:num>
  <w:num w:numId="15" w16cid:durableId="781269331">
    <w:abstractNumId w:val="12"/>
  </w:num>
  <w:num w:numId="16" w16cid:durableId="940575336">
    <w:abstractNumId w:val="12"/>
  </w:num>
  <w:num w:numId="17" w16cid:durableId="1911570990">
    <w:abstractNumId w:val="11"/>
  </w:num>
  <w:num w:numId="18" w16cid:durableId="227619247">
    <w:abstractNumId w:val="10"/>
  </w:num>
  <w:num w:numId="19" w16cid:durableId="1655185500">
    <w:abstractNumId w:val="13"/>
  </w:num>
  <w:num w:numId="20" w16cid:durableId="992490748">
    <w:abstractNumId w:val="14"/>
  </w:num>
  <w:num w:numId="21" w16cid:durableId="891699747">
    <w:abstractNumId w:val="10"/>
  </w:num>
  <w:num w:numId="22" w16cid:durableId="1918319677">
    <w:abstractNumId w:val="1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55"/>
    <w:rsid w:val="000009F7"/>
    <w:rsid w:val="00003CC3"/>
    <w:rsid w:val="00007D6F"/>
    <w:rsid w:val="000131E1"/>
    <w:rsid w:val="00021C03"/>
    <w:rsid w:val="00022FE8"/>
    <w:rsid w:val="000247D6"/>
    <w:rsid w:val="00034F3A"/>
    <w:rsid w:val="0003642E"/>
    <w:rsid w:val="000367A4"/>
    <w:rsid w:val="0004394C"/>
    <w:rsid w:val="00051DE0"/>
    <w:rsid w:val="00053691"/>
    <w:rsid w:val="00054D4B"/>
    <w:rsid w:val="00061D29"/>
    <w:rsid w:val="0009035A"/>
    <w:rsid w:val="00091176"/>
    <w:rsid w:val="000A3C53"/>
    <w:rsid w:val="000A67BB"/>
    <w:rsid w:val="000A7516"/>
    <w:rsid w:val="000B0938"/>
    <w:rsid w:val="000B42AF"/>
    <w:rsid w:val="000C3A95"/>
    <w:rsid w:val="000C4B51"/>
    <w:rsid w:val="000C7856"/>
    <w:rsid w:val="000D1EAA"/>
    <w:rsid w:val="000D72D5"/>
    <w:rsid w:val="000E393D"/>
    <w:rsid w:val="000E4303"/>
    <w:rsid w:val="000E5DD8"/>
    <w:rsid w:val="000F2FFC"/>
    <w:rsid w:val="001009D9"/>
    <w:rsid w:val="00107609"/>
    <w:rsid w:val="00110B53"/>
    <w:rsid w:val="0011193B"/>
    <w:rsid w:val="00112321"/>
    <w:rsid w:val="00116B8C"/>
    <w:rsid w:val="00117189"/>
    <w:rsid w:val="00117914"/>
    <w:rsid w:val="00126F76"/>
    <w:rsid w:val="0013028C"/>
    <w:rsid w:val="00133992"/>
    <w:rsid w:val="00134AA7"/>
    <w:rsid w:val="001408B8"/>
    <w:rsid w:val="00142988"/>
    <w:rsid w:val="001440F5"/>
    <w:rsid w:val="00155DF7"/>
    <w:rsid w:val="0015610F"/>
    <w:rsid w:val="00160B31"/>
    <w:rsid w:val="00162ABB"/>
    <w:rsid w:val="0017052C"/>
    <w:rsid w:val="001740F2"/>
    <w:rsid w:val="00181F1D"/>
    <w:rsid w:val="00181F56"/>
    <w:rsid w:val="001842CF"/>
    <w:rsid w:val="00186530"/>
    <w:rsid w:val="00190FA7"/>
    <w:rsid w:val="00195129"/>
    <w:rsid w:val="001972F2"/>
    <w:rsid w:val="001A1B93"/>
    <w:rsid w:val="001A1FA5"/>
    <w:rsid w:val="001A51C3"/>
    <w:rsid w:val="001B7D31"/>
    <w:rsid w:val="001C1EC1"/>
    <w:rsid w:val="001C3E09"/>
    <w:rsid w:val="001D0DCB"/>
    <w:rsid w:val="001D196F"/>
    <w:rsid w:val="001D32D9"/>
    <w:rsid w:val="001D7525"/>
    <w:rsid w:val="001D791D"/>
    <w:rsid w:val="001E5304"/>
    <w:rsid w:val="001F0D8E"/>
    <w:rsid w:val="001F2CFC"/>
    <w:rsid w:val="001F62C9"/>
    <w:rsid w:val="0020010B"/>
    <w:rsid w:val="00200241"/>
    <w:rsid w:val="00205DC4"/>
    <w:rsid w:val="00207E03"/>
    <w:rsid w:val="0021423C"/>
    <w:rsid w:val="002150D4"/>
    <w:rsid w:val="0021548E"/>
    <w:rsid w:val="00215C16"/>
    <w:rsid w:val="00215D33"/>
    <w:rsid w:val="00223B04"/>
    <w:rsid w:val="002273F5"/>
    <w:rsid w:val="002361BB"/>
    <w:rsid w:val="00237F18"/>
    <w:rsid w:val="00240587"/>
    <w:rsid w:val="0024078C"/>
    <w:rsid w:val="00242B21"/>
    <w:rsid w:val="002738D6"/>
    <w:rsid w:val="0027704F"/>
    <w:rsid w:val="00280C1D"/>
    <w:rsid w:val="00286816"/>
    <w:rsid w:val="00293B9E"/>
    <w:rsid w:val="00297A9D"/>
    <w:rsid w:val="002A1CC3"/>
    <w:rsid w:val="002A58CD"/>
    <w:rsid w:val="002A7DAE"/>
    <w:rsid w:val="002B27D0"/>
    <w:rsid w:val="002B27DD"/>
    <w:rsid w:val="002B4A07"/>
    <w:rsid w:val="002C4107"/>
    <w:rsid w:val="002D0269"/>
    <w:rsid w:val="002D3E4B"/>
    <w:rsid w:val="002D4663"/>
    <w:rsid w:val="002E1DD6"/>
    <w:rsid w:val="002E1F0E"/>
    <w:rsid w:val="002E229C"/>
    <w:rsid w:val="002E371B"/>
    <w:rsid w:val="002E41FB"/>
    <w:rsid w:val="002E51F1"/>
    <w:rsid w:val="002E5D24"/>
    <w:rsid w:val="002F053D"/>
    <w:rsid w:val="002F1350"/>
    <w:rsid w:val="002F3B11"/>
    <w:rsid w:val="002F6136"/>
    <w:rsid w:val="002F74D7"/>
    <w:rsid w:val="00300ABE"/>
    <w:rsid w:val="003159E3"/>
    <w:rsid w:val="00322DE0"/>
    <w:rsid w:val="0032363D"/>
    <w:rsid w:val="0032535C"/>
    <w:rsid w:val="003254CF"/>
    <w:rsid w:val="00327041"/>
    <w:rsid w:val="0033190E"/>
    <w:rsid w:val="00333435"/>
    <w:rsid w:val="00335239"/>
    <w:rsid w:val="00340554"/>
    <w:rsid w:val="003417AC"/>
    <w:rsid w:val="003464D0"/>
    <w:rsid w:val="00361325"/>
    <w:rsid w:val="003651EA"/>
    <w:rsid w:val="00367215"/>
    <w:rsid w:val="00374888"/>
    <w:rsid w:val="00374E40"/>
    <w:rsid w:val="00374F3F"/>
    <w:rsid w:val="00381C75"/>
    <w:rsid w:val="00381D9E"/>
    <w:rsid w:val="00382C1E"/>
    <w:rsid w:val="0038331B"/>
    <w:rsid w:val="00385F79"/>
    <w:rsid w:val="00387AB0"/>
    <w:rsid w:val="0039417C"/>
    <w:rsid w:val="003A4A93"/>
    <w:rsid w:val="003A6312"/>
    <w:rsid w:val="003B1D5D"/>
    <w:rsid w:val="003B4F42"/>
    <w:rsid w:val="003C0518"/>
    <w:rsid w:val="003C0E4A"/>
    <w:rsid w:val="003C56B6"/>
    <w:rsid w:val="003C77C5"/>
    <w:rsid w:val="003D0152"/>
    <w:rsid w:val="003D1763"/>
    <w:rsid w:val="003D487D"/>
    <w:rsid w:val="003D4FFF"/>
    <w:rsid w:val="003D7FC3"/>
    <w:rsid w:val="003E1032"/>
    <w:rsid w:val="003E3239"/>
    <w:rsid w:val="003E3E3C"/>
    <w:rsid w:val="003E46FB"/>
    <w:rsid w:val="003E6B52"/>
    <w:rsid w:val="003F11D7"/>
    <w:rsid w:val="003F12DD"/>
    <w:rsid w:val="003F1D62"/>
    <w:rsid w:val="003F4A0F"/>
    <w:rsid w:val="003F6C7A"/>
    <w:rsid w:val="003F7B75"/>
    <w:rsid w:val="0040200C"/>
    <w:rsid w:val="00407772"/>
    <w:rsid w:val="004119A7"/>
    <w:rsid w:val="00411CFE"/>
    <w:rsid w:val="00412234"/>
    <w:rsid w:val="00414646"/>
    <w:rsid w:val="00417908"/>
    <w:rsid w:val="00417B94"/>
    <w:rsid w:val="00422602"/>
    <w:rsid w:val="00423DF1"/>
    <w:rsid w:val="004265D6"/>
    <w:rsid w:val="00427B00"/>
    <w:rsid w:val="00430C58"/>
    <w:rsid w:val="0043284D"/>
    <w:rsid w:val="004331C4"/>
    <w:rsid w:val="0043564D"/>
    <w:rsid w:val="00435C78"/>
    <w:rsid w:val="00441C25"/>
    <w:rsid w:val="00445710"/>
    <w:rsid w:val="0044629F"/>
    <w:rsid w:val="00446452"/>
    <w:rsid w:val="00452237"/>
    <w:rsid w:val="00461B40"/>
    <w:rsid w:val="004636C3"/>
    <w:rsid w:val="00472DC8"/>
    <w:rsid w:val="00477916"/>
    <w:rsid w:val="00477BDF"/>
    <w:rsid w:val="004802EC"/>
    <w:rsid w:val="00480F1F"/>
    <w:rsid w:val="0048235D"/>
    <w:rsid w:val="004843AE"/>
    <w:rsid w:val="004A15B2"/>
    <w:rsid w:val="004A29F1"/>
    <w:rsid w:val="004A6172"/>
    <w:rsid w:val="004A6641"/>
    <w:rsid w:val="004B1E94"/>
    <w:rsid w:val="004B33FF"/>
    <w:rsid w:val="004D06AB"/>
    <w:rsid w:val="004D2F69"/>
    <w:rsid w:val="004D52C6"/>
    <w:rsid w:val="004D6E63"/>
    <w:rsid w:val="004E2B57"/>
    <w:rsid w:val="004E2DFD"/>
    <w:rsid w:val="004E4596"/>
    <w:rsid w:val="004E4FBA"/>
    <w:rsid w:val="005131F1"/>
    <w:rsid w:val="00513F2C"/>
    <w:rsid w:val="0051484F"/>
    <w:rsid w:val="00514E9A"/>
    <w:rsid w:val="00516B3E"/>
    <w:rsid w:val="005262C9"/>
    <w:rsid w:val="00527128"/>
    <w:rsid w:val="00531D70"/>
    <w:rsid w:val="00535B6F"/>
    <w:rsid w:val="005375A3"/>
    <w:rsid w:val="00540239"/>
    <w:rsid w:val="0054538C"/>
    <w:rsid w:val="00554B8C"/>
    <w:rsid w:val="0056036F"/>
    <w:rsid w:val="005645C8"/>
    <w:rsid w:val="00566BF6"/>
    <w:rsid w:val="005752C0"/>
    <w:rsid w:val="005756FB"/>
    <w:rsid w:val="005758D6"/>
    <w:rsid w:val="00576F62"/>
    <w:rsid w:val="005822C9"/>
    <w:rsid w:val="00583434"/>
    <w:rsid w:val="0058349F"/>
    <w:rsid w:val="005836B3"/>
    <w:rsid w:val="00583E64"/>
    <w:rsid w:val="005841F3"/>
    <w:rsid w:val="005842CD"/>
    <w:rsid w:val="005853D4"/>
    <w:rsid w:val="00587DA3"/>
    <w:rsid w:val="00590239"/>
    <w:rsid w:val="005938BF"/>
    <w:rsid w:val="005A3429"/>
    <w:rsid w:val="005A78BF"/>
    <w:rsid w:val="005B0CF2"/>
    <w:rsid w:val="005B2C47"/>
    <w:rsid w:val="005B6B4C"/>
    <w:rsid w:val="005C14B0"/>
    <w:rsid w:val="005C1D2B"/>
    <w:rsid w:val="005C2097"/>
    <w:rsid w:val="005C3D54"/>
    <w:rsid w:val="005C60CD"/>
    <w:rsid w:val="005C7516"/>
    <w:rsid w:val="005D022D"/>
    <w:rsid w:val="005D1522"/>
    <w:rsid w:val="005E2084"/>
    <w:rsid w:val="005E35FF"/>
    <w:rsid w:val="005F0424"/>
    <w:rsid w:val="005F0FC0"/>
    <w:rsid w:val="005F122E"/>
    <w:rsid w:val="005F37E7"/>
    <w:rsid w:val="005F4E44"/>
    <w:rsid w:val="005F5E2E"/>
    <w:rsid w:val="005F5F5F"/>
    <w:rsid w:val="00602F9F"/>
    <w:rsid w:val="00606472"/>
    <w:rsid w:val="00607CE7"/>
    <w:rsid w:val="00611604"/>
    <w:rsid w:val="00612ED2"/>
    <w:rsid w:val="00613C3E"/>
    <w:rsid w:val="0061401C"/>
    <w:rsid w:val="006203C5"/>
    <w:rsid w:val="00624770"/>
    <w:rsid w:val="00630C96"/>
    <w:rsid w:val="006312FE"/>
    <w:rsid w:val="00634B90"/>
    <w:rsid w:val="0064192B"/>
    <w:rsid w:val="0064250B"/>
    <w:rsid w:val="006455B9"/>
    <w:rsid w:val="006463F8"/>
    <w:rsid w:val="00653579"/>
    <w:rsid w:val="00653706"/>
    <w:rsid w:val="006649F6"/>
    <w:rsid w:val="00664F49"/>
    <w:rsid w:val="0067022A"/>
    <w:rsid w:val="006826AA"/>
    <w:rsid w:val="0068356A"/>
    <w:rsid w:val="00685CDD"/>
    <w:rsid w:val="00685E02"/>
    <w:rsid w:val="006A0DB0"/>
    <w:rsid w:val="006A3341"/>
    <w:rsid w:val="006A4DCB"/>
    <w:rsid w:val="006A6629"/>
    <w:rsid w:val="006B1B8E"/>
    <w:rsid w:val="006B73DD"/>
    <w:rsid w:val="006C0288"/>
    <w:rsid w:val="006C6014"/>
    <w:rsid w:val="006D04B8"/>
    <w:rsid w:val="006D236C"/>
    <w:rsid w:val="006D25F8"/>
    <w:rsid w:val="006E1876"/>
    <w:rsid w:val="006E22A0"/>
    <w:rsid w:val="006F1F3D"/>
    <w:rsid w:val="006F5849"/>
    <w:rsid w:val="00706DE5"/>
    <w:rsid w:val="00710263"/>
    <w:rsid w:val="00714F49"/>
    <w:rsid w:val="007175E4"/>
    <w:rsid w:val="00724707"/>
    <w:rsid w:val="00726792"/>
    <w:rsid w:val="00740A17"/>
    <w:rsid w:val="007428AC"/>
    <w:rsid w:val="007462D6"/>
    <w:rsid w:val="0074738B"/>
    <w:rsid w:val="00760537"/>
    <w:rsid w:val="0076062E"/>
    <w:rsid w:val="00763DD7"/>
    <w:rsid w:val="00764655"/>
    <w:rsid w:val="00766CDF"/>
    <w:rsid w:val="00774B20"/>
    <w:rsid w:val="00777734"/>
    <w:rsid w:val="0078074F"/>
    <w:rsid w:val="007900D7"/>
    <w:rsid w:val="007953F3"/>
    <w:rsid w:val="00795AB7"/>
    <w:rsid w:val="00796F71"/>
    <w:rsid w:val="007A5467"/>
    <w:rsid w:val="007A7803"/>
    <w:rsid w:val="007B061E"/>
    <w:rsid w:val="007B0809"/>
    <w:rsid w:val="007B4228"/>
    <w:rsid w:val="007B48D5"/>
    <w:rsid w:val="007C0AC3"/>
    <w:rsid w:val="007C32AA"/>
    <w:rsid w:val="007C62E4"/>
    <w:rsid w:val="007D087C"/>
    <w:rsid w:val="007D535C"/>
    <w:rsid w:val="007D5826"/>
    <w:rsid w:val="007D61A0"/>
    <w:rsid w:val="007E33E4"/>
    <w:rsid w:val="007E4CC9"/>
    <w:rsid w:val="00800D23"/>
    <w:rsid w:val="0080124F"/>
    <w:rsid w:val="00816273"/>
    <w:rsid w:val="0082099E"/>
    <w:rsid w:val="0082717B"/>
    <w:rsid w:val="00827B04"/>
    <w:rsid w:val="0083032E"/>
    <w:rsid w:val="008325FE"/>
    <w:rsid w:val="00837AA9"/>
    <w:rsid w:val="00841907"/>
    <w:rsid w:val="00844A26"/>
    <w:rsid w:val="008515F1"/>
    <w:rsid w:val="00857397"/>
    <w:rsid w:val="00857517"/>
    <w:rsid w:val="00857685"/>
    <w:rsid w:val="0086036A"/>
    <w:rsid w:val="008653A3"/>
    <w:rsid w:val="008657A2"/>
    <w:rsid w:val="008665E4"/>
    <w:rsid w:val="00866645"/>
    <w:rsid w:val="00874109"/>
    <w:rsid w:val="0087522C"/>
    <w:rsid w:val="00882210"/>
    <w:rsid w:val="00884C41"/>
    <w:rsid w:val="008860A0"/>
    <w:rsid w:val="008861AE"/>
    <w:rsid w:val="008A6185"/>
    <w:rsid w:val="008B1961"/>
    <w:rsid w:val="008B4F56"/>
    <w:rsid w:val="008C1FE9"/>
    <w:rsid w:val="008C296B"/>
    <w:rsid w:val="008C3DC5"/>
    <w:rsid w:val="008C7DCE"/>
    <w:rsid w:val="008D175B"/>
    <w:rsid w:val="008D18FC"/>
    <w:rsid w:val="008D398B"/>
    <w:rsid w:val="008D7E49"/>
    <w:rsid w:val="008E545F"/>
    <w:rsid w:val="008E68BA"/>
    <w:rsid w:val="008E7373"/>
    <w:rsid w:val="008F364A"/>
    <w:rsid w:val="008F3F53"/>
    <w:rsid w:val="008F5A6C"/>
    <w:rsid w:val="00907797"/>
    <w:rsid w:val="00913E03"/>
    <w:rsid w:val="009205A3"/>
    <w:rsid w:val="009229E9"/>
    <w:rsid w:val="00925567"/>
    <w:rsid w:val="00926953"/>
    <w:rsid w:val="00932703"/>
    <w:rsid w:val="00934223"/>
    <w:rsid w:val="00936469"/>
    <w:rsid w:val="009375BF"/>
    <w:rsid w:val="0093783E"/>
    <w:rsid w:val="009400B7"/>
    <w:rsid w:val="00946329"/>
    <w:rsid w:val="00946ABF"/>
    <w:rsid w:val="00952F1F"/>
    <w:rsid w:val="00954DC2"/>
    <w:rsid w:val="00957457"/>
    <w:rsid w:val="00957B92"/>
    <w:rsid w:val="00970966"/>
    <w:rsid w:val="00970C45"/>
    <w:rsid w:val="00974442"/>
    <w:rsid w:val="00981BA5"/>
    <w:rsid w:val="009827CB"/>
    <w:rsid w:val="00987804"/>
    <w:rsid w:val="00997337"/>
    <w:rsid w:val="009A0FCD"/>
    <w:rsid w:val="009A1227"/>
    <w:rsid w:val="009A1B59"/>
    <w:rsid w:val="009A579B"/>
    <w:rsid w:val="009B09A6"/>
    <w:rsid w:val="009B16A3"/>
    <w:rsid w:val="009B33AA"/>
    <w:rsid w:val="009B45FC"/>
    <w:rsid w:val="009B6B89"/>
    <w:rsid w:val="009C15AA"/>
    <w:rsid w:val="009D0B89"/>
    <w:rsid w:val="009E37F5"/>
    <w:rsid w:val="009F1F69"/>
    <w:rsid w:val="009F413F"/>
    <w:rsid w:val="009F5F09"/>
    <w:rsid w:val="00A00744"/>
    <w:rsid w:val="00A048A6"/>
    <w:rsid w:val="00A05ABF"/>
    <w:rsid w:val="00A05E7C"/>
    <w:rsid w:val="00A06BEC"/>
    <w:rsid w:val="00A07E1C"/>
    <w:rsid w:val="00A12486"/>
    <w:rsid w:val="00A13DE2"/>
    <w:rsid w:val="00A16BC7"/>
    <w:rsid w:val="00A23BF4"/>
    <w:rsid w:val="00A2593B"/>
    <w:rsid w:val="00A25F25"/>
    <w:rsid w:val="00A31B34"/>
    <w:rsid w:val="00A34E05"/>
    <w:rsid w:val="00A43D8B"/>
    <w:rsid w:val="00A454F1"/>
    <w:rsid w:val="00A52081"/>
    <w:rsid w:val="00A543CC"/>
    <w:rsid w:val="00A756CB"/>
    <w:rsid w:val="00A77508"/>
    <w:rsid w:val="00A8020B"/>
    <w:rsid w:val="00A85A34"/>
    <w:rsid w:val="00A871E0"/>
    <w:rsid w:val="00A905AF"/>
    <w:rsid w:val="00A92EEF"/>
    <w:rsid w:val="00A93CFF"/>
    <w:rsid w:val="00AA4630"/>
    <w:rsid w:val="00AB49F3"/>
    <w:rsid w:val="00AB7DD2"/>
    <w:rsid w:val="00AC0288"/>
    <w:rsid w:val="00AC4C86"/>
    <w:rsid w:val="00AC4CDB"/>
    <w:rsid w:val="00AC677A"/>
    <w:rsid w:val="00AD11AC"/>
    <w:rsid w:val="00AD25D5"/>
    <w:rsid w:val="00AD367C"/>
    <w:rsid w:val="00AD60A3"/>
    <w:rsid w:val="00AE0193"/>
    <w:rsid w:val="00AE12BE"/>
    <w:rsid w:val="00AE2EC8"/>
    <w:rsid w:val="00AE3DF8"/>
    <w:rsid w:val="00AE68AF"/>
    <w:rsid w:val="00AF0C7C"/>
    <w:rsid w:val="00B00106"/>
    <w:rsid w:val="00B01D86"/>
    <w:rsid w:val="00B03F0F"/>
    <w:rsid w:val="00B0663B"/>
    <w:rsid w:val="00B07E4E"/>
    <w:rsid w:val="00B07EA5"/>
    <w:rsid w:val="00B11FD1"/>
    <w:rsid w:val="00B137E9"/>
    <w:rsid w:val="00B23BDC"/>
    <w:rsid w:val="00B263BB"/>
    <w:rsid w:val="00B27F70"/>
    <w:rsid w:val="00B30D1E"/>
    <w:rsid w:val="00B30EA2"/>
    <w:rsid w:val="00B36ED3"/>
    <w:rsid w:val="00B4041A"/>
    <w:rsid w:val="00B43033"/>
    <w:rsid w:val="00B513C9"/>
    <w:rsid w:val="00B53197"/>
    <w:rsid w:val="00B56EF4"/>
    <w:rsid w:val="00B5791A"/>
    <w:rsid w:val="00B61A78"/>
    <w:rsid w:val="00B70485"/>
    <w:rsid w:val="00B707ED"/>
    <w:rsid w:val="00B73419"/>
    <w:rsid w:val="00B74598"/>
    <w:rsid w:val="00B74B74"/>
    <w:rsid w:val="00B82A13"/>
    <w:rsid w:val="00B82B3F"/>
    <w:rsid w:val="00B9530C"/>
    <w:rsid w:val="00BA27F1"/>
    <w:rsid w:val="00BA3006"/>
    <w:rsid w:val="00BA303E"/>
    <w:rsid w:val="00BC0DBB"/>
    <w:rsid w:val="00BE114B"/>
    <w:rsid w:val="00BE44F8"/>
    <w:rsid w:val="00BE4A09"/>
    <w:rsid w:val="00BE4D03"/>
    <w:rsid w:val="00BE711F"/>
    <w:rsid w:val="00BF5DE9"/>
    <w:rsid w:val="00BF7EC8"/>
    <w:rsid w:val="00C02AF8"/>
    <w:rsid w:val="00C17E01"/>
    <w:rsid w:val="00C31AC4"/>
    <w:rsid w:val="00C3685D"/>
    <w:rsid w:val="00C37457"/>
    <w:rsid w:val="00C40689"/>
    <w:rsid w:val="00C409BE"/>
    <w:rsid w:val="00C423CA"/>
    <w:rsid w:val="00C45E9D"/>
    <w:rsid w:val="00C47E8F"/>
    <w:rsid w:val="00C6096A"/>
    <w:rsid w:val="00C652ED"/>
    <w:rsid w:val="00C71579"/>
    <w:rsid w:val="00C7793C"/>
    <w:rsid w:val="00C77EF3"/>
    <w:rsid w:val="00C939A8"/>
    <w:rsid w:val="00C97145"/>
    <w:rsid w:val="00CA012F"/>
    <w:rsid w:val="00CA32DB"/>
    <w:rsid w:val="00CA75DC"/>
    <w:rsid w:val="00CA7976"/>
    <w:rsid w:val="00CB14ED"/>
    <w:rsid w:val="00CB64D0"/>
    <w:rsid w:val="00CC0D19"/>
    <w:rsid w:val="00CC24F4"/>
    <w:rsid w:val="00CC2DB7"/>
    <w:rsid w:val="00CC6D18"/>
    <w:rsid w:val="00CC774A"/>
    <w:rsid w:val="00CD22BE"/>
    <w:rsid w:val="00CD3D5C"/>
    <w:rsid w:val="00CF2DAD"/>
    <w:rsid w:val="00D010FD"/>
    <w:rsid w:val="00D02812"/>
    <w:rsid w:val="00D03D3E"/>
    <w:rsid w:val="00D07FD3"/>
    <w:rsid w:val="00D11EE4"/>
    <w:rsid w:val="00D20056"/>
    <w:rsid w:val="00D20645"/>
    <w:rsid w:val="00D21925"/>
    <w:rsid w:val="00D27A81"/>
    <w:rsid w:val="00D3242B"/>
    <w:rsid w:val="00D33A55"/>
    <w:rsid w:val="00D41486"/>
    <w:rsid w:val="00D45967"/>
    <w:rsid w:val="00D479F6"/>
    <w:rsid w:val="00D63BAE"/>
    <w:rsid w:val="00D63CA8"/>
    <w:rsid w:val="00D740C4"/>
    <w:rsid w:val="00D7484C"/>
    <w:rsid w:val="00D77D81"/>
    <w:rsid w:val="00D83B76"/>
    <w:rsid w:val="00D87E25"/>
    <w:rsid w:val="00D90E29"/>
    <w:rsid w:val="00D95CA2"/>
    <w:rsid w:val="00D9611B"/>
    <w:rsid w:val="00DA68B6"/>
    <w:rsid w:val="00DB2119"/>
    <w:rsid w:val="00DB22A4"/>
    <w:rsid w:val="00DB4F4C"/>
    <w:rsid w:val="00DC05BC"/>
    <w:rsid w:val="00DC39C5"/>
    <w:rsid w:val="00DC7334"/>
    <w:rsid w:val="00DD2614"/>
    <w:rsid w:val="00DD3A24"/>
    <w:rsid w:val="00DE1802"/>
    <w:rsid w:val="00DE3547"/>
    <w:rsid w:val="00DF2DD0"/>
    <w:rsid w:val="00DF3516"/>
    <w:rsid w:val="00DF3B9C"/>
    <w:rsid w:val="00DF56A8"/>
    <w:rsid w:val="00DF6860"/>
    <w:rsid w:val="00DF7559"/>
    <w:rsid w:val="00E02D78"/>
    <w:rsid w:val="00E03C07"/>
    <w:rsid w:val="00E07037"/>
    <w:rsid w:val="00E13D2C"/>
    <w:rsid w:val="00E15E2A"/>
    <w:rsid w:val="00E20E3C"/>
    <w:rsid w:val="00E3258A"/>
    <w:rsid w:val="00E339D8"/>
    <w:rsid w:val="00E341EC"/>
    <w:rsid w:val="00E34D77"/>
    <w:rsid w:val="00E36290"/>
    <w:rsid w:val="00E40B7D"/>
    <w:rsid w:val="00E44D72"/>
    <w:rsid w:val="00E44D9F"/>
    <w:rsid w:val="00E52442"/>
    <w:rsid w:val="00E52972"/>
    <w:rsid w:val="00E53161"/>
    <w:rsid w:val="00E5560B"/>
    <w:rsid w:val="00E60FE6"/>
    <w:rsid w:val="00E64233"/>
    <w:rsid w:val="00E64236"/>
    <w:rsid w:val="00E66BDA"/>
    <w:rsid w:val="00E71826"/>
    <w:rsid w:val="00E739A4"/>
    <w:rsid w:val="00E7510F"/>
    <w:rsid w:val="00E76E92"/>
    <w:rsid w:val="00E803E7"/>
    <w:rsid w:val="00E81E61"/>
    <w:rsid w:val="00E8305B"/>
    <w:rsid w:val="00E84569"/>
    <w:rsid w:val="00E848B4"/>
    <w:rsid w:val="00E876FB"/>
    <w:rsid w:val="00E91417"/>
    <w:rsid w:val="00E94329"/>
    <w:rsid w:val="00EA29E6"/>
    <w:rsid w:val="00EA3568"/>
    <w:rsid w:val="00EB0112"/>
    <w:rsid w:val="00EB1377"/>
    <w:rsid w:val="00EB423E"/>
    <w:rsid w:val="00EB6086"/>
    <w:rsid w:val="00EB60DA"/>
    <w:rsid w:val="00EC0BD2"/>
    <w:rsid w:val="00EC1E33"/>
    <w:rsid w:val="00EC27B3"/>
    <w:rsid w:val="00ED0C8A"/>
    <w:rsid w:val="00ED0DA2"/>
    <w:rsid w:val="00ED1277"/>
    <w:rsid w:val="00ED4F33"/>
    <w:rsid w:val="00ED5786"/>
    <w:rsid w:val="00ED697B"/>
    <w:rsid w:val="00ED7545"/>
    <w:rsid w:val="00EE1E37"/>
    <w:rsid w:val="00EE30D6"/>
    <w:rsid w:val="00EE3124"/>
    <w:rsid w:val="00EE3C5D"/>
    <w:rsid w:val="00EE3F1F"/>
    <w:rsid w:val="00EE5109"/>
    <w:rsid w:val="00EE7246"/>
    <w:rsid w:val="00EF1DE4"/>
    <w:rsid w:val="00EF3A0E"/>
    <w:rsid w:val="00EF7599"/>
    <w:rsid w:val="00EF759A"/>
    <w:rsid w:val="00F00B59"/>
    <w:rsid w:val="00F03731"/>
    <w:rsid w:val="00F07022"/>
    <w:rsid w:val="00F07B0A"/>
    <w:rsid w:val="00F1119E"/>
    <w:rsid w:val="00F12956"/>
    <w:rsid w:val="00F167B8"/>
    <w:rsid w:val="00F20072"/>
    <w:rsid w:val="00F23DEA"/>
    <w:rsid w:val="00F304CB"/>
    <w:rsid w:val="00F33E30"/>
    <w:rsid w:val="00F35A34"/>
    <w:rsid w:val="00F36623"/>
    <w:rsid w:val="00F40882"/>
    <w:rsid w:val="00F41ECF"/>
    <w:rsid w:val="00F42B92"/>
    <w:rsid w:val="00F43559"/>
    <w:rsid w:val="00F56D7E"/>
    <w:rsid w:val="00F5785D"/>
    <w:rsid w:val="00F5789B"/>
    <w:rsid w:val="00F61541"/>
    <w:rsid w:val="00F6241B"/>
    <w:rsid w:val="00F75545"/>
    <w:rsid w:val="00F75AAB"/>
    <w:rsid w:val="00F75C76"/>
    <w:rsid w:val="00F82E78"/>
    <w:rsid w:val="00F85E80"/>
    <w:rsid w:val="00F8757B"/>
    <w:rsid w:val="00FB51C5"/>
    <w:rsid w:val="00FB5EB8"/>
    <w:rsid w:val="00FB79D3"/>
    <w:rsid w:val="00FC2662"/>
    <w:rsid w:val="00FC36D0"/>
    <w:rsid w:val="00FC720B"/>
    <w:rsid w:val="00FD1963"/>
    <w:rsid w:val="00FE3FE9"/>
    <w:rsid w:val="00FE6A10"/>
    <w:rsid w:val="00FE716D"/>
    <w:rsid w:val="00FF3165"/>
    <w:rsid w:val="00FF5D06"/>
    <w:rsid w:val="00FF7C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7A32"/>
  <w15:docId w15:val="{F8777802-14B1-463B-891B-8534B927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tabs>
        <w:tab w:val="clear" w:pos="1004"/>
        <w:tab w:val="num" w:pos="720"/>
      </w:tabs>
      <w:spacing w:before="120" w:after="120" w:line="500" w:lineRule="exact"/>
      <w:ind w:left="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 Char1 Char1 Char Char, Char1 Char1 Char1, Char1 Char2 Char, Char1 Char3,Footnote Text Char Char Char,Footnote Text Char Char1,Footnote Text Char1 Char,Footnote Text Char2,fn"/>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aliases w:val=" Char1 Char1 Char Char Car, Char1 Char1 Char1 Car, Char1 Char2 Char Car, Char1 Char3 Car,Footnote Text Char Char Char Car,Footnote Text Char Char1 Car,Footnote Text Char1 Char Car,Footnote Text Char2 Car,fn Car"/>
    <w:basedOn w:val="Policepardfaut"/>
    <w:link w:val="Notedebasdepage"/>
    <w:rsid w:val="00F42B92"/>
    <w:rPr>
      <w:rFonts w:ascii="Arial" w:hAnsi="Arial"/>
      <w:lang w:eastAsia="fr-FR"/>
    </w:rPr>
  </w:style>
  <w:style w:type="paragraph" w:styleId="Paragraphedeliste">
    <w:name w:val="List Paragraph"/>
    <w:basedOn w:val="Normal"/>
    <w:uiPriority w:val="34"/>
    <w:qFormat/>
    <w:rsid w:val="00F42B9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aragrapheCar">
    <w:name w:val="Paragraphe Car"/>
    <w:link w:val="Paragraphe"/>
    <w:qFormat/>
    <w:rsid w:val="00514E9A"/>
    <w:rPr>
      <w:rFonts w:ascii="Arial" w:hAnsi="Arial"/>
      <w:kern w:val="28"/>
      <w:sz w:val="24"/>
      <w:lang w:eastAsia="fr-FR"/>
    </w:rPr>
  </w:style>
  <w:style w:type="character" w:customStyle="1" w:styleId="reflex3-block">
    <w:name w:val="reflex3-block"/>
    <w:basedOn w:val="Policepardfaut"/>
    <w:rsid w:val="00514E9A"/>
  </w:style>
  <w:style w:type="paragraph" w:customStyle="1" w:styleId="citationenretrait0">
    <w:name w:val="citationenretrait"/>
    <w:basedOn w:val="Normal"/>
    <w:rsid w:val="00514E9A"/>
    <w:pPr>
      <w:spacing w:before="100" w:beforeAutospacing="1" w:after="100" w:afterAutospacing="1" w:line="240" w:lineRule="auto"/>
    </w:pPr>
    <w:rPr>
      <w:rFonts w:ascii="Times New Roman" w:hAnsi="Times New Roman"/>
      <w:szCs w:val="24"/>
      <w:lang w:eastAsia="fr-CA"/>
    </w:rPr>
  </w:style>
  <w:style w:type="character" w:customStyle="1" w:styleId="reflex3-missing">
    <w:name w:val="reflex3-missing"/>
    <w:basedOn w:val="Policepardfaut"/>
    <w:rsid w:val="00514E9A"/>
  </w:style>
  <w:style w:type="character" w:customStyle="1" w:styleId="solexhl">
    <w:name w:val="solexhl"/>
    <w:basedOn w:val="Policepardfaut"/>
    <w:rsid w:val="00514E9A"/>
  </w:style>
  <w:style w:type="character" w:customStyle="1" w:styleId="reftopo">
    <w:name w:val="reftopo"/>
    <w:basedOn w:val="Policepardfaut"/>
    <w:rsid w:val="00514E9A"/>
  </w:style>
  <w:style w:type="character" w:styleId="Marquedecommentaire">
    <w:name w:val="annotation reference"/>
    <w:basedOn w:val="Policepardfaut"/>
    <w:uiPriority w:val="99"/>
    <w:semiHidden/>
    <w:unhideWhenUsed/>
    <w:rsid w:val="00514E9A"/>
    <w:rPr>
      <w:sz w:val="16"/>
      <w:szCs w:val="16"/>
    </w:rPr>
  </w:style>
  <w:style w:type="paragraph" w:styleId="Commentaire">
    <w:name w:val="annotation text"/>
    <w:basedOn w:val="Normal"/>
    <w:link w:val="CommentaireCar"/>
    <w:uiPriority w:val="99"/>
    <w:semiHidden/>
    <w:unhideWhenUsed/>
    <w:rsid w:val="00514E9A"/>
    <w:pPr>
      <w:spacing w:line="240" w:lineRule="auto"/>
    </w:pPr>
    <w:rPr>
      <w:sz w:val="20"/>
    </w:rPr>
  </w:style>
  <w:style w:type="character" w:customStyle="1" w:styleId="CommentaireCar">
    <w:name w:val="Commentaire Car"/>
    <w:basedOn w:val="Policepardfaut"/>
    <w:link w:val="Commentaire"/>
    <w:uiPriority w:val="99"/>
    <w:semiHidden/>
    <w:rsid w:val="00514E9A"/>
    <w:rPr>
      <w:rFonts w:ascii="Arial" w:hAnsi="Arial"/>
      <w:lang w:eastAsia="fr-FR"/>
    </w:rPr>
  </w:style>
  <w:style w:type="paragraph" w:styleId="Rvision">
    <w:name w:val="Revision"/>
    <w:hidden/>
    <w:uiPriority w:val="99"/>
    <w:semiHidden/>
    <w:rsid w:val="00F36623"/>
    <w:rPr>
      <w:rFonts w:ascii="Arial" w:hAnsi="Arial"/>
      <w:sz w:val="24"/>
      <w:lang w:eastAsia="fr-FR"/>
    </w:rPr>
  </w:style>
  <w:style w:type="paragraph" w:styleId="Objetducommentaire">
    <w:name w:val="annotation subject"/>
    <w:basedOn w:val="Commentaire"/>
    <w:next w:val="Commentaire"/>
    <w:link w:val="ObjetducommentaireCar"/>
    <w:uiPriority w:val="99"/>
    <w:semiHidden/>
    <w:unhideWhenUsed/>
    <w:rsid w:val="009B6B89"/>
    <w:rPr>
      <w:b/>
      <w:bCs/>
    </w:rPr>
  </w:style>
  <w:style w:type="character" w:customStyle="1" w:styleId="ObjetducommentaireCar">
    <w:name w:val="Objet du commentaire Car"/>
    <w:basedOn w:val="CommentaireCar"/>
    <w:link w:val="Objetducommentaire"/>
    <w:uiPriority w:val="99"/>
    <w:semiHidden/>
    <w:rsid w:val="009B6B89"/>
    <w:rPr>
      <w:rFonts w:ascii="Arial" w:hAnsi="Arial"/>
      <w:b/>
      <w:bCs/>
      <w:lang w:eastAsia="fr-FR"/>
    </w:rPr>
  </w:style>
  <w:style w:type="character" w:styleId="Hyperlien">
    <w:name w:val="Hyperlink"/>
    <w:basedOn w:val="Policepardfaut"/>
    <w:uiPriority w:val="99"/>
    <w:semiHidden/>
    <w:unhideWhenUsed/>
    <w:rsid w:val="00DF3B9C"/>
    <w:rPr>
      <w:color w:val="0000FF"/>
      <w:u w:val="single"/>
    </w:rPr>
  </w:style>
  <w:style w:type="paragraph" w:customStyle="1" w:styleId="paragraphe0">
    <w:name w:val="paragraphe"/>
    <w:basedOn w:val="Normal"/>
    <w:rsid w:val="00E876FB"/>
    <w:pPr>
      <w:spacing w:before="100" w:beforeAutospacing="1" w:after="100" w:afterAutospacing="1" w:line="240" w:lineRule="auto"/>
    </w:pPr>
    <w:rPr>
      <w:rFonts w:ascii="Times New Roman" w:hAnsi="Times New Roman"/>
      <w:szCs w:val="24"/>
      <w:lang w:eastAsia="fr-CA"/>
    </w:rPr>
  </w:style>
  <w:style w:type="character" w:customStyle="1" w:styleId="lawlabel">
    <w:name w:val="lawlabel"/>
    <w:basedOn w:val="Policepardfaut"/>
    <w:rsid w:val="004E4596"/>
  </w:style>
  <w:style w:type="character" w:customStyle="1" w:styleId="canliisubsection">
    <w:name w:val="canlii_subsection"/>
    <w:basedOn w:val="Policepardfaut"/>
    <w:rsid w:val="004E4596"/>
  </w:style>
  <w:style w:type="character" w:styleId="DfinitionHTML">
    <w:name w:val="HTML Definition"/>
    <w:basedOn w:val="Policepardfaut"/>
    <w:uiPriority w:val="99"/>
    <w:semiHidden/>
    <w:unhideWhenUsed/>
    <w:rsid w:val="000367A4"/>
    <w:rPr>
      <w:i/>
      <w:iCs/>
    </w:rPr>
  </w:style>
  <w:style w:type="character" w:customStyle="1" w:styleId="definedtermlink">
    <w:name w:val="definedtermlink"/>
    <w:basedOn w:val="Policepardfaut"/>
    <w:rsid w:val="000367A4"/>
  </w:style>
  <w:style w:type="character" w:customStyle="1" w:styleId="complet">
    <w:name w:val="complet"/>
    <w:basedOn w:val="Policepardfaut"/>
    <w:rsid w:val="0038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608">
      <w:bodyDiv w:val="1"/>
      <w:marLeft w:val="0"/>
      <w:marRight w:val="0"/>
      <w:marTop w:val="0"/>
      <w:marBottom w:val="0"/>
      <w:divBdr>
        <w:top w:val="none" w:sz="0" w:space="0" w:color="auto"/>
        <w:left w:val="none" w:sz="0" w:space="0" w:color="auto"/>
        <w:bottom w:val="none" w:sz="0" w:space="0" w:color="auto"/>
        <w:right w:val="none" w:sz="0" w:space="0" w:color="auto"/>
      </w:divBdr>
    </w:div>
    <w:div w:id="1963686297">
      <w:bodyDiv w:val="1"/>
      <w:marLeft w:val="0"/>
      <w:marRight w:val="0"/>
      <w:marTop w:val="0"/>
      <w:marBottom w:val="0"/>
      <w:divBdr>
        <w:top w:val="none" w:sz="0" w:space="0" w:color="auto"/>
        <w:left w:val="none" w:sz="0" w:space="0" w:color="auto"/>
        <w:bottom w:val="none" w:sz="0" w:space="0" w:color="auto"/>
        <w:right w:val="none" w:sz="0" w:space="0" w:color="auto"/>
      </w:divBdr>
      <w:divsChild>
        <w:div w:id="10045561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289C-ED02-454F-A53B-09D34E4E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4168</Words>
  <Characters>22924</Characters>
  <Application>Microsoft Office Word</Application>
  <DocSecurity>0</DocSecurity>
  <Lines>191</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Tourangeau, Guylaine</dc:creator>
  <cp:keywords/>
  <dc:description/>
  <cp:lastModifiedBy>trad-rev</cp:lastModifiedBy>
  <cp:revision>3</cp:revision>
  <cp:lastPrinted>2023-04-05T18:28:00Z</cp:lastPrinted>
  <dcterms:created xsi:type="dcterms:W3CDTF">2024-03-21T14:34:00Z</dcterms:created>
  <dcterms:modified xsi:type="dcterms:W3CDTF">2024-03-21T14:39:00Z</dcterms:modified>
</cp:coreProperties>
</file>