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7E77" w14:textId="77777777" w:rsidR="00A167AC" w:rsidRPr="009819CA" w:rsidRDefault="00A167AC">
      <w:pPr>
        <w:rPr>
          <w:lang w:val="en-CA"/>
        </w:rPr>
      </w:pPr>
      <w:r w:rsidRPr="009819CA">
        <w:rPr>
          <w:lang w:val="en-CA"/>
        </w:rPr>
        <w:t>Unofficial English Translation of the Judgment of the Court</w:t>
      </w:r>
    </w:p>
    <w:tbl>
      <w:tblPr>
        <w:tblW w:w="9785" w:type="dxa"/>
        <w:tblLayout w:type="fixed"/>
        <w:tblCellMar>
          <w:left w:w="0" w:type="dxa"/>
          <w:right w:w="0" w:type="dxa"/>
        </w:tblCellMar>
        <w:tblLook w:val="0000" w:firstRow="0" w:lastRow="0" w:firstColumn="0" w:lastColumn="0" w:noHBand="0" w:noVBand="0"/>
      </w:tblPr>
      <w:tblGrid>
        <w:gridCol w:w="1030"/>
        <w:gridCol w:w="104"/>
        <w:gridCol w:w="1560"/>
        <w:gridCol w:w="850"/>
        <w:gridCol w:w="4253"/>
        <w:gridCol w:w="1988"/>
      </w:tblGrid>
      <w:tr w:rsidR="008F364A" w:rsidRPr="009819CA" w14:paraId="275221DA" w14:textId="77777777" w:rsidTr="00A167AC">
        <w:trPr>
          <w:trHeight w:val="248"/>
        </w:trPr>
        <w:tc>
          <w:tcPr>
            <w:tcW w:w="7797" w:type="dxa"/>
            <w:gridSpan w:val="5"/>
          </w:tcPr>
          <w:p w14:paraId="22797D50" w14:textId="77777777" w:rsidR="008F364A" w:rsidRPr="009819CA" w:rsidRDefault="001D2B45" w:rsidP="001D2B45">
            <w:pPr>
              <w:pStyle w:val="zSoquijdatRepertorie"/>
              <w:rPr>
                <w:rFonts w:cs="Arial"/>
                <w:highlight w:val="cyan"/>
                <w:lang w:val="en-CA"/>
              </w:rPr>
            </w:pPr>
            <w:r w:rsidRPr="009819CA">
              <w:rPr>
                <w:rFonts w:cs="Arial"/>
                <w:lang w:val="en-CA"/>
              </w:rPr>
              <w:t>R. c. Houle</w:t>
            </w:r>
          </w:p>
        </w:tc>
        <w:tc>
          <w:tcPr>
            <w:tcW w:w="1988" w:type="dxa"/>
          </w:tcPr>
          <w:p w14:paraId="29C93710" w14:textId="77777777" w:rsidR="008F364A" w:rsidRPr="009819CA" w:rsidRDefault="00B862CD" w:rsidP="00A167AC">
            <w:pPr>
              <w:pStyle w:val="zSoquijdatRefNeutre"/>
              <w:ind w:left="-971"/>
              <w:jc w:val="right"/>
              <w:rPr>
                <w:rFonts w:cs="Arial"/>
                <w:highlight w:val="cyan"/>
                <w:lang w:val="en-CA"/>
              </w:rPr>
            </w:pPr>
            <w:r w:rsidRPr="009819CA">
              <w:rPr>
                <w:rFonts w:cs="Arial"/>
                <w:lang w:val="en-CA"/>
              </w:rPr>
              <w:t>2023 QCCA 99</w:t>
            </w:r>
          </w:p>
        </w:tc>
      </w:tr>
      <w:tr w:rsidR="008F364A" w:rsidRPr="009819CA" w14:paraId="5B3FFB2F" w14:textId="77777777" w:rsidTr="00A167AC">
        <w:trPr>
          <w:trHeight w:val="247"/>
        </w:trPr>
        <w:tc>
          <w:tcPr>
            <w:tcW w:w="9785" w:type="dxa"/>
            <w:gridSpan w:val="6"/>
          </w:tcPr>
          <w:p w14:paraId="14E97526" w14:textId="77777777" w:rsidR="008F364A" w:rsidRPr="009819CA" w:rsidRDefault="00740A17">
            <w:pPr>
              <w:pStyle w:val="zSoquijlblCour"/>
              <w:rPr>
                <w:lang w:val="en-CA"/>
              </w:rPr>
            </w:pPr>
            <w:r w:rsidRPr="009819CA">
              <w:rPr>
                <w:lang w:val="en-CA"/>
              </w:rPr>
              <w:t>COUR</w:t>
            </w:r>
            <w:r w:rsidR="00A167AC" w:rsidRPr="009819CA">
              <w:rPr>
                <w:lang w:val="en-CA"/>
              </w:rPr>
              <w:t xml:space="preserve">T OF </w:t>
            </w:r>
            <w:r w:rsidRPr="009819CA">
              <w:rPr>
                <w:lang w:val="en-CA"/>
              </w:rPr>
              <w:t>APPE</w:t>
            </w:r>
            <w:r w:rsidR="00A167AC" w:rsidRPr="009819CA">
              <w:rPr>
                <w:lang w:val="en-CA"/>
              </w:rPr>
              <w:t>A</w:t>
            </w:r>
            <w:r w:rsidRPr="009819CA">
              <w:rPr>
                <w:lang w:val="en-CA"/>
              </w:rPr>
              <w:t>L</w:t>
            </w:r>
          </w:p>
        </w:tc>
      </w:tr>
      <w:tr w:rsidR="008F364A" w:rsidRPr="009819CA" w14:paraId="0E78EAE7" w14:textId="77777777" w:rsidTr="00A167AC">
        <w:trPr>
          <w:trHeight w:val="540"/>
        </w:trPr>
        <w:tc>
          <w:tcPr>
            <w:tcW w:w="9785" w:type="dxa"/>
            <w:gridSpan w:val="6"/>
          </w:tcPr>
          <w:p w14:paraId="409425BF" w14:textId="77777777" w:rsidR="008F364A" w:rsidRPr="009819CA" w:rsidRDefault="008F364A">
            <w:pPr>
              <w:pStyle w:val="zSoquijdatDivision"/>
              <w:rPr>
                <w:lang w:val="en-CA"/>
              </w:rPr>
            </w:pPr>
          </w:p>
        </w:tc>
      </w:tr>
      <w:tr w:rsidR="008F364A" w:rsidRPr="009819CA" w14:paraId="3B70FF6E" w14:textId="77777777" w:rsidTr="00A167AC">
        <w:tc>
          <w:tcPr>
            <w:tcW w:w="9785" w:type="dxa"/>
            <w:gridSpan w:val="6"/>
          </w:tcPr>
          <w:p w14:paraId="4FD86394" w14:textId="77777777" w:rsidR="008F364A" w:rsidRPr="009819CA" w:rsidRDefault="00740A17">
            <w:pPr>
              <w:pStyle w:val="zSoquijlblPays"/>
              <w:rPr>
                <w:lang w:val="en-CA"/>
              </w:rPr>
            </w:pPr>
            <w:r w:rsidRPr="009819CA">
              <w:rPr>
                <w:lang w:val="en-CA"/>
              </w:rPr>
              <w:t>CANADA</w:t>
            </w:r>
          </w:p>
        </w:tc>
      </w:tr>
      <w:tr w:rsidR="008F364A" w:rsidRPr="009819CA" w14:paraId="2730705F" w14:textId="77777777" w:rsidTr="00A167AC">
        <w:tc>
          <w:tcPr>
            <w:tcW w:w="9785" w:type="dxa"/>
            <w:gridSpan w:val="6"/>
          </w:tcPr>
          <w:p w14:paraId="7903F08E" w14:textId="77777777" w:rsidR="008F364A" w:rsidRPr="009819CA" w:rsidRDefault="00A167AC">
            <w:pPr>
              <w:pStyle w:val="zSoquijlblProvince"/>
              <w:rPr>
                <w:lang w:val="en-CA"/>
              </w:rPr>
            </w:pPr>
            <w:r w:rsidRPr="009819CA">
              <w:rPr>
                <w:lang w:val="en-CA"/>
              </w:rPr>
              <w:t>PROVINCE OF QUE</w:t>
            </w:r>
            <w:r w:rsidR="00740A17" w:rsidRPr="009819CA">
              <w:rPr>
                <w:lang w:val="en-CA"/>
              </w:rPr>
              <w:t>BEC</w:t>
            </w:r>
          </w:p>
        </w:tc>
      </w:tr>
      <w:tr w:rsidR="008F364A" w:rsidRPr="009819CA" w14:paraId="5D251714" w14:textId="77777777" w:rsidTr="00A167AC">
        <w:tc>
          <w:tcPr>
            <w:tcW w:w="2694" w:type="dxa"/>
            <w:gridSpan w:val="3"/>
          </w:tcPr>
          <w:p w14:paraId="0853BEDD" w14:textId="77777777" w:rsidR="008F364A" w:rsidRPr="009819CA" w:rsidRDefault="00A167AC" w:rsidP="00A167AC">
            <w:pPr>
              <w:pStyle w:val="zSoquijlblGreffe"/>
              <w:ind w:right="-1254"/>
              <w:rPr>
                <w:lang w:val="en-CA"/>
              </w:rPr>
            </w:pPr>
            <w:r w:rsidRPr="009819CA">
              <w:rPr>
                <w:lang w:val="en-CA"/>
              </w:rPr>
              <w:t>REGISTRY OF QUEBEC</w:t>
            </w:r>
          </w:p>
          <w:p w14:paraId="0FCDC94E" w14:textId="77777777" w:rsidR="008F364A" w:rsidRPr="009819CA" w:rsidRDefault="008F364A">
            <w:pPr>
              <w:pStyle w:val="zSoquijlblGreffe"/>
              <w:rPr>
                <w:lang w:val="en-CA"/>
              </w:rPr>
            </w:pPr>
          </w:p>
        </w:tc>
        <w:tc>
          <w:tcPr>
            <w:tcW w:w="7091" w:type="dxa"/>
            <w:gridSpan w:val="3"/>
          </w:tcPr>
          <w:p w14:paraId="64B05E78" w14:textId="77777777" w:rsidR="008F364A" w:rsidRPr="009819CA" w:rsidRDefault="008F364A">
            <w:pPr>
              <w:pStyle w:val="zSoquijdatGreffe"/>
              <w:rPr>
                <w:lang w:val="en-CA"/>
              </w:rPr>
            </w:pPr>
          </w:p>
        </w:tc>
      </w:tr>
      <w:tr w:rsidR="008F364A" w:rsidRPr="009819CA" w14:paraId="3DD177BD" w14:textId="77777777" w:rsidTr="00A167AC">
        <w:tc>
          <w:tcPr>
            <w:tcW w:w="1030" w:type="dxa"/>
          </w:tcPr>
          <w:p w14:paraId="72F35346" w14:textId="77777777" w:rsidR="008F364A" w:rsidRPr="009819CA" w:rsidRDefault="00A167AC">
            <w:pPr>
              <w:pStyle w:val="zSoquijlblNoDossier"/>
              <w:rPr>
                <w:lang w:val="en-CA"/>
              </w:rPr>
            </w:pPr>
            <w:r w:rsidRPr="009819CA">
              <w:rPr>
                <w:lang w:val="en-CA"/>
              </w:rPr>
              <w:t>No.</w:t>
            </w:r>
            <w:r w:rsidR="00740A17" w:rsidRPr="009819CA">
              <w:rPr>
                <w:lang w:val="en-CA"/>
              </w:rPr>
              <w:t>:</w:t>
            </w:r>
          </w:p>
        </w:tc>
        <w:tc>
          <w:tcPr>
            <w:tcW w:w="8755" w:type="dxa"/>
            <w:gridSpan w:val="5"/>
          </w:tcPr>
          <w:p w14:paraId="7BCE8BAD" w14:textId="77777777" w:rsidR="008F364A" w:rsidRPr="009819CA" w:rsidRDefault="003820B3">
            <w:pPr>
              <w:pStyle w:val="zSoquijdatNoDossier"/>
              <w:rPr>
                <w:lang w:val="en-CA"/>
              </w:rPr>
            </w:pPr>
            <w:bookmarkStart w:id="0" w:name="NoDossier"/>
            <w:r w:rsidRPr="009819CA">
              <w:rPr>
                <w:lang w:val="en-CA"/>
              </w:rPr>
              <w:t>200-10-004000-225</w:t>
            </w:r>
            <w:bookmarkEnd w:id="0"/>
          </w:p>
        </w:tc>
      </w:tr>
      <w:tr w:rsidR="003820B3" w:rsidRPr="009819CA" w14:paraId="0DA662E6" w14:textId="77777777" w:rsidTr="00A167AC">
        <w:tc>
          <w:tcPr>
            <w:tcW w:w="9785" w:type="dxa"/>
            <w:gridSpan w:val="6"/>
          </w:tcPr>
          <w:p w14:paraId="27EB6C4C" w14:textId="77777777" w:rsidR="003820B3" w:rsidRPr="009819CA" w:rsidRDefault="003820B3" w:rsidP="003820B3">
            <w:pPr>
              <w:pStyle w:val="zSoquijdatNoDossierAnt"/>
              <w:rPr>
                <w:lang w:val="en-CA"/>
              </w:rPr>
            </w:pPr>
            <w:r w:rsidRPr="009819CA">
              <w:rPr>
                <w:lang w:val="en-CA"/>
              </w:rPr>
              <w:t>(400-01-093518-199)</w:t>
            </w:r>
          </w:p>
        </w:tc>
      </w:tr>
      <w:tr w:rsidR="008F364A" w:rsidRPr="009819CA" w14:paraId="28364E14" w14:textId="77777777" w:rsidTr="00A167AC">
        <w:tc>
          <w:tcPr>
            <w:tcW w:w="9785" w:type="dxa"/>
            <w:gridSpan w:val="6"/>
          </w:tcPr>
          <w:p w14:paraId="432CC960" w14:textId="77777777" w:rsidR="008F364A" w:rsidRPr="009819CA" w:rsidRDefault="008F364A">
            <w:pPr>
              <w:rPr>
                <w:lang w:val="en-CA"/>
              </w:rPr>
            </w:pPr>
          </w:p>
        </w:tc>
      </w:tr>
      <w:tr w:rsidR="008F364A" w:rsidRPr="009819CA" w14:paraId="60982DA1" w14:textId="77777777" w:rsidTr="00A167AC">
        <w:tc>
          <w:tcPr>
            <w:tcW w:w="1030" w:type="dxa"/>
          </w:tcPr>
          <w:p w14:paraId="465E25D0" w14:textId="77777777" w:rsidR="008F364A" w:rsidRPr="009819CA" w:rsidRDefault="00A167AC">
            <w:pPr>
              <w:pStyle w:val="zSoquijlblDateJugement"/>
              <w:rPr>
                <w:lang w:val="en-CA"/>
              </w:rPr>
            </w:pPr>
            <w:r w:rsidRPr="009819CA">
              <w:rPr>
                <w:lang w:val="en-CA"/>
              </w:rPr>
              <w:t>DATE</w:t>
            </w:r>
            <w:r w:rsidR="00740A17" w:rsidRPr="009819CA">
              <w:rPr>
                <w:lang w:val="en-CA"/>
              </w:rPr>
              <w:t>:</w:t>
            </w:r>
          </w:p>
        </w:tc>
        <w:tc>
          <w:tcPr>
            <w:tcW w:w="8755" w:type="dxa"/>
            <w:gridSpan w:val="5"/>
          </w:tcPr>
          <w:p w14:paraId="24DD8085" w14:textId="77777777" w:rsidR="008F364A" w:rsidRPr="009819CA" w:rsidRDefault="00A167AC">
            <w:pPr>
              <w:pStyle w:val="zSoquijdatDateJugement"/>
              <w:rPr>
                <w:lang w:val="en-CA"/>
              </w:rPr>
            </w:pPr>
            <w:r w:rsidRPr="009819CA">
              <w:rPr>
                <w:lang w:val="en-CA"/>
              </w:rPr>
              <w:t xml:space="preserve">January 25, </w:t>
            </w:r>
            <w:r w:rsidR="007B087E" w:rsidRPr="009819CA">
              <w:rPr>
                <w:lang w:val="en-CA"/>
              </w:rPr>
              <w:t>2023</w:t>
            </w:r>
          </w:p>
        </w:tc>
      </w:tr>
      <w:tr w:rsidR="008F364A" w:rsidRPr="009819CA" w14:paraId="3B244EFC" w14:textId="77777777" w:rsidTr="00A167AC">
        <w:tc>
          <w:tcPr>
            <w:tcW w:w="9785" w:type="dxa"/>
            <w:gridSpan w:val="6"/>
            <w:tcBorders>
              <w:bottom w:val="single" w:sz="8" w:space="0" w:color="auto"/>
            </w:tcBorders>
          </w:tcPr>
          <w:p w14:paraId="491B65FC" w14:textId="77777777" w:rsidR="008F364A" w:rsidRPr="009819CA" w:rsidRDefault="008F364A">
            <w:pPr>
              <w:rPr>
                <w:lang w:val="en-CA"/>
              </w:rPr>
            </w:pPr>
          </w:p>
        </w:tc>
      </w:tr>
      <w:tr w:rsidR="008F364A" w:rsidRPr="009819CA" w14:paraId="70457EBA" w14:textId="77777777" w:rsidTr="00A167AC">
        <w:tc>
          <w:tcPr>
            <w:tcW w:w="9785" w:type="dxa"/>
            <w:gridSpan w:val="6"/>
            <w:tcBorders>
              <w:top w:val="single" w:sz="8" w:space="0" w:color="auto"/>
            </w:tcBorders>
          </w:tcPr>
          <w:p w14:paraId="7AF6FC99" w14:textId="77777777" w:rsidR="008F364A" w:rsidRPr="009819CA" w:rsidRDefault="008F364A">
            <w:pPr>
              <w:rPr>
                <w:lang w:val="en-CA"/>
              </w:rPr>
            </w:pPr>
          </w:p>
        </w:tc>
      </w:tr>
      <w:tr w:rsidR="008F364A" w:rsidRPr="009819CA" w14:paraId="115CE159" w14:textId="77777777" w:rsidTr="00BF230D">
        <w:tc>
          <w:tcPr>
            <w:tcW w:w="1134" w:type="dxa"/>
            <w:gridSpan w:val="2"/>
          </w:tcPr>
          <w:p w14:paraId="351B9D3B" w14:textId="77777777" w:rsidR="008F364A" w:rsidRPr="009819CA" w:rsidRDefault="0019086D" w:rsidP="00423DF1">
            <w:pPr>
              <w:pStyle w:val="zSoquijlblJuge"/>
              <w:ind w:right="-142"/>
              <w:rPr>
                <w:lang w:val="en-CA"/>
              </w:rPr>
            </w:pPr>
            <w:bookmarkStart w:id="1" w:name="FORMATION"/>
            <w:r w:rsidRPr="009819CA">
              <w:rPr>
                <w:lang w:val="en-CA"/>
              </w:rPr>
              <w:t>CORAM</w:t>
            </w:r>
            <w:r w:rsidR="00740A17" w:rsidRPr="009819CA">
              <w:rPr>
                <w:lang w:val="en-CA"/>
              </w:rPr>
              <w:t>:</w:t>
            </w:r>
            <w:bookmarkEnd w:id="1"/>
          </w:p>
        </w:tc>
        <w:tc>
          <w:tcPr>
            <w:tcW w:w="2410" w:type="dxa"/>
            <w:gridSpan w:val="2"/>
          </w:tcPr>
          <w:p w14:paraId="7F6BBD6B" w14:textId="77777777" w:rsidR="008F364A" w:rsidRPr="009819CA" w:rsidRDefault="0019086D">
            <w:pPr>
              <w:pStyle w:val="zSoquijdatQteJuge"/>
              <w:rPr>
                <w:lang w:val="en-CA"/>
              </w:rPr>
            </w:pPr>
            <w:bookmarkStart w:id="2" w:name="Honorables"/>
            <w:r w:rsidRPr="009819CA">
              <w:rPr>
                <w:lang w:val="en-CA"/>
              </w:rPr>
              <w:t>THE</w:t>
            </w:r>
            <w:r w:rsidR="00740A17" w:rsidRPr="009819CA">
              <w:rPr>
                <w:lang w:val="en-CA"/>
              </w:rPr>
              <w:t xml:space="preserve"> HONO</w:t>
            </w:r>
            <w:r w:rsidRPr="009819CA">
              <w:rPr>
                <w:lang w:val="en-CA"/>
              </w:rPr>
              <w:t>U</w:t>
            </w:r>
            <w:r w:rsidR="00740A17" w:rsidRPr="009819CA">
              <w:rPr>
                <w:lang w:val="en-CA"/>
              </w:rPr>
              <w:t>RABLE</w:t>
            </w:r>
            <w:bookmarkEnd w:id="2"/>
          </w:p>
        </w:tc>
        <w:tc>
          <w:tcPr>
            <w:tcW w:w="6241" w:type="dxa"/>
            <w:gridSpan w:val="2"/>
          </w:tcPr>
          <w:p w14:paraId="634E9BAB" w14:textId="77777777" w:rsidR="008F364A" w:rsidRPr="009819CA" w:rsidRDefault="0019086D">
            <w:pPr>
              <w:pStyle w:val="zSoquijdatJuge"/>
            </w:pPr>
            <w:bookmarkStart w:id="3" w:name="NomJuge1"/>
            <w:r w:rsidRPr="009819CA">
              <w:t>GUY GAGNON, J.</w:t>
            </w:r>
            <w:r w:rsidR="003820B3" w:rsidRPr="009819CA">
              <w:t>A.</w:t>
            </w:r>
            <w:bookmarkEnd w:id="3"/>
          </w:p>
          <w:p w14:paraId="59B6DB3E" w14:textId="77777777" w:rsidR="008F364A" w:rsidRPr="009819CA" w:rsidRDefault="0019086D">
            <w:pPr>
              <w:pStyle w:val="zSoquijdatJuge"/>
            </w:pPr>
            <w:bookmarkStart w:id="4" w:name="NomJuge2"/>
            <w:r w:rsidRPr="009819CA">
              <w:t>SUZANNE GAGNÉ, J.</w:t>
            </w:r>
            <w:r w:rsidR="003820B3" w:rsidRPr="009819CA">
              <w:t>A.</w:t>
            </w:r>
            <w:bookmarkEnd w:id="4"/>
          </w:p>
          <w:p w14:paraId="5705B77C" w14:textId="77777777" w:rsidR="005A78BF" w:rsidRPr="009819CA" w:rsidRDefault="0019086D" w:rsidP="003820B3">
            <w:pPr>
              <w:pStyle w:val="zSoquijdatJuge"/>
              <w:rPr>
                <w:lang w:val="en-CA"/>
              </w:rPr>
            </w:pPr>
            <w:bookmarkStart w:id="5" w:name="_Hlt520513784"/>
            <w:bookmarkStart w:id="6" w:name="NomJuge3"/>
            <w:bookmarkEnd w:id="5"/>
            <w:r w:rsidRPr="009819CA">
              <w:rPr>
                <w:lang w:val="en-CA"/>
              </w:rPr>
              <w:t>SOPHIE LAVALLÉE, J.</w:t>
            </w:r>
            <w:r w:rsidR="003820B3" w:rsidRPr="009819CA">
              <w:rPr>
                <w:lang w:val="en-CA"/>
              </w:rPr>
              <w:t>A.</w:t>
            </w:r>
            <w:bookmarkEnd w:id="6"/>
          </w:p>
        </w:tc>
      </w:tr>
      <w:tr w:rsidR="008F364A" w:rsidRPr="009819CA" w14:paraId="64769F91" w14:textId="77777777" w:rsidTr="00A167AC">
        <w:tc>
          <w:tcPr>
            <w:tcW w:w="9785" w:type="dxa"/>
            <w:gridSpan w:val="6"/>
            <w:tcBorders>
              <w:bottom w:val="single" w:sz="8" w:space="0" w:color="auto"/>
            </w:tcBorders>
          </w:tcPr>
          <w:p w14:paraId="333DC9E2" w14:textId="77777777" w:rsidR="008F364A" w:rsidRPr="009819CA" w:rsidRDefault="008F364A">
            <w:pPr>
              <w:rPr>
                <w:lang w:val="en-CA"/>
              </w:rPr>
            </w:pPr>
          </w:p>
        </w:tc>
      </w:tr>
      <w:tr w:rsidR="008F364A" w:rsidRPr="009819CA" w14:paraId="3189ADF5" w14:textId="77777777" w:rsidTr="00A167AC">
        <w:tc>
          <w:tcPr>
            <w:tcW w:w="9785" w:type="dxa"/>
            <w:gridSpan w:val="6"/>
          </w:tcPr>
          <w:p w14:paraId="35D46DEB" w14:textId="77777777" w:rsidR="008F364A" w:rsidRPr="009819CA" w:rsidRDefault="008F364A">
            <w:pPr>
              <w:pStyle w:val="zSoquijlblTitrePartie"/>
              <w:rPr>
                <w:lang w:val="en-CA"/>
              </w:rPr>
            </w:pPr>
          </w:p>
        </w:tc>
      </w:tr>
      <w:tr w:rsidR="008F364A" w:rsidRPr="009819CA" w14:paraId="739FBDCD" w14:textId="77777777" w:rsidTr="00A167AC">
        <w:tc>
          <w:tcPr>
            <w:tcW w:w="9785" w:type="dxa"/>
            <w:gridSpan w:val="6"/>
          </w:tcPr>
          <w:p w14:paraId="09E364D4" w14:textId="77777777" w:rsidR="008F364A" w:rsidRPr="009819CA" w:rsidRDefault="0019086D">
            <w:pPr>
              <w:pStyle w:val="zSoquijdatNomPartieDem"/>
              <w:rPr>
                <w:lang w:val="en-CA"/>
              </w:rPr>
            </w:pPr>
            <w:r w:rsidRPr="009819CA">
              <w:rPr>
                <w:lang w:val="en-CA"/>
              </w:rPr>
              <w:t>HIS MAJESTY THE KING</w:t>
            </w:r>
          </w:p>
        </w:tc>
      </w:tr>
      <w:tr w:rsidR="008F364A" w:rsidRPr="009819CA" w14:paraId="325E0F62" w14:textId="77777777" w:rsidTr="00A167AC">
        <w:tc>
          <w:tcPr>
            <w:tcW w:w="9785" w:type="dxa"/>
            <w:gridSpan w:val="6"/>
          </w:tcPr>
          <w:p w14:paraId="524168CB" w14:textId="77777777" w:rsidR="008F364A" w:rsidRPr="009819CA" w:rsidRDefault="0019086D">
            <w:pPr>
              <w:pStyle w:val="zSoquijdatQtePartieDem"/>
              <w:rPr>
                <w:lang w:val="en-CA"/>
              </w:rPr>
            </w:pPr>
            <w:r w:rsidRPr="009819CA">
              <w:rPr>
                <w:lang w:val="en-CA"/>
              </w:rPr>
              <w:t>APPLIC</w:t>
            </w:r>
            <w:r w:rsidR="003820B3" w:rsidRPr="009819CA">
              <w:rPr>
                <w:lang w:val="en-CA"/>
              </w:rPr>
              <w:t xml:space="preserve">ANT – </w:t>
            </w:r>
            <w:r w:rsidRPr="009819CA">
              <w:rPr>
                <w:lang w:val="en-CA"/>
              </w:rPr>
              <w:t>Prosecutor</w:t>
            </w:r>
          </w:p>
        </w:tc>
      </w:tr>
      <w:tr w:rsidR="008F364A" w:rsidRPr="009819CA" w14:paraId="3938E306" w14:textId="77777777" w:rsidTr="00A167AC">
        <w:tc>
          <w:tcPr>
            <w:tcW w:w="9785" w:type="dxa"/>
            <w:gridSpan w:val="6"/>
          </w:tcPr>
          <w:p w14:paraId="5D81020F" w14:textId="77777777" w:rsidR="008F364A" w:rsidRPr="009819CA" w:rsidRDefault="0019086D">
            <w:pPr>
              <w:pStyle w:val="zSoquijlblLienParties"/>
              <w:rPr>
                <w:lang w:val="en-CA"/>
              </w:rPr>
            </w:pPr>
            <w:r w:rsidRPr="009819CA">
              <w:rPr>
                <w:lang w:val="en-CA"/>
              </w:rPr>
              <w:t>v</w:t>
            </w:r>
            <w:r w:rsidR="00740A17" w:rsidRPr="009819CA">
              <w:rPr>
                <w:lang w:val="en-CA"/>
              </w:rPr>
              <w:t>.</w:t>
            </w:r>
          </w:p>
        </w:tc>
      </w:tr>
      <w:tr w:rsidR="008F364A" w:rsidRPr="009819CA" w14:paraId="4368F104" w14:textId="77777777" w:rsidTr="00A167AC">
        <w:tc>
          <w:tcPr>
            <w:tcW w:w="9785" w:type="dxa"/>
            <w:gridSpan w:val="6"/>
          </w:tcPr>
          <w:p w14:paraId="566A3465" w14:textId="77777777" w:rsidR="008F364A" w:rsidRPr="009819CA" w:rsidRDefault="008F364A">
            <w:pPr>
              <w:rPr>
                <w:lang w:val="en-CA"/>
              </w:rPr>
            </w:pPr>
          </w:p>
        </w:tc>
      </w:tr>
      <w:tr w:rsidR="008F364A" w:rsidRPr="009819CA" w14:paraId="22EC3F9A" w14:textId="77777777" w:rsidTr="00A167AC">
        <w:tc>
          <w:tcPr>
            <w:tcW w:w="9785" w:type="dxa"/>
            <w:gridSpan w:val="6"/>
          </w:tcPr>
          <w:p w14:paraId="2BF2F6A1" w14:textId="77777777" w:rsidR="008F364A" w:rsidRPr="009819CA" w:rsidRDefault="003820B3">
            <w:pPr>
              <w:pStyle w:val="zSoquijdatNomPartieDef"/>
              <w:rPr>
                <w:lang w:val="en-CA"/>
              </w:rPr>
            </w:pPr>
            <w:r w:rsidRPr="009819CA">
              <w:rPr>
                <w:lang w:val="en-CA"/>
              </w:rPr>
              <w:t>SIMON HOULE</w:t>
            </w:r>
          </w:p>
        </w:tc>
      </w:tr>
      <w:tr w:rsidR="008F364A" w:rsidRPr="009819CA" w14:paraId="22836AE9" w14:textId="77777777" w:rsidTr="00A167AC">
        <w:tc>
          <w:tcPr>
            <w:tcW w:w="9785" w:type="dxa"/>
            <w:gridSpan w:val="6"/>
          </w:tcPr>
          <w:p w14:paraId="5C50CADD" w14:textId="77777777" w:rsidR="008F364A" w:rsidRPr="009819CA" w:rsidRDefault="0019086D">
            <w:pPr>
              <w:pStyle w:val="zSoquijdatQtePartieDef"/>
              <w:rPr>
                <w:lang w:val="en-CA"/>
              </w:rPr>
            </w:pPr>
            <w:r w:rsidRPr="009819CA">
              <w:rPr>
                <w:lang w:val="en-CA"/>
              </w:rPr>
              <w:t>RESPONDENT – A</w:t>
            </w:r>
            <w:r w:rsidR="003820B3" w:rsidRPr="009819CA">
              <w:rPr>
                <w:lang w:val="en-CA"/>
              </w:rPr>
              <w:t>ccus</w:t>
            </w:r>
            <w:r w:rsidRPr="009819CA">
              <w:rPr>
                <w:lang w:val="en-CA"/>
              </w:rPr>
              <w:t>ed</w:t>
            </w:r>
          </w:p>
        </w:tc>
      </w:tr>
      <w:tr w:rsidR="008F364A" w:rsidRPr="009819CA" w14:paraId="43FC9782" w14:textId="77777777" w:rsidTr="00A167AC">
        <w:tc>
          <w:tcPr>
            <w:tcW w:w="9785" w:type="dxa"/>
            <w:gridSpan w:val="6"/>
          </w:tcPr>
          <w:p w14:paraId="26A93254" w14:textId="77777777" w:rsidR="008F364A" w:rsidRPr="009819CA" w:rsidRDefault="008F364A">
            <w:pPr>
              <w:rPr>
                <w:lang w:val="en-CA"/>
              </w:rPr>
            </w:pPr>
          </w:p>
        </w:tc>
      </w:tr>
      <w:tr w:rsidR="008F364A" w:rsidRPr="009819CA" w14:paraId="4790357A" w14:textId="77777777" w:rsidTr="00A167AC">
        <w:tc>
          <w:tcPr>
            <w:tcW w:w="9785" w:type="dxa"/>
            <w:gridSpan w:val="6"/>
            <w:tcBorders>
              <w:top w:val="single" w:sz="8" w:space="0" w:color="auto"/>
            </w:tcBorders>
          </w:tcPr>
          <w:p w14:paraId="4C4D2BA5" w14:textId="77777777" w:rsidR="008F364A" w:rsidRPr="009819CA" w:rsidRDefault="008F364A">
            <w:pPr>
              <w:rPr>
                <w:lang w:val="en-CA"/>
              </w:rPr>
            </w:pPr>
            <w:bookmarkStart w:id="7" w:name="Arret"/>
          </w:p>
        </w:tc>
      </w:tr>
      <w:tr w:rsidR="008F364A" w:rsidRPr="009819CA" w14:paraId="48A8F7F8" w14:textId="77777777" w:rsidTr="00A167AC">
        <w:tc>
          <w:tcPr>
            <w:tcW w:w="9785" w:type="dxa"/>
            <w:gridSpan w:val="6"/>
          </w:tcPr>
          <w:p w14:paraId="02606FAD" w14:textId="77777777" w:rsidR="008F364A" w:rsidRPr="009819CA" w:rsidRDefault="0019086D">
            <w:pPr>
              <w:pStyle w:val="zSoquijlblTypeDocument"/>
              <w:rPr>
                <w:lang w:val="en-CA"/>
              </w:rPr>
            </w:pPr>
            <w:r w:rsidRPr="009819CA">
              <w:rPr>
                <w:lang w:val="en-CA"/>
              </w:rPr>
              <w:t>JUDGMENT</w:t>
            </w:r>
          </w:p>
        </w:tc>
      </w:tr>
      <w:tr w:rsidR="008F364A" w:rsidRPr="009819CA" w14:paraId="7D1A9C43" w14:textId="77777777" w:rsidTr="00A167AC">
        <w:tc>
          <w:tcPr>
            <w:tcW w:w="9785" w:type="dxa"/>
            <w:gridSpan w:val="6"/>
            <w:tcBorders>
              <w:bottom w:val="single" w:sz="8" w:space="0" w:color="auto"/>
            </w:tcBorders>
          </w:tcPr>
          <w:p w14:paraId="153DC0D0" w14:textId="77777777" w:rsidR="008F364A" w:rsidRPr="009819CA" w:rsidRDefault="008F364A">
            <w:pPr>
              <w:rPr>
                <w:lang w:val="en-CA"/>
              </w:rPr>
            </w:pPr>
          </w:p>
        </w:tc>
      </w:tr>
      <w:tr w:rsidR="008F364A" w:rsidRPr="009819CA" w14:paraId="216E7FD9" w14:textId="77777777" w:rsidTr="00A167AC">
        <w:tc>
          <w:tcPr>
            <w:tcW w:w="9785" w:type="dxa"/>
            <w:gridSpan w:val="6"/>
            <w:tcBorders>
              <w:top w:val="single" w:sz="8" w:space="0" w:color="auto"/>
            </w:tcBorders>
          </w:tcPr>
          <w:p w14:paraId="00E9B918" w14:textId="77777777" w:rsidR="008F364A" w:rsidRPr="009819CA" w:rsidRDefault="008F364A">
            <w:pPr>
              <w:rPr>
                <w:lang w:val="en-CA"/>
              </w:rPr>
            </w:pPr>
          </w:p>
        </w:tc>
      </w:tr>
    </w:tbl>
    <w:p w14:paraId="272B6F2B" w14:textId="52FC27AE" w:rsidR="005D5312" w:rsidRPr="009819CA" w:rsidRDefault="00FC74C6" w:rsidP="009B41E2">
      <w:pPr>
        <w:spacing w:before="120" w:after="120"/>
        <w:ind w:right="198"/>
        <w:jc w:val="both"/>
        <w:rPr>
          <w:rFonts w:asciiTheme="minorHAnsi" w:hAnsiTheme="minorHAnsi" w:cstheme="minorHAnsi"/>
          <w:b/>
          <w:bCs/>
          <w:szCs w:val="24"/>
          <w:lang w:val="en-CA"/>
        </w:rPr>
      </w:pPr>
      <w:r w:rsidRPr="009819CA">
        <w:rPr>
          <w:rStyle w:val="Corpsdutexte20"/>
          <w:rFonts w:asciiTheme="minorHAnsi" w:hAnsiTheme="minorHAnsi" w:cstheme="minorHAnsi"/>
          <w:sz w:val="24"/>
          <w:szCs w:val="24"/>
          <w:lang w:val="en-CA"/>
        </w:rPr>
        <w:t>WARNING</w:t>
      </w:r>
      <w:r w:rsidR="005D5312" w:rsidRPr="009819CA">
        <w:rPr>
          <w:rFonts w:asciiTheme="minorHAnsi" w:hAnsiTheme="minorHAnsi" w:cstheme="minorHAnsi"/>
          <w:b/>
          <w:bCs/>
          <w:color w:val="000000"/>
          <w:szCs w:val="24"/>
          <w:lang w:val="en-CA" w:bidi="fr-FR"/>
        </w:rPr>
        <w:t xml:space="preserve">: </w:t>
      </w:r>
      <w:r w:rsidR="00ED7854" w:rsidRPr="009819CA">
        <w:rPr>
          <w:rFonts w:asciiTheme="minorHAnsi" w:hAnsiTheme="minorHAnsi" w:cstheme="minorHAnsi"/>
          <w:b/>
          <w:bCs/>
          <w:color w:val="000000"/>
          <w:szCs w:val="24"/>
          <w:lang w:val="en-CA" w:bidi="fr-FR"/>
        </w:rPr>
        <w:t>A</w:t>
      </w:r>
      <w:r w:rsidR="00201276" w:rsidRPr="009819CA">
        <w:rPr>
          <w:rFonts w:asciiTheme="minorHAnsi" w:hAnsiTheme="minorHAnsi" w:cstheme="minorHAnsi"/>
          <w:b/>
          <w:bCs/>
          <w:color w:val="000000"/>
          <w:szCs w:val="24"/>
          <w:lang w:val="en-CA" w:bidi="fr-FR"/>
        </w:rPr>
        <w:t>n</w:t>
      </w:r>
      <w:r w:rsidR="00ED7854" w:rsidRPr="009819CA">
        <w:rPr>
          <w:rFonts w:asciiTheme="minorHAnsi" w:hAnsiTheme="minorHAnsi" w:cstheme="minorHAnsi"/>
          <w:b/>
          <w:bCs/>
          <w:color w:val="000000"/>
          <w:szCs w:val="24"/>
          <w:lang w:val="en-CA" w:bidi="fr-FR"/>
        </w:rPr>
        <w:t xml:space="preserve"> order restricting </w:t>
      </w:r>
      <w:r w:rsidR="006C4700" w:rsidRPr="009819CA">
        <w:rPr>
          <w:rFonts w:asciiTheme="minorHAnsi" w:hAnsiTheme="minorHAnsi" w:cstheme="minorHAnsi"/>
          <w:b/>
          <w:bCs/>
          <w:color w:val="000000"/>
          <w:szCs w:val="24"/>
          <w:lang w:val="en-CA" w:bidi="fr-FR"/>
        </w:rPr>
        <w:t xml:space="preserve">publication </w:t>
      </w:r>
      <w:r w:rsidR="00013B3D" w:rsidRPr="00D81696">
        <w:rPr>
          <w:rFonts w:asciiTheme="minorHAnsi" w:hAnsiTheme="minorHAnsi" w:cstheme="minorHAnsi"/>
          <w:b/>
          <w:bCs/>
          <w:color w:val="000000"/>
          <w:szCs w:val="24"/>
          <w:lang w:val="en-CA" w:bidi="fr-FR"/>
        </w:rPr>
        <w:t xml:space="preserve">under s. 486.4 </w:t>
      </w:r>
      <w:r w:rsidR="00013B3D" w:rsidRPr="00BF230D">
        <w:rPr>
          <w:rFonts w:asciiTheme="minorHAnsi" w:hAnsiTheme="minorHAnsi" w:cstheme="minorHAnsi"/>
          <w:b/>
          <w:bCs/>
          <w:i/>
          <w:iCs/>
          <w:color w:val="000000"/>
          <w:szCs w:val="24"/>
          <w:lang w:val="en-CA" w:bidi="fr-FR"/>
        </w:rPr>
        <w:t>Cr. C</w:t>
      </w:r>
      <w:r w:rsidR="00013B3D" w:rsidRPr="009819CA">
        <w:rPr>
          <w:rFonts w:asciiTheme="minorHAnsi" w:hAnsiTheme="minorHAnsi" w:cstheme="minorHAnsi"/>
          <w:b/>
          <w:bCs/>
          <w:color w:val="000000"/>
          <w:szCs w:val="24"/>
          <w:lang w:val="en-CA" w:bidi="fr-FR"/>
        </w:rPr>
        <w:t xml:space="preserve">. </w:t>
      </w:r>
      <w:proofErr w:type="gramStart"/>
      <w:r w:rsidR="00ED7854" w:rsidRPr="009819CA">
        <w:rPr>
          <w:rFonts w:asciiTheme="minorHAnsi" w:hAnsiTheme="minorHAnsi" w:cstheme="minorHAnsi"/>
          <w:b/>
          <w:bCs/>
          <w:color w:val="000000"/>
          <w:szCs w:val="24"/>
          <w:lang w:val="en-CA" w:bidi="fr-FR"/>
        </w:rPr>
        <w:t xml:space="preserve">was </w:t>
      </w:r>
      <w:r w:rsidR="00013B3D" w:rsidRPr="009819CA">
        <w:rPr>
          <w:rFonts w:asciiTheme="minorHAnsi" w:hAnsiTheme="minorHAnsi" w:cstheme="minorHAnsi"/>
          <w:b/>
          <w:bCs/>
          <w:color w:val="000000"/>
          <w:szCs w:val="24"/>
          <w:lang w:val="en-CA" w:bidi="fr-FR"/>
        </w:rPr>
        <w:t>made</w:t>
      </w:r>
      <w:proofErr w:type="gramEnd"/>
      <w:r w:rsidR="00013B3D" w:rsidRPr="009819CA">
        <w:rPr>
          <w:rFonts w:asciiTheme="minorHAnsi" w:hAnsiTheme="minorHAnsi" w:cstheme="minorHAnsi"/>
          <w:b/>
          <w:bCs/>
          <w:color w:val="000000"/>
          <w:szCs w:val="24"/>
          <w:lang w:val="en-CA" w:bidi="fr-FR"/>
        </w:rPr>
        <w:t xml:space="preserve"> </w:t>
      </w:r>
      <w:r w:rsidR="00ED7854" w:rsidRPr="009819CA">
        <w:rPr>
          <w:rFonts w:asciiTheme="minorHAnsi" w:hAnsiTheme="minorHAnsi" w:cstheme="minorHAnsi"/>
          <w:b/>
          <w:bCs/>
          <w:color w:val="000000"/>
          <w:szCs w:val="24"/>
          <w:lang w:val="en-CA" w:bidi="fr-FR"/>
        </w:rPr>
        <w:t>on November 1, 2021</w:t>
      </w:r>
      <w:r w:rsidR="00ED7854" w:rsidRPr="009819CA">
        <w:rPr>
          <w:rStyle w:val="Corpsdutexte2Calibri105ptItalique"/>
          <w:rFonts w:asciiTheme="minorHAnsi" w:hAnsiTheme="minorHAnsi" w:cstheme="minorHAnsi"/>
          <w:b w:val="0"/>
          <w:bCs w:val="0"/>
          <w:i w:val="0"/>
          <w:iCs w:val="0"/>
          <w:sz w:val="24"/>
          <w:szCs w:val="24"/>
          <w:lang w:val="en-CA"/>
        </w:rPr>
        <w:t xml:space="preserve">, </w:t>
      </w:r>
      <w:r w:rsidR="00ED7854" w:rsidRPr="009819CA">
        <w:rPr>
          <w:rStyle w:val="Corpsdutexte2Calibri105ptItalique"/>
          <w:rFonts w:asciiTheme="minorHAnsi" w:hAnsiTheme="minorHAnsi" w:cstheme="minorHAnsi"/>
          <w:i w:val="0"/>
          <w:iCs w:val="0"/>
          <w:sz w:val="24"/>
          <w:szCs w:val="24"/>
          <w:lang w:val="en-CA"/>
        </w:rPr>
        <w:t>by the Court of Québec (the Honourable Matthieu Poliquin), District of Trois-</w:t>
      </w:r>
      <w:r w:rsidR="00570741" w:rsidRPr="009819CA">
        <w:rPr>
          <w:rStyle w:val="Corpsdutexte2Calibri105ptItalique"/>
          <w:rFonts w:asciiTheme="minorHAnsi" w:hAnsiTheme="minorHAnsi" w:cstheme="minorHAnsi"/>
          <w:i w:val="0"/>
          <w:iCs w:val="0"/>
          <w:sz w:val="24"/>
          <w:szCs w:val="24"/>
          <w:lang w:val="en-CA"/>
        </w:rPr>
        <w:t xml:space="preserve">Rivières, </w:t>
      </w:r>
      <w:r w:rsidR="00570741" w:rsidRPr="009819CA">
        <w:rPr>
          <w:rStyle w:val="Corpsdutexte2Calibri105ptItalique"/>
          <w:rFonts w:asciiTheme="minorHAnsi" w:hAnsiTheme="minorHAnsi" w:cstheme="minorHAnsi"/>
          <w:sz w:val="24"/>
          <w:szCs w:val="24"/>
          <w:lang w:val="en-CA"/>
        </w:rPr>
        <w:t>directing</w:t>
      </w:r>
      <w:r w:rsidR="00ED7854" w:rsidRPr="009819CA">
        <w:rPr>
          <w:rStyle w:val="Corpsdutexte2Calibri105ptItalique"/>
          <w:rFonts w:asciiTheme="minorHAnsi" w:hAnsiTheme="minorHAnsi" w:cstheme="minorHAnsi"/>
          <w:i w:val="0"/>
          <w:iCs w:val="0"/>
          <w:sz w:val="24"/>
          <w:szCs w:val="24"/>
          <w:lang w:val="en-CA"/>
        </w:rPr>
        <w:t xml:space="preserve"> </w:t>
      </w:r>
      <w:r w:rsidR="00ED7854" w:rsidRPr="009819CA">
        <w:rPr>
          <w:rStyle w:val="Corpsdutexte2Calibri105ptItalique"/>
          <w:rFonts w:asciiTheme="minorHAnsi" w:hAnsiTheme="minorHAnsi" w:cstheme="minorHAnsi"/>
          <w:bCs w:val="0"/>
          <w:i w:val="0"/>
          <w:iCs w:val="0"/>
          <w:sz w:val="24"/>
          <w:szCs w:val="24"/>
          <w:lang w:val="en-CA"/>
        </w:rPr>
        <w:t>that</w:t>
      </w:r>
      <w:r w:rsidRPr="009819CA">
        <w:rPr>
          <w:rFonts w:asciiTheme="minorHAnsi" w:hAnsiTheme="minorHAnsi" w:cstheme="minorHAnsi"/>
          <w:b/>
          <w:bCs/>
          <w:color w:val="000000"/>
          <w:szCs w:val="24"/>
          <w:lang w:val="en-CA" w:bidi="fr-FR"/>
        </w:rPr>
        <w:t xml:space="preserve"> any information that could identify the victim or a witness</w:t>
      </w:r>
      <w:r w:rsidR="00ED7854" w:rsidRPr="009819CA">
        <w:rPr>
          <w:rFonts w:asciiTheme="minorHAnsi" w:hAnsiTheme="minorHAnsi" w:cstheme="minorHAnsi"/>
          <w:b/>
          <w:bCs/>
          <w:color w:val="000000"/>
          <w:szCs w:val="24"/>
          <w:lang w:val="en-CA" w:bidi="fr-FR"/>
        </w:rPr>
        <w:t xml:space="preserve"> shall not be published or broadcast in any way</w:t>
      </w:r>
      <w:r w:rsidRPr="009819CA">
        <w:rPr>
          <w:rFonts w:asciiTheme="minorHAnsi" w:hAnsiTheme="minorHAnsi" w:cstheme="minorHAnsi"/>
          <w:b/>
          <w:bCs/>
          <w:color w:val="000000"/>
          <w:szCs w:val="24"/>
          <w:lang w:val="en-CA" w:bidi="fr-FR"/>
        </w:rPr>
        <w:t xml:space="preserve">. </w:t>
      </w:r>
    </w:p>
    <w:p w14:paraId="4854809A" w14:textId="704865C2" w:rsidR="00266604" w:rsidRPr="009819CA" w:rsidRDefault="006F4132">
      <w:pPr>
        <w:pStyle w:val="Paragraphe"/>
        <w:rPr>
          <w:lang w:val="en-CA"/>
        </w:rPr>
      </w:pPr>
      <w:r w:rsidRPr="009819CA">
        <w:rPr>
          <w:lang w:val="en-CA"/>
        </w:rPr>
        <w:t>The prosecut</w:t>
      </w:r>
      <w:r w:rsidR="00846698" w:rsidRPr="009819CA">
        <w:rPr>
          <w:lang w:val="en-CA"/>
        </w:rPr>
        <w:t>ion</w:t>
      </w:r>
      <w:r w:rsidRPr="009819CA">
        <w:rPr>
          <w:lang w:val="en-CA"/>
        </w:rPr>
        <w:t xml:space="preserve"> </w:t>
      </w:r>
      <w:r w:rsidR="00846698" w:rsidRPr="009819CA">
        <w:rPr>
          <w:lang w:val="en-CA"/>
        </w:rPr>
        <w:t>seeks</w:t>
      </w:r>
      <w:r w:rsidRPr="009819CA">
        <w:rPr>
          <w:lang w:val="en-CA"/>
        </w:rPr>
        <w:t xml:space="preserve"> leave to appeal from a </w:t>
      </w:r>
      <w:r w:rsidR="00846698" w:rsidRPr="009819CA">
        <w:rPr>
          <w:lang w:val="en-CA"/>
        </w:rPr>
        <w:t xml:space="preserve">sentencing </w:t>
      </w:r>
      <w:r w:rsidRPr="009819CA">
        <w:rPr>
          <w:lang w:val="en-CA"/>
        </w:rPr>
        <w:t>judg</w:t>
      </w:r>
      <w:r w:rsidR="00FC74C6" w:rsidRPr="009819CA">
        <w:rPr>
          <w:lang w:val="en-CA"/>
        </w:rPr>
        <w:t xml:space="preserve">ment rendered </w:t>
      </w:r>
      <w:r w:rsidR="00846698" w:rsidRPr="009819CA">
        <w:rPr>
          <w:lang w:val="en-CA"/>
        </w:rPr>
        <w:t xml:space="preserve">on June 21, 2022, </w:t>
      </w:r>
      <w:r w:rsidR="00FC74C6" w:rsidRPr="009819CA">
        <w:rPr>
          <w:lang w:val="en-CA"/>
        </w:rPr>
        <w:t>by the Court of Québec</w:t>
      </w:r>
      <w:r w:rsidR="00846698" w:rsidRPr="009819CA">
        <w:rPr>
          <w:lang w:val="en-CA"/>
        </w:rPr>
        <w:t xml:space="preserve"> (the Honourable Matthieu Poliquin)</w:t>
      </w:r>
      <w:r w:rsidR="00FC74C6" w:rsidRPr="009819CA">
        <w:rPr>
          <w:lang w:val="en-CA"/>
        </w:rPr>
        <w:t xml:space="preserve">, </w:t>
      </w:r>
      <w:r w:rsidR="00846698" w:rsidRPr="009819CA">
        <w:rPr>
          <w:lang w:val="en-CA"/>
        </w:rPr>
        <w:t>D</w:t>
      </w:r>
      <w:r w:rsidR="00FC74C6" w:rsidRPr="009819CA">
        <w:rPr>
          <w:lang w:val="en-CA"/>
        </w:rPr>
        <w:t xml:space="preserve">istrict of Trois-Rivières. The </w:t>
      </w:r>
      <w:r w:rsidR="005E3BD2" w:rsidRPr="009819CA">
        <w:rPr>
          <w:lang w:val="en-CA"/>
        </w:rPr>
        <w:t>ju</w:t>
      </w:r>
      <w:r w:rsidR="00FC74C6" w:rsidRPr="009819CA">
        <w:rPr>
          <w:lang w:val="en-CA"/>
        </w:rPr>
        <w:t>dg</w:t>
      </w:r>
      <w:r w:rsidR="005E3BD2" w:rsidRPr="009819CA">
        <w:rPr>
          <w:lang w:val="en-CA"/>
        </w:rPr>
        <w:t xml:space="preserve">ment </w:t>
      </w:r>
      <w:r w:rsidR="00FC74C6" w:rsidRPr="009819CA">
        <w:rPr>
          <w:lang w:val="en-CA"/>
        </w:rPr>
        <w:t xml:space="preserve">conditionally </w:t>
      </w:r>
      <w:r w:rsidR="00C85CBA" w:rsidRPr="009819CA">
        <w:rPr>
          <w:lang w:val="en-CA"/>
        </w:rPr>
        <w:t xml:space="preserve">discharged </w:t>
      </w:r>
      <w:r w:rsidR="00163093" w:rsidRPr="009819CA">
        <w:rPr>
          <w:lang w:val="en-CA"/>
        </w:rPr>
        <w:t>Simon Houle</w:t>
      </w:r>
      <w:r w:rsidR="003925B9" w:rsidRPr="009819CA">
        <w:rPr>
          <w:lang w:val="en-CA"/>
        </w:rPr>
        <w:t xml:space="preserve"> </w:t>
      </w:r>
      <w:r w:rsidR="00163093" w:rsidRPr="009819CA">
        <w:rPr>
          <w:lang w:val="en-CA"/>
        </w:rPr>
        <w:t>a</w:t>
      </w:r>
      <w:r w:rsidR="00FC74C6" w:rsidRPr="009819CA">
        <w:rPr>
          <w:lang w:val="en-CA"/>
        </w:rPr>
        <w:t>fter he pleade</w:t>
      </w:r>
      <w:r w:rsidR="009F57D5" w:rsidRPr="009819CA">
        <w:rPr>
          <w:lang w:val="en-CA"/>
        </w:rPr>
        <w:t>d guilty to charges of sexual assault</w:t>
      </w:r>
      <w:r w:rsidR="00FC74C6" w:rsidRPr="009819CA">
        <w:rPr>
          <w:lang w:val="en-CA"/>
        </w:rPr>
        <w:t xml:space="preserve"> and voyeurism </w:t>
      </w:r>
      <w:r w:rsidRPr="009819CA">
        <w:rPr>
          <w:lang w:val="en-CA"/>
        </w:rPr>
        <w:t xml:space="preserve">committed against </w:t>
      </w:r>
      <w:r w:rsidR="00163093" w:rsidRPr="009819CA">
        <w:rPr>
          <w:lang w:val="en-CA"/>
        </w:rPr>
        <w:t>L.L.B.</w:t>
      </w:r>
      <w:r w:rsidR="00CB2E44" w:rsidRPr="009819CA">
        <w:rPr>
          <w:rStyle w:val="Appelnotedebasdep"/>
          <w:lang w:val="en-CA"/>
        </w:rPr>
        <w:footnoteReference w:id="1"/>
      </w:r>
    </w:p>
    <w:p w14:paraId="6CD66A13" w14:textId="43C0AFA1" w:rsidR="008F364A" w:rsidRPr="009819CA" w:rsidRDefault="006C4700">
      <w:pPr>
        <w:pStyle w:val="Paragraphe"/>
        <w:rPr>
          <w:lang w:val="en-CA"/>
        </w:rPr>
      </w:pPr>
      <w:r w:rsidRPr="009819CA">
        <w:rPr>
          <w:lang w:val="en-CA"/>
        </w:rPr>
        <w:lastRenderedPageBreak/>
        <w:t xml:space="preserve">For the reasons below, the Court </w:t>
      </w:r>
      <w:r w:rsidR="00846698" w:rsidRPr="009819CA">
        <w:rPr>
          <w:lang w:val="en-CA"/>
        </w:rPr>
        <w:t>will</w:t>
      </w:r>
      <w:r w:rsidRPr="009819CA">
        <w:rPr>
          <w:lang w:val="en-CA"/>
        </w:rPr>
        <w:t xml:space="preserve"> grant the application for leave to appeal, </w:t>
      </w:r>
      <w:r w:rsidR="00521C1F" w:rsidRPr="009819CA">
        <w:rPr>
          <w:lang w:val="en-CA"/>
        </w:rPr>
        <w:t xml:space="preserve">allow </w:t>
      </w:r>
      <w:r w:rsidRPr="009819CA">
        <w:rPr>
          <w:lang w:val="en-CA"/>
        </w:rPr>
        <w:t xml:space="preserve">the appeal, </w:t>
      </w:r>
      <w:r w:rsidR="005B2C93" w:rsidRPr="009819CA">
        <w:rPr>
          <w:lang w:val="en-CA"/>
        </w:rPr>
        <w:t>revoke</w:t>
      </w:r>
      <w:r w:rsidR="00846698" w:rsidRPr="009819CA">
        <w:rPr>
          <w:lang w:val="en-CA"/>
        </w:rPr>
        <w:t xml:space="preserve"> </w:t>
      </w:r>
      <w:r w:rsidRPr="009819CA">
        <w:rPr>
          <w:lang w:val="en-CA"/>
        </w:rPr>
        <w:t xml:space="preserve">the conditional </w:t>
      </w:r>
      <w:r w:rsidR="00C85CBA" w:rsidRPr="009819CA">
        <w:rPr>
          <w:lang w:val="en-CA"/>
        </w:rPr>
        <w:t>discharge</w:t>
      </w:r>
      <w:r w:rsidR="00846698" w:rsidRPr="009819CA">
        <w:rPr>
          <w:lang w:val="en-CA"/>
        </w:rPr>
        <w:t>,</w:t>
      </w:r>
      <w:r w:rsidR="00C85CBA" w:rsidRPr="009819CA">
        <w:rPr>
          <w:lang w:val="en-CA"/>
        </w:rPr>
        <w:t xml:space="preserve"> </w:t>
      </w:r>
      <w:r w:rsidR="006F4132" w:rsidRPr="009819CA">
        <w:rPr>
          <w:lang w:val="en-CA"/>
        </w:rPr>
        <w:t xml:space="preserve">and </w:t>
      </w:r>
      <w:r w:rsidR="00846698" w:rsidRPr="009819CA">
        <w:rPr>
          <w:lang w:val="en-CA"/>
        </w:rPr>
        <w:t xml:space="preserve">substitute it </w:t>
      </w:r>
      <w:r w:rsidR="006F4132" w:rsidRPr="009819CA">
        <w:rPr>
          <w:lang w:val="en-CA"/>
        </w:rPr>
        <w:t xml:space="preserve">with a </w:t>
      </w:r>
      <w:r w:rsidR="00726E29" w:rsidRPr="009819CA">
        <w:rPr>
          <w:lang w:val="en-CA"/>
        </w:rPr>
        <w:t xml:space="preserve">total </w:t>
      </w:r>
      <w:r w:rsidRPr="009819CA">
        <w:rPr>
          <w:lang w:val="en-CA"/>
        </w:rPr>
        <w:t>sentence</w:t>
      </w:r>
      <w:r w:rsidR="006F4132" w:rsidRPr="009819CA">
        <w:rPr>
          <w:lang w:val="en-CA"/>
        </w:rPr>
        <w:t xml:space="preserve"> of 12 months</w:t>
      </w:r>
      <w:r w:rsidR="00846698" w:rsidRPr="009819CA">
        <w:rPr>
          <w:lang w:val="en-CA"/>
        </w:rPr>
        <w:t>’ imprisonment</w:t>
      </w:r>
      <w:r w:rsidR="007F0FAA" w:rsidRPr="009819CA">
        <w:rPr>
          <w:lang w:val="en-CA"/>
        </w:rPr>
        <w:t>.</w:t>
      </w:r>
    </w:p>
    <w:p w14:paraId="78B0400D" w14:textId="77777777" w:rsidR="00812439" w:rsidRPr="009819CA" w:rsidRDefault="006C4700" w:rsidP="006F1488">
      <w:pPr>
        <w:pStyle w:val="Paragraphe"/>
        <w:keepNext/>
        <w:numPr>
          <w:ilvl w:val="0"/>
          <w:numId w:val="19"/>
        </w:numPr>
        <w:rPr>
          <w:b/>
          <w:bCs/>
          <w:lang w:val="en-CA"/>
        </w:rPr>
      </w:pPr>
      <w:r w:rsidRPr="009819CA">
        <w:rPr>
          <w:b/>
          <w:bCs/>
          <w:lang w:val="en-CA"/>
        </w:rPr>
        <w:t>Background</w:t>
      </w:r>
    </w:p>
    <w:p w14:paraId="1C963B52" w14:textId="1DB5BD82" w:rsidR="00F16C90" w:rsidRPr="009819CA" w:rsidRDefault="006F4132">
      <w:pPr>
        <w:pStyle w:val="Paragraphe"/>
        <w:rPr>
          <w:lang w:val="en-CA"/>
        </w:rPr>
      </w:pPr>
      <w:r w:rsidRPr="009819CA">
        <w:rPr>
          <w:lang w:val="en-CA"/>
        </w:rPr>
        <w:t>T</w:t>
      </w:r>
      <w:r w:rsidR="006C4700" w:rsidRPr="009819CA">
        <w:rPr>
          <w:lang w:val="en-CA"/>
        </w:rPr>
        <w:t xml:space="preserve">he trial judge described the background and acts committed by </w:t>
      </w:r>
      <w:r w:rsidR="006E0846" w:rsidRPr="009819CA">
        <w:rPr>
          <w:lang w:val="en-CA"/>
        </w:rPr>
        <w:t>M</w:t>
      </w:r>
      <w:r w:rsidR="006C4700" w:rsidRPr="009819CA">
        <w:rPr>
          <w:lang w:val="en-CA"/>
        </w:rPr>
        <w:t>r</w:t>
      </w:r>
      <w:r w:rsidR="00C85CBA" w:rsidRPr="009819CA">
        <w:rPr>
          <w:lang w:val="en-CA"/>
        </w:rPr>
        <w:t>. Houle</w:t>
      </w:r>
      <w:r w:rsidRPr="009819CA">
        <w:rPr>
          <w:lang w:val="en-CA"/>
        </w:rPr>
        <w:t xml:space="preserve"> in a carefully drafted judgment</w:t>
      </w:r>
      <w:r w:rsidR="006E0846" w:rsidRPr="009819CA">
        <w:rPr>
          <w:lang w:val="en-CA"/>
        </w:rPr>
        <w:t>:</w:t>
      </w:r>
    </w:p>
    <w:p w14:paraId="4A6E715C" w14:textId="77777777" w:rsidR="00C85CBA" w:rsidRPr="009819CA" w:rsidRDefault="00C85CBA" w:rsidP="00675B0D">
      <w:pPr>
        <w:pStyle w:val="Citationenretrait"/>
        <w:rPr>
          <w:lang w:val="en-CA"/>
        </w:rPr>
      </w:pPr>
      <w:r w:rsidRPr="009819CA">
        <w:rPr>
          <w:lang w:val="en-CA"/>
        </w:rPr>
        <w:t>[</w:t>
      </w:r>
      <w:r w:rsidRPr="009819CA">
        <w:rPr>
          <w:smallCaps/>
          <w:lang w:val="en-CA"/>
        </w:rPr>
        <w:t>translation</w:t>
      </w:r>
      <w:r w:rsidRPr="009819CA">
        <w:rPr>
          <w:lang w:val="en-CA"/>
        </w:rPr>
        <w:t>]</w:t>
      </w:r>
    </w:p>
    <w:p w14:paraId="09FFB596" w14:textId="6E2925B2" w:rsidR="00675B0D" w:rsidRPr="009819CA" w:rsidRDefault="00675B0D" w:rsidP="00675B0D">
      <w:pPr>
        <w:pStyle w:val="Citationenretrait"/>
        <w:rPr>
          <w:lang w:val="en-CA"/>
        </w:rPr>
      </w:pPr>
      <w:r w:rsidRPr="009819CA">
        <w:rPr>
          <w:lang w:val="en-CA"/>
        </w:rPr>
        <w:t>[7]</w:t>
      </w:r>
      <w:r w:rsidR="00253A14" w:rsidRPr="009819CA">
        <w:rPr>
          <w:lang w:val="en-CA"/>
        </w:rPr>
        <w:t>  </w:t>
      </w:r>
      <w:r w:rsidR="00C85CBA" w:rsidRPr="009819CA">
        <w:rPr>
          <w:lang w:val="en-CA"/>
        </w:rPr>
        <w:t xml:space="preserve">The accused and the victim </w:t>
      </w:r>
      <w:r w:rsidR="006F4132" w:rsidRPr="009819CA">
        <w:rPr>
          <w:lang w:val="en-CA"/>
        </w:rPr>
        <w:t>were attending</w:t>
      </w:r>
      <w:r w:rsidR="00C85CBA" w:rsidRPr="009819CA">
        <w:rPr>
          <w:lang w:val="en-CA"/>
        </w:rPr>
        <w:t xml:space="preserve"> the same university in April 2019. They were not studying in the same field but </w:t>
      </w:r>
      <w:r w:rsidR="006F4132" w:rsidRPr="009819CA">
        <w:rPr>
          <w:lang w:val="en-CA"/>
        </w:rPr>
        <w:t>knew each other because they</w:t>
      </w:r>
      <w:r w:rsidR="00C85CBA" w:rsidRPr="009819CA">
        <w:rPr>
          <w:lang w:val="en-CA"/>
        </w:rPr>
        <w:t xml:space="preserve"> were part of </w:t>
      </w:r>
      <w:r w:rsidR="002D479A" w:rsidRPr="009819CA">
        <w:rPr>
          <w:lang w:val="en-CA"/>
        </w:rPr>
        <w:t xml:space="preserve">the same </w:t>
      </w:r>
      <w:r w:rsidR="00C85CBA" w:rsidRPr="009819CA">
        <w:rPr>
          <w:lang w:val="en-CA"/>
        </w:rPr>
        <w:t>group of friends</w:t>
      </w:r>
      <w:r w:rsidRPr="009819CA">
        <w:rPr>
          <w:lang w:val="en-CA"/>
        </w:rPr>
        <w:t>.</w:t>
      </w:r>
    </w:p>
    <w:p w14:paraId="31E5E2D5" w14:textId="2B975418" w:rsidR="00675B0D" w:rsidRPr="009819CA" w:rsidRDefault="00675B0D" w:rsidP="00675B0D">
      <w:pPr>
        <w:pStyle w:val="Citationenretrait"/>
        <w:rPr>
          <w:lang w:val="en-CA"/>
        </w:rPr>
      </w:pPr>
      <w:r w:rsidRPr="009819CA">
        <w:rPr>
          <w:lang w:val="en-CA"/>
        </w:rPr>
        <w:t>[8]</w:t>
      </w:r>
      <w:r w:rsidR="00253A14" w:rsidRPr="009819CA">
        <w:rPr>
          <w:lang w:val="en-CA"/>
        </w:rPr>
        <w:t>  </w:t>
      </w:r>
      <w:r w:rsidR="00C85CBA" w:rsidRPr="009819CA">
        <w:rPr>
          <w:lang w:val="en-CA"/>
        </w:rPr>
        <w:t>On the evening of the events</w:t>
      </w:r>
      <w:r w:rsidR="002D479A" w:rsidRPr="009819CA">
        <w:rPr>
          <w:lang w:val="en-CA"/>
        </w:rPr>
        <w:t>,</w:t>
      </w:r>
      <w:r w:rsidR="00C85CBA" w:rsidRPr="009819CA">
        <w:rPr>
          <w:lang w:val="en-CA"/>
        </w:rPr>
        <w:t xml:space="preserve"> they were </w:t>
      </w:r>
      <w:r w:rsidR="002D479A" w:rsidRPr="009819CA">
        <w:rPr>
          <w:lang w:val="en-CA"/>
        </w:rPr>
        <w:t xml:space="preserve">having drinks </w:t>
      </w:r>
      <w:r w:rsidR="00C85CBA" w:rsidRPr="009819CA">
        <w:rPr>
          <w:lang w:val="en-CA"/>
        </w:rPr>
        <w:t xml:space="preserve">in a bar with </w:t>
      </w:r>
      <w:proofErr w:type="gramStart"/>
      <w:r w:rsidR="002D479A" w:rsidRPr="009819CA">
        <w:rPr>
          <w:lang w:val="en-CA"/>
        </w:rPr>
        <w:t>some</w:t>
      </w:r>
      <w:proofErr w:type="gramEnd"/>
      <w:r w:rsidR="002D479A" w:rsidRPr="009819CA">
        <w:rPr>
          <w:lang w:val="en-CA"/>
        </w:rPr>
        <w:t xml:space="preserve"> </w:t>
      </w:r>
      <w:r w:rsidR="00C85CBA" w:rsidRPr="009819CA">
        <w:rPr>
          <w:lang w:val="en-CA"/>
        </w:rPr>
        <w:t>friends. When the bar closed</w:t>
      </w:r>
      <w:r w:rsidR="002D479A" w:rsidRPr="009819CA">
        <w:rPr>
          <w:lang w:val="en-CA"/>
        </w:rPr>
        <w:t>,</w:t>
      </w:r>
      <w:r w:rsidR="00C85CBA" w:rsidRPr="009819CA">
        <w:rPr>
          <w:lang w:val="en-CA"/>
        </w:rPr>
        <w:t xml:space="preserve"> </w:t>
      </w:r>
      <w:proofErr w:type="gramStart"/>
      <w:r w:rsidR="00C85CBA" w:rsidRPr="009819CA">
        <w:rPr>
          <w:lang w:val="en-CA"/>
        </w:rPr>
        <w:t>some of</w:t>
      </w:r>
      <w:proofErr w:type="gramEnd"/>
      <w:r w:rsidR="00C85CBA" w:rsidRPr="009819CA">
        <w:rPr>
          <w:lang w:val="en-CA"/>
        </w:rPr>
        <w:t xml:space="preserve"> them – including the accused and the victim – </w:t>
      </w:r>
      <w:r w:rsidR="002D479A" w:rsidRPr="009819CA">
        <w:rPr>
          <w:lang w:val="en-CA"/>
        </w:rPr>
        <w:t>continued the party a</w:t>
      </w:r>
      <w:r w:rsidR="00C85CBA" w:rsidRPr="009819CA">
        <w:rPr>
          <w:lang w:val="en-CA"/>
        </w:rPr>
        <w:t xml:space="preserve">t a friend’s </w:t>
      </w:r>
      <w:r w:rsidR="002D479A" w:rsidRPr="009819CA">
        <w:rPr>
          <w:lang w:val="en-CA"/>
        </w:rPr>
        <w:t>apartment</w:t>
      </w:r>
      <w:r w:rsidRPr="009819CA">
        <w:rPr>
          <w:lang w:val="en-CA"/>
        </w:rPr>
        <w:t>.</w:t>
      </w:r>
    </w:p>
    <w:p w14:paraId="5B3BC6B7" w14:textId="25C1FE59" w:rsidR="00675B0D" w:rsidRPr="009819CA" w:rsidRDefault="00675B0D" w:rsidP="00675B0D">
      <w:pPr>
        <w:pStyle w:val="Citationenretrait"/>
        <w:rPr>
          <w:lang w:val="en-CA"/>
        </w:rPr>
      </w:pPr>
      <w:r w:rsidRPr="009819CA">
        <w:rPr>
          <w:lang w:val="en-CA"/>
        </w:rPr>
        <w:t>[9]</w:t>
      </w:r>
      <w:r w:rsidR="00253A14" w:rsidRPr="009819CA">
        <w:rPr>
          <w:lang w:val="en-CA"/>
        </w:rPr>
        <w:t>  </w:t>
      </w:r>
      <w:r w:rsidR="00C85CBA" w:rsidRPr="009819CA">
        <w:rPr>
          <w:lang w:val="en-CA"/>
        </w:rPr>
        <w:t xml:space="preserve">The accused and the victim </w:t>
      </w:r>
      <w:r w:rsidR="002D479A" w:rsidRPr="009819CA">
        <w:rPr>
          <w:lang w:val="en-CA"/>
        </w:rPr>
        <w:t xml:space="preserve">were </w:t>
      </w:r>
      <w:r w:rsidR="00C85CBA" w:rsidRPr="009819CA">
        <w:rPr>
          <w:lang w:val="en-CA"/>
        </w:rPr>
        <w:t>talk</w:t>
      </w:r>
      <w:r w:rsidR="002D479A" w:rsidRPr="009819CA">
        <w:rPr>
          <w:lang w:val="en-CA"/>
        </w:rPr>
        <w:t>ing</w:t>
      </w:r>
      <w:r w:rsidR="00C85CBA" w:rsidRPr="009819CA">
        <w:rPr>
          <w:lang w:val="en-CA"/>
        </w:rPr>
        <w:t xml:space="preserve"> to each other at that </w:t>
      </w:r>
      <w:r w:rsidR="002D479A" w:rsidRPr="009819CA">
        <w:rPr>
          <w:lang w:val="en-CA"/>
        </w:rPr>
        <w:t>apartment</w:t>
      </w:r>
      <w:r w:rsidR="00C85CBA" w:rsidRPr="009819CA">
        <w:rPr>
          <w:lang w:val="en-CA"/>
        </w:rPr>
        <w:t>. Among other things</w:t>
      </w:r>
      <w:r w:rsidR="00201276" w:rsidRPr="009819CA">
        <w:rPr>
          <w:lang w:val="en-CA"/>
        </w:rPr>
        <w:t>, t</w:t>
      </w:r>
      <w:r w:rsidR="002D479A" w:rsidRPr="009819CA">
        <w:rPr>
          <w:lang w:val="en-CA"/>
        </w:rPr>
        <w:t>hey discussed the fact that</w:t>
      </w:r>
      <w:r w:rsidR="00C85CBA" w:rsidRPr="009819CA">
        <w:rPr>
          <w:lang w:val="en-CA"/>
        </w:rPr>
        <w:t xml:space="preserve"> each </w:t>
      </w:r>
      <w:r w:rsidR="0020387D" w:rsidRPr="009819CA">
        <w:rPr>
          <w:lang w:val="en-CA"/>
        </w:rPr>
        <w:t>of them</w:t>
      </w:r>
      <w:r w:rsidR="0020387D" w:rsidRPr="009819CA">
        <w:rPr>
          <w:lang w:val="en-CA"/>
        </w:rPr>
        <w:t xml:space="preserve"> </w:t>
      </w:r>
      <w:r w:rsidR="00C85CBA" w:rsidRPr="009819CA">
        <w:rPr>
          <w:lang w:val="en-CA"/>
        </w:rPr>
        <w:t>had lost a parent</w:t>
      </w:r>
      <w:r w:rsidR="007B20B9" w:rsidRPr="009819CA">
        <w:rPr>
          <w:lang w:val="en-CA"/>
        </w:rPr>
        <w:t>. Th</w:t>
      </w:r>
      <w:r w:rsidR="00EA478E" w:rsidRPr="009819CA">
        <w:rPr>
          <w:lang w:val="en-CA"/>
        </w:rPr>
        <w:t>e</w:t>
      </w:r>
      <w:r w:rsidR="007B20B9" w:rsidRPr="009819CA">
        <w:rPr>
          <w:lang w:val="en-CA"/>
        </w:rPr>
        <w:t xml:space="preserve"> </w:t>
      </w:r>
      <w:r w:rsidRPr="009819CA">
        <w:rPr>
          <w:lang w:val="en-CA"/>
        </w:rPr>
        <w:t xml:space="preserve">discussion </w:t>
      </w:r>
      <w:r w:rsidR="007B20B9" w:rsidRPr="009819CA">
        <w:rPr>
          <w:lang w:val="en-CA"/>
        </w:rPr>
        <w:t xml:space="preserve">made the victim emotional and she phoned her mother, who offered to come and pick her up. The victim </w:t>
      </w:r>
      <w:r w:rsidR="002D479A" w:rsidRPr="009819CA">
        <w:rPr>
          <w:lang w:val="en-CA"/>
        </w:rPr>
        <w:t xml:space="preserve">replied that </w:t>
      </w:r>
      <w:r w:rsidR="007B20B9" w:rsidRPr="009819CA">
        <w:rPr>
          <w:lang w:val="en-CA"/>
        </w:rPr>
        <w:t>it was not necessary</w:t>
      </w:r>
      <w:r w:rsidR="00EA478E" w:rsidRPr="009819CA">
        <w:rPr>
          <w:lang w:val="en-CA"/>
        </w:rPr>
        <w:t>,</w:t>
      </w:r>
      <w:r w:rsidR="007B20B9" w:rsidRPr="009819CA">
        <w:rPr>
          <w:lang w:val="en-CA"/>
        </w:rPr>
        <w:t xml:space="preserve"> and the accused also reassured </w:t>
      </w:r>
      <w:r w:rsidR="002D479A" w:rsidRPr="009819CA">
        <w:rPr>
          <w:lang w:val="en-CA"/>
        </w:rPr>
        <w:t>t</w:t>
      </w:r>
      <w:r w:rsidR="007B20B9" w:rsidRPr="009819CA">
        <w:rPr>
          <w:lang w:val="en-CA"/>
        </w:rPr>
        <w:t>he mother</w:t>
      </w:r>
      <w:r w:rsidRPr="009819CA">
        <w:rPr>
          <w:lang w:val="en-CA"/>
        </w:rPr>
        <w:t xml:space="preserve">. </w:t>
      </w:r>
    </w:p>
    <w:p w14:paraId="1F43434F" w14:textId="4572918E" w:rsidR="00675B0D" w:rsidRPr="009819CA" w:rsidRDefault="00675B0D" w:rsidP="00675B0D">
      <w:pPr>
        <w:pStyle w:val="Citationenretrait"/>
        <w:rPr>
          <w:lang w:val="en-CA"/>
        </w:rPr>
      </w:pPr>
      <w:r w:rsidRPr="009819CA">
        <w:rPr>
          <w:lang w:val="en-CA"/>
        </w:rPr>
        <w:t>[10]</w:t>
      </w:r>
      <w:r w:rsidR="00253A14" w:rsidRPr="009819CA">
        <w:rPr>
          <w:lang w:val="en-CA"/>
        </w:rPr>
        <w:t>  </w:t>
      </w:r>
      <w:r w:rsidR="007B20B9" w:rsidRPr="009819CA">
        <w:rPr>
          <w:lang w:val="en-CA"/>
        </w:rPr>
        <w:t xml:space="preserve">A </w:t>
      </w:r>
      <w:r w:rsidR="002D479A" w:rsidRPr="009819CA">
        <w:rPr>
          <w:lang w:val="en-CA"/>
        </w:rPr>
        <w:t xml:space="preserve">little </w:t>
      </w:r>
      <w:r w:rsidR="007B20B9" w:rsidRPr="009819CA">
        <w:rPr>
          <w:lang w:val="en-CA"/>
        </w:rPr>
        <w:t xml:space="preserve">later, the victim went into the bedroom </w:t>
      </w:r>
      <w:r w:rsidR="002D479A" w:rsidRPr="009819CA">
        <w:rPr>
          <w:lang w:val="en-CA"/>
        </w:rPr>
        <w:t>of</w:t>
      </w:r>
      <w:r w:rsidR="006F4132" w:rsidRPr="009819CA">
        <w:rPr>
          <w:lang w:val="en-CA"/>
        </w:rPr>
        <w:t xml:space="preserve"> the </w:t>
      </w:r>
      <w:r w:rsidR="002D479A" w:rsidRPr="009819CA">
        <w:rPr>
          <w:lang w:val="en-CA"/>
        </w:rPr>
        <w:t xml:space="preserve">apartment </w:t>
      </w:r>
      <w:r w:rsidR="006F4132" w:rsidRPr="009819CA">
        <w:rPr>
          <w:lang w:val="en-CA"/>
        </w:rPr>
        <w:t>tenant</w:t>
      </w:r>
      <w:r w:rsidR="007B20B9" w:rsidRPr="009819CA">
        <w:rPr>
          <w:lang w:val="en-CA"/>
        </w:rPr>
        <w:t xml:space="preserve">. She </w:t>
      </w:r>
      <w:r w:rsidR="002D479A" w:rsidRPr="009819CA">
        <w:rPr>
          <w:lang w:val="en-CA"/>
        </w:rPr>
        <w:t>lay down on</w:t>
      </w:r>
      <w:r w:rsidR="007B20B9" w:rsidRPr="009819CA">
        <w:rPr>
          <w:lang w:val="en-CA"/>
        </w:rPr>
        <w:t xml:space="preserve"> his bed beside him. She was on her back, fully clothed and on top of the blankets. She fell asleep</w:t>
      </w:r>
      <w:r w:rsidR="002D479A" w:rsidRPr="009819CA">
        <w:rPr>
          <w:lang w:val="en-CA"/>
        </w:rPr>
        <w:t>.</w:t>
      </w:r>
      <w:r w:rsidR="007B20B9" w:rsidRPr="009819CA">
        <w:rPr>
          <w:lang w:val="en-CA"/>
        </w:rPr>
        <w:t xml:space="preserve"> </w:t>
      </w:r>
      <w:r w:rsidR="002D479A" w:rsidRPr="009819CA">
        <w:rPr>
          <w:lang w:val="en-CA"/>
        </w:rPr>
        <w:t>T</w:t>
      </w:r>
      <w:r w:rsidR="007B20B9" w:rsidRPr="009819CA">
        <w:rPr>
          <w:lang w:val="en-CA"/>
        </w:rPr>
        <w:t>he accused was not in the bedroom</w:t>
      </w:r>
      <w:r w:rsidRPr="009819CA">
        <w:rPr>
          <w:lang w:val="en-CA"/>
        </w:rPr>
        <w:t>.</w:t>
      </w:r>
    </w:p>
    <w:p w14:paraId="7279E598" w14:textId="30D15C20" w:rsidR="00675B0D" w:rsidRPr="009819CA" w:rsidRDefault="00675B0D" w:rsidP="00675B0D">
      <w:pPr>
        <w:pStyle w:val="Citationenretrait"/>
        <w:rPr>
          <w:lang w:val="en-CA"/>
        </w:rPr>
      </w:pPr>
      <w:r w:rsidRPr="009819CA">
        <w:rPr>
          <w:lang w:val="en-CA"/>
        </w:rPr>
        <w:t>[11]</w:t>
      </w:r>
      <w:r w:rsidR="00253A14" w:rsidRPr="009819CA">
        <w:rPr>
          <w:lang w:val="en-CA"/>
        </w:rPr>
        <w:t>  </w:t>
      </w:r>
      <w:r w:rsidR="007B20B9" w:rsidRPr="009819CA">
        <w:rPr>
          <w:lang w:val="en-CA"/>
        </w:rPr>
        <w:t xml:space="preserve">The victim </w:t>
      </w:r>
      <w:proofErr w:type="gramStart"/>
      <w:r w:rsidR="007B20B9" w:rsidRPr="009819CA">
        <w:rPr>
          <w:lang w:val="en-CA"/>
        </w:rPr>
        <w:t>was awakened</w:t>
      </w:r>
      <w:proofErr w:type="gramEnd"/>
      <w:r w:rsidR="007B20B9" w:rsidRPr="009819CA">
        <w:rPr>
          <w:lang w:val="en-CA"/>
        </w:rPr>
        <w:t xml:space="preserve"> by the light from a camera. S</w:t>
      </w:r>
      <w:r w:rsidR="006F4132" w:rsidRPr="009819CA">
        <w:rPr>
          <w:lang w:val="en-CA"/>
        </w:rPr>
        <w:t>he felt fingers moving back</w:t>
      </w:r>
      <w:r w:rsidR="007B20B9" w:rsidRPr="009819CA">
        <w:rPr>
          <w:lang w:val="en-CA"/>
        </w:rPr>
        <w:t xml:space="preserve"> and for</w:t>
      </w:r>
      <w:r w:rsidR="002D479A" w:rsidRPr="009819CA">
        <w:rPr>
          <w:lang w:val="en-CA"/>
        </w:rPr>
        <w:t>th</w:t>
      </w:r>
      <w:r w:rsidR="007B20B9" w:rsidRPr="009819CA">
        <w:rPr>
          <w:lang w:val="en-CA"/>
        </w:rPr>
        <w:t xml:space="preserve"> in her </w:t>
      </w:r>
      <w:r w:rsidRPr="009819CA">
        <w:rPr>
          <w:lang w:val="en-CA"/>
        </w:rPr>
        <w:t>vagin</w:t>
      </w:r>
      <w:r w:rsidR="007B20B9" w:rsidRPr="009819CA">
        <w:rPr>
          <w:lang w:val="en-CA"/>
        </w:rPr>
        <w:t xml:space="preserve">a. She also </w:t>
      </w:r>
      <w:r w:rsidR="002D479A" w:rsidRPr="009819CA">
        <w:rPr>
          <w:lang w:val="en-CA"/>
        </w:rPr>
        <w:t xml:space="preserve">realized </w:t>
      </w:r>
      <w:r w:rsidR="007B20B9" w:rsidRPr="009819CA">
        <w:rPr>
          <w:lang w:val="en-CA"/>
        </w:rPr>
        <w:t xml:space="preserve">that her </w:t>
      </w:r>
      <w:r w:rsidR="002D479A" w:rsidRPr="009819CA">
        <w:rPr>
          <w:lang w:val="en-CA"/>
        </w:rPr>
        <w:t>camisole</w:t>
      </w:r>
      <w:r w:rsidR="007B20B9" w:rsidRPr="009819CA">
        <w:rPr>
          <w:lang w:val="en-CA"/>
        </w:rPr>
        <w:t xml:space="preserve"> </w:t>
      </w:r>
      <w:proofErr w:type="gramStart"/>
      <w:r w:rsidR="007B20B9" w:rsidRPr="009819CA">
        <w:rPr>
          <w:lang w:val="en-CA"/>
        </w:rPr>
        <w:t xml:space="preserve">was </w:t>
      </w:r>
      <w:r w:rsidR="002D479A" w:rsidRPr="009819CA">
        <w:rPr>
          <w:lang w:val="en-CA"/>
        </w:rPr>
        <w:t>pulled</w:t>
      </w:r>
      <w:proofErr w:type="gramEnd"/>
      <w:r w:rsidR="002D479A" w:rsidRPr="009819CA">
        <w:rPr>
          <w:lang w:val="en-CA"/>
        </w:rPr>
        <w:t xml:space="preserve"> </w:t>
      </w:r>
      <w:r w:rsidR="007B20B9" w:rsidRPr="009819CA">
        <w:rPr>
          <w:lang w:val="en-CA"/>
        </w:rPr>
        <w:t xml:space="preserve">up and her bra </w:t>
      </w:r>
      <w:r w:rsidR="00201276" w:rsidRPr="009819CA">
        <w:rPr>
          <w:lang w:val="en-CA"/>
        </w:rPr>
        <w:t xml:space="preserve">was </w:t>
      </w:r>
      <w:r w:rsidR="007B20B9" w:rsidRPr="009819CA">
        <w:rPr>
          <w:lang w:val="en-CA"/>
        </w:rPr>
        <w:t>un</w:t>
      </w:r>
      <w:r w:rsidR="00201276" w:rsidRPr="009819CA">
        <w:rPr>
          <w:lang w:val="en-CA"/>
        </w:rPr>
        <w:t>hooked</w:t>
      </w:r>
      <w:r w:rsidR="007B20B9" w:rsidRPr="009819CA">
        <w:rPr>
          <w:lang w:val="en-CA"/>
        </w:rPr>
        <w:t xml:space="preserve"> in the front</w:t>
      </w:r>
      <w:r w:rsidRPr="009819CA">
        <w:rPr>
          <w:lang w:val="en-CA"/>
        </w:rPr>
        <w:t>.</w:t>
      </w:r>
    </w:p>
    <w:p w14:paraId="4969E564" w14:textId="4FB9E175" w:rsidR="00675B0D" w:rsidRPr="009819CA" w:rsidRDefault="00675B0D" w:rsidP="00675B0D">
      <w:pPr>
        <w:pStyle w:val="Citationenretrait"/>
        <w:rPr>
          <w:lang w:val="en-CA"/>
        </w:rPr>
      </w:pPr>
      <w:r w:rsidRPr="009819CA">
        <w:rPr>
          <w:lang w:val="en-CA"/>
        </w:rPr>
        <w:t>[12]</w:t>
      </w:r>
      <w:r w:rsidR="00253A14" w:rsidRPr="009819CA">
        <w:rPr>
          <w:lang w:val="en-CA"/>
        </w:rPr>
        <w:t>  </w:t>
      </w:r>
      <w:r w:rsidR="007B20B9" w:rsidRPr="009819CA">
        <w:rPr>
          <w:lang w:val="en-CA"/>
        </w:rPr>
        <w:t>She panicked</w:t>
      </w:r>
      <w:r w:rsidRPr="009819CA">
        <w:rPr>
          <w:lang w:val="en-CA"/>
        </w:rPr>
        <w:t xml:space="preserve">. </w:t>
      </w:r>
      <w:r w:rsidR="007B20B9" w:rsidRPr="009819CA">
        <w:rPr>
          <w:lang w:val="en-CA"/>
        </w:rPr>
        <w:t xml:space="preserve">She moved </w:t>
      </w:r>
      <w:r w:rsidR="002D479A" w:rsidRPr="009819CA">
        <w:rPr>
          <w:lang w:val="en-CA"/>
        </w:rPr>
        <w:t>a little</w:t>
      </w:r>
      <w:r w:rsidR="007B20B9" w:rsidRPr="009819CA">
        <w:rPr>
          <w:lang w:val="en-CA"/>
        </w:rPr>
        <w:t xml:space="preserve"> and the accused </w:t>
      </w:r>
      <w:r w:rsidR="002D479A" w:rsidRPr="009819CA">
        <w:rPr>
          <w:lang w:val="en-CA"/>
        </w:rPr>
        <w:t xml:space="preserve">removed </w:t>
      </w:r>
      <w:r w:rsidR="007B20B9" w:rsidRPr="009819CA">
        <w:rPr>
          <w:lang w:val="en-CA"/>
        </w:rPr>
        <w:t xml:space="preserve">his fingers </w:t>
      </w:r>
      <w:r w:rsidR="002D479A" w:rsidRPr="009819CA">
        <w:rPr>
          <w:lang w:val="en-CA"/>
        </w:rPr>
        <w:t xml:space="preserve">from </w:t>
      </w:r>
      <w:r w:rsidR="007B20B9" w:rsidRPr="009819CA">
        <w:rPr>
          <w:lang w:val="en-CA"/>
        </w:rPr>
        <w:t xml:space="preserve">her </w:t>
      </w:r>
      <w:r w:rsidRPr="009819CA">
        <w:rPr>
          <w:lang w:val="en-CA"/>
        </w:rPr>
        <w:t>vagin</w:t>
      </w:r>
      <w:r w:rsidR="007B20B9" w:rsidRPr="009819CA">
        <w:rPr>
          <w:lang w:val="en-CA"/>
        </w:rPr>
        <w:t>a</w:t>
      </w:r>
      <w:r w:rsidRPr="009819CA">
        <w:rPr>
          <w:lang w:val="en-CA"/>
        </w:rPr>
        <w:t xml:space="preserve">. </w:t>
      </w:r>
      <w:r w:rsidR="007B20B9" w:rsidRPr="009819CA">
        <w:rPr>
          <w:lang w:val="en-CA"/>
        </w:rPr>
        <w:t xml:space="preserve">She got up, fastened her bra, pulled down her </w:t>
      </w:r>
      <w:r w:rsidR="002D479A" w:rsidRPr="009819CA">
        <w:rPr>
          <w:lang w:val="en-CA"/>
        </w:rPr>
        <w:t xml:space="preserve">camisole </w:t>
      </w:r>
      <w:r w:rsidR="007B20B9" w:rsidRPr="009819CA">
        <w:rPr>
          <w:lang w:val="en-CA"/>
        </w:rPr>
        <w:t>and went to the kitchen, where she lay down on the floor.</w:t>
      </w:r>
    </w:p>
    <w:p w14:paraId="7E91F9D4" w14:textId="67623635" w:rsidR="00675B0D" w:rsidRPr="009819CA" w:rsidRDefault="00675B0D" w:rsidP="00675B0D">
      <w:pPr>
        <w:pStyle w:val="Citationenretrait"/>
        <w:rPr>
          <w:lang w:val="en-CA"/>
        </w:rPr>
      </w:pPr>
      <w:r w:rsidRPr="009819CA">
        <w:rPr>
          <w:lang w:val="en-CA"/>
        </w:rPr>
        <w:t>[13]</w:t>
      </w:r>
      <w:r w:rsidR="00253A14" w:rsidRPr="009819CA">
        <w:rPr>
          <w:lang w:val="en-CA"/>
        </w:rPr>
        <w:t>  </w:t>
      </w:r>
      <w:r w:rsidR="007B20B9" w:rsidRPr="009819CA">
        <w:rPr>
          <w:lang w:val="en-CA"/>
        </w:rPr>
        <w:t xml:space="preserve">The accused found her there. He took her in his arms and </w:t>
      </w:r>
      <w:r w:rsidR="00201276" w:rsidRPr="009819CA">
        <w:rPr>
          <w:lang w:val="en-CA"/>
        </w:rPr>
        <w:t>brought</w:t>
      </w:r>
      <w:r w:rsidR="007B20B9" w:rsidRPr="009819CA">
        <w:rPr>
          <w:lang w:val="en-CA"/>
        </w:rPr>
        <w:t xml:space="preserve"> her back to the bed in the bedroom. She </w:t>
      </w:r>
      <w:r w:rsidR="002D479A" w:rsidRPr="009819CA">
        <w:rPr>
          <w:lang w:val="en-CA"/>
        </w:rPr>
        <w:t>finally fell back</w:t>
      </w:r>
      <w:r w:rsidR="007B20B9" w:rsidRPr="009819CA">
        <w:rPr>
          <w:lang w:val="en-CA"/>
        </w:rPr>
        <w:t xml:space="preserve"> </w:t>
      </w:r>
      <w:r w:rsidR="002D479A" w:rsidRPr="009819CA">
        <w:rPr>
          <w:lang w:val="en-CA"/>
        </w:rPr>
        <w:t>a</w:t>
      </w:r>
      <w:r w:rsidR="007B20B9" w:rsidRPr="009819CA">
        <w:rPr>
          <w:lang w:val="en-CA"/>
        </w:rPr>
        <w:t>sleep</w:t>
      </w:r>
      <w:r w:rsidR="00EA478E" w:rsidRPr="009819CA">
        <w:rPr>
          <w:lang w:val="en-CA"/>
        </w:rPr>
        <w:t>,</w:t>
      </w:r>
      <w:r w:rsidR="007B20B9" w:rsidRPr="009819CA">
        <w:rPr>
          <w:lang w:val="en-CA"/>
        </w:rPr>
        <w:t xml:space="preserve"> and when she woke </w:t>
      </w:r>
      <w:r w:rsidR="002D479A" w:rsidRPr="009819CA">
        <w:rPr>
          <w:lang w:val="en-CA"/>
        </w:rPr>
        <w:t xml:space="preserve">up, </w:t>
      </w:r>
      <w:r w:rsidR="007B20B9" w:rsidRPr="009819CA">
        <w:rPr>
          <w:lang w:val="en-CA"/>
        </w:rPr>
        <w:t xml:space="preserve">she </w:t>
      </w:r>
      <w:r w:rsidR="002D479A" w:rsidRPr="009819CA">
        <w:rPr>
          <w:lang w:val="en-CA"/>
        </w:rPr>
        <w:t xml:space="preserve">understood </w:t>
      </w:r>
      <w:r w:rsidR="007B20B9" w:rsidRPr="009819CA">
        <w:rPr>
          <w:lang w:val="en-CA"/>
        </w:rPr>
        <w:t xml:space="preserve">what had happened to her during the night. </w:t>
      </w:r>
    </w:p>
    <w:p w14:paraId="412A2550" w14:textId="5E2FAA85" w:rsidR="00675B0D" w:rsidRPr="009819CA" w:rsidRDefault="00675B0D" w:rsidP="00675B0D">
      <w:pPr>
        <w:pStyle w:val="Citationenretrait"/>
        <w:rPr>
          <w:lang w:val="en-CA"/>
        </w:rPr>
      </w:pPr>
      <w:r w:rsidRPr="009819CA">
        <w:rPr>
          <w:lang w:val="en-CA"/>
        </w:rPr>
        <w:t>[14]</w:t>
      </w:r>
      <w:r w:rsidR="00253A14" w:rsidRPr="009819CA">
        <w:rPr>
          <w:lang w:val="en-CA"/>
        </w:rPr>
        <w:t>  </w:t>
      </w:r>
      <w:r w:rsidR="004B76B2" w:rsidRPr="009819CA">
        <w:rPr>
          <w:lang w:val="en-CA"/>
        </w:rPr>
        <w:t xml:space="preserve">She called her </w:t>
      </w:r>
      <w:r w:rsidR="002D479A" w:rsidRPr="009819CA">
        <w:rPr>
          <w:lang w:val="en-CA"/>
        </w:rPr>
        <w:t xml:space="preserve">spouse </w:t>
      </w:r>
      <w:r w:rsidR="004B76B2" w:rsidRPr="009819CA">
        <w:rPr>
          <w:lang w:val="en-CA"/>
        </w:rPr>
        <w:t xml:space="preserve">and told him she thought the accused had taken </w:t>
      </w:r>
      <w:r w:rsidRPr="009819CA">
        <w:rPr>
          <w:lang w:val="en-CA"/>
        </w:rPr>
        <w:t xml:space="preserve">photos </w:t>
      </w:r>
      <w:r w:rsidR="004B76B2" w:rsidRPr="009819CA">
        <w:rPr>
          <w:lang w:val="en-CA"/>
        </w:rPr>
        <w:t>of her while she was sleeping.</w:t>
      </w:r>
    </w:p>
    <w:p w14:paraId="0602335A" w14:textId="3D9DC47E" w:rsidR="00675B0D" w:rsidRPr="009819CA" w:rsidRDefault="00675B0D" w:rsidP="00675B0D">
      <w:pPr>
        <w:pStyle w:val="Citationenretrait"/>
        <w:rPr>
          <w:lang w:val="en-CA"/>
        </w:rPr>
      </w:pPr>
      <w:r w:rsidRPr="009819CA">
        <w:rPr>
          <w:lang w:val="en-CA"/>
        </w:rPr>
        <w:lastRenderedPageBreak/>
        <w:t>[15]</w:t>
      </w:r>
      <w:r w:rsidR="00253A14" w:rsidRPr="009819CA">
        <w:rPr>
          <w:lang w:val="en-CA"/>
        </w:rPr>
        <w:t>  </w:t>
      </w:r>
      <w:r w:rsidR="004B76B2" w:rsidRPr="009819CA">
        <w:rPr>
          <w:lang w:val="en-CA"/>
        </w:rPr>
        <w:t xml:space="preserve">The victim’s </w:t>
      </w:r>
      <w:r w:rsidR="00FB58B5" w:rsidRPr="009819CA">
        <w:rPr>
          <w:lang w:val="en-CA"/>
        </w:rPr>
        <w:t xml:space="preserve">spouse </w:t>
      </w:r>
      <w:r w:rsidR="004B76B2" w:rsidRPr="009819CA">
        <w:rPr>
          <w:lang w:val="en-CA"/>
        </w:rPr>
        <w:t>confronted the accused via text messages</w:t>
      </w:r>
      <w:r w:rsidRPr="009819CA">
        <w:rPr>
          <w:lang w:val="en-CA"/>
        </w:rPr>
        <w:t xml:space="preserve">. </w:t>
      </w:r>
      <w:r w:rsidR="004B76B2" w:rsidRPr="009819CA">
        <w:rPr>
          <w:lang w:val="en-CA"/>
        </w:rPr>
        <w:t xml:space="preserve">The accused quickly </w:t>
      </w:r>
      <w:r w:rsidR="00FB58B5" w:rsidRPr="009819CA">
        <w:rPr>
          <w:lang w:val="en-CA"/>
        </w:rPr>
        <w:t>joined</w:t>
      </w:r>
      <w:r w:rsidR="004B76B2" w:rsidRPr="009819CA">
        <w:rPr>
          <w:lang w:val="en-CA"/>
        </w:rPr>
        <w:t xml:space="preserve"> the victim in the bedroom and threw his phone at her, telling her to look. Without looking at the phone</w:t>
      </w:r>
      <w:r w:rsidR="00FB58B5" w:rsidRPr="009819CA">
        <w:rPr>
          <w:lang w:val="en-CA"/>
        </w:rPr>
        <w:t>,</w:t>
      </w:r>
      <w:r w:rsidR="004B76B2" w:rsidRPr="009819CA">
        <w:rPr>
          <w:lang w:val="en-CA"/>
        </w:rPr>
        <w:t xml:space="preserve"> she asked him to leave, which he did.</w:t>
      </w:r>
    </w:p>
    <w:p w14:paraId="1D78B620" w14:textId="181367AE" w:rsidR="00675B0D" w:rsidRPr="009819CA" w:rsidRDefault="00675B0D" w:rsidP="00675B0D">
      <w:pPr>
        <w:pStyle w:val="Citationenretrait"/>
        <w:rPr>
          <w:lang w:val="en-CA"/>
        </w:rPr>
      </w:pPr>
      <w:r w:rsidRPr="009819CA">
        <w:rPr>
          <w:lang w:val="en-CA"/>
        </w:rPr>
        <w:t>[16]</w:t>
      </w:r>
      <w:r w:rsidR="00253A14" w:rsidRPr="009819CA">
        <w:rPr>
          <w:lang w:val="en-CA"/>
        </w:rPr>
        <w:t>  </w:t>
      </w:r>
      <w:r w:rsidR="00FB58B5" w:rsidRPr="009819CA">
        <w:rPr>
          <w:lang w:val="en-CA"/>
        </w:rPr>
        <w:t xml:space="preserve">A few days later, one of </w:t>
      </w:r>
      <w:r w:rsidR="004B76B2" w:rsidRPr="009819CA">
        <w:rPr>
          <w:lang w:val="en-CA"/>
        </w:rPr>
        <w:t>the accused</w:t>
      </w:r>
      <w:r w:rsidR="00FB58B5" w:rsidRPr="009819CA">
        <w:rPr>
          <w:lang w:val="en-CA"/>
        </w:rPr>
        <w:t>’s friends</w:t>
      </w:r>
      <w:r w:rsidR="004B76B2" w:rsidRPr="009819CA">
        <w:rPr>
          <w:lang w:val="en-CA"/>
        </w:rPr>
        <w:t xml:space="preserve">, </w:t>
      </w:r>
      <w:r w:rsidR="00201276" w:rsidRPr="009819CA">
        <w:rPr>
          <w:lang w:val="en-CA"/>
        </w:rPr>
        <w:t xml:space="preserve">aware of </w:t>
      </w:r>
      <w:r w:rsidR="00FB58B5" w:rsidRPr="009819CA">
        <w:rPr>
          <w:lang w:val="en-CA"/>
        </w:rPr>
        <w:t>this</w:t>
      </w:r>
      <w:r w:rsidR="004B76B2" w:rsidRPr="009819CA">
        <w:rPr>
          <w:lang w:val="en-CA"/>
        </w:rPr>
        <w:t xml:space="preserve"> </w:t>
      </w:r>
      <w:r w:rsidR="00FB58B5" w:rsidRPr="009819CA">
        <w:rPr>
          <w:lang w:val="en-CA"/>
        </w:rPr>
        <w:t>incident</w:t>
      </w:r>
      <w:r w:rsidR="004B76B2" w:rsidRPr="009819CA">
        <w:rPr>
          <w:lang w:val="en-CA"/>
        </w:rPr>
        <w:t>, looked at the accused’s phone</w:t>
      </w:r>
      <w:r w:rsidR="006F4132" w:rsidRPr="009819CA">
        <w:rPr>
          <w:lang w:val="en-CA"/>
        </w:rPr>
        <w:t>. H</w:t>
      </w:r>
      <w:r w:rsidR="004B76B2" w:rsidRPr="009819CA">
        <w:rPr>
          <w:lang w:val="en-CA"/>
        </w:rPr>
        <w:t>e</w:t>
      </w:r>
      <w:r w:rsidR="006F4132" w:rsidRPr="009819CA">
        <w:rPr>
          <w:lang w:val="en-CA"/>
        </w:rPr>
        <w:t xml:space="preserve"> f</w:t>
      </w:r>
      <w:r w:rsidR="004B76B2" w:rsidRPr="009819CA">
        <w:rPr>
          <w:lang w:val="en-CA"/>
        </w:rPr>
        <w:t>ound photos of a woman’s private parts</w:t>
      </w:r>
      <w:r w:rsidR="006F4132" w:rsidRPr="009819CA">
        <w:rPr>
          <w:lang w:val="en-CA"/>
        </w:rPr>
        <w:t xml:space="preserve"> in the device’s </w:t>
      </w:r>
      <w:r w:rsidR="004A17E7" w:rsidRPr="009819CA">
        <w:rPr>
          <w:lang w:val="en-CA"/>
        </w:rPr>
        <w:t>trash</w:t>
      </w:r>
      <w:r w:rsidR="00FB58B5" w:rsidRPr="009819CA">
        <w:rPr>
          <w:lang w:val="en-CA"/>
        </w:rPr>
        <w:t xml:space="preserve"> bin</w:t>
      </w:r>
      <w:r w:rsidR="004B76B2" w:rsidRPr="009819CA">
        <w:rPr>
          <w:lang w:val="en-CA"/>
        </w:rPr>
        <w:t xml:space="preserve">. He told the victim, who </w:t>
      </w:r>
      <w:r w:rsidR="00FB58B5" w:rsidRPr="009819CA">
        <w:rPr>
          <w:lang w:val="en-CA"/>
        </w:rPr>
        <w:t xml:space="preserve">filed </w:t>
      </w:r>
      <w:r w:rsidR="004B76B2" w:rsidRPr="009819CA">
        <w:rPr>
          <w:lang w:val="en-CA"/>
        </w:rPr>
        <w:t>an official complaint</w:t>
      </w:r>
      <w:r w:rsidR="00FB58B5" w:rsidRPr="009819CA">
        <w:rPr>
          <w:lang w:val="en-CA"/>
        </w:rPr>
        <w:t xml:space="preserve"> with the police</w:t>
      </w:r>
      <w:r w:rsidR="004B76B2" w:rsidRPr="009819CA">
        <w:rPr>
          <w:lang w:val="en-CA"/>
        </w:rPr>
        <w:t xml:space="preserve">. </w:t>
      </w:r>
    </w:p>
    <w:p w14:paraId="3AEFA678" w14:textId="7D7131DE" w:rsidR="00675B0D" w:rsidRPr="009819CA" w:rsidRDefault="00675B0D" w:rsidP="00675B0D">
      <w:pPr>
        <w:pStyle w:val="Citationenretrait"/>
        <w:rPr>
          <w:lang w:val="en-CA"/>
        </w:rPr>
      </w:pPr>
      <w:r w:rsidRPr="009819CA">
        <w:rPr>
          <w:lang w:val="en-CA"/>
        </w:rPr>
        <w:t>[17]</w:t>
      </w:r>
      <w:r w:rsidR="00253A14" w:rsidRPr="009819CA">
        <w:rPr>
          <w:lang w:val="en-CA"/>
        </w:rPr>
        <w:t>  </w:t>
      </w:r>
      <w:r w:rsidR="004B76B2" w:rsidRPr="009819CA">
        <w:rPr>
          <w:lang w:val="en-CA"/>
        </w:rPr>
        <w:t>Nine</w:t>
      </w:r>
      <w:r w:rsidRPr="009819CA">
        <w:rPr>
          <w:lang w:val="en-CA"/>
        </w:rPr>
        <w:t xml:space="preserve"> photos </w:t>
      </w:r>
      <w:proofErr w:type="gramStart"/>
      <w:r w:rsidR="004B76B2" w:rsidRPr="009819CA">
        <w:rPr>
          <w:lang w:val="en-CA"/>
        </w:rPr>
        <w:t>were recovered</w:t>
      </w:r>
      <w:proofErr w:type="gramEnd"/>
      <w:r w:rsidR="004B76B2" w:rsidRPr="009819CA">
        <w:rPr>
          <w:lang w:val="en-CA"/>
        </w:rPr>
        <w:t xml:space="preserve"> from the accused’</w:t>
      </w:r>
      <w:r w:rsidRPr="009819CA">
        <w:rPr>
          <w:lang w:val="en-CA"/>
        </w:rPr>
        <w:t>s</w:t>
      </w:r>
      <w:r w:rsidR="004B76B2" w:rsidRPr="009819CA">
        <w:rPr>
          <w:lang w:val="en-CA"/>
        </w:rPr>
        <w:t xml:space="preserve"> cellphone. They </w:t>
      </w:r>
      <w:proofErr w:type="gramStart"/>
      <w:r w:rsidR="004B76B2" w:rsidRPr="009819CA">
        <w:rPr>
          <w:lang w:val="en-CA"/>
        </w:rPr>
        <w:t>were shown</w:t>
      </w:r>
      <w:proofErr w:type="gramEnd"/>
      <w:r w:rsidR="004B76B2" w:rsidRPr="009819CA">
        <w:rPr>
          <w:lang w:val="en-CA"/>
        </w:rPr>
        <w:t xml:space="preserve"> to the victim, who recognized her body</w:t>
      </w:r>
      <w:r w:rsidRPr="009819CA">
        <w:rPr>
          <w:lang w:val="en-CA"/>
        </w:rPr>
        <w:t>.</w:t>
      </w:r>
      <w:r w:rsidRPr="009819CA">
        <w:rPr>
          <w:rStyle w:val="Appelnotedebasdep"/>
          <w:lang w:val="en-CA"/>
        </w:rPr>
        <w:footnoteReference w:id="2"/>
      </w:r>
    </w:p>
    <w:p w14:paraId="16D20FF4" w14:textId="77777777" w:rsidR="00675B0D" w:rsidRPr="009819CA" w:rsidRDefault="004B76B2" w:rsidP="00675B0D">
      <w:pPr>
        <w:pStyle w:val="Citationenretrait"/>
        <w:jc w:val="right"/>
        <w:rPr>
          <w:lang w:val="en-CA"/>
        </w:rPr>
      </w:pPr>
      <w:r w:rsidRPr="009819CA">
        <w:rPr>
          <w:lang w:val="en-CA"/>
        </w:rPr>
        <w:t>[Reference</w:t>
      </w:r>
      <w:r w:rsidR="00675B0D" w:rsidRPr="009819CA">
        <w:rPr>
          <w:lang w:val="en-CA"/>
        </w:rPr>
        <w:t xml:space="preserve"> omi</w:t>
      </w:r>
      <w:r w:rsidRPr="009819CA">
        <w:rPr>
          <w:lang w:val="en-CA"/>
        </w:rPr>
        <w:t>tted</w:t>
      </w:r>
      <w:r w:rsidR="00675B0D" w:rsidRPr="009819CA">
        <w:rPr>
          <w:lang w:val="en-CA"/>
        </w:rPr>
        <w:t>]</w:t>
      </w:r>
    </w:p>
    <w:p w14:paraId="13BACCA0" w14:textId="29E0C3CD" w:rsidR="00812439" w:rsidRPr="009819CA" w:rsidRDefault="00681D7F" w:rsidP="00D81878">
      <w:pPr>
        <w:pStyle w:val="Paragraphe"/>
        <w:rPr>
          <w:lang w:val="en-CA"/>
        </w:rPr>
      </w:pPr>
      <w:r w:rsidRPr="009819CA">
        <w:rPr>
          <w:lang w:val="en-CA"/>
        </w:rPr>
        <w:t>M</w:t>
      </w:r>
      <w:r w:rsidR="004B76B2" w:rsidRPr="009819CA">
        <w:rPr>
          <w:lang w:val="en-CA"/>
        </w:rPr>
        <w:t>r</w:t>
      </w:r>
      <w:r w:rsidRPr="009819CA">
        <w:rPr>
          <w:lang w:val="en-CA"/>
        </w:rPr>
        <w:t xml:space="preserve">. Houle </w:t>
      </w:r>
      <w:proofErr w:type="gramStart"/>
      <w:r w:rsidR="009F57D5" w:rsidRPr="009819CA">
        <w:rPr>
          <w:lang w:val="en-CA"/>
        </w:rPr>
        <w:t xml:space="preserve">was </w:t>
      </w:r>
      <w:r w:rsidR="004A17E7" w:rsidRPr="009819CA">
        <w:rPr>
          <w:lang w:val="en-CA"/>
        </w:rPr>
        <w:t>charged</w:t>
      </w:r>
      <w:proofErr w:type="gramEnd"/>
      <w:r w:rsidR="004A17E7" w:rsidRPr="009819CA">
        <w:rPr>
          <w:lang w:val="en-CA"/>
        </w:rPr>
        <w:t xml:space="preserve"> with </w:t>
      </w:r>
      <w:r w:rsidR="009F57D5" w:rsidRPr="009819CA">
        <w:rPr>
          <w:lang w:val="en-CA"/>
        </w:rPr>
        <w:t>sexual assault</w:t>
      </w:r>
      <w:r w:rsidR="004B76B2" w:rsidRPr="009819CA">
        <w:rPr>
          <w:lang w:val="en-CA"/>
        </w:rPr>
        <w:t xml:space="preserve"> and voyeurism (ss</w:t>
      </w:r>
      <w:r w:rsidRPr="009819CA">
        <w:rPr>
          <w:lang w:val="en-CA"/>
        </w:rPr>
        <w:t>. 271</w:t>
      </w:r>
      <w:r w:rsidR="009F57D5" w:rsidRPr="009819CA">
        <w:rPr>
          <w:lang w:val="en-CA"/>
        </w:rPr>
        <w:t>(</w:t>
      </w:r>
      <w:r w:rsidRPr="009819CA">
        <w:rPr>
          <w:iCs/>
          <w:lang w:val="en-CA"/>
        </w:rPr>
        <w:t>a</w:t>
      </w:r>
      <w:r w:rsidRPr="009819CA">
        <w:rPr>
          <w:lang w:val="en-CA"/>
        </w:rPr>
        <w:t xml:space="preserve">) </w:t>
      </w:r>
      <w:r w:rsidR="004B76B2" w:rsidRPr="009819CA">
        <w:rPr>
          <w:lang w:val="en-CA"/>
        </w:rPr>
        <w:t xml:space="preserve">and </w:t>
      </w:r>
      <w:r w:rsidRPr="009819CA">
        <w:rPr>
          <w:lang w:val="en-CA"/>
        </w:rPr>
        <w:t>162(1)(5)</w:t>
      </w:r>
      <w:r w:rsidR="00F65C05" w:rsidRPr="009819CA">
        <w:rPr>
          <w:lang w:val="en-CA"/>
        </w:rPr>
        <w:t>(</w:t>
      </w:r>
      <w:r w:rsidRPr="009819CA">
        <w:rPr>
          <w:iCs/>
          <w:lang w:val="en-CA"/>
        </w:rPr>
        <w:t>a</w:t>
      </w:r>
      <w:r w:rsidRPr="009819CA">
        <w:rPr>
          <w:lang w:val="en-CA"/>
        </w:rPr>
        <w:t xml:space="preserve">) </w:t>
      </w:r>
      <w:r w:rsidRPr="00BF230D">
        <w:rPr>
          <w:i/>
          <w:iCs/>
          <w:lang w:val="en-CA"/>
        </w:rPr>
        <w:t>C</w:t>
      </w:r>
      <w:r w:rsidR="004B76B2" w:rsidRPr="00BF230D">
        <w:rPr>
          <w:i/>
          <w:iCs/>
          <w:lang w:val="en-CA"/>
        </w:rPr>
        <w:t>r.</w:t>
      </w:r>
      <w:r w:rsidR="00EA478E" w:rsidRPr="00BF230D">
        <w:rPr>
          <w:i/>
          <w:iCs/>
          <w:lang w:val="en-CA"/>
        </w:rPr>
        <w:t xml:space="preserve"> </w:t>
      </w:r>
      <w:r w:rsidR="004B76B2" w:rsidRPr="00BF230D">
        <w:rPr>
          <w:i/>
          <w:iCs/>
          <w:lang w:val="en-CA"/>
        </w:rPr>
        <w:t>C</w:t>
      </w:r>
      <w:r w:rsidRPr="00BF230D">
        <w:rPr>
          <w:i/>
          <w:iCs/>
          <w:lang w:val="en-CA"/>
        </w:rPr>
        <w:t>.</w:t>
      </w:r>
      <w:r w:rsidRPr="009819CA">
        <w:rPr>
          <w:lang w:val="en-CA"/>
        </w:rPr>
        <w:t>)</w:t>
      </w:r>
      <w:r w:rsidR="00F65C05" w:rsidRPr="009819CA">
        <w:rPr>
          <w:lang w:val="en-CA"/>
        </w:rPr>
        <w:t>. He pleaded guilty to th</w:t>
      </w:r>
      <w:r w:rsidR="004A17E7" w:rsidRPr="009819CA">
        <w:rPr>
          <w:lang w:val="en-CA"/>
        </w:rPr>
        <w:t>e</w:t>
      </w:r>
      <w:r w:rsidR="00F65C05" w:rsidRPr="009819CA">
        <w:rPr>
          <w:lang w:val="en-CA"/>
        </w:rPr>
        <w:t xml:space="preserve">se charges on November 21, </w:t>
      </w:r>
      <w:r w:rsidR="00A0445A" w:rsidRPr="009819CA">
        <w:rPr>
          <w:lang w:val="en-CA"/>
        </w:rPr>
        <w:t xml:space="preserve">2021, </w:t>
      </w:r>
      <w:r w:rsidR="00F65C05" w:rsidRPr="009819CA">
        <w:rPr>
          <w:lang w:val="en-CA"/>
        </w:rPr>
        <w:t>more than two years after his first appearance.</w:t>
      </w:r>
    </w:p>
    <w:p w14:paraId="0048C675" w14:textId="7B9453DD" w:rsidR="00655B82" w:rsidRPr="009819CA" w:rsidRDefault="00F65C05" w:rsidP="00D81878">
      <w:pPr>
        <w:pStyle w:val="Paragraphe"/>
        <w:rPr>
          <w:lang w:val="en-CA"/>
        </w:rPr>
      </w:pPr>
      <w:r w:rsidRPr="009819CA">
        <w:rPr>
          <w:lang w:val="en-CA"/>
        </w:rPr>
        <w:t>The victim</w:t>
      </w:r>
      <w:r w:rsidR="00655B82" w:rsidRPr="009819CA">
        <w:rPr>
          <w:lang w:val="en-CA"/>
        </w:rPr>
        <w:t>, M</w:t>
      </w:r>
      <w:r w:rsidRPr="009819CA">
        <w:rPr>
          <w:lang w:val="en-CA"/>
        </w:rPr>
        <w:t>r</w:t>
      </w:r>
      <w:r w:rsidR="00655B82" w:rsidRPr="009819CA">
        <w:rPr>
          <w:lang w:val="en-CA"/>
        </w:rPr>
        <w:t>. Houle</w:t>
      </w:r>
      <w:r w:rsidR="004A17E7" w:rsidRPr="009819CA">
        <w:rPr>
          <w:lang w:val="en-CA"/>
        </w:rPr>
        <w:t>,</w:t>
      </w:r>
      <w:r w:rsidR="00655B82" w:rsidRPr="009819CA">
        <w:rPr>
          <w:lang w:val="en-CA"/>
        </w:rPr>
        <w:t xml:space="preserve"> </w:t>
      </w:r>
      <w:r w:rsidRPr="009819CA">
        <w:rPr>
          <w:lang w:val="en-CA"/>
        </w:rPr>
        <w:t xml:space="preserve">and </w:t>
      </w:r>
      <w:r w:rsidR="00EA478E" w:rsidRPr="009819CA">
        <w:rPr>
          <w:lang w:val="en-CA"/>
        </w:rPr>
        <w:t>Mr. Houle’s</w:t>
      </w:r>
      <w:r w:rsidR="00EA478E" w:rsidRPr="009819CA">
        <w:rPr>
          <w:lang w:val="en-CA"/>
        </w:rPr>
        <w:t xml:space="preserve"> </w:t>
      </w:r>
      <w:r w:rsidRPr="009819CA">
        <w:rPr>
          <w:lang w:val="en-CA"/>
        </w:rPr>
        <w:t>friend testi</w:t>
      </w:r>
      <w:r w:rsidR="006F4132" w:rsidRPr="009819CA">
        <w:rPr>
          <w:lang w:val="en-CA"/>
        </w:rPr>
        <w:t xml:space="preserve">fied at the sentencing </w:t>
      </w:r>
      <w:r w:rsidR="004A17E7" w:rsidRPr="009819CA">
        <w:rPr>
          <w:lang w:val="en-CA"/>
        </w:rPr>
        <w:t>hearing</w:t>
      </w:r>
      <w:r w:rsidR="006F4132" w:rsidRPr="009819CA">
        <w:rPr>
          <w:lang w:val="en-CA"/>
        </w:rPr>
        <w:t>. In</w:t>
      </w:r>
      <w:r w:rsidRPr="009819CA">
        <w:rPr>
          <w:lang w:val="en-CA"/>
        </w:rPr>
        <w:t xml:space="preserve"> addition to the testimony, the judge had a psychotherapy assessment </w:t>
      </w:r>
      <w:r w:rsidR="004A17E7" w:rsidRPr="009819CA">
        <w:rPr>
          <w:lang w:val="en-CA"/>
        </w:rPr>
        <w:t xml:space="preserve">report </w:t>
      </w:r>
      <w:r w:rsidRPr="009819CA">
        <w:rPr>
          <w:lang w:val="en-CA"/>
        </w:rPr>
        <w:t>describing Mr. Houle’s progress since November 2019 and a pre-sentenc</w:t>
      </w:r>
      <w:r w:rsidR="004A17E7" w:rsidRPr="009819CA">
        <w:rPr>
          <w:lang w:val="en-CA"/>
        </w:rPr>
        <w:t>e</w:t>
      </w:r>
      <w:r w:rsidRPr="009819CA">
        <w:rPr>
          <w:lang w:val="en-CA"/>
        </w:rPr>
        <w:t xml:space="preserve"> report dated February 24, </w:t>
      </w:r>
      <w:r w:rsidR="00D848E3" w:rsidRPr="009819CA">
        <w:rPr>
          <w:lang w:val="en-CA"/>
        </w:rPr>
        <w:t>2022.</w:t>
      </w:r>
    </w:p>
    <w:p w14:paraId="02F2300E" w14:textId="223C3F64" w:rsidR="003026C9" w:rsidRPr="009819CA" w:rsidRDefault="00F65C05" w:rsidP="00D81878">
      <w:pPr>
        <w:pStyle w:val="Paragraphe"/>
        <w:rPr>
          <w:lang w:val="en-CA"/>
        </w:rPr>
      </w:pPr>
      <w:r w:rsidRPr="009819CA">
        <w:rPr>
          <w:lang w:val="en-CA"/>
        </w:rPr>
        <w:t xml:space="preserve">During sentencing </w:t>
      </w:r>
      <w:r w:rsidR="004A17E7" w:rsidRPr="009819CA">
        <w:rPr>
          <w:lang w:val="en-CA"/>
        </w:rPr>
        <w:t>submissions</w:t>
      </w:r>
      <w:r w:rsidRPr="009819CA">
        <w:rPr>
          <w:lang w:val="en-CA"/>
        </w:rPr>
        <w:t xml:space="preserve">, the prosecution </w:t>
      </w:r>
      <w:r w:rsidR="004A17E7" w:rsidRPr="009819CA">
        <w:rPr>
          <w:lang w:val="en-CA"/>
        </w:rPr>
        <w:t xml:space="preserve">sought </w:t>
      </w:r>
      <w:r w:rsidRPr="009819CA">
        <w:rPr>
          <w:lang w:val="en-CA"/>
        </w:rPr>
        <w:t>sentences of 12 to 15 months</w:t>
      </w:r>
      <w:r w:rsidR="004A17E7" w:rsidRPr="009819CA">
        <w:rPr>
          <w:lang w:val="en-CA"/>
        </w:rPr>
        <w:t>’ imprisonment</w:t>
      </w:r>
      <w:r w:rsidRPr="009819CA">
        <w:rPr>
          <w:lang w:val="en-CA"/>
        </w:rPr>
        <w:t xml:space="preserve"> on the </w:t>
      </w:r>
      <w:r w:rsidR="00285259" w:rsidRPr="009819CA">
        <w:rPr>
          <w:lang w:val="en-CA"/>
        </w:rPr>
        <w:t xml:space="preserve">count of </w:t>
      </w:r>
      <w:r w:rsidRPr="009819CA">
        <w:rPr>
          <w:lang w:val="en-CA"/>
        </w:rPr>
        <w:t>sexual assault and 3 months</w:t>
      </w:r>
      <w:r w:rsidR="004A17E7" w:rsidRPr="009819CA">
        <w:rPr>
          <w:lang w:val="en-CA"/>
        </w:rPr>
        <w:t>’ imprisonment</w:t>
      </w:r>
      <w:r w:rsidRPr="009819CA">
        <w:rPr>
          <w:lang w:val="en-CA"/>
        </w:rPr>
        <w:t xml:space="preserve"> on the </w:t>
      </w:r>
      <w:r w:rsidR="00285259" w:rsidRPr="009819CA">
        <w:rPr>
          <w:lang w:val="en-CA"/>
        </w:rPr>
        <w:t xml:space="preserve">count of </w:t>
      </w:r>
      <w:r w:rsidRPr="009819CA">
        <w:rPr>
          <w:lang w:val="en-CA"/>
        </w:rPr>
        <w:t xml:space="preserve">voyeurism, for a total sentence of 15 to 18 months. Mr. Houle </w:t>
      </w:r>
      <w:r w:rsidR="004A17E7" w:rsidRPr="009819CA">
        <w:rPr>
          <w:lang w:val="en-CA"/>
        </w:rPr>
        <w:t xml:space="preserve">sought </w:t>
      </w:r>
      <w:r w:rsidRPr="009819CA">
        <w:rPr>
          <w:lang w:val="en-CA"/>
        </w:rPr>
        <w:t>a conditional discharge plus a donation and community service</w:t>
      </w:r>
      <w:r w:rsidR="003026C9" w:rsidRPr="009819CA">
        <w:rPr>
          <w:lang w:val="en-CA"/>
        </w:rPr>
        <w:t>.</w:t>
      </w:r>
    </w:p>
    <w:p w14:paraId="202A2962" w14:textId="4CB18D50" w:rsidR="0053237A" w:rsidRPr="009819CA" w:rsidRDefault="00F65C05" w:rsidP="00D81878">
      <w:pPr>
        <w:pStyle w:val="Paragraphe"/>
        <w:rPr>
          <w:lang w:val="en-CA"/>
        </w:rPr>
      </w:pPr>
      <w:r w:rsidRPr="009819CA">
        <w:rPr>
          <w:lang w:val="en-CA"/>
        </w:rPr>
        <w:t>On June 21, 2022</w:t>
      </w:r>
      <w:r w:rsidR="004A17E7" w:rsidRPr="009819CA">
        <w:rPr>
          <w:lang w:val="en-CA"/>
        </w:rPr>
        <w:t>,</w:t>
      </w:r>
      <w:r w:rsidR="0053237A" w:rsidRPr="009819CA">
        <w:rPr>
          <w:lang w:val="en-CA"/>
        </w:rPr>
        <w:t xml:space="preserve"> </w:t>
      </w:r>
      <w:r w:rsidRPr="009819CA">
        <w:rPr>
          <w:lang w:val="en-CA"/>
        </w:rPr>
        <w:t xml:space="preserve">the judge </w:t>
      </w:r>
      <w:r w:rsidR="004A17E7" w:rsidRPr="009819CA">
        <w:rPr>
          <w:lang w:val="en-CA"/>
        </w:rPr>
        <w:t xml:space="preserve">sentenced him as </w:t>
      </w:r>
      <w:r w:rsidRPr="009819CA">
        <w:rPr>
          <w:lang w:val="en-CA"/>
        </w:rPr>
        <w:t>follows:</w:t>
      </w:r>
    </w:p>
    <w:p w14:paraId="0C826178" w14:textId="77777777" w:rsidR="00F65C05" w:rsidRPr="009819CA" w:rsidRDefault="00F65C05" w:rsidP="00675B0D">
      <w:pPr>
        <w:pStyle w:val="Citationenretrait"/>
        <w:rPr>
          <w:lang w:val="en-CA"/>
        </w:rPr>
      </w:pPr>
      <w:r w:rsidRPr="009819CA">
        <w:rPr>
          <w:lang w:val="en-CA"/>
        </w:rPr>
        <w:t>[</w:t>
      </w:r>
      <w:r w:rsidRPr="009819CA">
        <w:rPr>
          <w:smallCaps/>
          <w:lang w:val="en-CA"/>
        </w:rPr>
        <w:t>translation</w:t>
      </w:r>
      <w:r w:rsidRPr="009819CA">
        <w:rPr>
          <w:lang w:val="en-CA"/>
        </w:rPr>
        <w:t>]</w:t>
      </w:r>
    </w:p>
    <w:p w14:paraId="00E1FA1F" w14:textId="37251193" w:rsidR="00675B0D" w:rsidRPr="009819CA" w:rsidRDefault="00675B0D" w:rsidP="00675B0D">
      <w:pPr>
        <w:pStyle w:val="Citationenretrait"/>
        <w:rPr>
          <w:lang w:val="en-CA"/>
        </w:rPr>
      </w:pPr>
      <w:r w:rsidRPr="009819CA">
        <w:rPr>
          <w:lang w:val="en-CA"/>
        </w:rPr>
        <w:t>[102]</w:t>
      </w:r>
      <w:r w:rsidRPr="009819CA">
        <w:rPr>
          <w:lang w:val="en-CA"/>
        </w:rPr>
        <w:tab/>
      </w:r>
      <w:r w:rsidR="004A17E7" w:rsidRPr="009819CA">
        <w:rPr>
          <w:b/>
          <w:bCs/>
          <w:lang w:val="en-CA"/>
        </w:rPr>
        <w:t>ORDERS</w:t>
      </w:r>
      <w:r w:rsidR="004A17E7" w:rsidRPr="009819CA">
        <w:rPr>
          <w:lang w:val="en-CA"/>
        </w:rPr>
        <w:t xml:space="preserve"> </w:t>
      </w:r>
      <w:r w:rsidR="00F65C05" w:rsidRPr="009819CA">
        <w:rPr>
          <w:lang w:val="en-CA"/>
        </w:rPr>
        <w:t xml:space="preserve">a conditional discharge and </w:t>
      </w:r>
      <w:r w:rsidR="00EA478E" w:rsidRPr="009819CA">
        <w:rPr>
          <w:lang w:val="en-CA"/>
        </w:rPr>
        <w:t xml:space="preserve">3 </w:t>
      </w:r>
      <w:r w:rsidR="00F65C05" w:rsidRPr="009819CA">
        <w:rPr>
          <w:lang w:val="en-CA"/>
        </w:rPr>
        <w:t>year</w:t>
      </w:r>
      <w:r w:rsidR="00285259" w:rsidRPr="009819CA">
        <w:rPr>
          <w:lang w:val="en-CA"/>
        </w:rPr>
        <w:t>s</w:t>
      </w:r>
      <w:r w:rsidR="004A17E7" w:rsidRPr="009819CA">
        <w:rPr>
          <w:lang w:val="en-CA"/>
        </w:rPr>
        <w:t>’</w:t>
      </w:r>
      <w:r w:rsidR="00F65C05" w:rsidRPr="009819CA">
        <w:rPr>
          <w:lang w:val="en-CA"/>
        </w:rPr>
        <w:t xml:space="preserve"> probation </w:t>
      </w:r>
      <w:r w:rsidR="004A17E7" w:rsidRPr="009819CA">
        <w:rPr>
          <w:lang w:val="en-CA"/>
        </w:rPr>
        <w:t>with</w:t>
      </w:r>
      <w:r w:rsidR="00F65C05" w:rsidRPr="009819CA">
        <w:rPr>
          <w:lang w:val="en-CA"/>
        </w:rPr>
        <w:t xml:space="preserve"> the following conditions:</w:t>
      </w:r>
    </w:p>
    <w:p w14:paraId="784537F6" w14:textId="3786BAE5" w:rsidR="00675B0D" w:rsidRPr="009819CA" w:rsidRDefault="00F65C05" w:rsidP="00743B2D">
      <w:pPr>
        <w:pStyle w:val="Citationenretrait"/>
        <w:tabs>
          <w:tab w:val="left" w:pos="1701"/>
        </w:tabs>
        <w:ind w:left="1440"/>
        <w:rPr>
          <w:lang w:val="en-CA"/>
        </w:rPr>
      </w:pPr>
      <w:r w:rsidRPr="009819CA">
        <w:rPr>
          <w:lang w:val="en-CA"/>
        </w:rPr>
        <w:t>•</w:t>
      </w:r>
      <w:r w:rsidRPr="009819CA">
        <w:rPr>
          <w:lang w:val="en-CA"/>
        </w:rPr>
        <w:tab/>
      </w:r>
      <w:r w:rsidR="001604A6" w:rsidRPr="009819CA">
        <w:rPr>
          <w:lang w:val="en-CA"/>
        </w:rPr>
        <w:t>K</w:t>
      </w:r>
      <w:r w:rsidR="00DB5A90" w:rsidRPr="009819CA">
        <w:rPr>
          <w:lang w:val="en-CA"/>
        </w:rPr>
        <w:t xml:space="preserve">eep the peace </w:t>
      </w:r>
      <w:r w:rsidRPr="009819CA">
        <w:rPr>
          <w:lang w:val="en-CA"/>
        </w:rPr>
        <w:t xml:space="preserve">and </w:t>
      </w:r>
      <w:r w:rsidR="00DB5A90" w:rsidRPr="009819CA">
        <w:rPr>
          <w:lang w:val="en-CA"/>
        </w:rPr>
        <w:t xml:space="preserve">be of good </w:t>
      </w:r>
      <w:r w:rsidRPr="009819CA">
        <w:rPr>
          <w:lang w:val="en-CA"/>
        </w:rPr>
        <w:t>behav</w:t>
      </w:r>
      <w:r w:rsidR="00DB5A90" w:rsidRPr="009819CA">
        <w:rPr>
          <w:lang w:val="en-CA"/>
        </w:rPr>
        <w:t>iour</w:t>
      </w:r>
      <w:r w:rsidRPr="009819CA">
        <w:rPr>
          <w:lang w:val="en-CA"/>
        </w:rPr>
        <w:t>;</w:t>
      </w:r>
    </w:p>
    <w:p w14:paraId="1280BF83" w14:textId="796FE0CA" w:rsidR="00675B0D" w:rsidRPr="009819CA" w:rsidRDefault="00675B0D" w:rsidP="00285259">
      <w:pPr>
        <w:pStyle w:val="Citationenretrait"/>
        <w:tabs>
          <w:tab w:val="left" w:pos="1701"/>
        </w:tabs>
        <w:ind w:left="1701" w:hanging="261"/>
        <w:rPr>
          <w:lang w:val="en-CA"/>
        </w:rPr>
      </w:pPr>
      <w:r w:rsidRPr="009819CA">
        <w:rPr>
          <w:lang w:val="en-CA"/>
        </w:rPr>
        <w:t>•</w:t>
      </w:r>
      <w:r w:rsidRPr="009819CA">
        <w:rPr>
          <w:lang w:val="en-CA"/>
        </w:rPr>
        <w:tab/>
      </w:r>
      <w:r w:rsidR="001604A6" w:rsidRPr="009819CA">
        <w:rPr>
          <w:lang w:val="en-CA"/>
        </w:rPr>
        <w:t>A</w:t>
      </w:r>
      <w:r w:rsidR="00DB5A90" w:rsidRPr="009819CA">
        <w:rPr>
          <w:lang w:val="en-CA"/>
        </w:rPr>
        <w:t>ppear before the</w:t>
      </w:r>
      <w:r w:rsidR="00F65C05" w:rsidRPr="009819CA">
        <w:rPr>
          <w:lang w:val="en-CA"/>
        </w:rPr>
        <w:t xml:space="preserve"> court when </w:t>
      </w:r>
      <w:r w:rsidR="00DB5A90" w:rsidRPr="009819CA">
        <w:rPr>
          <w:lang w:val="en-CA"/>
        </w:rPr>
        <w:t>required to do so by the court</w:t>
      </w:r>
      <w:r w:rsidR="00F65C05" w:rsidRPr="009819CA">
        <w:rPr>
          <w:lang w:val="en-CA"/>
        </w:rPr>
        <w:t>;</w:t>
      </w:r>
    </w:p>
    <w:p w14:paraId="703FB178" w14:textId="0505A725" w:rsidR="00675B0D" w:rsidRPr="009819CA" w:rsidRDefault="00675B0D" w:rsidP="00743B2D">
      <w:pPr>
        <w:pStyle w:val="Citationenretrait"/>
        <w:tabs>
          <w:tab w:val="left" w:pos="1701"/>
        </w:tabs>
        <w:ind w:left="1701" w:hanging="261"/>
        <w:rPr>
          <w:lang w:val="en-CA"/>
        </w:rPr>
      </w:pPr>
      <w:r w:rsidRPr="009819CA">
        <w:rPr>
          <w:lang w:val="en-CA"/>
        </w:rPr>
        <w:t>•</w:t>
      </w:r>
      <w:r w:rsidRPr="009819CA">
        <w:rPr>
          <w:lang w:val="en-CA"/>
        </w:rPr>
        <w:tab/>
      </w:r>
      <w:r w:rsidR="001604A6" w:rsidRPr="009819CA">
        <w:rPr>
          <w:lang w:val="en-CA"/>
        </w:rPr>
        <w:t>N</w:t>
      </w:r>
      <w:r w:rsidR="00C86597" w:rsidRPr="009819CA">
        <w:rPr>
          <w:lang w:val="en-CA"/>
        </w:rPr>
        <w:t xml:space="preserve">otify the court or the probation officer </w:t>
      </w:r>
      <w:r w:rsidR="00DB5A90" w:rsidRPr="009819CA">
        <w:rPr>
          <w:lang w:val="en-CA"/>
        </w:rPr>
        <w:t xml:space="preserve">in advance </w:t>
      </w:r>
      <w:r w:rsidR="00C86597" w:rsidRPr="009819CA">
        <w:rPr>
          <w:lang w:val="en-CA"/>
        </w:rPr>
        <w:t xml:space="preserve">of any change of </w:t>
      </w:r>
      <w:r w:rsidR="00DB5A90" w:rsidRPr="009819CA">
        <w:rPr>
          <w:lang w:val="en-CA"/>
        </w:rPr>
        <w:t xml:space="preserve">name or </w:t>
      </w:r>
      <w:r w:rsidR="00C86597" w:rsidRPr="009819CA">
        <w:rPr>
          <w:lang w:val="en-CA"/>
        </w:rPr>
        <w:t xml:space="preserve">address, and promptly </w:t>
      </w:r>
      <w:r w:rsidR="00DB5A90" w:rsidRPr="009819CA">
        <w:rPr>
          <w:lang w:val="en-CA"/>
        </w:rPr>
        <w:t xml:space="preserve">notify of </w:t>
      </w:r>
      <w:r w:rsidR="00C86597" w:rsidRPr="009819CA">
        <w:rPr>
          <w:lang w:val="en-CA"/>
        </w:rPr>
        <w:t xml:space="preserve">any change of employment or </w:t>
      </w:r>
      <w:r w:rsidRPr="009819CA">
        <w:rPr>
          <w:lang w:val="en-CA"/>
        </w:rPr>
        <w:t>occupation;</w:t>
      </w:r>
    </w:p>
    <w:p w14:paraId="5688413A" w14:textId="06C9930F" w:rsidR="00675B0D" w:rsidRPr="009819CA" w:rsidRDefault="00C86597" w:rsidP="00743B2D">
      <w:pPr>
        <w:pStyle w:val="Citationenretrait"/>
        <w:tabs>
          <w:tab w:val="left" w:pos="1701"/>
        </w:tabs>
        <w:ind w:left="1701" w:hanging="261"/>
        <w:rPr>
          <w:lang w:val="en-CA"/>
        </w:rPr>
      </w:pPr>
      <w:r w:rsidRPr="009819CA">
        <w:rPr>
          <w:lang w:val="en-CA"/>
        </w:rPr>
        <w:lastRenderedPageBreak/>
        <w:t>•</w:t>
      </w:r>
      <w:r w:rsidRPr="009819CA">
        <w:rPr>
          <w:lang w:val="en-CA"/>
        </w:rPr>
        <w:tab/>
      </w:r>
      <w:r w:rsidR="001604A6" w:rsidRPr="009819CA">
        <w:rPr>
          <w:lang w:val="en-CA"/>
        </w:rPr>
        <w:t>A</w:t>
      </w:r>
      <w:r w:rsidR="00DB5A90" w:rsidRPr="009819CA">
        <w:rPr>
          <w:lang w:val="en-CA"/>
        </w:rPr>
        <w:t>bstain</w:t>
      </w:r>
      <w:r w:rsidRPr="009819CA">
        <w:rPr>
          <w:lang w:val="en-CA"/>
        </w:rPr>
        <w:t xml:space="preserve"> from </w:t>
      </w:r>
      <w:r w:rsidR="00DB5A90" w:rsidRPr="009819CA">
        <w:rPr>
          <w:lang w:val="en-CA"/>
        </w:rPr>
        <w:t xml:space="preserve">communicating, directly or indirectly, with </w:t>
      </w:r>
      <w:r w:rsidR="00675B0D" w:rsidRPr="009819CA">
        <w:rPr>
          <w:lang w:val="en-CA"/>
        </w:rPr>
        <w:t>L.L.B. (1995-[...])</w:t>
      </w:r>
      <w:r w:rsidRPr="009819CA">
        <w:rPr>
          <w:lang w:val="en-CA"/>
        </w:rPr>
        <w:t xml:space="preserve"> and the members of her immediate family</w:t>
      </w:r>
      <w:r w:rsidR="00675B0D" w:rsidRPr="009819CA">
        <w:rPr>
          <w:lang w:val="en-CA"/>
        </w:rPr>
        <w:t>;</w:t>
      </w:r>
    </w:p>
    <w:p w14:paraId="443B38FE" w14:textId="19A4BD3B" w:rsidR="00675B0D" w:rsidRPr="009819CA" w:rsidRDefault="00C86597" w:rsidP="00743B2D">
      <w:pPr>
        <w:pStyle w:val="Citationenretrait"/>
        <w:tabs>
          <w:tab w:val="left" w:pos="1701"/>
        </w:tabs>
        <w:ind w:left="1701" w:hanging="261"/>
        <w:rPr>
          <w:lang w:val="en-CA"/>
        </w:rPr>
      </w:pPr>
      <w:r w:rsidRPr="009819CA">
        <w:rPr>
          <w:lang w:val="en-CA"/>
        </w:rPr>
        <w:t>•</w:t>
      </w:r>
      <w:r w:rsidRPr="009819CA">
        <w:rPr>
          <w:lang w:val="en-CA"/>
        </w:rPr>
        <w:tab/>
        <w:t xml:space="preserve">Not be in the physical presence of </w:t>
      </w:r>
      <w:r w:rsidR="00675B0D" w:rsidRPr="009819CA">
        <w:rPr>
          <w:lang w:val="en-CA"/>
        </w:rPr>
        <w:t>L.L.B. (1995-[...]);</w:t>
      </w:r>
    </w:p>
    <w:p w14:paraId="2F0649D5" w14:textId="5E6DB36F" w:rsidR="00675B0D" w:rsidRPr="009819CA" w:rsidRDefault="00C86597" w:rsidP="00743B2D">
      <w:pPr>
        <w:pStyle w:val="Citationenretrait"/>
        <w:tabs>
          <w:tab w:val="left" w:pos="1701"/>
        </w:tabs>
        <w:ind w:left="1701" w:hanging="261"/>
        <w:rPr>
          <w:lang w:val="en-CA"/>
        </w:rPr>
      </w:pPr>
      <w:r w:rsidRPr="009819CA">
        <w:rPr>
          <w:lang w:val="en-CA"/>
        </w:rPr>
        <w:t>•</w:t>
      </w:r>
      <w:r w:rsidRPr="009819CA">
        <w:rPr>
          <w:lang w:val="en-CA"/>
        </w:rPr>
        <w:tab/>
        <w:t xml:space="preserve">Not be present </w:t>
      </w:r>
      <w:r w:rsidR="004A17E7" w:rsidRPr="009819CA">
        <w:rPr>
          <w:lang w:val="en-CA"/>
        </w:rPr>
        <w:t>any</w:t>
      </w:r>
      <w:r w:rsidRPr="009819CA">
        <w:rPr>
          <w:lang w:val="en-CA"/>
        </w:rPr>
        <w:t xml:space="preserve">where </w:t>
      </w:r>
      <w:r w:rsidR="00675B0D" w:rsidRPr="009819CA">
        <w:rPr>
          <w:lang w:val="en-CA"/>
        </w:rPr>
        <w:t>L.L.B. (1995-[...])</w:t>
      </w:r>
      <w:r w:rsidRPr="009819CA">
        <w:rPr>
          <w:lang w:val="en-CA"/>
        </w:rPr>
        <w:t xml:space="preserve"> lives, works</w:t>
      </w:r>
      <w:r w:rsidR="004A17E7" w:rsidRPr="009819CA">
        <w:rPr>
          <w:lang w:val="en-CA"/>
        </w:rPr>
        <w:t>,</w:t>
      </w:r>
      <w:r w:rsidRPr="009819CA">
        <w:rPr>
          <w:lang w:val="en-CA"/>
        </w:rPr>
        <w:t xml:space="preserve"> or studies</w:t>
      </w:r>
      <w:r w:rsidR="00675B0D" w:rsidRPr="009819CA">
        <w:rPr>
          <w:lang w:val="en-CA"/>
        </w:rPr>
        <w:t>;</w:t>
      </w:r>
    </w:p>
    <w:p w14:paraId="1F4B36E4" w14:textId="63A2ED1D" w:rsidR="00675B0D" w:rsidRPr="009819CA" w:rsidRDefault="00675B0D" w:rsidP="00743B2D">
      <w:pPr>
        <w:pStyle w:val="Citationenretrait"/>
        <w:tabs>
          <w:tab w:val="left" w:pos="1701"/>
        </w:tabs>
        <w:ind w:left="1701" w:hanging="261"/>
        <w:rPr>
          <w:lang w:val="en-CA"/>
        </w:rPr>
      </w:pPr>
      <w:r w:rsidRPr="009819CA">
        <w:rPr>
          <w:lang w:val="en-CA"/>
        </w:rPr>
        <w:t>•</w:t>
      </w:r>
      <w:r w:rsidRPr="009819CA">
        <w:rPr>
          <w:lang w:val="en-CA"/>
        </w:rPr>
        <w:tab/>
      </w:r>
      <w:r w:rsidR="001604A6" w:rsidRPr="009819CA">
        <w:rPr>
          <w:lang w:val="en-CA"/>
        </w:rPr>
        <w:t>R</w:t>
      </w:r>
      <w:r w:rsidR="00C86597" w:rsidRPr="009819CA">
        <w:rPr>
          <w:lang w:val="en-CA"/>
        </w:rPr>
        <w:t xml:space="preserve">eport to a </w:t>
      </w:r>
      <w:r w:rsidRPr="009819CA">
        <w:rPr>
          <w:lang w:val="en-CA"/>
        </w:rPr>
        <w:t xml:space="preserve">probation </w:t>
      </w:r>
      <w:r w:rsidR="00C86597" w:rsidRPr="009819CA">
        <w:rPr>
          <w:lang w:val="en-CA"/>
        </w:rPr>
        <w:t xml:space="preserve">officer within two </w:t>
      </w:r>
      <w:r w:rsidR="00DB5A90" w:rsidRPr="009819CA">
        <w:rPr>
          <w:lang w:val="en-CA"/>
        </w:rPr>
        <w:t xml:space="preserve">working </w:t>
      </w:r>
      <w:r w:rsidR="00C86597" w:rsidRPr="009819CA">
        <w:rPr>
          <w:lang w:val="en-CA"/>
        </w:rPr>
        <w:t xml:space="preserve">days </w:t>
      </w:r>
      <w:r w:rsidR="00DB5A90" w:rsidRPr="009819CA">
        <w:rPr>
          <w:lang w:val="en-CA"/>
        </w:rPr>
        <w:t xml:space="preserve">after the </w:t>
      </w:r>
      <w:r w:rsidR="00C36030" w:rsidRPr="009819CA">
        <w:rPr>
          <w:lang w:val="en-CA"/>
        </w:rPr>
        <w:t>coming into force</w:t>
      </w:r>
      <w:r w:rsidR="00C36030" w:rsidRPr="009819CA">
        <w:rPr>
          <w:lang w:val="en-CA"/>
        </w:rPr>
        <w:t xml:space="preserve"> </w:t>
      </w:r>
      <w:r w:rsidR="00C86597" w:rsidRPr="009819CA">
        <w:rPr>
          <w:lang w:val="en-CA"/>
        </w:rPr>
        <w:t>of the probation order</w:t>
      </w:r>
      <w:r w:rsidR="00C36030" w:rsidRPr="009819CA">
        <w:rPr>
          <w:lang w:val="en-CA"/>
        </w:rPr>
        <w:t>,</w:t>
      </w:r>
      <w:r w:rsidR="00C86597" w:rsidRPr="009819CA">
        <w:rPr>
          <w:lang w:val="en-CA"/>
        </w:rPr>
        <w:t xml:space="preserve"> and </w:t>
      </w:r>
      <w:r w:rsidR="00DB5A90" w:rsidRPr="009819CA">
        <w:rPr>
          <w:lang w:val="en-CA"/>
        </w:rPr>
        <w:t>thereafter</w:t>
      </w:r>
      <w:r w:rsidR="00C86597" w:rsidRPr="009819CA">
        <w:rPr>
          <w:lang w:val="en-CA"/>
        </w:rPr>
        <w:t xml:space="preserve">, </w:t>
      </w:r>
      <w:r w:rsidR="00DB5A90" w:rsidRPr="009819CA">
        <w:rPr>
          <w:lang w:val="en-CA"/>
        </w:rPr>
        <w:t xml:space="preserve">when required </w:t>
      </w:r>
      <w:r w:rsidR="00C86597" w:rsidRPr="009819CA">
        <w:rPr>
          <w:lang w:val="en-CA"/>
        </w:rPr>
        <w:t>by the probation officer</w:t>
      </w:r>
      <w:r w:rsidR="00DB5A90" w:rsidRPr="009819CA">
        <w:rPr>
          <w:lang w:val="en-CA"/>
        </w:rPr>
        <w:t xml:space="preserve"> and in the manner directed by the probation officer</w:t>
      </w:r>
      <w:r w:rsidRPr="009819CA">
        <w:rPr>
          <w:lang w:val="en-CA"/>
        </w:rPr>
        <w:t>;</w:t>
      </w:r>
    </w:p>
    <w:p w14:paraId="23857962" w14:textId="653AB9D0" w:rsidR="00675B0D" w:rsidRPr="009819CA" w:rsidRDefault="00675B0D" w:rsidP="00743B2D">
      <w:pPr>
        <w:pStyle w:val="Citationenretrait"/>
        <w:tabs>
          <w:tab w:val="left" w:pos="1701"/>
        </w:tabs>
        <w:ind w:left="1701" w:hanging="261"/>
        <w:rPr>
          <w:lang w:val="en-CA"/>
        </w:rPr>
      </w:pPr>
      <w:r w:rsidRPr="009819CA">
        <w:rPr>
          <w:lang w:val="en-CA"/>
        </w:rPr>
        <w:t>•</w:t>
      </w:r>
      <w:r w:rsidRPr="009819CA">
        <w:rPr>
          <w:lang w:val="en-CA"/>
        </w:rPr>
        <w:tab/>
      </w:r>
      <w:r w:rsidR="001604A6" w:rsidRPr="009819CA">
        <w:rPr>
          <w:lang w:val="en-CA"/>
        </w:rPr>
        <w:t>C</w:t>
      </w:r>
      <w:r w:rsidR="00C86597" w:rsidRPr="009819CA">
        <w:rPr>
          <w:lang w:val="en-CA"/>
        </w:rPr>
        <w:t xml:space="preserve">ontinue his psychological treatment for the time and </w:t>
      </w:r>
      <w:r w:rsidR="001604A6" w:rsidRPr="009819CA">
        <w:rPr>
          <w:lang w:val="en-CA"/>
        </w:rPr>
        <w:t xml:space="preserve">manner </w:t>
      </w:r>
      <w:r w:rsidR="00C86597" w:rsidRPr="009819CA">
        <w:rPr>
          <w:lang w:val="en-CA"/>
        </w:rPr>
        <w:t xml:space="preserve">determined by the psychologist, with the probation officer’s agreement; </w:t>
      </w:r>
    </w:p>
    <w:p w14:paraId="528E730D" w14:textId="07C06A7D" w:rsidR="00675B0D" w:rsidRPr="009819CA" w:rsidRDefault="00675B0D" w:rsidP="00743B2D">
      <w:pPr>
        <w:pStyle w:val="Citationenretrait"/>
        <w:tabs>
          <w:tab w:val="left" w:pos="1701"/>
        </w:tabs>
        <w:ind w:left="1701" w:hanging="261"/>
        <w:rPr>
          <w:lang w:val="en-CA"/>
        </w:rPr>
      </w:pPr>
      <w:r w:rsidRPr="009819CA">
        <w:rPr>
          <w:lang w:val="en-CA"/>
        </w:rPr>
        <w:t>•</w:t>
      </w:r>
      <w:r w:rsidRPr="009819CA">
        <w:rPr>
          <w:lang w:val="en-CA"/>
        </w:rPr>
        <w:tab/>
      </w:r>
      <w:r w:rsidR="001604A6" w:rsidRPr="009819CA">
        <w:rPr>
          <w:lang w:val="en-CA"/>
        </w:rPr>
        <w:t>D</w:t>
      </w:r>
      <w:r w:rsidR="00CC68BF" w:rsidRPr="009819CA">
        <w:rPr>
          <w:lang w:val="en-CA"/>
        </w:rPr>
        <w:t xml:space="preserve">onate $6,000 </w:t>
      </w:r>
      <w:r w:rsidR="001604A6" w:rsidRPr="009819CA">
        <w:rPr>
          <w:lang w:val="en-CA"/>
        </w:rPr>
        <w:t xml:space="preserve">within </w:t>
      </w:r>
      <w:r w:rsidR="00CC68BF" w:rsidRPr="009819CA">
        <w:rPr>
          <w:lang w:val="en-CA"/>
        </w:rPr>
        <w:t>32 months</w:t>
      </w:r>
      <w:r w:rsidR="001604A6" w:rsidRPr="009819CA">
        <w:rPr>
          <w:lang w:val="en-CA"/>
        </w:rPr>
        <w:t>, and at least $2,000 a year,</w:t>
      </w:r>
      <w:r w:rsidR="00CC68BF" w:rsidRPr="009819CA">
        <w:rPr>
          <w:lang w:val="en-CA"/>
        </w:rPr>
        <w:t xml:space="preserve"> to CALACS (Centre d'aide et de lutte contre les agressions à caractère sexuel) </w:t>
      </w:r>
      <w:r w:rsidR="00285259" w:rsidRPr="009819CA">
        <w:rPr>
          <w:lang w:val="en-CA"/>
        </w:rPr>
        <w:t>de</w:t>
      </w:r>
      <w:r w:rsidR="00CC68BF" w:rsidRPr="009819CA">
        <w:rPr>
          <w:lang w:val="en-CA"/>
        </w:rPr>
        <w:t xml:space="preserve"> Trois</w:t>
      </w:r>
      <w:r w:rsidR="00CC68BF" w:rsidRPr="009819CA">
        <w:rPr>
          <w:lang w:val="en-CA"/>
        </w:rPr>
        <w:noBreakHyphen/>
        <w:t>Rivières</w:t>
      </w:r>
      <w:r w:rsidR="00C36030" w:rsidRPr="009819CA">
        <w:rPr>
          <w:lang w:val="en-CA"/>
        </w:rPr>
        <w:t>,</w:t>
      </w:r>
      <w:r w:rsidR="00CC68BF" w:rsidRPr="009819CA">
        <w:rPr>
          <w:lang w:val="en-CA"/>
        </w:rPr>
        <w:t xml:space="preserve"> </w:t>
      </w:r>
      <w:r w:rsidR="001604A6" w:rsidRPr="009819CA">
        <w:rPr>
          <w:lang w:val="en-CA"/>
        </w:rPr>
        <w:t xml:space="preserve">to </w:t>
      </w:r>
      <w:proofErr w:type="gramStart"/>
      <w:r w:rsidR="001604A6" w:rsidRPr="009819CA">
        <w:rPr>
          <w:lang w:val="en-CA"/>
        </w:rPr>
        <w:t>be paid</w:t>
      </w:r>
      <w:proofErr w:type="gramEnd"/>
      <w:r w:rsidR="001604A6" w:rsidRPr="009819CA">
        <w:rPr>
          <w:lang w:val="en-CA"/>
        </w:rPr>
        <w:t xml:space="preserve"> to </w:t>
      </w:r>
      <w:r w:rsidR="00CC68BF" w:rsidRPr="009819CA">
        <w:rPr>
          <w:lang w:val="en-CA"/>
        </w:rPr>
        <w:t xml:space="preserve">the </w:t>
      </w:r>
      <w:r w:rsidR="004A17E7" w:rsidRPr="009819CA">
        <w:rPr>
          <w:lang w:val="en-CA"/>
        </w:rPr>
        <w:t>c</w:t>
      </w:r>
      <w:r w:rsidR="00CC68BF" w:rsidRPr="009819CA">
        <w:rPr>
          <w:lang w:val="en-CA"/>
        </w:rPr>
        <w:t xml:space="preserve">ourt </w:t>
      </w:r>
      <w:r w:rsidR="004A17E7" w:rsidRPr="009819CA">
        <w:rPr>
          <w:lang w:val="en-CA"/>
        </w:rPr>
        <w:t>office</w:t>
      </w:r>
      <w:r w:rsidR="00CC68BF" w:rsidRPr="009819CA">
        <w:rPr>
          <w:lang w:val="en-CA"/>
        </w:rPr>
        <w:t xml:space="preserve">;  </w:t>
      </w:r>
    </w:p>
    <w:p w14:paraId="3DE09A61" w14:textId="7F6377B2" w:rsidR="00675B0D" w:rsidRPr="009819CA" w:rsidRDefault="00675B0D" w:rsidP="00675B0D">
      <w:pPr>
        <w:pStyle w:val="Citationenretrait"/>
        <w:rPr>
          <w:lang w:val="en-CA"/>
        </w:rPr>
      </w:pPr>
      <w:r w:rsidRPr="009819CA">
        <w:rPr>
          <w:lang w:val="en-CA"/>
        </w:rPr>
        <w:t>[103]</w:t>
      </w:r>
      <w:r w:rsidRPr="009819CA">
        <w:rPr>
          <w:lang w:val="en-CA"/>
        </w:rPr>
        <w:tab/>
      </w:r>
      <w:r w:rsidR="004A17E7" w:rsidRPr="009819CA">
        <w:rPr>
          <w:lang w:val="en-CA"/>
        </w:rPr>
        <w:t xml:space="preserve">On count </w:t>
      </w:r>
      <w:proofErr w:type="gramStart"/>
      <w:r w:rsidRPr="009819CA">
        <w:rPr>
          <w:lang w:val="en-CA"/>
        </w:rPr>
        <w:t>1</w:t>
      </w:r>
      <w:proofErr w:type="gramEnd"/>
      <w:r w:rsidRPr="009819CA">
        <w:rPr>
          <w:lang w:val="en-CA"/>
        </w:rPr>
        <w:t xml:space="preserve">, </w:t>
      </w:r>
      <w:r w:rsidRPr="009819CA">
        <w:rPr>
          <w:b/>
          <w:bCs/>
          <w:lang w:val="en-CA"/>
        </w:rPr>
        <w:t>ORD</w:t>
      </w:r>
      <w:r w:rsidR="00CC68BF" w:rsidRPr="009819CA">
        <w:rPr>
          <w:b/>
          <w:bCs/>
          <w:lang w:val="en-CA"/>
        </w:rPr>
        <w:t>ERS</w:t>
      </w:r>
      <w:r w:rsidR="00CC68BF" w:rsidRPr="009819CA">
        <w:rPr>
          <w:lang w:val="en-CA"/>
        </w:rPr>
        <w:t xml:space="preserve"> the accused to provide the number of </w:t>
      </w:r>
      <w:r w:rsidR="00DB5A90" w:rsidRPr="009819CA">
        <w:rPr>
          <w:lang w:val="en-CA"/>
        </w:rPr>
        <w:t xml:space="preserve">samples of </w:t>
      </w:r>
      <w:r w:rsidR="00CC68BF" w:rsidRPr="009819CA">
        <w:rPr>
          <w:lang w:val="en-CA"/>
        </w:rPr>
        <w:t>bodily substance</w:t>
      </w:r>
      <w:r w:rsidR="00DB5A90" w:rsidRPr="009819CA">
        <w:rPr>
          <w:lang w:val="en-CA"/>
        </w:rPr>
        <w:t>s</w:t>
      </w:r>
      <w:r w:rsidR="00CC68BF" w:rsidRPr="009819CA">
        <w:rPr>
          <w:lang w:val="en-CA"/>
        </w:rPr>
        <w:t xml:space="preserve"> </w:t>
      </w:r>
      <w:r w:rsidR="001604A6" w:rsidRPr="009819CA">
        <w:rPr>
          <w:lang w:val="en-CA"/>
        </w:rPr>
        <w:t xml:space="preserve">that is reasonably required for the purpose of forensic DNA </w:t>
      </w:r>
      <w:r w:rsidR="00CC68BF" w:rsidRPr="009819CA">
        <w:rPr>
          <w:lang w:val="en-CA"/>
        </w:rPr>
        <w:t>analysis within three months;</w:t>
      </w:r>
    </w:p>
    <w:p w14:paraId="6C8F6137" w14:textId="2FF0D7D6" w:rsidR="00675B0D" w:rsidRPr="009819CA" w:rsidRDefault="00675B0D" w:rsidP="00675B0D">
      <w:pPr>
        <w:pStyle w:val="Citationenretrait"/>
        <w:rPr>
          <w:lang w:val="en-CA"/>
        </w:rPr>
      </w:pPr>
      <w:r w:rsidRPr="009819CA">
        <w:rPr>
          <w:lang w:val="en-CA"/>
        </w:rPr>
        <w:t>[104]</w:t>
      </w:r>
      <w:r w:rsidRPr="009819CA">
        <w:rPr>
          <w:lang w:val="en-CA"/>
        </w:rPr>
        <w:tab/>
      </w:r>
      <w:r w:rsidR="004A17E7" w:rsidRPr="009819CA">
        <w:rPr>
          <w:lang w:val="en-CA"/>
        </w:rPr>
        <w:t>On</w:t>
      </w:r>
      <w:r w:rsidR="00CC68BF" w:rsidRPr="009819CA">
        <w:rPr>
          <w:lang w:val="en-CA"/>
        </w:rPr>
        <w:t xml:space="preserve"> </w:t>
      </w:r>
      <w:r w:rsidR="004A17E7" w:rsidRPr="009819CA">
        <w:rPr>
          <w:lang w:val="en-CA"/>
        </w:rPr>
        <w:t xml:space="preserve">count </w:t>
      </w:r>
      <w:proofErr w:type="gramStart"/>
      <w:r w:rsidRPr="009819CA">
        <w:rPr>
          <w:lang w:val="en-CA"/>
        </w:rPr>
        <w:t>1</w:t>
      </w:r>
      <w:proofErr w:type="gramEnd"/>
      <w:r w:rsidRPr="009819CA">
        <w:rPr>
          <w:lang w:val="en-CA"/>
        </w:rPr>
        <w:t>,</w:t>
      </w:r>
      <w:r w:rsidR="006952C5" w:rsidRPr="009819CA">
        <w:rPr>
          <w:lang w:val="en-CA"/>
        </w:rPr>
        <w:t> </w:t>
      </w:r>
      <w:r w:rsidRPr="009819CA">
        <w:rPr>
          <w:b/>
          <w:bCs/>
          <w:lang w:val="en-CA"/>
        </w:rPr>
        <w:t>ORD</w:t>
      </w:r>
      <w:r w:rsidR="00CC68BF" w:rsidRPr="009819CA">
        <w:rPr>
          <w:b/>
          <w:bCs/>
          <w:lang w:val="en-CA"/>
        </w:rPr>
        <w:t xml:space="preserve">ERS </w:t>
      </w:r>
      <w:r w:rsidR="00CC68BF" w:rsidRPr="009819CA">
        <w:rPr>
          <w:bCs/>
          <w:lang w:val="en-CA"/>
        </w:rPr>
        <w:t xml:space="preserve">the </w:t>
      </w:r>
      <w:r w:rsidR="00CC68BF" w:rsidRPr="009819CA">
        <w:rPr>
          <w:lang w:val="en-CA"/>
        </w:rPr>
        <w:t xml:space="preserve">accused to comply with the </w:t>
      </w:r>
      <w:r w:rsidR="00CC68BF" w:rsidRPr="009819CA">
        <w:rPr>
          <w:i/>
          <w:iCs/>
          <w:lang w:val="en-CA"/>
        </w:rPr>
        <w:t xml:space="preserve">Sex Offender Information Registration Act </w:t>
      </w:r>
      <w:r w:rsidR="00CC68BF" w:rsidRPr="009819CA">
        <w:rPr>
          <w:lang w:val="en-CA"/>
        </w:rPr>
        <w:t>for 20 year</w:t>
      </w:r>
      <w:r w:rsidRPr="009819CA">
        <w:rPr>
          <w:lang w:val="en-CA"/>
        </w:rPr>
        <w:t>s;</w:t>
      </w:r>
    </w:p>
    <w:p w14:paraId="53915CFC" w14:textId="0C9618CE" w:rsidR="00675B0D" w:rsidRPr="009819CA" w:rsidRDefault="00CC68BF" w:rsidP="00675B0D">
      <w:pPr>
        <w:pStyle w:val="Citationenretrait"/>
        <w:rPr>
          <w:lang w:val="en-CA"/>
        </w:rPr>
      </w:pPr>
      <w:r w:rsidRPr="009819CA">
        <w:rPr>
          <w:lang w:val="en-CA"/>
        </w:rPr>
        <w:t>[105]</w:t>
      </w:r>
      <w:r w:rsidRPr="009819CA">
        <w:rPr>
          <w:lang w:val="en-CA"/>
        </w:rPr>
        <w:tab/>
      </w:r>
      <w:r w:rsidR="00DB5A90" w:rsidRPr="009819CA">
        <w:rPr>
          <w:lang w:val="en-CA"/>
        </w:rPr>
        <w:t xml:space="preserve">On </w:t>
      </w:r>
      <w:r w:rsidR="001604A6" w:rsidRPr="009819CA">
        <w:rPr>
          <w:lang w:val="en-CA"/>
        </w:rPr>
        <w:t>c</w:t>
      </w:r>
      <w:r w:rsidR="00DB5A90" w:rsidRPr="009819CA">
        <w:rPr>
          <w:lang w:val="en-CA"/>
        </w:rPr>
        <w:t>ount</w:t>
      </w:r>
      <w:r w:rsidRPr="009819CA">
        <w:rPr>
          <w:lang w:val="en-CA"/>
        </w:rPr>
        <w:t xml:space="preserve"> </w:t>
      </w:r>
      <w:r w:rsidR="00675B0D" w:rsidRPr="009819CA">
        <w:rPr>
          <w:lang w:val="en-CA"/>
        </w:rPr>
        <w:t xml:space="preserve">1, </w:t>
      </w:r>
      <w:r w:rsidR="001604A6" w:rsidRPr="009819CA">
        <w:rPr>
          <w:b/>
          <w:bCs/>
          <w:lang w:val="en-CA"/>
        </w:rPr>
        <w:t>PROHIBITS</w:t>
      </w:r>
      <w:r w:rsidR="001604A6" w:rsidRPr="009819CA">
        <w:rPr>
          <w:lang w:val="en-CA"/>
        </w:rPr>
        <w:t xml:space="preserve"> </w:t>
      </w:r>
      <w:r w:rsidR="00AF5D65" w:rsidRPr="009819CA">
        <w:rPr>
          <w:lang w:val="en-CA"/>
        </w:rPr>
        <w:t xml:space="preserve">the accused </w:t>
      </w:r>
      <w:r w:rsidR="00DB5A90" w:rsidRPr="009819CA">
        <w:rPr>
          <w:lang w:val="en-CA"/>
        </w:rPr>
        <w:t xml:space="preserve">from </w:t>
      </w:r>
      <w:r w:rsidR="00AF5D65" w:rsidRPr="009819CA">
        <w:rPr>
          <w:lang w:val="en-CA"/>
        </w:rPr>
        <w:t>possessin</w:t>
      </w:r>
      <w:r w:rsidR="00DB5A90" w:rsidRPr="009819CA">
        <w:rPr>
          <w:lang w:val="en-CA"/>
        </w:rPr>
        <w:t>g</w:t>
      </w:r>
      <w:r w:rsidR="00AF5D65" w:rsidRPr="009819CA">
        <w:rPr>
          <w:lang w:val="en-CA"/>
        </w:rPr>
        <w:t xml:space="preserve"> </w:t>
      </w:r>
      <w:r w:rsidR="00365785" w:rsidRPr="009819CA">
        <w:rPr>
          <w:lang w:val="en-CA"/>
        </w:rPr>
        <w:t xml:space="preserve">any </w:t>
      </w:r>
      <w:r w:rsidR="00AF5D65" w:rsidRPr="009819CA">
        <w:rPr>
          <w:lang w:val="en-CA"/>
        </w:rPr>
        <w:t>firearm, cross</w:t>
      </w:r>
      <w:r w:rsidR="00BC6A6B" w:rsidRPr="009819CA">
        <w:rPr>
          <w:lang w:val="en-CA"/>
        </w:rPr>
        <w:t>-</w:t>
      </w:r>
      <w:r w:rsidR="00AF5D65" w:rsidRPr="009819CA">
        <w:rPr>
          <w:lang w:val="en-CA"/>
        </w:rPr>
        <w:t>bow, restricted weapon, ammunition</w:t>
      </w:r>
      <w:r w:rsidR="00365785" w:rsidRPr="009819CA">
        <w:rPr>
          <w:lang w:val="en-CA"/>
        </w:rPr>
        <w:t>,</w:t>
      </w:r>
      <w:r w:rsidR="00AF5D65" w:rsidRPr="009819CA">
        <w:rPr>
          <w:lang w:val="en-CA"/>
        </w:rPr>
        <w:t xml:space="preserve"> and explosive</w:t>
      </w:r>
      <w:r w:rsidR="00675B0D" w:rsidRPr="009819CA">
        <w:rPr>
          <w:lang w:val="en-CA"/>
        </w:rPr>
        <w:t xml:space="preserve"> substances</w:t>
      </w:r>
      <w:r w:rsidR="00DB5A90" w:rsidRPr="009819CA">
        <w:rPr>
          <w:lang w:val="en-CA"/>
        </w:rPr>
        <w:t xml:space="preserve"> for </w:t>
      </w:r>
      <w:r w:rsidR="001604A6" w:rsidRPr="009819CA">
        <w:rPr>
          <w:lang w:val="en-CA"/>
        </w:rPr>
        <w:t xml:space="preserve">a period of </w:t>
      </w:r>
      <w:r w:rsidR="00DB5A90" w:rsidRPr="009819CA">
        <w:rPr>
          <w:lang w:val="en-CA"/>
        </w:rPr>
        <w:t xml:space="preserve">10 years, </w:t>
      </w:r>
      <w:r w:rsidR="00365785" w:rsidRPr="009819CA">
        <w:rPr>
          <w:lang w:val="en-CA"/>
        </w:rPr>
        <w:t xml:space="preserve">and any </w:t>
      </w:r>
      <w:r w:rsidR="00AF5D65" w:rsidRPr="009819CA">
        <w:rPr>
          <w:lang w:val="en-CA"/>
        </w:rPr>
        <w:t xml:space="preserve">restricted firearm, </w:t>
      </w:r>
      <w:r w:rsidR="00580BE7" w:rsidRPr="009819CA">
        <w:rPr>
          <w:lang w:val="en-CA"/>
        </w:rPr>
        <w:t>prohibited</w:t>
      </w:r>
      <w:r w:rsidR="00675B0D" w:rsidRPr="009819CA">
        <w:rPr>
          <w:lang w:val="en-CA"/>
        </w:rPr>
        <w:t xml:space="preserve"> </w:t>
      </w:r>
      <w:r w:rsidR="00365785" w:rsidRPr="009819CA">
        <w:rPr>
          <w:lang w:val="en-CA"/>
        </w:rPr>
        <w:t>firearm</w:t>
      </w:r>
      <w:r w:rsidR="00AF5D65" w:rsidRPr="009819CA">
        <w:rPr>
          <w:lang w:val="en-CA"/>
        </w:rPr>
        <w:t xml:space="preserve">, </w:t>
      </w:r>
      <w:r w:rsidR="00365785" w:rsidRPr="009819CA">
        <w:rPr>
          <w:lang w:val="en-CA"/>
        </w:rPr>
        <w:t xml:space="preserve">prohibited weapon, </w:t>
      </w:r>
      <w:r w:rsidR="00580BE7" w:rsidRPr="009819CA">
        <w:rPr>
          <w:lang w:val="en-CA"/>
        </w:rPr>
        <w:t>prohibited</w:t>
      </w:r>
      <w:r w:rsidR="00AF5D65" w:rsidRPr="009819CA">
        <w:rPr>
          <w:lang w:val="en-CA"/>
        </w:rPr>
        <w:t xml:space="preserve"> device</w:t>
      </w:r>
      <w:r w:rsidR="00365785" w:rsidRPr="009819CA">
        <w:rPr>
          <w:lang w:val="en-CA"/>
        </w:rPr>
        <w:t>,</w:t>
      </w:r>
      <w:r w:rsidR="00AF5D65" w:rsidRPr="009819CA">
        <w:rPr>
          <w:lang w:val="en-CA"/>
        </w:rPr>
        <w:t xml:space="preserve"> and </w:t>
      </w:r>
      <w:r w:rsidR="00580BE7" w:rsidRPr="009819CA">
        <w:rPr>
          <w:lang w:val="en-CA"/>
        </w:rPr>
        <w:t>prohibited</w:t>
      </w:r>
      <w:r w:rsidR="00AF5D65" w:rsidRPr="009819CA">
        <w:rPr>
          <w:lang w:val="en-CA"/>
        </w:rPr>
        <w:t xml:space="preserve"> ammunition</w:t>
      </w:r>
      <w:r w:rsidR="00DB5A90" w:rsidRPr="009819CA">
        <w:rPr>
          <w:lang w:val="en-CA"/>
        </w:rPr>
        <w:t xml:space="preserve"> for life</w:t>
      </w:r>
      <w:r w:rsidR="00675B0D" w:rsidRPr="009819CA">
        <w:rPr>
          <w:lang w:val="en-CA"/>
        </w:rPr>
        <w:t>;</w:t>
      </w:r>
    </w:p>
    <w:p w14:paraId="0AA91FDE" w14:textId="77777777" w:rsidR="00675B0D" w:rsidRPr="009819CA" w:rsidRDefault="00675B0D" w:rsidP="00675B0D">
      <w:pPr>
        <w:pStyle w:val="Citationenretrait"/>
        <w:rPr>
          <w:lang w:val="en-CA"/>
        </w:rPr>
      </w:pPr>
      <w:r w:rsidRPr="009819CA">
        <w:rPr>
          <w:lang w:val="en-CA"/>
        </w:rPr>
        <w:t>[106]</w:t>
      </w:r>
      <w:r w:rsidRPr="009819CA">
        <w:rPr>
          <w:lang w:val="en-CA"/>
        </w:rPr>
        <w:tab/>
      </w:r>
      <w:r w:rsidR="00AF5D65" w:rsidRPr="009819CA">
        <w:rPr>
          <w:b/>
          <w:bCs/>
          <w:lang w:val="en-CA"/>
        </w:rPr>
        <w:t>EXEMPTS</w:t>
      </w:r>
      <w:r w:rsidR="00AF5D65" w:rsidRPr="009819CA">
        <w:rPr>
          <w:lang w:val="en-CA"/>
        </w:rPr>
        <w:t xml:space="preserve"> the accused from paying the </w:t>
      </w:r>
      <w:r w:rsidR="0093219A" w:rsidRPr="009819CA">
        <w:rPr>
          <w:lang w:val="en-CA"/>
        </w:rPr>
        <w:t>victim</w:t>
      </w:r>
      <w:r w:rsidR="002C2BA5" w:rsidRPr="009819CA">
        <w:rPr>
          <w:lang w:val="en-CA"/>
        </w:rPr>
        <w:t xml:space="preserve"> surcharge.</w:t>
      </w:r>
    </w:p>
    <w:p w14:paraId="153845D8" w14:textId="19096D98" w:rsidR="006F44CF" w:rsidRPr="009819CA" w:rsidRDefault="00365785" w:rsidP="006F44CF">
      <w:pPr>
        <w:pStyle w:val="Paragraphe"/>
        <w:keepNext/>
        <w:numPr>
          <w:ilvl w:val="0"/>
          <w:numId w:val="19"/>
        </w:numPr>
        <w:rPr>
          <w:b/>
          <w:bCs/>
          <w:lang w:val="en-CA"/>
        </w:rPr>
      </w:pPr>
      <w:r w:rsidRPr="009819CA">
        <w:rPr>
          <w:b/>
          <w:bCs/>
          <w:lang w:val="en-CA"/>
        </w:rPr>
        <w:t>J</w:t>
      </w:r>
      <w:r w:rsidR="00C86597" w:rsidRPr="009819CA">
        <w:rPr>
          <w:b/>
          <w:bCs/>
          <w:lang w:val="en-CA"/>
        </w:rPr>
        <w:t xml:space="preserve">udgment </w:t>
      </w:r>
      <w:r w:rsidRPr="009819CA">
        <w:rPr>
          <w:b/>
          <w:bCs/>
          <w:lang w:val="en-CA"/>
        </w:rPr>
        <w:t xml:space="preserve">under </w:t>
      </w:r>
      <w:r w:rsidR="00C86597" w:rsidRPr="009819CA">
        <w:rPr>
          <w:b/>
          <w:bCs/>
          <w:lang w:val="en-CA"/>
        </w:rPr>
        <w:t>appeal</w:t>
      </w:r>
    </w:p>
    <w:p w14:paraId="2ADC19CE" w14:textId="76EE7BC7" w:rsidR="006F44CF" w:rsidRPr="009819CA" w:rsidRDefault="00961E0B" w:rsidP="006F44CF">
      <w:pPr>
        <w:pStyle w:val="Paragraphe"/>
        <w:rPr>
          <w:lang w:val="en-CA"/>
        </w:rPr>
      </w:pPr>
      <w:r w:rsidRPr="009819CA">
        <w:rPr>
          <w:lang w:val="en-CA"/>
        </w:rPr>
        <w:t>A</w:t>
      </w:r>
      <w:r w:rsidR="0092686C" w:rsidRPr="009819CA">
        <w:rPr>
          <w:lang w:val="en-CA"/>
        </w:rPr>
        <w:t xml:space="preserve">fter describing the background, including the consequences </w:t>
      </w:r>
      <w:r w:rsidR="00866FF1">
        <w:rPr>
          <w:lang w:val="en-CA"/>
        </w:rPr>
        <w:t>on</w:t>
      </w:r>
      <w:r w:rsidR="00866FF1" w:rsidRPr="009819CA">
        <w:rPr>
          <w:lang w:val="en-CA"/>
        </w:rPr>
        <w:t xml:space="preserve"> </w:t>
      </w:r>
      <w:r w:rsidR="0092686C" w:rsidRPr="009819CA">
        <w:rPr>
          <w:lang w:val="en-CA"/>
        </w:rPr>
        <w:t xml:space="preserve">the victim and </w:t>
      </w:r>
      <w:r w:rsidRPr="009819CA">
        <w:rPr>
          <w:lang w:val="en-CA"/>
        </w:rPr>
        <w:t>M</w:t>
      </w:r>
      <w:r w:rsidR="0092686C" w:rsidRPr="009819CA">
        <w:rPr>
          <w:lang w:val="en-CA"/>
        </w:rPr>
        <w:t>r</w:t>
      </w:r>
      <w:r w:rsidRPr="009819CA">
        <w:rPr>
          <w:lang w:val="en-CA"/>
        </w:rPr>
        <w:t>.</w:t>
      </w:r>
      <w:r w:rsidR="00962F51" w:rsidRPr="009819CA">
        <w:rPr>
          <w:lang w:val="en-CA"/>
        </w:rPr>
        <w:t> </w:t>
      </w:r>
      <w:r w:rsidRPr="009819CA">
        <w:rPr>
          <w:lang w:val="en-CA"/>
        </w:rPr>
        <w:t>Houle</w:t>
      </w:r>
      <w:r w:rsidR="0092686C" w:rsidRPr="009819CA">
        <w:rPr>
          <w:lang w:val="en-CA"/>
        </w:rPr>
        <w:t xml:space="preserve">’s situation, the judge correctly </w:t>
      </w:r>
      <w:r w:rsidR="0052441D" w:rsidRPr="009819CA">
        <w:rPr>
          <w:lang w:val="en-CA"/>
        </w:rPr>
        <w:t>set out</w:t>
      </w:r>
      <w:r w:rsidR="0052441D" w:rsidRPr="009819CA">
        <w:rPr>
          <w:lang w:val="en-CA"/>
        </w:rPr>
        <w:t xml:space="preserve"> </w:t>
      </w:r>
      <w:r w:rsidR="0092686C" w:rsidRPr="009819CA">
        <w:rPr>
          <w:lang w:val="en-CA"/>
        </w:rPr>
        <w:t xml:space="preserve">the </w:t>
      </w:r>
      <w:r w:rsidR="00365785" w:rsidRPr="009819CA">
        <w:rPr>
          <w:lang w:val="en-CA"/>
        </w:rPr>
        <w:t xml:space="preserve">sentencing </w:t>
      </w:r>
      <w:r w:rsidR="0092686C" w:rsidRPr="009819CA">
        <w:rPr>
          <w:lang w:val="en-CA"/>
        </w:rPr>
        <w:t xml:space="preserve">principles and objectives </w:t>
      </w:r>
      <w:r w:rsidR="00BC6A6B" w:rsidRPr="009819CA">
        <w:rPr>
          <w:lang w:val="en-CA"/>
        </w:rPr>
        <w:t xml:space="preserve">as well as the </w:t>
      </w:r>
      <w:r w:rsidR="0092686C" w:rsidRPr="009819CA">
        <w:rPr>
          <w:lang w:val="en-CA"/>
        </w:rPr>
        <w:t xml:space="preserve">principles </w:t>
      </w:r>
      <w:r w:rsidR="00BC6A6B" w:rsidRPr="009819CA">
        <w:rPr>
          <w:lang w:val="en-CA"/>
        </w:rPr>
        <w:t>appl</w:t>
      </w:r>
      <w:r w:rsidR="00365785" w:rsidRPr="009819CA">
        <w:rPr>
          <w:lang w:val="en-CA"/>
        </w:rPr>
        <w:t>icable to</w:t>
      </w:r>
      <w:r w:rsidR="0092686C" w:rsidRPr="009819CA">
        <w:rPr>
          <w:lang w:val="en-CA"/>
        </w:rPr>
        <w:t xml:space="preserve"> sexual assault and discharge</w:t>
      </w:r>
      <w:r w:rsidR="00365785" w:rsidRPr="009819CA">
        <w:rPr>
          <w:lang w:val="en-CA"/>
        </w:rPr>
        <w:t>s</w:t>
      </w:r>
      <w:r w:rsidR="0092686C" w:rsidRPr="009819CA">
        <w:rPr>
          <w:lang w:val="en-CA"/>
        </w:rPr>
        <w:t>.</w:t>
      </w:r>
    </w:p>
    <w:p w14:paraId="3ADEC197" w14:textId="41366CC0" w:rsidR="006F44CF" w:rsidRPr="009819CA" w:rsidRDefault="0092686C" w:rsidP="006F44CF">
      <w:pPr>
        <w:pStyle w:val="Paragraphe"/>
        <w:rPr>
          <w:lang w:val="en-CA"/>
        </w:rPr>
      </w:pPr>
      <w:r w:rsidRPr="009819CA">
        <w:rPr>
          <w:lang w:val="en-CA"/>
        </w:rPr>
        <w:t>Under the heading [</w:t>
      </w:r>
      <w:r w:rsidRPr="009819CA">
        <w:rPr>
          <w:smallCaps/>
          <w:lang w:val="en-CA"/>
        </w:rPr>
        <w:t>translation</w:t>
      </w:r>
      <w:r w:rsidRPr="009819CA">
        <w:rPr>
          <w:lang w:val="en-CA"/>
        </w:rPr>
        <w:t>] “</w:t>
      </w:r>
      <w:r w:rsidR="00D20559" w:rsidRPr="009819CA">
        <w:rPr>
          <w:lang w:val="en-CA"/>
        </w:rPr>
        <w:t>A</w:t>
      </w:r>
      <w:r w:rsidRPr="009819CA">
        <w:rPr>
          <w:lang w:val="en-CA"/>
        </w:rPr>
        <w:t>ppropriate sentence</w:t>
      </w:r>
      <w:proofErr w:type="gramStart"/>
      <w:r w:rsidRPr="009819CA">
        <w:rPr>
          <w:lang w:val="en-CA"/>
        </w:rPr>
        <w:t>”</w:t>
      </w:r>
      <w:r w:rsidR="00285259" w:rsidRPr="009819CA">
        <w:rPr>
          <w:lang w:val="en-CA"/>
        </w:rPr>
        <w:t>,</w:t>
      </w:r>
      <w:proofErr w:type="gramEnd"/>
      <w:r w:rsidRPr="009819CA">
        <w:rPr>
          <w:lang w:val="en-CA"/>
        </w:rPr>
        <w:t xml:space="preserve"> he placed the crimes committed by Mr.</w:t>
      </w:r>
      <w:r w:rsidR="006F44CF" w:rsidRPr="009819CA">
        <w:rPr>
          <w:lang w:val="en-CA"/>
        </w:rPr>
        <w:t xml:space="preserve"> Houle </w:t>
      </w:r>
      <w:r w:rsidRPr="009819CA">
        <w:rPr>
          <w:lang w:val="en-CA"/>
        </w:rPr>
        <w:t xml:space="preserve">in the intermediate and </w:t>
      </w:r>
      <w:r w:rsidR="00126B21" w:rsidRPr="009819CA">
        <w:rPr>
          <w:lang w:val="en-CA"/>
        </w:rPr>
        <w:t xml:space="preserve">upper </w:t>
      </w:r>
      <w:r w:rsidR="00D20559" w:rsidRPr="009819CA">
        <w:rPr>
          <w:lang w:val="en-CA"/>
        </w:rPr>
        <w:t>ranges</w:t>
      </w:r>
      <w:r w:rsidR="00126B21" w:rsidRPr="009819CA">
        <w:rPr>
          <w:lang w:val="en-CA"/>
        </w:rPr>
        <w:t xml:space="preserve"> </w:t>
      </w:r>
      <w:r w:rsidRPr="009819CA">
        <w:rPr>
          <w:lang w:val="en-CA"/>
        </w:rPr>
        <w:t>of the se</w:t>
      </w:r>
      <w:r w:rsidR="00D206BA" w:rsidRPr="009819CA">
        <w:rPr>
          <w:lang w:val="en-CA"/>
        </w:rPr>
        <w:t>riousness</w:t>
      </w:r>
      <w:r w:rsidRPr="009819CA">
        <w:rPr>
          <w:lang w:val="en-CA"/>
        </w:rPr>
        <w:t xml:space="preserve"> scale. </w:t>
      </w:r>
      <w:r w:rsidR="00207BEA" w:rsidRPr="009819CA">
        <w:rPr>
          <w:lang w:val="en-CA"/>
        </w:rPr>
        <w:t xml:space="preserve">He </w:t>
      </w:r>
      <w:r w:rsidR="00126B21" w:rsidRPr="009819CA">
        <w:rPr>
          <w:lang w:val="en-CA"/>
        </w:rPr>
        <w:t xml:space="preserve">characterized </w:t>
      </w:r>
      <w:r w:rsidR="00207BEA" w:rsidRPr="009819CA">
        <w:rPr>
          <w:lang w:val="en-CA"/>
        </w:rPr>
        <w:t>their subjective severity as [</w:t>
      </w:r>
      <w:r w:rsidR="00207BEA" w:rsidRPr="009819CA">
        <w:rPr>
          <w:smallCaps/>
          <w:lang w:val="en-CA"/>
        </w:rPr>
        <w:t>translation</w:t>
      </w:r>
      <w:r w:rsidR="00207BEA" w:rsidRPr="009819CA">
        <w:rPr>
          <w:lang w:val="en-CA"/>
        </w:rPr>
        <w:t>] “</w:t>
      </w:r>
      <w:r w:rsidR="002B0C83" w:rsidRPr="009819CA">
        <w:rPr>
          <w:lang w:val="en-CA"/>
        </w:rPr>
        <w:t>serious</w:t>
      </w:r>
      <w:r w:rsidR="00207BEA" w:rsidRPr="009819CA">
        <w:rPr>
          <w:lang w:val="en-CA"/>
        </w:rPr>
        <w:t xml:space="preserve">,” while </w:t>
      </w:r>
      <w:r w:rsidR="00126B21" w:rsidRPr="009819CA">
        <w:rPr>
          <w:lang w:val="en-CA"/>
        </w:rPr>
        <w:t>noting</w:t>
      </w:r>
      <w:r w:rsidR="00207BEA" w:rsidRPr="009819CA">
        <w:rPr>
          <w:lang w:val="en-CA"/>
        </w:rPr>
        <w:t xml:space="preserve"> that </w:t>
      </w:r>
      <w:r w:rsidR="00207BEA" w:rsidRPr="009819CA">
        <w:rPr>
          <w:lang w:val="en-CA"/>
        </w:rPr>
        <w:lastRenderedPageBreak/>
        <w:t>[</w:t>
      </w:r>
      <w:r w:rsidR="00207BEA" w:rsidRPr="009819CA">
        <w:rPr>
          <w:smallCaps/>
          <w:lang w:val="en-CA"/>
        </w:rPr>
        <w:t>translation</w:t>
      </w:r>
      <w:r w:rsidR="00207BEA" w:rsidRPr="009819CA">
        <w:rPr>
          <w:lang w:val="en-CA"/>
        </w:rPr>
        <w:t xml:space="preserve">] “there is </w:t>
      </w:r>
      <w:r w:rsidR="0052441D" w:rsidRPr="009819CA">
        <w:rPr>
          <w:lang w:val="en-CA"/>
        </w:rPr>
        <w:t xml:space="preserve">a single </w:t>
      </w:r>
      <w:r w:rsidR="00EF74EC" w:rsidRPr="009819CA">
        <w:rPr>
          <w:lang w:val="en-CA"/>
        </w:rPr>
        <w:t xml:space="preserve">victim and </w:t>
      </w:r>
      <w:r w:rsidR="0052441D" w:rsidRPr="009819CA">
        <w:rPr>
          <w:lang w:val="en-CA"/>
        </w:rPr>
        <w:t xml:space="preserve">a single </w:t>
      </w:r>
      <w:r w:rsidR="00126B21" w:rsidRPr="009819CA">
        <w:rPr>
          <w:lang w:val="en-CA"/>
        </w:rPr>
        <w:t>incident</w:t>
      </w:r>
      <w:r w:rsidR="00207BEA" w:rsidRPr="009819CA">
        <w:rPr>
          <w:lang w:val="en-CA"/>
        </w:rPr>
        <w:t xml:space="preserve">, which happened </w:t>
      </w:r>
      <w:r w:rsidR="00126B21" w:rsidRPr="009819CA">
        <w:rPr>
          <w:lang w:val="en-CA"/>
        </w:rPr>
        <w:t>very quickly</w:t>
      </w:r>
      <w:r w:rsidR="00207BEA" w:rsidRPr="009819CA">
        <w:rPr>
          <w:lang w:val="en-CA"/>
        </w:rPr>
        <w:t>.”</w:t>
      </w:r>
      <w:r w:rsidR="006F44CF" w:rsidRPr="009819CA">
        <w:rPr>
          <w:rStyle w:val="Appelnotedebasdep"/>
          <w:lang w:val="en-CA"/>
        </w:rPr>
        <w:footnoteReference w:id="3"/>
      </w:r>
    </w:p>
    <w:p w14:paraId="0EB59141" w14:textId="7E6C2FCF" w:rsidR="006F44CF" w:rsidRPr="009819CA" w:rsidRDefault="000543B2" w:rsidP="006F44CF">
      <w:pPr>
        <w:pStyle w:val="Paragraphe"/>
        <w:rPr>
          <w:lang w:val="en-CA"/>
        </w:rPr>
      </w:pPr>
      <w:r w:rsidRPr="009819CA">
        <w:rPr>
          <w:lang w:val="en-CA"/>
        </w:rPr>
        <w:t>Th</w:t>
      </w:r>
      <w:r w:rsidR="009B4931" w:rsidRPr="009819CA">
        <w:rPr>
          <w:lang w:val="en-CA"/>
        </w:rPr>
        <w:t>e ju</w:t>
      </w:r>
      <w:r w:rsidRPr="009819CA">
        <w:rPr>
          <w:lang w:val="en-CA"/>
        </w:rPr>
        <w:t>d</w:t>
      </w:r>
      <w:r w:rsidR="009B4931" w:rsidRPr="009819CA">
        <w:rPr>
          <w:lang w:val="en-CA"/>
        </w:rPr>
        <w:t>ge</w:t>
      </w:r>
      <w:r w:rsidR="006712AD" w:rsidRPr="009819CA">
        <w:rPr>
          <w:lang w:val="en-CA"/>
        </w:rPr>
        <w:t xml:space="preserve"> </w:t>
      </w:r>
      <w:r w:rsidR="001A557A" w:rsidRPr="009819CA">
        <w:rPr>
          <w:lang w:val="en-CA"/>
        </w:rPr>
        <w:t>discussed</w:t>
      </w:r>
      <w:r w:rsidRPr="009819CA">
        <w:rPr>
          <w:lang w:val="en-CA"/>
        </w:rPr>
        <w:t xml:space="preserve"> the great vulnerability </w:t>
      </w:r>
      <w:r w:rsidR="001A557A" w:rsidRPr="009819CA">
        <w:rPr>
          <w:lang w:val="en-CA"/>
        </w:rPr>
        <w:t xml:space="preserve">of </w:t>
      </w:r>
      <w:r w:rsidR="00BC6A6B" w:rsidRPr="009819CA">
        <w:rPr>
          <w:lang w:val="en-CA"/>
        </w:rPr>
        <w:t>the victim</w:t>
      </w:r>
      <w:r w:rsidRPr="009819CA">
        <w:rPr>
          <w:lang w:val="en-CA"/>
        </w:rPr>
        <w:t xml:space="preserve"> </w:t>
      </w:r>
      <w:r w:rsidR="0052441D" w:rsidRPr="009819CA">
        <w:rPr>
          <w:lang w:val="en-CA"/>
        </w:rPr>
        <w:t xml:space="preserve">at the time </w:t>
      </w:r>
      <w:r w:rsidRPr="009819CA">
        <w:rPr>
          <w:lang w:val="en-CA"/>
        </w:rPr>
        <w:t xml:space="preserve">and </w:t>
      </w:r>
      <w:r w:rsidR="001A557A" w:rsidRPr="009819CA">
        <w:rPr>
          <w:lang w:val="en-CA"/>
        </w:rPr>
        <w:t xml:space="preserve">noted </w:t>
      </w:r>
      <w:r w:rsidRPr="009819CA">
        <w:rPr>
          <w:lang w:val="en-CA"/>
        </w:rPr>
        <w:t>that Mr. H</w:t>
      </w:r>
      <w:r w:rsidR="006F44CF" w:rsidRPr="009819CA">
        <w:rPr>
          <w:lang w:val="en-CA"/>
        </w:rPr>
        <w:t>oule</w:t>
      </w:r>
      <w:r w:rsidRPr="009819CA">
        <w:rPr>
          <w:lang w:val="en-CA"/>
        </w:rPr>
        <w:t xml:space="preserve">’s </w:t>
      </w:r>
      <w:r w:rsidR="001A557A" w:rsidRPr="009819CA">
        <w:rPr>
          <w:lang w:val="en-CA"/>
        </w:rPr>
        <w:t>inebriated state</w:t>
      </w:r>
      <w:r w:rsidRPr="009819CA">
        <w:rPr>
          <w:lang w:val="en-CA"/>
        </w:rPr>
        <w:t xml:space="preserve"> [</w:t>
      </w:r>
      <w:r w:rsidRPr="009819CA">
        <w:rPr>
          <w:smallCaps/>
          <w:lang w:val="en-CA"/>
        </w:rPr>
        <w:t>translation</w:t>
      </w:r>
      <w:r w:rsidRPr="009819CA">
        <w:rPr>
          <w:lang w:val="en-CA"/>
        </w:rPr>
        <w:t>] “</w:t>
      </w:r>
      <w:r w:rsidR="001A557A" w:rsidRPr="009819CA">
        <w:rPr>
          <w:lang w:val="en-CA"/>
        </w:rPr>
        <w:t>is</w:t>
      </w:r>
      <w:r w:rsidRPr="009819CA">
        <w:rPr>
          <w:lang w:val="en-CA"/>
        </w:rPr>
        <w:t xml:space="preserve"> not a defen</w:t>
      </w:r>
      <w:r w:rsidR="001A557A" w:rsidRPr="009819CA">
        <w:rPr>
          <w:lang w:val="en-CA"/>
        </w:rPr>
        <w:t>c</w:t>
      </w:r>
      <w:r w:rsidRPr="009819CA">
        <w:rPr>
          <w:lang w:val="en-CA"/>
        </w:rPr>
        <w:t xml:space="preserve">e or a </w:t>
      </w:r>
      <w:r w:rsidR="006F44CF" w:rsidRPr="009819CA">
        <w:rPr>
          <w:lang w:val="en-CA"/>
        </w:rPr>
        <w:t xml:space="preserve">justification, </w:t>
      </w:r>
      <w:r w:rsidRPr="009819CA">
        <w:rPr>
          <w:lang w:val="en-CA"/>
        </w:rPr>
        <w:t>although it may explain his behaviour.”</w:t>
      </w:r>
      <w:r w:rsidR="006F44CF" w:rsidRPr="009819CA">
        <w:rPr>
          <w:rStyle w:val="Appelnotedebasdep"/>
          <w:lang w:val="en-CA"/>
        </w:rPr>
        <w:footnoteReference w:id="4"/>
      </w:r>
    </w:p>
    <w:p w14:paraId="66922475" w14:textId="62A185C0" w:rsidR="006F44CF" w:rsidRPr="009819CA" w:rsidRDefault="000543B2" w:rsidP="00C7243B">
      <w:pPr>
        <w:pStyle w:val="Paragraphe"/>
        <w:rPr>
          <w:lang w:val="en-CA"/>
        </w:rPr>
      </w:pPr>
      <w:r w:rsidRPr="009819CA">
        <w:rPr>
          <w:lang w:val="en-CA"/>
        </w:rPr>
        <w:t xml:space="preserve">He then considered </w:t>
      </w:r>
      <w:r w:rsidR="0092686C" w:rsidRPr="009819CA">
        <w:rPr>
          <w:lang w:val="en-CA"/>
        </w:rPr>
        <w:t>Mr.</w:t>
      </w:r>
      <w:r w:rsidR="00962F51" w:rsidRPr="009819CA">
        <w:rPr>
          <w:lang w:val="en-CA"/>
        </w:rPr>
        <w:t> </w:t>
      </w:r>
      <w:r w:rsidR="006F44CF" w:rsidRPr="009819CA">
        <w:rPr>
          <w:lang w:val="en-CA"/>
        </w:rPr>
        <w:t>Houle</w:t>
      </w:r>
      <w:r w:rsidRPr="009819CA">
        <w:rPr>
          <w:lang w:val="en-CA"/>
        </w:rPr>
        <w:t>’s admission that he had behaved similarly in the past. The psychotherapy assessment report reveal</w:t>
      </w:r>
      <w:r w:rsidR="009F190E" w:rsidRPr="009819CA">
        <w:rPr>
          <w:lang w:val="en-CA"/>
        </w:rPr>
        <w:t>ed</w:t>
      </w:r>
      <w:r w:rsidRPr="009819CA">
        <w:rPr>
          <w:lang w:val="en-CA"/>
        </w:rPr>
        <w:t xml:space="preserve"> that one evening in 2015</w:t>
      </w:r>
      <w:r w:rsidR="00BC6A6B" w:rsidRPr="009819CA">
        <w:rPr>
          <w:lang w:val="en-CA"/>
        </w:rPr>
        <w:t>,</w:t>
      </w:r>
      <w:r w:rsidRPr="009819CA">
        <w:rPr>
          <w:lang w:val="en-CA"/>
        </w:rPr>
        <w:t xml:space="preserve"> </w:t>
      </w:r>
      <w:r w:rsidR="0092686C" w:rsidRPr="009819CA">
        <w:rPr>
          <w:lang w:val="en-CA"/>
        </w:rPr>
        <w:t>Mr.</w:t>
      </w:r>
      <w:r w:rsidR="006F44CF" w:rsidRPr="009819CA">
        <w:rPr>
          <w:lang w:val="en-CA"/>
        </w:rPr>
        <w:t xml:space="preserve"> Houle </w:t>
      </w:r>
      <w:r w:rsidRPr="009819CA">
        <w:rPr>
          <w:lang w:val="en-CA"/>
        </w:rPr>
        <w:t>touched the genital</w:t>
      </w:r>
      <w:r w:rsidR="006F44CF" w:rsidRPr="009819CA">
        <w:rPr>
          <w:lang w:val="en-CA"/>
        </w:rPr>
        <w:t xml:space="preserve">s </w:t>
      </w:r>
      <w:r w:rsidRPr="009819CA">
        <w:rPr>
          <w:lang w:val="en-CA"/>
        </w:rPr>
        <w:t xml:space="preserve">of a young woman who </w:t>
      </w:r>
      <w:r w:rsidR="009F190E" w:rsidRPr="009819CA">
        <w:rPr>
          <w:lang w:val="en-CA"/>
        </w:rPr>
        <w:t xml:space="preserve">was </w:t>
      </w:r>
      <w:r w:rsidRPr="009819CA">
        <w:rPr>
          <w:lang w:val="en-CA"/>
        </w:rPr>
        <w:t>sleep</w:t>
      </w:r>
      <w:r w:rsidR="009F190E" w:rsidRPr="009819CA">
        <w:rPr>
          <w:lang w:val="en-CA"/>
        </w:rPr>
        <w:t>ing</w:t>
      </w:r>
      <w:r w:rsidR="00076573" w:rsidRPr="009819CA">
        <w:rPr>
          <w:lang w:val="en-CA"/>
        </w:rPr>
        <w:t>, over her clothes</w:t>
      </w:r>
      <w:r w:rsidR="006F44CF" w:rsidRPr="009819CA">
        <w:rPr>
          <w:lang w:val="en-CA"/>
        </w:rPr>
        <w:t xml:space="preserve">. </w:t>
      </w:r>
      <w:r w:rsidR="00EF74EC" w:rsidRPr="009819CA">
        <w:rPr>
          <w:lang w:val="en-CA"/>
        </w:rPr>
        <w:t>For the judge, [</w:t>
      </w:r>
      <w:r w:rsidR="00EF74EC" w:rsidRPr="009819CA">
        <w:rPr>
          <w:smallCaps/>
          <w:lang w:val="en-CA"/>
        </w:rPr>
        <w:t>translation</w:t>
      </w:r>
      <w:r w:rsidR="00EF74EC" w:rsidRPr="009819CA">
        <w:rPr>
          <w:lang w:val="en-CA"/>
        </w:rPr>
        <w:t>] “th</w:t>
      </w:r>
      <w:r w:rsidR="009F190E" w:rsidRPr="009819CA">
        <w:rPr>
          <w:lang w:val="en-CA"/>
        </w:rPr>
        <w:t>is</w:t>
      </w:r>
      <w:r w:rsidR="00EF74EC" w:rsidRPr="009819CA">
        <w:rPr>
          <w:lang w:val="en-CA"/>
        </w:rPr>
        <w:t xml:space="preserve"> also demonstrates his transparency and the seriousness of the </w:t>
      </w:r>
      <w:r w:rsidR="009F190E" w:rsidRPr="009819CA">
        <w:rPr>
          <w:lang w:val="en-CA"/>
        </w:rPr>
        <w:t xml:space="preserve">psychotherapy </w:t>
      </w:r>
      <w:r w:rsidR="00EF74EC" w:rsidRPr="009819CA">
        <w:rPr>
          <w:lang w:val="en-CA"/>
        </w:rPr>
        <w:t xml:space="preserve">he </w:t>
      </w:r>
      <w:r w:rsidR="009F190E" w:rsidRPr="009819CA">
        <w:rPr>
          <w:lang w:val="en-CA"/>
        </w:rPr>
        <w:t xml:space="preserve">started </w:t>
      </w:r>
      <w:r w:rsidR="00EF74EC" w:rsidRPr="009819CA">
        <w:rPr>
          <w:lang w:val="en-CA"/>
        </w:rPr>
        <w:t>shortly after the events.”</w:t>
      </w:r>
      <w:r w:rsidR="006F44CF" w:rsidRPr="009819CA">
        <w:rPr>
          <w:rStyle w:val="Appelnotedebasdep"/>
          <w:lang w:val="en-CA"/>
        </w:rPr>
        <w:footnoteReference w:id="5"/>
      </w:r>
    </w:p>
    <w:p w14:paraId="0F8D7F0A" w14:textId="32847E18" w:rsidR="006F44CF" w:rsidRPr="009819CA" w:rsidRDefault="00EF74EC" w:rsidP="006F44CF">
      <w:pPr>
        <w:pStyle w:val="Paragraphe"/>
        <w:rPr>
          <w:lang w:val="en-CA"/>
        </w:rPr>
      </w:pPr>
      <w:r w:rsidRPr="009819CA">
        <w:rPr>
          <w:lang w:val="en-CA"/>
        </w:rPr>
        <w:t xml:space="preserve">He </w:t>
      </w:r>
      <w:r w:rsidR="009F190E" w:rsidRPr="009819CA">
        <w:rPr>
          <w:lang w:val="en-CA"/>
        </w:rPr>
        <w:t xml:space="preserve">then </w:t>
      </w:r>
      <w:r w:rsidRPr="009819CA">
        <w:rPr>
          <w:lang w:val="en-CA"/>
        </w:rPr>
        <w:t>list</w:t>
      </w:r>
      <w:r w:rsidR="009F190E" w:rsidRPr="009819CA">
        <w:rPr>
          <w:lang w:val="en-CA"/>
        </w:rPr>
        <w:t>ed</w:t>
      </w:r>
      <w:r w:rsidRPr="009819CA">
        <w:rPr>
          <w:lang w:val="en-CA"/>
        </w:rPr>
        <w:t xml:space="preserve"> the aggravating and mitigating </w:t>
      </w:r>
      <w:r w:rsidR="009F190E" w:rsidRPr="009819CA">
        <w:rPr>
          <w:lang w:val="en-CA"/>
        </w:rPr>
        <w:t>factors</w:t>
      </w:r>
      <w:r w:rsidRPr="009819CA">
        <w:rPr>
          <w:lang w:val="en-CA"/>
        </w:rPr>
        <w:t xml:space="preserve">:  </w:t>
      </w:r>
    </w:p>
    <w:p w14:paraId="424F50A4" w14:textId="77777777" w:rsidR="00EF74EC" w:rsidRPr="009819CA" w:rsidRDefault="00EF74EC" w:rsidP="00962F51">
      <w:pPr>
        <w:pStyle w:val="Citationenretrait"/>
        <w:tabs>
          <w:tab w:val="left" w:pos="1134"/>
        </w:tabs>
        <w:rPr>
          <w:lang w:val="en-CA"/>
        </w:rPr>
      </w:pPr>
      <w:r w:rsidRPr="009819CA">
        <w:rPr>
          <w:lang w:val="en-CA"/>
        </w:rPr>
        <w:t>[</w:t>
      </w:r>
      <w:r w:rsidRPr="009819CA">
        <w:rPr>
          <w:smallCaps/>
          <w:lang w:val="en-CA"/>
        </w:rPr>
        <w:t>translation</w:t>
      </w:r>
      <w:r w:rsidRPr="009819CA">
        <w:rPr>
          <w:lang w:val="en-CA"/>
        </w:rPr>
        <w:t xml:space="preserve">] </w:t>
      </w:r>
    </w:p>
    <w:p w14:paraId="77D56B48" w14:textId="2BD50F10" w:rsidR="006F44CF" w:rsidRPr="009819CA" w:rsidRDefault="006F44CF" w:rsidP="00962F51">
      <w:pPr>
        <w:pStyle w:val="Citationenretrait"/>
        <w:tabs>
          <w:tab w:val="left" w:pos="1134"/>
        </w:tabs>
        <w:rPr>
          <w:lang w:val="en-CA"/>
        </w:rPr>
      </w:pPr>
      <w:r w:rsidRPr="009819CA">
        <w:rPr>
          <w:lang w:val="en-CA"/>
        </w:rPr>
        <w:t>[82]  </w:t>
      </w:r>
      <w:r w:rsidR="00EF74EC" w:rsidRPr="009819CA">
        <w:rPr>
          <w:lang w:val="en-CA"/>
        </w:rPr>
        <w:t>From this analysis</w:t>
      </w:r>
      <w:r w:rsidR="00216E53" w:rsidRPr="009819CA">
        <w:rPr>
          <w:lang w:val="en-CA"/>
        </w:rPr>
        <w:t>,</w:t>
      </w:r>
      <w:r w:rsidR="00EF74EC" w:rsidRPr="009819CA">
        <w:rPr>
          <w:lang w:val="en-CA"/>
        </w:rPr>
        <w:t xml:space="preserve"> the Court finds that none of the aggravating factors </w:t>
      </w:r>
      <w:r w:rsidR="00216E53" w:rsidRPr="009819CA">
        <w:rPr>
          <w:lang w:val="en-CA"/>
        </w:rPr>
        <w:t xml:space="preserve">listed by Parliament </w:t>
      </w:r>
      <w:r w:rsidR="00EF74EC" w:rsidRPr="009819CA">
        <w:rPr>
          <w:lang w:val="en-CA"/>
        </w:rPr>
        <w:t xml:space="preserve">in s. </w:t>
      </w:r>
      <w:r w:rsidRPr="009819CA">
        <w:rPr>
          <w:lang w:val="en-CA"/>
        </w:rPr>
        <w:t xml:space="preserve">718.2(a) </w:t>
      </w:r>
      <w:r w:rsidRPr="00BF230D">
        <w:rPr>
          <w:i/>
          <w:lang w:val="en-CA"/>
        </w:rPr>
        <w:t>C</w:t>
      </w:r>
      <w:r w:rsidR="00EF74EC" w:rsidRPr="00BF230D">
        <w:rPr>
          <w:i/>
          <w:lang w:val="en-CA"/>
        </w:rPr>
        <w:t>r.</w:t>
      </w:r>
      <w:r w:rsidR="00365785" w:rsidRPr="00BF230D">
        <w:rPr>
          <w:i/>
          <w:lang w:val="en-CA"/>
        </w:rPr>
        <w:t xml:space="preserve"> </w:t>
      </w:r>
      <w:r w:rsidR="00EF74EC" w:rsidRPr="00BF230D">
        <w:rPr>
          <w:i/>
          <w:lang w:val="en-CA"/>
        </w:rPr>
        <w:t>C</w:t>
      </w:r>
      <w:r w:rsidRPr="00BF230D">
        <w:rPr>
          <w:lang w:val="en-CA"/>
        </w:rPr>
        <w:t>.</w:t>
      </w:r>
      <w:r w:rsidRPr="009819CA">
        <w:rPr>
          <w:lang w:val="en-CA"/>
        </w:rPr>
        <w:t xml:space="preserve"> </w:t>
      </w:r>
      <w:r w:rsidR="00EF74EC" w:rsidRPr="009819CA">
        <w:rPr>
          <w:lang w:val="en-CA"/>
        </w:rPr>
        <w:t xml:space="preserve">has </w:t>
      </w:r>
      <w:proofErr w:type="gramStart"/>
      <w:r w:rsidR="00EF74EC" w:rsidRPr="009819CA">
        <w:rPr>
          <w:lang w:val="en-CA"/>
        </w:rPr>
        <w:t>been demonstrated</w:t>
      </w:r>
      <w:proofErr w:type="gramEnd"/>
      <w:r w:rsidR="00EF74EC" w:rsidRPr="009819CA">
        <w:rPr>
          <w:lang w:val="en-CA"/>
        </w:rPr>
        <w:t xml:space="preserve">. However, it </w:t>
      </w:r>
      <w:proofErr w:type="gramStart"/>
      <w:r w:rsidR="00EF74EC" w:rsidRPr="009819CA">
        <w:rPr>
          <w:lang w:val="en-CA"/>
        </w:rPr>
        <w:t>is acknowledged</w:t>
      </w:r>
      <w:proofErr w:type="gramEnd"/>
      <w:r w:rsidR="00EF74EC" w:rsidRPr="009819CA">
        <w:rPr>
          <w:lang w:val="en-CA"/>
        </w:rPr>
        <w:t xml:space="preserve"> that th</w:t>
      </w:r>
      <w:r w:rsidR="0052441D" w:rsidRPr="009819CA">
        <w:rPr>
          <w:lang w:val="en-CA"/>
        </w:rPr>
        <w:t>is</w:t>
      </w:r>
      <w:r w:rsidR="00EF74EC" w:rsidRPr="009819CA">
        <w:rPr>
          <w:lang w:val="en-CA"/>
        </w:rPr>
        <w:t xml:space="preserve"> list of </w:t>
      </w:r>
      <w:r w:rsidR="00216E53" w:rsidRPr="009819CA">
        <w:rPr>
          <w:lang w:val="en-CA"/>
        </w:rPr>
        <w:t xml:space="preserve">factors </w:t>
      </w:r>
      <w:r w:rsidR="00EF74EC" w:rsidRPr="009819CA">
        <w:rPr>
          <w:lang w:val="en-CA"/>
        </w:rPr>
        <w:t xml:space="preserve">is not </w:t>
      </w:r>
      <w:r w:rsidR="00570741" w:rsidRPr="009819CA">
        <w:rPr>
          <w:lang w:val="en-CA"/>
        </w:rPr>
        <w:t>exhaustive,</w:t>
      </w:r>
      <w:r w:rsidR="002B0C83" w:rsidRPr="009819CA">
        <w:rPr>
          <w:lang w:val="en-CA"/>
        </w:rPr>
        <w:t xml:space="preserve"> and the Court </w:t>
      </w:r>
      <w:r w:rsidR="00216E53" w:rsidRPr="009819CA">
        <w:rPr>
          <w:lang w:val="en-CA"/>
        </w:rPr>
        <w:t xml:space="preserve">accepts </w:t>
      </w:r>
      <w:r w:rsidR="002B0C83" w:rsidRPr="009819CA">
        <w:rPr>
          <w:lang w:val="en-CA"/>
        </w:rPr>
        <w:t>the following aggravating elements:</w:t>
      </w:r>
    </w:p>
    <w:p w14:paraId="5181A2D7" w14:textId="2C555999" w:rsidR="006F44CF" w:rsidRPr="009819CA" w:rsidRDefault="002B0C83" w:rsidP="00962F51">
      <w:pPr>
        <w:pStyle w:val="Citationenretrait"/>
        <w:tabs>
          <w:tab w:val="left" w:pos="1134"/>
        </w:tabs>
        <w:ind w:left="1145" w:hanging="425"/>
        <w:rPr>
          <w:lang w:val="en-CA"/>
        </w:rPr>
      </w:pPr>
      <w:r w:rsidRPr="009819CA">
        <w:rPr>
          <w:lang w:val="en-CA"/>
        </w:rPr>
        <w:t>•</w:t>
      </w:r>
      <w:r w:rsidRPr="009819CA">
        <w:rPr>
          <w:lang w:val="en-CA"/>
        </w:rPr>
        <w:tab/>
        <w:t xml:space="preserve">The gravity of the </w:t>
      </w:r>
      <w:r w:rsidR="00B63D68" w:rsidRPr="009819CA">
        <w:rPr>
          <w:lang w:val="en-CA"/>
        </w:rPr>
        <w:t>interference with</w:t>
      </w:r>
      <w:r w:rsidRPr="009819CA">
        <w:rPr>
          <w:lang w:val="en-CA"/>
        </w:rPr>
        <w:t xml:space="preserve"> the victim’s </w:t>
      </w:r>
      <w:r w:rsidR="00B63D68" w:rsidRPr="009819CA">
        <w:rPr>
          <w:lang w:val="en-CA"/>
        </w:rPr>
        <w:t xml:space="preserve">bodily </w:t>
      </w:r>
      <w:r w:rsidRPr="009819CA">
        <w:rPr>
          <w:lang w:val="en-CA"/>
        </w:rPr>
        <w:t xml:space="preserve">and psychological integrity; </w:t>
      </w:r>
    </w:p>
    <w:p w14:paraId="7550EB58" w14:textId="77E3971D"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2B0C83" w:rsidRPr="009819CA">
        <w:rPr>
          <w:lang w:val="en-CA"/>
        </w:rPr>
        <w:t xml:space="preserve">The </w:t>
      </w:r>
      <w:proofErr w:type="gramStart"/>
      <w:r w:rsidR="002B0C83" w:rsidRPr="009819CA">
        <w:rPr>
          <w:lang w:val="en-CA"/>
        </w:rPr>
        <w:t>serious conse</w:t>
      </w:r>
      <w:r w:rsidRPr="009819CA">
        <w:rPr>
          <w:lang w:val="en-CA"/>
        </w:rPr>
        <w:t>quences</w:t>
      </w:r>
      <w:proofErr w:type="gramEnd"/>
      <w:r w:rsidRPr="009819CA">
        <w:rPr>
          <w:lang w:val="en-CA"/>
        </w:rPr>
        <w:t xml:space="preserve"> </w:t>
      </w:r>
      <w:r w:rsidR="002B0C83" w:rsidRPr="009819CA">
        <w:rPr>
          <w:lang w:val="en-CA"/>
        </w:rPr>
        <w:t xml:space="preserve">of the crimes </w:t>
      </w:r>
      <w:r w:rsidR="00866FF1">
        <w:rPr>
          <w:lang w:val="en-CA"/>
        </w:rPr>
        <w:t>on</w:t>
      </w:r>
      <w:r w:rsidR="00866FF1" w:rsidRPr="009819CA">
        <w:rPr>
          <w:lang w:val="en-CA"/>
        </w:rPr>
        <w:t xml:space="preserve"> </w:t>
      </w:r>
      <w:r w:rsidR="002B0C83" w:rsidRPr="009819CA">
        <w:rPr>
          <w:lang w:val="en-CA"/>
        </w:rPr>
        <w:t>the victim;</w:t>
      </w:r>
    </w:p>
    <w:p w14:paraId="3C61759F" w14:textId="68D03F69" w:rsidR="006F44CF" w:rsidRPr="009819CA" w:rsidRDefault="002B0C83" w:rsidP="00962F51">
      <w:pPr>
        <w:pStyle w:val="Citationenretrait"/>
        <w:tabs>
          <w:tab w:val="left" w:pos="1134"/>
        </w:tabs>
        <w:ind w:left="1145" w:hanging="425"/>
        <w:rPr>
          <w:lang w:val="en-CA"/>
        </w:rPr>
      </w:pPr>
      <w:r w:rsidRPr="009819CA">
        <w:rPr>
          <w:lang w:val="en-CA"/>
        </w:rPr>
        <w:t>•</w:t>
      </w:r>
      <w:r w:rsidRPr="009819CA">
        <w:rPr>
          <w:lang w:val="en-CA"/>
        </w:rPr>
        <w:tab/>
        <w:t xml:space="preserve">The consequences </w:t>
      </w:r>
      <w:r w:rsidR="00866FF1">
        <w:rPr>
          <w:lang w:val="en-CA"/>
        </w:rPr>
        <w:t>on</w:t>
      </w:r>
      <w:r w:rsidR="00866FF1" w:rsidRPr="009819CA">
        <w:rPr>
          <w:lang w:val="en-CA"/>
        </w:rPr>
        <w:t xml:space="preserve"> </w:t>
      </w:r>
      <w:r w:rsidRPr="009819CA">
        <w:rPr>
          <w:lang w:val="en-CA"/>
        </w:rPr>
        <w:t>her loved ones;</w:t>
      </w:r>
    </w:p>
    <w:p w14:paraId="01EA28E9" w14:textId="46BF27CE"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2B0C83" w:rsidRPr="009819CA">
        <w:rPr>
          <w:lang w:val="en-CA"/>
        </w:rPr>
        <w:t xml:space="preserve">The abuse of the victim’s vulnerability arising from the fact that she was </w:t>
      </w:r>
      <w:r w:rsidR="00C426A2" w:rsidRPr="009819CA">
        <w:rPr>
          <w:lang w:val="en-CA"/>
        </w:rPr>
        <w:t>unconscious</w:t>
      </w:r>
      <w:r w:rsidR="002B0C83" w:rsidRPr="009819CA">
        <w:rPr>
          <w:lang w:val="en-CA"/>
        </w:rPr>
        <w:t>.</w:t>
      </w:r>
    </w:p>
    <w:p w14:paraId="0F302573" w14:textId="7AC052A9" w:rsidR="006F44CF" w:rsidRPr="009819CA" w:rsidRDefault="002B0C83" w:rsidP="006F44CF">
      <w:pPr>
        <w:pStyle w:val="Citationenretrait"/>
        <w:rPr>
          <w:lang w:val="en-CA"/>
        </w:rPr>
      </w:pPr>
      <w:r w:rsidRPr="009819CA">
        <w:rPr>
          <w:lang w:val="en-CA"/>
        </w:rPr>
        <w:t xml:space="preserve">[83]  The Court also </w:t>
      </w:r>
      <w:r w:rsidR="00C426A2" w:rsidRPr="009819CA">
        <w:rPr>
          <w:lang w:val="en-CA"/>
        </w:rPr>
        <w:t xml:space="preserve">accepts </w:t>
      </w:r>
      <w:r w:rsidRPr="009819CA">
        <w:rPr>
          <w:lang w:val="en-CA"/>
        </w:rPr>
        <w:t xml:space="preserve">the following mitigating </w:t>
      </w:r>
      <w:r w:rsidR="00285259" w:rsidRPr="009819CA">
        <w:rPr>
          <w:lang w:val="en-CA"/>
        </w:rPr>
        <w:t>factors</w:t>
      </w:r>
      <w:r w:rsidRPr="009819CA">
        <w:rPr>
          <w:lang w:val="en-CA"/>
        </w:rPr>
        <w:t xml:space="preserve">:  </w:t>
      </w:r>
    </w:p>
    <w:p w14:paraId="4519661A" w14:textId="1D050F56"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2B0C83" w:rsidRPr="009819CA">
        <w:rPr>
          <w:lang w:val="en-CA"/>
        </w:rPr>
        <w:t xml:space="preserve">The guilty plea </w:t>
      </w:r>
      <w:r w:rsidRPr="009819CA">
        <w:rPr>
          <w:lang w:val="en-CA"/>
        </w:rPr>
        <w:t>…;</w:t>
      </w:r>
    </w:p>
    <w:p w14:paraId="7A6EBC33" w14:textId="1A373720"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2B0C83" w:rsidRPr="009819CA">
        <w:rPr>
          <w:lang w:val="en-CA"/>
        </w:rPr>
        <w:t>The accused ha</w:t>
      </w:r>
      <w:r w:rsidR="00C426A2" w:rsidRPr="009819CA">
        <w:rPr>
          <w:lang w:val="en-CA"/>
        </w:rPr>
        <w:t>s</w:t>
      </w:r>
      <w:r w:rsidR="002B0C83" w:rsidRPr="009819CA">
        <w:rPr>
          <w:lang w:val="en-CA"/>
        </w:rPr>
        <w:t xml:space="preserve"> only one prior conviction </w:t>
      </w:r>
      <w:r w:rsidR="00C426A2" w:rsidRPr="009819CA">
        <w:rPr>
          <w:lang w:val="en-CA"/>
        </w:rPr>
        <w:t>for impaired</w:t>
      </w:r>
      <w:r w:rsidR="002B0C83" w:rsidRPr="009819CA">
        <w:rPr>
          <w:lang w:val="en-CA"/>
        </w:rPr>
        <w:t xml:space="preserve"> driving, </w:t>
      </w:r>
      <w:r w:rsidR="0052441D" w:rsidRPr="009819CA">
        <w:rPr>
          <w:lang w:val="en-CA"/>
        </w:rPr>
        <w:t xml:space="preserve">and </w:t>
      </w:r>
      <w:r w:rsidR="002B0C83" w:rsidRPr="009819CA">
        <w:rPr>
          <w:lang w:val="en-CA"/>
        </w:rPr>
        <w:t>there</w:t>
      </w:r>
      <w:r w:rsidR="00C426A2" w:rsidRPr="009819CA">
        <w:rPr>
          <w:lang w:val="en-CA"/>
        </w:rPr>
        <w:t>fore</w:t>
      </w:r>
      <w:r w:rsidR="002B0C83" w:rsidRPr="009819CA">
        <w:rPr>
          <w:lang w:val="en-CA"/>
        </w:rPr>
        <w:t xml:space="preserve"> no </w:t>
      </w:r>
      <w:r w:rsidR="00C426A2" w:rsidRPr="009819CA">
        <w:rPr>
          <w:lang w:val="en-CA"/>
        </w:rPr>
        <w:t xml:space="preserve">convictions for </w:t>
      </w:r>
      <w:r w:rsidRPr="009819CA">
        <w:rPr>
          <w:lang w:val="en-CA"/>
        </w:rPr>
        <w:t>violence;</w:t>
      </w:r>
    </w:p>
    <w:p w14:paraId="0536D8AE" w14:textId="084B9109"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2B0C83" w:rsidRPr="009819CA">
        <w:rPr>
          <w:lang w:val="en-CA"/>
        </w:rPr>
        <w:t>The accused</w:t>
      </w:r>
      <w:r w:rsidR="00C426A2" w:rsidRPr="009819CA">
        <w:rPr>
          <w:lang w:val="en-CA"/>
        </w:rPr>
        <w:t xml:space="preserve"> was only </w:t>
      </w:r>
      <w:proofErr w:type="gramStart"/>
      <w:r w:rsidR="00C426A2" w:rsidRPr="009819CA">
        <w:rPr>
          <w:lang w:val="en-CA"/>
        </w:rPr>
        <w:t>27</w:t>
      </w:r>
      <w:proofErr w:type="gramEnd"/>
      <w:r w:rsidR="002B0C83" w:rsidRPr="009819CA">
        <w:rPr>
          <w:lang w:val="en-CA"/>
        </w:rPr>
        <w:t xml:space="preserve"> at the time he committed the offence;</w:t>
      </w:r>
    </w:p>
    <w:p w14:paraId="24235145" w14:textId="3305223E" w:rsidR="006F44CF" w:rsidRPr="009819CA" w:rsidRDefault="006F44CF" w:rsidP="00962F51">
      <w:pPr>
        <w:pStyle w:val="Citationenretrait"/>
        <w:tabs>
          <w:tab w:val="left" w:pos="1134"/>
        </w:tabs>
        <w:ind w:left="1145" w:hanging="425"/>
        <w:rPr>
          <w:lang w:val="en-CA"/>
        </w:rPr>
      </w:pPr>
      <w:r w:rsidRPr="009819CA">
        <w:rPr>
          <w:lang w:val="en-CA"/>
        </w:rPr>
        <w:lastRenderedPageBreak/>
        <w:t>•</w:t>
      </w:r>
      <w:r w:rsidRPr="009819CA">
        <w:rPr>
          <w:lang w:val="en-CA"/>
        </w:rPr>
        <w:tab/>
      </w:r>
      <w:r w:rsidR="00E35210" w:rsidRPr="009819CA">
        <w:rPr>
          <w:lang w:val="en-CA"/>
        </w:rPr>
        <w:t xml:space="preserve">The accused’s sincere </w:t>
      </w:r>
      <w:r w:rsidR="00C426A2" w:rsidRPr="009819CA">
        <w:rPr>
          <w:lang w:val="en-CA"/>
        </w:rPr>
        <w:t xml:space="preserve">and genuine </w:t>
      </w:r>
      <w:r w:rsidR="00E35210" w:rsidRPr="009819CA">
        <w:rPr>
          <w:lang w:val="en-CA"/>
        </w:rPr>
        <w:t xml:space="preserve">remorse, </w:t>
      </w:r>
      <w:proofErr w:type="gramStart"/>
      <w:r w:rsidRPr="009819CA">
        <w:rPr>
          <w:lang w:val="en-CA"/>
        </w:rPr>
        <w:t>regrets</w:t>
      </w:r>
      <w:proofErr w:type="gramEnd"/>
      <w:r w:rsidRPr="009819CA">
        <w:rPr>
          <w:lang w:val="en-CA"/>
        </w:rPr>
        <w:t xml:space="preserve"> </w:t>
      </w:r>
      <w:r w:rsidR="00E35210" w:rsidRPr="009819CA">
        <w:rPr>
          <w:lang w:val="en-CA"/>
        </w:rPr>
        <w:t>and apologies;</w:t>
      </w:r>
    </w:p>
    <w:p w14:paraId="79F19789" w14:textId="4EC7C79F"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 xml:space="preserve">The therapeutic treatment undertaken quickly and </w:t>
      </w:r>
      <w:r w:rsidR="00C426A2" w:rsidRPr="009819CA">
        <w:rPr>
          <w:lang w:val="en-CA"/>
        </w:rPr>
        <w:t>seriously</w:t>
      </w:r>
      <w:r w:rsidR="00E35210" w:rsidRPr="009819CA">
        <w:rPr>
          <w:lang w:val="en-CA"/>
        </w:rPr>
        <w:t>;</w:t>
      </w:r>
    </w:p>
    <w:p w14:paraId="444F49F2" w14:textId="4FC1B6DD"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 xml:space="preserve">The accused’s </w:t>
      </w:r>
      <w:r w:rsidR="00C426A2" w:rsidRPr="009819CA">
        <w:rPr>
          <w:lang w:val="en-CA"/>
        </w:rPr>
        <w:t xml:space="preserve">honesty </w:t>
      </w:r>
      <w:r w:rsidR="00E35210" w:rsidRPr="009819CA">
        <w:rPr>
          <w:lang w:val="en-CA"/>
        </w:rPr>
        <w:t>and transparency</w:t>
      </w:r>
      <w:r w:rsidRPr="009819CA">
        <w:rPr>
          <w:lang w:val="en-CA"/>
        </w:rPr>
        <w:t>;</w:t>
      </w:r>
    </w:p>
    <w:p w14:paraId="30D4A766" w14:textId="245F4E6D"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 xml:space="preserve">The </w:t>
      </w:r>
      <w:proofErr w:type="gramStart"/>
      <w:r w:rsidR="00E35210" w:rsidRPr="009819CA">
        <w:rPr>
          <w:lang w:val="en-CA"/>
        </w:rPr>
        <w:t>very positive</w:t>
      </w:r>
      <w:proofErr w:type="gramEnd"/>
      <w:r w:rsidR="00E35210" w:rsidRPr="009819CA">
        <w:rPr>
          <w:lang w:val="en-CA"/>
        </w:rPr>
        <w:t xml:space="preserve"> pre-sentenc</w:t>
      </w:r>
      <w:r w:rsidR="00C426A2" w:rsidRPr="009819CA">
        <w:rPr>
          <w:lang w:val="en-CA"/>
        </w:rPr>
        <w:t>e</w:t>
      </w:r>
      <w:r w:rsidR="00E35210" w:rsidRPr="009819CA">
        <w:rPr>
          <w:lang w:val="en-CA"/>
        </w:rPr>
        <w:t xml:space="preserve"> report;</w:t>
      </w:r>
    </w:p>
    <w:p w14:paraId="6926CFC4" w14:textId="0FE02D06"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 xml:space="preserve">The </w:t>
      </w:r>
      <w:proofErr w:type="gramStart"/>
      <w:r w:rsidR="00E35210" w:rsidRPr="009819CA">
        <w:rPr>
          <w:lang w:val="en-CA"/>
        </w:rPr>
        <w:t>low risk</w:t>
      </w:r>
      <w:proofErr w:type="gramEnd"/>
      <w:r w:rsidR="00E35210" w:rsidRPr="009819CA">
        <w:rPr>
          <w:lang w:val="en-CA"/>
        </w:rPr>
        <w:t xml:space="preserve"> of re</w:t>
      </w:r>
      <w:r w:rsidR="00C426A2" w:rsidRPr="009819CA">
        <w:rPr>
          <w:lang w:val="en-CA"/>
        </w:rPr>
        <w:t>-</w:t>
      </w:r>
      <w:r w:rsidR="00E35210" w:rsidRPr="009819CA">
        <w:rPr>
          <w:lang w:val="en-CA"/>
        </w:rPr>
        <w:t>offen</w:t>
      </w:r>
      <w:r w:rsidR="00C426A2" w:rsidRPr="009819CA">
        <w:rPr>
          <w:lang w:val="en-CA"/>
        </w:rPr>
        <w:t>ding</w:t>
      </w:r>
      <w:r w:rsidR="00E35210" w:rsidRPr="009819CA">
        <w:rPr>
          <w:lang w:val="en-CA"/>
        </w:rPr>
        <w:t>;</w:t>
      </w:r>
    </w:p>
    <w:p w14:paraId="10FD78A2" w14:textId="6D8697E8"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The fact that he ha</w:t>
      </w:r>
      <w:r w:rsidR="00C426A2" w:rsidRPr="009819CA">
        <w:rPr>
          <w:lang w:val="en-CA"/>
        </w:rPr>
        <w:t>s</w:t>
      </w:r>
      <w:r w:rsidR="00E35210" w:rsidRPr="009819CA">
        <w:rPr>
          <w:lang w:val="en-CA"/>
        </w:rPr>
        <w:t xml:space="preserve"> always been an asset to society;</w:t>
      </w:r>
    </w:p>
    <w:p w14:paraId="67099DF0" w14:textId="0D9EB9A2" w:rsidR="006F44CF" w:rsidRPr="009819CA" w:rsidRDefault="006F44CF" w:rsidP="00962F51">
      <w:pPr>
        <w:pStyle w:val="Citationenretrait"/>
        <w:tabs>
          <w:tab w:val="left" w:pos="1134"/>
        </w:tabs>
        <w:ind w:left="1145" w:hanging="425"/>
        <w:rPr>
          <w:lang w:val="en-CA"/>
        </w:rPr>
      </w:pPr>
      <w:r w:rsidRPr="009819CA">
        <w:rPr>
          <w:lang w:val="en-CA"/>
        </w:rPr>
        <w:t>•</w:t>
      </w:r>
      <w:r w:rsidRPr="009819CA">
        <w:rPr>
          <w:lang w:val="en-CA"/>
        </w:rPr>
        <w:tab/>
      </w:r>
      <w:r w:rsidR="00E35210" w:rsidRPr="009819CA">
        <w:rPr>
          <w:lang w:val="en-CA"/>
        </w:rPr>
        <w:t>The particularly convincing demonstration of the accused’s re</w:t>
      </w:r>
      <w:r w:rsidRPr="009819CA">
        <w:rPr>
          <w:lang w:val="en-CA"/>
        </w:rPr>
        <w:t>habilitation ….</w:t>
      </w:r>
      <w:r w:rsidRPr="009819CA">
        <w:rPr>
          <w:rStyle w:val="Appelnotedebasdep"/>
          <w:lang w:val="en-CA"/>
        </w:rPr>
        <w:footnoteReference w:id="6"/>
      </w:r>
    </w:p>
    <w:p w14:paraId="76FCFE24" w14:textId="77777777" w:rsidR="006F44CF" w:rsidRPr="009819CA" w:rsidRDefault="00CC4055" w:rsidP="006F44CF">
      <w:pPr>
        <w:pStyle w:val="Citationenretrait"/>
        <w:tabs>
          <w:tab w:val="left" w:pos="1134"/>
        </w:tabs>
        <w:ind w:left="1134" w:hanging="425"/>
        <w:jc w:val="right"/>
        <w:rPr>
          <w:lang w:val="en-CA"/>
        </w:rPr>
      </w:pPr>
      <w:r w:rsidRPr="009819CA">
        <w:rPr>
          <w:lang w:val="en-CA"/>
        </w:rPr>
        <w:t>[References omi</w:t>
      </w:r>
      <w:r w:rsidR="001F71EF" w:rsidRPr="009819CA">
        <w:rPr>
          <w:lang w:val="en-CA"/>
        </w:rPr>
        <w:t>tted</w:t>
      </w:r>
      <w:r w:rsidR="006F44CF" w:rsidRPr="009819CA">
        <w:rPr>
          <w:lang w:val="en-CA"/>
        </w:rPr>
        <w:t>]</w:t>
      </w:r>
    </w:p>
    <w:p w14:paraId="62AE91E1" w14:textId="7EF8D361" w:rsidR="006F44CF" w:rsidRPr="009819CA" w:rsidRDefault="00E35210" w:rsidP="006F44CF">
      <w:pPr>
        <w:pStyle w:val="Paragraphe"/>
        <w:rPr>
          <w:lang w:val="en-CA"/>
        </w:rPr>
      </w:pPr>
      <w:r w:rsidRPr="009819CA">
        <w:rPr>
          <w:lang w:val="en-CA"/>
        </w:rPr>
        <w:t>Taking all th</w:t>
      </w:r>
      <w:r w:rsidR="00732536" w:rsidRPr="009819CA">
        <w:rPr>
          <w:lang w:val="en-CA"/>
        </w:rPr>
        <w:t>e</w:t>
      </w:r>
      <w:r w:rsidRPr="009819CA">
        <w:rPr>
          <w:lang w:val="en-CA"/>
        </w:rPr>
        <w:t>se elements into account, the judge concluded that a conditional discharge w</w:t>
      </w:r>
      <w:r w:rsidR="00C426A2" w:rsidRPr="009819CA">
        <w:rPr>
          <w:lang w:val="en-CA"/>
        </w:rPr>
        <w:t>as</w:t>
      </w:r>
      <w:r w:rsidRPr="009819CA">
        <w:rPr>
          <w:lang w:val="en-CA"/>
        </w:rPr>
        <w:t xml:space="preserve"> the appropriate sentence.</w:t>
      </w:r>
      <w:r w:rsidR="006F44CF" w:rsidRPr="009819CA">
        <w:rPr>
          <w:lang w:val="en-CA"/>
        </w:rPr>
        <w:t xml:space="preserve"> </w:t>
      </w:r>
      <w:r w:rsidRPr="009819CA">
        <w:rPr>
          <w:lang w:val="en-CA"/>
        </w:rPr>
        <w:t xml:space="preserve">On the criterion of the accused’s </w:t>
      </w:r>
      <w:r w:rsidR="0063422F" w:rsidRPr="009819CA">
        <w:rPr>
          <w:lang w:val="en-CA"/>
        </w:rPr>
        <w:t>best</w:t>
      </w:r>
      <w:r w:rsidRPr="009819CA">
        <w:rPr>
          <w:lang w:val="en-CA"/>
        </w:rPr>
        <w:t xml:space="preserve"> interests, he found that </w:t>
      </w:r>
      <w:r w:rsidR="0092686C" w:rsidRPr="009819CA">
        <w:rPr>
          <w:lang w:val="en-CA"/>
        </w:rPr>
        <w:t>Mr.</w:t>
      </w:r>
      <w:r w:rsidR="003E09A6" w:rsidRPr="009819CA">
        <w:rPr>
          <w:lang w:val="en-CA"/>
        </w:rPr>
        <w:t> </w:t>
      </w:r>
      <w:r w:rsidR="006F44CF" w:rsidRPr="009819CA">
        <w:rPr>
          <w:lang w:val="en-CA"/>
        </w:rPr>
        <w:t>Houle</w:t>
      </w:r>
      <w:r w:rsidRPr="009819CA">
        <w:rPr>
          <w:lang w:val="en-CA"/>
        </w:rPr>
        <w:t xml:space="preserve"> [</w:t>
      </w:r>
      <w:r w:rsidRPr="009819CA">
        <w:rPr>
          <w:smallCaps/>
          <w:lang w:val="en-CA"/>
        </w:rPr>
        <w:t>translation</w:t>
      </w:r>
      <w:r w:rsidRPr="009819CA">
        <w:rPr>
          <w:lang w:val="en-CA"/>
        </w:rPr>
        <w:t xml:space="preserve">] “has generally demonstrated that he </w:t>
      </w:r>
      <w:r w:rsidR="00C426A2" w:rsidRPr="009819CA">
        <w:rPr>
          <w:lang w:val="en-CA"/>
        </w:rPr>
        <w:t xml:space="preserve">has </w:t>
      </w:r>
      <w:r w:rsidRPr="009819CA">
        <w:rPr>
          <w:lang w:val="en-CA"/>
        </w:rPr>
        <w:t>good morals”</w:t>
      </w:r>
      <w:r w:rsidR="006F44CF" w:rsidRPr="009819CA">
        <w:rPr>
          <w:rStyle w:val="Appelnotedebasdep"/>
          <w:lang w:val="en-CA"/>
        </w:rPr>
        <w:footnoteReference w:id="7"/>
      </w:r>
      <w:r w:rsidR="006F44CF" w:rsidRPr="009819CA">
        <w:rPr>
          <w:lang w:val="en-CA"/>
        </w:rPr>
        <w:t xml:space="preserve"> </w:t>
      </w:r>
      <w:r w:rsidRPr="009819CA">
        <w:rPr>
          <w:lang w:val="en-CA"/>
        </w:rPr>
        <w:t>and that the serious and criminal acts he committed against the victim were [</w:t>
      </w:r>
      <w:r w:rsidRPr="009819CA">
        <w:rPr>
          <w:smallCaps/>
          <w:lang w:val="en-CA"/>
        </w:rPr>
        <w:t>translation</w:t>
      </w:r>
      <w:r w:rsidRPr="009819CA">
        <w:rPr>
          <w:lang w:val="en-CA"/>
        </w:rPr>
        <w:t>] “</w:t>
      </w:r>
      <w:r w:rsidR="00C426A2" w:rsidRPr="009819CA">
        <w:rPr>
          <w:lang w:val="en-CA"/>
        </w:rPr>
        <w:t xml:space="preserve">contextual and </w:t>
      </w:r>
      <w:r w:rsidR="00605ACD" w:rsidRPr="009819CA">
        <w:rPr>
          <w:lang w:val="en-CA"/>
        </w:rPr>
        <w:t xml:space="preserve">isolated </w:t>
      </w:r>
      <w:r w:rsidRPr="009819CA">
        <w:rPr>
          <w:lang w:val="en-CA"/>
        </w:rPr>
        <w:t>in his life.”</w:t>
      </w:r>
      <w:r w:rsidR="006F44CF" w:rsidRPr="009819CA">
        <w:rPr>
          <w:rStyle w:val="Appelnotedebasdep"/>
          <w:lang w:val="en-CA"/>
        </w:rPr>
        <w:footnoteReference w:id="8"/>
      </w:r>
      <w:r w:rsidRPr="009819CA">
        <w:rPr>
          <w:lang w:val="en-CA"/>
        </w:rPr>
        <w:t xml:space="preserve"> The judge also </w:t>
      </w:r>
      <w:r w:rsidR="00C426A2" w:rsidRPr="009819CA">
        <w:rPr>
          <w:lang w:val="en-CA"/>
        </w:rPr>
        <w:t xml:space="preserve">noted </w:t>
      </w:r>
      <w:r w:rsidRPr="009819CA">
        <w:rPr>
          <w:lang w:val="en-CA"/>
        </w:rPr>
        <w:t xml:space="preserve">that </w:t>
      </w:r>
      <w:r w:rsidR="00CC4055" w:rsidRPr="009819CA">
        <w:rPr>
          <w:lang w:val="en-CA"/>
        </w:rPr>
        <w:t xml:space="preserve">a </w:t>
      </w:r>
      <w:r w:rsidRPr="009819CA">
        <w:rPr>
          <w:lang w:val="en-CA"/>
        </w:rPr>
        <w:t>conviction [</w:t>
      </w:r>
      <w:r w:rsidRPr="009819CA">
        <w:rPr>
          <w:smallCaps/>
          <w:lang w:val="en-CA"/>
        </w:rPr>
        <w:t>translation</w:t>
      </w:r>
      <w:r w:rsidRPr="009819CA">
        <w:rPr>
          <w:lang w:val="en-CA"/>
        </w:rPr>
        <w:t>] “could harm his engineering career” since it would be hard for him to travel outside the country.</w:t>
      </w:r>
      <w:r w:rsidR="006F44CF" w:rsidRPr="009819CA">
        <w:rPr>
          <w:rStyle w:val="Appelnotedebasdep"/>
          <w:lang w:val="en-CA"/>
        </w:rPr>
        <w:footnoteReference w:id="9"/>
      </w:r>
    </w:p>
    <w:p w14:paraId="5E1F46AB" w14:textId="679ADD88" w:rsidR="006F44CF" w:rsidRPr="009819CA" w:rsidRDefault="00B120DB" w:rsidP="006F44CF">
      <w:pPr>
        <w:pStyle w:val="Paragraphe"/>
        <w:rPr>
          <w:lang w:val="en-CA"/>
        </w:rPr>
      </w:pPr>
      <w:r w:rsidRPr="009819CA">
        <w:rPr>
          <w:lang w:val="en-CA"/>
        </w:rPr>
        <w:t xml:space="preserve">On the criterion of public interest, the judge weighed </w:t>
      </w:r>
      <w:r w:rsidR="00CC4055" w:rsidRPr="009819CA">
        <w:rPr>
          <w:lang w:val="en-CA"/>
        </w:rPr>
        <w:t xml:space="preserve">both </w:t>
      </w:r>
      <w:r w:rsidRPr="009819CA">
        <w:rPr>
          <w:lang w:val="en-CA"/>
        </w:rPr>
        <w:t xml:space="preserve">the gravity of the offence and the </w:t>
      </w:r>
      <w:r w:rsidR="00C426A2" w:rsidRPr="009819CA">
        <w:rPr>
          <w:lang w:val="en-CA"/>
        </w:rPr>
        <w:t xml:space="preserve">importance of </w:t>
      </w:r>
      <w:r w:rsidRPr="009819CA">
        <w:rPr>
          <w:lang w:val="en-CA"/>
        </w:rPr>
        <w:t xml:space="preserve">general </w:t>
      </w:r>
      <w:r w:rsidR="00CC4055" w:rsidRPr="009819CA">
        <w:rPr>
          <w:lang w:val="en-CA"/>
        </w:rPr>
        <w:t>deterrence</w:t>
      </w:r>
      <w:r w:rsidR="006F44CF" w:rsidRPr="009819CA">
        <w:rPr>
          <w:lang w:val="en-CA"/>
        </w:rPr>
        <w:t xml:space="preserve"> </w:t>
      </w:r>
      <w:r w:rsidR="00C426A2" w:rsidRPr="009819CA">
        <w:rPr>
          <w:lang w:val="en-CA"/>
        </w:rPr>
        <w:t xml:space="preserve">related </w:t>
      </w:r>
      <w:r w:rsidRPr="009819CA">
        <w:rPr>
          <w:lang w:val="en-CA"/>
        </w:rPr>
        <w:t>to sexual assault offences against the mitigating circumstances</w:t>
      </w:r>
      <w:r w:rsidR="005B2C93" w:rsidRPr="009819CA">
        <w:rPr>
          <w:lang w:val="en-CA"/>
        </w:rPr>
        <w:t>.</w:t>
      </w:r>
      <w:r w:rsidRPr="009819CA">
        <w:rPr>
          <w:lang w:val="en-CA"/>
        </w:rPr>
        <w:t xml:space="preserve"> </w:t>
      </w:r>
      <w:r w:rsidR="005B2C93" w:rsidRPr="009819CA">
        <w:rPr>
          <w:lang w:val="en-CA"/>
        </w:rPr>
        <w:t xml:space="preserve">He </w:t>
      </w:r>
      <w:r w:rsidRPr="009819CA">
        <w:rPr>
          <w:lang w:val="en-CA"/>
        </w:rPr>
        <w:t>conclud</w:t>
      </w:r>
      <w:r w:rsidR="005B2C93" w:rsidRPr="009819CA">
        <w:rPr>
          <w:lang w:val="en-CA"/>
        </w:rPr>
        <w:t>ed</w:t>
      </w:r>
      <w:r w:rsidRPr="009819CA">
        <w:rPr>
          <w:lang w:val="en-CA"/>
        </w:rPr>
        <w:t xml:space="preserve"> that [</w:t>
      </w:r>
      <w:r w:rsidRPr="009819CA">
        <w:rPr>
          <w:smallCaps/>
          <w:lang w:val="en-CA"/>
        </w:rPr>
        <w:t>translation</w:t>
      </w:r>
      <w:r w:rsidRPr="009819CA">
        <w:rPr>
          <w:lang w:val="en-CA"/>
        </w:rPr>
        <w:t xml:space="preserve">] “the public would not lose </w:t>
      </w:r>
      <w:r w:rsidR="005B2C93" w:rsidRPr="009819CA">
        <w:rPr>
          <w:lang w:val="en-CA"/>
        </w:rPr>
        <w:t xml:space="preserve">confidence </w:t>
      </w:r>
      <w:r w:rsidRPr="009819CA">
        <w:rPr>
          <w:lang w:val="en-CA"/>
        </w:rPr>
        <w:t>in the credibility of the legal system if the accused w</w:t>
      </w:r>
      <w:r w:rsidR="005B2C93" w:rsidRPr="009819CA">
        <w:rPr>
          <w:lang w:val="en-CA"/>
        </w:rPr>
        <w:t>as</w:t>
      </w:r>
      <w:r w:rsidRPr="009819CA">
        <w:rPr>
          <w:lang w:val="en-CA"/>
        </w:rPr>
        <w:t xml:space="preserve"> discharged.”</w:t>
      </w:r>
      <w:r w:rsidR="006F44CF" w:rsidRPr="009819CA">
        <w:rPr>
          <w:rStyle w:val="Appelnotedebasdep"/>
          <w:lang w:val="en-CA"/>
        </w:rPr>
        <w:footnoteReference w:id="10"/>
      </w:r>
    </w:p>
    <w:p w14:paraId="70E6F778" w14:textId="5EFC171A" w:rsidR="0098368F" w:rsidRPr="009819CA" w:rsidRDefault="00B120DB" w:rsidP="006F44CF">
      <w:pPr>
        <w:pStyle w:val="Paragraphe"/>
        <w:rPr>
          <w:lang w:val="en-CA"/>
        </w:rPr>
      </w:pPr>
      <w:r w:rsidRPr="009819CA">
        <w:rPr>
          <w:lang w:val="en-CA"/>
        </w:rPr>
        <w:t xml:space="preserve">In closing, the judge reiterated that </w:t>
      </w:r>
      <w:r w:rsidRPr="009819CA">
        <w:rPr>
          <w:smallCaps/>
          <w:lang w:val="en-CA"/>
        </w:rPr>
        <w:t>[translation</w:t>
      </w:r>
      <w:r w:rsidRPr="009819CA">
        <w:rPr>
          <w:lang w:val="en-CA"/>
        </w:rPr>
        <w:t>] “</w:t>
      </w:r>
      <w:r w:rsidR="005B2C93" w:rsidRPr="009819CA">
        <w:rPr>
          <w:lang w:val="en-CA"/>
        </w:rPr>
        <w:t xml:space="preserve">a </w:t>
      </w:r>
      <w:r w:rsidRPr="009819CA">
        <w:rPr>
          <w:lang w:val="en-CA"/>
        </w:rPr>
        <w:t xml:space="preserve">conditional discharge </w:t>
      </w:r>
      <w:r w:rsidR="00EA7F36" w:rsidRPr="009819CA">
        <w:rPr>
          <w:lang w:val="en-CA"/>
        </w:rPr>
        <w:t>includes</w:t>
      </w:r>
      <w:r w:rsidR="005B2C93" w:rsidRPr="009819CA">
        <w:rPr>
          <w:lang w:val="en-CA"/>
        </w:rPr>
        <w:t xml:space="preserve"> </w:t>
      </w:r>
      <w:r w:rsidRPr="009819CA">
        <w:rPr>
          <w:lang w:val="en-CA"/>
        </w:rPr>
        <w:t xml:space="preserve">a mechanism </w:t>
      </w:r>
      <w:r w:rsidR="005B2C93" w:rsidRPr="009819CA">
        <w:rPr>
          <w:lang w:val="en-CA"/>
        </w:rPr>
        <w:t>where</w:t>
      </w:r>
      <w:r w:rsidRPr="009819CA">
        <w:rPr>
          <w:lang w:val="en-CA"/>
        </w:rPr>
        <w:t xml:space="preserve">by a judge can </w:t>
      </w:r>
      <w:r w:rsidR="005B2C93" w:rsidRPr="009819CA">
        <w:rPr>
          <w:lang w:val="en-CA"/>
        </w:rPr>
        <w:t xml:space="preserve">revoke </w:t>
      </w:r>
      <w:r w:rsidRPr="009819CA">
        <w:rPr>
          <w:lang w:val="en-CA"/>
        </w:rPr>
        <w:t>the discharge and sentence the offender</w:t>
      </w:r>
      <w:r w:rsidR="00EA7F36" w:rsidRPr="009819CA">
        <w:rPr>
          <w:lang w:val="en-CA"/>
        </w:rPr>
        <w:t xml:space="preserve"> for the original offence</w:t>
      </w:r>
      <w:r w:rsidRPr="009819CA">
        <w:rPr>
          <w:lang w:val="en-CA"/>
        </w:rPr>
        <w:t>” if he commits a new offence.</w:t>
      </w:r>
      <w:r w:rsidR="00B266D8" w:rsidRPr="009819CA">
        <w:rPr>
          <w:rStyle w:val="Appelnotedebasdep"/>
          <w:lang w:val="en-CA"/>
        </w:rPr>
        <w:footnoteReference w:id="11"/>
      </w:r>
    </w:p>
    <w:p w14:paraId="67B09F44" w14:textId="395AC3A8" w:rsidR="00812439" w:rsidRPr="009819CA" w:rsidRDefault="00EA7F36" w:rsidP="007704DB">
      <w:pPr>
        <w:pStyle w:val="Paragraphe"/>
        <w:keepNext/>
        <w:numPr>
          <w:ilvl w:val="0"/>
          <w:numId w:val="19"/>
        </w:numPr>
        <w:rPr>
          <w:b/>
          <w:bCs/>
          <w:lang w:val="en-CA"/>
        </w:rPr>
      </w:pPr>
      <w:r w:rsidRPr="009819CA">
        <w:rPr>
          <w:b/>
          <w:bCs/>
          <w:lang w:val="en-CA"/>
        </w:rPr>
        <w:t>The i</w:t>
      </w:r>
      <w:r w:rsidR="00B120DB" w:rsidRPr="009819CA">
        <w:rPr>
          <w:b/>
          <w:bCs/>
          <w:lang w:val="en-CA"/>
        </w:rPr>
        <w:t>ssues and the positions of the</w:t>
      </w:r>
      <w:r w:rsidR="001F118C" w:rsidRPr="009819CA">
        <w:rPr>
          <w:b/>
          <w:bCs/>
          <w:lang w:val="en-CA"/>
        </w:rPr>
        <w:t xml:space="preserve"> parties</w:t>
      </w:r>
    </w:p>
    <w:p w14:paraId="7DDAEA76" w14:textId="40D29347" w:rsidR="003D533B" w:rsidRPr="009819CA" w:rsidRDefault="00686D61" w:rsidP="00655B82">
      <w:pPr>
        <w:pStyle w:val="Paragraphe"/>
        <w:rPr>
          <w:lang w:val="en-CA"/>
        </w:rPr>
      </w:pPr>
      <w:r w:rsidRPr="009819CA">
        <w:rPr>
          <w:lang w:val="en-CA"/>
        </w:rPr>
        <w:t>The prosecut</w:t>
      </w:r>
      <w:r w:rsidR="0034720C" w:rsidRPr="009819CA">
        <w:rPr>
          <w:lang w:val="en-CA"/>
        </w:rPr>
        <w:t>ion</w:t>
      </w:r>
      <w:r w:rsidRPr="009819CA">
        <w:rPr>
          <w:lang w:val="en-CA"/>
        </w:rPr>
        <w:t xml:space="preserve"> </w:t>
      </w:r>
      <w:r w:rsidR="0034720C" w:rsidRPr="009819CA">
        <w:rPr>
          <w:lang w:val="en-CA"/>
        </w:rPr>
        <w:t>raises</w:t>
      </w:r>
      <w:r w:rsidRPr="009819CA">
        <w:rPr>
          <w:lang w:val="en-CA"/>
        </w:rPr>
        <w:t xml:space="preserve"> five grounds of appeal:</w:t>
      </w:r>
    </w:p>
    <w:p w14:paraId="5261AD3F" w14:textId="673F9356" w:rsidR="003D533B" w:rsidRPr="009819CA" w:rsidRDefault="00686D61" w:rsidP="009B41E2">
      <w:pPr>
        <w:pStyle w:val="Paragraphe"/>
        <w:numPr>
          <w:ilvl w:val="0"/>
          <w:numId w:val="22"/>
        </w:numPr>
        <w:ind w:left="714" w:hanging="357"/>
        <w:rPr>
          <w:lang w:val="en-CA"/>
        </w:rPr>
      </w:pPr>
      <w:r w:rsidRPr="009819CA">
        <w:rPr>
          <w:lang w:val="en-CA"/>
        </w:rPr>
        <w:lastRenderedPageBreak/>
        <w:t>Th</w:t>
      </w:r>
      <w:r w:rsidR="003D533B" w:rsidRPr="009819CA">
        <w:rPr>
          <w:lang w:val="en-CA"/>
        </w:rPr>
        <w:t xml:space="preserve">e </w:t>
      </w:r>
      <w:r w:rsidRPr="009819CA">
        <w:rPr>
          <w:lang w:val="en-CA"/>
        </w:rPr>
        <w:t xml:space="preserve">trial </w:t>
      </w:r>
      <w:r w:rsidR="003D533B" w:rsidRPr="009819CA">
        <w:rPr>
          <w:lang w:val="en-CA"/>
        </w:rPr>
        <w:t>ju</w:t>
      </w:r>
      <w:r w:rsidRPr="009819CA">
        <w:rPr>
          <w:lang w:val="en-CA"/>
        </w:rPr>
        <w:t>dge err</w:t>
      </w:r>
      <w:r w:rsidR="005B2C93" w:rsidRPr="009819CA">
        <w:rPr>
          <w:lang w:val="en-CA"/>
        </w:rPr>
        <w:t>ed</w:t>
      </w:r>
      <w:r w:rsidRPr="009819CA">
        <w:rPr>
          <w:lang w:val="en-CA"/>
        </w:rPr>
        <w:t xml:space="preserve"> </w:t>
      </w:r>
      <w:r w:rsidR="005B2C93" w:rsidRPr="009819CA">
        <w:rPr>
          <w:lang w:val="en-CA"/>
        </w:rPr>
        <w:t>in</w:t>
      </w:r>
      <w:r w:rsidRPr="009819CA">
        <w:rPr>
          <w:lang w:val="en-CA"/>
        </w:rPr>
        <w:t xml:space="preserve"> </w:t>
      </w:r>
      <w:r w:rsidR="003D533B" w:rsidRPr="009819CA">
        <w:rPr>
          <w:lang w:val="en-CA"/>
        </w:rPr>
        <w:t>princip</w:t>
      </w:r>
      <w:r w:rsidRPr="009819CA">
        <w:rPr>
          <w:lang w:val="en-CA"/>
        </w:rPr>
        <w:t>l</w:t>
      </w:r>
      <w:r w:rsidR="003D533B" w:rsidRPr="009819CA">
        <w:rPr>
          <w:lang w:val="en-CA"/>
        </w:rPr>
        <w:t xml:space="preserve">e </w:t>
      </w:r>
      <w:r w:rsidRPr="009819CA">
        <w:rPr>
          <w:lang w:val="en-CA"/>
        </w:rPr>
        <w:t xml:space="preserve">in </w:t>
      </w:r>
      <w:r w:rsidR="005B2C93" w:rsidRPr="009819CA">
        <w:rPr>
          <w:lang w:val="en-CA"/>
        </w:rPr>
        <w:t xml:space="preserve">his </w:t>
      </w:r>
      <w:r w:rsidR="0034720C" w:rsidRPr="009819CA">
        <w:rPr>
          <w:lang w:val="en-CA"/>
        </w:rPr>
        <w:t>assess</w:t>
      </w:r>
      <w:r w:rsidR="005B2C93" w:rsidRPr="009819CA">
        <w:rPr>
          <w:lang w:val="en-CA"/>
        </w:rPr>
        <w:t xml:space="preserve">ment of </w:t>
      </w:r>
      <w:r w:rsidR="0034720C" w:rsidRPr="009819CA">
        <w:rPr>
          <w:lang w:val="en-CA"/>
        </w:rPr>
        <w:t xml:space="preserve">certain </w:t>
      </w:r>
      <w:r w:rsidRPr="009819CA">
        <w:rPr>
          <w:lang w:val="en-CA"/>
        </w:rPr>
        <w:t xml:space="preserve">mitigating </w:t>
      </w:r>
      <w:r w:rsidR="0034720C" w:rsidRPr="009819CA">
        <w:rPr>
          <w:lang w:val="en-CA"/>
        </w:rPr>
        <w:t xml:space="preserve">factors </w:t>
      </w:r>
      <w:r w:rsidR="003D533B" w:rsidRPr="009819CA">
        <w:rPr>
          <w:lang w:val="en-CA"/>
        </w:rPr>
        <w:t>(</w:t>
      </w:r>
      <w:r w:rsidR="0092686C" w:rsidRPr="009819CA">
        <w:rPr>
          <w:lang w:val="en-CA"/>
        </w:rPr>
        <w:t>Mr.</w:t>
      </w:r>
      <w:r w:rsidR="00B0362C" w:rsidRPr="009819CA">
        <w:rPr>
          <w:lang w:val="en-CA"/>
        </w:rPr>
        <w:t> </w:t>
      </w:r>
      <w:r w:rsidR="003D533B" w:rsidRPr="009819CA">
        <w:rPr>
          <w:lang w:val="en-CA"/>
        </w:rPr>
        <w:t>Houle</w:t>
      </w:r>
      <w:r w:rsidR="0034720C" w:rsidRPr="009819CA">
        <w:rPr>
          <w:lang w:val="en-CA"/>
        </w:rPr>
        <w:t>’s inebriation</w:t>
      </w:r>
      <w:r w:rsidR="003D533B" w:rsidRPr="009819CA">
        <w:rPr>
          <w:lang w:val="en-CA"/>
        </w:rPr>
        <w:t xml:space="preserve">, </w:t>
      </w:r>
      <w:r w:rsidRPr="009819CA">
        <w:rPr>
          <w:lang w:val="en-CA"/>
        </w:rPr>
        <w:t>his good morals, the duration of the assault)</w:t>
      </w:r>
      <w:r w:rsidR="00CC4055" w:rsidRPr="009819CA">
        <w:rPr>
          <w:lang w:val="en-CA"/>
        </w:rPr>
        <w:t>, thereby demonstrating a mis</w:t>
      </w:r>
      <w:r w:rsidRPr="009819CA">
        <w:rPr>
          <w:lang w:val="en-CA"/>
        </w:rPr>
        <w:t xml:space="preserve">understanding of the </w:t>
      </w:r>
      <w:r w:rsidR="0034720C" w:rsidRPr="009819CA">
        <w:rPr>
          <w:lang w:val="en-CA"/>
        </w:rPr>
        <w:t xml:space="preserve">harm </w:t>
      </w:r>
      <w:r w:rsidRPr="009819CA">
        <w:rPr>
          <w:lang w:val="en-CA"/>
        </w:rPr>
        <w:t xml:space="preserve">caused by </w:t>
      </w:r>
      <w:r w:rsidR="0034720C" w:rsidRPr="009819CA">
        <w:rPr>
          <w:lang w:val="en-CA"/>
        </w:rPr>
        <w:t xml:space="preserve">sex </w:t>
      </w:r>
      <w:r w:rsidRPr="009819CA">
        <w:rPr>
          <w:lang w:val="en-CA"/>
        </w:rPr>
        <w:t>offences</w:t>
      </w:r>
      <w:r w:rsidR="00DD6FB8" w:rsidRPr="009819CA">
        <w:rPr>
          <w:lang w:val="en-CA"/>
        </w:rPr>
        <w:t>;</w:t>
      </w:r>
    </w:p>
    <w:p w14:paraId="084037CF" w14:textId="13FE608E" w:rsidR="00DD6FB8" w:rsidRPr="009819CA" w:rsidRDefault="00686D61" w:rsidP="003D533B">
      <w:pPr>
        <w:pStyle w:val="Paragraphe"/>
        <w:numPr>
          <w:ilvl w:val="0"/>
          <w:numId w:val="22"/>
        </w:numPr>
        <w:rPr>
          <w:lang w:val="en-CA"/>
        </w:rPr>
      </w:pPr>
      <w:r w:rsidRPr="009819CA">
        <w:rPr>
          <w:lang w:val="en-CA"/>
        </w:rPr>
        <w:t xml:space="preserve">He </w:t>
      </w:r>
      <w:r w:rsidR="005B2C93" w:rsidRPr="009819CA">
        <w:rPr>
          <w:lang w:val="en-CA"/>
        </w:rPr>
        <w:t xml:space="preserve">unreasonably </w:t>
      </w:r>
      <w:r w:rsidRPr="009819CA">
        <w:rPr>
          <w:lang w:val="en-CA"/>
        </w:rPr>
        <w:t xml:space="preserve">exercised his discretionary powers by giving too much weight to </w:t>
      </w:r>
      <w:r w:rsidR="0092686C" w:rsidRPr="009819CA">
        <w:rPr>
          <w:lang w:val="en-CA"/>
        </w:rPr>
        <w:t>Mr.</w:t>
      </w:r>
      <w:r w:rsidR="00B0362C" w:rsidRPr="009819CA">
        <w:rPr>
          <w:lang w:val="en-CA"/>
        </w:rPr>
        <w:t> </w:t>
      </w:r>
      <w:r w:rsidR="00DD6FB8" w:rsidRPr="009819CA">
        <w:rPr>
          <w:lang w:val="en-CA"/>
        </w:rPr>
        <w:t>Houle</w:t>
      </w:r>
      <w:r w:rsidRPr="009819CA">
        <w:rPr>
          <w:lang w:val="en-CA"/>
        </w:rPr>
        <w:t xml:space="preserve">’s profile and rehabilitation and not enough to the </w:t>
      </w:r>
      <w:r w:rsidR="00DD6FB8" w:rsidRPr="009819CA">
        <w:rPr>
          <w:lang w:val="en-CA"/>
        </w:rPr>
        <w:t xml:space="preserve">subjective </w:t>
      </w:r>
      <w:r w:rsidR="00285259" w:rsidRPr="009819CA">
        <w:rPr>
          <w:lang w:val="en-CA"/>
        </w:rPr>
        <w:t xml:space="preserve">seriousness </w:t>
      </w:r>
      <w:r w:rsidRPr="009819CA">
        <w:rPr>
          <w:lang w:val="en-CA"/>
        </w:rPr>
        <w:t xml:space="preserve">of the offences; </w:t>
      </w:r>
    </w:p>
    <w:p w14:paraId="22A9C596" w14:textId="49E9A5F0" w:rsidR="00DD6FB8" w:rsidRPr="009819CA" w:rsidRDefault="005E5090" w:rsidP="003D533B">
      <w:pPr>
        <w:pStyle w:val="Paragraphe"/>
        <w:numPr>
          <w:ilvl w:val="0"/>
          <w:numId w:val="22"/>
        </w:numPr>
        <w:rPr>
          <w:lang w:val="en-CA"/>
        </w:rPr>
      </w:pPr>
      <w:r w:rsidRPr="009819CA">
        <w:rPr>
          <w:lang w:val="en-CA"/>
        </w:rPr>
        <w:t xml:space="preserve">He </w:t>
      </w:r>
      <w:r w:rsidR="00EA7F36" w:rsidRPr="009819CA">
        <w:rPr>
          <w:lang w:val="en-CA"/>
        </w:rPr>
        <w:t>erred</w:t>
      </w:r>
      <w:r w:rsidRPr="009819CA">
        <w:rPr>
          <w:lang w:val="en-CA"/>
        </w:rPr>
        <w:t xml:space="preserve"> </w:t>
      </w:r>
      <w:r w:rsidR="005B2C93" w:rsidRPr="009819CA">
        <w:rPr>
          <w:lang w:val="en-CA"/>
        </w:rPr>
        <w:t>in</w:t>
      </w:r>
      <w:r w:rsidRPr="009819CA">
        <w:rPr>
          <w:lang w:val="en-CA"/>
        </w:rPr>
        <w:t xml:space="preserve"> </w:t>
      </w:r>
      <w:r w:rsidR="00DD6FB8" w:rsidRPr="009819CA">
        <w:rPr>
          <w:lang w:val="en-CA"/>
        </w:rPr>
        <w:t>princip</w:t>
      </w:r>
      <w:r w:rsidRPr="009819CA">
        <w:rPr>
          <w:lang w:val="en-CA"/>
        </w:rPr>
        <w:t>l</w:t>
      </w:r>
      <w:r w:rsidR="00DD6FB8" w:rsidRPr="009819CA">
        <w:rPr>
          <w:lang w:val="en-CA"/>
        </w:rPr>
        <w:t xml:space="preserve">e </w:t>
      </w:r>
      <w:r w:rsidR="005B2C93" w:rsidRPr="009819CA">
        <w:rPr>
          <w:lang w:val="en-CA"/>
        </w:rPr>
        <w:t xml:space="preserve">by </w:t>
      </w:r>
      <w:r w:rsidRPr="009819CA">
        <w:rPr>
          <w:lang w:val="en-CA"/>
        </w:rPr>
        <w:t>conclud</w:t>
      </w:r>
      <w:r w:rsidR="005B2C93" w:rsidRPr="009819CA">
        <w:rPr>
          <w:lang w:val="en-CA"/>
        </w:rPr>
        <w:t>ing</w:t>
      </w:r>
      <w:r w:rsidRPr="009819CA">
        <w:rPr>
          <w:lang w:val="en-CA"/>
        </w:rPr>
        <w:t xml:space="preserve"> that the criterion of the </w:t>
      </w:r>
      <w:r w:rsidR="0063422F" w:rsidRPr="009819CA">
        <w:rPr>
          <w:lang w:val="en-CA"/>
        </w:rPr>
        <w:t>best</w:t>
      </w:r>
      <w:r w:rsidRPr="009819CA">
        <w:rPr>
          <w:lang w:val="en-CA"/>
        </w:rPr>
        <w:t xml:space="preserve"> interest</w:t>
      </w:r>
      <w:r w:rsidR="00CE53D4" w:rsidRPr="009819CA">
        <w:rPr>
          <w:lang w:val="en-CA"/>
        </w:rPr>
        <w:t>s</w:t>
      </w:r>
      <w:r w:rsidRPr="009819CA">
        <w:rPr>
          <w:lang w:val="en-CA"/>
        </w:rPr>
        <w:t xml:space="preserve"> </w:t>
      </w:r>
      <w:r w:rsidR="0028286B" w:rsidRPr="009819CA">
        <w:rPr>
          <w:lang w:val="en-CA"/>
        </w:rPr>
        <w:t xml:space="preserve">of the accused </w:t>
      </w:r>
      <w:proofErr w:type="gramStart"/>
      <w:r w:rsidR="005B2C93" w:rsidRPr="009819CA">
        <w:rPr>
          <w:lang w:val="en-CA"/>
        </w:rPr>
        <w:t xml:space="preserve">was </w:t>
      </w:r>
      <w:r w:rsidRPr="009819CA">
        <w:rPr>
          <w:lang w:val="en-CA"/>
        </w:rPr>
        <w:t>met</w:t>
      </w:r>
      <w:proofErr w:type="gramEnd"/>
      <w:r w:rsidRPr="009819CA">
        <w:rPr>
          <w:lang w:val="en-CA"/>
        </w:rPr>
        <w:t xml:space="preserve">, </w:t>
      </w:r>
      <w:r w:rsidR="00DD6FB8" w:rsidRPr="009819CA">
        <w:rPr>
          <w:lang w:val="en-CA"/>
        </w:rPr>
        <w:t>e</w:t>
      </w:r>
      <w:r w:rsidRPr="009819CA">
        <w:rPr>
          <w:lang w:val="en-CA"/>
        </w:rPr>
        <w:t>ve</w:t>
      </w:r>
      <w:r w:rsidR="00DD6FB8" w:rsidRPr="009819CA">
        <w:rPr>
          <w:lang w:val="en-CA"/>
        </w:rPr>
        <w:t xml:space="preserve">n </w:t>
      </w:r>
      <w:r w:rsidRPr="009819CA">
        <w:rPr>
          <w:lang w:val="en-CA"/>
        </w:rPr>
        <w:t xml:space="preserve">though neither the evidence nor judicial notice supported the professional prejudice alleged by </w:t>
      </w:r>
      <w:r w:rsidR="0092686C" w:rsidRPr="009819CA">
        <w:rPr>
          <w:lang w:val="en-CA"/>
        </w:rPr>
        <w:t>Mr.</w:t>
      </w:r>
      <w:r w:rsidR="00B0362C" w:rsidRPr="009819CA">
        <w:rPr>
          <w:lang w:val="en-CA"/>
        </w:rPr>
        <w:t> </w:t>
      </w:r>
      <w:r w:rsidR="00DD6FB8" w:rsidRPr="009819CA">
        <w:rPr>
          <w:lang w:val="en-CA"/>
        </w:rPr>
        <w:t>Houle</w:t>
      </w:r>
      <w:r w:rsidR="0085161F" w:rsidRPr="009819CA">
        <w:rPr>
          <w:lang w:val="en-CA"/>
        </w:rPr>
        <w:t>;</w:t>
      </w:r>
    </w:p>
    <w:p w14:paraId="660DC69C" w14:textId="3A5AB892" w:rsidR="0085161F" w:rsidRPr="009819CA" w:rsidRDefault="005E5090" w:rsidP="003D533B">
      <w:pPr>
        <w:pStyle w:val="Paragraphe"/>
        <w:numPr>
          <w:ilvl w:val="0"/>
          <w:numId w:val="22"/>
        </w:numPr>
        <w:rPr>
          <w:lang w:val="en-CA"/>
        </w:rPr>
      </w:pPr>
      <w:r w:rsidRPr="009819CA">
        <w:rPr>
          <w:lang w:val="en-CA"/>
        </w:rPr>
        <w:t xml:space="preserve">He erred </w:t>
      </w:r>
      <w:r w:rsidR="005B2C93" w:rsidRPr="009819CA">
        <w:rPr>
          <w:lang w:val="en-CA"/>
        </w:rPr>
        <w:t xml:space="preserve">by </w:t>
      </w:r>
      <w:r w:rsidR="004357AF" w:rsidRPr="009819CA">
        <w:rPr>
          <w:lang w:val="en-CA"/>
        </w:rPr>
        <w:t xml:space="preserve">failing to </w:t>
      </w:r>
      <w:r w:rsidRPr="009819CA">
        <w:rPr>
          <w:lang w:val="en-CA"/>
        </w:rPr>
        <w:t xml:space="preserve">sentence on the </w:t>
      </w:r>
      <w:r w:rsidR="005B2C93" w:rsidRPr="009819CA">
        <w:rPr>
          <w:lang w:val="en-CA"/>
        </w:rPr>
        <w:t xml:space="preserve">count </w:t>
      </w:r>
      <w:r w:rsidRPr="009819CA">
        <w:rPr>
          <w:lang w:val="en-CA"/>
        </w:rPr>
        <w:t xml:space="preserve">of voyeurism or by </w:t>
      </w:r>
      <w:r w:rsidR="00285259" w:rsidRPr="009819CA">
        <w:rPr>
          <w:lang w:val="en-CA"/>
        </w:rPr>
        <w:t xml:space="preserve">failing to provide </w:t>
      </w:r>
      <w:r w:rsidRPr="009819CA">
        <w:rPr>
          <w:lang w:val="en-CA"/>
        </w:rPr>
        <w:t xml:space="preserve">sufficient reasons for his </w:t>
      </w:r>
      <w:r w:rsidR="00FC7E82" w:rsidRPr="009819CA">
        <w:rPr>
          <w:lang w:val="en-CA"/>
        </w:rPr>
        <w:t>de</w:t>
      </w:r>
      <w:r w:rsidR="0085161F" w:rsidRPr="009819CA">
        <w:rPr>
          <w:lang w:val="en-CA"/>
        </w:rPr>
        <w:t>cision;</w:t>
      </w:r>
    </w:p>
    <w:p w14:paraId="39893493" w14:textId="64AAF8ED" w:rsidR="00DD6FB8" w:rsidRPr="009819CA" w:rsidRDefault="00FC7E82" w:rsidP="003D533B">
      <w:pPr>
        <w:pStyle w:val="Paragraphe"/>
        <w:numPr>
          <w:ilvl w:val="0"/>
          <w:numId w:val="22"/>
        </w:numPr>
        <w:rPr>
          <w:lang w:val="en-CA"/>
        </w:rPr>
      </w:pPr>
      <w:r w:rsidRPr="009819CA">
        <w:rPr>
          <w:lang w:val="en-CA"/>
        </w:rPr>
        <w:t>He impos</w:t>
      </w:r>
      <w:r w:rsidR="00275A23" w:rsidRPr="009819CA">
        <w:rPr>
          <w:lang w:val="en-CA"/>
        </w:rPr>
        <w:t xml:space="preserve">ed a </w:t>
      </w:r>
      <w:r w:rsidR="004357AF" w:rsidRPr="009819CA">
        <w:rPr>
          <w:lang w:val="en-CA"/>
        </w:rPr>
        <w:t xml:space="preserve">demonstrably unfit </w:t>
      </w:r>
      <w:r w:rsidRPr="009819CA">
        <w:rPr>
          <w:lang w:val="en-CA"/>
        </w:rPr>
        <w:t>sentence.</w:t>
      </w:r>
    </w:p>
    <w:p w14:paraId="5FB2C670" w14:textId="20533206" w:rsidR="00E743BC" w:rsidRPr="009819CA" w:rsidRDefault="0034720C" w:rsidP="00655B82">
      <w:pPr>
        <w:pStyle w:val="Paragraphe"/>
        <w:rPr>
          <w:lang w:val="en-CA"/>
        </w:rPr>
      </w:pPr>
      <w:r w:rsidRPr="009819CA">
        <w:rPr>
          <w:lang w:val="en-CA"/>
        </w:rPr>
        <w:t xml:space="preserve">Counsel for </w:t>
      </w:r>
      <w:r w:rsidR="0092686C" w:rsidRPr="009819CA">
        <w:rPr>
          <w:lang w:val="en-CA"/>
        </w:rPr>
        <w:t>Mr.</w:t>
      </w:r>
      <w:r w:rsidR="00B0362C" w:rsidRPr="009819CA">
        <w:rPr>
          <w:lang w:val="en-CA"/>
        </w:rPr>
        <w:t> </w:t>
      </w:r>
      <w:r w:rsidR="00E743BC" w:rsidRPr="009819CA">
        <w:rPr>
          <w:lang w:val="en-CA"/>
        </w:rPr>
        <w:t>Houle</w:t>
      </w:r>
      <w:r w:rsidR="00FC7E82" w:rsidRPr="009819CA">
        <w:rPr>
          <w:lang w:val="en-CA"/>
        </w:rPr>
        <w:t xml:space="preserve"> </w:t>
      </w:r>
      <w:r w:rsidR="004357AF" w:rsidRPr="009819CA">
        <w:rPr>
          <w:lang w:val="en-CA"/>
        </w:rPr>
        <w:t xml:space="preserve">replies </w:t>
      </w:r>
      <w:r w:rsidR="00FC7E82" w:rsidRPr="009819CA">
        <w:rPr>
          <w:lang w:val="en-CA"/>
        </w:rPr>
        <w:t xml:space="preserve">that </w:t>
      </w:r>
      <w:r w:rsidR="004357AF" w:rsidRPr="009819CA">
        <w:rPr>
          <w:lang w:val="en-CA"/>
        </w:rPr>
        <w:t>trial judges</w:t>
      </w:r>
      <w:r w:rsidR="00FC7E82" w:rsidRPr="009819CA">
        <w:rPr>
          <w:lang w:val="en-CA"/>
        </w:rPr>
        <w:t xml:space="preserve"> “are best</w:t>
      </w:r>
      <w:r w:rsidR="00FC7E82" w:rsidRPr="009819CA">
        <w:rPr>
          <w:rFonts w:ascii="Cambria Math" w:hAnsi="Cambria Math" w:cs="Cambria Math"/>
          <w:lang w:val="en-CA"/>
        </w:rPr>
        <w:t>‑</w:t>
      </w:r>
      <w:r w:rsidR="00FC7E82" w:rsidRPr="009819CA">
        <w:rPr>
          <w:rFonts w:cs="Arial"/>
          <w:lang w:val="en-CA"/>
        </w:rPr>
        <w:t>positioned to craft a fit sentence for the offenders before them”</w:t>
      </w:r>
      <w:bookmarkStart w:id="8" w:name="_Ref123893764"/>
      <w:r w:rsidR="009F3F26" w:rsidRPr="009819CA">
        <w:rPr>
          <w:rStyle w:val="Appelnotedebasdep"/>
          <w:lang w:val="en-CA"/>
        </w:rPr>
        <w:footnoteReference w:id="12"/>
      </w:r>
      <w:bookmarkEnd w:id="8"/>
      <w:r w:rsidR="0049046F" w:rsidRPr="009819CA">
        <w:rPr>
          <w:lang w:val="en-CA"/>
        </w:rPr>
        <w:t xml:space="preserve"> </w:t>
      </w:r>
      <w:r w:rsidR="00FC7E82" w:rsidRPr="009819CA">
        <w:rPr>
          <w:lang w:val="en-CA"/>
        </w:rPr>
        <w:t xml:space="preserve">and that an appellate court cannot </w:t>
      </w:r>
      <w:r w:rsidR="004F3914" w:rsidRPr="009819CA">
        <w:rPr>
          <w:lang w:val="en-CA"/>
        </w:rPr>
        <w:t>vary</w:t>
      </w:r>
      <w:r w:rsidR="00FC7E82" w:rsidRPr="009819CA">
        <w:rPr>
          <w:lang w:val="en-CA"/>
        </w:rPr>
        <w:t xml:space="preserve"> a sentence “simply because it would have weighed the relevant factors differently”</w:t>
      </w:r>
      <w:bookmarkStart w:id="9" w:name="_Ref121313958"/>
      <w:r w:rsidR="0028286B" w:rsidRPr="009819CA">
        <w:rPr>
          <w:lang w:val="en-CA"/>
        </w:rPr>
        <w:t>.</w:t>
      </w:r>
      <w:r w:rsidR="009F3F26" w:rsidRPr="009819CA">
        <w:rPr>
          <w:rStyle w:val="Appelnotedebasdep"/>
          <w:lang w:val="en-CA"/>
        </w:rPr>
        <w:footnoteReference w:id="13"/>
      </w:r>
      <w:bookmarkEnd w:id="9"/>
      <w:r w:rsidR="00647BAD" w:rsidRPr="009819CA">
        <w:rPr>
          <w:lang w:val="en-CA"/>
        </w:rPr>
        <w:t xml:space="preserve"> </w:t>
      </w:r>
      <w:r w:rsidR="00FC7E82" w:rsidRPr="009819CA">
        <w:rPr>
          <w:lang w:val="en-CA"/>
        </w:rPr>
        <w:t xml:space="preserve">According to </w:t>
      </w:r>
      <w:r w:rsidR="004357AF" w:rsidRPr="009819CA">
        <w:rPr>
          <w:lang w:val="en-CA"/>
        </w:rPr>
        <w:t>counsel</w:t>
      </w:r>
      <w:r w:rsidR="00FC7E82" w:rsidRPr="009819CA">
        <w:rPr>
          <w:lang w:val="en-CA"/>
        </w:rPr>
        <w:t xml:space="preserve">, the judge </w:t>
      </w:r>
      <w:r w:rsidR="004357AF" w:rsidRPr="009819CA">
        <w:rPr>
          <w:lang w:val="en-CA"/>
        </w:rPr>
        <w:t xml:space="preserve">could </w:t>
      </w:r>
      <w:r w:rsidR="0048446D" w:rsidRPr="009819CA">
        <w:rPr>
          <w:lang w:val="en-CA"/>
        </w:rPr>
        <w:t>pass one</w:t>
      </w:r>
      <w:r w:rsidR="00FC7E82" w:rsidRPr="009819CA">
        <w:rPr>
          <w:lang w:val="en-CA"/>
        </w:rPr>
        <w:t xml:space="preserve"> sentence for </w:t>
      </w:r>
      <w:r w:rsidR="00CC4055" w:rsidRPr="009819CA">
        <w:rPr>
          <w:lang w:val="en-CA"/>
        </w:rPr>
        <w:t xml:space="preserve">both </w:t>
      </w:r>
      <w:r w:rsidR="004357AF" w:rsidRPr="009819CA">
        <w:rPr>
          <w:lang w:val="en-CA"/>
        </w:rPr>
        <w:t xml:space="preserve">counts </w:t>
      </w:r>
      <w:r w:rsidR="00CC4055" w:rsidRPr="009819CA">
        <w:rPr>
          <w:lang w:val="en-CA"/>
        </w:rPr>
        <w:t xml:space="preserve">and his </w:t>
      </w:r>
      <w:r w:rsidR="004357AF" w:rsidRPr="009819CA">
        <w:rPr>
          <w:lang w:val="en-CA"/>
        </w:rPr>
        <w:t xml:space="preserve">assessment </w:t>
      </w:r>
      <w:r w:rsidR="00CC4055" w:rsidRPr="009819CA">
        <w:rPr>
          <w:lang w:val="en-CA"/>
        </w:rPr>
        <w:t>of</w:t>
      </w:r>
      <w:r w:rsidR="00FC7E82" w:rsidRPr="009819CA">
        <w:rPr>
          <w:lang w:val="en-CA"/>
        </w:rPr>
        <w:t xml:space="preserve"> the mitigating circumstances </w:t>
      </w:r>
      <w:r w:rsidR="00D92B7F" w:rsidRPr="009819CA">
        <w:rPr>
          <w:lang w:val="en-CA"/>
        </w:rPr>
        <w:t>was</w:t>
      </w:r>
      <w:r w:rsidR="00D92B7F" w:rsidRPr="009819CA">
        <w:rPr>
          <w:lang w:val="en-CA"/>
        </w:rPr>
        <w:t xml:space="preserve"> </w:t>
      </w:r>
      <w:r w:rsidR="00FC7E82" w:rsidRPr="009819CA">
        <w:rPr>
          <w:lang w:val="en-CA"/>
        </w:rPr>
        <w:t xml:space="preserve">reasonable, as </w:t>
      </w:r>
      <w:r w:rsidR="00D92B7F" w:rsidRPr="009819CA">
        <w:rPr>
          <w:lang w:val="en-CA"/>
        </w:rPr>
        <w:t>was</w:t>
      </w:r>
      <w:r w:rsidR="00D92B7F" w:rsidRPr="009819CA">
        <w:rPr>
          <w:lang w:val="en-CA"/>
        </w:rPr>
        <w:t xml:space="preserve"> </w:t>
      </w:r>
      <w:r w:rsidR="00FC7E82" w:rsidRPr="009819CA">
        <w:rPr>
          <w:lang w:val="en-CA"/>
        </w:rPr>
        <w:t xml:space="preserve">his </w:t>
      </w:r>
      <w:r w:rsidR="00FB5A8F" w:rsidRPr="009819CA">
        <w:rPr>
          <w:lang w:val="en-CA"/>
        </w:rPr>
        <w:t xml:space="preserve">assessment of the criteria </w:t>
      </w:r>
      <w:r w:rsidR="004357AF" w:rsidRPr="009819CA">
        <w:rPr>
          <w:lang w:val="en-CA"/>
        </w:rPr>
        <w:t xml:space="preserve">to order </w:t>
      </w:r>
      <w:r w:rsidR="00FB5A8F" w:rsidRPr="009819CA">
        <w:rPr>
          <w:lang w:val="en-CA"/>
        </w:rPr>
        <w:t>a discharge. On th</w:t>
      </w:r>
      <w:r w:rsidR="004357AF" w:rsidRPr="009819CA">
        <w:rPr>
          <w:lang w:val="en-CA"/>
        </w:rPr>
        <w:t>is</w:t>
      </w:r>
      <w:r w:rsidR="00FB5A8F" w:rsidRPr="009819CA">
        <w:rPr>
          <w:lang w:val="en-CA"/>
        </w:rPr>
        <w:t xml:space="preserve"> last point, </w:t>
      </w:r>
      <w:r w:rsidR="004357AF" w:rsidRPr="009819CA">
        <w:rPr>
          <w:lang w:val="en-CA"/>
        </w:rPr>
        <w:t xml:space="preserve">counsel for </w:t>
      </w:r>
      <w:r w:rsidR="0092686C" w:rsidRPr="009819CA">
        <w:rPr>
          <w:lang w:val="en-CA"/>
        </w:rPr>
        <w:t>Mr.</w:t>
      </w:r>
      <w:r w:rsidR="00B0362C" w:rsidRPr="009819CA">
        <w:rPr>
          <w:lang w:val="en-CA"/>
        </w:rPr>
        <w:t> </w:t>
      </w:r>
      <w:r w:rsidR="00EB7DAA" w:rsidRPr="009819CA">
        <w:rPr>
          <w:lang w:val="en-CA"/>
        </w:rPr>
        <w:t xml:space="preserve">Houle </w:t>
      </w:r>
      <w:r w:rsidR="00FB5A8F" w:rsidRPr="009819CA">
        <w:rPr>
          <w:lang w:val="en-CA"/>
        </w:rPr>
        <w:t>ask</w:t>
      </w:r>
      <w:r w:rsidR="004357AF" w:rsidRPr="009819CA">
        <w:rPr>
          <w:lang w:val="en-CA"/>
        </w:rPr>
        <w:t>s</w:t>
      </w:r>
      <w:r w:rsidR="00FB5A8F" w:rsidRPr="009819CA">
        <w:rPr>
          <w:lang w:val="en-CA"/>
        </w:rPr>
        <w:t xml:space="preserve"> the Court to distinguish the public interest from </w:t>
      </w:r>
      <w:r w:rsidRPr="009819CA">
        <w:rPr>
          <w:rFonts w:cs="Arial"/>
          <w:lang w:val="en-CA"/>
        </w:rPr>
        <w:t>[</w:t>
      </w:r>
      <w:r w:rsidRPr="009819CA">
        <w:rPr>
          <w:rFonts w:cs="Arial"/>
          <w:smallCaps/>
          <w:lang w:val="en-CA"/>
        </w:rPr>
        <w:t>translation</w:t>
      </w:r>
      <w:r w:rsidRPr="009819CA">
        <w:rPr>
          <w:rFonts w:cs="Arial"/>
          <w:lang w:val="en-CA"/>
        </w:rPr>
        <w:t>]</w:t>
      </w:r>
      <w:r w:rsidRPr="009819CA">
        <w:rPr>
          <w:lang w:val="en-CA"/>
        </w:rPr>
        <w:t xml:space="preserve"> </w:t>
      </w:r>
      <w:r w:rsidR="00FB5A8F" w:rsidRPr="009819CA">
        <w:rPr>
          <w:lang w:val="en-CA"/>
        </w:rPr>
        <w:t>“</w:t>
      </w:r>
      <w:r w:rsidR="00680974" w:rsidRPr="009819CA">
        <w:rPr>
          <w:lang w:val="en-CA"/>
        </w:rPr>
        <w:t xml:space="preserve">the clamour of </w:t>
      </w:r>
      <w:r w:rsidR="00AE11C3" w:rsidRPr="009819CA">
        <w:rPr>
          <w:lang w:val="en-CA"/>
        </w:rPr>
        <w:t>a misinformed public</w:t>
      </w:r>
      <w:proofErr w:type="gramStart"/>
      <w:r w:rsidR="00FB5A8F" w:rsidRPr="009819CA">
        <w:rPr>
          <w:lang w:val="en-CA"/>
        </w:rPr>
        <w:t>”</w:t>
      </w:r>
      <w:r w:rsidR="00D92B7F" w:rsidRPr="009819CA">
        <w:rPr>
          <w:lang w:val="en-CA"/>
        </w:rPr>
        <w:t>.</w:t>
      </w:r>
      <w:proofErr w:type="gramEnd"/>
      <w:r w:rsidR="00EB7DAA" w:rsidRPr="009819CA">
        <w:rPr>
          <w:rStyle w:val="Appelnotedebasdep"/>
          <w:lang w:val="en-CA"/>
        </w:rPr>
        <w:footnoteReference w:id="14"/>
      </w:r>
    </w:p>
    <w:p w14:paraId="6873AB20" w14:textId="6D5F35A9" w:rsidR="00E45429" w:rsidRPr="009819CA" w:rsidRDefault="00FB5A8F" w:rsidP="00655B82">
      <w:pPr>
        <w:pStyle w:val="Paragraphe"/>
        <w:rPr>
          <w:lang w:val="en-CA"/>
        </w:rPr>
      </w:pPr>
      <w:r w:rsidRPr="009819CA">
        <w:rPr>
          <w:lang w:val="en-CA"/>
        </w:rPr>
        <w:t xml:space="preserve">It will not be necessary to rule on all the grounds of appeal. It will be sufficient to reiterate the </w:t>
      </w:r>
      <w:r w:rsidR="00AE11C3" w:rsidRPr="009819CA">
        <w:rPr>
          <w:lang w:val="en-CA"/>
        </w:rPr>
        <w:t xml:space="preserve">standard for </w:t>
      </w:r>
      <w:r w:rsidRPr="009819CA">
        <w:rPr>
          <w:lang w:val="en-CA"/>
        </w:rPr>
        <w:t xml:space="preserve">intervention </w:t>
      </w:r>
      <w:r w:rsidR="00AE11C3" w:rsidRPr="009819CA">
        <w:rPr>
          <w:lang w:val="en-CA"/>
        </w:rPr>
        <w:t xml:space="preserve">on an appeal from a </w:t>
      </w:r>
      <w:r w:rsidRPr="009819CA">
        <w:rPr>
          <w:lang w:val="en-CA"/>
        </w:rPr>
        <w:t xml:space="preserve">sentence, </w:t>
      </w:r>
      <w:r w:rsidR="00AE11C3" w:rsidRPr="009819CA">
        <w:rPr>
          <w:lang w:val="en-CA"/>
        </w:rPr>
        <w:t xml:space="preserve">establish </w:t>
      </w:r>
      <w:r w:rsidRPr="009819CA">
        <w:rPr>
          <w:lang w:val="en-CA"/>
        </w:rPr>
        <w:t xml:space="preserve">the errors of </w:t>
      </w:r>
      <w:r w:rsidR="00E45429" w:rsidRPr="009819CA">
        <w:rPr>
          <w:lang w:val="en-CA"/>
        </w:rPr>
        <w:t>princip</w:t>
      </w:r>
      <w:r w:rsidRPr="009819CA">
        <w:rPr>
          <w:lang w:val="en-CA"/>
        </w:rPr>
        <w:t>l</w:t>
      </w:r>
      <w:r w:rsidR="00E45429" w:rsidRPr="009819CA">
        <w:rPr>
          <w:lang w:val="en-CA"/>
        </w:rPr>
        <w:t>e</w:t>
      </w:r>
      <w:r w:rsidRPr="009819CA">
        <w:rPr>
          <w:lang w:val="en-CA"/>
        </w:rPr>
        <w:t xml:space="preserve"> that justify th</w:t>
      </w:r>
      <w:r w:rsidR="00AE11C3" w:rsidRPr="009819CA">
        <w:rPr>
          <w:lang w:val="en-CA"/>
        </w:rPr>
        <w:t>e</w:t>
      </w:r>
      <w:r w:rsidRPr="009819CA">
        <w:rPr>
          <w:lang w:val="en-CA"/>
        </w:rPr>
        <w:t xml:space="preserve"> Court’s intervention</w:t>
      </w:r>
      <w:r w:rsidR="00AE11C3" w:rsidRPr="009819CA">
        <w:rPr>
          <w:lang w:val="en-CA"/>
        </w:rPr>
        <w:t>,</w:t>
      </w:r>
      <w:r w:rsidRPr="009819CA">
        <w:rPr>
          <w:lang w:val="en-CA"/>
        </w:rPr>
        <w:t xml:space="preserve"> and determine the appropriate sentence based on the fundamental </w:t>
      </w:r>
      <w:r w:rsidR="00E45429" w:rsidRPr="009819CA">
        <w:rPr>
          <w:lang w:val="en-CA"/>
        </w:rPr>
        <w:t>princip</w:t>
      </w:r>
      <w:r w:rsidRPr="009819CA">
        <w:rPr>
          <w:lang w:val="en-CA"/>
        </w:rPr>
        <w:t>l</w:t>
      </w:r>
      <w:r w:rsidR="00E45429" w:rsidRPr="009819CA">
        <w:rPr>
          <w:lang w:val="en-CA"/>
        </w:rPr>
        <w:t xml:space="preserve">e </w:t>
      </w:r>
      <w:r w:rsidRPr="009819CA">
        <w:rPr>
          <w:lang w:val="en-CA"/>
        </w:rPr>
        <w:t>of proportionality</w:t>
      </w:r>
      <w:r w:rsidR="00E45429" w:rsidRPr="009819CA">
        <w:rPr>
          <w:lang w:val="en-CA"/>
        </w:rPr>
        <w:t>.</w:t>
      </w:r>
    </w:p>
    <w:p w14:paraId="3878CECE" w14:textId="77777777" w:rsidR="00812439" w:rsidRPr="009819CA" w:rsidRDefault="00686D61" w:rsidP="006F1488">
      <w:pPr>
        <w:pStyle w:val="Paragraphe"/>
        <w:keepNext/>
        <w:numPr>
          <w:ilvl w:val="0"/>
          <w:numId w:val="19"/>
        </w:numPr>
        <w:rPr>
          <w:b/>
          <w:bCs/>
          <w:lang w:val="en-CA"/>
        </w:rPr>
      </w:pPr>
      <w:r w:rsidRPr="009819CA">
        <w:rPr>
          <w:b/>
          <w:bCs/>
          <w:lang w:val="en-CA"/>
        </w:rPr>
        <w:t>Analysis</w:t>
      </w:r>
    </w:p>
    <w:p w14:paraId="0DA2890F" w14:textId="06EA9801" w:rsidR="00812439" w:rsidRPr="009819CA" w:rsidRDefault="00AE11C3" w:rsidP="006F1488">
      <w:pPr>
        <w:pStyle w:val="Paragraphe"/>
        <w:keepNext/>
        <w:numPr>
          <w:ilvl w:val="0"/>
          <w:numId w:val="20"/>
        </w:numPr>
        <w:ind w:left="1077" w:hanging="357"/>
        <w:rPr>
          <w:i/>
          <w:iCs/>
          <w:lang w:val="en-CA"/>
        </w:rPr>
      </w:pPr>
      <w:r w:rsidRPr="009819CA">
        <w:rPr>
          <w:i/>
          <w:iCs/>
          <w:lang w:val="en-CA"/>
        </w:rPr>
        <w:t xml:space="preserve">Standard of </w:t>
      </w:r>
      <w:r w:rsidR="00275A23" w:rsidRPr="009819CA">
        <w:rPr>
          <w:i/>
          <w:iCs/>
          <w:lang w:val="en-CA"/>
        </w:rPr>
        <w:t xml:space="preserve">intervention </w:t>
      </w:r>
    </w:p>
    <w:p w14:paraId="2F70BE38" w14:textId="2492198A" w:rsidR="00DA5F0E" w:rsidRPr="009819CA" w:rsidRDefault="00FB5A8F" w:rsidP="00430D4C">
      <w:pPr>
        <w:pStyle w:val="Paragraphe"/>
        <w:rPr>
          <w:lang w:val="en-CA"/>
        </w:rPr>
      </w:pPr>
      <w:r w:rsidRPr="009819CA">
        <w:rPr>
          <w:lang w:val="en-CA"/>
        </w:rPr>
        <w:t>According to well</w:t>
      </w:r>
      <w:r w:rsidR="00C27609" w:rsidRPr="009819CA">
        <w:rPr>
          <w:lang w:val="en-CA"/>
        </w:rPr>
        <w:t>-</w:t>
      </w:r>
      <w:r w:rsidRPr="009819CA">
        <w:rPr>
          <w:lang w:val="en-CA"/>
        </w:rPr>
        <w:t xml:space="preserve">established </w:t>
      </w:r>
      <w:r w:rsidR="00C27609" w:rsidRPr="009819CA">
        <w:rPr>
          <w:lang w:val="en-CA"/>
        </w:rPr>
        <w:t>authority</w:t>
      </w:r>
      <w:r w:rsidR="00D761DC" w:rsidRPr="009819CA">
        <w:rPr>
          <w:lang w:val="en-CA"/>
        </w:rPr>
        <w:t>,</w:t>
      </w:r>
      <w:r w:rsidR="005C558A" w:rsidRPr="009819CA">
        <w:rPr>
          <w:lang w:val="en-CA"/>
        </w:rPr>
        <w:t xml:space="preserve"> </w:t>
      </w:r>
      <w:r w:rsidRPr="009819CA">
        <w:rPr>
          <w:lang w:val="en-CA"/>
        </w:rPr>
        <w:t>“appellate courts may not intervene lightly”</w:t>
      </w:r>
      <w:r w:rsidR="005C558A" w:rsidRPr="009819CA">
        <w:rPr>
          <w:rStyle w:val="Appelnotedebasdep"/>
          <w:lang w:val="en-CA"/>
        </w:rPr>
        <w:footnoteReference w:id="15"/>
      </w:r>
      <w:r w:rsidR="00DA2554" w:rsidRPr="009819CA">
        <w:rPr>
          <w:lang w:val="en-CA"/>
        </w:rPr>
        <w:t xml:space="preserve"> </w:t>
      </w:r>
      <w:r w:rsidR="009157E4" w:rsidRPr="009819CA">
        <w:rPr>
          <w:lang w:val="en-CA"/>
        </w:rPr>
        <w:t xml:space="preserve">in the </w:t>
      </w:r>
      <w:r w:rsidR="006479BE" w:rsidRPr="009819CA">
        <w:rPr>
          <w:lang w:val="en-CA"/>
        </w:rPr>
        <w:t xml:space="preserve">exercise of the sentencing </w:t>
      </w:r>
      <w:r w:rsidR="009157E4" w:rsidRPr="009819CA">
        <w:rPr>
          <w:lang w:val="en-CA"/>
        </w:rPr>
        <w:t xml:space="preserve">judge’s discretion, especially since </w:t>
      </w:r>
      <w:r w:rsidR="006479BE" w:rsidRPr="009819CA">
        <w:rPr>
          <w:lang w:val="en-CA"/>
        </w:rPr>
        <w:t>t</w:t>
      </w:r>
      <w:r w:rsidR="009157E4" w:rsidRPr="009819CA">
        <w:rPr>
          <w:lang w:val="en-CA"/>
        </w:rPr>
        <w:t xml:space="preserve">he </w:t>
      </w:r>
      <w:r w:rsidR="006479BE" w:rsidRPr="009819CA">
        <w:rPr>
          <w:lang w:val="en-CA"/>
        </w:rPr>
        <w:t xml:space="preserve">sentencing judge </w:t>
      </w:r>
      <w:r w:rsidR="009157E4" w:rsidRPr="009819CA">
        <w:rPr>
          <w:lang w:val="en-CA"/>
        </w:rPr>
        <w:t>has the advantage of seeing and hearing the witnesses</w:t>
      </w:r>
      <w:r w:rsidR="0077673E" w:rsidRPr="009819CA">
        <w:rPr>
          <w:lang w:val="en-CA"/>
        </w:rPr>
        <w:t xml:space="preserve">. </w:t>
      </w:r>
      <w:r w:rsidR="009157E4" w:rsidRPr="009819CA">
        <w:rPr>
          <w:lang w:val="en-CA"/>
        </w:rPr>
        <w:t xml:space="preserve">In </w:t>
      </w:r>
      <w:r w:rsidR="009157E4" w:rsidRPr="009819CA">
        <w:rPr>
          <w:i/>
          <w:iCs/>
          <w:lang w:val="en-CA"/>
        </w:rPr>
        <w:t>R. v</w:t>
      </w:r>
      <w:r w:rsidR="00734038" w:rsidRPr="009819CA">
        <w:rPr>
          <w:i/>
          <w:iCs/>
          <w:lang w:val="en-CA"/>
        </w:rPr>
        <w:t xml:space="preserve">. </w:t>
      </w:r>
      <w:r w:rsidR="00430D4C" w:rsidRPr="009819CA">
        <w:rPr>
          <w:i/>
          <w:iCs/>
          <w:lang w:val="en-CA"/>
        </w:rPr>
        <w:t>Friesen</w:t>
      </w:r>
      <w:r w:rsidR="009157E4" w:rsidRPr="00BF230D">
        <w:rPr>
          <w:lang w:val="en-CA"/>
        </w:rPr>
        <w:t>,</w:t>
      </w:r>
      <w:r w:rsidR="009157E4" w:rsidRPr="009819CA">
        <w:rPr>
          <w:lang w:val="en-CA"/>
        </w:rPr>
        <w:t xml:space="preserve"> </w:t>
      </w:r>
      <w:r w:rsidR="009157E4" w:rsidRPr="009819CA">
        <w:rPr>
          <w:lang w:val="en-CA"/>
        </w:rPr>
        <w:lastRenderedPageBreak/>
        <w:t>rendered i</w:t>
      </w:r>
      <w:r w:rsidR="00430D4C" w:rsidRPr="009819CA">
        <w:rPr>
          <w:lang w:val="en-CA"/>
        </w:rPr>
        <w:t xml:space="preserve">n 2020, </w:t>
      </w:r>
      <w:r w:rsidR="009157E4" w:rsidRPr="009819CA">
        <w:rPr>
          <w:lang w:val="en-CA"/>
        </w:rPr>
        <w:t xml:space="preserve">the Supreme Court reiterated the principles confirmed </w:t>
      </w:r>
      <w:proofErr w:type="gramStart"/>
      <w:r w:rsidR="00C27609" w:rsidRPr="009819CA">
        <w:rPr>
          <w:lang w:val="en-CA"/>
        </w:rPr>
        <w:t>a few</w:t>
      </w:r>
      <w:proofErr w:type="gramEnd"/>
      <w:r w:rsidR="00C27609" w:rsidRPr="009819CA">
        <w:rPr>
          <w:lang w:val="en-CA"/>
        </w:rPr>
        <w:t xml:space="preserve"> </w:t>
      </w:r>
      <w:r w:rsidR="009157E4" w:rsidRPr="009819CA">
        <w:rPr>
          <w:lang w:val="en-CA"/>
        </w:rPr>
        <w:t xml:space="preserve">years earlier in </w:t>
      </w:r>
      <w:r w:rsidR="009157E4" w:rsidRPr="009819CA">
        <w:rPr>
          <w:i/>
          <w:iCs/>
          <w:lang w:val="en-CA"/>
        </w:rPr>
        <w:t>R. v</w:t>
      </w:r>
      <w:r w:rsidR="00734038" w:rsidRPr="009819CA">
        <w:rPr>
          <w:i/>
          <w:iCs/>
          <w:lang w:val="en-CA"/>
        </w:rPr>
        <w:t xml:space="preserve">. </w:t>
      </w:r>
      <w:r w:rsidR="00430D4C" w:rsidRPr="009819CA">
        <w:rPr>
          <w:i/>
          <w:iCs/>
          <w:lang w:val="en-CA"/>
        </w:rPr>
        <w:t>Lacasse</w:t>
      </w:r>
      <w:r w:rsidR="00430D4C" w:rsidRPr="009819CA">
        <w:rPr>
          <w:lang w:val="en-CA"/>
        </w:rPr>
        <w:t>:</w:t>
      </w:r>
    </w:p>
    <w:p w14:paraId="133E45E9" w14:textId="52E3FFEE" w:rsidR="002A5D4E" w:rsidRPr="009819CA" w:rsidRDefault="007279C7" w:rsidP="002A5D4E">
      <w:pPr>
        <w:pStyle w:val="Citationenretrait"/>
        <w:rPr>
          <w:lang w:val="en-CA"/>
        </w:rPr>
      </w:pPr>
      <w:r w:rsidRPr="009819CA">
        <w:rPr>
          <w:lang w:val="en-CA"/>
        </w:rPr>
        <w:t>[26]  </w:t>
      </w:r>
      <w:r w:rsidR="009157E4" w:rsidRPr="009819CA">
        <w:rPr>
          <w:lang w:val="en-CA"/>
        </w:rPr>
        <w:t>As this Court confirmed in </w:t>
      </w:r>
      <w:r w:rsidR="009157E4" w:rsidRPr="009819CA">
        <w:rPr>
          <w:i/>
          <w:iCs/>
          <w:lang w:val="en-CA"/>
        </w:rPr>
        <w:t>Lacasse</w:t>
      </w:r>
      <w:r w:rsidR="009157E4" w:rsidRPr="009819CA">
        <w:rPr>
          <w:lang w:val="en-CA"/>
        </w:rPr>
        <w:t>, an appellate court can only intervene to vary a sentence if (1) the sentence is demonstrably unfit, or (2) the sentencing judge made an error in principle that had an impact on the sentence. Errors in principle include an error of law, a failure to consider a relevant factor, or erroneous consideration of an aggravating or mitigating factor. The weighing or balancing of factors can form an error in principle “[o]nly if by emphasizing one factor or by not giving enough weight to another, the trial judge exercises his or her discretion unreasonably”</w:t>
      </w:r>
      <w:r w:rsidR="005D3471" w:rsidRPr="009819CA">
        <w:rPr>
          <w:lang w:val="en-CA"/>
        </w:rPr>
        <w:t xml:space="preserve"> ….</w:t>
      </w:r>
      <w:bookmarkStart w:id="10" w:name="_Ref123893240"/>
      <w:r w:rsidR="005D3471" w:rsidRPr="009819CA">
        <w:rPr>
          <w:rStyle w:val="Appelnotedebasdep"/>
          <w:lang w:val="en-CA"/>
        </w:rPr>
        <w:footnoteReference w:id="16"/>
      </w:r>
      <w:bookmarkEnd w:id="10"/>
    </w:p>
    <w:p w14:paraId="570CADC5" w14:textId="77777777" w:rsidR="005A7652" w:rsidRPr="009819CA" w:rsidRDefault="009157E4" w:rsidP="008009E3">
      <w:pPr>
        <w:pStyle w:val="Citationenretrait"/>
        <w:jc w:val="right"/>
        <w:rPr>
          <w:lang w:val="en-CA"/>
        </w:rPr>
      </w:pPr>
      <w:r w:rsidRPr="009819CA">
        <w:rPr>
          <w:lang w:val="en-CA"/>
        </w:rPr>
        <w:t>[Reference omitted</w:t>
      </w:r>
      <w:r w:rsidR="005D3471" w:rsidRPr="009819CA">
        <w:rPr>
          <w:lang w:val="en-CA"/>
        </w:rPr>
        <w:t>]</w:t>
      </w:r>
    </w:p>
    <w:p w14:paraId="1C734C44" w14:textId="2CD84A9A" w:rsidR="00812439" w:rsidRPr="009819CA" w:rsidRDefault="006479BE" w:rsidP="006952C5">
      <w:pPr>
        <w:pStyle w:val="Paragraphe"/>
        <w:keepNext/>
        <w:numPr>
          <w:ilvl w:val="0"/>
          <w:numId w:val="20"/>
        </w:numPr>
        <w:ind w:left="1077" w:hanging="357"/>
        <w:rPr>
          <w:i/>
          <w:iCs/>
          <w:lang w:val="en-CA"/>
        </w:rPr>
      </w:pPr>
      <w:r w:rsidRPr="009819CA">
        <w:rPr>
          <w:i/>
          <w:iCs/>
          <w:lang w:val="en-CA"/>
        </w:rPr>
        <w:t>E</w:t>
      </w:r>
      <w:r w:rsidR="00275A23" w:rsidRPr="009819CA">
        <w:rPr>
          <w:i/>
          <w:iCs/>
          <w:lang w:val="en-CA"/>
        </w:rPr>
        <w:t xml:space="preserve">rrors </w:t>
      </w:r>
      <w:r w:rsidRPr="009819CA">
        <w:rPr>
          <w:i/>
          <w:iCs/>
          <w:lang w:val="en-CA"/>
        </w:rPr>
        <w:t>in</w:t>
      </w:r>
      <w:r w:rsidR="00275A23" w:rsidRPr="009819CA">
        <w:rPr>
          <w:i/>
          <w:iCs/>
          <w:lang w:val="en-CA"/>
        </w:rPr>
        <w:t xml:space="preserve"> </w:t>
      </w:r>
      <w:r w:rsidR="0067087D" w:rsidRPr="009819CA">
        <w:rPr>
          <w:i/>
          <w:iCs/>
          <w:lang w:val="en-CA"/>
        </w:rPr>
        <w:t>princip</w:t>
      </w:r>
      <w:r w:rsidR="00275A23" w:rsidRPr="009819CA">
        <w:rPr>
          <w:i/>
          <w:iCs/>
          <w:lang w:val="en-CA"/>
        </w:rPr>
        <w:t>l</w:t>
      </w:r>
      <w:r w:rsidR="0067087D" w:rsidRPr="009819CA">
        <w:rPr>
          <w:i/>
          <w:iCs/>
          <w:lang w:val="en-CA"/>
        </w:rPr>
        <w:t>e</w:t>
      </w:r>
    </w:p>
    <w:p w14:paraId="0E417D2F" w14:textId="3A6904C6" w:rsidR="00D7457F" w:rsidRPr="009819CA" w:rsidRDefault="004F3914" w:rsidP="00D72840">
      <w:pPr>
        <w:pStyle w:val="Paragraphe"/>
        <w:rPr>
          <w:lang w:val="en-CA"/>
        </w:rPr>
      </w:pPr>
      <w:r w:rsidRPr="009819CA">
        <w:rPr>
          <w:lang w:val="en-CA"/>
        </w:rPr>
        <w:t>Th</w:t>
      </w:r>
      <w:r w:rsidR="008D4704" w:rsidRPr="009819CA">
        <w:rPr>
          <w:lang w:val="en-CA"/>
        </w:rPr>
        <w:t>e ju</w:t>
      </w:r>
      <w:r w:rsidRPr="009819CA">
        <w:rPr>
          <w:lang w:val="en-CA"/>
        </w:rPr>
        <w:t>d</w:t>
      </w:r>
      <w:r w:rsidR="008D4704" w:rsidRPr="009819CA">
        <w:rPr>
          <w:lang w:val="en-CA"/>
        </w:rPr>
        <w:t xml:space="preserve">ge </w:t>
      </w:r>
      <w:r w:rsidR="003A0156" w:rsidRPr="009819CA">
        <w:rPr>
          <w:lang w:val="en-CA"/>
        </w:rPr>
        <w:t>impos</w:t>
      </w:r>
      <w:r w:rsidR="0048446D" w:rsidRPr="009819CA">
        <w:rPr>
          <w:lang w:val="en-CA"/>
        </w:rPr>
        <w:t xml:space="preserve">ed </w:t>
      </w:r>
      <w:r w:rsidR="00D92B7F" w:rsidRPr="009819CA">
        <w:rPr>
          <w:lang w:val="en-CA"/>
        </w:rPr>
        <w:t xml:space="preserve">only </w:t>
      </w:r>
      <w:r w:rsidRPr="009819CA">
        <w:rPr>
          <w:lang w:val="en-CA"/>
        </w:rPr>
        <w:t xml:space="preserve">one sentence for the </w:t>
      </w:r>
      <w:r w:rsidR="006479BE" w:rsidRPr="009819CA">
        <w:rPr>
          <w:lang w:val="en-CA"/>
        </w:rPr>
        <w:t xml:space="preserve">counts </w:t>
      </w:r>
      <w:r w:rsidRPr="009819CA">
        <w:rPr>
          <w:lang w:val="en-CA"/>
        </w:rPr>
        <w:t>of sexual assault and voyeurism</w:t>
      </w:r>
      <w:r w:rsidR="009B4931" w:rsidRPr="009819CA">
        <w:rPr>
          <w:lang w:val="en-CA"/>
        </w:rPr>
        <w:t>, c</w:t>
      </w:r>
      <w:r w:rsidRPr="009819CA">
        <w:rPr>
          <w:lang w:val="en-CA"/>
        </w:rPr>
        <w:t xml:space="preserve">ontrary to s. </w:t>
      </w:r>
      <w:r w:rsidR="00D72840" w:rsidRPr="009819CA">
        <w:rPr>
          <w:lang w:val="en-CA"/>
        </w:rPr>
        <w:t>725(1)</w:t>
      </w:r>
      <w:r w:rsidRPr="009819CA">
        <w:rPr>
          <w:lang w:val="en-CA"/>
        </w:rPr>
        <w:t>(</w:t>
      </w:r>
      <w:r w:rsidR="00D72840" w:rsidRPr="009819CA">
        <w:rPr>
          <w:iCs/>
          <w:lang w:val="en-CA"/>
        </w:rPr>
        <w:t>a</w:t>
      </w:r>
      <w:r w:rsidR="00D72840" w:rsidRPr="009819CA">
        <w:rPr>
          <w:lang w:val="en-CA"/>
        </w:rPr>
        <w:t xml:space="preserve">) </w:t>
      </w:r>
      <w:r w:rsidR="00D72840" w:rsidRPr="00BF230D">
        <w:rPr>
          <w:i/>
          <w:iCs/>
          <w:lang w:val="en-CA"/>
        </w:rPr>
        <w:t>C</w:t>
      </w:r>
      <w:r w:rsidRPr="00BF230D">
        <w:rPr>
          <w:i/>
          <w:iCs/>
          <w:lang w:val="en-CA"/>
        </w:rPr>
        <w:t>r.</w:t>
      </w:r>
      <w:r w:rsidR="00D92B7F" w:rsidRPr="00BF230D">
        <w:rPr>
          <w:lang w:val="en-CA"/>
        </w:rPr>
        <w:t xml:space="preserve"> </w:t>
      </w:r>
      <w:r w:rsidRPr="00BF230D">
        <w:rPr>
          <w:i/>
          <w:iCs/>
          <w:lang w:val="en-CA"/>
        </w:rPr>
        <w:t>C</w:t>
      </w:r>
      <w:r w:rsidR="00D72840" w:rsidRPr="00BF230D">
        <w:rPr>
          <w:i/>
          <w:iCs/>
          <w:lang w:val="en-CA"/>
        </w:rPr>
        <w:t>.</w:t>
      </w:r>
      <w:r w:rsidR="00D72840" w:rsidRPr="009819CA">
        <w:rPr>
          <w:lang w:val="en-CA"/>
        </w:rPr>
        <w:t xml:space="preserve"> </w:t>
      </w:r>
      <w:r w:rsidRPr="009819CA">
        <w:rPr>
          <w:lang w:val="en-CA"/>
        </w:rPr>
        <w:t xml:space="preserve">As </w:t>
      </w:r>
      <w:r w:rsidR="00525DC9" w:rsidRPr="009819CA">
        <w:rPr>
          <w:lang w:val="en-CA"/>
        </w:rPr>
        <w:t>Vauclair</w:t>
      </w:r>
      <w:r w:rsidR="00EF19C5" w:rsidRPr="009819CA">
        <w:rPr>
          <w:lang w:val="en-CA"/>
        </w:rPr>
        <w:t xml:space="preserve"> </w:t>
      </w:r>
      <w:r w:rsidR="0034720C" w:rsidRPr="009819CA">
        <w:rPr>
          <w:lang w:val="en-CA"/>
        </w:rPr>
        <w:t xml:space="preserve">J.A. </w:t>
      </w:r>
      <w:r w:rsidRPr="009819CA">
        <w:rPr>
          <w:lang w:val="en-CA"/>
        </w:rPr>
        <w:t xml:space="preserve">explained in </w:t>
      </w:r>
      <w:r w:rsidR="00EA6C3E" w:rsidRPr="009819CA">
        <w:rPr>
          <w:i/>
          <w:iCs/>
          <w:lang w:val="en-CA"/>
        </w:rPr>
        <w:t>R. c. Guerrero Silva</w:t>
      </w:r>
      <w:r w:rsidR="005E4A4F" w:rsidRPr="009819CA">
        <w:rPr>
          <w:lang w:val="en-CA"/>
        </w:rPr>
        <w:t xml:space="preserve">, </w:t>
      </w:r>
      <w:r w:rsidR="004C07B5" w:rsidRPr="009819CA">
        <w:rPr>
          <w:lang w:val="en-CA"/>
        </w:rPr>
        <w:t>th</w:t>
      </w:r>
      <w:r w:rsidR="006479BE" w:rsidRPr="009819CA">
        <w:rPr>
          <w:lang w:val="en-CA"/>
        </w:rPr>
        <w:t>is</w:t>
      </w:r>
      <w:r w:rsidR="004C07B5" w:rsidRPr="009819CA">
        <w:rPr>
          <w:lang w:val="en-CA"/>
        </w:rPr>
        <w:t xml:space="preserve"> is not in itself an error</w:t>
      </w:r>
      <w:r w:rsidR="00D92B7F" w:rsidRPr="009819CA">
        <w:rPr>
          <w:lang w:val="en-CA"/>
        </w:rPr>
        <w:t>,</w:t>
      </w:r>
      <w:r w:rsidR="004C07B5" w:rsidRPr="009819CA">
        <w:rPr>
          <w:lang w:val="en-CA"/>
        </w:rPr>
        <w:t xml:space="preserve"> </w:t>
      </w:r>
      <w:r w:rsidR="006479BE" w:rsidRPr="009819CA">
        <w:rPr>
          <w:lang w:val="en-CA"/>
        </w:rPr>
        <w:t xml:space="preserve">given how Parliament </w:t>
      </w:r>
      <w:r w:rsidR="00D92B7F" w:rsidRPr="009819CA">
        <w:rPr>
          <w:lang w:val="en-CA"/>
        </w:rPr>
        <w:t xml:space="preserve">has </w:t>
      </w:r>
      <w:r w:rsidR="006A6B3F" w:rsidRPr="009819CA">
        <w:rPr>
          <w:lang w:val="en-CA"/>
        </w:rPr>
        <w:t>qualifi</w:t>
      </w:r>
      <w:r w:rsidR="006479BE" w:rsidRPr="009819CA">
        <w:rPr>
          <w:lang w:val="en-CA"/>
        </w:rPr>
        <w:t xml:space="preserve">ed </w:t>
      </w:r>
      <w:r w:rsidR="004C07B5" w:rsidRPr="009819CA">
        <w:rPr>
          <w:lang w:val="en-CA"/>
        </w:rPr>
        <w:t xml:space="preserve">the </w:t>
      </w:r>
      <w:r w:rsidR="006479BE" w:rsidRPr="009819CA">
        <w:rPr>
          <w:lang w:val="en-CA"/>
        </w:rPr>
        <w:t>provision</w:t>
      </w:r>
      <w:r w:rsidR="004C07B5" w:rsidRPr="009819CA">
        <w:rPr>
          <w:lang w:val="en-CA"/>
        </w:rPr>
        <w:t xml:space="preserve">: </w:t>
      </w:r>
    </w:p>
    <w:p w14:paraId="016C3B8F" w14:textId="77777777" w:rsidR="004F3914" w:rsidRPr="009819CA" w:rsidRDefault="004F3914" w:rsidP="004136D6">
      <w:pPr>
        <w:pStyle w:val="Citationenretrait"/>
        <w:rPr>
          <w:lang w:val="en-CA"/>
        </w:rPr>
      </w:pPr>
      <w:r w:rsidRPr="009819CA">
        <w:rPr>
          <w:lang w:val="en-CA"/>
        </w:rPr>
        <w:t>[</w:t>
      </w:r>
      <w:r w:rsidRPr="009819CA">
        <w:rPr>
          <w:smallCaps/>
          <w:lang w:val="en-CA"/>
        </w:rPr>
        <w:t>translation</w:t>
      </w:r>
      <w:r w:rsidRPr="009819CA">
        <w:rPr>
          <w:lang w:val="en-CA"/>
        </w:rPr>
        <w:t>]</w:t>
      </w:r>
    </w:p>
    <w:p w14:paraId="30359B5E" w14:textId="72158B94" w:rsidR="003F2DB0" w:rsidRPr="009819CA" w:rsidRDefault="003F2DB0" w:rsidP="004136D6">
      <w:pPr>
        <w:pStyle w:val="Citationenretrait"/>
        <w:rPr>
          <w:lang w:val="en-CA"/>
        </w:rPr>
      </w:pPr>
      <w:r w:rsidRPr="009819CA">
        <w:rPr>
          <w:lang w:val="en-CA"/>
        </w:rPr>
        <w:t>[54]  </w:t>
      </w:r>
      <w:r w:rsidR="004F3914" w:rsidRPr="009819CA">
        <w:rPr>
          <w:lang w:val="en-CA"/>
        </w:rPr>
        <w:t>I re</w:t>
      </w:r>
      <w:r w:rsidR="006479BE" w:rsidRPr="009819CA">
        <w:rPr>
          <w:lang w:val="en-CA"/>
        </w:rPr>
        <w:t>call</w:t>
      </w:r>
      <w:r w:rsidR="004F3914" w:rsidRPr="009819CA">
        <w:rPr>
          <w:lang w:val="en-CA"/>
        </w:rPr>
        <w:t xml:space="preserve"> that section </w:t>
      </w:r>
      <w:r w:rsidRPr="009819CA">
        <w:rPr>
          <w:lang w:val="en-CA"/>
        </w:rPr>
        <w:t>725(1)</w:t>
      </w:r>
      <w:r w:rsidR="004F3914" w:rsidRPr="009819CA">
        <w:rPr>
          <w:lang w:val="en-CA"/>
        </w:rPr>
        <w:t>(</w:t>
      </w:r>
      <w:r w:rsidRPr="009819CA">
        <w:rPr>
          <w:iCs/>
          <w:lang w:val="en-CA"/>
        </w:rPr>
        <w:t>a</w:t>
      </w:r>
      <w:r w:rsidR="004F3914" w:rsidRPr="009819CA">
        <w:rPr>
          <w:lang w:val="en-CA"/>
        </w:rPr>
        <w:t xml:space="preserve">) of the </w:t>
      </w:r>
      <w:r w:rsidR="004F3914" w:rsidRPr="009819CA">
        <w:rPr>
          <w:i/>
          <w:lang w:val="en-CA"/>
        </w:rPr>
        <w:t>Criminal</w:t>
      </w:r>
      <w:r w:rsidR="004F3914" w:rsidRPr="009819CA">
        <w:rPr>
          <w:lang w:val="en-CA"/>
        </w:rPr>
        <w:t xml:space="preserve"> </w:t>
      </w:r>
      <w:r w:rsidRPr="009819CA">
        <w:rPr>
          <w:i/>
          <w:iCs/>
          <w:lang w:val="en-CA"/>
        </w:rPr>
        <w:t xml:space="preserve">Code </w:t>
      </w:r>
      <w:r w:rsidR="007E0428" w:rsidRPr="009819CA">
        <w:rPr>
          <w:lang w:val="en-CA"/>
        </w:rPr>
        <w:t xml:space="preserve">provides </w:t>
      </w:r>
      <w:r w:rsidR="004F3914" w:rsidRPr="009819CA">
        <w:rPr>
          <w:lang w:val="en-CA"/>
        </w:rPr>
        <w:t xml:space="preserve">that the judge </w:t>
      </w:r>
      <w:r w:rsidR="006479BE" w:rsidRPr="009819CA">
        <w:rPr>
          <w:lang w:val="en-CA"/>
        </w:rPr>
        <w:t xml:space="preserve">shall </w:t>
      </w:r>
      <w:r w:rsidR="004F3914" w:rsidRPr="009819CA">
        <w:rPr>
          <w:lang w:val="en-CA"/>
        </w:rPr>
        <w:t xml:space="preserve">determine a sentence </w:t>
      </w:r>
      <w:r w:rsidR="0044455F" w:rsidRPr="009819CA">
        <w:rPr>
          <w:lang w:val="en-CA"/>
        </w:rPr>
        <w:t xml:space="preserve">for each </w:t>
      </w:r>
      <w:r w:rsidR="006479BE" w:rsidRPr="009819CA">
        <w:rPr>
          <w:lang w:val="en-CA"/>
        </w:rPr>
        <w:t xml:space="preserve">of the </w:t>
      </w:r>
      <w:r w:rsidR="0044455F" w:rsidRPr="009819CA">
        <w:rPr>
          <w:lang w:val="en-CA"/>
        </w:rPr>
        <w:t>offence</w:t>
      </w:r>
      <w:r w:rsidR="006479BE" w:rsidRPr="009819CA">
        <w:rPr>
          <w:lang w:val="en-CA"/>
        </w:rPr>
        <w:t>s</w:t>
      </w:r>
      <w:r w:rsidR="0044455F" w:rsidRPr="009819CA">
        <w:rPr>
          <w:lang w:val="en-CA"/>
        </w:rPr>
        <w:t xml:space="preserve">. I acknowledge that </w:t>
      </w:r>
      <w:proofErr w:type="gramStart"/>
      <w:r w:rsidR="0044455F" w:rsidRPr="009819CA">
        <w:rPr>
          <w:lang w:val="en-CA"/>
        </w:rPr>
        <w:t>th</w:t>
      </w:r>
      <w:r w:rsidR="006479BE" w:rsidRPr="009819CA">
        <w:rPr>
          <w:lang w:val="en-CA"/>
        </w:rPr>
        <w:t>is</w:t>
      </w:r>
      <w:r w:rsidR="0044455F" w:rsidRPr="009819CA">
        <w:rPr>
          <w:lang w:val="en-CA"/>
        </w:rPr>
        <w:t xml:space="preserve"> requirement is </w:t>
      </w:r>
      <w:r w:rsidR="0034446D" w:rsidRPr="009819CA">
        <w:rPr>
          <w:lang w:val="en-CA"/>
        </w:rPr>
        <w:t xml:space="preserve">qualified </w:t>
      </w:r>
      <w:r w:rsidR="0044455F" w:rsidRPr="009819CA">
        <w:rPr>
          <w:lang w:val="en-CA"/>
        </w:rPr>
        <w:t xml:space="preserve">by </w:t>
      </w:r>
      <w:r w:rsidR="006479BE" w:rsidRPr="009819CA">
        <w:rPr>
          <w:lang w:val="en-CA"/>
        </w:rPr>
        <w:t>Parliament</w:t>
      </w:r>
      <w:proofErr w:type="gramEnd"/>
      <w:r w:rsidR="00352A51" w:rsidRPr="009819CA">
        <w:rPr>
          <w:lang w:val="en-CA"/>
        </w:rPr>
        <w:t xml:space="preserve"> itself</w:t>
      </w:r>
      <w:r w:rsidR="0044455F" w:rsidRPr="009819CA">
        <w:rPr>
          <w:lang w:val="en-CA"/>
        </w:rPr>
        <w:t xml:space="preserve">, </w:t>
      </w:r>
      <w:r w:rsidR="006479BE" w:rsidRPr="009819CA">
        <w:rPr>
          <w:lang w:val="en-CA"/>
        </w:rPr>
        <w:t xml:space="preserve">which added </w:t>
      </w:r>
      <w:r w:rsidR="0044455F" w:rsidRPr="009819CA">
        <w:rPr>
          <w:lang w:val="en-CA"/>
        </w:rPr>
        <w:t>the words “</w:t>
      </w:r>
      <w:r w:rsidR="0044455F" w:rsidRPr="009819CA">
        <w:rPr>
          <w:iCs/>
          <w:lang w:val="en-CA"/>
        </w:rPr>
        <w:t>if it is possible and appropriate to do so</w:t>
      </w:r>
      <w:r w:rsidR="0044455F" w:rsidRPr="009819CA">
        <w:rPr>
          <w:lang w:val="en-CA"/>
        </w:rPr>
        <w:t>” to th</w:t>
      </w:r>
      <w:r w:rsidR="007E0428" w:rsidRPr="009819CA">
        <w:rPr>
          <w:lang w:val="en-CA"/>
        </w:rPr>
        <w:t>is</w:t>
      </w:r>
      <w:r w:rsidR="0044455F" w:rsidRPr="009819CA">
        <w:rPr>
          <w:lang w:val="en-CA"/>
        </w:rPr>
        <w:t xml:space="preserve"> </w:t>
      </w:r>
      <w:r w:rsidR="006479BE" w:rsidRPr="009819CA">
        <w:rPr>
          <w:lang w:val="en-CA"/>
        </w:rPr>
        <w:t>provision</w:t>
      </w:r>
      <w:r w:rsidRPr="009819CA">
        <w:rPr>
          <w:lang w:val="en-CA"/>
        </w:rPr>
        <w:t xml:space="preserve">. </w:t>
      </w:r>
      <w:r w:rsidR="0044455F" w:rsidRPr="009819CA">
        <w:rPr>
          <w:lang w:val="en-CA"/>
        </w:rPr>
        <w:t xml:space="preserve">That seems to indicate that </w:t>
      </w:r>
      <w:r w:rsidR="004C07B5" w:rsidRPr="009819CA">
        <w:rPr>
          <w:lang w:val="en-CA"/>
        </w:rPr>
        <w:t xml:space="preserve">there </w:t>
      </w:r>
      <w:r w:rsidR="007E0428" w:rsidRPr="009819CA">
        <w:rPr>
          <w:lang w:val="en-CA"/>
        </w:rPr>
        <w:t xml:space="preserve">will </w:t>
      </w:r>
      <w:r w:rsidR="004C07B5" w:rsidRPr="009819CA">
        <w:rPr>
          <w:lang w:val="en-CA"/>
        </w:rPr>
        <w:t xml:space="preserve">be cases where </w:t>
      </w:r>
      <w:r w:rsidR="007E0428" w:rsidRPr="009819CA">
        <w:rPr>
          <w:lang w:val="en-CA"/>
        </w:rPr>
        <w:t>a</w:t>
      </w:r>
      <w:r w:rsidR="00CE407D" w:rsidRPr="009819CA">
        <w:rPr>
          <w:lang w:val="en-CA"/>
        </w:rPr>
        <w:t xml:space="preserve"> comprehensive </w:t>
      </w:r>
      <w:r w:rsidR="007E0428" w:rsidRPr="009819CA">
        <w:rPr>
          <w:lang w:val="en-CA"/>
        </w:rPr>
        <w:t xml:space="preserve">sentence </w:t>
      </w:r>
      <w:r w:rsidR="0044455F" w:rsidRPr="009819CA">
        <w:rPr>
          <w:lang w:val="en-CA"/>
        </w:rPr>
        <w:t xml:space="preserve">is </w:t>
      </w:r>
      <w:r w:rsidRPr="009819CA">
        <w:rPr>
          <w:lang w:val="en-CA"/>
        </w:rPr>
        <w:t xml:space="preserve">possible, </w:t>
      </w:r>
      <w:r w:rsidR="00680974" w:rsidRPr="009819CA">
        <w:rPr>
          <w:lang w:val="en-CA"/>
        </w:rPr>
        <w:t xml:space="preserve">which </w:t>
      </w:r>
      <w:r w:rsidR="0044455F" w:rsidRPr="009819CA">
        <w:rPr>
          <w:lang w:val="en-CA"/>
        </w:rPr>
        <w:t>section 728 of the</w:t>
      </w:r>
      <w:r w:rsidRPr="009819CA">
        <w:rPr>
          <w:lang w:val="en-CA"/>
        </w:rPr>
        <w:t xml:space="preserve"> </w:t>
      </w:r>
      <w:r w:rsidRPr="009819CA">
        <w:rPr>
          <w:i/>
          <w:lang w:val="en-CA"/>
        </w:rPr>
        <w:t>Code</w:t>
      </w:r>
      <w:r w:rsidR="007E0428" w:rsidRPr="009819CA">
        <w:rPr>
          <w:iCs/>
          <w:lang w:val="en-CA"/>
        </w:rPr>
        <w:t xml:space="preserve"> confirms to </w:t>
      </w:r>
      <w:proofErr w:type="gramStart"/>
      <w:r w:rsidR="007E0428" w:rsidRPr="009819CA">
        <w:rPr>
          <w:iCs/>
          <w:lang w:val="en-CA"/>
        </w:rPr>
        <w:t>some</w:t>
      </w:r>
      <w:proofErr w:type="gramEnd"/>
      <w:r w:rsidR="007E0428" w:rsidRPr="009819CA">
        <w:rPr>
          <w:iCs/>
          <w:lang w:val="en-CA"/>
        </w:rPr>
        <w:t xml:space="preserve"> extent.</w:t>
      </w:r>
      <w:r w:rsidRPr="009819CA">
        <w:rPr>
          <w:lang w:val="en-CA"/>
        </w:rPr>
        <w:t xml:space="preserve"> </w:t>
      </w:r>
      <w:r w:rsidR="007E0428" w:rsidRPr="009819CA">
        <w:rPr>
          <w:lang w:val="en-CA"/>
        </w:rPr>
        <w:t>It provides</w:t>
      </w:r>
      <w:r w:rsidR="0044455F" w:rsidRPr="009819CA">
        <w:rPr>
          <w:lang w:val="en-CA"/>
        </w:rPr>
        <w:t xml:space="preserve"> that </w:t>
      </w:r>
      <w:r w:rsidR="007E0428" w:rsidRPr="009819CA">
        <w:rPr>
          <w:lang w:val="en-CA"/>
        </w:rPr>
        <w:t>one</w:t>
      </w:r>
      <w:r w:rsidR="0044455F" w:rsidRPr="009819CA">
        <w:rPr>
          <w:lang w:val="en-CA"/>
        </w:rPr>
        <w:t xml:space="preserve"> sentence </w:t>
      </w:r>
      <w:r w:rsidR="0048446D" w:rsidRPr="009819CA">
        <w:rPr>
          <w:lang w:val="en-CA"/>
        </w:rPr>
        <w:t xml:space="preserve">passed </w:t>
      </w:r>
      <w:r w:rsidR="0044455F" w:rsidRPr="009819CA">
        <w:rPr>
          <w:lang w:val="en-CA"/>
        </w:rPr>
        <w:t xml:space="preserve">on two or more counts of </w:t>
      </w:r>
      <w:proofErr w:type="gramStart"/>
      <w:r w:rsidR="007E0428" w:rsidRPr="009819CA">
        <w:rPr>
          <w:lang w:val="en-CA"/>
        </w:rPr>
        <w:t xml:space="preserve">an </w:t>
      </w:r>
      <w:r w:rsidR="0044455F" w:rsidRPr="009819CA">
        <w:rPr>
          <w:lang w:val="en-CA"/>
        </w:rPr>
        <w:t>indictment</w:t>
      </w:r>
      <w:proofErr w:type="gramEnd"/>
      <w:r w:rsidR="0044455F" w:rsidRPr="009819CA">
        <w:rPr>
          <w:lang w:val="en-CA"/>
        </w:rPr>
        <w:t xml:space="preserve"> </w:t>
      </w:r>
      <w:r w:rsidR="007E0428" w:rsidRPr="009819CA">
        <w:rPr>
          <w:lang w:val="en-CA"/>
        </w:rPr>
        <w:t xml:space="preserve">is </w:t>
      </w:r>
      <w:r w:rsidR="0044455F" w:rsidRPr="009819CA">
        <w:rPr>
          <w:lang w:val="en-CA"/>
        </w:rPr>
        <w:t xml:space="preserve">good if any of the counts would have justified </w:t>
      </w:r>
      <w:r w:rsidR="0048446D" w:rsidRPr="009819CA">
        <w:rPr>
          <w:lang w:val="en-CA"/>
        </w:rPr>
        <w:t>the sentence</w:t>
      </w:r>
      <w:r w:rsidR="0044455F" w:rsidRPr="009819CA">
        <w:rPr>
          <w:lang w:val="en-CA"/>
        </w:rPr>
        <w:t>.</w:t>
      </w:r>
      <w:r w:rsidRPr="009819CA">
        <w:rPr>
          <w:rStyle w:val="Appelnotedebasdep"/>
          <w:lang w:val="en-CA"/>
        </w:rPr>
        <w:footnoteReference w:id="17"/>
      </w:r>
    </w:p>
    <w:p w14:paraId="13962464" w14:textId="466C8734" w:rsidR="00270BC4" w:rsidRPr="009819CA" w:rsidRDefault="004C07B5" w:rsidP="00F574B7">
      <w:pPr>
        <w:pStyle w:val="Paragraphe"/>
        <w:rPr>
          <w:lang w:val="en-CA"/>
        </w:rPr>
      </w:pPr>
      <w:r w:rsidRPr="009819CA">
        <w:rPr>
          <w:lang w:val="en-CA"/>
        </w:rPr>
        <w:t xml:space="preserve">The judge’s </w:t>
      </w:r>
      <w:r w:rsidR="0048446D" w:rsidRPr="009819CA">
        <w:rPr>
          <w:lang w:val="en-CA"/>
        </w:rPr>
        <w:t xml:space="preserve">overall </w:t>
      </w:r>
      <w:r w:rsidRPr="009819CA">
        <w:rPr>
          <w:lang w:val="en-CA"/>
        </w:rPr>
        <w:t xml:space="preserve">approach, however, </w:t>
      </w:r>
      <w:r w:rsidR="0048446D" w:rsidRPr="009819CA">
        <w:rPr>
          <w:lang w:val="en-CA"/>
        </w:rPr>
        <w:t>led him to disregard</w:t>
      </w:r>
      <w:r w:rsidR="0044455F" w:rsidRPr="009819CA">
        <w:rPr>
          <w:lang w:val="en-CA"/>
        </w:rPr>
        <w:t xml:space="preserve"> </w:t>
      </w:r>
      <w:proofErr w:type="gramStart"/>
      <w:r w:rsidR="0044455F" w:rsidRPr="009819CA">
        <w:rPr>
          <w:lang w:val="en-CA"/>
        </w:rPr>
        <w:t xml:space="preserve">some </w:t>
      </w:r>
      <w:r w:rsidRPr="009819CA">
        <w:rPr>
          <w:lang w:val="en-CA"/>
        </w:rPr>
        <w:t>of</w:t>
      </w:r>
      <w:proofErr w:type="gramEnd"/>
      <w:r w:rsidRPr="009819CA">
        <w:rPr>
          <w:lang w:val="en-CA"/>
        </w:rPr>
        <w:t xml:space="preserve"> the </w:t>
      </w:r>
      <w:r w:rsidR="0044455F" w:rsidRPr="009819CA">
        <w:rPr>
          <w:lang w:val="en-CA"/>
        </w:rPr>
        <w:t xml:space="preserve">aggravating </w:t>
      </w:r>
      <w:r w:rsidR="0048446D" w:rsidRPr="009819CA">
        <w:rPr>
          <w:lang w:val="en-CA"/>
        </w:rPr>
        <w:t>factors related to</w:t>
      </w:r>
      <w:r w:rsidR="0044455F" w:rsidRPr="009819CA">
        <w:rPr>
          <w:lang w:val="en-CA"/>
        </w:rPr>
        <w:t xml:space="preserve"> the </w:t>
      </w:r>
      <w:r w:rsidR="0048446D" w:rsidRPr="009819CA">
        <w:rPr>
          <w:lang w:val="en-CA"/>
        </w:rPr>
        <w:t xml:space="preserve">commission </w:t>
      </w:r>
      <w:r w:rsidR="0044455F" w:rsidRPr="009819CA">
        <w:rPr>
          <w:lang w:val="en-CA"/>
        </w:rPr>
        <w:t>of the offence of voyeurism, in particula</w:t>
      </w:r>
      <w:r w:rsidR="005E4A4F" w:rsidRPr="009819CA">
        <w:rPr>
          <w:lang w:val="en-CA"/>
        </w:rPr>
        <w:t xml:space="preserve">r </w:t>
      </w:r>
      <w:r w:rsidR="0044455F" w:rsidRPr="009819CA">
        <w:rPr>
          <w:lang w:val="en-CA"/>
        </w:rPr>
        <w:t xml:space="preserve">the number of </w:t>
      </w:r>
      <w:r w:rsidR="005E4A4F" w:rsidRPr="009819CA">
        <w:rPr>
          <w:lang w:val="en-CA"/>
        </w:rPr>
        <w:t>photos</w:t>
      </w:r>
      <w:r w:rsidR="0044455F" w:rsidRPr="009819CA">
        <w:rPr>
          <w:lang w:val="en-CA"/>
        </w:rPr>
        <w:t>, their</w:t>
      </w:r>
      <w:r w:rsidR="00EE03D1" w:rsidRPr="009819CA">
        <w:rPr>
          <w:lang w:val="en-CA"/>
        </w:rPr>
        <w:t xml:space="preserve"> </w:t>
      </w:r>
      <w:r w:rsidR="0044455F" w:rsidRPr="009819CA">
        <w:rPr>
          <w:lang w:val="en-CA"/>
        </w:rPr>
        <w:t>content</w:t>
      </w:r>
      <w:r w:rsidR="0048446D" w:rsidRPr="009819CA">
        <w:rPr>
          <w:lang w:val="en-CA"/>
        </w:rPr>
        <w:t>,</w:t>
      </w:r>
      <w:r w:rsidR="0044455F" w:rsidRPr="009819CA">
        <w:rPr>
          <w:lang w:val="en-CA"/>
        </w:rPr>
        <w:t xml:space="preserve"> and the fact that they remained accessible in </w:t>
      </w:r>
      <w:r w:rsidR="0092686C" w:rsidRPr="009819CA">
        <w:rPr>
          <w:lang w:val="en-CA"/>
        </w:rPr>
        <w:t>Mr.</w:t>
      </w:r>
      <w:r w:rsidR="006E7EB9" w:rsidRPr="009819CA">
        <w:rPr>
          <w:lang w:val="en-CA"/>
        </w:rPr>
        <w:t> </w:t>
      </w:r>
      <w:r w:rsidR="00903AF9" w:rsidRPr="009819CA">
        <w:rPr>
          <w:lang w:val="en-CA"/>
        </w:rPr>
        <w:t>Houle</w:t>
      </w:r>
      <w:r w:rsidR="0044455F" w:rsidRPr="009819CA">
        <w:rPr>
          <w:lang w:val="en-CA"/>
        </w:rPr>
        <w:t>’s phone for</w:t>
      </w:r>
      <w:r w:rsidR="00903AF9" w:rsidRPr="009819CA">
        <w:rPr>
          <w:lang w:val="en-CA"/>
        </w:rPr>
        <w:t xml:space="preserve"> </w:t>
      </w:r>
      <w:r w:rsidR="00C44FE8" w:rsidRPr="009819CA">
        <w:rPr>
          <w:lang w:val="en-CA"/>
        </w:rPr>
        <w:t>44 day</w:t>
      </w:r>
      <w:r w:rsidR="00D05CDD" w:rsidRPr="009819CA">
        <w:rPr>
          <w:lang w:val="en-CA"/>
        </w:rPr>
        <w:t>s</w:t>
      </w:r>
      <w:r w:rsidR="005E4A4F" w:rsidRPr="009819CA">
        <w:rPr>
          <w:lang w:val="en-CA"/>
        </w:rPr>
        <w:t>.</w:t>
      </w:r>
    </w:p>
    <w:p w14:paraId="01FEDB00" w14:textId="7EF5A4DB" w:rsidR="00270BC4" w:rsidRPr="009819CA" w:rsidRDefault="00C44FE8" w:rsidP="00F574B7">
      <w:pPr>
        <w:pStyle w:val="Paragraphe"/>
        <w:rPr>
          <w:lang w:val="en-CA"/>
        </w:rPr>
      </w:pPr>
      <w:r w:rsidRPr="009819CA">
        <w:rPr>
          <w:lang w:val="en-CA"/>
        </w:rPr>
        <w:t>In</w:t>
      </w:r>
      <w:r w:rsidR="00270BC4" w:rsidRPr="009819CA">
        <w:rPr>
          <w:lang w:val="en-CA"/>
        </w:rPr>
        <w:t xml:space="preserve"> </w:t>
      </w:r>
      <w:r w:rsidR="00275A23" w:rsidRPr="009819CA">
        <w:rPr>
          <w:i/>
          <w:iCs/>
          <w:lang w:val="en-CA"/>
        </w:rPr>
        <w:t>R. v</w:t>
      </w:r>
      <w:r w:rsidR="00270BC4" w:rsidRPr="009819CA">
        <w:rPr>
          <w:i/>
          <w:iCs/>
          <w:lang w:val="en-CA"/>
        </w:rPr>
        <w:t>. Jarvis</w:t>
      </w:r>
      <w:r w:rsidR="0048446D" w:rsidRPr="009819CA">
        <w:rPr>
          <w:lang w:val="en-CA"/>
        </w:rPr>
        <w:t>,</w:t>
      </w:r>
      <w:r w:rsidRPr="009819CA">
        <w:rPr>
          <w:lang w:val="en-CA"/>
        </w:rPr>
        <w:t xml:space="preserve"> the</w:t>
      </w:r>
      <w:r w:rsidR="007C1BFD" w:rsidRPr="009819CA">
        <w:rPr>
          <w:lang w:val="en-CA"/>
        </w:rPr>
        <w:t xml:space="preserve"> Supreme Court acknowledged “the greater threat to privacy and sexual integrity posed by recording, as opposed to mere observation.”</w:t>
      </w:r>
      <w:bookmarkStart w:id="11" w:name="_Ref122011082"/>
      <w:r w:rsidR="00D6147D" w:rsidRPr="009819CA">
        <w:rPr>
          <w:rStyle w:val="Appelnotedebasdep"/>
          <w:lang w:val="en-CA"/>
        </w:rPr>
        <w:footnoteReference w:id="18"/>
      </w:r>
      <w:bookmarkEnd w:id="11"/>
      <w:r w:rsidR="001411F7" w:rsidRPr="009819CA">
        <w:rPr>
          <w:lang w:val="en-CA"/>
        </w:rPr>
        <w:t xml:space="preserve"> </w:t>
      </w:r>
      <w:r w:rsidR="00287E14" w:rsidRPr="009819CA">
        <w:rPr>
          <w:lang w:val="en-CA"/>
        </w:rPr>
        <w:t xml:space="preserve">In </w:t>
      </w:r>
      <w:r w:rsidR="0048446D" w:rsidRPr="009819CA">
        <w:rPr>
          <w:lang w:val="en-CA"/>
        </w:rPr>
        <w:t xml:space="preserve">this </w:t>
      </w:r>
      <w:r w:rsidR="00287E14" w:rsidRPr="009819CA">
        <w:rPr>
          <w:lang w:val="en-CA"/>
        </w:rPr>
        <w:t xml:space="preserve">case, </w:t>
      </w:r>
      <w:r w:rsidR="0048446D" w:rsidRPr="009819CA">
        <w:rPr>
          <w:lang w:val="en-CA"/>
        </w:rPr>
        <w:t>which involves the offence of</w:t>
      </w:r>
      <w:r w:rsidR="00287E14" w:rsidRPr="009819CA">
        <w:rPr>
          <w:lang w:val="en-CA"/>
        </w:rPr>
        <w:t xml:space="preserve"> voyeurism, </w:t>
      </w:r>
      <w:r w:rsidR="0092686C" w:rsidRPr="009819CA">
        <w:rPr>
          <w:lang w:val="en-CA"/>
        </w:rPr>
        <w:t>Mr.</w:t>
      </w:r>
      <w:r w:rsidR="009508C4" w:rsidRPr="009819CA">
        <w:rPr>
          <w:lang w:val="en-CA"/>
        </w:rPr>
        <w:t xml:space="preserve"> Houle </w:t>
      </w:r>
      <w:r w:rsidR="00287E14" w:rsidRPr="009819CA">
        <w:rPr>
          <w:lang w:val="en-CA"/>
        </w:rPr>
        <w:t xml:space="preserve">did not </w:t>
      </w:r>
      <w:r w:rsidR="004C07B5" w:rsidRPr="009819CA">
        <w:rPr>
          <w:lang w:val="en-CA"/>
        </w:rPr>
        <w:t>merely observe</w:t>
      </w:r>
      <w:r w:rsidR="00287E14" w:rsidRPr="009819CA">
        <w:rPr>
          <w:lang w:val="en-CA"/>
        </w:rPr>
        <w:t xml:space="preserve"> the victim’s breasts and genitals while she slept, he took close-up photos of them. The nine </w:t>
      </w:r>
      <w:r w:rsidR="000324D7" w:rsidRPr="009819CA">
        <w:rPr>
          <w:lang w:val="en-CA"/>
        </w:rPr>
        <w:t xml:space="preserve">photos </w:t>
      </w:r>
      <w:r w:rsidR="00287E14" w:rsidRPr="009819CA">
        <w:rPr>
          <w:lang w:val="en-CA"/>
        </w:rPr>
        <w:t xml:space="preserve">remained in his </w:t>
      </w:r>
      <w:r w:rsidR="000324D7" w:rsidRPr="009819CA">
        <w:rPr>
          <w:lang w:val="en-CA"/>
        </w:rPr>
        <w:t>possession</w:t>
      </w:r>
      <w:r w:rsidR="00B02E9B" w:rsidRPr="009819CA">
        <w:rPr>
          <w:lang w:val="en-CA"/>
        </w:rPr>
        <w:t xml:space="preserve"> </w:t>
      </w:r>
      <w:r w:rsidR="00287E14" w:rsidRPr="009819CA">
        <w:rPr>
          <w:lang w:val="en-CA"/>
        </w:rPr>
        <w:t xml:space="preserve">for </w:t>
      </w:r>
      <w:r w:rsidR="00B02E9B" w:rsidRPr="009819CA">
        <w:rPr>
          <w:lang w:val="en-CA"/>
        </w:rPr>
        <w:t xml:space="preserve">44 </w:t>
      </w:r>
      <w:r w:rsidR="00287E14" w:rsidRPr="009819CA">
        <w:rPr>
          <w:lang w:val="en-CA"/>
        </w:rPr>
        <w:t xml:space="preserve">days and </w:t>
      </w:r>
      <w:proofErr w:type="gramStart"/>
      <w:r w:rsidR="00287E14" w:rsidRPr="009819CA">
        <w:rPr>
          <w:lang w:val="en-CA"/>
        </w:rPr>
        <w:t>were seen</w:t>
      </w:r>
      <w:proofErr w:type="gramEnd"/>
      <w:r w:rsidR="00287E14" w:rsidRPr="009819CA">
        <w:rPr>
          <w:lang w:val="en-CA"/>
        </w:rPr>
        <w:t xml:space="preserve"> by his friend</w:t>
      </w:r>
      <w:r w:rsidR="00982E14" w:rsidRPr="009819CA">
        <w:rPr>
          <w:lang w:val="en-CA"/>
        </w:rPr>
        <w:t xml:space="preserve">. </w:t>
      </w:r>
      <w:r w:rsidR="00287E14" w:rsidRPr="009819CA">
        <w:rPr>
          <w:lang w:val="en-CA"/>
        </w:rPr>
        <w:t xml:space="preserve">As the prosecution </w:t>
      </w:r>
      <w:r w:rsidR="00287E14" w:rsidRPr="009819CA">
        <w:rPr>
          <w:lang w:val="en-CA"/>
        </w:rPr>
        <w:lastRenderedPageBreak/>
        <w:t>argue</w:t>
      </w:r>
      <w:r w:rsidR="0048446D" w:rsidRPr="009819CA">
        <w:rPr>
          <w:lang w:val="en-CA"/>
        </w:rPr>
        <w:t>s</w:t>
      </w:r>
      <w:r w:rsidR="00287E14" w:rsidRPr="009819CA">
        <w:rPr>
          <w:lang w:val="en-CA"/>
        </w:rPr>
        <w:t>, [</w:t>
      </w:r>
      <w:r w:rsidR="00287E14" w:rsidRPr="009819CA">
        <w:rPr>
          <w:smallCaps/>
          <w:lang w:val="en-CA"/>
        </w:rPr>
        <w:t>translation</w:t>
      </w:r>
      <w:r w:rsidR="00287E14" w:rsidRPr="009819CA">
        <w:rPr>
          <w:lang w:val="en-CA"/>
        </w:rPr>
        <w:t>] “the victim c</w:t>
      </w:r>
      <w:r w:rsidR="0048446D" w:rsidRPr="009819CA">
        <w:rPr>
          <w:lang w:val="en-CA"/>
        </w:rPr>
        <w:t>an</w:t>
      </w:r>
      <w:r w:rsidR="00287E14" w:rsidRPr="009819CA">
        <w:rPr>
          <w:lang w:val="en-CA"/>
        </w:rPr>
        <w:t xml:space="preserve"> neve</w:t>
      </w:r>
      <w:r w:rsidR="00D21E26" w:rsidRPr="009819CA">
        <w:rPr>
          <w:lang w:val="en-CA"/>
        </w:rPr>
        <w:t>r be certain that her sexual</w:t>
      </w:r>
      <w:r w:rsidR="00287E14" w:rsidRPr="009819CA">
        <w:rPr>
          <w:lang w:val="en-CA"/>
        </w:rPr>
        <w:t xml:space="preserve"> integrity and privacy </w:t>
      </w:r>
      <w:r w:rsidR="0048446D" w:rsidRPr="009819CA">
        <w:rPr>
          <w:lang w:val="en-CA"/>
        </w:rPr>
        <w:t>a</w:t>
      </w:r>
      <w:r w:rsidR="00287E14" w:rsidRPr="009819CA">
        <w:rPr>
          <w:lang w:val="en-CA"/>
        </w:rPr>
        <w:t xml:space="preserve">re no longer </w:t>
      </w:r>
      <w:r w:rsidR="0048446D" w:rsidRPr="009819CA">
        <w:rPr>
          <w:lang w:val="en-CA"/>
        </w:rPr>
        <w:t>at risk</w:t>
      </w:r>
      <w:r w:rsidR="00287E14" w:rsidRPr="009819CA">
        <w:rPr>
          <w:lang w:val="en-CA"/>
        </w:rPr>
        <w:t>.”</w:t>
      </w:r>
      <w:r w:rsidR="00A344AA" w:rsidRPr="009819CA">
        <w:rPr>
          <w:rStyle w:val="Appelnotedebasdep"/>
          <w:lang w:val="en-CA"/>
        </w:rPr>
        <w:footnoteReference w:id="19"/>
      </w:r>
    </w:p>
    <w:p w14:paraId="29242F7C" w14:textId="4368FD59" w:rsidR="00864EDF" w:rsidRPr="009819CA" w:rsidRDefault="0048446D" w:rsidP="00E05745">
      <w:pPr>
        <w:pStyle w:val="Paragraphe"/>
        <w:rPr>
          <w:lang w:val="en-CA"/>
        </w:rPr>
      </w:pPr>
      <w:r w:rsidRPr="009819CA">
        <w:rPr>
          <w:lang w:val="en-CA"/>
        </w:rPr>
        <w:t xml:space="preserve">It should </w:t>
      </w:r>
      <w:proofErr w:type="gramStart"/>
      <w:r w:rsidRPr="009819CA">
        <w:rPr>
          <w:lang w:val="en-CA"/>
        </w:rPr>
        <w:t>be recalled</w:t>
      </w:r>
      <w:proofErr w:type="gramEnd"/>
      <w:r w:rsidRPr="009819CA">
        <w:rPr>
          <w:lang w:val="en-CA"/>
        </w:rPr>
        <w:t xml:space="preserve"> </w:t>
      </w:r>
      <w:r w:rsidR="007C1BFD" w:rsidRPr="009819CA">
        <w:rPr>
          <w:lang w:val="en-CA"/>
        </w:rPr>
        <w:t>that there is a</w:t>
      </w:r>
      <w:r w:rsidRPr="009819CA">
        <w:rPr>
          <w:lang w:val="en-CA"/>
        </w:rPr>
        <w:t>n</w:t>
      </w:r>
      <w:r w:rsidR="007C1BFD" w:rsidRPr="009819CA">
        <w:rPr>
          <w:lang w:val="en-CA"/>
        </w:rPr>
        <w:t xml:space="preserve"> </w:t>
      </w:r>
      <w:r w:rsidRPr="009819CA">
        <w:rPr>
          <w:lang w:val="en-CA"/>
        </w:rPr>
        <w:t xml:space="preserve">intimate </w:t>
      </w:r>
      <w:r w:rsidR="007C1BFD" w:rsidRPr="009819CA">
        <w:rPr>
          <w:lang w:val="en-CA"/>
        </w:rPr>
        <w:t xml:space="preserve">connection between privacy and </w:t>
      </w:r>
      <w:r w:rsidR="00D21E26" w:rsidRPr="009819CA">
        <w:rPr>
          <w:lang w:val="en-CA"/>
        </w:rPr>
        <w:t>indi</w:t>
      </w:r>
      <w:r w:rsidR="004C07B5" w:rsidRPr="009819CA">
        <w:rPr>
          <w:lang w:val="en-CA"/>
        </w:rPr>
        <w:t>v</w:t>
      </w:r>
      <w:r w:rsidR="00D21E26" w:rsidRPr="009819CA">
        <w:rPr>
          <w:lang w:val="en-CA"/>
        </w:rPr>
        <w:t xml:space="preserve">idual </w:t>
      </w:r>
      <w:r w:rsidR="007C1BFD" w:rsidRPr="009819CA">
        <w:rPr>
          <w:lang w:val="en-CA"/>
        </w:rPr>
        <w:t>dignity.</w:t>
      </w:r>
      <w:bookmarkStart w:id="12" w:name="_Ref123894104"/>
      <w:r w:rsidR="00A83985" w:rsidRPr="009819CA">
        <w:rPr>
          <w:rStyle w:val="Appelnotedebasdep"/>
          <w:lang w:val="en-CA"/>
        </w:rPr>
        <w:footnoteReference w:id="20"/>
      </w:r>
      <w:bookmarkEnd w:id="12"/>
      <w:r w:rsidR="00083380" w:rsidRPr="009819CA">
        <w:rPr>
          <w:lang w:val="en-CA"/>
        </w:rPr>
        <w:t xml:space="preserve"> </w:t>
      </w:r>
      <w:r w:rsidR="007C1BFD" w:rsidRPr="009819CA">
        <w:rPr>
          <w:lang w:val="en-CA"/>
        </w:rPr>
        <w:t xml:space="preserve">By photographing the most intimate parts of the victim’s body without her knowledge, </w:t>
      </w:r>
      <w:r w:rsidR="0092686C" w:rsidRPr="009819CA">
        <w:rPr>
          <w:lang w:val="en-CA"/>
        </w:rPr>
        <w:t>Mr.</w:t>
      </w:r>
      <w:r w:rsidR="00A83985" w:rsidRPr="009819CA">
        <w:rPr>
          <w:lang w:val="en-CA"/>
        </w:rPr>
        <w:t> </w:t>
      </w:r>
      <w:r w:rsidR="007C1BFD" w:rsidRPr="009819CA">
        <w:rPr>
          <w:lang w:val="en-CA"/>
        </w:rPr>
        <w:t>Houle vi</w:t>
      </w:r>
      <w:r w:rsidR="0005319E" w:rsidRPr="009819CA">
        <w:rPr>
          <w:lang w:val="en-CA"/>
        </w:rPr>
        <w:t>olated an area</w:t>
      </w:r>
      <w:r w:rsidR="007C1BFD" w:rsidRPr="009819CA">
        <w:rPr>
          <w:lang w:val="en-CA"/>
        </w:rPr>
        <w:t xml:space="preserve"> of her privacy essential to </w:t>
      </w:r>
      <w:r w:rsidR="004C2ADF" w:rsidRPr="009819CA">
        <w:rPr>
          <w:lang w:val="en-CA"/>
        </w:rPr>
        <w:t xml:space="preserve">the </w:t>
      </w:r>
      <w:r w:rsidR="007C1BFD" w:rsidRPr="009819CA">
        <w:rPr>
          <w:lang w:val="en-CA"/>
        </w:rPr>
        <w:t>maint</w:t>
      </w:r>
      <w:r w:rsidR="004C2ADF" w:rsidRPr="009819CA">
        <w:rPr>
          <w:lang w:val="en-CA"/>
        </w:rPr>
        <w:t>enance of</w:t>
      </w:r>
      <w:r w:rsidR="007C1BFD" w:rsidRPr="009819CA">
        <w:rPr>
          <w:lang w:val="en-CA"/>
        </w:rPr>
        <w:t xml:space="preserve"> her human dignity.</w:t>
      </w:r>
      <w:r w:rsidR="00905550" w:rsidRPr="009819CA">
        <w:rPr>
          <w:rStyle w:val="Appelnotedebasdep"/>
          <w:lang w:val="en-CA"/>
        </w:rPr>
        <w:footnoteReference w:id="21"/>
      </w:r>
    </w:p>
    <w:p w14:paraId="6C3E64C7" w14:textId="4C8BBA5E" w:rsidR="00DA4135" w:rsidRPr="009819CA" w:rsidRDefault="00D21E26" w:rsidP="00F574B7">
      <w:pPr>
        <w:pStyle w:val="Paragraphe"/>
        <w:rPr>
          <w:lang w:val="en-CA"/>
        </w:rPr>
      </w:pPr>
      <w:r w:rsidRPr="009819CA">
        <w:rPr>
          <w:lang w:val="en-CA"/>
        </w:rPr>
        <w:t>Th</w:t>
      </w:r>
      <w:r w:rsidR="00DA4135" w:rsidRPr="009819CA">
        <w:rPr>
          <w:lang w:val="en-CA"/>
        </w:rPr>
        <w:t>e ju</w:t>
      </w:r>
      <w:r w:rsidRPr="009819CA">
        <w:rPr>
          <w:lang w:val="en-CA"/>
        </w:rPr>
        <w:t>d</w:t>
      </w:r>
      <w:r w:rsidR="00DA4135" w:rsidRPr="009819CA">
        <w:rPr>
          <w:lang w:val="en-CA"/>
        </w:rPr>
        <w:t xml:space="preserve">ge </w:t>
      </w:r>
      <w:r w:rsidRPr="009819CA">
        <w:rPr>
          <w:lang w:val="en-CA"/>
        </w:rPr>
        <w:t xml:space="preserve">did not </w:t>
      </w:r>
      <w:proofErr w:type="gramStart"/>
      <w:r w:rsidRPr="009819CA">
        <w:rPr>
          <w:lang w:val="en-CA"/>
        </w:rPr>
        <w:t xml:space="preserve">take </w:t>
      </w:r>
      <w:r w:rsidR="004C2ADF" w:rsidRPr="009819CA">
        <w:rPr>
          <w:lang w:val="en-CA"/>
        </w:rPr>
        <w:t>into account</w:t>
      </w:r>
      <w:proofErr w:type="gramEnd"/>
      <w:r w:rsidR="004C2ADF" w:rsidRPr="009819CA">
        <w:rPr>
          <w:lang w:val="en-CA"/>
        </w:rPr>
        <w:t xml:space="preserve"> </w:t>
      </w:r>
      <w:r w:rsidRPr="009819CA">
        <w:rPr>
          <w:lang w:val="en-CA"/>
        </w:rPr>
        <w:t>th</w:t>
      </w:r>
      <w:r w:rsidR="004C2ADF" w:rsidRPr="009819CA">
        <w:rPr>
          <w:lang w:val="en-CA"/>
        </w:rPr>
        <w:t>e</w:t>
      </w:r>
      <w:r w:rsidR="009C65A5" w:rsidRPr="009819CA">
        <w:rPr>
          <w:lang w:val="en-CA"/>
        </w:rPr>
        <w:t xml:space="preserve"> aggravating </w:t>
      </w:r>
      <w:r w:rsidR="004C2ADF" w:rsidRPr="009819CA">
        <w:rPr>
          <w:lang w:val="en-CA"/>
        </w:rPr>
        <w:t xml:space="preserve">factors </w:t>
      </w:r>
      <w:r w:rsidR="009C65A5" w:rsidRPr="009819CA">
        <w:rPr>
          <w:lang w:val="en-CA"/>
        </w:rPr>
        <w:t xml:space="preserve">related to the </w:t>
      </w:r>
      <w:r w:rsidR="004C2ADF" w:rsidRPr="009819CA">
        <w:rPr>
          <w:lang w:val="en-CA"/>
        </w:rPr>
        <w:t xml:space="preserve">commission </w:t>
      </w:r>
      <w:r w:rsidR="009C65A5" w:rsidRPr="009819CA">
        <w:rPr>
          <w:lang w:val="en-CA"/>
        </w:rPr>
        <w:t xml:space="preserve">of the offence of voyeurism. He </w:t>
      </w:r>
      <w:r w:rsidR="004C2ADF" w:rsidRPr="009819CA">
        <w:rPr>
          <w:lang w:val="en-CA"/>
        </w:rPr>
        <w:t xml:space="preserve">noted </w:t>
      </w:r>
      <w:r w:rsidR="009C65A5" w:rsidRPr="009819CA">
        <w:rPr>
          <w:lang w:val="en-CA"/>
        </w:rPr>
        <w:t xml:space="preserve">that </w:t>
      </w:r>
      <w:r w:rsidR="0092686C" w:rsidRPr="009819CA">
        <w:rPr>
          <w:lang w:val="en-CA"/>
        </w:rPr>
        <w:t>Mr.</w:t>
      </w:r>
      <w:r w:rsidR="00B8175F" w:rsidRPr="009819CA">
        <w:rPr>
          <w:lang w:val="en-CA"/>
        </w:rPr>
        <w:t> </w:t>
      </w:r>
      <w:r w:rsidR="00DA4135" w:rsidRPr="009819CA">
        <w:rPr>
          <w:lang w:val="en-CA"/>
        </w:rPr>
        <w:t xml:space="preserve">Houle </w:t>
      </w:r>
      <w:r w:rsidR="009C65A5" w:rsidRPr="009819CA">
        <w:rPr>
          <w:lang w:val="en-CA"/>
        </w:rPr>
        <w:t xml:space="preserve">had time to take nine </w:t>
      </w:r>
      <w:r w:rsidR="00DA4135" w:rsidRPr="009819CA">
        <w:rPr>
          <w:lang w:val="en-CA"/>
        </w:rPr>
        <w:t xml:space="preserve">photos, </w:t>
      </w:r>
      <w:r w:rsidR="009C65A5" w:rsidRPr="009819CA">
        <w:rPr>
          <w:lang w:val="en-CA"/>
        </w:rPr>
        <w:t xml:space="preserve">but only to assess the duration of the </w:t>
      </w:r>
      <w:r w:rsidR="004C2ADF" w:rsidRPr="009819CA">
        <w:rPr>
          <w:lang w:val="en-CA"/>
        </w:rPr>
        <w:t>incident</w:t>
      </w:r>
      <w:r w:rsidR="009C65A5" w:rsidRPr="009819CA">
        <w:rPr>
          <w:lang w:val="en-CA"/>
        </w:rPr>
        <w:t xml:space="preserve">. </w:t>
      </w:r>
      <w:r w:rsidR="004C2ADF" w:rsidRPr="009819CA">
        <w:rPr>
          <w:lang w:val="en-CA"/>
        </w:rPr>
        <w:t xml:space="preserve">With respect to </w:t>
      </w:r>
      <w:r w:rsidR="009C65A5" w:rsidRPr="009819CA">
        <w:rPr>
          <w:lang w:val="en-CA"/>
        </w:rPr>
        <w:t xml:space="preserve">the aggravating </w:t>
      </w:r>
      <w:r w:rsidR="004C2ADF" w:rsidRPr="009819CA">
        <w:rPr>
          <w:lang w:val="en-CA"/>
        </w:rPr>
        <w:t xml:space="preserve">factors, </w:t>
      </w:r>
      <w:r w:rsidR="009C65A5" w:rsidRPr="009819CA">
        <w:rPr>
          <w:lang w:val="en-CA"/>
        </w:rPr>
        <w:t xml:space="preserve">he accepted the </w:t>
      </w:r>
      <w:r w:rsidR="004C2ADF" w:rsidRPr="009819CA">
        <w:rPr>
          <w:lang w:val="en-CA"/>
        </w:rPr>
        <w:t xml:space="preserve">gravity </w:t>
      </w:r>
      <w:r w:rsidR="009C65A5" w:rsidRPr="009819CA">
        <w:rPr>
          <w:lang w:val="en-CA"/>
        </w:rPr>
        <w:t xml:space="preserve">of the </w:t>
      </w:r>
      <w:r w:rsidR="00B63D68" w:rsidRPr="009819CA">
        <w:rPr>
          <w:lang w:val="en-CA"/>
        </w:rPr>
        <w:t xml:space="preserve">interference with </w:t>
      </w:r>
      <w:r w:rsidR="009C65A5" w:rsidRPr="009819CA">
        <w:rPr>
          <w:lang w:val="en-CA"/>
        </w:rPr>
        <w:t xml:space="preserve">the victim’s </w:t>
      </w:r>
      <w:r w:rsidR="00B63D68" w:rsidRPr="009819CA">
        <w:rPr>
          <w:lang w:val="en-CA"/>
        </w:rPr>
        <w:t xml:space="preserve">bodily </w:t>
      </w:r>
      <w:r w:rsidR="009C65A5" w:rsidRPr="009819CA">
        <w:rPr>
          <w:lang w:val="en-CA"/>
        </w:rPr>
        <w:t xml:space="preserve">and psychological integrity but failed to </w:t>
      </w:r>
      <w:r w:rsidR="006E7EB9" w:rsidRPr="009819CA">
        <w:rPr>
          <w:lang w:val="en-CA"/>
        </w:rPr>
        <w:t>note</w:t>
      </w:r>
      <w:r w:rsidR="006E7EB9" w:rsidRPr="009819CA">
        <w:rPr>
          <w:lang w:val="en-CA"/>
        </w:rPr>
        <w:t xml:space="preserve"> </w:t>
      </w:r>
      <w:r w:rsidR="009C65A5" w:rsidRPr="009819CA">
        <w:rPr>
          <w:lang w:val="en-CA"/>
        </w:rPr>
        <w:t xml:space="preserve">the </w:t>
      </w:r>
      <w:r w:rsidR="004C2ADF" w:rsidRPr="009819CA">
        <w:rPr>
          <w:lang w:val="en-CA"/>
        </w:rPr>
        <w:t xml:space="preserve">violations </w:t>
      </w:r>
      <w:r w:rsidR="009C65A5" w:rsidRPr="009819CA">
        <w:rPr>
          <w:lang w:val="en-CA"/>
        </w:rPr>
        <w:t>o</w:t>
      </w:r>
      <w:r w:rsidR="004C2ADF" w:rsidRPr="009819CA">
        <w:rPr>
          <w:lang w:val="en-CA"/>
        </w:rPr>
        <w:t>f</w:t>
      </w:r>
      <w:r w:rsidR="009C65A5" w:rsidRPr="009819CA">
        <w:rPr>
          <w:lang w:val="en-CA"/>
        </w:rPr>
        <w:t xml:space="preserve"> her privacy and dignity.</w:t>
      </w:r>
    </w:p>
    <w:p w14:paraId="30AD0C62" w14:textId="2779983E" w:rsidR="003740FF" w:rsidRPr="009819CA" w:rsidRDefault="009C65A5" w:rsidP="00127D8B">
      <w:pPr>
        <w:pStyle w:val="Paragraphe"/>
        <w:rPr>
          <w:lang w:val="en-CA"/>
        </w:rPr>
      </w:pPr>
      <w:proofErr w:type="gramStart"/>
      <w:r w:rsidRPr="009819CA">
        <w:rPr>
          <w:lang w:val="en-CA"/>
        </w:rPr>
        <w:t>I</w:t>
      </w:r>
      <w:r w:rsidR="00EA0D34" w:rsidRPr="009819CA">
        <w:rPr>
          <w:lang w:val="en-CA"/>
        </w:rPr>
        <w:t xml:space="preserve">n </w:t>
      </w:r>
      <w:r w:rsidRPr="009819CA">
        <w:rPr>
          <w:lang w:val="en-CA"/>
        </w:rPr>
        <w:t>reality</w:t>
      </w:r>
      <w:r w:rsidR="002B5A69" w:rsidRPr="009819CA">
        <w:rPr>
          <w:lang w:val="en-CA"/>
        </w:rPr>
        <w:t xml:space="preserve">, </w:t>
      </w:r>
      <w:r w:rsidRPr="009819CA">
        <w:rPr>
          <w:lang w:val="en-CA"/>
        </w:rPr>
        <w:t>apart</w:t>
      </w:r>
      <w:proofErr w:type="gramEnd"/>
      <w:r w:rsidRPr="009819CA">
        <w:rPr>
          <w:lang w:val="en-CA"/>
        </w:rPr>
        <w:t xml:space="preserve"> from mentioning that voyeurism </w:t>
      </w:r>
      <w:r w:rsidR="004C2ADF" w:rsidRPr="009819CA">
        <w:rPr>
          <w:lang w:val="en-CA"/>
        </w:rPr>
        <w:t xml:space="preserve">is punishable by </w:t>
      </w:r>
      <w:r w:rsidRPr="009819CA">
        <w:rPr>
          <w:lang w:val="en-CA"/>
        </w:rPr>
        <w:t>a maximum prison sentenc</w:t>
      </w:r>
      <w:r w:rsidR="0005319E" w:rsidRPr="009819CA">
        <w:rPr>
          <w:lang w:val="en-CA"/>
        </w:rPr>
        <w:t xml:space="preserve">e of </w:t>
      </w:r>
      <w:r w:rsidR="006E7EB9" w:rsidRPr="009819CA">
        <w:rPr>
          <w:lang w:val="en-CA"/>
        </w:rPr>
        <w:t>5</w:t>
      </w:r>
      <w:r w:rsidR="006E7EB9" w:rsidRPr="009819CA">
        <w:rPr>
          <w:lang w:val="en-CA"/>
        </w:rPr>
        <w:t xml:space="preserve"> </w:t>
      </w:r>
      <w:r w:rsidR="0005319E" w:rsidRPr="009819CA">
        <w:rPr>
          <w:lang w:val="en-CA"/>
        </w:rPr>
        <w:t>years, the judge seem</w:t>
      </w:r>
      <w:r w:rsidR="004C2ADF" w:rsidRPr="009819CA">
        <w:rPr>
          <w:lang w:val="en-CA"/>
        </w:rPr>
        <w:t>s</w:t>
      </w:r>
      <w:r w:rsidRPr="009819CA">
        <w:rPr>
          <w:lang w:val="en-CA"/>
        </w:rPr>
        <w:t xml:space="preserve"> to have lost sight of th</w:t>
      </w:r>
      <w:r w:rsidR="004C2ADF" w:rsidRPr="009819CA">
        <w:rPr>
          <w:lang w:val="en-CA"/>
        </w:rPr>
        <w:t>is</w:t>
      </w:r>
      <w:r w:rsidRPr="009819CA">
        <w:rPr>
          <w:lang w:val="en-CA"/>
        </w:rPr>
        <w:t xml:space="preserve"> offence when he determined the appropriate sentence. The following ex</w:t>
      </w:r>
      <w:r w:rsidR="0034720C" w:rsidRPr="009819CA">
        <w:rPr>
          <w:lang w:val="en-CA"/>
        </w:rPr>
        <w:t>cerpt</w:t>
      </w:r>
      <w:r w:rsidRPr="009819CA">
        <w:rPr>
          <w:lang w:val="en-CA"/>
        </w:rPr>
        <w:t xml:space="preserve"> from his reasons is quite revealing:</w:t>
      </w:r>
    </w:p>
    <w:p w14:paraId="79C0E4FD" w14:textId="77777777" w:rsidR="009C65A5" w:rsidRPr="009819CA" w:rsidRDefault="009C65A5" w:rsidP="001E50DE">
      <w:pPr>
        <w:pStyle w:val="Citationenretrait"/>
        <w:rPr>
          <w:lang w:val="en-CA"/>
        </w:rPr>
      </w:pPr>
      <w:r w:rsidRPr="009819CA">
        <w:rPr>
          <w:lang w:val="en-CA"/>
        </w:rPr>
        <w:t>[</w:t>
      </w:r>
      <w:r w:rsidRPr="009819CA">
        <w:rPr>
          <w:smallCaps/>
          <w:lang w:val="en-CA"/>
        </w:rPr>
        <w:t>translation</w:t>
      </w:r>
      <w:r w:rsidRPr="009819CA">
        <w:rPr>
          <w:lang w:val="en-CA"/>
        </w:rPr>
        <w:t>]</w:t>
      </w:r>
    </w:p>
    <w:p w14:paraId="781DB27F" w14:textId="7ED2522B" w:rsidR="001E50DE" w:rsidRPr="009819CA" w:rsidRDefault="001E50DE" w:rsidP="001E50DE">
      <w:pPr>
        <w:pStyle w:val="Citationenretrait"/>
        <w:rPr>
          <w:lang w:val="en-CA"/>
        </w:rPr>
      </w:pPr>
      <w:r w:rsidRPr="009819CA">
        <w:rPr>
          <w:lang w:val="en-CA"/>
        </w:rPr>
        <w:t>[91]  </w:t>
      </w:r>
      <w:r w:rsidR="009C65A5" w:rsidRPr="009819CA">
        <w:rPr>
          <w:lang w:val="en-CA"/>
        </w:rPr>
        <w:t xml:space="preserve">Second, the Court is of the opinion that </w:t>
      </w:r>
      <w:r w:rsidR="00680974" w:rsidRPr="009819CA">
        <w:rPr>
          <w:lang w:val="en-CA"/>
        </w:rPr>
        <w:t xml:space="preserve">granting a </w:t>
      </w:r>
      <w:r w:rsidR="009C65A5" w:rsidRPr="009819CA">
        <w:rPr>
          <w:lang w:val="en-CA"/>
        </w:rPr>
        <w:t xml:space="preserve">conditional discharge in this case </w:t>
      </w:r>
      <w:r w:rsidR="00CE53D4" w:rsidRPr="009819CA">
        <w:rPr>
          <w:lang w:val="en-CA"/>
        </w:rPr>
        <w:t xml:space="preserve">is </w:t>
      </w:r>
      <w:r w:rsidR="009C65A5" w:rsidRPr="009819CA">
        <w:rPr>
          <w:lang w:val="en-CA"/>
        </w:rPr>
        <w:t xml:space="preserve">not </w:t>
      </w:r>
      <w:r w:rsidR="00CE53D4" w:rsidRPr="009819CA">
        <w:rPr>
          <w:lang w:val="en-CA"/>
        </w:rPr>
        <w:t xml:space="preserve">contrary to </w:t>
      </w:r>
      <w:r w:rsidR="009C65A5" w:rsidRPr="009819CA">
        <w:rPr>
          <w:lang w:val="en-CA"/>
        </w:rPr>
        <w:t xml:space="preserve">the public interest, notwithstanding the </w:t>
      </w:r>
      <w:r w:rsidR="004C2ADF" w:rsidRPr="009819CA">
        <w:rPr>
          <w:lang w:val="en-CA"/>
        </w:rPr>
        <w:t xml:space="preserve">gravity </w:t>
      </w:r>
      <w:r w:rsidR="009C65A5" w:rsidRPr="009819CA">
        <w:rPr>
          <w:lang w:val="en-CA"/>
        </w:rPr>
        <w:t xml:space="preserve">of the </w:t>
      </w:r>
      <w:r w:rsidR="009C65A5" w:rsidRPr="009819CA">
        <w:rPr>
          <w:b/>
          <w:lang w:val="en-CA"/>
        </w:rPr>
        <w:t>offence</w:t>
      </w:r>
      <w:r w:rsidR="009C65A5" w:rsidRPr="009819CA">
        <w:rPr>
          <w:lang w:val="en-CA"/>
        </w:rPr>
        <w:t xml:space="preserve">, especially due to the consequences </w:t>
      </w:r>
      <w:r w:rsidR="00866FF1">
        <w:rPr>
          <w:lang w:val="en-CA"/>
        </w:rPr>
        <w:t>on</w:t>
      </w:r>
      <w:r w:rsidR="00866FF1" w:rsidRPr="009819CA">
        <w:rPr>
          <w:lang w:val="en-CA"/>
        </w:rPr>
        <w:t xml:space="preserve"> </w:t>
      </w:r>
      <w:r w:rsidR="009C65A5" w:rsidRPr="009819CA">
        <w:rPr>
          <w:lang w:val="en-CA"/>
        </w:rPr>
        <w:t xml:space="preserve">the victim and the abuse of her vulnerability, its </w:t>
      </w:r>
      <w:r w:rsidR="004C2ADF" w:rsidRPr="009819CA">
        <w:rPr>
          <w:lang w:val="en-CA"/>
        </w:rPr>
        <w:t xml:space="preserve">impact </w:t>
      </w:r>
      <w:r w:rsidR="009C65A5" w:rsidRPr="009819CA">
        <w:rPr>
          <w:lang w:val="en-CA"/>
        </w:rPr>
        <w:t>on the communi</w:t>
      </w:r>
      <w:r w:rsidR="0005319E" w:rsidRPr="009819CA">
        <w:rPr>
          <w:lang w:val="en-CA"/>
        </w:rPr>
        <w:t>ty</w:t>
      </w:r>
      <w:r w:rsidR="004C2ADF" w:rsidRPr="009819CA">
        <w:rPr>
          <w:lang w:val="en-CA"/>
        </w:rPr>
        <w:t>,</w:t>
      </w:r>
      <w:r w:rsidR="0005319E" w:rsidRPr="009819CA">
        <w:rPr>
          <w:lang w:val="en-CA"/>
        </w:rPr>
        <w:t xml:space="preserve"> and the importance of general</w:t>
      </w:r>
      <w:r w:rsidR="009C65A5" w:rsidRPr="009819CA">
        <w:rPr>
          <w:lang w:val="en-CA"/>
        </w:rPr>
        <w:t xml:space="preserve"> deterrence associated with </w:t>
      </w:r>
      <w:r w:rsidR="009C65A5" w:rsidRPr="009819CA">
        <w:rPr>
          <w:b/>
          <w:lang w:val="en-CA"/>
        </w:rPr>
        <w:t>sexual assault</w:t>
      </w:r>
      <w:r w:rsidR="009C65A5" w:rsidRPr="009819CA">
        <w:rPr>
          <w:lang w:val="en-CA"/>
        </w:rPr>
        <w:t xml:space="preserve"> offences</w:t>
      </w:r>
      <w:r w:rsidRPr="009819CA">
        <w:rPr>
          <w:lang w:val="en-CA"/>
        </w:rPr>
        <w:t>.</w:t>
      </w:r>
    </w:p>
    <w:p w14:paraId="2655A441" w14:textId="77777777" w:rsidR="001E50DE" w:rsidRPr="009819CA" w:rsidRDefault="001E50DE" w:rsidP="001E50DE">
      <w:pPr>
        <w:pStyle w:val="Citationenretrait"/>
        <w:jc w:val="right"/>
        <w:rPr>
          <w:lang w:val="en-CA"/>
        </w:rPr>
      </w:pPr>
      <w:r w:rsidRPr="009819CA">
        <w:rPr>
          <w:lang w:val="en-CA"/>
        </w:rPr>
        <w:t>[</w:t>
      </w:r>
      <w:r w:rsidR="00275A23" w:rsidRPr="009819CA">
        <w:rPr>
          <w:lang w:val="en-CA"/>
        </w:rPr>
        <w:t>Emphasis added</w:t>
      </w:r>
      <w:r w:rsidRPr="009819CA">
        <w:rPr>
          <w:lang w:val="en-CA"/>
        </w:rPr>
        <w:t>]</w:t>
      </w:r>
    </w:p>
    <w:p w14:paraId="3E8B1DAA" w14:textId="17CD8038" w:rsidR="003740FF" w:rsidRPr="009819CA" w:rsidRDefault="00370AF4" w:rsidP="00127D8B">
      <w:pPr>
        <w:pStyle w:val="Paragraphe"/>
        <w:rPr>
          <w:lang w:val="en-CA"/>
        </w:rPr>
      </w:pPr>
      <w:r w:rsidRPr="009819CA">
        <w:rPr>
          <w:lang w:val="en-CA"/>
        </w:rPr>
        <w:t xml:space="preserve">The same </w:t>
      </w:r>
      <w:r w:rsidR="000E7E11" w:rsidRPr="009819CA">
        <w:rPr>
          <w:lang w:val="en-CA"/>
        </w:rPr>
        <w:t xml:space="preserve">is true </w:t>
      </w:r>
      <w:r w:rsidRPr="009819CA">
        <w:rPr>
          <w:lang w:val="en-CA"/>
        </w:rPr>
        <w:t xml:space="preserve">of the </w:t>
      </w:r>
      <w:r w:rsidR="000E7E11" w:rsidRPr="009819CA">
        <w:rPr>
          <w:lang w:val="en-CA"/>
        </w:rPr>
        <w:t xml:space="preserve">case law relied upon by </w:t>
      </w:r>
      <w:r w:rsidRPr="009819CA">
        <w:rPr>
          <w:lang w:val="en-CA"/>
        </w:rPr>
        <w:t>the judge. In paragraph</w:t>
      </w:r>
      <w:r w:rsidR="00603982" w:rsidRPr="009819CA">
        <w:rPr>
          <w:lang w:val="en-CA"/>
        </w:rPr>
        <w:t xml:space="preserve"> 98 </w:t>
      </w:r>
      <w:r w:rsidRPr="009819CA">
        <w:rPr>
          <w:lang w:val="en-CA"/>
        </w:rPr>
        <w:t>of his reasons</w:t>
      </w:r>
      <w:r w:rsidR="0034720C" w:rsidRPr="009819CA">
        <w:rPr>
          <w:lang w:val="en-CA"/>
        </w:rPr>
        <w:t>,</w:t>
      </w:r>
      <w:r w:rsidRPr="009819CA">
        <w:rPr>
          <w:lang w:val="en-CA"/>
        </w:rPr>
        <w:t xml:space="preserve"> he noted that [</w:t>
      </w:r>
      <w:r w:rsidRPr="009819CA">
        <w:rPr>
          <w:smallCaps/>
          <w:lang w:val="en-CA"/>
        </w:rPr>
        <w:t>translation</w:t>
      </w:r>
      <w:r w:rsidRPr="009819CA">
        <w:rPr>
          <w:lang w:val="en-CA"/>
        </w:rPr>
        <w:t>] “</w:t>
      </w:r>
      <w:r w:rsidR="000E7E11" w:rsidRPr="009819CA">
        <w:rPr>
          <w:rFonts w:cs="Arial"/>
          <w:lang w:val="en-CA"/>
        </w:rPr>
        <w:t>[</w:t>
      </w:r>
      <w:r w:rsidRPr="009819CA">
        <w:rPr>
          <w:lang w:val="en-CA"/>
        </w:rPr>
        <w:t>t</w:t>
      </w:r>
      <w:r w:rsidR="000E7E11" w:rsidRPr="009819CA">
        <w:rPr>
          <w:rFonts w:cs="Arial"/>
          <w:lang w:val="en-CA"/>
        </w:rPr>
        <w:t>]</w:t>
      </w:r>
      <w:r w:rsidRPr="009819CA">
        <w:rPr>
          <w:lang w:val="en-CA"/>
        </w:rPr>
        <w:t xml:space="preserve">he </w:t>
      </w:r>
      <w:r w:rsidR="0034720C" w:rsidRPr="009819CA">
        <w:rPr>
          <w:lang w:val="en-CA"/>
        </w:rPr>
        <w:t xml:space="preserve">case law </w:t>
      </w:r>
      <w:r w:rsidR="000E7E11" w:rsidRPr="009819CA">
        <w:rPr>
          <w:lang w:val="en-CA"/>
        </w:rPr>
        <w:t xml:space="preserve">establishes </w:t>
      </w:r>
      <w:r w:rsidRPr="009819CA">
        <w:rPr>
          <w:lang w:val="en-CA"/>
        </w:rPr>
        <w:t>that discharges have been granted in sexual assault cases”</w:t>
      </w:r>
      <w:r w:rsidR="006E7EB9" w:rsidRPr="009819CA">
        <w:rPr>
          <w:lang w:val="en-CA"/>
        </w:rPr>
        <w:t>,</w:t>
      </w:r>
      <w:r w:rsidRPr="009819CA">
        <w:rPr>
          <w:lang w:val="en-CA"/>
        </w:rPr>
        <w:t xml:space="preserve"> </w:t>
      </w:r>
      <w:r w:rsidR="00570741" w:rsidRPr="009819CA">
        <w:rPr>
          <w:lang w:val="en-CA"/>
        </w:rPr>
        <w:t>but</w:t>
      </w:r>
      <w:r w:rsidRPr="009819CA">
        <w:rPr>
          <w:lang w:val="en-CA"/>
        </w:rPr>
        <w:t xml:space="preserve"> in </w:t>
      </w:r>
      <w:r w:rsidR="000E7E11" w:rsidRPr="009819CA">
        <w:rPr>
          <w:lang w:val="en-CA"/>
        </w:rPr>
        <w:t xml:space="preserve">every </w:t>
      </w:r>
      <w:r w:rsidRPr="009819CA">
        <w:rPr>
          <w:lang w:val="en-CA"/>
        </w:rPr>
        <w:t xml:space="preserve">case he </w:t>
      </w:r>
      <w:r w:rsidR="001E50DE" w:rsidRPr="009819CA">
        <w:rPr>
          <w:lang w:val="en-CA"/>
        </w:rPr>
        <w:t>cite</w:t>
      </w:r>
      <w:bookmarkStart w:id="13" w:name="_Ref123895241"/>
      <w:r w:rsidRPr="009819CA">
        <w:rPr>
          <w:lang w:val="en-CA"/>
        </w:rPr>
        <w:t>d,</w:t>
      </w:r>
      <w:r w:rsidR="002E7D32" w:rsidRPr="009819CA">
        <w:rPr>
          <w:rStyle w:val="Appelnotedebasdep"/>
          <w:lang w:val="en-CA"/>
        </w:rPr>
        <w:footnoteReference w:id="22"/>
      </w:r>
      <w:bookmarkEnd w:id="13"/>
      <w:r w:rsidR="00F641D5" w:rsidRPr="009819CA">
        <w:rPr>
          <w:lang w:val="en-CA"/>
        </w:rPr>
        <w:t xml:space="preserve"> </w:t>
      </w:r>
      <w:bookmarkStart w:id="14" w:name="_Hlk121743160"/>
      <w:r w:rsidRPr="009819CA">
        <w:rPr>
          <w:lang w:val="en-CA"/>
        </w:rPr>
        <w:t xml:space="preserve">sexual assault was the only offence </w:t>
      </w:r>
      <w:r w:rsidR="00605ACD" w:rsidRPr="009819CA">
        <w:rPr>
          <w:lang w:val="en-CA"/>
        </w:rPr>
        <w:t xml:space="preserve">that mandated </w:t>
      </w:r>
      <w:r w:rsidRPr="009819CA">
        <w:rPr>
          <w:lang w:val="en-CA"/>
        </w:rPr>
        <w:t>a sentence</w:t>
      </w:r>
      <w:bookmarkEnd w:id="14"/>
      <w:r w:rsidR="00396F85" w:rsidRPr="009819CA">
        <w:rPr>
          <w:lang w:val="en-CA"/>
        </w:rPr>
        <w:t>.</w:t>
      </w:r>
    </w:p>
    <w:p w14:paraId="79FDEA9B" w14:textId="09050538" w:rsidR="00370EBF" w:rsidRPr="009819CA" w:rsidRDefault="007A6F16" w:rsidP="0066599F">
      <w:pPr>
        <w:pStyle w:val="Paragraphe"/>
        <w:rPr>
          <w:lang w:val="en-CA"/>
        </w:rPr>
      </w:pPr>
      <w:r w:rsidRPr="009819CA">
        <w:rPr>
          <w:lang w:val="en-CA"/>
        </w:rPr>
        <w:t xml:space="preserve">This case is </w:t>
      </w:r>
      <w:proofErr w:type="gramStart"/>
      <w:r w:rsidR="000E7E11" w:rsidRPr="009819CA">
        <w:rPr>
          <w:lang w:val="en-CA"/>
        </w:rPr>
        <w:t>similar to</w:t>
      </w:r>
      <w:proofErr w:type="gramEnd"/>
      <w:r w:rsidR="000E7E11" w:rsidRPr="009819CA">
        <w:rPr>
          <w:lang w:val="en-CA"/>
        </w:rPr>
        <w:t xml:space="preserve"> </w:t>
      </w:r>
      <w:r w:rsidR="001E50DE" w:rsidRPr="009819CA">
        <w:rPr>
          <w:i/>
          <w:iCs/>
          <w:lang w:val="en-CA"/>
        </w:rPr>
        <w:t>R. c. Cardinal</w:t>
      </w:r>
      <w:r w:rsidRPr="00BF230D">
        <w:rPr>
          <w:lang w:val="en-CA"/>
        </w:rPr>
        <w:t>,</w:t>
      </w:r>
      <w:r w:rsidR="0066599F" w:rsidRPr="009819CA">
        <w:rPr>
          <w:rStyle w:val="Appelnotedebasdep"/>
          <w:lang w:val="en-CA"/>
        </w:rPr>
        <w:footnoteReference w:id="23"/>
      </w:r>
      <w:r w:rsidR="00BA7E17" w:rsidRPr="009819CA">
        <w:rPr>
          <w:lang w:val="en-CA"/>
        </w:rPr>
        <w:t xml:space="preserve"> </w:t>
      </w:r>
      <w:r w:rsidRPr="009819CA">
        <w:rPr>
          <w:lang w:val="en-CA"/>
        </w:rPr>
        <w:t>where the offender ple</w:t>
      </w:r>
      <w:r w:rsidR="000E7E11" w:rsidRPr="009819CA">
        <w:rPr>
          <w:lang w:val="en-CA"/>
        </w:rPr>
        <w:t>a</w:t>
      </w:r>
      <w:r w:rsidRPr="009819CA">
        <w:rPr>
          <w:lang w:val="en-CA"/>
        </w:rPr>
        <w:t>d</w:t>
      </w:r>
      <w:r w:rsidR="000E7E11" w:rsidRPr="009819CA">
        <w:rPr>
          <w:lang w:val="en-CA"/>
        </w:rPr>
        <w:t>ed</w:t>
      </w:r>
      <w:r w:rsidRPr="009819CA">
        <w:rPr>
          <w:lang w:val="en-CA"/>
        </w:rPr>
        <w:t xml:space="preserve"> guilty to charges of </w:t>
      </w:r>
      <w:r w:rsidR="000E7E11" w:rsidRPr="009819CA">
        <w:rPr>
          <w:lang w:val="en-CA"/>
        </w:rPr>
        <w:t xml:space="preserve">child </w:t>
      </w:r>
      <w:r w:rsidRPr="009819CA">
        <w:rPr>
          <w:lang w:val="en-CA"/>
        </w:rPr>
        <w:t xml:space="preserve">luring and </w:t>
      </w:r>
      <w:r w:rsidR="00A656D6" w:rsidRPr="009819CA">
        <w:rPr>
          <w:lang w:val="en-CA"/>
        </w:rPr>
        <w:t xml:space="preserve">possession </w:t>
      </w:r>
      <w:r w:rsidRPr="009819CA">
        <w:rPr>
          <w:lang w:val="en-CA"/>
        </w:rPr>
        <w:t>of child pornography. Th</w:t>
      </w:r>
      <w:r w:rsidR="00A656D6" w:rsidRPr="009819CA">
        <w:rPr>
          <w:lang w:val="en-CA"/>
        </w:rPr>
        <w:t xml:space="preserve">e </w:t>
      </w:r>
      <w:r w:rsidRPr="009819CA">
        <w:rPr>
          <w:lang w:val="en-CA"/>
        </w:rPr>
        <w:t xml:space="preserve">trial </w:t>
      </w:r>
      <w:r w:rsidR="00A656D6" w:rsidRPr="009819CA">
        <w:rPr>
          <w:lang w:val="en-CA"/>
        </w:rPr>
        <w:t>ju</w:t>
      </w:r>
      <w:r w:rsidRPr="009819CA">
        <w:rPr>
          <w:lang w:val="en-CA"/>
        </w:rPr>
        <w:t>d</w:t>
      </w:r>
      <w:r w:rsidR="00A656D6" w:rsidRPr="009819CA">
        <w:rPr>
          <w:lang w:val="en-CA"/>
        </w:rPr>
        <w:t xml:space="preserve">ge </w:t>
      </w:r>
      <w:r w:rsidRPr="009819CA">
        <w:rPr>
          <w:lang w:val="en-CA"/>
        </w:rPr>
        <w:t xml:space="preserve">imposed the minimum </w:t>
      </w:r>
      <w:r w:rsidRPr="009819CA">
        <w:rPr>
          <w:lang w:val="en-CA"/>
        </w:rPr>
        <w:lastRenderedPageBreak/>
        <w:t xml:space="preserve">sentence for the latter offence, without mentioning </w:t>
      </w:r>
      <w:r w:rsidR="000B2DC4" w:rsidRPr="009819CA">
        <w:rPr>
          <w:lang w:val="en-CA"/>
        </w:rPr>
        <w:t xml:space="preserve">child </w:t>
      </w:r>
      <w:r w:rsidRPr="009819CA">
        <w:rPr>
          <w:lang w:val="en-CA"/>
        </w:rPr>
        <w:t xml:space="preserve">luring in his </w:t>
      </w:r>
      <w:r w:rsidR="00370EBF" w:rsidRPr="009819CA">
        <w:rPr>
          <w:lang w:val="en-CA"/>
        </w:rPr>
        <w:t>conclusions</w:t>
      </w:r>
      <w:r w:rsidRPr="009819CA">
        <w:rPr>
          <w:lang w:val="en-CA"/>
        </w:rPr>
        <w:t xml:space="preserve">. </w:t>
      </w:r>
      <w:r w:rsidR="00E722AE" w:rsidRPr="009819CA">
        <w:rPr>
          <w:lang w:val="en-CA"/>
        </w:rPr>
        <w:t xml:space="preserve">Regarding the judge’s reasons, </w:t>
      </w:r>
      <w:r w:rsidR="0066599F" w:rsidRPr="009819CA">
        <w:rPr>
          <w:lang w:val="en-CA"/>
        </w:rPr>
        <w:t>Kasirer</w:t>
      </w:r>
      <w:r w:rsidR="0034720C" w:rsidRPr="009819CA">
        <w:rPr>
          <w:lang w:val="en-CA"/>
        </w:rPr>
        <w:t xml:space="preserve"> J.A.</w:t>
      </w:r>
      <w:r w:rsidR="000B2DC4" w:rsidRPr="009819CA">
        <w:rPr>
          <w:lang w:val="en-CA"/>
        </w:rPr>
        <w:t xml:space="preserve"> (as he was then)</w:t>
      </w:r>
      <w:r w:rsidR="0066599F" w:rsidRPr="009819CA">
        <w:rPr>
          <w:lang w:val="en-CA"/>
        </w:rPr>
        <w:t xml:space="preserve">, </w:t>
      </w:r>
      <w:r w:rsidR="0034720C" w:rsidRPr="009819CA">
        <w:rPr>
          <w:lang w:val="en-CA"/>
        </w:rPr>
        <w:t>on behalf of</w:t>
      </w:r>
      <w:r w:rsidRPr="009819CA">
        <w:rPr>
          <w:lang w:val="en-CA"/>
        </w:rPr>
        <w:t xml:space="preserve"> the </w:t>
      </w:r>
      <w:r w:rsidR="00F00932" w:rsidRPr="009819CA">
        <w:rPr>
          <w:lang w:val="en-CA"/>
        </w:rPr>
        <w:t>Cour</w:t>
      </w:r>
      <w:r w:rsidRPr="009819CA">
        <w:rPr>
          <w:lang w:val="en-CA"/>
        </w:rPr>
        <w:t>t</w:t>
      </w:r>
      <w:r w:rsidR="00F00932" w:rsidRPr="009819CA">
        <w:rPr>
          <w:lang w:val="en-CA"/>
        </w:rPr>
        <w:t xml:space="preserve">, </w:t>
      </w:r>
      <w:r w:rsidRPr="009819CA">
        <w:rPr>
          <w:lang w:val="en-CA"/>
        </w:rPr>
        <w:t>concluded that [</w:t>
      </w:r>
      <w:r w:rsidRPr="009819CA">
        <w:rPr>
          <w:smallCaps/>
          <w:lang w:val="en-CA"/>
        </w:rPr>
        <w:t>translation</w:t>
      </w:r>
      <w:r w:rsidRPr="009819CA">
        <w:rPr>
          <w:lang w:val="en-CA"/>
        </w:rPr>
        <w:t xml:space="preserve">] “their unintelligibility does not allow us to decide definitively between the </w:t>
      </w:r>
      <w:r w:rsidR="000B2DC4" w:rsidRPr="009819CA">
        <w:rPr>
          <w:lang w:val="en-CA"/>
        </w:rPr>
        <w:t xml:space="preserve">argument </w:t>
      </w:r>
      <w:r w:rsidRPr="009819CA">
        <w:rPr>
          <w:lang w:val="en-CA"/>
        </w:rPr>
        <w:t>o</w:t>
      </w:r>
      <w:r w:rsidR="000B2DC4" w:rsidRPr="009819CA">
        <w:rPr>
          <w:lang w:val="en-CA"/>
        </w:rPr>
        <w:t>n</w:t>
      </w:r>
      <w:r w:rsidRPr="009819CA">
        <w:rPr>
          <w:lang w:val="en-CA"/>
        </w:rPr>
        <w:t xml:space="preserve"> the </w:t>
      </w:r>
      <w:r w:rsidR="000B2DC4" w:rsidRPr="009819CA">
        <w:rPr>
          <w:lang w:val="en-CA"/>
        </w:rPr>
        <w:t xml:space="preserve">lack </w:t>
      </w:r>
      <w:r w:rsidRPr="009819CA">
        <w:rPr>
          <w:lang w:val="en-CA"/>
        </w:rPr>
        <w:t xml:space="preserve">of sentence </w:t>
      </w:r>
      <w:r w:rsidR="00680974" w:rsidRPr="009819CA">
        <w:rPr>
          <w:lang w:val="en-CA"/>
        </w:rPr>
        <w:t xml:space="preserve">for </w:t>
      </w:r>
      <w:r w:rsidR="000B2DC4" w:rsidRPr="009819CA">
        <w:rPr>
          <w:lang w:val="en-CA"/>
        </w:rPr>
        <w:t xml:space="preserve">child </w:t>
      </w:r>
      <w:r w:rsidRPr="009819CA">
        <w:rPr>
          <w:lang w:val="en-CA"/>
        </w:rPr>
        <w:t xml:space="preserve">luring and the </w:t>
      </w:r>
      <w:r w:rsidR="000B2DC4" w:rsidRPr="009819CA">
        <w:rPr>
          <w:lang w:val="en-CA"/>
        </w:rPr>
        <w:t xml:space="preserve">argument </w:t>
      </w:r>
      <w:r w:rsidRPr="009819CA">
        <w:rPr>
          <w:lang w:val="en-CA"/>
        </w:rPr>
        <w:t>o</w:t>
      </w:r>
      <w:r w:rsidR="000B2DC4" w:rsidRPr="009819CA">
        <w:rPr>
          <w:lang w:val="en-CA"/>
        </w:rPr>
        <w:t>n</w:t>
      </w:r>
      <w:r w:rsidRPr="009819CA">
        <w:rPr>
          <w:lang w:val="en-CA"/>
        </w:rPr>
        <w:t xml:space="preserve"> concurrent sentences.”</w:t>
      </w:r>
      <w:r w:rsidR="0089492E" w:rsidRPr="009819CA">
        <w:rPr>
          <w:rStyle w:val="Appelnotedebasdep"/>
          <w:lang w:val="en-CA"/>
        </w:rPr>
        <w:footnoteReference w:id="24"/>
      </w:r>
      <w:r w:rsidRPr="009819CA">
        <w:rPr>
          <w:lang w:val="en-CA"/>
        </w:rPr>
        <w:t xml:space="preserve"> </w:t>
      </w:r>
      <w:r w:rsidR="0066599F" w:rsidRPr="009819CA">
        <w:rPr>
          <w:lang w:val="en-CA"/>
        </w:rPr>
        <w:t xml:space="preserve">Kasirer </w:t>
      </w:r>
      <w:r w:rsidR="0034720C" w:rsidRPr="009819CA">
        <w:rPr>
          <w:lang w:val="en-CA"/>
        </w:rPr>
        <w:t xml:space="preserve">J.A. </w:t>
      </w:r>
      <w:r w:rsidR="000B2DC4" w:rsidRPr="009819CA">
        <w:rPr>
          <w:lang w:val="en-CA"/>
        </w:rPr>
        <w:t xml:space="preserve">(as he </w:t>
      </w:r>
      <w:r w:rsidR="00076573" w:rsidRPr="009819CA">
        <w:rPr>
          <w:lang w:val="en-CA"/>
        </w:rPr>
        <w:t xml:space="preserve">then </w:t>
      </w:r>
      <w:r w:rsidR="000B2DC4" w:rsidRPr="009819CA">
        <w:rPr>
          <w:lang w:val="en-CA"/>
        </w:rPr>
        <w:t xml:space="preserve">was) </w:t>
      </w:r>
      <w:r w:rsidR="00970BB7" w:rsidRPr="009819CA">
        <w:rPr>
          <w:lang w:val="en-CA"/>
        </w:rPr>
        <w:t>add</w:t>
      </w:r>
      <w:r w:rsidR="000B2DC4" w:rsidRPr="009819CA">
        <w:rPr>
          <w:lang w:val="en-CA"/>
        </w:rPr>
        <w:t>ed</w:t>
      </w:r>
      <w:r w:rsidR="00970BB7" w:rsidRPr="009819CA">
        <w:rPr>
          <w:lang w:val="en-CA"/>
        </w:rPr>
        <w:t>:</w:t>
      </w:r>
    </w:p>
    <w:p w14:paraId="1D1E3313" w14:textId="77777777" w:rsidR="00513868" w:rsidRPr="009819CA" w:rsidRDefault="00513868" w:rsidP="00043328">
      <w:pPr>
        <w:pStyle w:val="Citationenretrait"/>
        <w:rPr>
          <w:lang w:val="en-CA"/>
        </w:rPr>
      </w:pPr>
      <w:r w:rsidRPr="009819CA">
        <w:rPr>
          <w:lang w:val="en-CA"/>
        </w:rPr>
        <w:t>[</w:t>
      </w:r>
      <w:r w:rsidRPr="009819CA">
        <w:rPr>
          <w:smallCaps/>
          <w:lang w:val="en-CA"/>
        </w:rPr>
        <w:t>translation</w:t>
      </w:r>
      <w:r w:rsidRPr="009819CA">
        <w:rPr>
          <w:lang w:val="en-CA"/>
        </w:rPr>
        <w:t xml:space="preserve">] </w:t>
      </w:r>
    </w:p>
    <w:p w14:paraId="2A9A0FA2" w14:textId="7598907F" w:rsidR="00043328" w:rsidRPr="009819CA" w:rsidRDefault="00043328" w:rsidP="00043328">
      <w:pPr>
        <w:pStyle w:val="Citationenretrait"/>
        <w:rPr>
          <w:lang w:val="en-CA"/>
        </w:rPr>
      </w:pPr>
      <w:r w:rsidRPr="009819CA">
        <w:rPr>
          <w:lang w:val="en-CA"/>
        </w:rPr>
        <w:t>[51]  </w:t>
      </w:r>
      <w:r w:rsidR="00513868" w:rsidRPr="009819CA">
        <w:rPr>
          <w:lang w:val="en-CA"/>
        </w:rPr>
        <w:t>But th</w:t>
      </w:r>
      <w:r w:rsidR="000B2DC4" w:rsidRPr="009819CA">
        <w:rPr>
          <w:lang w:val="en-CA"/>
        </w:rPr>
        <w:t>is</w:t>
      </w:r>
      <w:r w:rsidR="00513868" w:rsidRPr="009819CA">
        <w:rPr>
          <w:lang w:val="en-CA"/>
        </w:rPr>
        <w:t xml:space="preserve"> is not all: even if we admit that the</w:t>
      </w:r>
      <w:r w:rsidR="0005319E" w:rsidRPr="009819CA">
        <w:rPr>
          <w:lang w:val="en-CA"/>
        </w:rPr>
        <w:t xml:space="preserve"> judge </w:t>
      </w:r>
      <w:r w:rsidR="000B2DC4" w:rsidRPr="009819CA">
        <w:rPr>
          <w:lang w:val="en-CA"/>
        </w:rPr>
        <w:t xml:space="preserve">punished </w:t>
      </w:r>
      <w:r w:rsidR="0005319E" w:rsidRPr="009819CA">
        <w:rPr>
          <w:lang w:val="en-CA"/>
        </w:rPr>
        <w:t xml:space="preserve">the </w:t>
      </w:r>
      <w:r w:rsidR="000B2DC4" w:rsidRPr="009819CA">
        <w:rPr>
          <w:lang w:val="en-CA"/>
        </w:rPr>
        <w:t xml:space="preserve">child </w:t>
      </w:r>
      <w:r w:rsidR="0005319E" w:rsidRPr="009819CA">
        <w:rPr>
          <w:lang w:val="en-CA"/>
        </w:rPr>
        <w:t xml:space="preserve">luring in a </w:t>
      </w:r>
      <w:r w:rsidR="000B2DC4" w:rsidRPr="009819CA">
        <w:rPr>
          <w:lang w:val="en-CA"/>
        </w:rPr>
        <w:t xml:space="preserve">total </w:t>
      </w:r>
      <w:r w:rsidR="00513868" w:rsidRPr="009819CA">
        <w:rPr>
          <w:lang w:val="en-CA"/>
        </w:rPr>
        <w:t xml:space="preserve">sentence, </w:t>
      </w:r>
      <w:r w:rsidR="000B2DC4" w:rsidRPr="009819CA">
        <w:rPr>
          <w:lang w:val="en-CA"/>
        </w:rPr>
        <w:t xml:space="preserve">his reasons do </w:t>
      </w:r>
      <w:r w:rsidR="00513868" w:rsidRPr="009819CA">
        <w:rPr>
          <w:lang w:val="en-CA"/>
        </w:rPr>
        <w:t xml:space="preserve">not </w:t>
      </w:r>
      <w:r w:rsidR="000B2DC4" w:rsidRPr="009819CA">
        <w:rPr>
          <w:lang w:val="en-CA"/>
        </w:rPr>
        <w:t xml:space="preserve">show </w:t>
      </w:r>
      <w:r w:rsidR="00513868" w:rsidRPr="009819CA">
        <w:rPr>
          <w:lang w:val="en-CA"/>
        </w:rPr>
        <w:t xml:space="preserve">that he </w:t>
      </w:r>
      <w:r w:rsidR="000B2DC4" w:rsidRPr="009819CA">
        <w:rPr>
          <w:lang w:val="en-CA"/>
        </w:rPr>
        <w:t xml:space="preserve">properly took into account </w:t>
      </w:r>
      <w:r w:rsidR="00513868" w:rsidRPr="009819CA">
        <w:rPr>
          <w:lang w:val="en-CA"/>
        </w:rPr>
        <w:t xml:space="preserve">the </w:t>
      </w:r>
      <w:r w:rsidR="000B2DC4" w:rsidRPr="009819CA">
        <w:rPr>
          <w:lang w:val="en-CA"/>
        </w:rPr>
        <w:t xml:space="preserve">appropriate sentencing </w:t>
      </w:r>
      <w:r w:rsidR="00513868" w:rsidRPr="009819CA">
        <w:rPr>
          <w:lang w:val="en-CA"/>
        </w:rPr>
        <w:t>factors</w:t>
      </w:r>
      <w:r w:rsidR="000B2DC4" w:rsidRPr="009819CA">
        <w:rPr>
          <w:lang w:val="en-CA"/>
        </w:rPr>
        <w:t>,</w:t>
      </w:r>
      <w:r w:rsidR="00513868" w:rsidRPr="009819CA">
        <w:rPr>
          <w:lang w:val="en-CA"/>
        </w:rPr>
        <w:t xml:space="preserve"> </w:t>
      </w:r>
      <w:r w:rsidR="000B2DC4" w:rsidRPr="009819CA">
        <w:rPr>
          <w:lang w:val="en-CA"/>
        </w:rPr>
        <w:t>suggest</w:t>
      </w:r>
      <w:r w:rsidR="00680974" w:rsidRPr="009819CA">
        <w:rPr>
          <w:lang w:val="en-CA"/>
        </w:rPr>
        <w:t>ing instead</w:t>
      </w:r>
      <w:r w:rsidR="000B2DC4" w:rsidRPr="009819CA">
        <w:rPr>
          <w:lang w:val="en-CA"/>
        </w:rPr>
        <w:t xml:space="preserve"> that he failed to </w:t>
      </w:r>
      <w:r w:rsidR="00513868" w:rsidRPr="009819CA">
        <w:rPr>
          <w:lang w:val="en-CA"/>
        </w:rPr>
        <w:t xml:space="preserve">consider the objective </w:t>
      </w:r>
      <w:r w:rsidR="00D22E85" w:rsidRPr="009819CA">
        <w:rPr>
          <w:lang w:val="en-CA"/>
        </w:rPr>
        <w:t>gravity</w:t>
      </w:r>
      <w:r w:rsidR="00513868" w:rsidRPr="009819CA">
        <w:rPr>
          <w:lang w:val="en-CA"/>
        </w:rPr>
        <w:t xml:space="preserve"> of the offence of </w:t>
      </w:r>
      <w:r w:rsidR="000B2DC4" w:rsidRPr="009819CA">
        <w:rPr>
          <w:lang w:val="en-CA"/>
        </w:rPr>
        <w:t xml:space="preserve">child </w:t>
      </w:r>
      <w:r w:rsidR="00513868" w:rsidRPr="009819CA">
        <w:rPr>
          <w:lang w:val="en-CA"/>
        </w:rPr>
        <w:t xml:space="preserve">luring and mistakenly underestimated its subjective </w:t>
      </w:r>
      <w:r w:rsidR="00D22E85" w:rsidRPr="009819CA">
        <w:rPr>
          <w:lang w:val="en-CA"/>
        </w:rPr>
        <w:t>gravity</w:t>
      </w:r>
      <w:r w:rsidR="00513868" w:rsidRPr="009819CA">
        <w:rPr>
          <w:lang w:val="en-CA"/>
        </w:rPr>
        <w:t>.</w:t>
      </w:r>
      <w:r w:rsidRPr="009819CA">
        <w:rPr>
          <w:rStyle w:val="Appelnotedebasdep"/>
          <w:lang w:val="en-CA"/>
        </w:rPr>
        <w:footnoteReference w:id="25"/>
      </w:r>
    </w:p>
    <w:p w14:paraId="73568860" w14:textId="416161AD" w:rsidR="001E50DE" w:rsidRPr="009819CA" w:rsidRDefault="00513868" w:rsidP="00127D8B">
      <w:pPr>
        <w:pStyle w:val="Paragraphe"/>
        <w:rPr>
          <w:lang w:val="en-CA"/>
        </w:rPr>
      </w:pPr>
      <w:r w:rsidRPr="009819CA">
        <w:rPr>
          <w:lang w:val="en-CA"/>
        </w:rPr>
        <w:t>That is the case here. Even if we assume that the judge wanted to determine an overall sentence and had the offence of voyeurism in mind</w:t>
      </w:r>
      <w:r w:rsidR="001C0CC4" w:rsidRPr="009819CA">
        <w:rPr>
          <w:lang w:val="en-CA"/>
        </w:rPr>
        <w:t xml:space="preserve">, </w:t>
      </w:r>
      <w:r w:rsidRPr="009819CA">
        <w:rPr>
          <w:lang w:val="en-CA"/>
        </w:rPr>
        <w:t xml:space="preserve">his reasons do not </w:t>
      </w:r>
      <w:r w:rsidR="000B2DC4" w:rsidRPr="009819CA">
        <w:rPr>
          <w:lang w:val="en-CA"/>
        </w:rPr>
        <w:t xml:space="preserve">show </w:t>
      </w:r>
      <w:r w:rsidRPr="009819CA">
        <w:rPr>
          <w:lang w:val="en-CA"/>
        </w:rPr>
        <w:t xml:space="preserve">that he </w:t>
      </w:r>
      <w:proofErr w:type="gramStart"/>
      <w:r w:rsidRPr="009819CA">
        <w:rPr>
          <w:lang w:val="en-CA"/>
        </w:rPr>
        <w:t xml:space="preserve">took </w:t>
      </w:r>
      <w:r w:rsidR="000B2DC4" w:rsidRPr="009819CA">
        <w:rPr>
          <w:lang w:val="en-CA"/>
        </w:rPr>
        <w:t>into account</w:t>
      </w:r>
      <w:proofErr w:type="gramEnd"/>
      <w:r w:rsidR="000B2DC4" w:rsidRPr="009819CA">
        <w:rPr>
          <w:lang w:val="en-CA"/>
        </w:rPr>
        <w:t xml:space="preserve"> </w:t>
      </w:r>
      <w:r w:rsidRPr="009819CA">
        <w:rPr>
          <w:lang w:val="en-CA"/>
        </w:rPr>
        <w:t xml:space="preserve">the aggravating </w:t>
      </w:r>
      <w:r w:rsidR="000B2DC4" w:rsidRPr="009819CA">
        <w:rPr>
          <w:lang w:val="en-CA"/>
        </w:rPr>
        <w:t xml:space="preserve">factors </w:t>
      </w:r>
      <w:r w:rsidRPr="009819CA">
        <w:rPr>
          <w:lang w:val="en-CA"/>
        </w:rPr>
        <w:t xml:space="preserve">related to the </w:t>
      </w:r>
      <w:r w:rsidR="000B2DC4" w:rsidRPr="009819CA">
        <w:rPr>
          <w:lang w:val="en-CA"/>
        </w:rPr>
        <w:t xml:space="preserve">commission </w:t>
      </w:r>
      <w:r w:rsidRPr="009819CA">
        <w:rPr>
          <w:lang w:val="en-CA"/>
        </w:rPr>
        <w:t>of th</w:t>
      </w:r>
      <w:r w:rsidR="000B2DC4" w:rsidRPr="009819CA">
        <w:rPr>
          <w:lang w:val="en-CA"/>
        </w:rPr>
        <w:t>is</w:t>
      </w:r>
      <w:r w:rsidRPr="009819CA">
        <w:rPr>
          <w:lang w:val="en-CA"/>
        </w:rPr>
        <w:t xml:space="preserve"> offence.</w:t>
      </w:r>
    </w:p>
    <w:p w14:paraId="59BAB280" w14:textId="657EB329" w:rsidR="00827FF1" w:rsidRPr="009819CA" w:rsidRDefault="00680974" w:rsidP="00F21708">
      <w:pPr>
        <w:pStyle w:val="Paragraphe"/>
        <w:rPr>
          <w:lang w:val="en-CA"/>
        </w:rPr>
      </w:pPr>
      <w:r w:rsidRPr="009819CA">
        <w:rPr>
          <w:lang w:val="en-CA"/>
        </w:rPr>
        <w:t>Moreover</w:t>
      </w:r>
      <w:r w:rsidR="00BF24CC" w:rsidRPr="009819CA">
        <w:rPr>
          <w:lang w:val="en-CA"/>
        </w:rPr>
        <w:t>, the photos show that</w:t>
      </w:r>
      <w:r w:rsidR="00FA48CC" w:rsidRPr="009819CA">
        <w:rPr>
          <w:lang w:val="en-CA"/>
        </w:rPr>
        <w:t xml:space="preserve"> </w:t>
      </w:r>
      <w:r w:rsidR="0092686C" w:rsidRPr="009819CA">
        <w:rPr>
          <w:lang w:val="en-CA"/>
        </w:rPr>
        <w:t>Mr.</w:t>
      </w:r>
      <w:r w:rsidR="00586B3B" w:rsidRPr="009819CA">
        <w:rPr>
          <w:lang w:val="en-CA"/>
        </w:rPr>
        <w:t> </w:t>
      </w:r>
      <w:r w:rsidR="00146CBE" w:rsidRPr="009819CA">
        <w:rPr>
          <w:lang w:val="en-CA"/>
        </w:rPr>
        <w:t>Houle continued to assault the victim after she fled to the kitchen. In his reasons</w:t>
      </w:r>
      <w:r w:rsidR="000B2DC4" w:rsidRPr="009819CA">
        <w:rPr>
          <w:lang w:val="en-CA"/>
        </w:rPr>
        <w:t>,</w:t>
      </w:r>
      <w:r w:rsidR="00146CBE" w:rsidRPr="009819CA">
        <w:rPr>
          <w:lang w:val="en-CA"/>
        </w:rPr>
        <w:t xml:space="preserve"> the judge finds that the </w:t>
      </w:r>
      <w:r w:rsidR="000B2DC4" w:rsidRPr="009819CA">
        <w:rPr>
          <w:lang w:val="en-CA"/>
        </w:rPr>
        <w:t xml:space="preserve">incident </w:t>
      </w:r>
      <w:r w:rsidR="00146CBE" w:rsidRPr="009819CA">
        <w:rPr>
          <w:lang w:val="en-CA"/>
        </w:rPr>
        <w:t>happened [</w:t>
      </w:r>
      <w:r w:rsidR="00146CBE" w:rsidRPr="009819CA">
        <w:rPr>
          <w:smallCaps/>
          <w:lang w:val="en-CA"/>
        </w:rPr>
        <w:t>translation</w:t>
      </w:r>
      <w:r w:rsidR="00146CBE" w:rsidRPr="009819CA">
        <w:rPr>
          <w:lang w:val="en-CA"/>
        </w:rPr>
        <w:t>] “</w:t>
      </w:r>
      <w:r w:rsidR="000B2DC4" w:rsidRPr="009819CA">
        <w:rPr>
          <w:lang w:val="en-CA"/>
        </w:rPr>
        <w:t xml:space="preserve">rather </w:t>
      </w:r>
      <w:r w:rsidR="00146CBE" w:rsidRPr="009819CA">
        <w:rPr>
          <w:lang w:val="en-CA"/>
        </w:rPr>
        <w:t>quickly”</w:t>
      </w:r>
      <w:r w:rsidR="00D22E85" w:rsidRPr="009819CA">
        <w:rPr>
          <w:lang w:val="en-CA"/>
        </w:rPr>
        <w:t>,</w:t>
      </w:r>
      <w:r w:rsidR="00146CBE" w:rsidRPr="009819CA">
        <w:rPr>
          <w:lang w:val="en-CA"/>
        </w:rPr>
        <w:t xml:space="preserve"> but what he </w:t>
      </w:r>
      <w:r w:rsidR="000B2DC4" w:rsidRPr="009819CA">
        <w:rPr>
          <w:lang w:val="en-CA"/>
        </w:rPr>
        <w:t xml:space="preserve">went on to </w:t>
      </w:r>
      <w:r w:rsidR="00146CBE" w:rsidRPr="009819CA">
        <w:rPr>
          <w:lang w:val="en-CA"/>
        </w:rPr>
        <w:t>describe was anything but quick: [</w:t>
      </w:r>
      <w:r w:rsidR="00146CBE" w:rsidRPr="009819CA">
        <w:rPr>
          <w:smallCaps/>
          <w:lang w:val="en-CA"/>
        </w:rPr>
        <w:t>translation</w:t>
      </w:r>
      <w:r w:rsidR="00146CBE" w:rsidRPr="009819CA">
        <w:rPr>
          <w:lang w:val="en-CA"/>
        </w:rPr>
        <w:t xml:space="preserve">] “the accused nevertheless had time to take nine </w:t>
      </w:r>
      <w:r w:rsidR="006C67AC" w:rsidRPr="009819CA">
        <w:rPr>
          <w:lang w:val="en-CA"/>
        </w:rPr>
        <w:t>photos</w:t>
      </w:r>
      <w:r w:rsidR="00EF417E" w:rsidRPr="009819CA">
        <w:rPr>
          <w:lang w:val="en-CA"/>
        </w:rPr>
        <w:t xml:space="preserve"> </w:t>
      </w:r>
      <w:r w:rsidR="00146CBE" w:rsidRPr="009819CA">
        <w:rPr>
          <w:lang w:val="en-CA"/>
        </w:rPr>
        <w:t xml:space="preserve">of the victim’s private parts </w:t>
      </w:r>
      <w:r w:rsidR="000B2DC4" w:rsidRPr="009819CA">
        <w:rPr>
          <w:lang w:val="en-CA"/>
        </w:rPr>
        <w:t xml:space="preserve">at </w:t>
      </w:r>
      <w:r w:rsidR="00146CBE" w:rsidRPr="009819CA">
        <w:rPr>
          <w:lang w:val="en-CA"/>
        </w:rPr>
        <w:t xml:space="preserve">two different </w:t>
      </w:r>
      <w:r w:rsidR="000B2DC4" w:rsidRPr="009819CA">
        <w:rPr>
          <w:lang w:val="en-CA"/>
        </w:rPr>
        <w:t xml:space="preserve">locations </w:t>
      </w:r>
      <w:r w:rsidR="00146CBE" w:rsidRPr="009819CA">
        <w:rPr>
          <w:lang w:val="en-CA"/>
        </w:rPr>
        <w:t>in the apartment.”</w:t>
      </w:r>
      <w:r w:rsidR="00AB05F7" w:rsidRPr="009819CA">
        <w:rPr>
          <w:rStyle w:val="Appelnotedebasdep"/>
          <w:lang w:val="en-CA"/>
        </w:rPr>
        <w:footnoteReference w:id="26"/>
      </w:r>
      <w:r w:rsidR="00F21708" w:rsidRPr="009819CA">
        <w:rPr>
          <w:lang w:val="en-CA"/>
        </w:rPr>
        <w:t xml:space="preserve"> </w:t>
      </w:r>
      <w:r w:rsidR="00146CBE" w:rsidRPr="009819CA">
        <w:rPr>
          <w:lang w:val="en-CA"/>
        </w:rPr>
        <w:t xml:space="preserve">However, </w:t>
      </w:r>
      <w:r w:rsidR="00D27704" w:rsidRPr="009819CA">
        <w:rPr>
          <w:lang w:val="en-CA"/>
        </w:rPr>
        <w:t xml:space="preserve">the judge does not list </w:t>
      </w:r>
      <w:r w:rsidR="0092686C" w:rsidRPr="009819CA">
        <w:rPr>
          <w:lang w:val="en-CA"/>
        </w:rPr>
        <w:t>Mr.</w:t>
      </w:r>
      <w:r w:rsidR="005B2804" w:rsidRPr="009819CA">
        <w:rPr>
          <w:lang w:val="en-CA"/>
        </w:rPr>
        <w:t xml:space="preserve"> Houle</w:t>
      </w:r>
      <w:r w:rsidR="0005319E" w:rsidRPr="009819CA">
        <w:rPr>
          <w:lang w:val="en-CA"/>
        </w:rPr>
        <w:t>’s per</w:t>
      </w:r>
      <w:r w:rsidR="00146CBE" w:rsidRPr="009819CA">
        <w:rPr>
          <w:lang w:val="en-CA"/>
        </w:rPr>
        <w:t xml:space="preserve">sistence as </w:t>
      </w:r>
      <w:r w:rsidR="00D27704" w:rsidRPr="009819CA">
        <w:rPr>
          <w:lang w:val="en-CA"/>
        </w:rPr>
        <w:t xml:space="preserve">an </w:t>
      </w:r>
      <w:r w:rsidR="00146CBE" w:rsidRPr="009819CA">
        <w:rPr>
          <w:lang w:val="en-CA"/>
        </w:rPr>
        <w:t xml:space="preserve">aggravating </w:t>
      </w:r>
      <w:r w:rsidR="00D27704" w:rsidRPr="009819CA">
        <w:rPr>
          <w:lang w:val="en-CA"/>
        </w:rPr>
        <w:t>factor</w:t>
      </w:r>
      <w:r w:rsidR="00146CBE" w:rsidRPr="009819CA">
        <w:rPr>
          <w:lang w:val="en-CA"/>
        </w:rPr>
        <w:t>.</w:t>
      </w:r>
    </w:p>
    <w:p w14:paraId="6A5EBA6E" w14:textId="22729E39" w:rsidR="004136D6" w:rsidRPr="009819CA" w:rsidRDefault="00146CBE" w:rsidP="00EB75EC">
      <w:pPr>
        <w:pStyle w:val="Paragraphe"/>
        <w:rPr>
          <w:lang w:val="en-CA"/>
        </w:rPr>
      </w:pPr>
      <w:r w:rsidRPr="009819CA">
        <w:rPr>
          <w:lang w:val="en-CA"/>
        </w:rPr>
        <w:t xml:space="preserve">Last, the judge erred in his assessment of </w:t>
      </w:r>
      <w:r w:rsidR="0092686C" w:rsidRPr="009819CA">
        <w:rPr>
          <w:lang w:val="en-CA"/>
        </w:rPr>
        <w:t>Mr.</w:t>
      </w:r>
      <w:r w:rsidR="006C67AC" w:rsidRPr="009819CA">
        <w:rPr>
          <w:lang w:val="en-CA"/>
        </w:rPr>
        <w:t> </w:t>
      </w:r>
      <w:r w:rsidR="008513A4" w:rsidRPr="009819CA">
        <w:rPr>
          <w:lang w:val="en-CA"/>
        </w:rPr>
        <w:t>Houle</w:t>
      </w:r>
      <w:r w:rsidRPr="009819CA">
        <w:rPr>
          <w:lang w:val="en-CA"/>
        </w:rPr>
        <w:t>’s admission that he had touched the genital</w:t>
      </w:r>
      <w:r w:rsidR="004136D6" w:rsidRPr="009819CA">
        <w:rPr>
          <w:lang w:val="en-CA"/>
        </w:rPr>
        <w:t xml:space="preserve">s </w:t>
      </w:r>
      <w:r w:rsidRPr="009819CA">
        <w:rPr>
          <w:lang w:val="en-CA"/>
        </w:rPr>
        <w:t xml:space="preserve">of a young woman </w:t>
      </w:r>
      <w:r w:rsidR="00D27704" w:rsidRPr="009819CA">
        <w:rPr>
          <w:lang w:val="en-CA"/>
        </w:rPr>
        <w:t xml:space="preserve">who was sleeping, over </w:t>
      </w:r>
      <w:r w:rsidRPr="009819CA">
        <w:rPr>
          <w:lang w:val="en-CA"/>
        </w:rPr>
        <w:t>her clothes</w:t>
      </w:r>
      <w:r w:rsidR="00D27704" w:rsidRPr="009819CA">
        <w:rPr>
          <w:lang w:val="en-CA"/>
        </w:rPr>
        <w:t>,</w:t>
      </w:r>
      <w:r w:rsidRPr="009819CA">
        <w:rPr>
          <w:lang w:val="en-CA"/>
        </w:rPr>
        <w:t xml:space="preserve"> during an evening in </w:t>
      </w:r>
      <w:r w:rsidR="004136D6" w:rsidRPr="009819CA">
        <w:rPr>
          <w:lang w:val="en-CA"/>
        </w:rPr>
        <w:t xml:space="preserve">2015. </w:t>
      </w:r>
      <w:r w:rsidR="0005319E" w:rsidRPr="009819CA">
        <w:rPr>
          <w:lang w:val="en-CA"/>
        </w:rPr>
        <w:t>The judge</w:t>
      </w:r>
      <w:r w:rsidRPr="009819CA">
        <w:rPr>
          <w:lang w:val="en-CA"/>
        </w:rPr>
        <w:t xml:space="preserve"> was of course free to discount the </w:t>
      </w:r>
      <w:r w:rsidR="00654C02" w:rsidRPr="009819CA">
        <w:rPr>
          <w:lang w:val="en-CA"/>
        </w:rPr>
        <w:t xml:space="preserve">importance </w:t>
      </w:r>
      <w:r w:rsidRPr="009819CA">
        <w:rPr>
          <w:lang w:val="en-CA"/>
        </w:rPr>
        <w:t>of th</w:t>
      </w:r>
      <w:r w:rsidR="00D27704" w:rsidRPr="009819CA">
        <w:rPr>
          <w:lang w:val="en-CA"/>
        </w:rPr>
        <w:t>is</w:t>
      </w:r>
      <w:r w:rsidRPr="009819CA">
        <w:rPr>
          <w:lang w:val="en-CA"/>
        </w:rPr>
        <w:t xml:space="preserve"> previous conduct due to </w:t>
      </w:r>
      <w:r w:rsidR="0092686C" w:rsidRPr="009819CA">
        <w:rPr>
          <w:lang w:val="en-CA"/>
        </w:rPr>
        <w:t>Mr.</w:t>
      </w:r>
      <w:r w:rsidR="00B8175F" w:rsidRPr="009819CA">
        <w:rPr>
          <w:lang w:val="en-CA"/>
        </w:rPr>
        <w:t> </w:t>
      </w:r>
      <w:r w:rsidR="00054F9D" w:rsidRPr="009819CA">
        <w:rPr>
          <w:lang w:val="en-CA"/>
        </w:rPr>
        <w:t>Houle</w:t>
      </w:r>
      <w:r w:rsidR="00D27704" w:rsidRPr="009819CA">
        <w:rPr>
          <w:lang w:val="en-CA"/>
        </w:rPr>
        <w:t>’s transparency</w:t>
      </w:r>
      <w:r w:rsidR="00054F9D" w:rsidRPr="009819CA">
        <w:rPr>
          <w:lang w:val="en-CA"/>
        </w:rPr>
        <w:t xml:space="preserve"> </w:t>
      </w:r>
      <w:r w:rsidRPr="009819CA">
        <w:rPr>
          <w:lang w:val="en-CA"/>
        </w:rPr>
        <w:t xml:space="preserve">and </w:t>
      </w:r>
      <w:r w:rsidR="001B72FF" w:rsidRPr="009819CA">
        <w:rPr>
          <w:lang w:val="en-CA"/>
        </w:rPr>
        <w:t xml:space="preserve">the </w:t>
      </w:r>
      <w:r w:rsidRPr="009819CA">
        <w:rPr>
          <w:lang w:val="en-CA"/>
        </w:rPr>
        <w:t>serious</w:t>
      </w:r>
      <w:r w:rsidR="001B72FF" w:rsidRPr="009819CA">
        <w:rPr>
          <w:lang w:val="en-CA"/>
        </w:rPr>
        <w:t>ness of</w:t>
      </w:r>
      <w:r w:rsidRPr="009819CA">
        <w:rPr>
          <w:lang w:val="en-CA"/>
        </w:rPr>
        <w:t xml:space="preserve"> </w:t>
      </w:r>
      <w:r w:rsidR="00D27704" w:rsidRPr="009819CA">
        <w:rPr>
          <w:lang w:val="en-CA"/>
        </w:rPr>
        <w:t xml:space="preserve">his </w:t>
      </w:r>
      <w:r w:rsidRPr="009819CA">
        <w:rPr>
          <w:lang w:val="en-CA"/>
        </w:rPr>
        <w:t>psycho</w:t>
      </w:r>
      <w:r w:rsidR="00D27704" w:rsidRPr="009819CA">
        <w:rPr>
          <w:lang w:val="en-CA"/>
        </w:rPr>
        <w:t>therapy</w:t>
      </w:r>
      <w:r w:rsidRPr="009819CA">
        <w:rPr>
          <w:lang w:val="en-CA"/>
        </w:rPr>
        <w:t xml:space="preserve">. But </w:t>
      </w:r>
      <w:r w:rsidR="00D27704" w:rsidRPr="009819CA">
        <w:rPr>
          <w:lang w:val="en-CA"/>
        </w:rPr>
        <w:t>he could not go one step further and characterize</w:t>
      </w:r>
      <w:r w:rsidR="00715EEC" w:rsidRPr="009819CA">
        <w:rPr>
          <w:lang w:val="en-CA"/>
        </w:rPr>
        <w:t xml:space="preserve"> the </w:t>
      </w:r>
      <w:r w:rsidRPr="009819CA">
        <w:rPr>
          <w:lang w:val="en-CA"/>
        </w:rPr>
        <w:t xml:space="preserve">sexual assault and voyeurism </w:t>
      </w:r>
      <w:r w:rsidR="00D27704" w:rsidRPr="009819CA">
        <w:rPr>
          <w:lang w:val="en-CA"/>
        </w:rPr>
        <w:t xml:space="preserve">involving </w:t>
      </w:r>
      <w:r w:rsidR="00054F9D" w:rsidRPr="009819CA">
        <w:rPr>
          <w:lang w:val="en-CA"/>
        </w:rPr>
        <w:t xml:space="preserve">L.L.B. </w:t>
      </w:r>
      <w:r w:rsidRPr="009819CA">
        <w:rPr>
          <w:lang w:val="en-CA"/>
        </w:rPr>
        <w:t xml:space="preserve">as </w:t>
      </w:r>
      <w:r w:rsidR="00076573" w:rsidRPr="009819CA">
        <w:rPr>
          <w:lang w:val="en-CA"/>
        </w:rPr>
        <w:t xml:space="preserve">acts that were </w:t>
      </w:r>
      <w:r w:rsidRPr="009819CA">
        <w:rPr>
          <w:lang w:val="en-CA"/>
        </w:rPr>
        <w:t>[</w:t>
      </w:r>
      <w:r w:rsidRPr="009819CA">
        <w:rPr>
          <w:smallCaps/>
          <w:lang w:val="en-CA"/>
        </w:rPr>
        <w:t>translation</w:t>
      </w:r>
      <w:r w:rsidRPr="009819CA">
        <w:rPr>
          <w:lang w:val="en-CA"/>
        </w:rPr>
        <w:t xml:space="preserve">] “contextual and </w:t>
      </w:r>
      <w:r w:rsidR="00570741" w:rsidRPr="009819CA">
        <w:rPr>
          <w:lang w:val="en-CA"/>
        </w:rPr>
        <w:t>isolated in</w:t>
      </w:r>
      <w:r w:rsidRPr="009819CA">
        <w:rPr>
          <w:lang w:val="en-CA"/>
        </w:rPr>
        <w:t xml:space="preserve"> his life</w:t>
      </w:r>
      <w:r w:rsidR="00715EEC" w:rsidRPr="009819CA">
        <w:rPr>
          <w:lang w:val="en-CA"/>
        </w:rPr>
        <w:t>.</w:t>
      </w:r>
      <w:r w:rsidR="0005319E" w:rsidRPr="009819CA">
        <w:rPr>
          <w:lang w:val="en-CA"/>
        </w:rPr>
        <w:t>”</w:t>
      </w:r>
      <w:r w:rsidRPr="009819CA">
        <w:rPr>
          <w:lang w:val="en-CA"/>
        </w:rPr>
        <w:t xml:space="preserve"> </w:t>
      </w:r>
    </w:p>
    <w:p w14:paraId="4F22F74F" w14:textId="00EDE807" w:rsidR="00054F9D" w:rsidRPr="009819CA" w:rsidRDefault="00715EEC" w:rsidP="00127D8B">
      <w:pPr>
        <w:pStyle w:val="Paragraphe"/>
        <w:rPr>
          <w:lang w:val="en-CA"/>
        </w:rPr>
      </w:pPr>
      <w:r w:rsidRPr="009819CA">
        <w:rPr>
          <w:lang w:val="en-CA"/>
        </w:rPr>
        <w:t>Th</w:t>
      </w:r>
      <w:r w:rsidR="00D27704" w:rsidRPr="009819CA">
        <w:rPr>
          <w:lang w:val="en-CA"/>
        </w:rPr>
        <w:t>e</w:t>
      </w:r>
      <w:r w:rsidRPr="009819CA">
        <w:rPr>
          <w:lang w:val="en-CA"/>
        </w:rPr>
        <w:t xml:space="preserve">se errors </w:t>
      </w:r>
      <w:r w:rsidR="00076573" w:rsidRPr="009819CA">
        <w:rPr>
          <w:lang w:val="en-CA"/>
        </w:rPr>
        <w:t>had an impact on</w:t>
      </w:r>
      <w:r w:rsidR="00076573" w:rsidRPr="009819CA">
        <w:rPr>
          <w:lang w:val="en-CA"/>
        </w:rPr>
        <w:t xml:space="preserve"> </w:t>
      </w:r>
      <w:r w:rsidRPr="009819CA">
        <w:rPr>
          <w:lang w:val="en-CA"/>
        </w:rPr>
        <w:t>the sentence. They diminish</w:t>
      </w:r>
      <w:r w:rsidR="00D27704" w:rsidRPr="009819CA">
        <w:rPr>
          <w:lang w:val="en-CA"/>
        </w:rPr>
        <w:t>ed</w:t>
      </w:r>
      <w:r w:rsidRPr="009819CA">
        <w:rPr>
          <w:lang w:val="en-CA"/>
        </w:rPr>
        <w:t xml:space="preserve"> the subjective </w:t>
      </w:r>
      <w:r w:rsidR="00D22E85" w:rsidRPr="009819CA">
        <w:rPr>
          <w:lang w:val="en-CA"/>
        </w:rPr>
        <w:t>gravity</w:t>
      </w:r>
      <w:r w:rsidRPr="009819CA">
        <w:rPr>
          <w:lang w:val="en-CA"/>
        </w:rPr>
        <w:t xml:space="preserve"> of the offences and Mr. Houle’s </w:t>
      </w:r>
      <w:r w:rsidR="00D27704" w:rsidRPr="009819CA">
        <w:rPr>
          <w:lang w:val="en-CA"/>
        </w:rPr>
        <w:t xml:space="preserve">degree of </w:t>
      </w:r>
      <w:r w:rsidRPr="009819CA">
        <w:rPr>
          <w:lang w:val="en-CA"/>
        </w:rPr>
        <w:t>responsibility, and th</w:t>
      </w:r>
      <w:r w:rsidR="00D27704" w:rsidRPr="009819CA">
        <w:rPr>
          <w:lang w:val="en-CA"/>
        </w:rPr>
        <w:t>ereby</w:t>
      </w:r>
      <w:r w:rsidRPr="009819CA">
        <w:rPr>
          <w:lang w:val="en-CA"/>
        </w:rPr>
        <w:t xml:space="preserve"> </w:t>
      </w:r>
      <w:r w:rsidR="00D27704" w:rsidRPr="009819CA">
        <w:rPr>
          <w:lang w:val="en-CA"/>
        </w:rPr>
        <w:t>resulted in</w:t>
      </w:r>
      <w:r w:rsidRPr="009819CA">
        <w:rPr>
          <w:lang w:val="en-CA"/>
        </w:rPr>
        <w:t xml:space="preserve"> a sentence that d</w:t>
      </w:r>
      <w:r w:rsidR="00D27704" w:rsidRPr="009819CA">
        <w:rPr>
          <w:lang w:val="en-CA"/>
        </w:rPr>
        <w:t>oes</w:t>
      </w:r>
      <w:r w:rsidRPr="009819CA">
        <w:rPr>
          <w:lang w:val="en-CA"/>
        </w:rPr>
        <w:t xml:space="preserve"> not respect the fundamental principle of proportionality</w:t>
      </w:r>
      <w:r w:rsidR="005F19DE" w:rsidRPr="009819CA">
        <w:rPr>
          <w:lang w:val="en-CA"/>
        </w:rPr>
        <w:t>.</w:t>
      </w:r>
    </w:p>
    <w:p w14:paraId="0B767A61" w14:textId="57BCC224" w:rsidR="005F19DE" w:rsidRPr="009819CA" w:rsidRDefault="00715EEC" w:rsidP="005F19DE">
      <w:pPr>
        <w:pStyle w:val="Paragraphe"/>
        <w:rPr>
          <w:lang w:val="en-CA"/>
        </w:rPr>
      </w:pPr>
      <w:r w:rsidRPr="009819CA">
        <w:rPr>
          <w:lang w:val="en-CA"/>
        </w:rPr>
        <w:t xml:space="preserve">The Court must therefore </w:t>
      </w:r>
      <w:r w:rsidR="0078639E" w:rsidRPr="009819CA">
        <w:rPr>
          <w:lang w:val="en-CA"/>
        </w:rPr>
        <w:t xml:space="preserve">perform </w:t>
      </w:r>
      <w:r w:rsidRPr="009819CA">
        <w:rPr>
          <w:lang w:val="en-CA"/>
        </w:rPr>
        <w:t xml:space="preserve">its own </w:t>
      </w:r>
      <w:r w:rsidR="001B72FF" w:rsidRPr="009819CA">
        <w:rPr>
          <w:lang w:val="en-CA"/>
        </w:rPr>
        <w:t xml:space="preserve">sentencing </w:t>
      </w:r>
      <w:r w:rsidRPr="009819CA">
        <w:rPr>
          <w:lang w:val="en-CA"/>
        </w:rPr>
        <w:t xml:space="preserve">analysis to determine a </w:t>
      </w:r>
      <w:r w:rsidR="0078639E" w:rsidRPr="009819CA">
        <w:rPr>
          <w:lang w:val="en-CA"/>
        </w:rPr>
        <w:t xml:space="preserve">fit </w:t>
      </w:r>
      <w:r w:rsidRPr="009819CA">
        <w:rPr>
          <w:lang w:val="en-CA"/>
        </w:rPr>
        <w:t>sentence.</w:t>
      </w:r>
      <w:r w:rsidR="005F19DE" w:rsidRPr="009819CA">
        <w:rPr>
          <w:rStyle w:val="Appelnotedebasdep"/>
          <w:lang w:val="en-CA"/>
        </w:rPr>
        <w:footnoteReference w:id="27"/>
      </w:r>
    </w:p>
    <w:p w14:paraId="5B418532" w14:textId="15B17BA2" w:rsidR="001F118C" w:rsidRPr="009819CA" w:rsidRDefault="00715EEC" w:rsidP="006952C5">
      <w:pPr>
        <w:pStyle w:val="Paragraphe"/>
        <w:keepNext/>
        <w:numPr>
          <w:ilvl w:val="0"/>
          <w:numId w:val="20"/>
        </w:numPr>
        <w:ind w:left="1077" w:hanging="357"/>
        <w:rPr>
          <w:i/>
          <w:iCs/>
          <w:lang w:val="en-CA"/>
        </w:rPr>
      </w:pPr>
      <w:r w:rsidRPr="009819CA">
        <w:rPr>
          <w:i/>
          <w:iCs/>
          <w:lang w:val="en-CA"/>
        </w:rPr>
        <w:lastRenderedPageBreak/>
        <w:t xml:space="preserve">Determining the </w:t>
      </w:r>
      <w:r w:rsidR="00D20559" w:rsidRPr="009819CA">
        <w:rPr>
          <w:i/>
          <w:iCs/>
          <w:lang w:val="en-CA"/>
        </w:rPr>
        <w:t>appropriate</w:t>
      </w:r>
      <w:r w:rsidR="0078639E" w:rsidRPr="009819CA">
        <w:rPr>
          <w:i/>
          <w:iCs/>
          <w:lang w:val="en-CA"/>
        </w:rPr>
        <w:t xml:space="preserve"> </w:t>
      </w:r>
      <w:r w:rsidRPr="009819CA">
        <w:rPr>
          <w:i/>
          <w:iCs/>
          <w:lang w:val="en-CA"/>
        </w:rPr>
        <w:t>sentence</w:t>
      </w:r>
    </w:p>
    <w:p w14:paraId="7B9FC493" w14:textId="70022718" w:rsidR="00196B54" w:rsidRPr="009819CA" w:rsidRDefault="000B720D" w:rsidP="002D502C">
      <w:pPr>
        <w:pStyle w:val="Paragraphe"/>
        <w:rPr>
          <w:lang w:val="en-CA"/>
        </w:rPr>
      </w:pPr>
      <w:r w:rsidRPr="009819CA">
        <w:rPr>
          <w:lang w:val="en-CA"/>
        </w:rPr>
        <w:t>Th</w:t>
      </w:r>
      <w:r w:rsidR="003D6D0B" w:rsidRPr="009819CA">
        <w:rPr>
          <w:lang w:val="en-CA"/>
        </w:rPr>
        <w:t xml:space="preserve">e </w:t>
      </w:r>
      <w:r w:rsidR="003D6D0B" w:rsidRPr="009819CA">
        <w:rPr>
          <w:i/>
          <w:iCs/>
          <w:lang w:val="en-CA"/>
        </w:rPr>
        <w:t>C</w:t>
      </w:r>
      <w:r w:rsidRPr="009819CA">
        <w:rPr>
          <w:i/>
          <w:iCs/>
          <w:lang w:val="en-CA"/>
        </w:rPr>
        <w:t>riminal C</w:t>
      </w:r>
      <w:r w:rsidR="003D6D0B" w:rsidRPr="009819CA">
        <w:rPr>
          <w:i/>
          <w:iCs/>
          <w:lang w:val="en-CA"/>
        </w:rPr>
        <w:t xml:space="preserve">ode </w:t>
      </w:r>
      <w:r w:rsidRPr="009819CA">
        <w:rPr>
          <w:iCs/>
          <w:lang w:val="en-CA"/>
        </w:rPr>
        <w:t xml:space="preserve">sets out several </w:t>
      </w:r>
      <w:r w:rsidR="0078639E" w:rsidRPr="009819CA">
        <w:rPr>
          <w:iCs/>
          <w:lang w:val="en-CA"/>
        </w:rPr>
        <w:t xml:space="preserve">penological </w:t>
      </w:r>
      <w:r w:rsidR="007749B5" w:rsidRPr="009819CA">
        <w:rPr>
          <w:lang w:val="en-CA"/>
        </w:rPr>
        <w:t>objective</w:t>
      </w:r>
      <w:r w:rsidR="003D6D0B" w:rsidRPr="009819CA">
        <w:rPr>
          <w:lang w:val="en-CA"/>
        </w:rPr>
        <w:t xml:space="preserve">s </w:t>
      </w:r>
      <w:r w:rsidR="0078639E" w:rsidRPr="009819CA">
        <w:rPr>
          <w:lang w:val="en-CA"/>
        </w:rPr>
        <w:t>that give the sentence</w:t>
      </w:r>
      <w:r w:rsidR="00287745" w:rsidRPr="009819CA">
        <w:rPr>
          <w:lang w:val="en-CA"/>
        </w:rPr>
        <w:t xml:space="preserve"> </w:t>
      </w:r>
      <w:r w:rsidRPr="009819CA">
        <w:rPr>
          <w:lang w:val="en-CA"/>
        </w:rPr>
        <w:t>[</w:t>
      </w:r>
      <w:r w:rsidRPr="009819CA">
        <w:rPr>
          <w:smallCaps/>
          <w:lang w:val="en-CA"/>
        </w:rPr>
        <w:t>translation</w:t>
      </w:r>
      <w:r w:rsidRPr="009819CA">
        <w:rPr>
          <w:lang w:val="en-CA"/>
        </w:rPr>
        <w:t>] “</w:t>
      </w:r>
      <w:r w:rsidR="003D6D0B" w:rsidRPr="009819CA">
        <w:rPr>
          <w:lang w:val="en-CA"/>
        </w:rPr>
        <w:t>attribut</w:t>
      </w:r>
      <w:r w:rsidRPr="009819CA">
        <w:rPr>
          <w:lang w:val="en-CA"/>
        </w:rPr>
        <w:t>e</w:t>
      </w:r>
      <w:r w:rsidR="003D6D0B" w:rsidRPr="009819CA">
        <w:rPr>
          <w:lang w:val="en-CA"/>
        </w:rPr>
        <w:t xml:space="preserve">s </w:t>
      </w:r>
      <w:r w:rsidRPr="009819CA">
        <w:rPr>
          <w:lang w:val="en-CA"/>
        </w:rPr>
        <w:t xml:space="preserve">of </w:t>
      </w:r>
      <w:r w:rsidR="007749B5" w:rsidRPr="009819CA">
        <w:rPr>
          <w:lang w:val="en-CA"/>
        </w:rPr>
        <w:t xml:space="preserve">both punitive </w:t>
      </w:r>
      <w:r w:rsidR="0078639E" w:rsidRPr="009819CA">
        <w:rPr>
          <w:lang w:val="en-CA"/>
        </w:rPr>
        <w:t xml:space="preserve">justice </w:t>
      </w:r>
      <w:r w:rsidR="007749B5" w:rsidRPr="009819CA">
        <w:rPr>
          <w:lang w:val="en-CA"/>
        </w:rPr>
        <w:t xml:space="preserve">and </w:t>
      </w:r>
      <w:r w:rsidR="0078639E" w:rsidRPr="009819CA">
        <w:rPr>
          <w:lang w:val="en-CA"/>
        </w:rPr>
        <w:t>restorative justice</w:t>
      </w:r>
      <w:r w:rsidR="007749B5" w:rsidRPr="009819CA">
        <w:rPr>
          <w:lang w:val="en-CA"/>
        </w:rPr>
        <w:t>.”</w:t>
      </w:r>
      <w:r w:rsidR="00206BB0" w:rsidRPr="009819CA">
        <w:rPr>
          <w:rStyle w:val="Appelnotedebasdep"/>
          <w:lang w:val="en-CA"/>
        </w:rPr>
        <w:footnoteReference w:id="28"/>
      </w:r>
      <w:r w:rsidR="003D6D0B" w:rsidRPr="009819CA">
        <w:rPr>
          <w:lang w:val="en-CA"/>
        </w:rPr>
        <w:t xml:space="preserve"> </w:t>
      </w:r>
      <w:r w:rsidR="007749B5" w:rsidRPr="009819CA">
        <w:rPr>
          <w:lang w:val="en-CA"/>
        </w:rPr>
        <w:t xml:space="preserve">For example, a sentence can be intended to denounce unlawful conduct and deter offenders from committing offences, </w:t>
      </w:r>
      <w:r w:rsidR="006B27C9" w:rsidRPr="009819CA">
        <w:rPr>
          <w:lang w:val="en-CA"/>
        </w:rPr>
        <w:t xml:space="preserve">just </w:t>
      </w:r>
      <w:r w:rsidR="00D337F3" w:rsidRPr="009819CA">
        <w:rPr>
          <w:lang w:val="en-CA"/>
        </w:rPr>
        <w:t>as it may</w:t>
      </w:r>
      <w:r w:rsidR="00287745" w:rsidRPr="009819CA">
        <w:rPr>
          <w:lang w:val="en-CA"/>
        </w:rPr>
        <w:t xml:space="preserve"> </w:t>
      </w:r>
      <w:r w:rsidR="00D337F3" w:rsidRPr="009819CA">
        <w:rPr>
          <w:lang w:val="en-CA"/>
        </w:rPr>
        <w:t xml:space="preserve">assist in their </w:t>
      </w:r>
      <w:r w:rsidR="007749B5" w:rsidRPr="009819CA">
        <w:rPr>
          <w:lang w:val="en-CA"/>
        </w:rPr>
        <w:t>rehabilitation and provide reparations for harm done to victims or to the community.</w:t>
      </w:r>
      <w:r w:rsidR="00251140" w:rsidRPr="009819CA">
        <w:rPr>
          <w:rStyle w:val="Appelnotedebasdep"/>
          <w:lang w:val="en-CA"/>
        </w:rPr>
        <w:footnoteReference w:id="29"/>
      </w:r>
      <w:r w:rsidR="002D502C" w:rsidRPr="009819CA">
        <w:rPr>
          <w:lang w:val="en-CA"/>
        </w:rPr>
        <w:t xml:space="preserve"> </w:t>
      </w:r>
      <w:r w:rsidR="007749B5" w:rsidRPr="009819CA">
        <w:rPr>
          <w:lang w:val="en-CA"/>
        </w:rPr>
        <w:t>Th</w:t>
      </w:r>
      <w:r w:rsidR="00D337F3" w:rsidRPr="009819CA">
        <w:rPr>
          <w:lang w:val="en-CA"/>
        </w:rPr>
        <w:t>e</w:t>
      </w:r>
      <w:r w:rsidR="007749B5" w:rsidRPr="009819CA">
        <w:rPr>
          <w:lang w:val="en-CA"/>
        </w:rPr>
        <w:t>se objective</w:t>
      </w:r>
      <w:r w:rsidR="00E22C2A" w:rsidRPr="009819CA">
        <w:rPr>
          <w:lang w:val="en-CA"/>
        </w:rPr>
        <w:t xml:space="preserve">s </w:t>
      </w:r>
      <w:r w:rsidR="007749B5" w:rsidRPr="009819CA">
        <w:rPr>
          <w:lang w:val="en-CA"/>
        </w:rPr>
        <w:t xml:space="preserve">are not mutually exclusive. On the contrary, as </w:t>
      </w:r>
      <w:r w:rsidR="00F47C3D" w:rsidRPr="009819CA">
        <w:rPr>
          <w:lang w:val="en-CA"/>
        </w:rPr>
        <w:t xml:space="preserve">Vauclair </w:t>
      </w:r>
      <w:r w:rsidR="00C935F4" w:rsidRPr="009819CA">
        <w:rPr>
          <w:lang w:val="en-CA"/>
        </w:rPr>
        <w:t xml:space="preserve">J.A. </w:t>
      </w:r>
      <w:r w:rsidR="007749B5" w:rsidRPr="009819CA">
        <w:rPr>
          <w:lang w:val="en-CA"/>
        </w:rPr>
        <w:t xml:space="preserve">wrote in </w:t>
      </w:r>
      <w:r w:rsidR="00F47C3D" w:rsidRPr="009819CA">
        <w:rPr>
          <w:i/>
          <w:iCs/>
          <w:lang w:val="en-CA"/>
        </w:rPr>
        <w:t>Harbour c. R.</w:t>
      </w:r>
      <w:r w:rsidR="00F47C3D" w:rsidRPr="009819CA">
        <w:rPr>
          <w:lang w:val="en-CA"/>
        </w:rPr>
        <w:t xml:space="preserve">, </w:t>
      </w:r>
      <w:r w:rsidR="00287745" w:rsidRPr="009819CA">
        <w:rPr>
          <w:lang w:val="en-CA"/>
        </w:rPr>
        <w:t>[</w:t>
      </w:r>
      <w:r w:rsidR="00287745" w:rsidRPr="009819CA">
        <w:rPr>
          <w:smallCaps/>
          <w:lang w:val="en-CA"/>
        </w:rPr>
        <w:t>translation</w:t>
      </w:r>
      <w:r w:rsidR="00287745" w:rsidRPr="009819CA">
        <w:rPr>
          <w:lang w:val="en-CA"/>
        </w:rPr>
        <w:t>] “</w:t>
      </w:r>
      <w:r w:rsidR="00D337F3" w:rsidRPr="009819CA">
        <w:rPr>
          <w:rFonts w:cs="Arial"/>
          <w:lang w:val="en-CA"/>
        </w:rPr>
        <w:t>[</w:t>
      </w:r>
      <w:r w:rsidR="00287745" w:rsidRPr="009819CA">
        <w:rPr>
          <w:lang w:val="en-CA"/>
        </w:rPr>
        <w:t>t</w:t>
      </w:r>
      <w:r w:rsidR="00D337F3" w:rsidRPr="009819CA">
        <w:rPr>
          <w:rFonts w:cs="Arial"/>
          <w:lang w:val="en-CA"/>
        </w:rPr>
        <w:t>]</w:t>
      </w:r>
      <w:r w:rsidR="00287745" w:rsidRPr="009819CA">
        <w:rPr>
          <w:lang w:val="en-CA"/>
        </w:rPr>
        <w:t xml:space="preserve">he sentence must </w:t>
      </w:r>
      <w:proofErr w:type="gramStart"/>
      <w:r w:rsidR="00287745" w:rsidRPr="009819CA">
        <w:rPr>
          <w:lang w:val="en-CA"/>
        </w:rPr>
        <w:t xml:space="preserve">take </w:t>
      </w:r>
      <w:r w:rsidR="00D337F3" w:rsidRPr="009819CA">
        <w:rPr>
          <w:lang w:val="en-CA"/>
        </w:rPr>
        <w:t>into account</w:t>
      </w:r>
      <w:proofErr w:type="gramEnd"/>
      <w:r w:rsidR="00D337F3" w:rsidRPr="009819CA">
        <w:rPr>
          <w:lang w:val="en-CA"/>
        </w:rPr>
        <w:t xml:space="preserve"> </w:t>
      </w:r>
      <w:r w:rsidR="00287745" w:rsidRPr="009819CA">
        <w:rPr>
          <w:lang w:val="en-CA"/>
        </w:rPr>
        <w:t xml:space="preserve">all of the </w:t>
      </w:r>
      <w:r w:rsidR="00041C86" w:rsidRPr="009819CA">
        <w:rPr>
          <w:lang w:val="en-CA"/>
        </w:rPr>
        <w:t xml:space="preserve">penological </w:t>
      </w:r>
      <w:r w:rsidR="00287745" w:rsidRPr="009819CA">
        <w:rPr>
          <w:lang w:val="en-CA"/>
        </w:rPr>
        <w:t>objectives</w:t>
      </w:r>
      <w:r w:rsidR="000D02AE" w:rsidRPr="009819CA">
        <w:rPr>
          <w:lang w:val="en-CA"/>
        </w:rPr>
        <w:t>,</w:t>
      </w:r>
      <w:r w:rsidR="00041C86" w:rsidRPr="009819CA">
        <w:rPr>
          <w:lang w:val="en-CA"/>
        </w:rPr>
        <w:t xml:space="preserve"> </w:t>
      </w:r>
      <w:r w:rsidR="00287745" w:rsidRPr="009819CA">
        <w:rPr>
          <w:lang w:val="en-CA"/>
        </w:rPr>
        <w:t xml:space="preserve">not </w:t>
      </w:r>
      <w:r w:rsidR="000D02AE" w:rsidRPr="009819CA">
        <w:rPr>
          <w:lang w:val="en-CA"/>
        </w:rPr>
        <w:t xml:space="preserve">just </w:t>
      </w:r>
      <w:r w:rsidR="00287745" w:rsidRPr="009819CA">
        <w:rPr>
          <w:lang w:val="en-CA"/>
        </w:rPr>
        <w:t xml:space="preserve">some of them. Only a balance will </w:t>
      </w:r>
      <w:r w:rsidR="000D02AE" w:rsidRPr="009819CA">
        <w:rPr>
          <w:lang w:val="en-CA"/>
        </w:rPr>
        <w:t xml:space="preserve">result in </w:t>
      </w:r>
      <w:r w:rsidR="00041C86" w:rsidRPr="009819CA">
        <w:rPr>
          <w:lang w:val="en-CA"/>
        </w:rPr>
        <w:t>a fit</w:t>
      </w:r>
      <w:r w:rsidR="00287745" w:rsidRPr="009819CA">
        <w:rPr>
          <w:lang w:val="en-CA"/>
        </w:rPr>
        <w:t xml:space="preserve"> sentence.”</w:t>
      </w:r>
      <w:bookmarkStart w:id="15" w:name="_Ref123894546"/>
      <w:r w:rsidR="002D502C" w:rsidRPr="009819CA">
        <w:rPr>
          <w:rStyle w:val="Appelnotedebasdep"/>
          <w:lang w:val="en-CA"/>
        </w:rPr>
        <w:footnoteReference w:id="30"/>
      </w:r>
      <w:bookmarkEnd w:id="15"/>
      <w:r w:rsidR="00F47C3D" w:rsidRPr="009819CA">
        <w:rPr>
          <w:lang w:val="en-CA"/>
        </w:rPr>
        <w:t xml:space="preserve"> </w:t>
      </w:r>
      <w:r w:rsidR="00287745" w:rsidRPr="009819CA">
        <w:rPr>
          <w:lang w:val="en-CA"/>
        </w:rPr>
        <w:t xml:space="preserve">And, whatever weight a judge may wish to </w:t>
      </w:r>
      <w:r w:rsidR="002E610F" w:rsidRPr="009819CA">
        <w:rPr>
          <w:lang w:val="en-CA"/>
        </w:rPr>
        <w:t>assign</w:t>
      </w:r>
      <w:r w:rsidR="002E610F" w:rsidRPr="009819CA">
        <w:rPr>
          <w:lang w:val="en-CA"/>
        </w:rPr>
        <w:t xml:space="preserve"> </w:t>
      </w:r>
      <w:r w:rsidR="00287745" w:rsidRPr="009819CA">
        <w:rPr>
          <w:lang w:val="en-CA"/>
        </w:rPr>
        <w:t xml:space="preserve">to </w:t>
      </w:r>
      <w:r w:rsidR="00041C86" w:rsidRPr="009819CA">
        <w:rPr>
          <w:lang w:val="en-CA"/>
        </w:rPr>
        <w:t xml:space="preserve">certain </w:t>
      </w:r>
      <w:r w:rsidR="00287745" w:rsidRPr="009819CA">
        <w:rPr>
          <w:lang w:val="en-CA"/>
        </w:rPr>
        <w:t xml:space="preserve">objectives, </w:t>
      </w:r>
      <w:r w:rsidR="002E610F" w:rsidRPr="009819CA">
        <w:rPr>
          <w:lang w:val="en-CA"/>
        </w:rPr>
        <w:t>the</w:t>
      </w:r>
      <w:r w:rsidR="002E610F" w:rsidRPr="009819CA">
        <w:rPr>
          <w:lang w:val="en-CA"/>
        </w:rPr>
        <w:t xml:space="preserve"> </w:t>
      </w:r>
      <w:r w:rsidR="00287745" w:rsidRPr="009819CA">
        <w:rPr>
          <w:lang w:val="en-CA"/>
        </w:rPr>
        <w:t xml:space="preserve">sentence </w:t>
      </w:r>
      <w:r w:rsidR="002E610F" w:rsidRPr="009819CA">
        <w:rPr>
          <w:lang w:val="en-CA"/>
        </w:rPr>
        <w:t xml:space="preserve">the judge imposes </w:t>
      </w:r>
      <w:r w:rsidR="00287745" w:rsidRPr="009819CA">
        <w:rPr>
          <w:lang w:val="en-CA"/>
        </w:rPr>
        <w:t>must respect the fundamental principle of proportio</w:t>
      </w:r>
      <w:r w:rsidR="00A03B2A" w:rsidRPr="009819CA">
        <w:rPr>
          <w:lang w:val="en-CA"/>
        </w:rPr>
        <w:t>nalit</w:t>
      </w:r>
      <w:bookmarkStart w:id="16" w:name="_Ref123893661"/>
      <w:r w:rsidR="00287745" w:rsidRPr="009819CA">
        <w:rPr>
          <w:lang w:val="en-CA"/>
        </w:rPr>
        <w:t>y.</w:t>
      </w:r>
      <w:r w:rsidR="00E22C2A" w:rsidRPr="009819CA">
        <w:rPr>
          <w:rStyle w:val="Appelnotedebasdep"/>
          <w:lang w:val="en-CA"/>
        </w:rPr>
        <w:footnoteReference w:id="31"/>
      </w:r>
      <w:bookmarkEnd w:id="16"/>
    </w:p>
    <w:p w14:paraId="3B452D72" w14:textId="1DA2AC9F" w:rsidR="00F55715" w:rsidRPr="009819CA" w:rsidRDefault="00287745" w:rsidP="00812439">
      <w:pPr>
        <w:pStyle w:val="Paragraphe"/>
        <w:rPr>
          <w:lang w:val="en-CA"/>
        </w:rPr>
      </w:pPr>
      <w:r w:rsidRPr="009819CA">
        <w:rPr>
          <w:lang w:val="en-CA"/>
        </w:rPr>
        <w:t>Th</w:t>
      </w:r>
      <w:r w:rsidR="00041C86" w:rsidRPr="009819CA">
        <w:rPr>
          <w:lang w:val="en-CA"/>
        </w:rPr>
        <w:t>is</w:t>
      </w:r>
      <w:r w:rsidRPr="009819CA">
        <w:rPr>
          <w:lang w:val="en-CA"/>
        </w:rPr>
        <w:t xml:space="preserve"> principle </w:t>
      </w:r>
      <w:proofErr w:type="gramStart"/>
      <w:r w:rsidRPr="009819CA">
        <w:rPr>
          <w:lang w:val="en-CA"/>
        </w:rPr>
        <w:t>is codified</w:t>
      </w:r>
      <w:proofErr w:type="gramEnd"/>
      <w:r w:rsidRPr="009819CA">
        <w:rPr>
          <w:lang w:val="en-CA"/>
        </w:rPr>
        <w:t xml:space="preserve"> in s. </w:t>
      </w:r>
      <w:r w:rsidR="00F55715" w:rsidRPr="009819CA">
        <w:rPr>
          <w:lang w:val="en-CA"/>
        </w:rPr>
        <w:t xml:space="preserve">718.1 </w:t>
      </w:r>
      <w:r w:rsidR="00F55715" w:rsidRPr="00BF230D">
        <w:rPr>
          <w:i/>
          <w:iCs/>
          <w:lang w:val="en-CA"/>
        </w:rPr>
        <w:t>C</w:t>
      </w:r>
      <w:r w:rsidRPr="00BF230D">
        <w:rPr>
          <w:i/>
          <w:iCs/>
          <w:lang w:val="en-CA"/>
        </w:rPr>
        <w:t>r.</w:t>
      </w:r>
      <w:r w:rsidR="006B27C9" w:rsidRPr="00BF230D">
        <w:rPr>
          <w:i/>
          <w:iCs/>
          <w:lang w:val="en-CA"/>
        </w:rPr>
        <w:t xml:space="preserve"> </w:t>
      </w:r>
      <w:r w:rsidRPr="00BF230D">
        <w:rPr>
          <w:i/>
          <w:iCs/>
          <w:lang w:val="en-CA"/>
        </w:rPr>
        <w:t>C</w:t>
      </w:r>
      <w:r w:rsidR="00F55715" w:rsidRPr="00BF230D">
        <w:rPr>
          <w:i/>
          <w:iCs/>
          <w:lang w:val="en-CA"/>
        </w:rPr>
        <w:t>.</w:t>
      </w:r>
      <w:r w:rsidR="00F55715" w:rsidRPr="009819CA">
        <w:rPr>
          <w:lang w:val="en-CA"/>
        </w:rPr>
        <w:t>:</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A6146A" w:rsidRPr="009819CA" w14:paraId="670F1B15" w14:textId="77777777" w:rsidTr="00A6146A">
        <w:tc>
          <w:tcPr>
            <w:tcW w:w="4681" w:type="dxa"/>
            <w:shd w:val="clear" w:color="auto" w:fill="auto"/>
          </w:tcPr>
          <w:p w14:paraId="67ED3392" w14:textId="7B82AC26" w:rsidR="00A6146A" w:rsidRPr="00BF230D" w:rsidRDefault="006B27C9" w:rsidP="00296AB9">
            <w:pPr>
              <w:pStyle w:val="Tableaugauchefranais"/>
              <w:spacing w:before="120" w:after="120"/>
              <w:ind w:right="142"/>
              <w:jc w:val="both"/>
              <w:rPr>
                <w:lang w:val="en-CA"/>
              </w:rPr>
            </w:pPr>
            <w:r w:rsidRPr="00BF230D">
              <w:rPr>
                <w:rFonts w:ascii="Helvetica" w:hAnsi="Helvetica" w:cs="Helvetica"/>
                <w:color w:val="333333"/>
                <w:shd w:val="clear" w:color="auto" w:fill="FFFFFF"/>
                <w:lang w:val="en-CA"/>
              </w:rPr>
              <w:t xml:space="preserve"> </w:t>
            </w:r>
            <w:r w:rsidRPr="00BF230D">
              <w:rPr>
                <w:rFonts w:ascii="Helvetica" w:hAnsi="Helvetica" w:cs="Helvetica"/>
                <w:color w:val="333333"/>
                <w:shd w:val="clear" w:color="auto" w:fill="FFFFFF"/>
                <w:lang w:val="en-CA"/>
              </w:rPr>
              <w:t>718.1</w:t>
            </w:r>
            <w:r w:rsidR="00570741">
              <w:rPr>
                <w:rFonts w:ascii="Helvetica" w:hAnsi="Helvetica" w:cs="Helvetica"/>
                <w:color w:val="333333"/>
                <w:shd w:val="clear" w:color="auto" w:fill="FFFFFF"/>
                <w:lang w:val="en-CA"/>
              </w:rPr>
              <w:t xml:space="preserve"> </w:t>
            </w:r>
            <w:r w:rsidRPr="00BF230D">
              <w:rPr>
                <w:rFonts w:ascii="Helvetica" w:hAnsi="Helvetica" w:cs="Helvetica"/>
                <w:color w:val="333333"/>
                <w:shd w:val="clear" w:color="auto" w:fill="FFFFFF"/>
                <w:lang w:val="en-CA"/>
              </w:rPr>
              <w:t>A sentence must be proportionate to the gravity of the offence and the degree of responsibility of the offender.</w:t>
            </w:r>
          </w:p>
        </w:tc>
        <w:tc>
          <w:tcPr>
            <w:tcW w:w="4681" w:type="dxa"/>
            <w:shd w:val="clear" w:color="auto" w:fill="auto"/>
          </w:tcPr>
          <w:p w14:paraId="11E05AFB" w14:textId="5B4FDEBA" w:rsidR="00A6146A" w:rsidRPr="00BF230D" w:rsidRDefault="006B27C9" w:rsidP="00A6146A">
            <w:pPr>
              <w:pStyle w:val="Tableaudroiteanglais"/>
              <w:spacing w:before="120" w:after="120"/>
              <w:ind w:left="142"/>
              <w:rPr>
                <w:lang w:val="fr-CA"/>
              </w:rPr>
            </w:pPr>
            <w:r w:rsidRPr="00BF230D">
              <w:rPr>
                <w:rStyle w:val="sectionlabel"/>
                <w:rFonts w:ascii="Helvetica" w:hAnsi="Helvetica" w:cs="Helvetica"/>
                <w:b/>
                <w:bCs/>
                <w:color w:val="000000"/>
                <w:shd w:val="clear" w:color="auto" w:fill="FFFFFF"/>
                <w:lang w:val="fr-CA"/>
              </w:rPr>
              <w:t>718.1</w:t>
            </w:r>
            <w:r w:rsidRPr="00BF230D">
              <w:rPr>
                <w:rFonts w:ascii="Helvetica" w:hAnsi="Helvetica" w:cs="Helvetica"/>
                <w:color w:val="333333"/>
                <w:shd w:val="clear" w:color="auto" w:fill="FFFFFF"/>
                <w:lang w:val="fr-CA"/>
              </w:rPr>
              <w:t>  La peine est proportionnelle à la gravité de l’infraction et au degré de responsabilité du délinquant.</w:t>
            </w:r>
          </w:p>
        </w:tc>
      </w:tr>
    </w:tbl>
    <w:p w14:paraId="498EF4E8" w14:textId="22207165" w:rsidR="006532C4" w:rsidRPr="009819CA" w:rsidRDefault="00287745" w:rsidP="00812439">
      <w:pPr>
        <w:pStyle w:val="Paragraphe"/>
        <w:rPr>
          <w:lang w:val="en-CA"/>
        </w:rPr>
      </w:pPr>
      <w:r w:rsidRPr="009819CA">
        <w:rPr>
          <w:lang w:val="en-CA"/>
        </w:rPr>
        <w:t>In</w:t>
      </w:r>
      <w:r w:rsidR="006D6787" w:rsidRPr="009819CA">
        <w:rPr>
          <w:lang w:val="en-CA"/>
        </w:rPr>
        <w:t xml:space="preserve"> </w:t>
      </w:r>
      <w:r w:rsidRPr="009819CA">
        <w:rPr>
          <w:i/>
          <w:iCs/>
          <w:lang w:val="en-CA"/>
        </w:rPr>
        <w:t>R. v</w:t>
      </w:r>
      <w:r w:rsidR="006532C4" w:rsidRPr="009819CA">
        <w:rPr>
          <w:i/>
          <w:iCs/>
          <w:lang w:val="en-CA"/>
        </w:rPr>
        <w:t xml:space="preserve">. </w:t>
      </w:r>
      <w:r w:rsidR="00206BB0" w:rsidRPr="009819CA">
        <w:rPr>
          <w:i/>
          <w:iCs/>
          <w:lang w:val="en-CA"/>
        </w:rPr>
        <w:t>Nasogaluak</w:t>
      </w:r>
      <w:r w:rsidR="00041C86" w:rsidRPr="009819CA">
        <w:rPr>
          <w:i/>
          <w:iCs/>
          <w:lang w:val="en-CA"/>
        </w:rPr>
        <w:t>,</w:t>
      </w:r>
      <w:r w:rsidR="00206BB0" w:rsidRPr="009819CA">
        <w:rPr>
          <w:lang w:val="en-CA"/>
        </w:rPr>
        <w:t xml:space="preserve"> LeBel</w:t>
      </w:r>
      <w:r w:rsidR="00C935F4" w:rsidRPr="009819CA">
        <w:rPr>
          <w:lang w:val="en-CA"/>
        </w:rPr>
        <w:t xml:space="preserve"> J</w:t>
      </w:r>
      <w:r w:rsidR="006B27C9" w:rsidRPr="009819CA">
        <w:rPr>
          <w:lang w:val="en-CA"/>
        </w:rPr>
        <w:t>.</w:t>
      </w:r>
      <w:r w:rsidR="00A00F4C" w:rsidRPr="009819CA">
        <w:rPr>
          <w:lang w:val="en-CA"/>
        </w:rPr>
        <w:t xml:space="preserve">, </w:t>
      </w:r>
      <w:r w:rsidR="00C935F4" w:rsidRPr="009819CA">
        <w:rPr>
          <w:lang w:val="en-CA"/>
        </w:rPr>
        <w:t xml:space="preserve">on behalf of </w:t>
      </w:r>
      <w:r w:rsidRPr="009819CA">
        <w:rPr>
          <w:lang w:val="en-CA"/>
        </w:rPr>
        <w:t xml:space="preserve">the Supreme </w:t>
      </w:r>
      <w:r w:rsidR="00F47C3D" w:rsidRPr="009819CA">
        <w:rPr>
          <w:lang w:val="en-CA"/>
        </w:rPr>
        <w:t>Cour</w:t>
      </w:r>
      <w:r w:rsidRPr="009819CA">
        <w:rPr>
          <w:lang w:val="en-CA"/>
        </w:rPr>
        <w:t xml:space="preserve">t, </w:t>
      </w:r>
      <w:r w:rsidR="002E610F" w:rsidRPr="009819CA">
        <w:rPr>
          <w:lang w:val="en-CA"/>
        </w:rPr>
        <w:t>provided</w:t>
      </w:r>
      <w:r w:rsidR="002E610F" w:rsidRPr="009819CA">
        <w:rPr>
          <w:lang w:val="en-CA"/>
        </w:rPr>
        <w:t xml:space="preserve"> </w:t>
      </w:r>
      <w:r w:rsidRPr="009819CA">
        <w:rPr>
          <w:lang w:val="en-CA"/>
        </w:rPr>
        <w:t>a good description of</w:t>
      </w:r>
      <w:r w:rsidR="00F76FA2" w:rsidRPr="009819CA">
        <w:rPr>
          <w:lang w:val="en-CA"/>
        </w:rPr>
        <w:t xml:space="preserve"> </w:t>
      </w:r>
      <w:r w:rsidR="00913CFE" w:rsidRPr="009819CA">
        <w:rPr>
          <w:lang w:val="en-CA"/>
        </w:rPr>
        <w:t>“the two perspectives o</w:t>
      </w:r>
      <w:r w:rsidR="00041C86" w:rsidRPr="009819CA">
        <w:rPr>
          <w:lang w:val="en-CA"/>
        </w:rPr>
        <w:t>n</w:t>
      </w:r>
      <w:r w:rsidR="00913CFE" w:rsidRPr="009819CA">
        <w:rPr>
          <w:lang w:val="en-CA"/>
        </w:rPr>
        <w:t xml:space="preserve"> proportionality”:</w:t>
      </w:r>
    </w:p>
    <w:p w14:paraId="0C5640ED" w14:textId="77777777" w:rsidR="00814C7D" w:rsidRPr="009819CA" w:rsidRDefault="007939D3" w:rsidP="00814C7D">
      <w:pPr>
        <w:pStyle w:val="Citationenretrait"/>
        <w:rPr>
          <w:lang w:val="en-CA"/>
        </w:rPr>
      </w:pPr>
      <w:r w:rsidRPr="009819CA">
        <w:rPr>
          <w:lang w:val="en-CA"/>
        </w:rPr>
        <w:t>[42]  </w:t>
      </w:r>
      <w:r w:rsidR="00913CFE" w:rsidRPr="009819CA">
        <w:rPr>
          <w:lang w:val="en-CA"/>
        </w:rPr>
        <w:t>For one, it requires that a sentence not exceed what is just and appropriate, given the moral blameworthiness of the offender and the gravity of the offence</w:t>
      </w:r>
      <w:proofErr w:type="gramStart"/>
      <w:r w:rsidR="00913CFE" w:rsidRPr="009819CA">
        <w:rPr>
          <w:lang w:val="en-CA"/>
        </w:rPr>
        <w:t xml:space="preserve">.  </w:t>
      </w:r>
      <w:proofErr w:type="gramEnd"/>
      <w:r w:rsidR="00913CFE" w:rsidRPr="009819CA">
        <w:rPr>
          <w:lang w:val="en-CA"/>
        </w:rPr>
        <w:t>In this sense, the principle serves a limiting or restraining function</w:t>
      </w:r>
      <w:proofErr w:type="gramStart"/>
      <w:r w:rsidR="00913CFE" w:rsidRPr="009819CA">
        <w:rPr>
          <w:lang w:val="en-CA"/>
        </w:rPr>
        <w:t xml:space="preserve">.  </w:t>
      </w:r>
      <w:proofErr w:type="gramEnd"/>
      <w:r w:rsidR="00913CFE" w:rsidRPr="009819CA">
        <w:rPr>
          <w:lang w:val="en-CA"/>
        </w:rPr>
        <w:t xml:space="preserve">However, the rights-based, protective angle of proportionality is counter-balanced by its alignment with the “just deserts” philosophy of sentencing, which seeks to ensure that offenders are held responsible for their actions and that the sentence </w:t>
      </w:r>
      <w:proofErr w:type="gramStart"/>
      <w:r w:rsidR="00913CFE" w:rsidRPr="009819CA">
        <w:rPr>
          <w:lang w:val="en-CA"/>
        </w:rPr>
        <w:t>properly reflects</w:t>
      </w:r>
      <w:proofErr w:type="gramEnd"/>
      <w:r w:rsidR="00913CFE" w:rsidRPr="009819CA">
        <w:rPr>
          <w:lang w:val="en-CA"/>
        </w:rPr>
        <w:t xml:space="preserve"> and condemns their role in the offence and the harm they caused</w:t>
      </w:r>
      <w:r w:rsidRPr="009819CA">
        <w:rPr>
          <w:lang w:val="en-CA"/>
        </w:rPr>
        <w:t xml:space="preserve">. Understood in this latter sense, sentencing is a form of judicial and social censure. Whatever the rationale for proportionality, however, the degree of censure required to express society’s condemnation of the offence </w:t>
      </w:r>
      <w:proofErr w:type="gramStart"/>
      <w:r w:rsidRPr="009819CA">
        <w:rPr>
          <w:lang w:val="en-CA"/>
        </w:rPr>
        <w:t>is always limited</w:t>
      </w:r>
      <w:proofErr w:type="gramEnd"/>
      <w:r w:rsidRPr="009819CA">
        <w:rPr>
          <w:lang w:val="en-CA"/>
        </w:rPr>
        <w:t xml:space="preserve"> by the principle that an offender’s sentence must be equivalent to his or her moral culpability, and not greater than it. The two perspectives on proportionality thus converge in a </w:t>
      </w:r>
      <w:r w:rsidRPr="009819CA">
        <w:rPr>
          <w:lang w:val="en-CA"/>
        </w:rPr>
        <w:lastRenderedPageBreak/>
        <w:t>sentence that both speaks out against the offence and punishes the offender no more than is necessary</w:t>
      </w:r>
      <w:r w:rsidR="00814C7D" w:rsidRPr="009819CA">
        <w:rPr>
          <w:lang w:val="en-CA"/>
        </w:rPr>
        <w:t>.</w:t>
      </w:r>
      <w:r w:rsidR="00814C7D" w:rsidRPr="009819CA">
        <w:rPr>
          <w:rStyle w:val="Appelnotedebasdep"/>
          <w:lang w:val="en-CA"/>
        </w:rPr>
        <w:footnoteReference w:id="32"/>
      </w:r>
    </w:p>
    <w:p w14:paraId="64057300" w14:textId="77777777" w:rsidR="00814C7D" w:rsidRPr="009819CA" w:rsidRDefault="007939D3" w:rsidP="00814C7D">
      <w:pPr>
        <w:pStyle w:val="Citationenretrait"/>
        <w:jc w:val="right"/>
        <w:rPr>
          <w:lang w:val="en-CA"/>
        </w:rPr>
      </w:pPr>
      <w:r w:rsidRPr="009819CA">
        <w:rPr>
          <w:lang w:val="en-CA"/>
        </w:rPr>
        <w:t>[References omitted</w:t>
      </w:r>
      <w:r w:rsidR="00814C7D" w:rsidRPr="009819CA">
        <w:rPr>
          <w:lang w:val="en-CA"/>
        </w:rPr>
        <w:t>]</w:t>
      </w:r>
    </w:p>
    <w:p w14:paraId="4019BBF7" w14:textId="7681EF74" w:rsidR="003D02AC" w:rsidRPr="009819CA" w:rsidRDefault="00BC7D8D" w:rsidP="00812439">
      <w:pPr>
        <w:pStyle w:val="Paragraphe"/>
        <w:rPr>
          <w:lang w:val="en-CA"/>
        </w:rPr>
      </w:pPr>
      <w:r w:rsidRPr="009819CA">
        <w:rPr>
          <w:lang w:val="en-CA"/>
        </w:rPr>
        <w:t xml:space="preserve">The </w:t>
      </w:r>
      <w:r w:rsidR="00D66DB6" w:rsidRPr="009819CA">
        <w:rPr>
          <w:lang w:val="en-CA"/>
        </w:rPr>
        <w:t xml:space="preserve">demands </w:t>
      </w:r>
      <w:r w:rsidRPr="009819CA">
        <w:rPr>
          <w:lang w:val="en-CA"/>
        </w:rPr>
        <w:t xml:space="preserve">of proportionality must also be </w:t>
      </w:r>
      <w:r w:rsidR="00D66DB6" w:rsidRPr="009819CA">
        <w:rPr>
          <w:rFonts w:cs="Arial"/>
          <w:lang w:val="en-CA"/>
        </w:rPr>
        <w:t>[</w:t>
      </w:r>
      <w:r w:rsidR="00D66DB6" w:rsidRPr="009819CA">
        <w:rPr>
          <w:rFonts w:cs="Arial"/>
          <w:smallCaps/>
          <w:lang w:val="en-CA"/>
        </w:rPr>
        <w:t>translation</w:t>
      </w:r>
      <w:r w:rsidR="00D66DB6" w:rsidRPr="009819CA">
        <w:rPr>
          <w:rFonts w:cs="Arial"/>
          <w:lang w:val="en-CA"/>
        </w:rPr>
        <w:t>]</w:t>
      </w:r>
      <w:r w:rsidR="00D66DB6" w:rsidRPr="009819CA">
        <w:rPr>
          <w:lang w:val="en-CA"/>
        </w:rPr>
        <w:t xml:space="preserve"> </w:t>
      </w:r>
      <w:r w:rsidRPr="009819CA">
        <w:rPr>
          <w:lang w:val="en-CA"/>
        </w:rPr>
        <w:t xml:space="preserve">“calibrated” by reference to sentences imposed in </w:t>
      </w:r>
      <w:r w:rsidR="00D66DB6" w:rsidRPr="009819CA">
        <w:rPr>
          <w:lang w:val="en-CA"/>
        </w:rPr>
        <w:t xml:space="preserve">similar </w:t>
      </w:r>
      <w:r w:rsidRPr="009819CA">
        <w:rPr>
          <w:lang w:val="en-CA"/>
        </w:rPr>
        <w:t>cases,</w:t>
      </w:r>
      <w:r w:rsidR="00856655" w:rsidRPr="009819CA">
        <w:rPr>
          <w:rStyle w:val="Appelnotedebasdep"/>
          <w:lang w:val="en-CA"/>
        </w:rPr>
        <w:footnoteReference w:id="33"/>
      </w:r>
      <w:r w:rsidR="008C3F40" w:rsidRPr="009819CA">
        <w:rPr>
          <w:lang w:val="en-CA"/>
        </w:rPr>
        <w:t xml:space="preserve"> </w:t>
      </w:r>
      <w:r w:rsidRPr="009819CA">
        <w:rPr>
          <w:lang w:val="en-CA"/>
        </w:rPr>
        <w:t>based on the principle</w:t>
      </w:r>
      <w:r w:rsidR="001B72FF" w:rsidRPr="009819CA">
        <w:rPr>
          <w:lang w:val="en-CA"/>
        </w:rPr>
        <w:t xml:space="preserve"> of</w:t>
      </w:r>
      <w:r w:rsidR="00D4761F" w:rsidRPr="009819CA">
        <w:rPr>
          <w:lang w:val="en-CA"/>
        </w:rPr>
        <w:t xml:space="preserve"> </w:t>
      </w:r>
      <w:r w:rsidR="001B72FF" w:rsidRPr="009819CA">
        <w:rPr>
          <w:lang w:val="en-CA"/>
        </w:rPr>
        <w:t>parity of sentences</w:t>
      </w:r>
      <w:r w:rsidR="007C525C" w:rsidRPr="009819CA">
        <w:rPr>
          <w:lang w:val="en-CA"/>
        </w:rPr>
        <w:t>.</w:t>
      </w:r>
      <w:r w:rsidR="00856655" w:rsidRPr="009819CA">
        <w:rPr>
          <w:lang w:val="en-CA"/>
        </w:rPr>
        <w:t xml:space="preserve"> </w:t>
      </w:r>
      <w:r w:rsidR="007C525C" w:rsidRPr="009819CA">
        <w:rPr>
          <w:lang w:val="en-CA"/>
        </w:rPr>
        <w:t>As the Supreme Court explained</w:t>
      </w:r>
      <w:r w:rsidRPr="009819CA">
        <w:rPr>
          <w:lang w:val="en-CA"/>
        </w:rPr>
        <w:t xml:space="preserve"> it in </w:t>
      </w:r>
      <w:r w:rsidRPr="009819CA">
        <w:rPr>
          <w:i/>
          <w:iCs/>
          <w:lang w:val="en-CA"/>
        </w:rPr>
        <w:t>R. v</w:t>
      </w:r>
      <w:r w:rsidR="003D02AC" w:rsidRPr="009819CA">
        <w:rPr>
          <w:i/>
          <w:iCs/>
          <w:lang w:val="en-CA"/>
        </w:rPr>
        <w:t>. Lacasse</w:t>
      </w:r>
      <w:r w:rsidR="003D02AC" w:rsidRPr="009819CA">
        <w:rPr>
          <w:lang w:val="en-CA"/>
        </w:rPr>
        <w:t>:</w:t>
      </w:r>
    </w:p>
    <w:p w14:paraId="364CBAF6" w14:textId="59611A61" w:rsidR="003D02AC" w:rsidRPr="009819CA" w:rsidRDefault="00B73F08" w:rsidP="003D02AC">
      <w:pPr>
        <w:pStyle w:val="Citationenretrait"/>
        <w:rPr>
          <w:lang w:val="en-CA"/>
        </w:rPr>
      </w:pPr>
      <w:r w:rsidRPr="009819CA">
        <w:rPr>
          <w:lang w:val="en-CA"/>
        </w:rPr>
        <w:t>[53]  … </w:t>
      </w:r>
      <w:r w:rsidR="007C525C" w:rsidRPr="009819CA">
        <w:rPr>
          <w:lang w:val="en-CA"/>
        </w:rPr>
        <w:t xml:space="preserve">Proportionality is determined both on an individual basis, that is, in relation to the accused him or herself and to the offence committed by the accused, and by comparison with sentences imposed for similar offences committed in similar circumstances. Individualization and parity of sentences must </w:t>
      </w:r>
      <w:proofErr w:type="gramStart"/>
      <w:r w:rsidR="007C525C" w:rsidRPr="009819CA">
        <w:rPr>
          <w:lang w:val="en-CA"/>
        </w:rPr>
        <w:t>be reconciled</w:t>
      </w:r>
      <w:proofErr w:type="gramEnd"/>
      <w:r w:rsidR="007C525C" w:rsidRPr="009819CA">
        <w:rPr>
          <w:lang w:val="en-CA"/>
        </w:rPr>
        <w:t xml:space="preserve"> for a sentence to be proportionate: s. 718.2(a) and (b) of the </w:t>
      </w:r>
      <w:r w:rsidR="007C525C" w:rsidRPr="009819CA">
        <w:rPr>
          <w:i/>
          <w:iCs/>
          <w:lang w:val="en-CA"/>
        </w:rPr>
        <w:t>Criminal Code</w:t>
      </w:r>
      <w:r w:rsidR="003D02AC" w:rsidRPr="009819CA">
        <w:rPr>
          <w:lang w:val="en-CA"/>
        </w:rPr>
        <w:t>.</w:t>
      </w:r>
      <w:r w:rsidR="00856655" w:rsidRPr="009819CA">
        <w:rPr>
          <w:rStyle w:val="Appelnotedebasdep"/>
          <w:lang w:val="en-CA"/>
        </w:rPr>
        <w:footnoteReference w:id="34"/>
      </w:r>
    </w:p>
    <w:p w14:paraId="38AD4D1A" w14:textId="16EDC669" w:rsidR="00206BB0" w:rsidRPr="009819CA" w:rsidRDefault="0092686C" w:rsidP="00812439">
      <w:pPr>
        <w:pStyle w:val="Paragraphe"/>
        <w:rPr>
          <w:lang w:val="en-CA"/>
        </w:rPr>
      </w:pPr>
      <w:r w:rsidRPr="009819CA">
        <w:rPr>
          <w:lang w:val="en-CA"/>
        </w:rPr>
        <w:t>Mr.</w:t>
      </w:r>
      <w:r w:rsidR="00B8175F" w:rsidRPr="009819CA">
        <w:rPr>
          <w:lang w:val="en-CA"/>
        </w:rPr>
        <w:t> </w:t>
      </w:r>
      <w:r w:rsidR="00AD62C5" w:rsidRPr="009819CA">
        <w:rPr>
          <w:lang w:val="en-CA"/>
        </w:rPr>
        <w:t xml:space="preserve">Houle </w:t>
      </w:r>
      <w:r w:rsidR="007C525C" w:rsidRPr="009819CA">
        <w:rPr>
          <w:lang w:val="en-CA"/>
        </w:rPr>
        <w:t xml:space="preserve">must therefore be given a sentence proportional to the gravity of the crimes he committed and his degree of responsibility, bearing in mind </w:t>
      </w:r>
      <w:proofErr w:type="gramStart"/>
      <w:r w:rsidR="007C525C" w:rsidRPr="009819CA">
        <w:rPr>
          <w:lang w:val="en-CA"/>
        </w:rPr>
        <w:t>all of</w:t>
      </w:r>
      <w:proofErr w:type="gramEnd"/>
      <w:r w:rsidR="007C525C" w:rsidRPr="009819CA">
        <w:rPr>
          <w:lang w:val="en-CA"/>
        </w:rPr>
        <w:t xml:space="preserve"> the </w:t>
      </w:r>
      <w:r w:rsidR="00D66DB6" w:rsidRPr="009819CA">
        <w:rPr>
          <w:lang w:val="en-CA"/>
        </w:rPr>
        <w:t xml:space="preserve">penological </w:t>
      </w:r>
      <w:r w:rsidR="007C525C" w:rsidRPr="009819CA">
        <w:rPr>
          <w:lang w:val="en-CA"/>
        </w:rPr>
        <w:t xml:space="preserve">objectives, </w:t>
      </w:r>
      <w:r w:rsidR="00BC7D8D" w:rsidRPr="009819CA">
        <w:rPr>
          <w:lang w:val="en-CA"/>
        </w:rPr>
        <w:t>the circumstances of the case</w:t>
      </w:r>
      <w:r w:rsidR="00D66DB6" w:rsidRPr="009819CA">
        <w:rPr>
          <w:lang w:val="en-CA"/>
        </w:rPr>
        <w:t>,</w:t>
      </w:r>
      <w:r w:rsidR="00BC7D8D" w:rsidRPr="009819CA">
        <w:rPr>
          <w:lang w:val="en-CA"/>
        </w:rPr>
        <w:t xml:space="preserve"> and sentences imposed</w:t>
      </w:r>
      <w:r w:rsidR="007C525C" w:rsidRPr="009819CA">
        <w:rPr>
          <w:lang w:val="en-CA"/>
        </w:rPr>
        <w:t xml:space="preserve"> for similar offences committed in similar circumstances.</w:t>
      </w:r>
    </w:p>
    <w:p w14:paraId="6B73C133" w14:textId="77777777" w:rsidR="00717A7A" w:rsidRPr="009819CA" w:rsidRDefault="00717A7A" w:rsidP="00717A7A">
      <w:pPr>
        <w:pStyle w:val="Paragraphe"/>
        <w:numPr>
          <w:ilvl w:val="0"/>
          <w:numId w:val="0"/>
        </w:numPr>
        <w:jc w:val="center"/>
        <w:rPr>
          <w:b/>
          <w:bCs/>
          <w:lang w:val="en-CA"/>
        </w:rPr>
      </w:pPr>
      <w:r w:rsidRPr="009819CA">
        <w:rPr>
          <w:b/>
          <w:bCs/>
          <w:lang w:val="en-CA"/>
        </w:rPr>
        <w:t>* * *</w:t>
      </w:r>
    </w:p>
    <w:p w14:paraId="52C7AACD" w14:textId="0C9FA90B" w:rsidR="0074516E" w:rsidRPr="009819CA" w:rsidRDefault="0093219A" w:rsidP="0074516E">
      <w:pPr>
        <w:pStyle w:val="Paragraphe"/>
        <w:rPr>
          <w:lang w:val="en-CA"/>
        </w:rPr>
      </w:pPr>
      <w:r w:rsidRPr="009819CA">
        <w:rPr>
          <w:lang w:val="en-CA"/>
        </w:rPr>
        <w:t xml:space="preserve">As the judge stated, </w:t>
      </w:r>
      <w:r w:rsidR="00D66DB6" w:rsidRPr="009819CA">
        <w:rPr>
          <w:lang w:val="en-CA"/>
        </w:rPr>
        <w:t xml:space="preserve">Mr. Houle’s </w:t>
      </w:r>
      <w:r w:rsidRPr="009819CA">
        <w:rPr>
          <w:lang w:val="en-CA"/>
        </w:rPr>
        <w:t xml:space="preserve">crimes </w:t>
      </w:r>
      <w:r w:rsidR="00D66DB6" w:rsidRPr="009819CA">
        <w:rPr>
          <w:lang w:val="en-CA"/>
        </w:rPr>
        <w:t xml:space="preserve">fall </w:t>
      </w:r>
      <w:r w:rsidRPr="009819CA">
        <w:rPr>
          <w:lang w:val="en-CA"/>
        </w:rPr>
        <w:t xml:space="preserve">in the intermediate and </w:t>
      </w:r>
      <w:r w:rsidR="00D66DB6" w:rsidRPr="009819CA">
        <w:rPr>
          <w:lang w:val="en-CA"/>
        </w:rPr>
        <w:t xml:space="preserve">upper </w:t>
      </w:r>
      <w:r w:rsidR="00DA78BB" w:rsidRPr="009819CA">
        <w:rPr>
          <w:lang w:val="en-CA"/>
        </w:rPr>
        <w:t>range</w:t>
      </w:r>
      <w:r w:rsidR="00C935F4" w:rsidRPr="009819CA">
        <w:rPr>
          <w:lang w:val="en-CA"/>
        </w:rPr>
        <w:t xml:space="preserve">s </w:t>
      </w:r>
      <w:r w:rsidRPr="009819CA">
        <w:rPr>
          <w:lang w:val="en-CA"/>
        </w:rPr>
        <w:t xml:space="preserve">of the </w:t>
      </w:r>
      <w:r w:rsidR="00C935F4" w:rsidRPr="009819CA">
        <w:rPr>
          <w:lang w:val="en-CA"/>
        </w:rPr>
        <w:t xml:space="preserve">seriousness </w:t>
      </w:r>
      <w:r w:rsidRPr="009819CA">
        <w:rPr>
          <w:lang w:val="en-CA"/>
        </w:rPr>
        <w:t xml:space="preserve">scale, with voyeurism punishable by </w:t>
      </w:r>
      <w:r w:rsidR="00D66DB6" w:rsidRPr="009819CA">
        <w:rPr>
          <w:lang w:val="en-CA"/>
        </w:rPr>
        <w:t xml:space="preserve">a maximum </w:t>
      </w:r>
      <w:r w:rsidR="00B63D68" w:rsidRPr="009819CA">
        <w:rPr>
          <w:lang w:val="en-CA"/>
        </w:rPr>
        <w:t xml:space="preserve">term </w:t>
      </w:r>
      <w:r w:rsidR="00D66DB6" w:rsidRPr="009819CA">
        <w:rPr>
          <w:lang w:val="en-CA"/>
        </w:rPr>
        <w:t>of</w:t>
      </w:r>
      <w:r w:rsidR="00B63D68" w:rsidRPr="009819CA">
        <w:rPr>
          <w:lang w:val="en-CA"/>
        </w:rPr>
        <w:t xml:space="preserve"> imprisonment of</w:t>
      </w:r>
      <w:r w:rsidRPr="009819CA">
        <w:rPr>
          <w:lang w:val="en-CA"/>
        </w:rPr>
        <w:t xml:space="preserve"> </w:t>
      </w:r>
      <w:r w:rsidR="001B72FF" w:rsidRPr="009819CA">
        <w:rPr>
          <w:lang w:val="en-CA"/>
        </w:rPr>
        <w:t xml:space="preserve">5 </w:t>
      </w:r>
      <w:r w:rsidRPr="009819CA">
        <w:rPr>
          <w:lang w:val="en-CA"/>
        </w:rPr>
        <w:t xml:space="preserve">years in prison and sexual assault </w:t>
      </w:r>
      <w:r w:rsidR="00D66DB6" w:rsidRPr="009819CA">
        <w:rPr>
          <w:lang w:val="en-CA"/>
        </w:rPr>
        <w:t xml:space="preserve">by a maximum </w:t>
      </w:r>
      <w:r w:rsidR="00B63D68" w:rsidRPr="009819CA">
        <w:rPr>
          <w:lang w:val="en-CA"/>
        </w:rPr>
        <w:t xml:space="preserve">term </w:t>
      </w:r>
      <w:r w:rsidR="00D66DB6" w:rsidRPr="009819CA">
        <w:rPr>
          <w:lang w:val="en-CA"/>
        </w:rPr>
        <w:t xml:space="preserve">of </w:t>
      </w:r>
      <w:r w:rsidR="00B63D68" w:rsidRPr="009819CA">
        <w:rPr>
          <w:lang w:val="en-CA"/>
        </w:rPr>
        <w:t xml:space="preserve">imprisonment of </w:t>
      </w:r>
      <w:r w:rsidR="00C935F4" w:rsidRPr="009819CA">
        <w:rPr>
          <w:lang w:val="en-CA"/>
        </w:rPr>
        <w:t xml:space="preserve">10 </w:t>
      </w:r>
      <w:r w:rsidRPr="009819CA">
        <w:rPr>
          <w:lang w:val="en-CA"/>
        </w:rPr>
        <w:t>years</w:t>
      </w:r>
      <w:r w:rsidR="0074516E" w:rsidRPr="009819CA">
        <w:rPr>
          <w:lang w:val="en-CA"/>
        </w:rPr>
        <w:t>.</w:t>
      </w:r>
    </w:p>
    <w:p w14:paraId="50F05C41" w14:textId="453C45BA" w:rsidR="00BD4CE2" w:rsidRPr="009819CA" w:rsidRDefault="0093219A" w:rsidP="00934CA7">
      <w:pPr>
        <w:pStyle w:val="Paragraphe"/>
        <w:rPr>
          <w:lang w:val="en-CA"/>
        </w:rPr>
      </w:pPr>
      <w:r w:rsidRPr="009819CA">
        <w:rPr>
          <w:lang w:val="en-CA"/>
        </w:rPr>
        <w:t xml:space="preserve">The subjective </w:t>
      </w:r>
      <w:r w:rsidR="00B63D68" w:rsidRPr="009819CA">
        <w:rPr>
          <w:lang w:val="en-CA"/>
        </w:rPr>
        <w:t xml:space="preserve">gravity </w:t>
      </w:r>
      <w:r w:rsidRPr="009819CA">
        <w:rPr>
          <w:lang w:val="en-CA"/>
        </w:rPr>
        <w:t xml:space="preserve">of the </w:t>
      </w:r>
      <w:r w:rsidR="00934CA7" w:rsidRPr="009819CA">
        <w:rPr>
          <w:lang w:val="en-CA"/>
        </w:rPr>
        <w:t xml:space="preserve">crimes, </w:t>
      </w:r>
      <w:r w:rsidRPr="009819CA">
        <w:rPr>
          <w:lang w:val="en-CA"/>
        </w:rPr>
        <w:t>i.e.</w:t>
      </w:r>
      <w:r w:rsidR="00B63D68" w:rsidRPr="009819CA">
        <w:rPr>
          <w:lang w:val="en-CA"/>
        </w:rPr>
        <w:t>,</w:t>
      </w:r>
      <w:r w:rsidRPr="009819CA">
        <w:rPr>
          <w:lang w:val="en-CA"/>
        </w:rPr>
        <w:t xml:space="preserve"> the way </w:t>
      </w:r>
      <w:r w:rsidR="0092686C" w:rsidRPr="009819CA">
        <w:rPr>
          <w:lang w:val="en-CA"/>
        </w:rPr>
        <w:t>Mr.</w:t>
      </w:r>
      <w:r w:rsidR="00934CA7" w:rsidRPr="009819CA">
        <w:rPr>
          <w:lang w:val="en-CA"/>
        </w:rPr>
        <w:t xml:space="preserve"> Houle </w:t>
      </w:r>
      <w:r w:rsidRPr="009819CA">
        <w:rPr>
          <w:lang w:val="en-CA"/>
        </w:rPr>
        <w:t xml:space="preserve">committed them, is high. The Court </w:t>
      </w:r>
      <w:r w:rsidR="00B63D68" w:rsidRPr="009819CA">
        <w:rPr>
          <w:lang w:val="en-CA"/>
        </w:rPr>
        <w:t>accepts</w:t>
      </w:r>
      <w:r w:rsidRPr="009819CA">
        <w:rPr>
          <w:lang w:val="en-CA"/>
        </w:rPr>
        <w:t xml:space="preserve"> the following aggravating </w:t>
      </w:r>
      <w:r w:rsidR="00B63D68" w:rsidRPr="009819CA">
        <w:rPr>
          <w:lang w:val="en-CA"/>
        </w:rPr>
        <w:t>factors</w:t>
      </w:r>
      <w:r w:rsidRPr="009819CA">
        <w:rPr>
          <w:lang w:val="en-CA"/>
        </w:rPr>
        <w:t xml:space="preserve">: </w:t>
      </w:r>
    </w:p>
    <w:p w14:paraId="30100507" w14:textId="3956AAE9" w:rsidR="00FE4EC6" w:rsidRPr="009819CA" w:rsidRDefault="0093219A" w:rsidP="00F65C05">
      <w:pPr>
        <w:pStyle w:val="Paragraphe"/>
        <w:numPr>
          <w:ilvl w:val="0"/>
          <w:numId w:val="26"/>
        </w:numPr>
        <w:rPr>
          <w:lang w:val="en-CA"/>
        </w:rPr>
      </w:pPr>
      <w:r w:rsidRPr="009819CA">
        <w:rPr>
          <w:lang w:val="en-CA"/>
        </w:rPr>
        <w:t>Th</w:t>
      </w:r>
      <w:r w:rsidR="00C57126" w:rsidRPr="009819CA">
        <w:rPr>
          <w:lang w:val="en-CA"/>
        </w:rPr>
        <w:t xml:space="preserve">e </w:t>
      </w:r>
      <w:r w:rsidRPr="009819CA">
        <w:rPr>
          <w:lang w:val="en-CA"/>
        </w:rPr>
        <w:t xml:space="preserve">degree of </w:t>
      </w:r>
      <w:r w:rsidR="00B63D68" w:rsidRPr="009819CA">
        <w:rPr>
          <w:lang w:val="en-CA"/>
        </w:rPr>
        <w:t>interference with</w:t>
      </w:r>
      <w:r w:rsidRPr="009819CA">
        <w:rPr>
          <w:lang w:val="en-CA"/>
        </w:rPr>
        <w:t xml:space="preserve"> the victim’s </w:t>
      </w:r>
      <w:r w:rsidR="00B63D68" w:rsidRPr="009819CA">
        <w:rPr>
          <w:lang w:val="en-CA"/>
        </w:rPr>
        <w:t xml:space="preserve">bodily </w:t>
      </w:r>
      <w:r w:rsidRPr="009819CA">
        <w:rPr>
          <w:lang w:val="en-CA"/>
        </w:rPr>
        <w:t>and sexual integrity;</w:t>
      </w:r>
    </w:p>
    <w:p w14:paraId="719DA818" w14:textId="59901EA8" w:rsidR="00BD4CE2" w:rsidRPr="009819CA" w:rsidRDefault="0093219A" w:rsidP="00F65C05">
      <w:pPr>
        <w:pStyle w:val="Paragraphe"/>
        <w:numPr>
          <w:ilvl w:val="0"/>
          <w:numId w:val="26"/>
        </w:numPr>
        <w:rPr>
          <w:lang w:val="en-CA"/>
        </w:rPr>
      </w:pPr>
      <w:r w:rsidRPr="009819CA">
        <w:rPr>
          <w:lang w:val="en-CA"/>
        </w:rPr>
        <w:t xml:space="preserve">The number and content of the </w:t>
      </w:r>
      <w:r w:rsidR="00BD4CE2" w:rsidRPr="009819CA">
        <w:rPr>
          <w:lang w:val="en-CA"/>
        </w:rPr>
        <w:t>photos</w:t>
      </w:r>
      <w:r w:rsidRPr="009819CA">
        <w:rPr>
          <w:lang w:val="en-CA"/>
        </w:rPr>
        <w:t xml:space="preserve">, which </w:t>
      </w:r>
      <w:r w:rsidR="00EF07C7" w:rsidRPr="009819CA">
        <w:rPr>
          <w:lang w:val="en-CA"/>
        </w:rPr>
        <w:t>indicate</w:t>
      </w:r>
      <w:r w:rsidR="00EF07C7" w:rsidRPr="009819CA">
        <w:rPr>
          <w:lang w:val="en-CA"/>
        </w:rPr>
        <w:t xml:space="preserve"> </w:t>
      </w:r>
      <w:r w:rsidR="0005319E" w:rsidRPr="009819CA">
        <w:rPr>
          <w:lang w:val="en-CA"/>
        </w:rPr>
        <w:t xml:space="preserve">the degree of </w:t>
      </w:r>
      <w:r w:rsidR="00B63D68" w:rsidRPr="009819CA">
        <w:rPr>
          <w:lang w:val="en-CA"/>
        </w:rPr>
        <w:t xml:space="preserve">violation </w:t>
      </w:r>
      <w:r w:rsidRPr="009819CA">
        <w:rPr>
          <w:lang w:val="en-CA"/>
        </w:rPr>
        <w:t>of the victim’s privacy and dignity;</w:t>
      </w:r>
    </w:p>
    <w:p w14:paraId="484696A8" w14:textId="77777777" w:rsidR="00C1050A" w:rsidRPr="009819CA" w:rsidRDefault="0093219A" w:rsidP="00F65C05">
      <w:pPr>
        <w:pStyle w:val="Paragraphe"/>
        <w:numPr>
          <w:ilvl w:val="0"/>
          <w:numId w:val="26"/>
        </w:numPr>
        <w:rPr>
          <w:lang w:val="en-CA"/>
        </w:rPr>
      </w:pPr>
      <w:r w:rsidRPr="009819CA">
        <w:rPr>
          <w:lang w:val="en-CA"/>
        </w:rPr>
        <w:t>The fac</w:t>
      </w:r>
      <w:r w:rsidR="00C1050A" w:rsidRPr="009819CA">
        <w:rPr>
          <w:lang w:val="en-CA"/>
        </w:rPr>
        <w:t xml:space="preserve">t </w:t>
      </w:r>
      <w:r w:rsidRPr="009819CA">
        <w:rPr>
          <w:lang w:val="en-CA"/>
        </w:rPr>
        <w:t xml:space="preserve">that the </w:t>
      </w:r>
      <w:r w:rsidR="00C1050A" w:rsidRPr="009819CA">
        <w:rPr>
          <w:lang w:val="en-CA"/>
        </w:rPr>
        <w:t xml:space="preserve">photos </w:t>
      </w:r>
      <w:r w:rsidRPr="009819CA">
        <w:rPr>
          <w:lang w:val="en-CA"/>
        </w:rPr>
        <w:t>remained accessible in</w:t>
      </w:r>
      <w:r w:rsidR="00C1050A" w:rsidRPr="009819CA">
        <w:rPr>
          <w:lang w:val="en-CA"/>
        </w:rPr>
        <w:t xml:space="preserve"> </w:t>
      </w:r>
      <w:r w:rsidR="0092686C" w:rsidRPr="009819CA">
        <w:rPr>
          <w:lang w:val="en-CA"/>
        </w:rPr>
        <w:t>Mr.</w:t>
      </w:r>
      <w:r w:rsidR="00C1050A" w:rsidRPr="009819CA">
        <w:rPr>
          <w:lang w:val="en-CA"/>
        </w:rPr>
        <w:t xml:space="preserve"> Houle</w:t>
      </w:r>
      <w:r w:rsidRPr="009819CA">
        <w:rPr>
          <w:lang w:val="en-CA"/>
        </w:rPr>
        <w:t>’s phone for 44 day</w:t>
      </w:r>
      <w:r w:rsidR="00C1050A" w:rsidRPr="009819CA">
        <w:rPr>
          <w:lang w:val="en-CA"/>
        </w:rPr>
        <w:t>s;</w:t>
      </w:r>
    </w:p>
    <w:p w14:paraId="570E8146" w14:textId="77777777" w:rsidR="00C57126" w:rsidRPr="009819CA" w:rsidRDefault="0093219A" w:rsidP="00BD4CE2">
      <w:pPr>
        <w:pStyle w:val="Paragraphe"/>
        <w:numPr>
          <w:ilvl w:val="0"/>
          <w:numId w:val="26"/>
        </w:numPr>
        <w:rPr>
          <w:lang w:val="en-CA"/>
        </w:rPr>
      </w:pPr>
      <w:r w:rsidRPr="009819CA">
        <w:rPr>
          <w:lang w:val="en-CA"/>
        </w:rPr>
        <w:t xml:space="preserve">The </w:t>
      </w:r>
      <w:r w:rsidR="00C57126" w:rsidRPr="009819CA">
        <w:rPr>
          <w:lang w:val="en-CA"/>
        </w:rPr>
        <w:t>abus</w:t>
      </w:r>
      <w:r w:rsidRPr="009819CA">
        <w:rPr>
          <w:lang w:val="en-CA"/>
        </w:rPr>
        <w:t>e of vulnerability</w:t>
      </w:r>
      <w:r w:rsidR="00C57126" w:rsidRPr="009819CA">
        <w:rPr>
          <w:lang w:val="en-CA"/>
        </w:rPr>
        <w:t>;</w:t>
      </w:r>
    </w:p>
    <w:p w14:paraId="628236E4" w14:textId="77777777" w:rsidR="00C57126" w:rsidRPr="009819CA" w:rsidRDefault="00A75419" w:rsidP="00BD4CE2">
      <w:pPr>
        <w:pStyle w:val="Paragraphe"/>
        <w:numPr>
          <w:ilvl w:val="0"/>
          <w:numId w:val="26"/>
        </w:numPr>
        <w:rPr>
          <w:lang w:val="en-CA"/>
        </w:rPr>
      </w:pPr>
      <w:r w:rsidRPr="009819CA">
        <w:rPr>
          <w:lang w:val="en-CA"/>
        </w:rPr>
        <w:t>The fac</w:t>
      </w:r>
      <w:r w:rsidR="00573F80" w:rsidRPr="009819CA">
        <w:rPr>
          <w:lang w:val="en-CA"/>
        </w:rPr>
        <w:t xml:space="preserve">t </w:t>
      </w:r>
      <w:r w:rsidRPr="009819CA">
        <w:rPr>
          <w:lang w:val="en-CA"/>
        </w:rPr>
        <w:t xml:space="preserve">that </w:t>
      </w:r>
      <w:r w:rsidR="0092686C" w:rsidRPr="009819CA">
        <w:rPr>
          <w:lang w:val="en-CA"/>
        </w:rPr>
        <w:t>Mr.</w:t>
      </w:r>
      <w:r w:rsidR="00C57126" w:rsidRPr="009819CA">
        <w:rPr>
          <w:lang w:val="en-CA"/>
        </w:rPr>
        <w:t xml:space="preserve"> Houle</w:t>
      </w:r>
      <w:r w:rsidR="00DB1561" w:rsidRPr="009819CA">
        <w:rPr>
          <w:lang w:val="en-CA"/>
        </w:rPr>
        <w:t xml:space="preserve"> continued to assault the victim after she fled to the kitchen;</w:t>
      </w:r>
    </w:p>
    <w:p w14:paraId="3880A836" w14:textId="740104F1" w:rsidR="00C57126" w:rsidRPr="009819CA" w:rsidRDefault="00DB1561" w:rsidP="00BD4CE2">
      <w:pPr>
        <w:pStyle w:val="Paragraphe"/>
        <w:numPr>
          <w:ilvl w:val="0"/>
          <w:numId w:val="26"/>
        </w:numPr>
        <w:rPr>
          <w:lang w:val="en-CA"/>
        </w:rPr>
      </w:pPr>
      <w:r w:rsidRPr="009819CA">
        <w:rPr>
          <w:lang w:val="en-CA"/>
        </w:rPr>
        <w:lastRenderedPageBreak/>
        <w:t xml:space="preserve">The serious </w:t>
      </w:r>
      <w:r w:rsidR="00B63D68" w:rsidRPr="009819CA">
        <w:rPr>
          <w:lang w:val="en-CA"/>
        </w:rPr>
        <w:t xml:space="preserve">psychological and financial </w:t>
      </w:r>
      <w:r w:rsidRPr="009819CA">
        <w:rPr>
          <w:lang w:val="en-CA"/>
        </w:rPr>
        <w:t>conse</w:t>
      </w:r>
      <w:r w:rsidR="00C57126" w:rsidRPr="009819CA">
        <w:rPr>
          <w:lang w:val="en-CA"/>
        </w:rPr>
        <w:t xml:space="preserve">quences </w:t>
      </w:r>
      <w:r w:rsidR="00866FF1">
        <w:rPr>
          <w:lang w:val="en-CA"/>
        </w:rPr>
        <w:t>on</w:t>
      </w:r>
      <w:r w:rsidR="00866FF1" w:rsidRPr="009819CA">
        <w:rPr>
          <w:lang w:val="en-CA"/>
        </w:rPr>
        <w:t xml:space="preserve"> </w:t>
      </w:r>
      <w:r w:rsidRPr="009819CA">
        <w:rPr>
          <w:lang w:val="en-CA"/>
        </w:rPr>
        <w:t>the victim;</w:t>
      </w:r>
      <w:r w:rsidR="00EA57D9" w:rsidRPr="009819CA">
        <w:rPr>
          <w:rStyle w:val="Appelnotedebasdep"/>
          <w:lang w:val="en-CA"/>
        </w:rPr>
        <w:footnoteReference w:id="35"/>
      </w:r>
    </w:p>
    <w:p w14:paraId="3AC20239" w14:textId="08B0D446" w:rsidR="00C57126" w:rsidRPr="009819CA" w:rsidRDefault="00DB1561" w:rsidP="00BD4CE2">
      <w:pPr>
        <w:pStyle w:val="Paragraphe"/>
        <w:numPr>
          <w:ilvl w:val="0"/>
          <w:numId w:val="26"/>
        </w:numPr>
        <w:rPr>
          <w:lang w:val="en-CA"/>
        </w:rPr>
      </w:pPr>
      <w:r w:rsidRPr="009819CA">
        <w:rPr>
          <w:lang w:val="en-CA"/>
        </w:rPr>
        <w:t>The conse</w:t>
      </w:r>
      <w:r w:rsidR="00C57126" w:rsidRPr="009819CA">
        <w:rPr>
          <w:lang w:val="en-CA"/>
        </w:rPr>
        <w:t xml:space="preserve">quences </w:t>
      </w:r>
      <w:r w:rsidR="00866FF1">
        <w:rPr>
          <w:lang w:val="en-CA"/>
        </w:rPr>
        <w:t>on</w:t>
      </w:r>
      <w:r w:rsidR="00866FF1" w:rsidRPr="009819CA">
        <w:rPr>
          <w:lang w:val="en-CA"/>
        </w:rPr>
        <w:t xml:space="preserve"> </w:t>
      </w:r>
      <w:r w:rsidRPr="009819CA">
        <w:rPr>
          <w:lang w:val="en-CA"/>
        </w:rPr>
        <w:t>her loved ones.</w:t>
      </w:r>
    </w:p>
    <w:p w14:paraId="3FDC200C" w14:textId="501752AC" w:rsidR="00A40FEB" w:rsidRPr="009819CA" w:rsidRDefault="0092686C" w:rsidP="00A40FEB">
      <w:pPr>
        <w:pStyle w:val="Paragraphe"/>
        <w:rPr>
          <w:lang w:val="en-CA"/>
        </w:rPr>
      </w:pPr>
      <w:r w:rsidRPr="009819CA">
        <w:rPr>
          <w:lang w:val="en-CA"/>
        </w:rPr>
        <w:t>Mr.</w:t>
      </w:r>
      <w:r w:rsidR="00B358C2" w:rsidRPr="009819CA">
        <w:rPr>
          <w:lang w:val="en-CA"/>
        </w:rPr>
        <w:t xml:space="preserve"> Houle</w:t>
      </w:r>
      <w:r w:rsidR="00DB1561" w:rsidRPr="009819CA">
        <w:rPr>
          <w:lang w:val="en-CA"/>
        </w:rPr>
        <w:t xml:space="preserve">’s degree of responsibility, however, </w:t>
      </w:r>
      <w:proofErr w:type="gramStart"/>
      <w:r w:rsidR="00B63D68" w:rsidRPr="009819CA">
        <w:rPr>
          <w:lang w:val="en-CA"/>
        </w:rPr>
        <w:t xml:space="preserve">is </w:t>
      </w:r>
      <w:r w:rsidR="00DB1561" w:rsidRPr="009819CA">
        <w:rPr>
          <w:lang w:val="en-CA"/>
        </w:rPr>
        <w:t>mitigated</w:t>
      </w:r>
      <w:proofErr w:type="gramEnd"/>
      <w:r w:rsidR="00DB1561" w:rsidRPr="009819CA">
        <w:rPr>
          <w:lang w:val="en-CA"/>
        </w:rPr>
        <w:t xml:space="preserve"> by the following</w:t>
      </w:r>
      <w:r w:rsidR="00B63D68" w:rsidRPr="009819CA">
        <w:rPr>
          <w:lang w:val="en-CA"/>
        </w:rPr>
        <w:t xml:space="preserve"> factors</w:t>
      </w:r>
      <w:r w:rsidR="00DB1561" w:rsidRPr="009819CA">
        <w:rPr>
          <w:lang w:val="en-CA"/>
        </w:rPr>
        <w:t xml:space="preserve">: </w:t>
      </w:r>
    </w:p>
    <w:p w14:paraId="7AC62FF1" w14:textId="77777777" w:rsidR="00B358C2" w:rsidRPr="009819CA" w:rsidRDefault="00DB1561" w:rsidP="00B358C2">
      <w:pPr>
        <w:pStyle w:val="Paragraphe"/>
        <w:numPr>
          <w:ilvl w:val="0"/>
          <w:numId w:val="27"/>
        </w:numPr>
        <w:rPr>
          <w:lang w:val="en-CA"/>
        </w:rPr>
      </w:pPr>
      <w:r w:rsidRPr="009819CA">
        <w:rPr>
          <w:lang w:val="en-CA"/>
        </w:rPr>
        <w:t>The guilty plea</w:t>
      </w:r>
      <w:r w:rsidR="00B358C2" w:rsidRPr="009819CA">
        <w:rPr>
          <w:lang w:val="en-CA"/>
        </w:rPr>
        <w:t>;</w:t>
      </w:r>
    </w:p>
    <w:p w14:paraId="202A2A9C" w14:textId="3F4240FB" w:rsidR="00B358C2" w:rsidRPr="009819CA" w:rsidRDefault="0092686C" w:rsidP="00B358C2">
      <w:pPr>
        <w:pStyle w:val="Paragraphe"/>
        <w:numPr>
          <w:ilvl w:val="0"/>
          <w:numId w:val="27"/>
        </w:numPr>
        <w:rPr>
          <w:lang w:val="en-CA"/>
        </w:rPr>
      </w:pPr>
      <w:r w:rsidRPr="009819CA">
        <w:rPr>
          <w:lang w:val="en-CA"/>
        </w:rPr>
        <w:t>Mr.</w:t>
      </w:r>
      <w:r w:rsidR="00E6593C" w:rsidRPr="009819CA">
        <w:rPr>
          <w:lang w:val="en-CA"/>
        </w:rPr>
        <w:t xml:space="preserve"> Houle</w:t>
      </w:r>
      <w:r w:rsidR="00DB1561" w:rsidRPr="009819CA">
        <w:rPr>
          <w:lang w:val="en-CA"/>
        </w:rPr>
        <w:t>’s sincere remorse, regrets</w:t>
      </w:r>
      <w:r w:rsidR="005905AF" w:rsidRPr="009819CA">
        <w:rPr>
          <w:lang w:val="en-CA"/>
        </w:rPr>
        <w:t>,</w:t>
      </w:r>
      <w:r w:rsidR="00DB1561" w:rsidRPr="009819CA">
        <w:rPr>
          <w:lang w:val="en-CA"/>
        </w:rPr>
        <w:t xml:space="preserve"> and apologies</w:t>
      </w:r>
      <w:r w:rsidR="00E6593C" w:rsidRPr="009819CA">
        <w:rPr>
          <w:lang w:val="en-CA"/>
        </w:rPr>
        <w:t>;</w:t>
      </w:r>
    </w:p>
    <w:p w14:paraId="0CB17878" w14:textId="78A287A4" w:rsidR="00E6593C" w:rsidRPr="009819CA" w:rsidRDefault="00DB1561" w:rsidP="00B358C2">
      <w:pPr>
        <w:pStyle w:val="Paragraphe"/>
        <w:numPr>
          <w:ilvl w:val="0"/>
          <w:numId w:val="27"/>
        </w:numPr>
        <w:rPr>
          <w:lang w:val="en-CA"/>
        </w:rPr>
      </w:pPr>
      <w:r w:rsidRPr="009819CA">
        <w:rPr>
          <w:lang w:val="en-CA"/>
        </w:rPr>
        <w:t>The therap</w:t>
      </w:r>
      <w:r w:rsidR="005905AF" w:rsidRPr="009819CA">
        <w:rPr>
          <w:lang w:val="en-CA"/>
        </w:rPr>
        <w:t>y</w:t>
      </w:r>
      <w:r w:rsidRPr="009819CA">
        <w:rPr>
          <w:lang w:val="en-CA"/>
        </w:rPr>
        <w:t xml:space="preserve"> he undertook rapidly and </w:t>
      </w:r>
      <w:r w:rsidR="005905AF" w:rsidRPr="009819CA">
        <w:rPr>
          <w:lang w:val="en-CA"/>
        </w:rPr>
        <w:t>seriously</w:t>
      </w:r>
      <w:r w:rsidRPr="009819CA">
        <w:rPr>
          <w:lang w:val="en-CA"/>
        </w:rPr>
        <w:t xml:space="preserve">, including his </w:t>
      </w:r>
      <w:r w:rsidR="005905AF" w:rsidRPr="009819CA">
        <w:rPr>
          <w:lang w:val="en-CA"/>
        </w:rPr>
        <w:t xml:space="preserve">honesty </w:t>
      </w:r>
      <w:r w:rsidRPr="009819CA">
        <w:rPr>
          <w:lang w:val="en-CA"/>
        </w:rPr>
        <w:t xml:space="preserve">and transparency </w:t>
      </w:r>
      <w:r w:rsidR="005905AF" w:rsidRPr="009819CA">
        <w:rPr>
          <w:lang w:val="en-CA"/>
        </w:rPr>
        <w:t xml:space="preserve">with </w:t>
      </w:r>
      <w:r w:rsidRPr="009819CA">
        <w:rPr>
          <w:lang w:val="en-CA"/>
        </w:rPr>
        <w:t>his psychotherapist</w:t>
      </w:r>
      <w:r w:rsidR="00D152C1" w:rsidRPr="009819CA">
        <w:rPr>
          <w:lang w:val="en-CA"/>
        </w:rPr>
        <w:t>;</w:t>
      </w:r>
    </w:p>
    <w:p w14:paraId="0F674640" w14:textId="20495212" w:rsidR="004A6090" w:rsidRPr="009819CA" w:rsidRDefault="00DB1561" w:rsidP="00B358C2">
      <w:pPr>
        <w:pStyle w:val="Paragraphe"/>
        <w:numPr>
          <w:ilvl w:val="0"/>
          <w:numId w:val="27"/>
        </w:numPr>
        <w:rPr>
          <w:lang w:val="en-CA"/>
        </w:rPr>
      </w:pPr>
      <w:r w:rsidRPr="009819CA">
        <w:rPr>
          <w:lang w:val="en-CA"/>
        </w:rPr>
        <w:t xml:space="preserve">The </w:t>
      </w:r>
      <w:proofErr w:type="gramStart"/>
      <w:r w:rsidRPr="009819CA">
        <w:rPr>
          <w:lang w:val="en-CA"/>
        </w:rPr>
        <w:t>very positive</w:t>
      </w:r>
      <w:proofErr w:type="gramEnd"/>
      <w:r w:rsidRPr="009819CA">
        <w:rPr>
          <w:lang w:val="en-CA"/>
        </w:rPr>
        <w:t xml:space="preserve"> pre-sentenc</w:t>
      </w:r>
      <w:r w:rsidR="00B63D68" w:rsidRPr="009819CA">
        <w:rPr>
          <w:lang w:val="en-CA"/>
        </w:rPr>
        <w:t>e</w:t>
      </w:r>
      <w:r w:rsidRPr="009819CA">
        <w:rPr>
          <w:lang w:val="en-CA"/>
        </w:rPr>
        <w:t xml:space="preserve"> report;</w:t>
      </w:r>
    </w:p>
    <w:p w14:paraId="07FEB0A3" w14:textId="77777777" w:rsidR="00E6593C" w:rsidRPr="009819CA" w:rsidRDefault="00DB1561" w:rsidP="00B358C2">
      <w:pPr>
        <w:pStyle w:val="Paragraphe"/>
        <w:numPr>
          <w:ilvl w:val="0"/>
          <w:numId w:val="27"/>
        </w:numPr>
        <w:rPr>
          <w:lang w:val="en-CA"/>
        </w:rPr>
      </w:pPr>
      <w:r w:rsidRPr="009819CA">
        <w:rPr>
          <w:lang w:val="en-CA"/>
        </w:rPr>
        <w:t xml:space="preserve">The </w:t>
      </w:r>
      <w:proofErr w:type="gramStart"/>
      <w:r w:rsidRPr="009819CA">
        <w:rPr>
          <w:lang w:val="en-CA"/>
        </w:rPr>
        <w:t>low risk</w:t>
      </w:r>
      <w:proofErr w:type="gramEnd"/>
      <w:r w:rsidRPr="009819CA">
        <w:rPr>
          <w:lang w:val="en-CA"/>
        </w:rPr>
        <w:t xml:space="preserve"> of re-offending;</w:t>
      </w:r>
    </w:p>
    <w:p w14:paraId="50CB1735" w14:textId="42A8A58E" w:rsidR="00D152C1" w:rsidRPr="009819CA" w:rsidRDefault="00DB1561" w:rsidP="00B358C2">
      <w:pPr>
        <w:pStyle w:val="Paragraphe"/>
        <w:numPr>
          <w:ilvl w:val="0"/>
          <w:numId w:val="27"/>
        </w:numPr>
        <w:rPr>
          <w:lang w:val="en-CA"/>
        </w:rPr>
      </w:pPr>
      <w:r w:rsidRPr="009819CA">
        <w:rPr>
          <w:lang w:val="en-CA"/>
        </w:rPr>
        <w:t>The fac</w:t>
      </w:r>
      <w:r w:rsidR="00D152C1" w:rsidRPr="009819CA">
        <w:rPr>
          <w:lang w:val="en-CA"/>
        </w:rPr>
        <w:t xml:space="preserve">t </w:t>
      </w:r>
      <w:r w:rsidRPr="009819CA">
        <w:rPr>
          <w:lang w:val="en-CA"/>
        </w:rPr>
        <w:t>that he has a full-time job and presen</w:t>
      </w:r>
      <w:r w:rsidR="008F4C76" w:rsidRPr="009819CA">
        <w:rPr>
          <w:lang w:val="en-CA"/>
        </w:rPr>
        <w:t>ts a positive personal and professio</w:t>
      </w:r>
      <w:r w:rsidRPr="009819CA">
        <w:rPr>
          <w:lang w:val="en-CA"/>
        </w:rPr>
        <w:t>nal profile</w:t>
      </w:r>
      <w:r w:rsidR="009D2C37" w:rsidRPr="009819CA">
        <w:rPr>
          <w:lang w:val="en-CA"/>
        </w:rPr>
        <w:t>, despite everything</w:t>
      </w:r>
      <w:r w:rsidRPr="009819CA">
        <w:rPr>
          <w:lang w:val="en-CA"/>
        </w:rPr>
        <w:t xml:space="preserve">. </w:t>
      </w:r>
    </w:p>
    <w:p w14:paraId="1A463CB9" w14:textId="20CF8458" w:rsidR="003145AC" w:rsidRPr="009819CA" w:rsidRDefault="00DB1561" w:rsidP="00571089">
      <w:pPr>
        <w:pStyle w:val="Paragraphe"/>
        <w:rPr>
          <w:lang w:val="en-CA"/>
        </w:rPr>
      </w:pPr>
      <w:r w:rsidRPr="009819CA">
        <w:rPr>
          <w:lang w:val="en-CA"/>
        </w:rPr>
        <w:t xml:space="preserve">Unlike the judge, the Court does not consider the absence of </w:t>
      </w:r>
      <w:r w:rsidR="005905AF" w:rsidRPr="009819CA">
        <w:rPr>
          <w:lang w:val="en-CA"/>
        </w:rPr>
        <w:t>prior convictions for violent offences</w:t>
      </w:r>
      <w:r w:rsidRPr="009819CA">
        <w:rPr>
          <w:lang w:val="en-CA"/>
        </w:rPr>
        <w:t xml:space="preserve"> and Mr. Houle’s age </w:t>
      </w:r>
      <w:r w:rsidR="00D1537D" w:rsidRPr="009819CA">
        <w:rPr>
          <w:lang w:val="en-CA"/>
        </w:rPr>
        <w:t>to be</w:t>
      </w:r>
      <w:r w:rsidR="00D1537D" w:rsidRPr="009819CA">
        <w:rPr>
          <w:lang w:val="en-CA"/>
        </w:rPr>
        <w:t xml:space="preserve"> </w:t>
      </w:r>
      <w:r w:rsidRPr="009819CA">
        <w:rPr>
          <w:lang w:val="en-CA"/>
        </w:rPr>
        <w:t xml:space="preserve">mitigating </w:t>
      </w:r>
      <w:r w:rsidR="005905AF" w:rsidRPr="009819CA">
        <w:rPr>
          <w:lang w:val="en-CA"/>
        </w:rPr>
        <w:t>factors</w:t>
      </w:r>
      <w:r w:rsidRPr="009819CA">
        <w:rPr>
          <w:lang w:val="en-CA"/>
        </w:rPr>
        <w:t xml:space="preserve">. </w:t>
      </w:r>
      <w:r w:rsidR="005905AF" w:rsidRPr="009819CA">
        <w:rPr>
          <w:lang w:val="en-CA"/>
        </w:rPr>
        <w:t xml:space="preserve">It should </w:t>
      </w:r>
      <w:proofErr w:type="gramStart"/>
      <w:r w:rsidR="005905AF" w:rsidRPr="009819CA">
        <w:rPr>
          <w:lang w:val="en-CA"/>
        </w:rPr>
        <w:t>be recalled</w:t>
      </w:r>
      <w:proofErr w:type="gramEnd"/>
      <w:r w:rsidR="005905AF" w:rsidRPr="009819CA">
        <w:rPr>
          <w:lang w:val="en-CA"/>
        </w:rPr>
        <w:t xml:space="preserve"> </w:t>
      </w:r>
      <w:r w:rsidRPr="009819CA">
        <w:rPr>
          <w:lang w:val="en-CA"/>
        </w:rPr>
        <w:t xml:space="preserve">that he was 27 </w:t>
      </w:r>
      <w:r w:rsidR="005905AF" w:rsidRPr="009819CA">
        <w:rPr>
          <w:lang w:val="en-CA"/>
        </w:rPr>
        <w:t xml:space="preserve">years old </w:t>
      </w:r>
      <w:r w:rsidRPr="009819CA">
        <w:rPr>
          <w:lang w:val="en-CA"/>
        </w:rPr>
        <w:t xml:space="preserve">when he committed the offences, had a prior conviction for </w:t>
      </w:r>
      <w:r w:rsidR="005905AF" w:rsidRPr="009819CA">
        <w:rPr>
          <w:lang w:val="en-CA"/>
        </w:rPr>
        <w:t xml:space="preserve">impaired </w:t>
      </w:r>
      <w:r w:rsidRPr="009819CA">
        <w:rPr>
          <w:lang w:val="en-CA"/>
        </w:rPr>
        <w:t>driving</w:t>
      </w:r>
      <w:r w:rsidR="005905AF" w:rsidRPr="009819CA">
        <w:rPr>
          <w:lang w:val="en-CA"/>
        </w:rPr>
        <w:t>,</w:t>
      </w:r>
      <w:r w:rsidRPr="009819CA">
        <w:rPr>
          <w:lang w:val="en-CA"/>
        </w:rPr>
        <w:t xml:space="preserve"> and </w:t>
      </w:r>
      <w:r w:rsidR="00D1537D" w:rsidRPr="009819CA">
        <w:rPr>
          <w:lang w:val="en-CA"/>
        </w:rPr>
        <w:t xml:space="preserve">had </w:t>
      </w:r>
      <w:r w:rsidR="005905AF" w:rsidRPr="009819CA">
        <w:rPr>
          <w:lang w:val="en-CA"/>
        </w:rPr>
        <w:t xml:space="preserve">previously </w:t>
      </w:r>
      <w:r w:rsidR="00D1537D" w:rsidRPr="009819CA">
        <w:rPr>
          <w:lang w:val="en-CA"/>
        </w:rPr>
        <w:t xml:space="preserve">committed </w:t>
      </w:r>
      <w:r w:rsidRPr="009819CA">
        <w:rPr>
          <w:lang w:val="en-CA"/>
        </w:rPr>
        <w:t>sexual touch</w:t>
      </w:r>
      <w:r w:rsidR="00D1537D" w:rsidRPr="009819CA">
        <w:rPr>
          <w:lang w:val="en-CA"/>
        </w:rPr>
        <w:t>ing against</w:t>
      </w:r>
      <w:r w:rsidRPr="009819CA">
        <w:rPr>
          <w:lang w:val="en-CA"/>
        </w:rPr>
        <w:t xml:space="preserve"> a young woman who was sleep</w:t>
      </w:r>
      <w:r w:rsidR="005905AF" w:rsidRPr="009819CA">
        <w:rPr>
          <w:lang w:val="en-CA"/>
        </w:rPr>
        <w:t>ing</w:t>
      </w:r>
      <w:r w:rsidRPr="009819CA">
        <w:rPr>
          <w:lang w:val="en-CA"/>
        </w:rPr>
        <w:t xml:space="preserve">. What he did to </w:t>
      </w:r>
      <w:r w:rsidR="0013483A" w:rsidRPr="009819CA">
        <w:rPr>
          <w:lang w:val="en-CA"/>
        </w:rPr>
        <w:t>L.L.B.</w:t>
      </w:r>
      <w:r w:rsidR="0084401E" w:rsidRPr="009819CA">
        <w:rPr>
          <w:lang w:val="en-CA"/>
        </w:rPr>
        <w:t xml:space="preserve"> </w:t>
      </w:r>
      <w:r w:rsidRPr="009819CA">
        <w:rPr>
          <w:lang w:val="en-CA"/>
        </w:rPr>
        <w:t xml:space="preserve">cannot </w:t>
      </w:r>
      <w:proofErr w:type="gramStart"/>
      <w:r w:rsidRPr="009819CA">
        <w:rPr>
          <w:lang w:val="en-CA"/>
        </w:rPr>
        <w:t xml:space="preserve">be </w:t>
      </w:r>
      <w:r w:rsidR="00D1537D" w:rsidRPr="009819CA">
        <w:rPr>
          <w:lang w:val="en-CA"/>
        </w:rPr>
        <w:t>considered</w:t>
      </w:r>
      <w:proofErr w:type="gramEnd"/>
      <w:r w:rsidR="00D1537D" w:rsidRPr="009819CA">
        <w:rPr>
          <w:lang w:val="en-CA"/>
        </w:rPr>
        <w:t xml:space="preserve"> </w:t>
      </w:r>
      <w:r w:rsidR="005905AF" w:rsidRPr="009819CA">
        <w:rPr>
          <w:lang w:val="en-CA"/>
        </w:rPr>
        <w:t xml:space="preserve">a </w:t>
      </w:r>
      <w:r w:rsidRPr="009819CA">
        <w:rPr>
          <w:lang w:val="en-CA"/>
        </w:rPr>
        <w:t>youthful indiscretion or a</w:t>
      </w:r>
      <w:r w:rsidR="005905AF" w:rsidRPr="009819CA">
        <w:rPr>
          <w:lang w:val="en-CA"/>
        </w:rPr>
        <w:t>n</w:t>
      </w:r>
      <w:r w:rsidRPr="009819CA">
        <w:rPr>
          <w:lang w:val="en-CA"/>
        </w:rPr>
        <w:t xml:space="preserve"> </w:t>
      </w:r>
      <w:r w:rsidR="005905AF" w:rsidRPr="009819CA">
        <w:rPr>
          <w:lang w:val="en-CA"/>
        </w:rPr>
        <w:t>accident</w:t>
      </w:r>
      <w:r w:rsidRPr="009819CA">
        <w:rPr>
          <w:lang w:val="en-CA"/>
        </w:rPr>
        <w:t>.</w:t>
      </w:r>
    </w:p>
    <w:p w14:paraId="2DAB21BB" w14:textId="3ED7CFC4" w:rsidR="00A5741E" w:rsidRPr="009819CA" w:rsidRDefault="00A92B54" w:rsidP="00B20892">
      <w:pPr>
        <w:pStyle w:val="Paragraphe"/>
        <w:rPr>
          <w:lang w:val="en-CA"/>
        </w:rPr>
      </w:pPr>
      <w:r w:rsidRPr="009819CA">
        <w:rPr>
          <w:lang w:val="en-CA"/>
        </w:rPr>
        <w:t xml:space="preserve">Balancing </w:t>
      </w:r>
      <w:proofErr w:type="gramStart"/>
      <w:r w:rsidR="00DB1561" w:rsidRPr="009819CA">
        <w:rPr>
          <w:lang w:val="en-CA"/>
        </w:rPr>
        <w:t>all of</w:t>
      </w:r>
      <w:proofErr w:type="gramEnd"/>
      <w:r w:rsidR="00DB1561" w:rsidRPr="009819CA">
        <w:rPr>
          <w:lang w:val="en-CA"/>
        </w:rPr>
        <w:t xml:space="preserve"> t</w:t>
      </w:r>
      <w:r w:rsidR="00E95DCD" w:rsidRPr="009819CA">
        <w:rPr>
          <w:lang w:val="en-CA"/>
        </w:rPr>
        <w:t xml:space="preserve">he </w:t>
      </w:r>
      <w:r w:rsidRPr="009819CA">
        <w:rPr>
          <w:lang w:val="en-CA"/>
        </w:rPr>
        <w:t xml:space="preserve">factors weighs in favour of </w:t>
      </w:r>
      <w:r w:rsidR="00DB1561" w:rsidRPr="009819CA">
        <w:rPr>
          <w:lang w:val="en-CA"/>
        </w:rPr>
        <w:t>the objectives of denunc</w:t>
      </w:r>
      <w:r w:rsidR="00907130" w:rsidRPr="009819CA">
        <w:rPr>
          <w:lang w:val="en-CA"/>
        </w:rPr>
        <w:t>i</w:t>
      </w:r>
      <w:r w:rsidR="00DB1561" w:rsidRPr="009819CA">
        <w:rPr>
          <w:lang w:val="en-CA"/>
        </w:rPr>
        <w:t xml:space="preserve">ation and general deterrence. </w:t>
      </w:r>
      <w:r w:rsidR="00E95DCD" w:rsidRPr="009819CA">
        <w:rPr>
          <w:lang w:val="en-CA"/>
        </w:rPr>
        <w:t xml:space="preserve">Without neglecting Mr. Houle’s rehabilitation, the sentence to </w:t>
      </w:r>
      <w:proofErr w:type="gramStart"/>
      <w:r w:rsidR="00E95DCD" w:rsidRPr="009819CA">
        <w:rPr>
          <w:lang w:val="en-CA"/>
        </w:rPr>
        <w:t>be imposed</w:t>
      </w:r>
      <w:proofErr w:type="gramEnd"/>
      <w:r w:rsidR="00E95DCD" w:rsidRPr="009819CA">
        <w:rPr>
          <w:lang w:val="en-CA"/>
        </w:rPr>
        <w:t xml:space="preserve"> must denounc</w:t>
      </w:r>
      <w:r w:rsidRPr="009819CA">
        <w:rPr>
          <w:lang w:val="en-CA"/>
        </w:rPr>
        <w:t>e</w:t>
      </w:r>
      <w:r w:rsidR="00E95DCD" w:rsidRPr="009819CA">
        <w:rPr>
          <w:lang w:val="en-CA"/>
        </w:rPr>
        <w:t xml:space="preserve"> his unlawful conduct and the harm </w:t>
      </w:r>
      <w:r w:rsidR="001B72FF" w:rsidRPr="009819CA">
        <w:rPr>
          <w:lang w:val="en-CA"/>
        </w:rPr>
        <w:t xml:space="preserve">done </w:t>
      </w:r>
      <w:r w:rsidR="00E95DCD" w:rsidRPr="009819CA">
        <w:rPr>
          <w:lang w:val="en-CA"/>
        </w:rPr>
        <w:t xml:space="preserve">to the victim, in terms of </w:t>
      </w:r>
      <w:r w:rsidR="00D1537D" w:rsidRPr="009819CA">
        <w:rPr>
          <w:lang w:val="en-CA"/>
        </w:rPr>
        <w:t xml:space="preserve">not only </w:t>
      </w:r>
      <w:r w:rsidR="00E95DCD" w:rsidRPr="009819CA">
        <w:rPr>
          <w:lang w:val="en-CA"/>
        </w:rPr>
        <w:t xml:space="preserve">her </w:t>
      </w:r>
      <w:r w:rsidR="00534FBF" w:rsidRPr="009819CA">
        <w:rPr>
          <w:lang w:val="en-CA"/>
        </w:rPr>
        <w:t xml:space="preserve">bodily </w:t>
      </w:r>
      <w:r w:rsidR="00E95DCD" w:rsidRPr="009819CA">
        <w:rPr>
          <w:lang w:val="en-CA"/>
        </w:rPr>
        <w:t>and sexual integrity, but also her privacy and dignity.</w:t>
      </w:r>
    </w:p>
    <w:p w14:paraId="1939C6F9" w14:textId="54CA57F2" w:rsidR="00B75949" w:rsidRPr="009819CA" w:rsidRDefault="00E95DCD" w:rsidP="004D4CCF">
      <w:pPr>
        <w:pStyle w:val="Paragraphe"/>
        <w:rPr>
          <w:lang w:val="en-CA"/>
        </w:rPr>
      </w:pPr>
      <w:r w:rsidRPr="009819CA">
        <w:rPr>
          <w:lang w:val="en-CA"/>
        </w:rPr>
        <w:t xml:space="preserve">The type of sexual act committed by </w:t>
      </w:r>
      <w:r w:rsidR="0092686C" w:rsidRPr="009819CA">
        <w:rPr>
          <w:lang w:val="en-CA"/>
        </w:rPr>
        <w:t>Mr.</w:t>
      </w:r>
      <w:r w:rsidR="00D90D8D" w:rsidRPr="009819CA">
        <w:rPr>
          <w:lang w:val="en-CA"/>
        </w:rPr>
        <w:t> </w:t>
      </w:r>
      <w:r w:rsidR="00731364" w:rsidRPr="009819CA">
        <w:rPr>
          <w:lang w:val="en-CA"/>
        </w:rPr>
        <w:t>Houle</w:t>
      </w:r>
      <w:r w:rsidR="008B79D4" w:rsidRPr="009819CA">
        <w:rPr>
          <w:lang w:val="en-CA"/>
        </w:rPr>
        <w:t xml:space="preserve"> </w:t>
      </w:r>
      <w:r w:rsidRPr="009819CA">
        <w:rPr>
          <w:lang w:val="en-CA"/>
        </w:rPr>
        <w:t>is not trivial and increases the risk of harm to the victim</w:t>
      </w:r>
      <w:r w:rsidR="00D51234" w:rsidRPr="009819CA">
        <w:rPr>
          <w:lang w:val="en-CA"/>
        </w:rPr>
        <w:t xml:space="preserve">. </w:t>
      </w:r>
      <w:r w:rsidRPr="009819CA">
        <w:rPr>
          <w:lang w:val="en-CA"/>
        </w:rPr>
        <w:t xml:space="preserve">As the Supreme Court </w:t>
      </w:r>
      <w:r w:rsidR="00A92B54" w:rsidRPr="009819CA">
        <w:rPr>
          <w:lang w:val="en-CA"/>
        </w:rPr>
        <w:t xml:space="preserve">noted </w:t>
      </w:r>
      <w:r w:rsidRPr="009819CA">
        <w:rPr>
          <w:lang w:val="en-CA"/>
        </w:rPr>
        <w:t xml:space="preserve">in </w:t>
      </w:r>
      <w:r w:rsidRPr="009819CA">
        <w:rPr>
          <w:i/>
          <w:iCs/>
          <w:lang w:val="en-CA"/>
        </w:rPr>
        <w:t>R. v</w:t>
      </w:r>
      <w:r w:rsidR="00731364" w:rsidRPr="009819CA">
        <w:rPr>
          <w:i/>
          <w:iCs/>
          <w:lang w:val="en-CA"/>
        </w:rPr>
        <w:t>. Friesen</w:t>
      </w:r>
      <w:r w:rsidR="00731364" w:rsidRPr="009819CA">
        <w:rPr>
          <w:lang w:val="en-CA"/>
        </w:rPr>
        <w:t xml:space="preserve">, </w:t>
      </w:r>
      <w:r w:rsidR="00222512" w:rsidRPr="009819CA">
        <w:rPr>
          <w:lang w:val="en-CA"/>
        </w:rPr>
        <w:t>“</w:t>
      </w:r>
      <w:r w:rsidR="00FF2836" w:rsidRPr="009819CA">
        <w:rPr>
          <w:rFonts w:cs="Arial"/>
          <w:lang w:val="en-CA"/>
        </w:rPr>
        <w:t>[</w:t>
      </w:r>
      <w:r w:rsidR="00FF2836" w:rsidRPr="009819CA">
        <w:rPr>
          <w:lang w:val="en-CA"/>
        </w:rPr>
        <w:t>p</w:t>
      </w:r>
      <w:r w:rsidR="00FF2836" w:rsidRPr="009819CA">
        <w:rPr>
          <w:rFonts w:cs="Arial"/>
          <w:lang w:val="en-CA"/>
        </w:rPr>
        <w:t>]</w:t>
      </w:r>
      <w:r w:rsidR="00222512" w:rsidRPr="009819CA">
        <w:rPr>
          <w:lang w:val="en-CA"/>
        </w:rPr>
        <w:t>enetration, whether penile, digital, or with an object, may also cause physical pain and physical injuries to the victim</w:t>
      </w:r>
      <w:proofErr w:type="gramStart"/>
      <w:r w:rsidR="00534FBF" w:rsidRPr="009819CA">
        <w:rPr>
          <w:lang w:val="en-CA"/>
        </w:rPr>
        <w:t>”</w:t>
      </w:r>
      <w:r w:rsidR="0057597E" w:rsidRPr="009819CA">
        <w:rPr>
          <w:lang w:val="en-CA"/>
        </w:rPr>
        <w:t>,</w:t>
      </w:r>
      <w:proofErr w:type="gramEnd"/>
      <w:r w:rsidR="00FA24A0" w:rsidRPr="009819CA">
        <w:rPr>
          <w:rStyle w:val="Appelnotedebasdep"/>
          <w:lang w:val="en-CA"/>
        </w:rPr>
        <w:footnoteReference w:id="36"/>
      </w:r>
      <w:r w:rsidR="00731364" w:rsidRPr="009819CA">
        <w:rPr>
          <w:lang w:val="en-CA"/>
        </w:rPr>
        <w:t xml:space="preserve"> </w:t>
      </w:r>
      <w:r w:rsidR="0057597E" w:rsidRPr="009819CA">
        <w:rPr>
          <w:lang w:val="en-CA"/>
        </w:rPr>
        <w:t xml:space="preserve">quite apart from </w:t>
      </w:r>
      <w:r w:rsidRPr="009819CA">
        <w:rPr>
          <w:lang w:val="en-CA"/>
        </w:rPr>
        <w:t>the increased risk of emotional or p</w:t>
      </w:r>
      <w:r w:rsidR="00907130" w:rsidRPr="009819CA">
        <w:rPr>
          <w:lang w:val="en-CA"/>
        </w:rPr>
        <w:t>s</w:t>
      </w:r>
      <w:r w:rsidRPr="009819CA">
        <w:rPr>
          <w:lang w:val="en-CA"/>
        </w:rPr>
        <w:t>ychological harm stemming from the abuse of vulnerability</w:t>
      </w:r>
      <w:r w:rsidR="00C07B37" w:rsidRPr="009819CA">
        <w:rPr>
          <w:lang w:val="en-CA"/>
        </w:rPr>
        <w:t xml:space="preserve">. </w:t>
      </w:r>
      <w:r w:rsidRPr="009819CA">
        <w:rPr>
          <w:lang w:val="en-CA"/>
        </w:rPr>
        <w:t>In</w:t>
      </w:r>
      <w:r w:rsidR="00626ABF" w:rsidRPr="009819CA">
        <w:rPr>
          <w:lang w:val="en-CA"/>
        </w:rPr>
        <w:t xml:space="preserve"> </w:t>
      </w:r>
      <w:r w:rsidRPr="009819CA">
        <w:rPr>
          <w:i/>
          <w:iCs/>
          <w:lang w:val="en-CA"/>
        </w:rPr>
        <w:t>R. v</w:t>
      </w:r>
      <w:r w:rsidR="00626ABF" w:rsidRPr="009819CA">
        <w:rPr>
          <w:i/>
          <w:iCs/>
          <w:lang w:val="en-CA"/>
        </w:rPr>
        <w:t xml:space="preserve">. </w:t>
      </w:r>
      <w:r w:rsidR="00F127E4" w:rsidRPr="009819CA">
        <w:rPr>
          <w:i/>
          <w:iCs/>
          <w:lang w:val="en-CA"/>
        </w:rPr>
        <w:t>McDonnell</w:t>
      </w:r>
      <w:r w:rsidRPr="00BF230D">
        <w:rPr>
          <w:lang w:val="en-CA"/>
        </w:rPr>
        <w:t>,</w:t>
      </w:r>
      <w:r w:rsidR="00A85C4A" w:rsidRPr="009819CA">
        <w:rPr>
          <w:rStyle w:val="Appelnotedebasdep"/>
          <w:lang w:val="en-CA"/>
        </w:rPr>
        <w:footnoteReference w:id="37"/>
      </w:r>
      <w:r w:rsidRPr="009819CA">
        <w:rPr>
          <w:lang w:val="en-CA"/>
        </w:rPr>
        <w:t xml:space="preserve"> </w:t>
      </w:r>
      <w:r w:rsidR="00626ABF" w:rsidRPr="009819CA">
        <w:rPr>
          <w:lang w:val="en-CA"/>
        </w:rPr>
        <w:t xml:space="preserve">McLachlin </w:t>
      </w:r>
      <w:r w:rsidR="00C935F4" w:rsidRPr="009819CA">
        <w:rPr>
          <w:lang w:val="en-CA"/>
        </w:rPr>
        <w:t xml:space="preserve">J. </w:t>
      </w:r>
      <w:r w:rsidR="00A92B54" w:rsidRPr="009819CA">
        <w:rPr>
          <w:lang w:val="en-CA"/>
        </w:rPr>
        <w:t xml:space="preserve">(later Chief Justice) </w:t>
      </w:r>
      <w:r w:rsidRPr="009819CA">
        <w:rPr>
          <w:lang w:val="en-CA"/>
        </w:rPr>
        <w:t xml:space="preserve">described the harm sexual assault can cause a sleeping victim </w:t>
      </w:r>
      <w:r w:rsidR="00A92B54" w:rsidRPr="009819CA">
        <w:rPr>
          <w:lang w:val="en-CA"/>
        </w:rPr>
        <w:t>as follows</w:t>
      </w:r>
      <w:r w:rsidRPr="009819CA">
        <w:rPr>
          <w:lang w:val="en-CA"/>
        </w:rPr>
        <w:t xml:space="preserve">: </w:t>
      </w:r>
    </w:p>
    <w:p w14:paraId="5892EF3C" w14:textId="6FC8EEED" w:rsidR="009D4C14" w:rsidRPr="009819CA" w:rsidRDefault="00240F1B" w:rsidP="00B75949">
      <w:pPr>
        <w:pStyle w:val="Citationenretrait"/>
        <w:rPr>
          <w:lang w:val="en-CA"/>
        </w:rPr>
      </w:pPr>
      <w:r w:rsidRPr="009819CA">
        <w:rPr>
          <w:lang w:val="en-CA"/>
        </w:rPr>
        <w:lastRenderedPageBreak/>
        <w:t xml:space="preserve">[113]  … The result of such an assault on a typical victim would </w:t>
      </w:r>
      <w:proofErr w:type="gramStart"/>
      <w:r w:rsidRPr="009819CA">
        <w:rPr>
          <w:lang w:val="en-CA"/>
        </w:rPr>
        <w:t>likely have</w:t>
      </w:r>
      <w:proofErr w:type="gramEnd"/>
      <w:r w:rsidRPr="009819CA">
        <w:rPr>
          <w:lang w:val="en-CA"/>
        </w:rPr>
        <w:t xml:space="preserve"> been shame, embarrassment, unresolved anger, a reduced ability to trust others and fear that even in innocent sleep, people could and would abuse her and her body</w:t>
      </w:r>
      <w:r w:rsidR="009D4C14" w:rsidRPr="009819CA">
        <w:rPr>
          <w:lang w:val="en-CA"/>
        </w:rPr>
        <w:t>.</w:t>
      </w:r>
      <w:r w:rsidR="00A85C4A" w:rsidRPr="009819CA">
        <w:rPr>
          <w:rStyle w:val="Appelnotedebasdep"/>
          <w:lang w:val="en-CA"/>
        </w:rPr>
        <w:footnoteReference w:id="38"/>
      </w:r>
    </w:p>
    <w:p w14:paraId="17F0B428" w14:textId="66FC0364" w:rsidR="00B75949" w:rsidRPr="009819CA" w:rsidRDefault="00240F1B" w:rsidP="00B75949">
      <w:pPr>
        <w:pStyle w:val="Paragraphe"/>
        <w:numPr>
          <w:ilvl w:val="0"/>
          <w:numId w:val="0"/>
        </w:numPr>
        <w:rPr>
          <w:lang w:val="en-CA"/>
        </w:rPr>
      </w:pPr>
      <w:r w:rsidRPr="009819CA">
        <w:rPr>
          <w:lang w:val="en-CA"/>
        </w:rPr>
        <w:t>Th</w:t>
      </w:r>
      <w:r w:rsidR="00A92B54" w:rsidRPr="009819CA">
        <w:rPr>
          <w:lang w:val="en-CA"/>
        </w:rPr>
        <w:t>is</w:t>
      </w:r>
      <w:r w:rsidRPr="009819CA">
        <w:rPr>
          <w:lang w:val="en-CA"/>
        </w:rPr>
        <w:t xml:space="preserve"> is precisely the harm </w:t>
      </w:r>
      <w:r w:rsidR="0092686C" w:rsidRPr="009819CA">
        <w:rPr>
          <w:lang w:val="en-CA"/>
        </w:rPr>
        <w:t>Mr.</w:t>
      </w:r>
      <w:r w:rsidR="0087676D" w:rsidRPr="009819CA">
        <w:rPr>
          <w:lang w:val="en-CA"/>
        </w:rPr>
        <w:t> </w:t>
      </w:r>
      <w:r w:rsidRPr="009819CA">
        <w:rPr>
          <w:lang w:val="en-CA"/>
        </w:rPr>
        <w:t xml:space="preserve">Houle caused L.L.B. In her statement filed under s. </w:t>
      </w:r>
      <w:r w:rsidR="00E416BB" w:rsidRPr="009819CA">
        <w:rPr>
          <w:lang w:val="en-CA"/>
        </w:rPr>
        <w:t xml:space="preserve">722 </w:t>
      </w:r>
      <w:r w:rsidR="00E416BB" w:rsidRPr="00BF230D">
        <w:rPr>
          <w:i/>
          <w:iCs/>
          <w:lang w:val="en-CA"/>
        </w:rPr>
        <w:t>C</w:t>
      </w:r>
      <w:r w:rsidRPr="00BF230D">
        <w:rPr>
          <w:i/>
          <w:iCs/>
          <w:lang w:val="en-CA"/>
        </w:rPr>
        <w:t>r</w:t>
      </w:r>
      <w:r w:rsidR="009819CA" w:rsidRPr="00BF230D">
        <w:rPr>
          <w:i/>
          <w:iCs/>
          <w:lang w:val="en-CA"/>
        </w:rPr>
        <w:t>. </w:t>
      </w:r>
      <w:r w:rsidRPr="00BF230D">
        <w:rPr>
          <w:i/>
          <w:iCs/>
          <w:lang w:val="en-CA"/>
        </w:rPr>
        <w:t>C</w:t>
      </w:r>
      <w:r w:rsidR="00E416BB" w:rsidRPr="00BF230D">
        <w:rPr>
          <w:i/>
          <w:iCs/>
          <w:lang w:val="en-CA"/>
        </w:rPr>
        <w:t>.</w:t>
      </w:r>
      <w:r w:rsidR="00E416BB" w:rsidRPr="009819CA">
        <w:rPr>
          <w:lang w:val="en-CA"/>
        </w:rPr>
        <w:t xml:space="preserve">, </w:t>
      </w:r>
      <w:r w:rsidRPr="009819CA">
        <w:rPr>
          <w:lang w:val="en-CA"/>
        </w:rPr>
        <w:t>she said that she [</w:t>
      </w:r>
      <w:r w:rsidRPr="009819CA">
        <w:rPr>
          <w:smallCaps/>
          <w:lang w:val="en-CA"/>
        </w:rPr>
        <w:t>translation</w:t>
      </w:r>
      <w:r w:rsidRPr="009819CA">
        <w:rPr>
          <w:lang w:val="en-CA"/>
        </w:rPr>
        <w:t xml:space="preserve">] “felt crushed, </w:t>
      </w:r>
      <w:r w:rsidR="009819CA">
        <w:rPr>
          <w:lang w:val="en-CA"/>
        </w:rPr>
        <w:t>overwhelmed</w:t>
      </w:r>
      <w:r w:rsidR="009819CA" w:rsidRPr="009819CA">
        <w:rPr>
          <w:lang w:val="en-CA"/>
        </w:rPr>
        <w:t xml:space="preserve"> </w:t>
      </w:r>
      <w:r w:rsidRPr="009819CA">
        <w:rPr>
          <w:lang w:val="en-CA"/>
        </w:rPr>
        <w:t xml:space="preserve">by the shame and the </w:t>
      </w:r>
      <w:r w:rsidR="000B5226" w:rsidRPr="009819CA">
        <w:rPr>
          <w:lang w:val="en-CA"/>
        </w:rPr>
        <w:t>frustration</w:t>
      </w:r>
      <w:r w:rsidRPr="009819CA">
        <w:rPr>
          <w:lang w:val="en-CA"/>
        </w:rPr>
        <w:t xml:space="preserve">” and </w:t>
      </w:r>
      <w:r w:rsidR="00A92B54" w:rsidRPr="009819CA">
        <w:rPr>
          <w:lang w:val="en-CA"/>
        </w:rPr>
        <w:t xml:space="preserve">had trouble </w:t>
      </w:r>
      <w:r w:rsidRPr="009819CA">
        <w:rPr>
          <w:lang w:val="en-CA"/>
        </w:rPr>
        <w:t>trusting others</w:t>
      </w:r>
      <w:r w:rsidR="009819CA">
        <w:rPr>
          <w:lang w:val="en-CA"/>
        </w:rPr>
        <w:t>,</w:t>
      </w:r>
      <w:r w:rsidRPr="009819CA">
        <w:rPr>
          <w:lang w:val="en-CA"/>
        </w:rPr>
        <w:t xml:space="preserve"> </w:t>
      </w:r>
      <w:r w:rsidR="009819CA">
        <w:rPr>
          <w:lang w:val="en-CA"/>
        </w:rPr>
        <w:t xml:space="preserve">an effect that </w:t>
      </w:r>
      <w:r w:rsidRPr="009819CA">
        <w:rPr>
          <w:lang w:val="en-CA"/>
        </w:rPr>
        <w:t>will remain with her [</w:t>
      </w:r>
      <w:r w:rsidRPr="009819CA">
        <w:rPr>
          <w:smallCaps/>
          <w:lang w:val="en-CA"/>
        </w:rPr>
        <w:t>translation</w:t>
      </w:r>
      <w:r w:rsidRPr="009819CA">
        <w:rPr>
          <w:lang w:val="en-CA"/>
        </w:rPr>
        <w:t>] “for a very long time.”</w:t>
      </w:r>
    </w:p>
    <w:p w14:paraId="083C1077" w14:textId="13D66266" w:rsidR="004E1065" w:rsidRPr="009819CA" w:rsidRDefault="00A92B54" w:rsidP="004006B1">
      <w:pPr>
        <w:pStyle w:val="Paragraphe"/>
        <w:rPr>
          <w:lang w:val="en-CA"/>
        </w:rPr>
      </w:pPr>
      <w:r w:rsidRPr="009819CA">
        <w:rPr>
          <w:lang w:val="en-CA"/>
        </w:rPr>
        <w:t>T</w:t>
      </w:r>
      <w:r w:rsidR="0055323A" w:rsidRPr="009819CA">
        <w:rPr>
          <w:lang w:val="en-CA"/>
        </w:rPr>
        <w:t xml:space="preserve">he </w:t>
      </w:r>
      <w:r w:rsidR="00980CF6" w:rsidRPr="009819CA">
        <w:rPr>
          <w:lang w:val="en-CA"/>
        </w:rPr>
        <w:t xml:space="preserve">object of the </w:t>
      </w:r>
      <w:r w:rsidR="0055323A" w:rsidRPr="009819CA">
        <w:rPr>
          <w:lang w:val="en-CA"/>
        </w:rPr>
        <w:t>offence of voyeurism is “to protect individuals’ privacy and sexual integrity, particularly from new threats posed by the abuse of evolving technologies”</w:t>
      </w:r>
      <w:r w:rsidR="009E7864">
        <w:rPr>
          <w:lang w:val="en-CA"/>
        </w:rPr>
        <w:t>.</w:t>
      </w:r>
      <w:r w:rsidR="004E1065" w:rsidRPr="009819CA">
        <w:rPr>
          <w:rStyle w:val="Appelnotedebasdep"/>
          <w:lang w:val="en-CA"/>
        </w:rPr>
        <w:footnoteReference w:id="39"/>
      </w:r>
      <w:r w:rsidR="007D4A37" w:rsidRPr="009819CA">
        <w:rPr>
          <w:lang w:val="en-CA"/>
        </w:rPr>
        <w:t xml:space="preserve"> The Supreme </w:t>
      </w:r>
      <w:r w:rsidR="004006B1" w:rsidRPr="009819CA">
        <w:rPr>
          <w:lang w:val="en-CA"/>
        </w:rPr>
        <w:t>Cour</w:t>
      </w:r>
      <w:r w:rsidR="007D4A37" w:rsidRPr="009819CA">
        <w:rPr>
          <w:lang w:val="en-CA"/>
        </w:rPr>
        <w:t>t has often recognized the fundamental importance of individual autonomy, privacy and dignity in a free and modern society.</w:t>
      </w:r>
      <w:r w:rsidR="004E1065" w:rsidRPr="009819CA">
        <w:rPr>
          <w:rStyle w:val="Appelnotedebasdep"/>
          <w:lang w:val="en-CA"/>
        </w:rPr>
        <w:footnoteReference w:id="40"/>
      </w:r>
      <w:r w:rsidR="004E1065" w:rsidRPr="009819CA">
        <w:rPr>
          <w:lang w:val="en-CA"/>
        </w:rPr>
        <w:t xml:space="preserve"> </w:t>
      </w:r>
      <w:r w:rsidR="007D4A37" w:rsidRPr="009819CA">
        <w:rPr>
          <w:lang w:val="en-CA"/>
        </w:rPr>
        <w:t xml:space="preserve">In </w:t>
      </w:r>
      <w:r w:rsidR="007D4A37" w:rsidRPr="009819CA">
        <w:rPr>
          <w:i/>
          <w:iCs/>
          <w:lang w:val="en-CA"/>
        </w:rPr>
        <w:t>Sherman Estate v</w:t>
      </w:r>
      <w:r w:rsidR="004E1065" w:rsidRPr="009819CA">
        <w:rPr>
          <w:i/>
          <w:iCs/>
          <w:lang w:val="en-CA"/>
        </w:rPr>
        <w:t>. Donovan</w:t>
      </w:r>
      <w:r w:rsidR="0032132D" w:rsidRPr="009819CA">
        <w:rPr>
          <w:i/>
          <w:iCs/>
          <w:lang w:val="en-CA"/>
        </w:rPr>
        <w:t>,</w:t>
      </w:r>
      <w:r w:rsidR="007D4A37" w:rsidRPr="009819CA">
        <w:rPr>
          <w:lang w:val="en-CA"/>
        </w:rPr>
        <w:t xml:space="preserve"> </w:t>
      </w:r>
      <w:r w:rsidR="004006B1" w:rsidRPr="009819CA">
        <w:rPr>
          <w:lang w:val="en-CA"/>
        </w:rPr>
        <w:t>Kasirer</w:t>
      </w:r>
      <w:r w:rsidR="00C935F4" w:rsidRPr="009819CA">
        <w:rPr>
          <w:lang w:val="en-CA"/>
        </w:rPr>
        <w:t xml:space="preserve"> J</w:t>
      </w:r>
      <w:r w:rsidR="00CA1BAC" w:rsidRPr="009819CA">
        <w:rPr>
          <w:lang w:val="en-CA"/>
        </w:rPr>
        <w:t>.</w:t>
      </w:r>
      <w:r w:rsidR="004006B1" w:rsidRPr="009819CA">
        <w:rPr>
          <w:lang w:val="en-CA"/>
        </w:rPr>
        <w:t xml:space="preserve">, </w:t>
      </w:r>
      <w:r w:rsidR="007D4A37" w:rsidRPr="009819CA">
        <w:rPr>
          <w:lang w:val="en-CA"/>
        </w:rPr>
        <w:t xml:space="preserve">on behalf of the Supreme Court, </w:t>
      </w:r>
      <w:r w:rsidR="00A94578" w:rsidRPr="009819CA">
        <w:rPr>
          <w:lang w:val="en-CA"/>
        </w:rPr>
        <w:t xml:space="preserve">remarked </w:t>
      </w:r>
      <w:r w:rsidR="007D4A37" w:rsidRPr="009819CA">
        <w:rPr>
          <w:lang w:val="en-CA"/>
        </w:rPr>
        <w:t xml:space="preserve">that </w:t>
      </w:r>
      <w:r w:rsidR="00513547" w:rsidRPr="009819CA">
        <w:rPr>
          <w:lang w:val="en-CA"/>
        </w:rPr>
        <w:t>“[w]here dignity is impaired, the impact on the individual is not theoretical but could engender real human consequences, including psychological distress.”</w:t>
      </w:r>
      <w:r w:rsidR="004E1065" w:rsidRPr="009819CA">
        <w:rPr>
          <w:rStyle w:val="Appelnotedebasdep"/>
          <w:lang w:val="en-CA"/>
        </w:rPr>
        <w:footnoteReference w:id="41"/>
      </w:r>
      <w:r w:rsidR="000D35F3" w:rsidRPr="009819CA">
        <w:rPr>
          <w:lang w:val="en-CA"/>
        </w:rPr>
        <w:t xml:space="preserve"> </w:t>
      </w:r>
      <w:r w:rsidR="00240F1B" w:rsidRPr="009819CA">
        <w:rPr>
          <w:lang w:val="en-CA"/>
        </w:rPr>
        <w:t>Th</w:t>
      </w:r>
      <w:r w:rsidR="00A94578" w:rsidRPr="009819CA">
        <w:rPr>
          <w:lang w:val="en-CA"/>
        </w:rPr>
        <w:t>is</w:t>
      </w:r>
      <w:r w:rsidR="00513547" w:rsidRPr="009819CA">
        <w:rPr>
          <w:lang w:val="en-CA"/>
        </w:rPr>
        <w:t xml:space="preserve"> case</w:t>
      </w:r>
      <w:r w:rsidR="00240F1B" w:rsidRPr="009819CA">
        <w:rPr>
          <w:lang w:val="en-CA"/>
        </w:rPr>
        <w:t xml:space="preserve"> </w:t>
      </w:r>
      <w:r w:rsidR="00513547" w:rsidRPr="009819CA">
        <w:rPr>
          <w:lang w:val="en-CA"/>
        </w:rPr>
        <w:t xml:space="preserve">is an unfortunate </w:t>
      </w:r>
      <w:r w:rsidR="00B435EE" w:rsidRPr="009819CA">
        <w:rPr>
          <w:lang w:val="en-CA"/>
        </w:rPr>
        <w:t>illustration</w:t>
      </w:r>
      <w:r w:rsidR="00A94578" w:rsidRPr="009819CA">
        <w:rPr>
          <w:lang w:val="en-CA"/>
        </w:rPr>
        <w:t xml:space="preserve"> of this</w:t>
      </w:r>
      <w:r w:rsidR="00A74EF9" w:rsidRPr="009819CA">
        <w:rPr>
          <w:lang w:val="en-CA"/>
        </w:rPr>
        <w:t>.</w:t>
      </w:r>
    </w:p>
    <w:p w14:paraId="035065F9" w14:textId="1F0B3628" w:rsidR="004E1065" w:rsidRPr="009819CA" w:rsidRDefault="00240F1B" w:rsidP="00B20892">
      <w:pPr>
        <w:pStyle w:val="Paragraphe"/>
        <w:rPr>
          <w:lang w:val="en-CA"/>
        </w:rPr>
      </w:pPr>
      <w:r w:rsidRPr="009819CA">
        <w:rPr>
          <w:lang w:val="en-CA"/>
        </w:rPr>
        <w:t xml:space="preserve">In short, the objective of denouncing unlawful conduct and the harm it causes to victims </w:t>
      </w:r>
      <w:proofErr w:type="gramStart"/>
      <w:r w:rsidRPr="009819CA">
        <w:rPr>
          <w:lang w:val="en-CA"/>
        </w:rPr>
        <w:t>is of significant importance</w:t>
      </w:r>
      <w:proofErr w:type="gramEnd"/>
      <w:r w:rsidRPr="009819CA">
        <w:rPr>
          <w:lang w:val="en-CA"/>
        </w:rPr>
        <w:t xml:space="preserve"> here, </w:t>
      </w:r>
      <w:r w:rsidR="00473998" w:rsidRPr="009819CA">
        <w:rPr>
          <w:lang w:val="en-CA"/>
        </w:rPr>
        <w:t xml:space="preserve">coupled </w:t>
      </w:r>
      <w:r w:rsidRPr="009819CA">
        <w:rPr>
          <w:lang w:val="en-CA"/>
        </w:rPr>
        <w:t xml:space="preserve">with the objective of general deterrence. </w:t>
      </w:r>
    </w:p>
    <w:p w14:paraId="3E64B289" w14:textId="79A1BEA4" w:rsidR="00E6082B" w:rsidRPr="009819CA" w:rsidRDefault="00240F1B" w:rsidP="00F045D6">
      <w:pPr>
        <w:pStyle w:val="Paragraphe"/>
        <w:rPr>
          <w:lang w:val="en-CA"/>
        </w:rPr>
      </w:pPr>
      <w:r w:rsidRPr="009819CA">
        <w:rPr>
          <w:lang w:val="en-CA"/>
        </w:rPr>
        <w:t>Th</w:t>
      </w:r>
      <w:r w:rsidR="00CE53D4" w:rsidRPr="009819CA">
        <w:rPr>
          <w:lang w:val="en-CA"/>
        </w:rPr>
        <w:t>is</w:t>
      </w:r>
      <w:r w:rsidRPr="009819CA">
        <w:rPr>
          <w:lang w:val="en-CA"/>
        </w:rPr>
        <w:t xml:space="preserve"> does not resolve the issue of sentenc</w:t>
      </w:r>
      <w:r w:rsidR="000767CE">
        <w:rPr>
          <w:lang w:val="en-CA"/>
        </w:rPr>
        <w:t>ing</w:t>
      </w:r>
      <w:r w:rsidRPr="009819CA">
        <w:rPr>
          <w:lang w:val="en-CA"/>
        </w:rPr>
        <w:t>, because [</w:t>
      </w:r>
      <w:r w:rsidRPr="009819CA">
        <w:rPr>
          <w:smallCaps/>
          <w:lang w:val="en-CA"/>
        </w:rPr>
        <w:t>translation</w:t>
      </w:r>
      <w:r w:rsidRPr="009819CA">
        <w:rPr>
          <w:lang w:val="en-CA"/>
        </w:rPr>
        <w:t xml:space="preserve">] “it is a mistake to believe that only </w:t>
      </w:r>
      <w:r w:rsidR="00CE53D4" w:rsidRPr="009819CA">
        <w:rPr>
          <w:lang w:val="en-CA"/>
        </w:rPr>
        <w:t>imprisonment</w:t>
      </w:r>
      <w:r w:rsidRPr="009819CA">
        <w:rPr>
          <w:lang w:val="en-CA"/>
        </w:rPr>
        <w:t xml:space="preserve"> can adequately satisfy the o</w:t>
      </w:r>
      <w:r w:rsidR="008A1967" w:rsidRPr="009819CA">
        <w:rPr>
          <w:lang w:val="en-CA"/>
        </w:rPr>
        <w:t>b</w:t>
      </w:r>
      <w:r w:rsidRPr="009819CA">
        <w:rPr>
          <w:lang w:val="en-CA"/>
        </w:rPr>
        <w:t xml:space="preserve">jectives of </w:t>
      </w:r>
      <w:r w:rsidR="008A1967" w:rsidRPr="009819CA">
        <w:rPr>
          <w:lang w:val="en-CA"/>
        </w:rPr>
        <w:t>denu</w:t>
      </w:r>
      <w:r w:rsidR="00775E0E" w:rsidRPr="009819CA">
        <w:rPr>
          <w:lang w:val="en-CA"/>
        </w:rPr>
        <w:t xml:space="preserve">nciation </w:t>
      </w:r>
      <w:r w:rsidR="008A1967" w:rsidRPr="009819CA">
        <w:rPr>
          <w:lang w:val="en-CA"/>
        </w:rPr>
        <w:t>and general deterrence</w:t>
      </w:r>
      <w:r w:rsidR="000767CE">
        <w:rPr>
          <w:lang w:val="en-CA"/>
        </w:rPr>
        <w:t>,</w:t>
      </w:r>
      <w:r w:rsidR="008A1967" w:rsidRPr="009819CA">
        <w:rPr>
          <w:lang w:val="en-CA"/>
        </w:rPr>
        <w:t xml:space="preserve"> </w:t>
      </w:r>
      <w:r w:rsidR="00CE53D4" w:rsidRPr="009819CA">
        <w:rPr>
          <w:lang w:val="en-CA"/>
        </w:rPr>
        <w:t xml:space="preserve">because seriousness is </w:t>
      </w:r>
      <w:r w:rsidR="008A1967" w:rsidRPr="009819CA">
        <w:rPr>
          <w:lang w:val="en-CA"/>
        </w:rPr>
        <w:t xml:space="preserve">not </w:t>
      </w:r>
      <w:r w:rsidR="009768E9">
        <w:rPr>
          <w:lang w:val="en-CA"/>
        </w:rPr>
        <w:t xml:space="preserve">an exclusive </w:t>
      </w:r>
      <w:r w:rsidR="00C903A8">
        <w:rPr>
          <w:lang w:val="en-CA"/>
        </w:rPr>
        <w:t xml:space="preserve">hallmark </w:t>
      </w:r>
      <w:r w:rsidR="008A1967" w:rsidRPr="009819CA">
        <w:rPr>
          <w:lang w:val="en-CA"/>
        </w:rPr>
        <w:t>of imprisonment.”</w:t>
      </w:r>
      <w:r w:rsidR="00BC33E0" w:rsidRPr="009819CA">
        <w:rPr>
          <w:rStyle w:val="Appelnotedebasdep"/>
          <w:lang w:val="en-CA"/>
        </w:rPr>
        <w:footnoteReference w:id="42"/>
      </w:r>
      <w:r w:rsidR="00B84D15" w:rsidRPr="009819CA">
        <w:rPr>
          <w:lang w:val="en-CA"/>
        </w:rPr>
        <w:t xml:space="preserve"> </w:t>
      </w:r>
      <w:r w:rsidR="008A1967" w:rsidRPr="009819CA">
        <w:rPr>
          <w:lang w:val="en-CA"/>
        </w:rPr>
        <w:t>The</w:t>
      </w:r>
      <w:r w:rsidR="00CF0A3B" w:rsidRPr="009819CA">
        <w:rPr>
          <w:lang w:val="en-CA"/>
        </w:rPr>
        <w:t xml:space="preserve"> </w:t>
      </w:r>
      <w:r w:rsidR="00A94578" w:rsidRPr="009819CA">
        <w:rPr>
          <w:lang w:val="en-CA"/>
        </w:rPr>
        <w:t xml:space="preserve">case law </w:t>
      </w:r>
      <w:r w:rsidR="008A1967" w:rsidRPr="009819CA">
        <w:rPr>
          <w:lang w:val="en-CA"/>
        </w:rPr>
        <w:t xml:space="preserve">also </w:t>
      </w:r>
      <w:r w:rsidR="00CE53D4" w:rsidRPr="009819CA">
        <w:rPr>
          <w:lang w:val="en-CA"/>
        </w:rPr>
        <w:t xml:space="preserve">establishes </w:t>
      </w:r>
      <w:r w:rsidR="008A1967" w:rsidRPr="009819CA">
        <w:rPr>
          <w:lang w:val="en-CA"/>
        </w:rPr>
        <w:t>that [</w:t>
      </w:r>
      <w:r w:rsidR="008A1967" w:rsidRPr="009819CA">
        <w:rPr>
          <w:smallCaps/>
          <w:lang w:val="en-CA"/>
        </w:rPr>
        <w:t>translation</w:t>
      </w:r>
      <w:r w:rsidR="008A1967" w:rsidRPr="009819CA">
        <w:rPr>
          <w:lang w:val="en-CA"/>
        </w:rPr>
        <w:t xml:space="preserve">] “the objective of general deterrence </w:t>
      </w:r>
      <w:r w:rsidR="009768E9">
        <w:rPr>
          <w:lang w:val="en-CA"/>
        </w:rPr>
        <w:t>when dealing with</w:t>
      </w:r>
      <w:r w:rsidR="008A1967" w:rsidRPr="009819CA">
        <w:rPr>
          <w:lang w:val="en-CA"/>
        </w:rPr>
        <w:t xml:space="preserve"> crimes that are by nature more serious is not a fundamental obstacle to a discharge.”</w:t>
      </w:r>
      <w:r w:rsidR="00CF0A3B" w:rsidRPr="009819CA">
        <w:rPr>
          <w:rStyle w:val="Appelnotedebasdep"/>
          <w:lang w:val="en-CA"/>
        </w:rPr>
        <w:footnoteReference w:id="43"/>
      </w:r>
    </w:p>
    <w:p w14:paraId="38220AA3" w14:textId="2ECBA229" w:rsidR="00756943" w:rsidRPr="009819CA" w:rsidRDefault="0063422F" w:rsidP="00756943">
      <w:pPr>
        <w:pStyle w:val="Paragraphe"/>
        <w:rPr>
          <w:lang w:val="en-CA"/>
        </w:rPr>
      </w:pPr>
      <w:r w:rsidRPr="009819CA">
        <w:rPr>
          <w:lang w:val="en-CA"/>
        </w:rPr>
        <w:t xml:space="preserve">In fact, </w:t>
      </w:r>
      <w:r w:rsidR="00CE53D4" w:rsidRPr="009819CA">
        <w:rPr>
          <w:lang w:val="en-CA"/>
        </w:rPr>
        <w:t xml:space="preserve">a </w:t>
      </w:r>
      <w:r w:rsidRPr="009819CA">
        <w:rPr>
          <w:lang w:val="en-CA"/>
        </w:rPr>
        <w:t xml:space="preserve">discharge does not exclude any </w:t>
      </w:r>
      <w:r w:rsidR="001C04A4" w:rsidRPr="009819CA">
        <w:rPr>
          <w:lang w:val="en-CA"/>
        </w:rPr>
        <w:t>crime (</w:t>
      </w:r>
      <w:r w:rsidR="00473998" w:rsidRPr="009819CA">
        <w:rPr>
          <w:lang w:val="en-CA"/>
        </w:rPr>
        <w:t xml:space="preserve">except </w:t>
      </w:r>
      <w:r w:rsidRPr="009819CA">
        <w:rPr>
          <w:lang w:val="en-CA"/>
        </w:rPr>
        <w:t>those that carry minimum sentences or 14</w:t>
      </w:r>
      <w:r w:rsidR="009768E9">
        <w:rPr>
          <w:lang w:val="en-CA"/>
        </w:rPr>
        <w:t xml:space="preserve"> </w:t>
      </w:r>
      <w:r w:rsidRPr="009819CA">
        <w:rPr>
          <w:lang w:val="en-CA"/>
        </w:rPr>
        <w:t>year</w:t>
      </w:r>
      <w:r w:rsidR="00CE53D4" w:rsidRPr="009819CA">
        <w:rPr>
          <w:lang w:val="en-CA"/>
        </w:rPr>
        <w:t>s’</w:t>
      </w:r>
      <w:r w:rsidRPr="009819CA">
        <w:rPr>
          <w:lang w:val="en-CA"/>
        </w:rPr>
        <w:t xml:space="preserve"> </w:t>
      </w:r>
      <w:r w:rsidR="00CE53D4" w:rsidRPr="009819CA">
        <w:rPr>
          <w:lang w:val="en-CA"/>
        </w:rPr>
        <w:t>im</w:t>
      </w:r>
      <w:r w:rsidRPr="009819CA">
        <w:rPr>
          <w:lang w:val="en-CA"/>
        </w:rPr>
        <w:t>prison</w:t>
      </w:r>
      <w:r w:rsidR="00CE53D4" w:rsidRPr="009819CA">
        <w:rPr>
          <w:lang w:val="en-CA"/>
        </w:rPr>
        <w:t>ment</w:t>
      </w:r>
      <w:r w:rsidRPr="009819CA">
        <w:rPr>
          <w:lang w:val="en-CA"/>
        </w:rPr>
        <w:t xml:space="preserve">), and </w:t>
      </w:r>
      <w:r w:rsidR="009768E9">
        <w:rPr>
          <w:lang w:val="en-CA"/>
        </w:rPr>
        <w:t xml:space="preserve">it </w:t>
      </w:r>
      <w:r w:rsidRPr="009819CA">
        <w:rPr>
          <w:lang w:val="en-CA"/>
        </w:rPr>
        <w:t>is not an exceptional measure.</w:t>
      </w:r>
      <w:r w:rsidR="001C04A4" w:rsidRPr="009819CA">
        <w:rPr>
          <w:rStyle w:val="Appelnotedebasdep"/>
          <w:lang w:val="en-CA"/>
        </w:rPr>
        <w:footnoteReference w:id="44"/>
      </w:r>
      <w:r w:rsidR="001C04A4" w:rsidRPr="009819CA">
        <w:rPr>
          <w:lang w:val="en-CA"/>
        </w:rPr>
        <w:t xml:space="preserve"> </w:t>
      </w:r>
      <w:r w:rsidRPr="009819CA">
        <w:rPr>
          <w:lang w:val="en-CA"/>
        </w:rPr>
        <w:t xml:space="preserve">It can be ordered </w:t>
      </w:r>
      <w:r w:rsidR="00A94578" w:rsidRPr="009819CA">
        <w:rPr>
          <w:lang w:val="en-CA"/>
        </w:rPr>
        <w:t>i</w:t>
      </w:r>
      <w:r w:rsidRPr="009819CA">
        <w:rPr>
          <w:lang w:val="en-CA"/>
        </w:rPr>
        <w:t xml:space="preserve">f the judge considers  “that it is in the best interests </w:t>
      </w:r>
      <w:r w:rsidR="00CE53D4" w:rsidRPr="009819CA">
        <w:rPr>
          <w:lang w:val="en-CA"/>
        </w:rPr>
        <w:t xml:space="preserve">of the accused </w:t>
      </w:r>
      <w:r w:rsidRPr="009819CA">
        <w:rPr>
          <w:lang w:val="en-CA"/>
        </w:rPr>
        <w:t>and not contrary to the public interest”</w:t>
      </w:r>
      <w:r w:rsidR="009768E9">
        <w:rPr>
          <w:lang w:val="en-CA"/>
        </w:rPr>
        <w:t>.</w:t>
      </w:r>
      <w:r w:rsidR="00276431" w:rsidRPr="009819CA">
        <w:rPr>
          <w:rStyle w:val="Appelnotedebasdep"/>
          <w:lang w:val="en-CA"/>
        </w:rPr>
        <w:footnoteReference w:id="45"/>
      </w:r>
    </w:p>
    <w:p w14:paraId="0CFEEA08" w14:textId="5C98AB2E" w:rsidR="001A16EB" w:rsidRPr="009819CA" w:rsidRDefault="0063422F" w:rsidP="00B81652">
      <w:pPr>
        <w:pStyle w:val="Paragraphe"/>
        <w:rPr>
          <w:lang w:val="en-CA"/>
        </w:rPr>
      </w:pPr>
      <w:r w:rsidRPr="009819CA">
        <w:rPr>
          <w:lang w:val="en-CA"/>
        </w:rPr>
        <w:t>In th</w:t>
      </w:r>
      <w:r w:rsidR="00A94578" w:rsidRPr="009819CA">
        <w:rPr>
          <w:lang w:val="en-CA"/>
        </w:rPr>
        <w:t>is</w:t>
      </w:r>
      <w:r w:rsidRPr="009819CA">
        <w:rPr>
          <w:lang w:val="en-CA"/>
        </w:rPr>
        <w:t xml:space="preserve"> case, assum</w:t>
      </w:r>
      <w:r w:rsidR="00B50A6D" w:rsidRPr="009819CA">
        <w:rPr>
          <w:lang w:val="en-CA"/>
        </w:rPr>
        <w:t>ing</w:t>
      </w:r>
      <w:r w:rsidRPr="009819CA">
        <w:rPr>
          <w:lang w:val="en-CA"/>
        </w:rPr>
        <w:t xml:space="preserve"> that the criterion of the best interest</w:t>
      </w:r>
      <w:r w:rsidR="00B50A6D" w:rsidRPr="009819CA">
        <w:rPr>
          <w:lang w:val="en-CA"/>
        </w:rPr>
        <w:t>s</w:t>
      </w:r>
      <w:r w:rsidRPr="009819CA">
        <w:rPr>
          <w:lang w:val="en-CA"/>
        </w:rPr>
        <w:t xml:space="preserve"> </w:t>
      </w:r>
      <w:r w:rsidR="00B50A6D" w:rsidRPr="009819CA">
        <w:rPr>
          <w:lang w:val="en-CA"/>
        </w:rPr>
        <w:t xml:space="preserve">of the accused </w:t>
      </w:r>
      <w:proofErr w:type="gramStart"/>
      <w:r w:rsidR="00B50A6D" w:rsidRPr="009819CA">
        <w:rPr>
          <w:lang w:val="en-CA"/>
        </w:rPr>
        <w:t>is</w:t>
      </w:r>
      <w:r w:rsidRPr="009819CA">
        <w:rPr>
          <w:lang w:val="en-CA"/>
        </w:rPr>
        <w:t xml:space="preserve"> met</w:t>
      </w:r>
      <w:proofErr w:type="gramEnd"/>
      <w:r w:rsidRPr="009819CA">
        <w:rPr>
          <w:lang w:val="en-CA"/>
        </w:rPr>
        <w:t xml:space="preserve"> – which </w:t>
      </w:r>
      <w:r w:rsidR="00A94578" w:rsidRPr="009819CA">
        <w:rPr>
          <w:lang w:val="en-CA"/>
        </w:rPr>
        <w:t>need</w:t>
      </w:r>
      <w:r w:rsidRPr="009819CA">
        <w:rPr>
          <w:lang w:val="en-CA"/>
        </w:rPr>
        <w:t xml:space="preserve"> not </w:t>
      </w:r>
      <w:r w:rsidR="00B50A6D" w:rsidRPr="009819CA">
        <w:rPr>
          <w:lang w:val="en-CA"/>
        </w:rPr>
        <w:t xml:space="preserve">be </w:t>
      </w:r>
      <w:r w:rsidRPr="009819CA">
        <w:rPr>
          <w:lang w:val="en-CA"/>
        </w:rPr>
        <w:t>decide</w:t>
      </w:r>
      <w:r w:rsidR="00B50A6D" w:rsidRPr="009819CA">
        <w:rPr>
          <w:lang w:val="en-CA"/>
        </w:rPr>
        <w:t>d</w:t>
      </w:r>
      <w:r w:rsidRPr="009819CA">
        <w:rPr>
          <w:lang w:val="en-CA"/>
        </w:rPr>
        <w:t xml:space="preserve"> – </w:t>
      </w:r>
      <w:r w:rsidR="00B50A6D" w:rsidRPr="009819CA">
        <w:rPr>
          <w:lang w:val="en-CA"/>
        </w:rPr>
        <w:t>that</w:t>
      </w:r>
      <w:r w:rsidRPr="009819CA">
        <w:rPr>
          <w:lang w:val="en-CA"/>
        </w:rPr>
        <w:t xml:space="preserve"> of the public interest </w:t>
      </w:r>
      <w:r w:rsidR="00B50A6D" w:rsidRPr="009819CA">
        <w:rPr>
          <w:lang w:val="en-CA"/>
        </w:rPr>
        <w:t>i</w:t>
      </w:r>
      <w:r w:rsidRPr="009819CA">
        <w:rPr>
          <w:lang w:val="en-CA"/>
        </w:rPr>
        <w:t xml:space="preserve">s not. </w:t>
      </w:r>
      <w:r w:rsidR="004E69FA" w:rsidRPr="009819CA">
        <w:rPr>
          <w:lang w:val="en-CA"/>
        </w:rPr>
        <w:t xml:space="preserve">As </w:t>
      </w:r>
      <w:r w:rsidR="00B50A6D" w:rsidRPr="009819CA">
        <w:rPr>
          <w:lang w:val="en-CA"/>
        </w:rPr>
        <w:t xml:space="preserve">authors </w:t>
      </w:r>
      <w:r w:rsidR="004E69FA" w:rsidRPr="009819CA">
        <w:rPr>
          <w:lang w:val="en-CA"/>
        </w:rPr>
        <w:t>Parent and</w:t>
      </w:r>
      <w:r w:rsidR="00F72A64" w:rsidRPr="009819CA">
        <w:rPr>
          <w:lang w:val="en-CA"/>
        </w:rPr>
        <w:t xml:space="preserve"> </w:t>
      </w:r>
      <w:r w:rsidR="00F72A64" w:rsidRPr="009819CA">
        <w:rPr>
          <w:lang w:val="en-CA"/>
        </w:rPr>
        <w:lastRenderedPageBreak/>
        <w:t>Desrosiers</w:t>
      </w:r>
      <w:r w:rsidR="004E69FA" w:rsidRPr="009819CA">
        <w:rPr>
          <w:lang w:val="en-CA"/>
        </w:rPr>
        <w:t xml:space="preserve"> </w:t>
      </w:r>
      <w:r w:rsidR="002A629C">
        <w:rPr>
          <w:lang w:val="en-CA"/>
        </w:rPr>
        <w:t xml:space="preserve">have </w:t>
      </w:r>
      <w:r w:rsidR="00B50A6D" w:rsidRPr="009819CA">
        <w:rPr>
          <w:lang w:val="en-CA"/>
        </w:rPr>
        <w:t>observed</w:t>
      </w:r>
      <w:r w:rsidR="002A629C">
        <w:rPr>
          <w:lang w:val="en-CA"/>
        </w:rPr>
        <w:t>,</w:t>
      </w:r>
      <w:r w:rsidR="004E69FA" w:rsidRPr="009819CA">
        <w:rPr>
          <w:lang w:val="en-CA"/>
        </w:rPr>
        <w:t xml:space="preserve"> [</w:t>
      </w:r>
      <w:r w:rsidR="004E69FA" w:rsidRPr="009819CA">
        <w:rPr>
          <w:smallCaps/>
          <w:lang w:val="en-CA"/>
        </w:rPr>
        <w:t>translation</w:t>
      </w:r>
      <w:r w:rsidR="004E69FA" w:rsidRPr="009819CA">
        <w:rPr>
          <w:lang w:val="en-CA"/>
        </w:rPr>
        <w:t xml:space="preserve">] “the more </w:t>
      </w:r>
      <w:r w:rsidR="00A94578" w:rsidRPr="009819CA">
        <w:rPr>
          <w:lang w:val="en-CA"/>
        </w:rPr>
        <w:t xml:space="preserve">serious </w:t>
      </w:r>
      <w:r w:rsidR="004E69FA" w:rsidRPr="009819CA">
        <w:rPr>
          <w:lang w:val="en-CA"/>
        </w:rPr>
        <w:t xml:space="preserve">the offence, the </w:t>
      </w:r>
      <w:r w:rsidR="00B50A6D" w:rsidRPr="009819CA">
        <w:rPr>
          <w:lang w:val="en-CA"/>
        </w:rPr>
        <w:t xml:space="preserve">lesser </w:t>
      </w:r>
      <w:r w:rsidR="004E69FA" w:rsidRPr="009819CA">
        <w:rPr>
          <w:lang w:val="en-CA"/>
        </w:rPr>
        <w:t xml:space="preserve">the </w:t>
      </w:r>
      <w:r w:rsidR="00483865" w:rsidRPr="009819CA">
        <w:rPr>
          <w:lang w:val="en-CA"/>
        </w:rPr>
        <w:t xml:space="preserve">likelihood </w:t>
      </w:r>
      <w:r w:rsidR="004E69FA" w:rsidRPr="009819CA">
        <w:rPr>
          <w:lang w:val="en-CA"/>
        </w:rPr>
        <w:t>a discharge will be</w:t>
      </w:r>
      <w:r w:rsidR="00B50A6D" w:rsidRPr="009819CA">
        <w:rPr>
          <w:lang w:val="en-CA"/>
        </w:rPr>
        <w:t xml:space="preserve"> granted</w:t>
      </w:r>
      <w:r w:rsidR="004E69FA" w:rsidRPr="009819CA">
        <w:rPr>
          <w:lang w:val="en-CA"/>
        </w:rPr>
        <w:t xml:space="preserve">, and the greater the need to demonstrate </w:t>
      </w:r>
      <w:r w:rsidR="00B50A6D" w:rsidRPr="009819CA">
        <w:rPr>
          <w:lang w:val="en-CA"/>
        </w:rPr>
        <w:t xml:space="preserve">factors </w:t>
      </w:r>
      <w:r w:rsidR="004E69FA" w:rsidRPr="009819CA">
        <w:rPr>
          <w:lang w:val="en-CA"/>
        </w:rPr>
        <w:t>favourable to the accused</w:t>
      </w:r>
      <w:proofErr w:type="gramStart"/>
      <w:r w:rsidR="004E69FA" w:rsidRPr="009819CA">
        <w:rPr>
          <w:lang w:val="en-CA"/>
        </w:rPr>
        <w:t>”</w:t>
      </w:r>
      <w:r w:rsidR="00BF230D">
        <w:rPr>
          <w:lang w:val="en-CA"/>
        </w:rPr>
        <w:t>.</w:t>
      </w:r>
      <w:proofErr w:type="gramEnd"/>
      <w:r w:rsidR="000A5420" w:rsidRPr="009819CA">
        <w:rPr>
          <w:rStyle w:val="Appelnotedebasdep"/>
          <w:lang w:val="en-CA"/>
        </w:rPr>
        <w:footnoteReference w:id="46"/>
      </w:r>
    </w:p>
    <w:p w14:paraId="2A64EE14" w14:textId="7851D3B1" w:rsidR="009D3C39" w:rsidRPr="009819CA" w:rsidRDefault="004B5843" w:rsidP="00B20892">
      <w:pPr>
        <w:pStyle w:val="Paragraphe"/>
        <w:rPr>
          <w:lang w:val="en-CA"/>
        </w:rPr>
      </w:pPr>
      <w:r w:rsidRPr="009819CA">
        <w:rPr>
          <w:lang w:val="en-CA"/>
        </w:rPr>
        <w:t xml:space="preserve">Consideration must also </w:t>
      </w:r>
      <w:proofErr w:type="gramStart"/>
      <w:r w:rsidRPr="009819CA">
        <w:rPr>
          <w:lang w:val="en-CA"/>
        </w:rPr>
        <w:t>be given</w:t>
      </w:r>
      <w:proofErr w:type="gramEnd"/>
      <w:r w:rsidRPr="009819CA">
        <w:rPr>
          <w:lang w:val="en-CA"/>
        </w:rPr>
        <w:t xml:space="preserve"> to the </w:t>
      </w:r>
      <w:r w:rsidR="000742C1" w:rsidRPr="009819CA">
        <w:rPr>
          <w:lang w:val="en-CA"/>
        </w:rPr>
        <w:t xml:space="preserve">difference </w:t>
      </w:r>
      <w:r w:rsidRPr="009819CA">
        <w:rPr>
          <w:lang w:val="en-CA"/>
        </w:rPr>
        <w:t xml:space="preserve">between </w:t>
      </w:r>
      <w:r w:rsidR="00B50A6D" w:rsidRPr="009819CA">
        <w:rPr>
          <w:lang w:val="en-CA"/>
        </w:rPr>
        <w:t xml:space="preserve">a </w:t>
      </w:r>
      <w:r w:rsidRPr="009819CA">
        <w:rPr>
          <w:lang w:val="en-CA"/>
        </w:rPr>
        <w:t xml:space="preserve">discharge and sentences imposed in similar cases. In </w:t>
      </w:r>
      <w:r w:rsidR="000A5420" w:rsidRPr="009819CA">
        <w:rPr>
          <w:i/>
          <w:iCs/>
          <w:lang w:val="en-CA"/>
        </w:rPr>
        <w:t>R. c. Douab</w:t>
      </w:r>
      <w:r w:rsidR="00B278B3" w:rsidRPr="009819CA">
        <w:rPr>
          <w:i/>
          <w:iCs/>
          <w:lang w:val="en-CA"/>
        </w:rPr>
        <w:t>,</w:t>
      </w:r>
      <w:r w:rsidR="000A5420" w:rsidRPr="009819CA">
        <w:rPr>
          <w:lang w:val="en-CA"/>
        </w:rPr>
        <w:t xml:space="preserve"> Jean-François Gosselin </w:t>
      </w:r>
      <w:r w:rsidR="00C935F4" w:rsidRPr="009819CA">
        <w:rPr>
          <w:lang w:val="en-CA"/>
        </w:rPr>
        <w:t xml:space="preserve">J. </w:t>
      </w:r>
      <w:r w:rsidRPr="009819CA">
        <w:rPr>
          <w:lang w:val="en-CA"/>
        </w:rPr>
        <w:t>of the Court of</w:t>
      </w:r>
      <w:r w:rsidR="000A5420" w:rsidRPr="009819CA">
        <w:rPr>
          <w:lang w:val="en-CA"/>
        </w:rPr>
        <w:t xml:space="preserve"> Québec </w:t>
      </w:r>
      <w:r w:rsidRPr="009819CA">
        <w:rPr>
          <w:lang w:val="en-CA"/>
        </w:rPr>
        <w:t>correctly wrote that [</w:t>
      </w:r>
      <w:r w:rsidRPr="009819CA">
        <w:rPr>
          <w:smallCaps/>
          <w:lang w:val="en-CA"/>
        </w:rPr>
        <w:t>translation</w:t>
      </w:r>
      <w:r w:rsidRPr="009819CA">
        <w:rPr>
          <w:lang w:val="en-CA"/>
        </w:rPr>
        <w:t xml:space="preserve">] “the </w:t>
      </w:r>
      <w:r w:rsidR="00644722" w:rsidRPr="009819CA">
        <w:rPr>
          <w:lang w:val="en-CA"/>
        </w:rPr>
        <w:t xml:space="preserve">greater </w:t>
      </w:r>
      <w:r w:rsidRPr="009819CA">
        <w:rPr>
          <w:lang w:val="en-CA"/>
        </w:rPr>
        <w:t xml:space="preserve">the </w:t>
      </w:r>
      <w:r w:rsidR="00644722" w:rsidRPr="009819CA">
        <w:rPr>
          <w:lang w:val="en-CA"/>
        </w:rPr>
        <w:t>difference</w:t>
      </w:r>
      <w:r w:rsidRPr="009819CA">
        <w:rPr>
          <w:lang w:val="en-CA"/>
        </w:rPr>
        <w:t xml:space="preserve">, the less the public interest will be able to </w:t>
      </w:r>
      <w:r w:rsidR="00644722" w:rsidRPr="009819CA">
        <w:rPr>
          <w:lang w:val="en-CA"/>
        </w:rPr>
        <w:t xml:space="preserve">accommodate </w:t>
      </w:r>
      <w:r w:rsidRPr="009819CA">
        <w:rPr>
          <w:lang w:val="en-CA"/>
        </w:rPr>
        <w:t xml:space="preserve">a discharge </w:t>
      </w:r>
      <w:r w:rsidR="000A5420" w:rsidRPr="009819CA">
        <w:rPr>
          <w:lang w:val="en-CA"/>
        </w:rPr>
        <w:t xml:space="preserve">…. </w:t>
      </w:r>
      <w:r w:rsidRPr="009819CA">
        <w:rPr>
          <w:lang w:val="en-CA"/>
        </w:rPr>
        <w:t xml:space="preserve">In other words, the bar </w:t>
      </w:r>
      <w:r w:rsidR="00644722" w:rsidRPr="009819CA">
        <w:rPr>
          <w:lang w:val="en-CA"/>
        </w:rPr>
        <w:t xml:space="preserve">is </w:t>
      </w:r>
      <w:r w:rsidRPr="009819CA">
        <w:rPr>
          <w:lang w:val="en-CA"/>
        </w:rPr>
        <w:t xml:space="preserve">higher if the crime to </w:t>
      </w:r>
      <w:proofErr w:type="gramStart"/>
      <w:r w:rsidRPr="009819CA">
        <w:rPr>
          <w:lang w:val="en-CA"/>
        </w:rPr>
        <w:t>be punished</w:t>
      </w:r>
      <w:proofErr w:type="gramEnd"/>
      <w:r w:rsidRPr="009819CA">
        <w:rPr>
          <w:lang w:val="en-CA"/>
        </w:rPr>
        <w:t xml:space="preserve"> </w:t>
      </w:r>
      <w:r w:rsidR="00B50A6D" w:rsidRPr="009819CA">
        <w:rPr>
          <w:lang w:val="en-CA"/>
        </w:rPr>
        <w:t xml:space="preserve">warrants </w:t>
      </w:r>
      <w:r w:rsidRPr="009819CA">
        <w:rPr>
          <w:lang w:val="en-CA"/>
        </w:rPr>
        <w:t xml:space="preserve">a </w:t>
      </w:r>
      <w:r w:rsidR="00644722" w:rsidRPr="009819CA">
        <w:rPr>
          <w:lang w:val="en-CA"/>
        </w:rPr>
        <w:t>term of im</w:t>
      </w:r>
      <w:r w:rsidRPr="009819CA">
        <w:rPr>
          <w:lang w:val="en-CA"/>
        </w:rPr>
        <w:t>prison</w:t>
      </w:r>
      <w:r w:rsidR="00644722" w:rsidRPr="009819CA">
        <w:rPr>
          <w:lang w:val="en-CA"/>
        </w:rPr>
        <w:t>ment</w:t>
      </w:r>
      <w:r w:rsidRPr="009819CA">
        <w:rPr>
          <w:lang w:val="en-CA"/>
        </w:rPr>
        <w:t>, for example.</w:t>
      </w:r>
      <w:r w:rsidR="00B50A6D" w:rsidRPr="009819CA">
        <w:rPr>
          <w:lang w:val="en-CA"/>
        </w:rPr>
        <w:t>”</w:t>
      </w:r>
      <w:r w:rsidR="000A5420" w:rsidRPr="009819CA">
        <w:rPr>
          <w:rStyle w:val="Appelnotedebasdep"/>
          <w:lang w:val="en-CA"/>
        </w:rPr>
        <w:footnoteReference w:id="47"/>
      </w:r>
    </w:p>
    <w:p w14:paraId="7D0E3F71" w14:textId="11B75277" w:rsidR="00714354" w:rsidRPr="009819CA" w:rsidRDefault="004B5843" w:rsidP="00B20892">
      <w:pPr>
        <w:pStyle w:val="Paragraphe"/>
        <w:rPr>
          <w:lang w:val="en-CA"/>
        </w:rPr>
      </w:pPr>
      <w:r w:rsidRPr="009819CA">
        <w:rPr>
          <w:lang w:val="en-CA"/>
        </w:rPr>
        <w:t>That conside</w:t>
      </w:r>
      <w:r w:rsidR="003A7E31" w:rsidRPr="009819CA">
        <w:rPr>
          <w:lang w:val="en-CA"/>
        </w:rPr>
        <w:t>ration</w:t>
      </w:r>
      <w:r w:rsidRPr="009819CA">
        <w:rPr>
          <w:lang w:val="en-CA"/>
        </w:rPr>
        <w:t xml:space="preserve"> is in </w:t>
      </w:r>
      <w:r w:rsidR="00B50A6D" w:rsidRPr="009819CA">
        <w:rPr>
          <w:lang w:val="en-CA"/>
        </w:rPr>
        <w:t xml:space="preserve">keeping </w:t>
      </w:r>
      <w:r w:rsidRPr="009819CA">
        <w:rPr>
          <w:lang w:val="en-CA"/>
        </w:rPr>
        <w:t xml:space="preserve">with the principle of </w:t>
      </w:r>
      <w:r w:rsidR="001D6CD6" w:rsidRPr="009819CA">
        <w:rPr>
          <w:lang w:val="en-CA"/>
        </w:rPr>
        <w:t xml:space="preserve">parity of </w:t>
      </w:r>
      <w:r w:rsidRPr="009819CA">
        <w:rPr>
          <w:lang w:val="en-CA"/>
        </w:rPr>
        <w:t xml:space="preserve">sentences. </w:t>
      </w:r>
      <w:r w:rsidR="00C62951" w:rsidRPr="009819CA">
        <w:rPr>
          <w:lang w:val="en-CA"/>
        </w:rPr>
        <w:t xml:space="preserve">In </w:t>
      </w:r>
      <w:r w:rsidRPr="009819CA">
        <w:rPr>
          <w:lang w:val="en-CA"/>
        </w:rPr>
        <w:t>sexual assault</w:t>
      </w:r>
      <w:r w:rsidR="00C62951" w:rsidRPr="009819CA">
        <w:rPr>
          <w:lang w:val="en-CA"/>
        </w:rPr>
        <w:t xml:space="preserve"> cases</w:t>
      </w:r>
      <w:r w:rsidRPr="009819CA">
        <w:rPr>
          <w:lang w:val="en-CA"/>
        </w:rPr>
        <w:t xml:space="preserve">, the </w:t>
      </w:r>
      <w:r w:rsidR="00C62951" w:rsidRPr="009819CA">
        <w:rPr>
          <w:lang w:val="en-CA"/>
        </w:rPr>
        <w:t xml:space="preserve">range of </w:t>
      </w:r>
      <w:r w:rsidRPr="009819CA">
        <w:rPr>
          <w:lang w:val="en-CA"/>
        </w:rPr>
        <w:t xml:space="preserve">sentences </w:t>
      </w:r>
      <w:proofErr w:type="gramStart"/>
      <w:r w:rsidRPr="009819CA">
        <w:rPr>
          <w:lang w:val="en-CA"/>
        </w:rPr>
        <w:t>generally imposed</w:t>
      </w:r>
      <w:proofErr w:type="gramEnd"/>
      <w:r w:rsidRPr="009819CA">
        <w:rPr>
          <w:lang w:val="en-CA"/>
        </w:rPr>
        <w:t xml:space="preserve"> in similar circumstances </w:t>
      </w:r>
      <w:r w:rsidR="00C62951" w:rsidRPr="009819CA">
        <w:rPr>
          <w:lang w:val="en-CA"/>
        </w:rPr>
        <w:t>var</w:t>
      </w:r>
      <w:r w:rsidR="0032132D" w:rsidRPr="009819CA">
        <w:rPr>
          <w:lang w:val="en-CA"/>
        </w:rPr>
        <w:t>ies</w:t>
      </w:r>
      <w:r w:rsidR="00C62951" w:rsidRPr="009819CA">
        <w:rPr>
          <w:lang w:val="en-CA"/>
        </w:rPr>
        <w:t xml:space="preserve"> </w:t>
      </w:r>
      <w:r w:rsidRPr="009819CA">
        <w:rPr>
          <w:lang w:val="en-CA"/>
        </w:rPr>
        <w:t>from 12 to 20 months</w:t>
      </w:r>
      <w:r w:rsidR="00B50A6D" w:rsidRPr="009819CA">
        <w:rPr>
          <w:lang w:val="en-CA"/>
        </w:rPr>
        <w:t>’</w:t>
      </w:r>
      <w:r w:rsidRPr="009819CA">
        <w:rPr>
          <w:lang w:val="en-CA"/>
        </w:rPr>
        <w:t xml:space="preserve"> </w:t>
      </w:r>
      <w:r w:rsidR="00B50A6D" w:rsidRPr="009819CA">
        <w:rPr>
          <w:lang w:val="en-CA"/>
        </w:rPr>
        <w:t>im</w:t>
      </w:r>
      <w:r w:rsidRPr="009819CA">
        <w:rPr>
          <w:lang w:val="en-CA"/>
        </w:rPr>
        <w:t>prison</w:t>
      </w:r>
      <w:r w:rsidR="00B50A6D" w:rsidRPr="009819CA">
        <w:rPr>
          <w:lang w:val="en-CA"/>
        </w:rPr>
        <w:t>ment</w:t>
      </w:r>
      <w:r w:rsidRPr="009819CA">
        <w:rPr>
          <w:lang w:val="en-CA"/>
        </w:rPr>
        <w:t xml:space="preserve"> when </w:t>
      </w:r>
      <w:r w:rsidR="00B50A6D" w:rsidRPr="009819CA">
        <w:rPr>
          <w:lang w:val="en-CA"/>
        </w:rPr>
        <w:t>the offence is prosecuted by way of indictment</w:t>
      </w:r>
      <w:r w:rsidRPr="009819CA">
        <w:rPr>
          <w:lang w:val="en-CA"/>
        </w:rPr>
        <w:t>.</w:t>
      </w:r>
      <w:r w:rsidR="006B792C" w:rsidRPr="009819CA">
        <w:rPr>
          <w:rStyle w:val="Appelnotedebasdep"/>
          <w:lang w:val="en-CA"/>
        </w:rPr>
        <w:footnoteReference w:id="48"/>
      </w:r>
      <w:r w:rsidR="003A7E31" w:rsidRPr="009819CA">
        <w:rPr>
          <w:lang w:val="en-CA"/>
        </w:rPr>
        <w:t xml:space="preserve"> </w:t>
      </w:r>
      <w:r w:rsidR="00FE2C0A" w:rsidRPr="009819CA">
        <w:rPr>
          <w:lang w:val="en-CA"/>
        </w:rPr>
        <w:t>I</w:t>
      </w:r>
      <w:r w:rsidR="00C62951" w:rsidRPr="009819CA">
        <w:rPr>
          <w:lang w:val="en-CA"/>
        </w:rPr>
        <w:t>ncarceration</w:t>
      </w:r>
      <w:r w:rsidR="00FE2C0A" w:rsidRPr="009819CA">
        <w:rPr>
          <w:lang w:val="en-CA"/>
        </w:rPr>
        <w:t xml:space="preserve"> is the </w:t>
      </w:r>
      <w:r w:rsidR="00B50A6D" w:rsidRPr="009819CA">
        <w:rPr>
          <w:lang w:val="en-CA"/>
        </w:rPr>
        <w:t>preferred punishment</w:t>
      </w:r>
      <w:r w:rsidR="00FE2C0A" w:rsidRPr="009819CA">
        <w:rPr>
          <w:lang w:val="en-CA"/>
        </w:rPr>
        <w:t xml:space="preserve">, even </w:t>
      </w:r>
      <w:r w:rsidR="00B50A6D" w:rsidRPr="009819CA">
        <w:rPr>
          <w:lang w:val="en-CA"/>
        </w:rPr>
        <w:t xml:space="preserve">if </w:t>
      </w:r>
      <w:r w:rsidR="00FE2C0A" w:rsidRPr="009819CA">
        <w:rPr>
          <w:lang w:val="en-CA"/>
        </w:rPr>
        <w:t>there are exceptions to this general rule.</w:t>
      </w:r>
      <w:r w:rsidR="00714354" w:rsidRPr="009819CA">
        <w:rPr>
          <w:rStyle w:val="Appelnotedebasdep"/>
          <w:lang w:val="en-CA"/>
        </w:rPr>
        <w:footnoteReference w:id="49"/>
      </w:r>
    </w:p>
    <w:p w14:paraId="26A4CB83" w14:textId="366C2105" w:rsidR="00981AB0" w:rsidRPr="009819CA" w:rsidRDefault="00473998" w:rsidP="00B20892">
      <w:pPr>
        <w:pStyle w:val="Paragraphe"/>
        <w:rPr>
          <w:lang w:val="en-CA"/>
        </w:rPr>
      </w:pPr>
      <w:r w:rsidRPr="009819CA">
        <w:rPr>
          <w:lang w:val="en-CA"/>
        </w:rPr>
        <w:t xml:space="preserve">One of those exceptions </w:t>
      </w:r>
      <w:r w:rsidR="00C62951" w:rsidRPr="009819CA">
        <w:rPr>
          <w:lang w:val="en-CA"/>
        </w:rPr>
        <w:t xml:space="preserve">is </w:t>
      </w:r>
      <w:r w:rsidR="00176308" w:rsidRPr="009819CA">
        <w:rPr>
          <w:i/>
          <w:iCs/>
          <w:lang w:val="en-CA"/>
        </w:rPr>
        <w:t>R. c. Gravel</w:t>
      </w:r>
      <w:r w:rsidR="00C62951" w:rsidRPr="00BF230D">
        <w:rPr>
          <w:lang w:val="en-CA"/>
        </w:rPr>
        <w:t>,</w:t>
      </w:r>
      <w:r w:rsidR="001E1DF4" w:rsidRPr="009819CA">
        <w:rPr>
          <w:rStyle w:val="Appelnotedebasdep"/>
          <w:lang w:val="en-CA"/>
        </w:rPr>
        <w:footnoteReference w:id="50"/>
      </w:r>
      <w:r w:rsidR="00F54731" w:rsidRPr="009819CA">
        <w:rPr>
          <w:i/>
          <w:iCs/>
          <w:lang w:val="en-CA"/>
        </w:rPr>
        <w:t xml:space="preserve"> </w:t>
      </w:r>
      <w:r w:rsidR="0059648B" w:rsidRPr="009819CA">
        <w:rPr>
          <w:lang w:val="en-CA"/>
        </w:rPr>
        <w:t>cited by the judge. In that case</w:t>
      </w:r>
      <w:r w:rsidR="00C62951" w:rsidRPr="009819CA">
        <w:rPr>
          <w:lang w:val="en-CA"/>
        </w:rPr>
        <w:t>,</w:t>
      </w:r>
      <w:r w:rsidR="0059648B" w:rsidRPr="009819CA">
        <w:rPr>
          <w:lang w:val="en-CA"/>
        </w:rPr>
        <w:t xml:space="preserve"> the accused wa</w:t>
      </w:r>
      <w:r w:rsidRPr="009819CA">
        <w:rPr>
          <w:lang w:val="en-CA"/>
        </w:rPr>
        <w:t xml:space="preserve">s a </w:t>
      </w:r>
      <w:r w:rsidR="00C62951" w:rsidRPr="009819CA">
        <w:rPr>
          <w:lang w:val="en-CA"/>
        </w:rPr>
        <w:t xml:space="preserve">roommate </w:t>
      </w:r>
      <w:r w:rsidRPr="009819CA">
        <w:rPr>
          <w:lang w:val="en-CA"/>
        </w:rPr>
        <w:t>of the victim’s former</w:t>
      </w:r>
      <w:r w:rsidR="0059648B" w:rsidRPr="009819CA">
        <w:rPr>
          <w:lang w:val="en-CA"/>
        </w:rPr>
        <w:t xml:space="preserve"> spouse. He sexual</w:t>
      </w:r>
      <w:r w:rsidR="00C62951" w:rsidRPr="009819CA">
        <w:rPr>
          <w:lang w:val="en-CA"/>
        </w:rPr>
        <w:t>ly</w:t>
      </w:r>
      <w:r w:rsidR="0059648B" w:rsidRPr="009819CA">
        <w:rPr>
          <w:lang w:val="en-CA"/>
        </w:rPr>
        <w:t xml:space="preserve"> touch</w:t>
      </w:r>
      <w:r w:rsidR="00C62951" w:rsidRPr="009819CA">
        <w:rPr>
          <w:lang w:val="en-CA"/>
        </w:rPr>
        <w:t>ed</w:t>
      </w:r>
      <w:r w:rsidR="0059648B" w:rsidRPr="009819CA">
        <w:rPr>
          <w:lang w:val="en-CA"/>
        </w:rPr>
        <w:t xml:space="preserve"> the victim while she was very drunk and asleep. </w:t>
      </w:r>
      <w:r w:rsidR="00C62951" w:rsidRPr="009819CA">
        <w:rPr>
          <w:lang w:val="en-CA"/>
        </w:rPr>
        <w:t xml:space="preserve">The victim thought he </w:t>
      </w:r>
      <w:r w:rsidR="0059648B" w:rsidRPr="009819CA">
        <w:rPr>
          <w:lang w:val="en-CA"/>
        </w:rPr>
        <w:t>was he</w:t>
      </w:r>
      <w:r w:rsidRPr="009819CA">
        <w:rPr>
          <w:lang w:val="en-CA"/>
        </w:rPr>
        <w:t xml:space="preserve">r former </w:t>
      </w:r>
      <w:r w:rsidR="0059648B" w:rsidRPr="009819CA">
        <w:rPr>
          <w:lang w:val="en-CA"/>
        </w:rPr>
        <w:t xml:space="preserve">spouse, with whom she had just had sexual </w:t>
      </w:r>
      <w:r w:rsidR="00C62951" w:rsidRPr="009819CA">
        <w:rPr>
          <w:lang w:val="en-CA"/>
        </w:rPr>
        <w:t>intercourse</w:t>
      </w:r>
      <w:r w:rsidR="0059648B" w:rsidRPr="009819CA">
        <w:rPr>
          <w:lang w:val="en-CA"/>
        </w:rPr>
        <w:t xml:space="preserve">, </w:t>
      </w:r>
      <w:r w:rsidR="00C62951" w:rsidRPr="009819CA">
        <w:rPr>
          <w:lang w:val="en-CA"/>
        </w:rPr>
        <w:t xml:space="preserve">and </w:t>
      </w:r>
      <w:r w:rsidR="0059648B" w:rsidRPr="009819CA">
        <w:rPr>
          <w:lang w:val="en-CA"/>
        </w:rPr>
        <w:t xml:space="preserve">consented to the touching. </w:t>
      </w:r>
      <w:r w:rsidR="00C62951" w:rsidRPr="009819CA">
        <w:rPr>
          <w:lang w:val="en-CA"/>
        </w:rPr>
        <w:t xml:space="preserve">When </w:t>
      </w:r>
      <w:r w:rsidR="0059648B" w:rsidRPr="009819CA">
        <w:rPr>
          <w:lang w:val="en-CA"/>
        </w:rPr>
        <w:t xml:space="preserve">he penetrated the victim, the accused </w:t>
      </w:r>
      <w:r w:rsidR="000742C1" w:rsidRPr="009819CA">
        <w:rPr>
          <w:lang w:val="en-CA"/>
        </w:rPr>
        <w:t xml:space="preserve">asked </w:t>
      </w:r>
      <w:r w:rsidR="0059648B" w:rsidRPr="009819CA">
        <w:rPr>
          <w:lang w:val="en-CA"/>
        </w:rPr>
        <w:t>her if she knew who he was, which put an abrupt halt to the assault.</w:t>
      </w:r>
    </w:p>
    <w:p w14:paraId="1B202500" w14:textId="20FBCE07" w:rsidR="004706F6" w:rsidRPr="009819CA" w:rsidRDefault="0059648B" w:rsidP="00B20892">
      <w:pPr>
        <w:pStyle w:val="Paragraphe"/>
        <w:rPr>
          <w:lang w:val="en-CA"/>
        </w:rPr>
      </w:pPr>
      <w:r w:rsidRPr="009819CA">
        <w:rPr>
          <w:lang w:val="en-CA"/>
        </w:rPr>
        <w:t>This</w:t>
      </w:r>
      <w:r w:rsidR="00BA31E2" w:rsidRPr="009819CA">
        <w:rPr>
          <w:lang w:val="en-CA"/>
        </w:rPr>
        <w:t xml:space="preserve"> </w:t>
      </w:r>
      <w:r w:rsidR="004706F6" w:rsidRPr="009819CA">
        <w:rPr>
          <w:lang w:val="en-CA"/>
        </w:rPr>
        <w:t>Cour</w:t>
      </w:r>
      <w:r w:rsidRPr="009819CA">
        <w:rPr>
          <w:lang w:val="en-CA"/>
        </w:rPr>
        <w:t>t did not intervene with the judge’s exercise of discretion to discharge th</w:t>
      </w:r>
      <w:r w:rsidR="00473998" w:rsidRPr="009819CA">
        <w:rPr>
          <w:lang w:val="en-CA"/>
        </w:rPr>
        <w:t>e accused, noting in passing that there was no</w:t>
      </w:r>
      <w:r w:rsidRPr="009819CA">
        <w:rPr>
          <w:lang w:val="en-CA"/>
        </w:rPr>
        <w:t xml:space="preserve"> statement about the consequences of the</w:t>
      </w:r>
      <w:r w:rsidR="004706F6" w:rsidRPr="009819CA">
        <w:rPr>
          <w:lang w:val="en-CA"/>
        </w:rPr>
        <w:t xml:space="preserve"> crime</w:t>
      </w:r>
      <w:r w:rsidR="007F7196" w:rsidRPr="009819CA">
        <w:rPr>
          <w:lang w:val="en-CA"/>
        </w:rPr>
        <w:t xml:space="preserve">, </w:t>
      </w:r>
      <w:r w:rsidRPr="009819CA">
        <w:rPr>
          <w:lang w:val="en-CA"/>
        </w:rPr>
        <w:t>[</w:t>
      </w:r>
      <w:r w:rsidRPr="009819CA">
        <w:rPr>
          <w:smallCaps/>
          <w:lang w:val="en-CA"/>
        </w:rPr>
        <w:t>translation</w:t>
      </w:r>
      <w:r w:rsidRPr="009819CA">
        <w:rPr>
          <w:lang w:val="en-CA"/>
        </w:rPr>
        <w:t xml:space="preserve">] “although the complainant </w:t>
      </w:r>
      <w:r w:rsidR="00C62951" w:rsidRPr="009819CA">
        <w:rPr>
          <w:lang w:val="en-CA"/>
        </w:rPr>
        <w:t xml:space="preserve">had </w:t>
      </w:r>
      <w:r w:rsidRPr="009819CA">
        <w:rPr>
          <w:lang w:val="en-CA"/>
        </w:rPr>
        <w:t>the opportunity to make one”</w:t>
      </w:r>
      <w:r w:rsidR="00AE1E5A">
        <w:rPr>
          <w:lang w:val="en-CA"/>
        </w:rPr>
        <w:t>.</w:t>
      </w:r>
      <w:r w:rsidR="00F54731" w:rsidRPr="009819CA">
        <w:rPr>
          <w:rStyle w:val="Appelnotedebasdep"/>
          <w:lang w:val="en-CA"/>
        </w:rPr>
        <w:footnoteReference w:id="51"/>
      </w:r>
      <w:r w:rsidRPr="009819CA">
        <w:rPr>
          <w:lang w:val="en-CA"/>
        </w:rPr>
        <w:t xml:space="preserve"> </w:t>
      </w:r>
      <w:r w:rsidR="00C62951" w:rsidRPr="009819CA">
        <w:rPr>
          <w:i/>
          <w:iCs/>
          <w:lang w:val="en-CA"/>
        </w:rPr>
        <w:t>R. c.</w:t>
      </w:r>
      <w:r w:rsidR="00C62951" w:rsidRPr="009819CA">
        <w:rPr>
          <w:lang w:val="en-CA"/>
        </w:rPr>
        <w:t xml:space="preserve"> </w:t>
      </w:r>
      <w:r w:rsidR="001633E0" w:rsidRPr="009819CA">
        <w:rPr>
          <w:i/>
          <w:iCs/>
          <w:lang w:val="en-CA"/>
        </w:rPr>
        <w:t>Gravel</w:t>
      </w:r>
      <w:r w:rsidR="001633E0" w:rsidRPr="009819CA">
        <w:rPr>
          <w:lang w:val="en-CA"/>
        </w:rPr>
        <w:t xml:space="preserve"> </w:t>
      </w:r>
      <w:r w:rsidRPr="009819CA">
        <w:rPr>
          <w:lang w:val="en-CA"/>
        </w:rPr>
        <w:t xml:space="preserve">can therefore be distinguished from </w:t>
      </w:r>
      <w:r w:rsidR="0092686C" w:rsidRPr="009819CA">
        <w:rPr>
          <w:lang w:val="en-CA"/>
        </w:rPr>
        <w:t>Mr.</w:t>
      </w:r>
      <w:r w:rsidR="00B435EE" w:rsidRPr="009819CA">
        <w:rPr>
          <w:lang w:val="en-CA"/>
        </w:rPr>
        <w:t> </w:t>
      </w:r>
      <w:r w:rsidR="00D405C9" w:rsidRPr="009819CA">
        <w:rPr>
          <w:lang w:val="en-CA"/>
        </w:rPr>
        <w:t>Houle</w:t>
      </w:r>
      <w:r w:rsidRPr="009819CA">
        <w:rPr>
          <w:lang w:val="en-CA"/>
        </w:rPr>
        <w:t>’s</w:t>
      </w:r>
      <w:r w:rsidR="00D405C9" w:rsidRPr="009819CA">
        <w:rPr>
          <w:lang w:val="en-CA"/>
        </w:rPr>
        <w:t xml:space="preserve"> </w:t>
      </w:r>
      <w:r w:rsidR="000742C1" w:rsidRPr="009819CA">
        <w:rPr>
          <w:lang w:val="en-CA"/>
        </w:rPr>
        <w:t xml:space="preserve">case </w:t>
      </w:r>
      <w:r w:rsidR="0032132D" w:rsidRPr="009819CA">
        <w:rPr>
          <w:lang w:val="en-CA"/>
        </w:rPr>
        <w:t>i</w:t>
      </w:r>
      <w:r w:rsidRPr="009819CA">
        <w:rPr>
          <w:lang w:val="en-CA"/>
        </w:rPr>
        <w:t xml:space="preserve">n at least two </w:t>
      </w:r>
      <w:r w:rsidR="001D7F11">
        <w:rPr>
          <w:lang w:val="en-CA"/>
        </w:rPr>
        <w:t>re</w:t>
      </w:r>
      <w:r w:rsidR="00C62951" w:rsidRPr="009819CA">
        <w:rPr>
          <w:lang w:val="en-CA"/>
        </w:rPr>
        <w:t>spects</w:t>
      </w:r>
      <w:r w:rsidRPr="009819CA">
        <w:rPr>
          <w:lang w:val="en-CA"/>
        </w:rPr>
        <w:t xml:space="preserve">: the accused was not </w:t>
      </w:r>
      <w:r w:rsidR="00C62951" w:rsidRPr="009819CA">
        <w:rPr>
          <w:lang w:val="en-CA"/>
        </w:rPr>
        <w:t xml:space="preserve">convicted </w:t>
      </w:r>
      <w:r w:rsidRPr="009819CA">
        <w:rPr>
          <w:lang w:val="en-CA"/>
        </w:rPr>
        <w:t xml:space="preserve">of voyeurism </w:t>
      </w:r>
      <w:r w:rsidR="003461A1">
        <w:rPr>
          <w:lang w:val="en-CA"/>
        </w:rPr>
        <w:t xml:space="preserve">in that case </w:t>
      </w:r>
      <w:r w:rsidRPr="009819CA">
        <w:rPr>
          <w:lang w:val="en-CA"/>
        </w:rPr>
        <w:t xml:space="preserve">and </w:t>
      </w:r>
      <w:r w:rsidR="00C62951" w:rsidRPr="009819CA">
        <w:rPr>
          <w:lang w:val="en-CA"/>
        </w:rPr>
        <w:t xml:space="preserve">the </w:t>
      </w:r>
      <w:r w:rsidRPr="009819CA">
        <w:rPr>
          <w:lang w:val="en-CA"/>
        </w:rPr>
        <w:t xml:space="preserve">evidence </w:t>
      </w:r>
      <w:r w:rsidR="00C62951" w:rsidRPr="009819CA">
        <w:rPr>
          <w:lang w:val="en-CA"/>
        </w:rPr>
        <w:t xml:space="preserve">was silent </w:t>
      </w:r>
      <w:r w:rsidRPr="009819CA">
        <w:rPr>
          <w:lang w:val="en-CA"/>
        </w:rPr>
        <w:t xml:space="preserve">as </w:t>
      </w:r>
      <w:r w:rsidR="00473998" w:rsidRPr="009819CA">
        <w:rPr>
          <w:lang w:val="en-CA"/>
        </w:rPr>
        <w:t xml:space="preserve">to </w:t>
      </w:r>
      <w:r w:rsidRPr="009819CA">
        <w:rPr>
          <w:lang w:val="en-CA"/>
        </w:rPr>
        <w:t>the conse</w:t>
      </w:r>
      <w:r w:rsidR="001633E0" w:rsidRPr="009819CA">
        <w:rPr>
          <w:lang w:val="en-CA"/>
        </w:rPr>
        <w:t xml:space="preserve">quences </w:t>
      </w:r>
      <w:r w:rsidRPr="009819CA">
        <w:rPr>
          <w:lang w:val="en-CA"/>
        </w:rPr>
        <w:t>of the</w:t>
      </w:r>
      <w:r w:rsidR="000250A9" w:rsidRPr="009819CA">
        <w:rPr>
          <w:lang w:val="en-CA"/>
        </w:rPr>
        <w:t xml:space="preserve"> crime </w:t>
      </w:r>
      <w:r w:rsidRPr="009819CA">
        <w:rPr>
          <w:lang w:val="en-CA"/>
        </w:rPr>
        <w:t>on the victim and her loved ones.</w:t>
      </w:r>
    </w:p>
    <w:p w14:paraId="3B38449F" w14:textId="4969E8FF" w:rsidR="00AB349B" w:rsidRPr="009819CA" w:rsidRDefault="001A7A17" w:rsidP="00B20892">
      <w:pPr>
        <w:pStyle w:val="Paragraphe"/>
        <w:rPr>
          <w:lang w:val="en-CA"/>
        </w:rPr>
      </w:pPr>
      <w:r w:rsidRPr="009819CA">
        <w:rPr>
          <w:lang w:val="en-CA"/>
        </w:rPr>
        <w:t xml:space="preserve">The sentences imposed in </w:t>
      </w:r>
      <w:r w:rsidR="00AB349B" w:rsidRPr="009819CA">
        <w:rPr>
          <w:i/>
          <w:iCs/>
          <w:lang w:val="en-CA"/>
        </w:rPr>
        <w:t>R. v. L.A.A.</w:t>
      </w:r>
      <w:r w:rsidRPr="00BF230D">
        <w:rPr>
          <w:lang w:val="en-CA"/>
        </w:rPr>
        <w:t>,</w:t>
      </w:r>
      <w:r w:rsidR="002702B8" w:rsidRPr="009819CA">
        <w:rPr>
          <w:rStyle w:val="Appelnotedebasdep"/>
          <w:lang w:val="en-CA"/>
        </w:rPr>
        <w:footnoteReference w:id="52"/>
      </w:r>
      <w:r w:rsidR="00AB349B" w:rsidRPr="009819CA">
        <w:rPr>
          <w:lang w:val="en-CA"/>
        </w:rPr>
        <w:t xml:space="preserve"> </w:t>
      </w:r>
      <w:r w:rsidR="00AB349B" w:rsidRPr="009819CA">
        <w:rPr>
          <w:i/>
          <w:iCs/>
          <w:lang w:val="en-CA"/>
        </w:rPr>
        <w:t>R. v. R.R.</w:t>
      </w:r>
      <w:r w:rsidR="00B642C5" w:rsidRPr="009819CA">
        <w:rPr>
          <w:lang w:val="en-CA"/>
        </w:rPr>
        <w:t>,</w:t>
      </w:r>
      <w:r w:rsidR="002702B8" w:rsidRPr="009819CA">
        <w:rPr>
          <w:rStyle w:val="Appelnotedebasdep"/>
          <w:lang w:val="en-CA"/>
        </w:rPr>
        <w:footnoteReference w:id="53"/>
      </w:r>
      <w:r w:rsidRPr="009819CA">
        <w:rPr>
          <w:lang w:val="en-CA"/>
        </w:rPr>
        <w:t xml:space="preserve"> and</w:t>
      </w:r>
      <w:r w:rsidR="00AB349B" w:rsidRPr="009819CA">
        <w:rPr>
          <w:lang w:val="en-CA"/>
        </w:rPr>
        <w:t xml:space="preserve"> </w:t>
      </w:r>
      <w:r w:rsidR="00AB349B" w:rsidRPr="009819CA">
        <w:rPr>
          <w:i/>
          <w:iCs/>
          <w:lang w:val="en-CA"/>
        </w:rPr>
        <w:t>R. c. Savard</w:t>
      </w:r>
      <w:r w:rsidR="002702B8" w:rsidRPr="009819CA">
        <w:rPr>
          <w:rStyle w:val="Appelnotedebasdep"/>
          <w:lang w:val="en-CA"/>
        </w:rPr>
        <w:footnoteReference w:id="54"/>
      </w:r>
      <w:r w:rsidR="00AB349B" w:rsidRPr="009819CA">
        <w:rPr>
          <w:lang w:val="en-CA"/>
        </w:rPr>
        <w:t xml:space="preserve"> </w:t>
      </w:r>
      <w:r w:rsidRPr="009819CA">
        <w:rPr>
          <w:lang w:val="en-CA"/>
        </w:rPr>
        <w:t>may serve as better benchmark</w:t>
      </w:r>
      <w:r w:rsidR="00473998" w:rsidRPr="009819CA">
        <w:rPr>
          <w:lang w:val="en-CA"/>
        </w:rPr>
        <w:t>s</w:t>
      </w:r>
      <w:r w:rsidRPr="009819CA">
        <w:rPr>
          <w:lang w:val="en-CA"/>
        </w:rPr>
        <w:t xml:space="preserve">. In </w:t>
      </w:r>
      <w:r w:rsidR="003461A1">
        <w:rPr>
          <w:lang w:val="en-CA"/>
        </w:rPr>
        <w:t>all</w:t>
      </w:r>
      <w:r w:rsidR="00B642C5" w:rsidRPr="009819CA">
        <w:rPr>
          <w:lang w:val="en-CA"/>
        </w:rPr>
        <w:t xml:space="preserve"> </w:t>
      </w:r>
      <w:r w:rsidRPr="009819CA">
        <w:rPr>
          <w:lang w:val="en-CA"/>
        </w:rPr>
        <w:t xml:space="preserve">three </w:t>
      </w:r>
      <w:r w:rsidR="003461A1">
        <w:rPr>
          <w:lang w:val="en-CA"/>
        </w:rPr>
        <w:t xml:space="preserve">of these </w:t>
      </w:r>
      <w:r w:rsidRPr="009819CA">
        <w:rPr>
          <w:lang w:val="en-CA"/>
        </w:rPr>
        <w:t>cases</w:t>
      </w:r>
      <w:r w:rsidR="00B642C5" w:rsidRPr="009819CA">
        <w:rPr>
          <w:lang w:val="en-CA"/>
        </w:rPr>
        <w:t>,</w:t>
      </w:r>
      <w:r w:rsidRPr="009819CA">
        <w:rPr>
          <w:lang w:val="en-CA"/>
        </w:rPr>
        <w:t xml:space="preserve"> the accused abused the vulnerability of an unconscious victim to sexually assault her and filmed or photographed </w:t>
      </w:r>
      <w:r w:rsidRPr="009819CA">
        <w:rPr>
          <w:lang w:val="en-CA"/>
        </w:rPr>
        <w:lastRenderedPageBreak/>
        <w:t>the scene. The</w:t>
      </w:r>
      <w:r w:rsidR="00B642C5" w:rsidRPr="009819CA">
        <w:rPr>
          <w:lang w:val="en-CA"/>
        </w:rPr>
        <w:t>y</w:t>
      </w:r>
      <w:r w:rsidR="00473998" w:rsidRPr="009819CA">
        <w:rPr>
          <w:lang w:val="en-CA"/>
        </w:rPr>
        <w:t xml:space="preserve"> </w:t>
      </w:r>
      <w:r w:rsidRPr="009819CA">
        <w:rPr>
          <w:lang w:val="en-CA"/>
        </w:rPr>
        <w:t xml:space="preserve">were </w:t>
      </w:r>
      <w:r w:rsidR="00B642C5" w:rsidRPr="009819CA">
        <w:rPr>
          <w:lang w:val="en-CA"/>
        </w:rPr>
        <w:t xml:space="preserve">convicted </w:t>
      </w:r>
      <w:r w:rsidRPr="009819CA">
        <w:rPr>
          <w:lang w:val="en-CA"/>
        </w:rPr>
        <w:t xml:space="preserve">of sexual assault and </w:t>
      </w:r>
      <w:r w:rsidR="002D752C" w:rsidRPr="009819CA">
        <w:rPr>
          <w:lang w:val="en-CA"/>
        </w:rPr>
        <w:t>voyeurism</w:t>
      </w:r>
      <w:r w:rsidRPr="009819CA">
        <w:rPr>
          <w:lang w:val="en-CA"/>
        </w:rPr>
        <w:t>.</w:t>
      </w:r>
      <w:r w:rsidR="00B72782" w:rsidRPr="009819CA">
        <w:rPr>
          <w:rStyle w:val="Appelnotedebasdep"/>
          <w:lang w:val="en-CA"/>
        </w:rPr>
        <w:footnoteReference w:id="55"/>
      </w:r>
      <w:r w:rsidR="002D752C" w:rsidRPr="009819CA">
        <w:rPr>
          <w:lang w:val="en-CA"/>
        </w:rPr>
        <w:t xml:space="preserve"> </w:t>
      </w:r>
      <w:r w:rsidRPr="009819CA">
        <w:rPr>
          <w:lang w:val="en-CA"/>
        </w:rPr>
        <w:t xml:space="preserve">Notwithstanding the presence of several </w:t>
      </w:r>
      <w:r w:rsidR="00B642C5" w:rsidRPr="009819CA">
        <w:rPr>
          <w:lang w:val="en-CA"/>
        </w:rPr>
        <w:t xml:space="preserve">factors </w:t>
      </w:r>
      <w:r w:rsidRPr="009819CA">
        <w:rPr>
          <w:lang w:val="en-CA"/>
        </w:rPr>
        <w:t xml:space="preserve">favourable to the accused, including evidence of their </w:t>
      </w:r>
      <w:r w:rsidR="00B642C5" w:rsidRPr="009819CA">
        <w:rPr>
          <w:lang w:val="en-CA"/>
        </w:rPr>
        <w:t xml:space="preserve">overall </w:t>
      </w:r>
      <w:r w:rsidRPr="009819CA">
        <w:rPr>
          <w:lang w:val="en-CA"/>
        </w:rPr>
        <w:t xml:space="preserve">good morals and </w:t>
      </w:r>
      <w:proofErr w:type="gramStart"/>
      <w:r w:rsidRPr="009819CA">
        <w:rPr>
          <w:lang w:val="en-CA"/>
        </w:rPr>
        <w:t>low risk</w:t>
      </w:r>
      <w:proofErr w:type="gramEnd"/>
      <w:r w:rsidRPr="009819CA">
        <w:rPr>
          <w:lang w:val="en-CA"/>
        </w:rPr>
        <w:t xml:space="preserve"> of re-offending, they were </w:t>
      </w:r>
      <w:r w:rsidR="003461A1">
        <w:rPr>
          <w:lang w:val="en-CA"/>
        </w:rPr>
        <w:t xml:space="preserve">given total </w:t>
      </w:r>
      <w:r w:rsidR="00B642C5" w:rsidRPr="009819CA">
        <w:rPr>
          <w:lang w:val="en-CA"/>
        </w:rPr>
        <w:t>sentence</w:t>
      </w:r>
      <w:r w:rsidR="003461A1">
        <w:rPr>
          <w:lang w:val="en-CA"/>
        </w:rPr>
        <w:t>s</w:t>
      </w:r>
      <w:r w:rsidRPr="009819CA">
        <w:rPr>
          <w:lang w:val="en-CA"/>
        </w:rPr>
        <w:t xml:space="preserve"> of 15, 36</w:t>
      </w:r>
      <w:r w:rsidR="00B642C5" w:rsidRPr="009819CA">
        <w:rPr>
          <w:lang w:val="en-CA"/>
        </w:rPr>
        <w:t>,</w:t>
      </w:r>
      <w:r w:rsidRPr="009819CA">
        <w:rPr>
          <w:lang w:val="en-CA"/>
        </w:rPr>
        <w:t xml:space="preserve"> and</w:t>
      </w:r>
      <w:r w:rsidR="00DB537E" w:rsidRPr="009819CA">
        <w:rPr>
          <w:lang w:val="en-CA"/>
        </w:rPr>
        <w:t xml:space="preserve"> 8 </w:t>
      </w:r>
      <w:r w:rsidRPr="009819CA">
        <w:rPr>
          <w:lang w:val="en-CA"/>
        </w:rPr>
        <w:t>month</w:t>
      </w:r>
      <w:r w:rsidR="00854230" w:rsidRPr="009819CA">
        <w:rPr>
          <w:lang w:val="en-CA"/>
        </w:rPr>
        <w:t>s</w:t>
      </w:r>
      <w:r w:rsidR="00B642C5" w:rsidRPr="009819CA">
        <w:rPr>
          <w:lang w:val="en-CA"/>
        </w:rPr>
        <w:t>’ imprisonment</w:t>
      </w:r>
      <w:r w:rsidRPr="009819CA">
        <w:rPr>
          <w:lang w:val="en-CA"/>
        </w:rPr>
        <w:t>.</w:t>
      </w:r>
      <w:r w:rsidR="006C65E1" w:rsidRPr="009819CA">
        <w:rPr>
          <w:rStyle w:val="Appelnotedebasdep"/>
          <w:lang w:val="en-CA"/>
        </w:rPr>
        <w:footnoteReference w:id="56"/>
      </w:r>
    </w:p>
    <w:p w14:paraId="78AD5682" w14:textId="2FCF26AB" w:rsidR="009F4094" w:rsidRPr="009819CA" w:rsidRDefault="001A7A17" w:rsidP="00B20892">
      <w:pPr>
        <w:pStyle w:val="Paragraphe"/>
        <w:rPr>
          <w:lang w:val="en-CA"/>
        </w:rPr>
      </w:pPr>
      <w:r w:rsidRPr="009819CA">
        <w:rPr>
          <w:lang w:val="en-CA"/>
        </w:rPr>
        <w:t xml:space="preserve">Thus, the </w:t>
      </w:r>
      <w:r w:rsidR="000742C1" w:rsidRPr="009819CA">
        <w:rPr>
          <w:lang w:val="en-CA"/>
        </w:rPr>
        <w:t xml:space="preserve">difference </w:t>
      </w:r>
      <w:r w:rsidRPr="009819CA">
        <w:rPr>
          <w:lang w:val="en-CA"/>
        </w:rPr>
        <w:t xml:space="preserve">between </w:t>
      </w:r>
      <w:r w:rsidR="00B642C5" w:rsidRPr="009819CA">
        <w:rPr>
          <w:lang w:val="en-CA"/>
        </w:rPr>
        <w:t xml:space="preserve">an </w:t>
      </w:r>
      <w:r w:rsidRPr="009819CA">
        <w:rPr>
          <w:lang w:val="en-CA"/>
        </w:rPr>
        <w:t xml:space="preserve">absolute discharge and the sentences in cases where the subjective </w:t>
      </w:r>
      <w:r w:rsidR="00B642C5" w:rsidRPr="009819CA">
        <w:rPr>
          <w:lang w:val="en-CA"/>
        </w:rPr>
        <w:t xml:space="preserve">seriousness </w:t>
      </w:r>
      <w:r w:rsidRPr="009819CA">
        <w:rPr>
          <w:lang w:val="en-CA"/>
        </w:rPr>
        <w:t xml:space="preserve">of the offences and the </w:t>
      </w:r>
      <w:r w:rsidR="00B642C5" w:rsidRPr="009819CA">
        <w:rPr>
          <w:lang w:val="en-CA"/>
        </w:rPr>
        <w:t xml:space="preserve">offender’s </w:t>
      </w:r>
      <w:r w:rsidRPr="009819CA">
        <w:rPr>
          <w:lang w:val="en-CA"/>
        </w:rPr>
        <w:t xml:space="preserve">degree of responsibility were similar is too </w:t>
      </w:r>
      <w:r w:rsidR="00B642C5" w:rsidRPr="009819CA">
        <w:rPr>
          <w:lang w:val="en-CA"/>
        </w:rPr>
        <w:t xml:space="preserve">great </w:t>
      </w:r>
      <w:r w:rsidRPr="009819CA">
        <w:rPr>
          <w:lang w:val="en-CA"/>
        </w:rPr>
        <w:t xml:space="preserve">to </w:t>
      </w:r>
      <w:r w:rsidR="0032132D" w:rsidRPr="009819CA">
        <w:rPr>
          <w:lang w:val="en-CA"/>
        </w:rPr>
        <w:t xml:space="preserve">risk </w:t>
      </w:r>
      <w:r w:rsidRPr="009819CA">
        <w:rPr>
          <w:lang w:val="en-CA"/>
        </w:rPr>
        <w:t xml:space="preserve">undermining public trust in the </w:t>
      </w:r>
      <w:r w:rsidR="00B61774" w:rsidRPr="009819CA">
        <w:rPr>
          <w:lang w:val="en-CA"/>
        </w:rPr>
        <w:t>administration</w:t>
      </w:r>
      <w:r w:rsidRPr="009819CA">
        <w:rPr>
          <w:lang w:val="en-CA"/>
        </w:rPr>
        <w:t xml:space="preserve"> of</w:t>
      </w:r>
      <w:r w:rsidR="00B61774" w:rsidRPr="009819CA">
        <w:rPr>
          <w:lang w:val="en-CA"/>
        </w:rPr>
        <w:t xml:space="preserve"> </w:t>
      </w:r>
      <w:r w:rsidR="00570741" w:rsidRPr="009819CA">
        <w:rPr>
          <w:lang w:val="en-CA"/>
        </w:rPr>
        <w:t>justice and</w:t>
      </w:r>
      <w:r w:rsidR="008F7B05">
        <w:rPr>
          <w:lang w:val="en-CA"/>
        </w:rPr>
        <w:t xml:space="preserve"> is </w:t>
      </w:r>
      <w:r w:rsidRPr="009819CA">
        <w:rPr>
          <w:lang w:val="en-CA"/>
        </w:rPr>
        <w:t>th</w:t>
      </w:r>
      <w:r w:rsidR="00B642C5" w:rsidRPr="009819CA">
        <w:rPr>
          <w:lang w:val="en-CA"/>
        </w:rPr>
        <w:t>us</w:t>
      </w:r>
      <w:r w:rsidRPr="009819CA">
        <w:rPr>
          <w:lang w:val="en-CA"/>
        </w:rPr>
        <w:t xml:space="preserve"> </w:t>
      </w:r>
      <w:r w:rsidR="00CE53D4" w:rsidRPr="009819CA">
        <w:rPr>
          <w:lang w:val="en-CA"/>
        </w:rPr>
        <w:t xml:space="preserve">contrary to </w:t>
      </w:r>
      <w:r w:rsidRPr="009819CA">
        <w:rPr>
          <w:lang w:val="en-CA"/>
        </w:rPr>
        <w:t>the public interest.</w:t>
      </w:r>
      <w:r w:rsidR="006134AB" w:rsidRPr="009819CA">
        <w:rPr>
          <w:lang w:val="en-CA"/>
        </w:rPr>
        <w:t xml:space="preserve"> </w:t>
      </w:r>
      <w:r w:rsidRPr="009819CA">
        <w:rPr>
          <w:lang w:val="en-CA"/>
        </w:rPr>
        <w:t xml:space="preserve">A reasonable person informed about sentencing objectives and principles and </w:t>
      </w:r>
      <w:proofErr w:type="gramStart"/>
      <w:r w:rsidRPr="009819CA">
        <w:rPr>
          <w:lang w:val="en-CA"/>
        </w:rPr>
        <w:t>all of</w:t>
      </w:r>
      <w:proofErr w:type="gramEnd"/>
      <w:r w:rsidRPr="009819CA">
        <w:rPr>
          <w:lang w:val="en-CA"/>
        </w:rPr>
        <w:t xml:space="preserve"> the circumstances would not understand how </w:t>
      </w:r>
      <w:r w:rsidR="0092686C" w:rsidRPr="009819CA">
        <w:rPr>
          <w:lang w:val="en-CA"/>
        </w:rPr>
        <w:t>Mr.</w:t>
      </w:r>
      <w:r w:rsidR="00DA3008" w:rsidRPr="009819CA">
        <w:rPr>
          <w:lang w:val="en-CA"/>
        </w:rPr>
        <w:t> </w:t>
      </w:r>
      <w:r w:rsidR="00A60857" w:rsidRPr="009819CA">
        <w:rPr>
          <w:lang w:val="en-CA"/>
        </w:rPr>
        <w:t>Houle</w:t>
      </w:r>
      <w:r w:rsidR="00A07C30" w:rsidRPr="009819CA">
        <w:rPr>
          <w:lang w:val="en-CA"/>
        </w:rPr>
        <w:t xml:space="preserve"> </w:t>
      </w:r>
      <w:r w:rsidR="002378D3" w:rsidRPr="009819CA">
        <w:rPr>
          <w:lang w:val="en-CA"/>
        </w:rPr>
        <w:t>could avoid a conviction.</w:t>
      </w:r>
    </w:p>
    <w:p w14:paraId="2CDCB5C2" w14:textId="1403CF67" w:rsidR="003E1CF2" w:rsidRPr="009819CA" w:rsidRDefault="007075A2" w:rsidP="00B20892">
      <w:pPr>
        <w:pStyle w:val="Paragraphe"/>
        <w:rPr>
          <w:lang w:val="en-CA"/>
        </w:rPr>
      </w:pPr>
      <w:r w:rsidRPr="009819CA">
        <w:rPr>
          <w:lang w:val="en-CA"/>
        </w:rPr>
        <w:t>To sum</w:t>
      </w:r>
      <w:r w:rsidR="00866FF1">
        <w:rPr>
          <w:lang w:val="en-CA"/>
        </w:rPr>
        <w:t>marize</w:t>
      </w:r>
      <w:r w:rsidRPr="009819CA">
        <w:rPr>
          <w:lang w:val="en-CA"/>
        </w:rPr>
        <w:t xml:space="preserve">, </w:t>
      </w:r>
      <w:r w:rsidR="0092686C" w:rsidRPr="009819CA">
        <w:rPr>
          <w:lang w:val="en-CA"/>
        </w:rPr>
        <w:t>Mr.</w:t>
      </w:r>
      <w:r w:rsidR="00101D1D" w:rsidRPr="009819CA">
        <w:rPr>
          <w:lang w:val="en-CA"/>
        </w:rPr>
        <w:t> </w:t>
      </w:r>
      <w:r w:rsidRPr="009819CA">
        <w:rPr>
          <w:lang w:val="en-CA"/>
        </w:rPr>
        <w:t>Houle</w:t>
      </w:r>
      <w:r w:rsidR="000742C1" w:rsidRPr="009819CA">
        <w:rPr>
          <w:lang w:val="en-CA"/>
        </w:rPr>
        <w:t>’s crimes</w:t>
      </w:r>
      <w:r w:rsidRPr="009819CA">
        <w:rPr>
          <w:lang w:val="en-CA"/>
        </w:rPr>
        <w:t xml:space="preserve"> are serious. He abused the victim’s vulnerability and seriously </w:t>
      </w:r>
      <w:r w:rsidR="00430D8A" w:rsidRPr="009819CA">
        <w:rPr>
          <w:lang w:val="en-CA"/>
        </w:rPr>
        <w:t xml:space="preserve">interfered with </w:t>
      </w:r>
      <w:r w:rsidRPr="009819CA">
        <w:rPr>
          <w:lang w:val="en-CA"/>
        </w:rPr>
        <w:t xml:space="preserve">her </w:t>
      </w:r>
      <w:r w:rsidR="00430D8A" w:rsidRPr="009819CA">
        <w:rPr>
          <w:lang w:val="en-CA"/>
        </w:rPr>
        <w:t xml:space="preserve">bodily </w:t>
      </w:r>
      <w:r w:rsidRPr="009819CA">
        <w:rPr>
          <w:lang w:val="en-CA"/>
        </w:rPr>
        <w:t>and sexual integrity</w:t>
      </w:r>
      <w:r w:rsidR="008F7B05">
        <w:rPr>
          <w:lang w:val="en-CA"/>
        </w:rPr>
        <w:t>,</w:t>
      </w:r>
      <w:r w:rsidRPr="009819CA">
        <w:rPr>
          <w:lang w:val="en-CA"/>
        </w:rPr>
        <w:t xml:space="preserve"> as well as her privacy and dignity. </w:t>
      </w:r>
      <w:r w:rsidR="00A2655D" w:rsidRPr="009819CA">
        <w:rPr>
          <w:lang w:val="en-CA"/>
        </w:rPr>
        <w:t xml:space="preserve">The consequences of the crimes </w:t>
      </w:r>
      <w:r w:rsidR="00866FF1">
        <w:rPr>
          <w:lang w:val="en-CA"/>
        </w:rPr>
        <w:t>on</w:t>
      </w:r>
      <w:r w:rsidR="00866FF1" w:rsidRPr="009819CA">
        <w:rPr>
          <w:lang w:val="en-CA"/>
        </w:rPr>
        <w:t xml:space="preserve"> </w:t>
      </w:r>
      <w:r w:rsidR="00A2655D" w:rsidRPr="009819CA">
        <w:rPr>
          <w:lang w:val="en-CA"/>
        </w:rPr>
        <w:t xml:space="preserve">the victim are major. </w:t>
      </w:r>
      <w:r w:rsidRPr="009819CA">
        <w:rPr>
          <w:lang w:val="en-CA"/>
        </w:rPr>
        <w:t>The evidence shows that the objectives of specific deterrence, rehabilitation</w:t>
      </w:r>
      <w:r w:rsidR="00A2655D" w:rsidRPr="009819CA">
        <w:rPr>
          <w:lang w:val="en-CA"/>
        </w:rPr>
        <w:t>,</w:t>
      </w:r>
      <w:r w:rsidRPr="009819CA">
        <w:rPr>
          <w:lang w:val="en-CA"/>
        </w:rPr>
        <w:t xml:space="preserve"> and </w:t>
      </w:r>
      <w:r w:rsidR="00A2655D" w:rsidRPr="009819CA">
        <w:rPr>
          <w:lang w:val="en-CA"/>
        </w:rPr>
        <w:t xml:space="preserve">responsibility </w:t>
      </w:r>
      <w:r w:rsidRPr="009819CA">
        <w:rPr>
          <w:lang w:val="en-CA"/>
        </w:rPr>
        <w:t xml:space="preserve">are on the right track, but that the objective of denouncing sexual violence and voyeurism and the </w:t>
      </w:r>
      <w:r w:rsidR="00A2655D" w:rsidRPr="009819CA">
        <w:rPr>
          <w:lang w:val="en-CA"/>
        </w:rPr>
        <w:t xml:space="preserve">harm done </w:t>
      </w:r>
      <w:r w:rsidRPr="009819CA">
        <w:rPr>
          <w:lang w:val="en-CA"/>
        </w:rPr>
        <w:t xml:space="preserve">to victims </w:t>
      </w:r>
      <w:r w:rsidR="00473998" w:rsidRPr="009819CA">
        <w:rPr>
          <w:lang w:val="en-CA"/>
        </w:rPr>
        <w:t>weigh</w:t>
      </w:r>
      <w:r w:rsidR="00A2655D" w:rsidRPr="009819CA">
        <w:rPr>
          <w:lang w:val="en-CA"/>
        </w:rPr>
        <w:t>s heavily</w:t>
      </w:r>
      <w:r w:rsidRPr="009819CA">
        <w:rPr>
          <w:lang w:val="en-CA"/>
        </w:rPr>
        <w:t xml:space="preserve">, coupled with the objective of general deterrence. Last, the principle of </w:t>
      </w:r>
      <w:r w:rsidR="000742C1" w:rsidRPr="009819CA">
        <w:rPr>
          <w:lang w:val="en-CA"/>
        </w:rPr>
        <w:t xml:space="preserve">parity of </w:t>
      </w:r>
      <w:r w:rsidRPr="009819CA">
        <w:rPr>
          <w:lang w:val="en-CA"/>
        </w:rPr>
        <w:t xml:space="preserve">sentences </w:t>
      </w:r>
      <w:r w:rsidR="000742C1" w:rsidRPr="009819CA">
        <w:rPr>
          <w:lang w:val="en-CA"/>
        </w:rPr>
        <w:t xml:space="preserve">weighs in </w:t>
      </w:r>
      <w:r w:rsidRPr="009819CA">
        <w:rPr>
          <w:lang w:val="en-CA"/>
        </w:rPr>
        <w:t xml:space="preserve">favour </w:t>
      </w:r>
      <w:r w:rsidR="000742C1" w:rsidRPr="009819CA">
        <w:rPr>
          <w:lang w:val="en-CA"/>
        </w:rPr>
        <w:t xml:space="preserve">of </w:t>
      </w:r>
      <w:r w:rsidRPr="009819CA">
        <w:rPr>
          <w:lang w:val="en-CA"/>
        </w:rPr>
        <w:t>a term</w:t>
      </w:r>
      <w:r w:rsidR="000742C1" w:rsidRPr="009819CA">
        <w:rPr>
          <w:lang w:val="en-CA"/>
        </w:rPr>
        <w:t xml:space="preserve"> of imprisonment</w:t>
      </w:r>
      <w:r w:rsidRPr="009819CA">
        <w:rPr>
          <w:lang w:val="en-CA"/>
        </w:rPr>
        <w:t>.</w:t>
      </w:r>
    </w:p>
    <w:p w14:paraId="2A35A91F" w14:textId="739D6E2F" w:rsidR="00D36631" w:rsidRPr="009819CA" w:rsidRDefault="00061F36" w:rsidP="00FA231C">
      <w:pPr>
        <w:pStyle w:val="Paragraphe"/>
        <w:rPr>
          <w:lang w:val="en-CA"/>
        </w:rPr>
      </w:pPr>
      <w:proofErr w:type="gramStart"/>
      <w:r w:rsidRPr="009819CA">
        <w:rPr>
          <w:lang w:val="en-CA"/>
        </w:rPr>
        <w:t>All things considered</w:t>
      </w:r>
      <w:proofErr w:type="gramEnd"/>
      <w:r w:rsidRPr="009819CA">
        <w:rPr>
          <w:lang w:val="en-CA"/>
        </w:rPr>
        <w:t xml:space="preserve">, the Court believes that </w:t>
      </w:r>
      <w:r w:rsidR="0092686C" w:rsidRPr="009819CA">
        <w:rPr>
          <w:lang w:val="en-CA"/>
        </w:rPr>
        <w:t>Mr.</w:t>
      </w:r>
      <w:r w:rsidR="007D3B1A" w:rsidRPr="009819CA">
        <w:rPr>
          <w:lang w:val="en-CA"/>
        </w:rPr>
        <w:t> </w:t>
      </w:r>
      <w:r w:rsidR="00FA231C" w:rsidRPr="009819CA">
        <w:rPr>
          <w:lang w:val="en-CA"/>
        </w:rPr>
        <w:t xml:space="preserve">Houle </w:t>
      </w:r>
      <w:r w:rsidRPr="009819CA">
        <w:rPr>
          <w:lang w:val="en-CA"/>
        </w:rPr>
        <w:t>deserves sentence</w:t>
      </w:r>
      <w:r w:rsidR="00A2655D" w:rsidRPr="009819CA">
        <w:rPr>
          <w:lang w:val="en-CA"/>
        </w:rPr>
        <w:t>s</w:t>
      </w:r>
      <w:r w:rsidRPr="009819CA">
        <w:rPr>
          <w:lang w:val="en-CA"/>
        </w:rPr>
        <w:t xml:space="preserve"> of 12 month</w:t>
      </w:r>
      <w:r w:rsidR="00D36631" w:rsidRPr="009819CA">
        <w:rPr>
          <w:lang w:val="en-CA"/>
        </w:rPr>
        <w:t>s</w:t>
      </w:r>
      <w:r w:rsidR="00A2655D" w:rsidRPr="009819CA">
        <w:rPr>
          <w:lang w:val="en-CA"/>
        </w:rPr>
        <w:t>’ imprisonment</w:t>
      </w:r>
      <w:r w:rsidR="00D36631" w:rsidRPr="009819CA">
        <w:rPr>
          <w:lang w:val="en-CA"/>
        </w:rPr>
        <w:t xml:space="preserve"> </w:t>
      </w:r>
      <w:r w:rsidRPr="009819CA">
        <w:rPr>
          <w:lang w:val="en-CA"/>
        </w:rPr>
        <w:t xml:space="preserve">on the </w:t>
      </w:r>
      <w:r w:rsidR="00A2655D" w:rsidRPr="009819CA">
        <w:rPr>
          <w:lang w:val="en-CA"/>
        </w:rPr>
        <w:t xml:space="preserve">count of </w:t>
      </w:r>
      <w:r w:rsidRPr="009819CA">
        <w:rPr>
          <w:lang w:val="en-CA"/>
        </w:rPr>
        <w:t>sexual assault and 2 months</w:t>
      </w:r>
      <w:r w:rsidR="00A2655D" w:rsidRPr="009819CA">
        <w:rPr>
          <w:lang w:val="en-CA"/>
        </w:rPr>
        <w:t>’ imprisonment</w:t>
      </w:r>
      <w:r w:rsidRPr="009819CA">
        <w:rPr>
          <w:lang w:val="en-CA"/>
        </w:rPr>
        <w:t xml:space="preserve"> on the </w:t>
      </w:r>
      <w:r w:rsidR="00A2655D" w:rsidRPr="009819CA">
        <w:rPr>
          <w:lang w:val="en-CA"/>
        </w:rPr>
        <w:t xml:space="preserve">count of </w:t>
      </w:r>
      <w:r w:rsidRPr="009819CA">
        <w:rPr>
          <w:lang w:val="en-CA"/>
        </w:rPr>
        <w:t>voyeurism, to be served concurrently in view of the close relationship between the two offences.</w:t>
      </w:r>
    </w:p>
    <w:p w14:paraId="67A5D556" w14:textId="024E54BB" w:rsidR="00D405C9" w:rsidRPr="009819CA" w:rsidRDefault="00A2655D" w:rsidP="0074516E">
      <w:pPr>
        <w:pStyle w:val="Paragraphe"/>
        <w:rPr>
          <w:lang w:val="en-CA"/>
        </w:rPr>
      </w:pPr>
      <w:r w:rsidRPr="009819CA">
        <w:rPr>
          <w:lang w:val="en-CA"/>
        </w:rPr>
        <w:t>T</w:t>
      </w:r>
      <w:r w:rsidR="000135B4" w:rsidRPr="009819CA">
        <w:rPr>
          <w:lang w:val="en-CA"/>
        </w:rPr>
        <w:t xml:space="preserve">he probation period should </w:t>
      </w:r>
      <w:r w:rsidRPr="009819CA">
        <w:rPr>
          <w:lang w:val="en-CA"/>
        </w:rPr>
        <w:t xml:space="preserve">therefore </w:t>
      </w:r>
      <w:proofErr w:type="gramStart"/>
      <w:r w:rsidR="000135B4" w:rsidRPr="009819CA">
        <w:rPr>
          <w:lang w:val="en-CA"/>
        </w:rPr>
        <w:t>be reduced</w:t>
      </w:r>
      <w:proofErr w:type="gramEnd"/>
      <w:r w:rsidR="000135B4" w:rsidRPr="009819CA">
        <w:rPr>
          <w:lang w:val="en-CA"/>
        </w:rPr>
        <w:t xml:space="preserve"> to one year and the $6,000 donation</w:t>
      </w:r>
      <w:r w:rsidR="003E1CF2" w:rsidRPr="009819CA">
        <w:rPr>
          <w:lang w:val="en-CA"/>
        </w:rPr>
        <w:t xml:space="preserve"> </w:t>
      </w:r>
      <w:r w:rsidR="000135B4" w:rsidRPr="009819CA">
        <w:rPr>
          <w:lang w:val="en-CA"/>
        </w:rPr>
        <w:t xml:space="preserve">to </w:t>
      </w:r>
      <w:r w:rsidR="003E1CF2" w:rsidRPr="009819CA">
        <w:rPr>
          <w:lang w:val="en-CA"/>
        </w:rPr>
        <w:t>CALACS de Trois</w:t>
      </w:r>
      <w:r w:rsidR="00782002" w:rsidRPr="009819CA">
        <w:rPr>
          <w:lang w:val="en-CA"/>
        </w:rPr>
        <w:noBreakHyphen/>
      </w:r>
      <w:r w:rsidR="003E1CF2" w:rsidRPr="009819CA">
        <w:rPr>
          <w:lang w:val="en-CA"/>
        </w:rPr>
        <w:t>Rivières</w:t>
      </w:r>
      <w:r w:rsidR="006F7A26" w:rsidRPr="009819CA">
        <w:rPr>
          <w:lang w:val="en-CA"/>
        </w:rPr>
        <w:t xml:space="preserve"> </w:t>
      </w:r>
      <w:r w:rsidR="000742C1" w:rsidRPr="009819CA">
        <w:rPr>
          <w:lang w:val="en-CA"/>
        </w:rPr>
        <w:t>removed</w:t>
      </w:r>
      <w:r w:rsidR="006134AB" w:rsidRPr="009819CA">
        <w:rPr>
          <w:lang w:val="en-CA"/>
        </w:rPr>
        <w:t>.</w:t>
      </w:r>
    </w:p>
    <w:p w14:paraId="5FF64498" w14:textId="0986E324" w:rsidR="00266604" w:rsidRPr="009819CA" w:rsidRDefault="006F7A26" w:rsidP="006952C5">
      <w:pPr>
        <w:pStyle w:val="Paragraphe"/>
        <w:keepNext/>
        <w:numPr>
          <w:ilvl w:val="0"/>
          <w:numId w:val="0"/>
        </w:numPr>
        <w:rPr>
          <w:b/>
          <w:bCs/>
          <w:lang w:val="en-CA"/>
        </w:rPr>
      </w:pPr>
      <w:r w:rsidRPr="009819CA">
        <w:rPr>
          <w:b/>
          <w:bCs/>
          <w:lang w:val="en-CA"/>
        </w:rPr>
        <w:t>FOR THESE REASONS</w:t>
      </w:r>
      <w:r w:rsidR="001D6CD6" w:rsidRPr="009819CA">
        <w:rPr>
          <w:b/>
          <w:bCs/>
          <w:lang w:val="en-CA"/>
        </w:rPr>
        <w:t>,</w:t>
      </w:r>
      <w:r w:rsidRPr="009819CA">
        <w:rPr>
          <w:b/>
          <w:bCs/>
          <w:lang w:val="en-CA"/>
        </w:rPr>
        <w:t xml:space="preserve"> THE COURT</w:t>
      </w:r>
      <w:r w:rsidR="00266604" w:rsidRPr="009819CA">
        <w:rPr>
          <w:b/>
          <w:bCs/>
          <w:lang w:val="en-CA"/>
        </w:rPr>
        <w:t>:</w:t>
      </w:r>
    </w:p>
    <w:p w14:paraId="05B25AD5" w14:textId="77777777" w:rsidR="00266604" w:rsidRPr="009819CA" w:rsidRDefault="006F7A26" w:rsidP="00812439">
      <w:pPr>
        <w:pStyle w:val="Paragraphe"/>
        <w:rPr>
          <w:lang w:val="en-CA"/>
        </w:rPr>
      </w:pPr>
      <w:r w:rsidRPr="009819CA">
        <w:rPr>
          <w:b/>
          <w:bCs/>
          <w:lang w:val="en-CA"/>
        </w:rPr>
        <w:t xml:space="preserve">GRANTS </w:t>
      </w:r>
      <w:r w:rsidRPr="009819CA">
        <w:rPr>
          <w:bCs/>
          <w:lang w:val="en-CA"/>
        </w:rPr>
        <w:t>the application for leave to appeal</w:t>
      </w:r>
      <w:r w:rsidR="00266604" w:rsidRPr="009819CA">
        <w:rPr>
          <w:lang w:val="en-CA"/>
        </w:rPr>
        <w:t>;</w:t>
      </w:r>
    </w:p>
    <w:p w14:paraId="2653482A" w14:textId="489D3E70" w:rsidR="00266604" w:rsidRPr="009819CA" w:rsidRDefault="00D65794" w:rsidP="00812439">
      <w:pPr>
        <w:pStyle w:val="Paragraphe"/>
        <w:rPr>
          <w:lang w:val="en-CA"/>
        </w:rPr>
      </w:pPr>
      <w:r w:rsidRPr="009819CA">
        <w:rPr>
          <w:b/>
          <w:bCs/>
          <w:lang w:val="en-CA"/>
        </w:rPr>
        <w:t>ALLOWS</w:t>
      </w:r>
      <w:r w:rsidRPr="009819CA">
        <w:rPr>
          <w:lang w:val="en-CA"/>
        </w:rPr>
        <w:t xml:space="preserve"> </w:t>
      </w:r>
      <w:r w:rsidR="006F7A26" w:rsidRPr="009819CA">
        <w:rPr>
          <w:lang w:val="en-CA"/>
        </w:rPr>
        <w:t xml:space="preserve">the </w:t>
      </w:r>
      <w:r w:rsidR="00266604" w:rsidRPr="009819CA">
        <w:rPr>
          <w:lang w:val="en-CA"/>
        </w:rPr>
        <w:t>appe</w:t>
      </w:r>
      <w:r w:rsidR="006F7A26" w:rsidRPr="009819CA">
        <w:rPr>
          <w:lang w:val="en-CA"/>
        </w:rPr>
        <w:t>a</w:t>
      </w:r>
      <w:r w:rsidR="00266604" w:rsidRPr="009819CA">
        <w:rPr>
          <w:lang w:val="en-CA"/>
        </w:rPr>
        <w:t>l;</w:t>
      </w:r>
    </w:p>
    <w:p w14:paraId="6404423B" w14:textId="54B20582" w:rsidR="00741E50" w:rsidRPr="009819CA" w:rsidRDefault="005B2C93" w:rsidP="00812439">
      <w:pPr>
        <w:pStyle w:val="Paragraphe"/>
        <w:rPr>
          <w:lang w:val="en-CA"/>
        </w:rPr>
      </w:pPr>
      <w:r w:rsidRPr="009819CA">
        <w:rPr>
          <w:b/>
          <w:bCs/>
          <w:lang w:val="en-CA"/>
        </w:rPr>
        <w:t>REVOK</w:t>
      </w:r>
      <w:r w:rsidR="00D65794" w:rsidRPr="009819CA">
        <w:rPr>
          <w:b/>
          <w:bCs/>
          <w:lang w:val="en-CA"/>
        </w:rPr>
        <w:t xml:space="preserve">ES </w:t>
      </w:r>
      <w:r w:rsidR="006F7A26" w:rsidRPr="009819CA">
        <w:rPr>
          <w:bCs/>
          <w:lang w:val="en-CA"/>
        </w:rPr>
        <w:t>the conditional discharge issued by the trial judge;</w:t>
      </w:r>
    </w:p>
    <w:p w14:paraId="126DBC82" w14:textId="2744551C" w:rsidR="00266604" w:rsidRPr="009819CA" w:rsidRDefault="00741E50" w:rsidP="00812439">
      <w:pPr>
        <w:pStyle w:val="Paragraphe"/>
        <w:rPr>
          <w:lang w:val="en-CA"/>
        </w:rPr>
      </w:pPr>
      <w:r w:rsidRPr="009819CA">
        <w:rPr>
          <w:b/>
          <w:bCs/>
          <w:lang w:val="en-CA"/>
        </w:rPr>
        <w:t>COND</w:t>
      </w:r>
      <w:r w:rsidR="006F7A26" w:rsidRPr="009819CA">
        <w:rPr>
          <w:b/>
          <w:bCs/>
          <w:lang w:val="en-CA"/>
        </w:rPr>
        <w:t>EMNS</w:t>
      </w:r>
      <w:r w:rsidRPr="009819CA">
        <w:rPr>
          <w:lang w:val="en-CA"/>
        </w:rPr>
        <w:t xml:space="preserve"> Simon Houle </w:t>
      </w:r>
      <w:r w:rsidR="006F7A26" w:rsidRPr="009819CA">
        <w:rPr>
          <w:lang w:val="en-CA"/>
        </w:rPr>
        <w:t xml:space="preserve">to serve </w:t>
      </w:r>
      <w:r w:rsidR="000742C1" w:rsidRPr="009819CA">
        <w:rPr>
          <w:lang w:val="en-CA"/>
        </w:rPr>
        <w:t>concurrent</w:t>
      </w:r>
      <w:r w:rsidR="006F7A26" w:rsidRPr="009819CA">
        <w:rPr>
          <w:lang w:val="en-CA"/>
        </w:rPr>
        <w:t xml:space="preserve"> prison sentence</w:t>
      </w:r>
      <w:r w:rsidR="000742C1" w:rsidRPr="009819CA">
        <w:rPr>
          <w:lang w:val="en-CA"/>
        </w:rPr>
        <w:t>s</w:t>
      </w:r>
      <w:r w:rsidR="006F7A26" w:rsidRPr="009819CA">
        <w:rPr>
          <w:lang w:val="en-CA"/>
        </w:rPr>
        <w:t xml:space="preserve"> of 12 months on </w:t>
      </w:r>
      <w:r w:rsidR="000742C1" w:rsidRPr="009819CA">
        <w:rPr>
          <w:lang w:val="en-CA"/>
        </w:rPr>
        <w:t xml:space="preserve">count 1 </w:t>
      </w:r>
      <w:r w:rsidR="006F7A26" w:rsidRPr="009819CA">
        <w:rPr>
          <w:lang w:val="en-CA"/>
        </w:rPr>
        <w:t xml:space="preserve">(sexual assault) and 2 months on </w:t>
      </w:r>
      <w:r w:rsidR="000742C1" w:rsidRPr="009819CA">
        <w:rPr>
          <w:lang w:val="en-CA"/>
        </w:rPr>
        <w:t xml:space="preserve">count 2 </w:t>
      </w:r>
      <w:r w:rsidR="006F7A26" w:rsidRPr="009819CA">
        <w:rPr>
          <w:lang w:val="en-CA"/>
        </w:rPr>
        <w:t>(voyeurism);</w:t>
      </w:r>
    </w:p>
    <w:p w14:paraId="16E5905C" w14:textId="5012E0A2" w:rsidR="005E079D" w:rsidRPr="009819CA" w:rsidRDefault="006F7A26" w:rsidP="00812439">
      <w:pPr>
        <w:pStyle w:val="Paragraphe"/>
        <w:rPr>
          <w:lang w:val="en-CA"/>
        </w:rPr>
      </w:pPr>
      <w:r w:rsidRPr="009819CA">
        <w:rPr>
          <w:b/>
          <w:bCs/>
          <w:lang w:val="en-CA"/>
        </w:rPr>
        <w:lastRenderedPageBreak/>
        <w:t>VAR</w:t>
      </w:r>
      <w:r w:rsidR="005E079D" w:rsidRPr="009819CA">
        <w:rPr>
          <w:b/>
          <w:bCs/>
          <w:lang w:val="en-CA"/>
        </w:rPr>
        <w:t>IE</w:t>
      </w:r>
      <w:r w:rsidRPr="009819CA">
        <w:rPr>
          <w:b/>
          <w:bCs/>
          <w:lang w:val="en-CA"/>
        </w:rPr>
        <w:t>S</w:t>
      </w:r>
      <w:r w:rsidRPr="009819CA">
        <w:rPr>
          <w:lang w:val="en-CA"/>
        </w:rPr>
        <w:t xml:space="preserve"> the</w:t>
      </w:r>
      <w:r w:rsidR="005E079D" w:rsidRPr="009819CA">
        <w:rPr>
          <w:lang w:val="en-CA"/>
        </w:rPr>
        <w:t xml:space="preserve"> probation </w:t>
      </w:r>
      <w:r w:rsidRPr="009819CA">
        <w:rPr>
          <w:lang w:val="en-CA"/>
        </w:rPr>
        <w:t xml:space="preserve">order for the sole purpose of reducing its duration to one year and </w:t>
      </w:r>
      <w:r w:rsidR="000742C1" w:rsidRPr="009819CA">
        <w:rPr>
          <w:lang w:val="en-CA"/>
        </w:rPr>
        <w:t xml:space="preserve">removing </w:t>
      </w:r>
      <w:r w:rsidRPr="009819CA">
        <w:rPr>
          <w:lang w:val="en-CA"/>
        </w:rPr>
        <w:t xml:space="preserve">the </w:t>
      </w:r>
      <w:r w:rsidR="005E079D" w:rsidRPr="009819CA">
        <w:rPr>
          <w:lang w:val="en-CA"/>
        </w:rPr>
        <w:t xml:space="preserve">condition </w:t>
      </w:r>
      <w:r w:rsidRPr="009819CA">
        <w:rPr>
          <w:lang w:val="en-CA"/>
        </w:rPr>
        <w:t xml:space="preserve">of making a $6,000 donation to </w:t>
      </w:r>
      <w:r w:rsidR="005E079D" w:rsidRPr="009819CA">
        <w:rPr>
          <w:lang w:val="en-CA"/>
        </w:rPr>
        <w:t>CALACS de Trois</w:t>
      </w:r>
      <w:r w:rsidR="00782002" w:rsidRPr="009819CA">
        <w:rPr>
          <w:lang w:val="en-CA"/>
        </w:rPr>
        <w:noBreakHyphen/>
      </w:r>
      <w:r w:rsidR="005E079D" w:rsidRPr="009819CA">
        <w:rPr>
          <w:lang w:val="en-CA"/>
        </w:rPr>
        <w:t>Rivières;</w:t>
      </w:r>
    </w:p>
    <w:p w14:paraId="7FDFD7AF" w14:textId="0915CE53" w:rsidR="00812439" w:rsidRPr="009819CA" w:rsidRDefault="006134AB" w:rsidP="006134AB">
      <w:pPr>
        <w:pStyle w:val="Paragraphe"/>
        <w:rPr>
          <w:lang w:val="en-CA"/>
        </w:rPr>
      </w:pPr>
      <w:r w:rsidRPr="009819CA">
        <w:rPr>
          <w:b/>
          <w:bCs/>
          <w:lang w:val="en-CA"/>
        </w:rPr>
        <w:t>MAINT</w:t>
      </w:r>
      <w:r w:rsidR="005F71A8" w:rsidRPr="009819CA">
        <w:rPr>
          <w:b/>
          <w:bCs/>
          <w:lang w:val="en-CA"/>
        </w:rPr>
        <w:t>AINS</w:t>
      </w:r>
      <w:r w:rsidR="005F71A8" w:rsidRPr="009819CA">
        <w:rPr>
          <w:lang w:val="en-CA"/>
        </w:rPr>
        <w:t xml:space="preserve"> the other orders issued by the </w:t>
      </w:r>
      <w:r w:rsidRPr="009819CA">
        <w:rPr>
          <w:lang w:val="en-CA"/>
        </w:rPr>
        <w:t>ju</w:t>
      </w:r>
      <w:r w:rsidR="005F71A8" w:rsidRPr="009819CA">
        <w:rPr>
          <w:lang w:val="en-CA"/>
        </w:rPr>
        <w:t>d</w:t>
      </w:r>
      <w:r w:rsidRPr="009819CA">
        <w:rPr>
          <w:lang w:val="en-CA"/>
        </w:rPr>
        <w:t>ge</w:t>
      </w:r>
      <w:r w:rsidR="00741E50" w:rsidRPr="009819CA">
        <w:rPr>
          <w:lang w:val="en-CA"/>
        </w:rPr>
        <w:t>;</w:t>
      </w:r>
    </w:p>
    <w:p w14:paraId="4962529A" w14:textId="710926D4" w:rsidR="00741E50" w:rsidRPr="009819CA" w:rsidRDefault="005F71A8" w:rsidP="006134AB">
      <w:pPr>
        <w:pStyle w:val="Paragraphe"/>
        <w:rPr>
          <w:lang w:val="en-CA"/>
        </w:rPr>
      </w:pPr>
      <w:r w:rsidRPr="009819CA">
        <w:rPr>
          <w:b/>
          <w:bCs/>
          <w:lang w:val="en-CA"/>
        </w:rPr>
        <w:t>ORDERS</w:t>
      </w:r>
      <w:r w:rsidR="00741E50" w:rsidRPr="009819CA">
        <w:rPr>
          <w:b/>
          <w:bCs/>
          <w:lang w:val="en-CA"/>
        </w:rPr>
        <w:t xml:space="preserve"> </w:t>
      </w:r>
      <w:r w:rsidR="00741E50" w:rsidRPr="009819CA">
        <w:rPr>
          <w:lang w:val="en-CA"/>
        </w:rPr>
        <w:t xml:space="preserve">Simon Houle </w:t>
      </w:r>
      <w:r w:rsidR="00AC26FF" w:rsidRPr="009819CA">
        <w:rPr>
          <w:lang w:val="en-CA"/>
        </w:rPr>
        <w:t xml:space="preserve">to </w:t>
      </w:r>
      <w:r w:rsidR="006C6A68" w:rsidRPr="009819CA">
        <w:rPr>
          <w:lang w:val="en-CA"/>
        </w:rPr>
        <w:t>surrender</w:t>
      </w:r>
      <w:r w:rsidR="000742C1" w:rsidRPr="009819CA">
        <w:rPr>
          <w:lang w:val="en-CA"/>
        </w:rPr>
        <w:t xml:space="preserve"> </w:t>
      </w:r>
      <w:r w:rsidR="00AC26FF" w:rsidRPr="009819CA">
        <w:rPr>
          <w:lang w:val="en-CA"/>
        </w:rPr>
        <w:t>himself to the</w:t>
      </w:r>
      <w:r w:rsidRPr="009819CA">
        <w:rPr>
          <w:lang w:val="en-CA"/>
        </w:rPr>
        <w:t xml:space="preserve"> prison authorities no later than </w:t>
      </w:r>
      <w:r w:rsidRPr="009819CA">
        <w:rPr>
          <w:b/>
          <w:lang w:val="en-CA"/>
        </w:rPr>
        <w:t xml:space="preserve">January 30, </w:t>
      </w:r>
      <w:r w:rsidR="000C19EE" w:rsidRPr="009819CA">
        <w:rPr>
          <w:b/>
          <w:bCs/>
          <w:lang w:val="en-CA"/>
        </w:rPr>
        <w:t>2023</w:t>
      </w:r>
      <w:r w:rsidRPr="009819CA">
        <w:rPr>
          <w:lang w:val="en-CA"/>
        </w:rPr>
        <w:t>, between</w:t>
      </w:r>
      <w:r w:rsidR="00AC26FF" w:rsidRPr="009819CA">
        <w:rPr>
          <w:lang w:val="en-CA"/>
        </w:rPr>
        <w:t xml:space="preserve"> </w:t>
      </w:r>
      <w:r w:rsidRPr="009819CA">
        <w:rPr>
          <w:lang w:val="en-CA"/>
        </w:rPr>
        <w:t>9 a.m. and 3 p.m.</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8F364A" w:rsidRPr="00BF230D" w14:paraId="3224C909" w14:textId="77777777" w:rsidTr="003E3239">
        <w:trPr>
          <w:trHeight w:val="576"/>
        </w:trPr>
        <w:tc>
          <w:tcPr>
            <w:tcW w:w="9362" w:type="dxa"/>
            <w:gridSpan w:val="3"/>
            <w:tcBorders>
              <w:top w:val="nil"/>
              <w:bottom w:val="nil"/>
            </w:tcBorders>
          </w:tcPr>
          <w:p w14:paraId="5C07CBDD" w14:textId="77777777" w:rsidR="008F364A" w:rsidRPr="009819CA" w:rsidRDefault="008F364A">
            <w:pPr>
              <w:keepNext/>
              <w:rPr>
                <w:lang w:val="en-CA"/>
              </w:rPr>
            </w:pPr>
          </w:p>
        </w:tc>
      </w:tr>
      <w:tr w:rsidR="008F364A" w:rsidRPr="00BF230D" w14:paraId="0394AFB1" w14:textId="77777777" w:rsidTr="00117914">
        <w:trPr>
          <w:trHeight w:val="283"/>
        </w:trPr>
        <w:tc>
          <w:tcPr>
            <w:tcW w:w="4682" w:type="dxa"/>
            <w:gridSpan w:val="2"/>
            <w:tcBorders>
              <w:top w:val="nil"/>
              <w:bottom w:val="nil"/>
            </w:tcBorders>
          </w:tcPr>
          <w:p w14:paraId="48411963" w14:textId="77777777" w:rsidR="008F364A" w:rsidRPr="009819CA" w:rsidRDefault="008F364A">
            <w:pPr>
              <w:keepNext/>
              <w:rPr>
                <w:lang w:val="en-CA"/>
              </w:rPr>
            </w:pPr>
          </w:p>
        </w:tc>
        <w:tc>
          <w:tcPr>
            <w:tcW w:w="4680" w:type="dxa"/>
            <w:tcBorders>
              <w:top w:val="nil"/>
              <w:bottom w:val="single" w:sz="8" w:space="0" w:color="auto"/>
            </w:tcBorders>
          </w:tcPr>
          <w:p w14:paraId="0477D0DF" w14:textId="77777777" w:rsidR="008F364A" w:rsidRPr="009819CA" w:rsidRDefault="008F364A">
            <w:pPr>
              <w:keepNext/>
              <w:rPr>
                <w:lang w:val="en-CA"/>
              </w:rPr>
            </w:pPr>
          </w:p>
        </w:tc>
      </w:tr>
      <w:tr w:rsidR="008F364A" w:rsidRPr="009819CA" w14:paraId="72324F5C" w14:textId="77777777" w:rsidTr="00117914">
        <w:trPr>
          <w:trHeight w:val="283"/>
        </w:trPr>
        <w:tc>
          <w:tcPr>
            <w:tcW w:w="4682" w:type="dxa"/>
            <w:gridSpan w:val="2"/>
            <w:tcBorders>
              <w:top w:val="nil"/>
            </w:tcBorders>
          </w:tcPr>
          <w:p w14:paraId="7A24C102" w14:textId="77777777" w:rsidR="008F364A" w:rsidRPr="009819CA" w:rsidRDefault="008F364A">
            <w:pPr>
              <w:keepNext/>
              <w:rPr>
                <w:lang w:val="en-CA"/>
              </w:rPr>
            </w:pPr>
          </w:p>
        </w:tc>
        <w:tc>
          <w:tcPr>
            <w:tcW w:w="4680" w:type="dxa"/>
            <w:tcBorders>
              <w:top w:val="single" w:sz="8" w:space="0" w:color="auto"/>
            </w:tcBorders>
          </w:tcPr>
          <w:p w14:paraId="6F0D7444" w14:textId="77777777" w:rsidR="008F364A" w:rsidRPr="009819CA" w:rsidRDefault="006358BA">
            <w:pPr>
              <w:rPr>
                <w:lang w:val="en-CA"/>
              </w:rPr>
            </w:pPr>
            <w:r w:rsidRPr="009819CA">
              <w:rPr>
                <w:lang w:val="en-CA"/>
              </w:rPr>
              <w:t>GUY GA</w:t>
            </w:r>
            <w:r w:rsidR="001F71EF" w:rsidRPr="009819CA">
              <w:rPr>
                <w:lang w:val="en-CA"/>
              </w:rPr>
              <w:t>GNON, J</w:t>
            </w:r>
            <w:r w:rsidRPr="009819CA">
              <w:rPr>
                <w:lang w:val="en-CA"/>
              </w:rPr>
              <w:t>.A.</w:t>
            </w:r>
          </w:p>
        </w:tc>
      </w:tr>
      <w:tr w:rsidR="008F364A" w:rsidRPr="009819CA" w14:paraId="38F03EE4" w14:textId="77777777" w:rsidTr="00117914">
        <w:trPr>
          <w:trHeight w:val="283"/>
        </w:trPr>
        <w:tc>
          <w:tcPr>
            <w:tcW w:w="4682" w:type="dxa"/>
            <w:gridSpan w:val="2"/>
            <w:tcBorders>
              <w:top w:val="nil"/>
            </w:tcBorders>
          </w:tcPr>
          <w:p w14:paraId="0F1B639A" w14:textId="77777777" w:rsidR="008F364A" w:rsidRPr="009819CA" w:rsidRDefault="008F364A">
            <w:pPr>
              <w:keepNext/>
              <w:rPr>
                <w:lang w:val="en-CA"/>
              </w:rPr>
            </w:pPr>
            <w:bookmarkStart w:id="17" w:name="Signature2"/>
          </w:p>
        </w:tc>
        <w:tc>
          <w:tcPr>
            <w:tcW w:w="4680" w:type="dxa"/>
            <w:tcBorders>
              <w:top w:val="nil"/>
            </w:tcBorders>
          </w:tcPr>
          <w:p w14:paraId="28C8C311" w14:textId="77777777" w:rsidR="008F364A" w:rsidRPr="009819CA" w:rsidRDefault="008F364A">
            <w:pPr>
              <w:keepNext/>
              <w:rPr>
                <w:lang w:val="en-CA"/>
              </w:rPr>
            </w:pPr>
          </w:p>
        </w:tc>
      </w:tr>
      <w:tr w:rsidR="008F364A" w:rsidRPr="009819CA" w14:paraId="6F4961E5" w14:textId="77777777" w:rsidTr="00117914">
        <w:trPr>
          <w:trHeight w:val="283"/>
        </w:trPr>
        <w:tc>
          <w:tcPr>
            <w:tcW w:w="4682" w:type="dxa"/>
            <w:gridSpan w:val="2"/>
            <w:tcBorders>
              <w:top w:val="nil"/>
              <w:bottom w:val="nil"/>
            </w:tcBorders>
          </w:tcPr>
          <w:p w14:paraId="73A970E4" w14:textId="77777777" w:rsidR="008F364A" w:rsidRPr="009819CA" w:rsidRDefault="008F364A">
            <w:pPr>
              <w:keepNext/>
              <w:rPr>
                <w:lang w:val="en-CA"/>
              </w:rPr>
            </w:pPr>
          </w:p>
        </w:tc>
        <w:tc>
          <w:tcPr>
            <w:tcW w:w="4680" w:type="dxa"/>
            <w:tcBorders>
              <w:top w:val="nil"/>
              <w:bottom w:val="single" w:sz="8" w:space="0" w:color="auto"/>
            </w:tcBorders>
          </w:tcPr>
          <w:p w14:paraId="465CC048" w14:textId="77777777" w:rsidR="008F364A" w:rsidRPr="009819CA" w:rsidRDefault="008F364A">
            <w:pPr>
              <w:keepNext/>
              <w:rPr>
                <w:lang w:val="en-CA"/>
              </w:rPr>
            </w:pPr>
          </w:p>
        </w:tc>
      </w:tr>
      <w:tr w:rsidR="008F364A" w:rsidRPr="009819CA" w14:paraId="5B9561B8" w14:textId="77777777" w:rsidTr="00117914">
        <w:trPr>
          <w:trHeight w:val="283"/>
        </w:trPr>
        <w:tc>
          <w:tcPr>
            <w:tcW w:w="4682" w:type="dxa"/>
            <w:gridSpan w:val="2"/>
            <w:tcBorders>
              <w:top w:val="nil"/>
            </w:tcBorders>
          </w:tcPr>
          <w:p w14:paraId="6D3D82ED" w14:textId="77777777" w:rsidR="008F364A" w:rsidRPr="009819CA" w:rsidRDefault="008F364A">
            <w:pPr>
              <w:keepNext/>
              <w:rPr>
                <w:lang w:val="en-CA"/>
              </w:rPr>
            </w:pPr>
          </w:p>
        </w:tc>
        <w:tc>
          <w:tcPr>
            <w:tcW w:w="4680" w:type="dxa"/>
            <w:tcBorders>
              <w:top w:val="single" w:sz="8" w:space="0" w:color="auto"/>
            </w:tcBorders>
          </w:tcPr>
          <w:p w14:paraId="6BD4BE4C" w14:textId="77777777" w:rsidR="008F364A" w:rsidRPr="009819CA" w:rsidRDefault="001F71EF">
            <w:pPr>
              <w:keepNext/>
              <w:rPr>
                <w:lang w:val="en-CA"/>
              </w:rPr>
            </w:pPr>
            <w:r w:rsidRPr="009819CA">
              <w:rPr>
                <w:lang w:val="en-CA"/>
              </w:rPr>
              <w:t>SUZANNE GAGNÉ, J.</w:t>
            </w:r>
            <w:r w:rsidR="006358BA" w:rsidRPr="009819CA">
              <w:rPr>
                <w:lang w:val="en-CA"/>
              </w:rPr>
              <w:t>A.</w:t>
            </w:r>
          </w:p>
        </w:tc>
      </w:tr>
      <w:tr w:rsidR="008F364A" w:rsidRPr="009819CA" w14:paraId="5B4760A7" w14:textId="77777777" w:rsidTr="00117914">
        <w:trPr>
          <w:trHeight w:val="283"/>
        </w:trPr>
        <w:tc>
          <w:tcPr>
            <w:tcW w:w="4682" w:type="dxa"/>
            <w:gridSpan w:val="2"/>
            <w:tcBorders>
              <w:top w:val="nil"/>
            </w:tcBorders>
          </w:tcPr>
          <w:p w14:paraId="0CD2B048" w14:textId="77777777" w:rsidR="008F364A" w:rsidRPr="009819CA" w:rsidRDefault="008F364A">
            <w:pPr>
              <w:keepNext/>
              <w:rPr>
                <w:lang w:val="en-CA"/>
              </w:rPr>
            </w:pPr>
            <w:bookmarkStart w:id="18" w:name="Signature3"/>
            <w:bookmarkEnd w:id="17"/>
          </w:p>
        </w:tc>
        <w:tc>
          <w:tcPr>
            <w:tcW w:w="4680" w:type="dxa"/>
            <w:tcBorders>
              <w:top w:val="nil"/>
            </w:tcBorders>
          </w:tcPr>
          <w:p w14:paraId="09C164DE" w14:textId="77777777" w:rsidR="008F364A" w:rsidRPr="009819CA" w:rsidRDefault="008F364A">
            <w:pPr>
              <w:keepNext/>
              <w:rPr>
                <w:lang w:val="en-CA"/>
              </w:rPr>
            </w:pPr>
          </w:p>
        </w:tc>
      </w:tr>
      <w:tr w:rsidR="008F364A" w:rsidRPr="009819CA" w14:paraId="18188FC9" w14:textId="77777777" w:rsidTr="00117914">
        <w:trPr>
          <w:trHeight w:val="283"/>
        </w:trPr>
        <w:tc>
          <w:tcPr>
            <w:tcW w:w="4682" w:type="dxa"/>
            <w:gridSpan w:val="2"/>
            <w:tcBorders>
              <w:top w:val="nil"/>
              <w:bottom w:val="nil"/>
            </w:tcBorders>
          </w:tcPr>
          <w:p w14:paraId="5C53D5DC" w14:textId="77777777" w:rsidR="008F364A" w:rsidRPr="009819CA" w:rsidRDefault="008F364A">
            <w:pPr>
              <w:keepNext/>
              <w:rPr>
                <w:lang w:val="en-CA"/>
              </w:rPr>
            </w:pPr>
          </w:p>
        </w:tc>
        <w:tc>
          <w:tcPr>
            <w:tcW w:w="4680" w:type="dxa"/>
            <w:tcBorders>
              <w:top w:val="nil"/>
              <w:bottom w:val="single" w:sz="8" w:space="0" w:color="auto"/>
            </w:tcBorders>
          </w:tcPr>
          <w:p w14:paraId="1740480B" w14:textId="77777777" w:rsidR="008F364A" w:rsidRPr="009819CA" w:rsidRDefault="008F364A">
            <w:pPr>
              <w:keepNext/>
              <w:rPr>
                <w:lang w:val="en-CA"/>
              </w:rPr>
            </w:pPr>
          </w:p>
        </w:tc>
      </w:tr>
      <w:tr w:rsidR="008F364A" w:rsidRPr="009819CA" w14:paraId="4C7921B1" w14:textId="77777777" w:rsidTr="00117914">
        <w:trPr>
          <w:trHeight w:val="283"/>
        </w:trPr>
        <w:tc>
          <w:tcPr>
            <w:tcW w:w="4682" w:type="dxa"/>
            <w:gridSpan w:val="2"/>
            <w:tcBorders>
              <w:top w:val="nil"/>
            </w:tcBorders>
          </w:tcPr>
          <w:p w14:paraId="0150D7EF" w14:textId="77777777" w:rsidR="008F364A" w:rsidRPr="009819CA" w:rsidRDefault="008F364A">
            <w:pPr>
              <w:keepNext/>
              <w:rPr>
                <w:lang w:val="en-CA"/>
              </w:rPr>
            </w:pPr>
          </w:p>
        </w:tc>
        <w:tc>
          <w:tcPr>
            <w:tcW w:w="4680" w:type="dxa"/>
            <w:tcBorders>
              <w:top w:val="single" w:sz="8" w:space="0" w:color="auto"/>
            </w:tcBorders>
          </w:tcPr>
          <w:p w14:paraId="15788AFF" w14:textId="77777777" w:rsidR="008F364A" w:rsidRPr="009819CA" w:rsidRDefault="001F71EF">
            <w:pPr>
              <w:keepNext/>
              <w:rPr>
                <w:lang w:val="en-CA"/>
              </w:rPr>
            </w:pPr>
            <w:r w:rsidRPr="009819CA">
              <w:rPr>
                <w:lang w:val="en-CA"/>
              </w:rPr>
              <w:t>SOPHIE LAVALLÉE, J.</w:t>
            </w:r>
            <w:r w:rsidR="006358BA" w:rsidRPr="009819CA">
              <w:rPr>
                <w:lang w:val="en-CA"/>
              </w:rPr>
              <w:t>A.</w:t>
            </w:r>
          </w:p>
        </w:tc>
      </w:tr>
      <w:bookmarkEnd w:id="18"/>
      <w:tr w:rsidR="005A78BF" w:rsidRPr="009819CA" w14:paraId="6A63D543" w14:textId="77777777" w:rsidTr="003820B3">
        <w:tc>
          <w:tcPr>
            <w:tcW w:w="9362" w:type="dxa"/>
            <w:gridSpan w:val="3"/>
            <w:tcBorders>
              <w:bottom w:val="nil"/>
            </w:tcBorders>
          </w:tcPr>
          <w:p w14:paraId="5E0E6C76" w14:textId="77777777" w:rsidR="005A78BF" w:rsidRPr="009819CA" w:rsidRDefault="005A78BF" w:rsidP="005A78BF">
            <w:pPr>
              <w:rPr>
                <w:lang w:val="en-CA"/>
              </w:rPr>
            </w:pPr>
          </w:p>
        </w:tc>
      </w:tr>
      <w:tr w:rsidR="005A78BF" w:rsidRPr="009819CA" w14:paraId="4E57300E" w14:textId="77777777" w:rsidTr="003820B3">
        <w:tc>
          <w:tcPr>
            <w:tcW w:w="9362" w:type="dxa"/>
            <w:gridSpan w:val="3"/>
            <w:tcBorders>
              <w:top w:val="nil"/>
            </w:tcBorders>
          </w:tcPr>
          <w:p w14:paraId="12F968D9" w14:textId="77777777" w:rsidR="00473998" w:rsidRPr="009819CA" w:rsidRDefault="00473998" w:rsidP="005A78BF">
            <w:pPr>
              <w:pStyle w:val="zSoquijdatNomProcureurDem"/>
            </w:pPr>
          </w:p>
          <w:p w14:paraId="053809D4" w14:textId="77777777" w:rsidR="00473998" w:rsidRPr="009819CA" w:rsidRDefault="00473998" w:rsidP="005A78BF">
            <w:pPr>
              <w:pStyle w:val="zSoquijdatNomProcureurDem"/>
            </w:pPr>
          </w:p>
          <w:p w14:paraId="51DDB7F2" w14:textId="77777777" w:rsidR="00473998" w:rsidRPr="009819CA" w:rsidRDefault="00473998" w:rsidP="005A78BF">
            <w:pPr>
              <w:pStyle w:val="zSoquijdatNomProcureurDem"/>
            </w:pPr>
          </w:p>
          <w:p w14:paraId="41E6A604" w14:textId="77777777" w:rsidR="005A78BF" w:rsidRPr="009819CA" w:rsidRDefault="003820B3" w:rsidP="005A78BF">
            <w:pPr>
              <w:pStyle w:val="zSoquijdatNomProcureurDem"/>
            </w:pPr>
            <w:r w:rsidRPr="009819CA">
              <w:t>M</w:t>
            </w:r>
            <w:r w:rsidR="005F71A8" w:rsidRPr="009819CA">
              <w:t>tr</w:t>
            </w:r>
            <w:r w:rsidRPr="009819CA">
              <w:t>e Eve-Lyne Goulet</w:t>
            </w:r>
          </w:p>
          <w:p w14:paraId="487BBEE5" w14:textId="77777777" w:rsidR="003820B3" w:rsidRPr="009819CA" w:rsidRDefault="003820B3" w:rsidP="005A78BF">
            <w:pPr>
              <w:pStyle w:val="zSoquijdatNomProcureurDem"/>
            </w:pPr>
            <w:r w:rsidRPr="009819CA">
              <w:t>M</w:t>
            </w:r>
            <w:r w:rsidR="005F71A8" w:rsidRPr="009819CA">
              <w:rPr>
                <w:vertAlign w:val="superscript"/>
              </w:rPr>
              <w:t>tr</w:t>
            </w:r>
            <w:r w:rsidRPr="009819CA">
              <w:rPr>
                <w:vertAlign w:val="superscript"/>
              </w:rPr>
              <w:t>e</w:t>
            </w:r>
            <w:r w:rsidRPr="009819CA">
              <w:t xml:space="preserve"> Maxime Lacoursière</w:t>
            </w:r>
          </w:p>
        </w:tc>
      </w:tr>
      <w:tr w:rsidR="005A78BF" w:rsidRPr="00BF230D" w14:paraId="5AE19393" w14:textId="77777777" w:rsidTr="00423DF1">
        <w:tc>
          <w:tcPr>
            <w:tcW w:w="9362" w:type="dxa"/>
            <w:gridSpan w:val="3"/>
          </w:tcPr>
          <w:p w14:paraId="01DB7343" w14:textId="77777777" w:rsidR="005A78BF" w:rsidRPr="009819CA" w:rsidRDefault="005F71A8" w:rsidP="005A78BF">
            <w:pPr>
              <w:pStyle w:val="zSoquijdatCabinetProcureurDem"/>
              <w:rPr>
                <w:lang w:val="en-CA"/>
              </w:rPr>
            </w:pPr>
            <w:r w:rsidRPr="009819CA">
              <w:rPr>
                <w:lang w:val="en-CA"/>
              </w:rPr>
              <w:t>DIRECTOR OF CRIMINAL AND PENAL PROSECUTIONS</w:t>
            </w:r>
          </w:p>
        </w:tc>
      </w:tr>
      <w:tr w:rsidR="005A78BF" w:rsidRPr="009819CA" w14:paraId="3912B570" w14:textId="77777777" w:rsidTr="00423DF1">
        <w:tc>
          <w:tcPr>
            <w:tcW w:w="9362" w:type="dxa"/>
            <w:gridSpan w:val="3"/>
          </w:tcPr>
          <w:p w14:paraId="1AE75E20" w14:textId="77777777" w:rsidR="005A78BF" w:rsidRPr="009819CA" w:rsidRDefault="005F71A8" w:rsidP="005A78BF">
            <w:pPr>
              <w:pStyle w:val="zSoquijlblProcureurDem"/>
              <w:rPr>
                <w:lang w:val="en-CA"/>
              </w:rPr>
            </w:pPr>
            <w:r w:rsidRPr="009819CA">
              <w:rPr>
                <w:lang w:val="en-CA"/>
              </w:rPr>
              <w:t xml:space="preserve">For the </w:t>
            </w:r>
            <w:r w:rsidR="003820B3" w:rsidRPr="009819CA">
              <w:rPr>
                <w:lang w:val="en-CA"/>
              </w:rPr>
              <w:t>appel</w:t>
            </w:r>
            <w:r w:rsidRPr="009819CA">
              <w:rPr>
                <w:lang w:val="en-CA"/>
              </w:rPr>
              <w:t>l</w:t>
            </w:r>
            <w:r w:rsidR="003820B3" w:rsidRPr="009819CA">
              <w:rPr>
                <w:lang w:val="en-CA"/>
              </w:rPr>
              <w:t>ant</w:t>
            </w:r>
          </w:p>
        </w:tc>
      </w:tr>
      <w:tr w:rsidR="005A78BF" w:rsidRPr="009819CA" w14:paraId="01B88C75" w14:textId="77777777" w:rsidTr="00423DF1">
        <w:tc>
          <w:tcPr>
            <w:tcW w:w="9362" w:type="dxa"/>
            <w:gridSpan w:val="3"/>
          </w:tcPr>
          <w:p w14:paraId="1DC74BED" w14:textId="77777777" w:rsidR="005A78BF" w:rsidRPr="009819CA" w:rsidRDefault="005A78BF" w:rsidP="005A78BF">
            <w:pPr>
              <w:rPr>
                <w:lang w:val="en-CA"/>
              </w:rPr>
            </w:pPr>
          </w:p>
        </w:tc>
      </w:tr>
      <w:tr w:rsidR="005A78BF" w:rsidRPr="009819CA" w14:paraId="7E31F55D" w14:textId="77777777" w:rsidTr="00423DF1">
        <w:tc>
          <w:tcPr>
            <w:tcW w:w="9362" w:type="dxa"/>
            <w:gridSpan w:val="3"/>
          </w:tcPr>
          <w:p w14:paraId="1FF11150" w14:textId="77777777" w:rsidR="005A78BF" w:rsidRPr="009819CA" w:rsidRDefault="003820B3" w:rsidP="005A78BF">
            <w:pPr>
              <w:pStyle w:val="zSoquijdatNomProcureurDef"/>
              <w:rPr>
                <w:lang w:val="en-CA"/>
              </w:rPr>
            </w:pPr>
            <w:r w:rsidRPr="009819CA">
              <w:rPr>
                <w:lang w:val="en-CA"/>
              </w:rPr>
              <w:t>M</w:t>
            </w:r>
            <w:r w:rsidR="001F71EF" w:rsidRPr="009819CA">
              <w:rPr>
                <w:lang w:val="en-CA"/>
              </w:rPr>
              <w:t>tr</w:t>
            </w:r>
            <w:r w:rsidRPr="009819CA">
              <w:rPr>
                <w:lang w:val="en-CA"/>
              </w:rPr>
              <w:t>e Pierre Spain</w:t>
            </w:r>
          </w:p>
        </w:tc>
      </w:tr>
      <w:tr w:rsidR="005A78BF" w:rsidRPr="009819CA" w14:paraId="366A61D4" w14:textId="77777777" w:rsidTr="00423DF1">
        <w:tc>
          <w:tcPr>
            <w:tcW w:w="9362" w:type="dxa"/>
            <w:gridSpan w:val="3"/>
          </w:tcPr>
          <w:p w14:paraId="5D9EF6AE" w14:textId="77777777" w:rsidR="005A78BF" w:rsidRPr="009819CA" w:rsidRDefault="003820B3" w:rsidP="005A78BF">
            <w:pPr>
              <w:pStyle w:val="zSoquijdatCabinetProcureurDef"/>
              <w:rPr>
                <w:lang w:val="en-CA"/>
              </w:rPr>
            </w:pPr>
            <w:r w:rsidRPr="009819CA">
              <w:rPr>
                <w:lang w:val="en-CA"/>
              </w:rPr>
              <w:t>BIRON, SPAIN</w:t>
            </w:r>
          </w:p>
        </w:tc>
      </w:tr>
      <w:tr w:rsidR="005A78BF" w:rsidRPr="009819CA" w14:paraId="3C02D1D8" w14:textId="77777777" w:rsidTr="00423DF1">
        <w:tc>
          <w:tcPr>
            <w:tcW w:w="9362" w:type="dxa"/>
            <w:gridSpan w:val="3"/>
          </w:tcPr>
          <w:p w14:paraId="2A37DC15" w14:textId="77777777" w:rsidR="005A78BF" w:rsidRPr="009819CA" w:rsidRDefault="001F71EF" w:rsidP="005A78BF">
            <w:pPr>
              <w:pStyle w:val="zSoquijlblProcureurDef"/>
              <w:rPr>
                <w:lang w:val="en-CA"/>
              </w:rPr>
            </w:pPr>
            <w:r w:rsidRPr="009819CA">
              <w:rPr>
                <w:lang w:val="en-CA"/>
              </w:rPr>
              <w:t>For the respondent</w:t>
            </w:r>
          </w:p>
        </w:tc>
      </w:tr>
      <w:tr w:rsidR="005A78BF" w:rsidRPr="009819CA" w14:paraId="506D8F7C" w14:textId="77777777" w:rsidTr="00423DF1">
        <w:tc>
          <w:tcPr>
            <w:tcW w:w="9362" w:type="dxa"/>
            <w:gridSpan w:val="3"/>
          </w:tcPr>
          <w:p w14:paraId="5339187F" w14:textId="77777777" w:rsidR="005A78BF" w:rsidRPr="009819CA" w:rsidRDefault="005A78BF" w:rsidP="005A78BF">
            <w:pPr>
              <w:rPr>
                <w:lang w:val="en-CA"/>
              </w:rPr>
            </w:pPr>
          </w:p>
        </w:tc>
      </w:tr>
      <w:tr w:rsidR="005A78BF" w:rsidRPr="009819CA" w14:paraId="5BEEB118" w14:textId="77777777" w:rsidTr="00423DF1">
        <w:tc>
          <w:tcPr>
            <w:tcW w:w="1997" w:type="dxa"/>
          </w:tcPr>
          <w:p w14:paraId="16266F9A" w14:textId="77777777" w:rsidR="005A78BF" w:rsidRPr="009819CA" w:rsidRDefault="001F71EF" w:rsidP="005A78BF">
            <w:pPr>
              <w:pStyle w:val="zSoquijlblDateAudience"/>
              <w:rPr>
                <w:lang w:val="en-CA"/>
              </w:rPr>
            </w:pPr>
            <w:r w:rsidRPr="009819CA">
              <w:rPr>
                <w:lang w:val="en-CA"/>
              </w:rPr>
              <w:t>Hearing date</w:t>
            </w:r>
            <w:r w:rsidR="005A78BF" w:rsidRPr="009819CA">
              <w:rPr>
                <w:lang w:val="en-CA"/>
              </w:rPr>
              <w:t>:</w:t>
            </w:r>
          </w:p>
        </w:tc>
        <w:tc>
          <w:tcPr>
            <w:tcW w:w="7365" w:type="dxa"/>
            <w:gridSpan w:val="2"/>
          </w:tcPr>
          <w:p w14:paraId="5B941B78" w14:textId="77777777" w:rsidR="005A78BF" w:rsidRPr="009819CA" w:rsidRDefault="001F71EF" w:rsidP="005A78BF">
            <w:pPr>
              <w:pStyle w:val="zSoquijdatDateAudience"/>
              <w:rPr>
                <w:lang w:val="en-CA"/>
              </w:rPr>
            </w:pPr>
            <w:r w:rsidRPr="009819CA">
              <w:rPr>
                <w:lang w:val="en-CA"/>
              </w:rPr>
              <w:t>December 9,</w:t>
            </w:r>
            <w:r w:rsidR="003820B3" w:rsidRPr="009819CA">
              <w:rPr>
                <w:lang w:val="en-CA"/>
              </w:rPr>
              <w:t xml:space="preserve"> 2022</w:t>
            </w:r>
          </w:p>
        </w:tc>
      </w:tr>
      <w:bookmarkEnd w:id="7"/>
    </w:tbl>
    <w:p w14:paraId="6F0CD223" w14:textId="77777777" w:rsidR="00740A17" w:rsidRPr="009819CA" w:rsidRDefault="00740A17" w:rsidP="003820B3">
      <w:pPr>
        <w:rPr>
          <w:lang w:val="en-CA"/>
        </w:rPr>
      </w:pPr>
    </w:p>
    <w:sectPr w:rsidR="00740A17" w:rsidRPr="009819CA" w:rsidSect="003820B3">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8156" w14:textId="77777777" w:rsidR="002B65E7" w:rsidRDefault="002B65E7">
      <w:r>
        <w:separator/>
      </w:r>
    </w:p>
  </w:endnote>
  <w:endnote w:type="continuationSeparator" w:id="0">
    <w:p w14:paraId="622DB048" w14:textId="77777777" w:rsidR="002B65E7" w:rsidRDefault="002B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828C" w14:textId="77777777" w:rsidR="002B65E7" w:rsidRDefault="002B65E7">
      <w:r>
        <w:separator/>
      </w:r>
    </w:p>
  </w:footnote>
  <w:footnote w:type="continuationSeparator" w:id="0">
    <w:p w14:paraId="3FE5236C" w14:textId="77777777" w:rsidR="002B65E7" w:rsidRDefault="002B65E7">
      <w:r>
        <w:continuationSeparator/>
      </w:r>
    </w:p>
  </w:footnote>
  <w:footnote w:id="1">
    <w:p w14:paraId="6BD7D247" w14:textId="5CA33C55" w:rsidR="0063422F" w:rsidRPr="006C4700" w:rsidRDefault="0063422F">
      <w:pPr>
        <w:pStyle w:val="Notedebasdepage"/>
        <w:rPr>
          <w:lang w:val="en-US"/>
        </w:rPr>
      </w:pPr>
      <w:r w:rsidRPr="006C4700">
        <w:rPr>
          <w:rStyle w:val="Appelnotedebasdep"/>
          <w:lang w:val="en-US"/>
        </w:rPr>
        <w:footnoteRef/>
      </w:r>
      <w:r w:rsidRPr="006C4700">
        <w:rPr>
          <w:lang w:val="en-US"/>
        </w:rPr>
        <w:tab/>
      </w:r>
      <w:r w:rsidRPr="006C4700">
        <w:rPr>
          <w:i/>
          <w:iCs/>
          <w:lang w:val="en-US"/>
        </w:rPr>
        <w:t>R. c. Houle</w:t>
      </w:r>
      <w:r w:rsidRPr="006C4700">
        <w:rPr>
          <w:lang w:val="en-US"/>
        </w:rPr>
        <w:t xml:space="preserve">, 2022 QCCQ 4039 [judgment </w:t>
      </w:r>
      <w:r w:rsidR="00ED7854">
        <w:rPr>
          <w:lang w:val="en-US"/>
        </w:rPr>
        <w:t xml:space="preserve">under </w:t>
      </w:r>
      <w:r w:rsidRPr="006C4700">
        <w:rPr>
          <w:lang w:val="en-US"/>
        </w:rPr>
        <w:t xml:space="preserve">appeal]. </w:t>
      </w:r>
      <w:r w:rsidR="0020387D">
        <w:rPr>
          <w:lang w:val="en-US"/>
        </w:rPr>
        <w:t>That</w:t>
      </w:r>
      <w:r w:rsidR="0020387D" w:rsidRPr="006C4700">
        <w:rPr>
          <w:lang w:val="en-US"/>
        </w:rPr>
        <w:t xml:space="preserve"> </w:t>
      </w:r>
      <w:r w:rsidRPr="006C4700">
        <w:rPr>
          <w:lang w:val="en-US"/>
        </w:rPr>
        <w:t>jud</w:t>
      </w:r>
      <w:r>
        <w:rPr>
          <w:lang w:val="en-US"/>
        </w:rPr>
        <w:t>gm</w:t>
      </w:r>
      <w:r w:rsidRPr="006C4700">
        <w:rPr>
          <w:lang w:val="en-US"/>
        </w:rPr>
        <w:t xml:space="preserve">ent also </w:t>
      </w:r>
      <w:r w:rsidR="00201276">
        <w:rPr>
          <w:lang w:val="en-US"/>
        </w:rPr>
        <w:t xml:space="preserve">ordered </w:t>
      </w:r>
      <w:r w:rsidR="00C36030">
        <w:rPr>
          <w:lang w:val="en-US"/>
        </w:rPr>
        <w:t>3</w:t>
      </w:r>
      <w:r w:rsidR="00C36030">
        <w:rPr>
          <w:lang w:val="en-US"/>
        </w:rPr>
        <w:t xml:space="preserve"> </w:t>
      </w:r>
      <w:r w:rsidRPr="006C4700">
        <w:rPr>
          <w:lang w:val="en-US"/>
        </w:rPr>
        <w:t>year</w:t>
      </w:r>
      <w:r w:rsidR="00201276">
        <w:rPr>
          <w:lang w:val="en-US"/>
        </w:rPr>
        <w:t>s’</w:t>
      </w:r>
      <w:r w:rsidRPr="006C4700">
        <w:rPr>
          <w:lang w:val="en-US"/>
        </w:rPr>
        <w:t xml:space="preserve"> probation and </w:t>
      </w:r>
      <w:r w:rsidR="00DA78BB">
        <w:rPr>
          <w:lang w:val="en-US"/>
        </w:rPr>
        <w:t>compulsory</w:t>
      </w:r>
      <w:r w:rsidRPr="006C4700">
        <w:rPr>
          <w:lang w:val="en-US"/>
        </w:rPr>
        <w:t xml:space="preserve"> </w:t>
      </w:r>
      <w:r w:rsidR="00ED7854">
        <w:rPr>
          <w:lang w:val="en-US"/>
        </w:rPr>
        <w:t>ancillary</w:t>
      </w:r>
      <w:r w:rsidR="00ED7854" w:rsidRPr="006C4700">
        <w:rPr>
          <w:lang w:val="en-US"/>
        </w:rPr>
        <w:t xml:space="preserve"> </w:t>
      </w:r>
      <w:r w:rsidRPr="006C4700">
        <w:rPr>
          <w:lang w:val="en-US"/>
        </w:rPr>
        <w:t>orders.</w:t>
      </w:r>
    </w:p>
  </w:footnote>
  <w:footnote w:id="2">
    <w:p w14:paraId="51AAEA8C" w14:textId="605238DD" w:rsidR="0063422F" w:rsidRPr="00C614AE" w:rsidRDefault="0063422F">
      <w:pPr>
        <w:pStyle w:val="Notedebasdepage"/>
        <w:rPr>
          <w:lang w:val="en-CA"/>
        </w:rPr>
      </w:pPr>
      <w:r>
        <w:rPr>
          <w:rStyle w:val="Appelnotedebasdep"/>
        </w:rPr>
        <w:footnoteRef/>
      </w:r>
      <w:r w:rsidRPr="00C614AE">
        <w:rPr>
          <w:lang w:val="en-CA"/>
        </w:rPr>
        <w:t xml:space="preserve"> </w:t>
      </w:r>
      <w:r w:rsidRPr="00C614AE">
        <w:rPr>
          <w:lang w:val="en-CA"/>
        </w:rPr>
        <w:tab/>
        <w:t>J</w:t>
      </w:r>
      <w:r w:rsidRPr="00F65C05">
        <w:rPr>
          <w:lang w:val="en-GB"/>
        </w:rPr>
        <w:t xml:space="preserve">udgment </w:t>
      </w:r>
      <w:r w:rsidR="004A17E7">
        <w:rPr>
          <w:lang w:val="en-GB"/>
        </w:rPr>
        <w:t xml:space="preserve">under </w:t>
      </w:r>
      <w:r w:rsidRPr="00F65C05">
        <w:rPr>
          <w:lang w:val="en-GB"/>
        </w:rPr>
        <w:t xml:space="preserve">appeal </w:t>
      </w:r>
      <w:r w:rsidR="004A17E7">
        <w:rPr>
          <w:lang w:val="en-GB"/>
        </w:rPr>
        <w:t xml:space="preserve">at </w:t>
      </w:r>
      <w:r w:rsidRPr="00F65C05">
        <w:rPr>
          <w:lang w:val="en-GB"/>
        </w:rPr>
        <w:t>paras. 7</w:t>
      </w:r>
      <w:r w:rsidR="004A17E7">
        <w:rPr>
          <w:lang w:val="en-GB"/>
        </w:rPr>
        <w:t>–</w:t>
      </w:r>
      <w:r w:rsidRPr="00F65C05">
        <w:rPr>
          <w:lang w:val="en-GB"/>
        </w:rPr>
        <w:t>17.</w:t>
      </w:r>
    </w:p>
  </w:footnote>
  <w:footnote w:id="3">
    <w:p w14:paraId="24F4E756" w14:textId="2F82B00E" w:rsidR="0063422F" w:rsidRPr="007B087E" w:rsidRDefault="0063422F" w:rsidP="006F44CF">
      <w:pPr>
        <w:pStyle w:val="Notedebasdepage"/>
        <w:rPr>
          <w:lang w:val="en-CA"/>
        </w:rPr>
      </w:pPr>
      <w:r>
        <w:rPr>
          <w:rStyle w:val="Appelnotedebasdep"/>
        </w:rPr>
        <w:footnoteRef/>
      </w:r>
      <w:r w:rsidRPr="00C614AE">
        <w:rPr>
          <w:lang w:val="en-CA"/>
        </w:rPr>
        <w:tab/>
      </w:r>
      <w:r w:rsidRPr="00C614AE">
        <w:rPr>
          <w:i/>
          <w:iCs/>
          <w:lang w:val="en-CA"/>
        </w:rPr>
        <w:t>Ibid</w:t>
      </w:r>
      <w:r w:rsidRPr="00C614AE">
        <w:rPr>
          <w:lang w:val="en-CA"/>
        </w:rPr>
        <w:t>.</w:t>
      </w:r>
      <w:r w:rsidR="00365785">
        <w:rPr>
          <w:lang w:val="en-CA"/>
        </w:rPr>
        <w:t xml:space="preserve"> at</w:t>
      </w:r>
      <w:r w:rsidRPr="00C614AE">
        <w:rPr>
          <w:lang w:val="en-CA"/>
        </w:rPr>
        <w:t xml:space="preserve"> para. </w:t>
      </w:r>
      <w:r w:rsidRPr="007B087E">
        <w:rPr>
          <w:lang w:val="en-CA"/>
        </w:rPr>
        <w:t>74.</w:t>
      </w:r>
    </w:p>
  </w:footnote>
  <w:footnote w:id="4">
    <w:p w14:paraId="625B85FD" w14:textId="363EA7D8" w:rsidR="0063422F" w:rsidRPr="009F322C" w:rsidRDefault="0063422F" w:rsidP="006F44CF">
      <w:pPr>
        <w:pStyle w:val="Notedebasdepage"/>
        <w:rPr>
          <w:lang w:val="en-CA"/>
        </w:rPr>
      </w:pPr>
      <w:r>
        <w:rPr>
          <w:rStyle w:val="Appelnotedebasdep"/>
        </w:rPr>
        <w:footnoteRef/>
      </w:r>
      <w:r w:rsidRPr="00A0445A">
        <w:rPr>
          <w:lang w:val="en-CA"/>
        </w:rPr>
        <w:tab/>
      </w:r>
      <w:r w:rsidRPr="00A0445A">
        <w:rPr>
          <w:i/>
          <w:iCs/>
          <w:lang w:val="en-CA"/>
        </w:rPr>
        <w:t>I</w:t>
      </w:r>
      <w:r>
        <w:rPr>
          <w:i/>
          <w:iCs/>
          <w:lang w:val="en-CA"/>
        </w:rPr>
        <w:t>bi</w:t>
      </w:r>
      <w:r w:rsidRPr="00A0445A">
        <w:rPr>
          <w:i/>
          <w:iCs/>
          <w:lang w:val="en-CA"/>
        </w:rPr>
        <w:t>d</w:t>
      </w:r>
      <w:r>
        <w:rPr>
          <w:lang w:val="en-CA"/>
        </w:rPr>
        <w:t>.</w:t>
      </w:r>
      <w:r w:rsidR="00365785">
        <w:rPr>
          <w:lang w:val="en-CA"/>
        </w:rPr>
        <w:t xml:space="preserve"> at</w:t>
      </w:r>
      <w:r>
        <w:rPr>
          <w:lang w:val="en-CA"/>
        </w:rPr>
        <w:t xml:space="preserve"> para</w:t>
      </w:r>
      <w:r w:rsidRPr="00A0445A">
        <w:rPr>
          <w:lang w:val="en-CA"/>
        </w:rPr>
        <w:t xml:space="preserve">. </w:t>
      </w:r>
      <w:r w:rsidRPr="009F322C">
        <w:rPr>
          <w:lang w:val="en-CA"/>
        </w:rPr>
        <w:t>78.</w:t>
      </w:r>
    </w:p>
  </w:footnote>
  <w:footnote w:id="5">
    <w:p w14:paraId="6C301A24" w14:textId="7947DE94" w:rsidR="0063422F" w:rsidRPr="009F322C" w:rsidRDefault="0063422F" w:rsidP="006F44CF">
      <w:pPr>
        <w:pStyle w:val="Notedebasdepage"/>
        <w:rPr>
          <w:lang w:val="en-CA"/>
        </w:rPr>
      </w:pPr>
      <w:r>
        <w:rPr>
          <w:rStyle w:val="Appelnotedebasdep"/>
        </w:rPr>
        <w:footnoteRef/>
      </w:r>
      <w:r w:rsidRPr="009F322C">
        <w:rPr>
          <w:lang w:val="en-CA"/>
        </w:rPr>
        <w:t xml:space="preserve"> </w:t>
      </w:r>
      <w:r w:rsidRPr="009F322C">
        <w:rPr>
          <w:lang w:val="en-CA"/>
        </w:rPr>
        <w:tab/>
      </w:r>
      <w:r w:rsidRPr="009F322C">
        <w:rPr>
          <w:i/>
          <w:iCs/>
          <w:lang w:val="en-CA"/>
        </w:rPr>
        <w:t>I</w:t>
      </w:r>
      <w:r>
        <w:rPr>
          <w:i/>
          <w:iCs/>
          <w:lang w:val="en-CA"/>
        </w:rPr>
        <w:t>bi</w:t>
      </w:r>
      <w:r w:rsidRPr="009F322C">
        <w:rPr>
          <w:i/>
          <w:iCs/>
          <w:lang w:val="en-CA"/>
        </w:rPr>
        <w:t>d</w:t>
      </w:r>
      <w:r>
        <w:rPr>
          <w:lang w:val="en-CA"/>
        </w:rPr>
        <w:t>.</w:t>
      </w:r>
      <w:r w:rsidR="00365785">
        <w:rPr>
          <w:lang w:val="en-CA"/>
        </w:rPr>
        <w:t xml:space="preserve"> at</w:t>
      </w:r>
      <w:r>
        <w:rPr>
          <w:lang w:val="en-CA"/>
        </w:rPr>
        <w:t xml:space="preserve"> para</w:t>
      </w:r>
      <w:r w:rsidRPr="009F322C">
        <w:rPr>
          <w:lang w:val="en-CA"/>
        </w:rPr>
        <w:t>. 80.</w:t>
      </w:r>
    </w:p>
  </w:footnote>
  <w:footnote w:id="6">
    <w:p w14:paraId="0C67D21D" w14:textId="78790B4E" w:rsidR="0063422F" w:rsidRPr="009F322C" w:rsidRDefault="0063422F" w:rsidP="006F44CF">
      <w:pPr>
        <w:pStyle w:val="Notedebasdepage"/>
        <w:rPr>
          <w:lang w:val="en-CA"/>
        </w:rPr>
      </w:pPr>
      <w:r>
        <w:rPr>
          <w:rStyle w:val="Appelnotedebasdep"/>
        </w:rPr>
        <w:footnoteRef/>
      </w:r>
      <w:r w:rsidRPr="009F322C">
        <w:rPr>
          <w:lang w:val="en-CA"/>
        </w:rPr>
        <w:t xml:space="preserve"> </w:t>
      </w:r>
      <w:r w:rsidRPr="009F322C">
        <w:rPr>
          <w:lang w:val="en-CA"/>
        </w:rPr>
        <w:tab/>
      </w:r>
      <w:r w:rsidRPr="009F322C">
        <w:rPr>
          <w:i/>
          <w:iCs/>
          <w:lang w:val="en-CA"/>
        </w:rPr>
        <w:t>I</w:t>
      </w:r>
      <w:r>
        <w:rPr>
          <w:i/>
          <w:iCs/>
          <w:lang w:val="en-CA"/>
        </w:rPr>
        <w:t>bi</w:t>
      </w:r>
      <w:r w:rsidRPr="009F322C">
        <w:rPr>
          <w:i/>
          <w:iCs/>
          <w:lang w:val="en-CA"/>
        </w:rPr>
        <w:t>d</w:t>
      </w:r>
      <w:r>
        <w:rPr>
          <w:lang w:val="en-CA"/>
        </w:rPr>
        <w:t xml:space="preserve">. </w:t>
      </w:r>
      <w:r w:rsidR="00365785">
        <w:rPr>
          <w:lang w:val="en-CA"/>
        </w:rPr>
        <w:t xml:space="preserve">at </w:t>
      </w:r>
      <w:r>
        <w:rPr>
          <w:lang w:val="en-CA"/>
        </w:rPr>
        <w:t>paras</w:t>
      </w:r>
      <w:r w:rsidRPr="009F322C">
        <w:rPr>
          <w:lang w:val="en-CA"/>
        </w:rPr>
        <w:t>. 82</w:t>
      </w:r>
      <w:r w:rsidR="00365785">
        <w:rPr>
          <w:lang w:val="en-CA"/>
        </w:rPr>
        <w:t>–</w:t>
      </w:r>
      <w:r w:rsidRPr="009F322C">
        <w:rPr>
          <w:lang w:val="en-CA"/>
        </w:rPr>
        <w:t>83.</w:t>
      </w:r>
    </w:p>
  </w:footnote>
  <w:footnote w:id="7">
    <w:p w14:paraId="05F45FE8" w14:textId="66580BCA" w:rsidR="0063422F" w:rsidRPr="006F44CF" w:rsidRDefault="0063422F" w:rsidP="006F44CF">
      <w:pPr>
        <w:pStyle w:val="Notedebasdepage"/>
        <w:rPr>
          <w:lang w:val="en-CA"/>
        </w:rPr>
      </w:pPr>
      <w:r>
        <w:rPr>
          <w:rStyle w:val="Appelnotedebasdep"/>
        </w:rPr>
        <w:footnoteRef/>
      </w:r>
      <w:r w:rsidRPr="006F44CF">
        <w:rPr>
          <w:lang w:val="en-CA"/>
        </w:rPr>
        <w:tab/>
      </w:r>
      <w:r>
        <w:rPr>
          <w:i/>
          <w:iCs/>
          <w:lang w:val="en-CA"/>
        </w:rPr>
        <w:t>Ibid</w:t>
      </w:r>
      <w:r w:rsidRPr="006F44CF">
        <w:rPr>
          <w:lang w:val="en-CA"/>
        </w:rPr>
        <w:t>.</w:t>
      </w:r>
      <w:r w:rsidR="00365785">
        <w:rPr>
          <w:lang w:val="en-CA"/>
        </w:rPr>
        <w:t xml:space="preserve"> at</w:t>
      </w:r>
      <w:r w:rsidRPr="006F44CF">
        <w:rPr>
          <w:lang w:val="en-CA"/>
        </w:rPr>
        <w:t xml:space="preserve"> </w:t>
      </w:r>
      <w:r>
        <w:rPr>
          <w:lang w:val="en-CA"/>
        </w:rPr>
        <w:t>para</w:t>
      </w:r>
      <w:r w:rsidRPr="006F44CF">
        <w:rPr>
          <w:lang w:val="en-CA"/>
        </w:rPr>
        <w:t>. 87.</w:t>
      </w:r>
    </w:p>
  </w:footnote>
  <w:footnote w:id="8">
    <w:p w14:paraId="0B0FF1B2" w14:textId="74E59076" w:rsidR="0063422F" w:rsidRPr="006F44CF" w:rsidRDefault="0063422F" w:rsidP="006F44CF">
      <w:pPr>
        <w:pStyle w:val="Notedebasdepage"/>
        <w:rPr>
          <w:lang w:val="en-CA"/>
        </w:rPr>
      </w:pPr>
      <w:r>
        <w:rPr>
          <w:rStyle w:val="Appelnotedebasdep"/>
        </w:rPr>
        <w:footnoteRef/>
      </w:r>
      <w:r w:rsidRPr="006F44CF">
        <w:rPr>
          <w:lang w:val="en-CA"/>
        </w:rPr>
        <w:tab/>
      </w:r>
      <w:r>
        <w:rPr>
          <w:i/>
          <w:iCs/>
          <w:lang w:val="en-CA"/>
        </w:rPr>
        <w:t>Ibid</w:t>
      </w:r>
      <w:r w:rsidRPr="006F44CF">
        <w:rPr>
          <w:lang w:val="en-CA"/>
        </w:rPr>
        <w:t>.</w:t>
      </w:r>
      <w:r w:rsidR="00365785">
        <w:rPr>
          <w:lang w:val="en-CA"/>
        </w:rPr>
        <w:t xml:space="preserve"> at</w:t>
      </w:r>
      <w:r w:rsidRPr="006F44CF">
        <w:rPr>
          <w:lang w:val="en-CA"/>
        </w:rPr>
        <w:t xml:space="preserve"> </w:t>
      </w:r>
      <w:r>
        <w:rPr>
          <w:lang w:val="en-CA"/>
        </w:rPr>
        <w:t>para</w:t>
      </w:r>
      <w:r w:rsidRPr="006F44CF">
        <w:rPr>
          <w:lang w:val="en-CA"/>
        </w:rPr>
        <w:t>. 88.</w:t>
      </w:r>
    </w:p>
  </w:footnote>
  <w:footnote w:id="9">
    <w:p w14:paraId="7DB7E5CB" w14:textId="141826B1" w:rsidR="0063422F" w:rsidRPr="00C614AE" w:rsidRDefault="0063422F" w:rsidP="006F44CF">
      <w:pPr>
        <w:pStyle w:val="Notedebasdepage"/>
        <w:rPr>
          <w:lang w:val="en-CA"/>
        </w:rPr>
      </w:pPr>
      <w:r>
        <w:rPr>
          <w:rStyle w:val="Appelnotedebasdep"/>
        </w:rPr>
        <w:footnoteRef/>
      </w:r>
      <w:r w:rsidRPr="006F44CF">
        <w:rPr>
          <w:lang w:val="en-CA"/>
        </w:rPr>
        <w:tab/>
      </w:r>
      <w:r>
        <w:rPr>
          <w:i/>
          <w:iCs/>
          <w:lang w:val="en-CA"/>
        </w:rPr>
        <w:t>Ibid</w:t>
      </w:r>
      <w:r w:rsidRPr="006F44CF">
        <w:rPr>
          <w:lang w:val="en-CA"/>
        </w:rPr>
        <w:t xml:space="preserve">. </w:t>
      </w:r>
      <w:r w:rsidR="00365785">
        <w:rPr>
          <w:lang w:val="en-CA"/>
        </w:rPr>
        <w:t xml:space="preserve">at </w:t>
      </w:r>
      <w:r>
        <w:rPr>
          <w:lang w:val="en-CA"/>
        </w:rPr>
        <w:t>para</w:t>
      </w:r>
      <w:r w:rsidRPr="006F44CF">
        <w:rPr>
          <w:lang w:val="en-CA"/>
        </w:rPr>
        <w:t xml:space="preserve">. </w:t>
      </w:r>
      <w:r w:rsidRPr="00C614AE">
        <w:rPr>
          <w:lang w:val="en-CA"/>
        </w:rPr>
        <w:t>90.</w:t>
      </w:r>
    </w:p>
  </w:footnote>
  <w:footnote w:id="10">
    <w:p w14:paraId="12F79C6D" w14:textId="0CF06592" w:rsidR="0063422F" w:rsidRPr="00C614AE" w:rsidRDefault="0063422F" w:rsidP="006F44CF">
      <w:pPr>
        <w:pStyle w:val="Notedebasdepage"/>
        <w:rPr>
          <w:lang w:val="en-CA"/>
        </w:rPr>
      </w:pPr>
      <w:r>
        <w:rPr>
          <w:rStyle w:val="Appelnotedebasdep"/>
        </w:rPr>
        <w:footnoteRef/>
      </w:r>
      <w:r w:rsidRPr="00C614AE">
        <w:rPr>
          <w:lang w:val="en-CA"/>
        </w:rPr>
        <w:tab/>
      </w:r>
      <w:r w:rsidRPr="00C614AE">
        <w:rPr>
          <w:i/>
          <w:iCs/>
          <w:lang w:val="en-CA"/>
        </w:rPr>
        <w:t>Ibid</w:t>
      </w:r>
      <w:r w:rsidRPr="00C614AE">
        <w:rPr>
          <w:lang w:val="en-CA"/>
        </w:rPr>
        <w:t xml:space="preserve">. </w:t>
      </w:r>
      <w:r w:rsidR="00365785">
        <w:rPr>
          <w:lang w:val="en-CA"/>
        </w:rPr>
        <w:t xml:space="preserve">at </w:t>
      </w:r>
      <w:r w:rsidRPr="00C614AE">
        <w:rPr>
          <w:lang w:val="en-CA"/>
        </w:rPr>
        <w:t>para. 94.</w:t>
      </w:r>
    </w:p>
  </w:footnote>
  <w:footnote w:id="11">
    <w:p w14:paraId="4038C8DB" w14:textId="3FD17898" w:rsidR="0063422F" w:rsidRPr="00C614AE" w:rsidRDefault="0063422F" w:rsidP="00B266D8">
      <w:pPr>
        <w:pStyle w:val="Notedebasdepage"/>
        <w:rPr>
          <w:lang w:val="en-CA"/>
        </w:rPr>
      </w:pPr>
      <w:r>
        <w:rPr>
          <w:rStyle w:val="Appelnotedebasdep"/>
        </w:rPr>
        <w:footnoteRef/>
      </w:r>
      <w:r w:rsidRPr="00C614AE">
        <w:rPr>
          <w:lang w:val="en-CA"/>
        </w:rPr>
        <w:tab/>
      </w:r>
      <w:r w:rsidRPr="00C614AE">
        <w:rPr>
          <w:i/>
          <w:iCs/>
          <w:lang w:val="en-CA"/>
        </w:rPr>
        <w:t>Ibid</w:t>
      </w:r>
      <w:r w:rsidRPr="00C614AE">
        <w:rPr>
          <w:lang w:val="en-CA"/>
        </w:rPr>
        <w:t>.</w:t>
      </w:r>
      <w:r w:rsidR="00365785">
        <w:rPr>
          <w:lang w:val="en-CA"/>
        </w:rPr>
        <w:t xml:space="preserve"> at</w:t>
      </w:r>
      <w:r w:rsidRPr="00C614AE">
        <w:rPr>
          <w:lang w:val="en-CA"/>
        </w:rPr>
        <w:t xml:space="preserve"> paras. 100</w:t>
      </w:r>
      <w:r w:rsidR="00365785">
        <w:rPr>
          <w:lang w:val="en-CA"/>
        </w:rPr>
        <w:t>–</w:t>
      </w:r>
      <w:r w:rsidRPr="00C614AE">
        <w:rPr>
          <w:lang w:val="en-CA"/>
        </w:rPr>
        <w:t>101.</w:t>
      </w:r>
    </w:p>
  </w:footnote>
  <w:footnote w:id="12">
    <w:p w14:paraId="5D7E496E" w14:textId="4E47E794" w:rsidR="0063422F" w:rsidRPr="00C614AE" w:rsidRDefault="0063422F">
      <w:pPr>
        <w:pStyle w:val="Notedebasdepage"/>
        <w:rPr>
          <w:lang w:val="en-CA"/>
        </w:rPr>
      </w:pPr>
      <w:r>
        <w:rPr>
          <w:rStyle w:val="Appelnotedebasdep"/>
        </w:rPr>
        <w:footnoteRef/>
      </w:r>
      <w:r w:rsidRPr="00C614AE">
        <w:rPr>
          <w:lang w:val="en-CA"/>
        </w:rPr>
        <w:tab/>
      </w:r>
      <w:r w:rsidRPr="00C614AE">
        <w:rPr>
          <w:i/>
          <w:iCs/>
          <w:lang w:val="en-CA"/>
        </w:rPr>
        <w:t>R. v. Parranto</w:t>
      </w:r>
      <w:r w:rsidRPr="00C614AE">
        <w:rPr>
          <w:lang w:val="en-CA"/>
        </w:rPr>
        <w:t>, 2021 SCC 46</w:t>
      </w:r>
      <w:r w:rsidR="00365785">
        <w:rPr>
          <w:lang w:val="en-CA"/>
        </w:rPr>
        <w:t xml:space="preserve"> at</w:t>
      </w:r>
      <w:r w:rsidRPr="00C614AE">
        <w:rPr>
          <w:lang w:val="en-CA"/>
        </w:rPr>
        <w:t xml:space="preserve"> para. 13.</w:t>
      </w:r>
    </w:p>
  </w:footnote>
  <w:footnote w:id="13">
    <w:p w14:paraId="50D3F2ED" w14:textId="0E135BBA" w:rsidR="0063422F" w:rsidRPr="004C07B5" w:rsidRDefault="0063422F">
      <w:pPr>
        <w:pStyle w:val="Notedebasdepage"/>
        <w:rPr>
          <w:lang w:val="en-US"/>
        </w:rPr>
      </w:pPr>
      <w:r>
        <w:rPr>
          <w:rStyle w:val="Appelnotedebasdep"/>
        </w:rPr>
        <w:footnoteRef/>
      </w:r>
      <w:r w:rsidRPr="00C614AE">
        <w:rPr>
          <w:lang w:val="en-CA"/>
        </w:rPr>
        <w:tab/>
      </w:r>
      <w:r w:rsidRPr="00C614AE">
        <w:rPr>
          <w:i/>
          <w:iCs/>
          <w:lang w:val="en-CA"/>
        </w:rPr>
        <w:t>R. v. Lacasse</w:t>
      </w:r>
      <w:r w:rsidRPr="00C614AE">
        <w:rPr>
          <w:lang w:val="en-CA"/>
        </w:rPr>
        <w:t>, 2015 SCC 64, [2015] 3 S.C.R. 1089</w:t>
      </w:r>
      <w:r w:rsidR="00365785">
        <w:rPr>
          <w:lang w:val="en-CA"/>
        </w:rPr>
        <w:t xml:space="preserve"> at</w:t>
      </w:r>
      <w:r w:rsidRPr="00C614AE">
        <w:rPr>
          <w:lang w:val="en-CA"/>
        </w:rPr>
        <w:t xml:space="preserve"> para. 49,</w:t>
      </w:r>
      <w:r w:rsidRPr="004C07B5">
        <w:rPr>
          <w:lang w:val="en-US"/>
        </w:rPr>
        <w:t xml:space="preserve"> referring </w:t>
      </w:r>
      <w:r w:rsidRPr="004C07B5">
        <w:rPr>
          <w:i/>
          <w:lang w:val="en-US"/>
        </w:rPr>
        <w:t>inter alia</w:t>
      </w:r>
      <w:r w:rsidRPr="004C07B5">
        <w:rPr>
          <w:lang w:val="en-US"/>
        </w:rPr>
        <w:t xml:space="preserve"> to </w:t>
      </w:r>
      <w:r w:rsidRPr="004C07B5">
        <w:rPr>
          <w:i/>
          <w:iCs/>
          <w:lang w:val="en-US"/>
        </w:rPr>
        <w:t>R. v. Nasogaluak</w:t>
      </w:r>
      <w:r w:rsidRPr="004C07B5">
        <w:rPr>
          <w:lang w:val="en-US"/>
        </w:rPr>
        <w:t>, 2010 SCC 6, [2010] 1 S.C.R. 206</w:t>
      </w:r>
      <w:r w:rsidR="00365785">
        <w:rPr>
          <w:lang w:val="en-US"/>
        </w:rPr>
        <w:t xml:space="preserve"> at</w:t>
      </w:r>
      <w:r w:rsidRPr="004C07B5">
        <w:rPr>
          <w:lang w:val="en-US"/>
        </w:rPr>
        <w:t xml:space="preserve"> para. 46.</w:t>
      </w:r>
    </w:p>
  </w:footnote>
  <w:footnote w:id="14">
    <w:p w14:paraId="6E1B5280" w14:textId="3CC9A42D" w:rsidR="0063422F" w:rsidRPr="004C07B5" w:rsidRDefault="0063422F">
      <w:pPr>
        <w:pStyle w:val="Notedebasdepage"/>
        <w:rPr>
          <w:lang w:val="en-US"/>
        </w:rPr>
      </w:pPr>
      <w:r w:rsidRPr="004C07B5">
        <w:rPr>
          <w:rStyle w:val="Appelnotedebasdep"/>
          <w:lang w:val="en-US"/>
        </w:rPr>
        <w:footnoteRef/>
      </w:r>
      <w:r w:rsidRPr="004C07B5">
        <w:rPr>
          <w:lang w:val="en-US"/>
        </w:rPr>
        <w:tab/>
        <w:t>Respondent’s arguments</w:t>
      </w:r>
      <w:r w:rsidR="0034720C">
        <w:rPr>
          <w:lang w:val="en-US"/>
        </w:rPr>
        <w:t xml:space="preserve"> at</w:t>
      </w:r>
      <w:r w:rsidRPr="004C07B5">
        <w:rPr>
          <w:lang w:val="en-US"/>
        </w:rPr>
        <w:t xml:space="preserve"> para. 59.</w:t>
      </w:r>
    </w:p>
  </w:footnote>
  <w:footnote w:id="15">
    <w:p w14:paraId="2938E1A0" w14:textId="3575D12A" w:rsidR="0063422F" w:rsidRPr="00C614AE" w:rsidRDefault="0063422F">
      <w:pPr>
        <w:pStyle w:val="Notedebasdepage"/>
        <w:rPr>
          <w:lang w:val="en-CA"/>
        </w:rPr>
      </w:pPr>
      <w:r>
        <w:rPr>
          <w:rStyle w:val="Appelnotedebasdep"/>
        </w:rPr>
        <w:footnoteRef/>
      </w:r>
      <w:r w:rsidRPr="00C614AE">
        <w:rPr>
          <w:lang w:val="en-US"/>
        </w:rPr>
        <w:tab/>
      </w:r>
      <w:r w:rsidRPr="00C614AE">
        <w:rPr>
          <w:i/>
          <w:iCs/>
          <w:lang w:val="en-US"/>
        </w:rPr>
        <w:t xml:space="preserve">R. </w:t>
      </w:r>
      <w:r w:rsidR="0034720C" w:rsidRPr="00C614AE">
        <w:rPr>
          <w:i/>
          <w:iCs/>
          <w:lang w:val="en-US"/>
        </w:rPr>
        <w:t>v</w:t>
      </w:r>
      <w:r w:rsidRPr="00C614AE">
        <w:rPr>
          <w:i/>
          <w:iCs/>
          <w:lang w:val="en-US"/>
        </w:rPr>
        <w:t>.</w:t>
      </w:r>
      <w:r w:rsidRPr="00C614AE">
        <w:rPr>
          <w:lang w:val="en-US"/>
        </w:rPr>
        <w:t xml:space="preserve"> </w:t>
      </w:r>
      <w:r w:rsidRPr="00C614AE">
        <w:rPr>
          <w:i/>
          <w:iCs/>
          <w:lang w:val="en-US"/>
        </w:rPr>
        <w:t>Lacasse</w:t>
      </w:r>
      <w:r w:rsidRPr="00C614AE">
        <w:rPr>
          <w:lang w:val="en-US"/>
        </w:rPr>
        <w:t xml:space="preserve">, </w:t>
      </w:r>
      <w:r w:rsidRPr="00C614AE">
        <w:rPr>
          <w:i/>
          <w:iCs/>
          <w:lang w:val="en-US"/>
        </w:rPr>
        <w:t>supra</w:t>
      </w:r>
      <w:r w:rsidRPr="00C614AE">
        <w:rPr>
          <w:lang w:val="en-US"/>
        </w:rPr>
        <w:t xml:space="preserve"> </w:t>
      </w:r>
      <w:r w:rsidR="0034720C" w:rsidRPr="00C614AE">
        <w:rPr>
          <w:lang w:val="en-US"/>
        </w:rPr>
        <w:t>note</w:t>
      </w:r>
      <w:r w:rsidRPr="00C614AE">
        <w:rPr>
          <w:lang w:val="en-US"/>
        </w:rPr>
        <w:t xml:space="preserve"> </w:t>
      </w:r>
      <w:r w:rsidR="00F929DC">
        <w:fldChar w:fldCharType="begin"/>
      </w:r>
      <w:r w:rsidRPr="00DA78BB">
        <w:rPr>
          <w:lang w:val="en-US"/>
        </w:rPr>
        <w:instrText xml:space="preserve"> NOTEREF _Ref121313958 \h </w:instrText>
      </w:r>
      <w:r w:rsidR="00F929DC">
        <w:fldChar w:fldCharType="separate"/>
      </w:r>
      <w:r w:rsidRPr="00C614AE">
        <w:rPr>
          <w:lang w:val="en-CA"/>
        </w:rPr>
        <w:t>13</w:t>
      </w:r>
      <w:r w:rsidR="00F929DC">
        <w:fldChar w:fldCharType="end"/>
      </w:r>
      <w:r w:rsidRPr="00C614AE">
        <w:rPr>
          <w:lang w:val="en-CA"/>
        </w:rPr>
        <w:t xml:space="preserve"> </w:t>
      </w:r>
      <w:r w:rsidR="0034720C">
        <w:rPr>
          <w:lang w:val="en-CA"/>
        </w:rPr>
        <w:t xml:space="preserve">at </w:t>
      </w:r>
      <w:r w:rsidRPr="00C614AE">
        <w:rPr>
          <w:lang w:val="en-CA"/>
        </w:rPr>
        <w:t>para. 39.</w:t>
      </w:r>
    </w:p>
  </w:footnote>
  <w:footnote w:id="16">
    <w:p w14:paraId="06348AF9" w14:textId="18D0F6EF" w:rsidR="0063422F" w:rsidRPr="00C614AE" w:rsidRDefault="0063422F">
      <w:pPr>
        <w:pStyle w:val="Notedebasdepage"/>
        <w:rPr>
          <w:lang w:val="en-US"/>
        </w:rPr>
      </w:pPr>
      <w:r>
        <w:rPr>
          <w:rStyle w:val="Appelnotedebasdep"/>
        </w:rPr>
        <w:footnoteRef/>
      </w:r>
      <w:r w:rsidRPr="00B2752F">
        <w:rPr>
          <w:lang w:val="en-CA"/>
        </w:rPr>
        <w:t xml:space="preserve"> </w:t>
      </w:r>
      <w:r w:rsidRPr="00B2752F">
        <w:rPr>
          <w:lang w:val="en-CA"/>
        </w:rPr>
        <w:tab/>
      </w:r>
      <w:r>
        <w:rPr>
          <w:i/>
          <w:iCs/>
          <w:lang w:val="en-CA"/>
        </w:rPr>
        <w:t>R. v</w:t>
      </w:r>
      <w:r w:rsidRPr="00B2752F">
        <w:rPr>
          <w:i/>
          <w:iCs/>
          <w:lang w:val="en-CA"/>
        </w:rPr>
        <w:t>. Friesen</w:t>
      </w:r>
      <w:r>
        <w:rPr>
          <w:lang w:val="en-CA"/>
        </w:rPr>
        <w:t xml:space="preserve">, 2020 </w:t>
      </w:r>
      <w:r w:rsidRPr="00B2752F">
        <w:rPr>
          <w:lang w:val="en-CA"/>
        </w:rPr>
        <w:t>S</w:t>
      </w:r>
      <w:r>
        <w:rPr>
          <w:lang w:val="en-CA"/>
        </w:rPr>
        <w:t>C</w:t>
      </w:r>
      <w:r w:rsidRPr="00B2752F">
        <w:rPr>
          <w:lang w:val="en-CA"/>
        </w:rPr>
        <w:t xml:space="preserve">C 9 </w:t>
      </w:r>
      <w:r w:rsidR="0034720C">
        <w:rPr>
          <w:lang w:val="en-CA"/>
        </w:rPr>
        <w:t xml:space="preserve">at </w:t>
      </w:r>
      <w:r>
        <w:rPr>
          <w:lang w:val="en-CA"/>
        </w:rPr>
        <w:t>para</w:t>
      </w:r>
      <w:r w:rsidRPr="00B2752F">
        <w:rPr>
          <w:lang w:val="en-CA"/>
        </w:rPr>
        <w:t xml:space="preserve">. </w:t>
      </w:r>
      <w:r w:rsidRPr="00C614AE">
        <w:rPr>
          <w:lang w:val="en-US"/>
        </w:rPr>
        <w:t>26.</w:t>
      </w:r>
    </w:p>
  </w:footnote>
  <w:footnote w:id="17">
    <w:p w14:paraId="28C42FC0" w14:textId="3B4D73ED" w:rsidR="0063422F" w:rsidRPr="00C614AE" w:rsidRDefault="0063422F">
      <w:pPr>
        <w:pStyle w:val="Notedebasdepage"/>
        <w:rPr>
          <w:lang w:val="en-CA"/>
        </w:rPr>
      </w:pPr>
      <w:r>
        <w:rPr>
          <w:rStyle w:val="Appelnotedebasdep"/>
        </w:rPr>
        <w:footnoteRef/>
      </w:r>
      <w:r w:rsidRPr="00C614AE">
        <w:rPr>
          <w:lang w:val="en-US"/>
        </w:rPr>
        <w:tab/>
      </w:r>
      <w:r w:rsidRPr="00C614AE">
        <w:rPr>
          <w:i/>
          <w:iCs/>
          <w:lang w:val="en-US"/>
        </w:rPr>
        <w:t>R. c. Guerrero Silva</w:t>
      </w:r>
      <w:r w:rsidRPr="00C614AE">
        <w:rPr>
          <w:lang w:val="en-US"/>
        </w:rPr>
        <w:t xml:space="preserve">, 2015 QCCA 1334 </w:t>
      </w:r>
      <w:r w:rsidR="0034720C" w:rsidRPr="00C614AE">
        <w:rPr>
          <w:lang w:val="en-US"/>
        </w:rPr>
        <w:t xml:space="preserve">at </w:t>
      </w:r>
      <w:r w:rsidRPr="00C614AE">
        <w:rPr>
          <w:lang w:val="en-US"/>
        </w:rPr>
        <w:t xml:space="preserve">para. </w:t>
      </w:r>
      <w:r w:rsidRPr="00C614AE">
        <w:rPr>
          <w:lang w:val="en-CA"/>
        </w:rPr>
        <w:t>54.</w:t>
      </w:r>
    </w:p>
  </w:footnote>
  <w:footnote w:id="18">
    <w:p w14:paraId="0968A28F" w14:textId="0BC7D7C3" w:rsidR="0063422F" w:rsidRPr="00C614AE" w:rsidRDefault="0063422F">
      <w:pPr>
        <w:pStyle w:val="Notedebasdepage"/>
        <w:rPr>
          <w:lang w:val="en-CA"/>
        </w:rPr>
      </w:pPr>
      <w:r>
        <w:rPr>
          <w:rStyle w:val="Appelnotedebasdep"/>
        </w:rPr>
        <w:footnoteRef/>
      </w:r>
      <w:r w:rsidRPr="00C430FC">
        <w:rPr>
          <w:lang w:val="en-CA"/>
        </w:rPr>
        <w:tab/>
      </w:r>
      <w:r w:rsidRPr="00C430FC">
        <w:rPr>
          <w:i/>
          <w:iCs/>
          <w:lang w:val="en-CA"/>
        </w:rPr>
        <w:t>R. v. Jarvis</w:t>
      </w:r>
      <w:r w:rsidRPr="00C430FC">
        <w:rPr>
          <w:lang w:val="en-CA"/>
        </w:rPr>
        <w:t xml:space="preserve">, </w:t>
      </w:r>
      <w:r w:rsidR="006E7EB9">
        <w:rPr>
          <w:lang w:val="en-CA"/>
        </w:rPr>
        <w:t>2019</w:t>
      </w:r>
      <w:r w:rsidR="006E7EB9" w:rsidRPr="00C430FC">
        <w:rPr>
          <w:lang w:val="en-CA"/>
        </w:rPr>
        <w:t xml:space="preserve"> </w:t>
      </w:r>
      <w:r w:rsidRPr="00C430FC">
        <w:rPr>
          <w:lang w:val="en-CA"/>
        </w:rPr>
        <w:t xml:space="preserve">SCC </w:t>
      </w:r>
      <w:r w:rsidR="006E7EB9">
        <w:rPr>
          <w:lang w:val="en-CA"/>
        </w:rPr>
        <w:t>10</w:t>
      </w:r>
      <w:r w:rsidRPr="00C430FC">
        <w:rPr>
          <w:lang w:val="en-CA"/>
        </w:rPr>
        <w:t>, [20</w:t>
      </w:r>
      <w:r w:rsidR="006E7EB9">
        <w:rPr>
          <w:lang w:val="en-CA"/>
        </w:rPr>
        <w:t>19</w:t>
      </w:r>
      <w:r w:rsidRPr="00C430FC">
        <w:rPr>
          <w:lang w:val="en-CA"/>
        </w:rPr>
        <w:t xml:space="preserve">] </w:t>
      </w:r>
      <w:r w:rsidR="006E7EB9">
        <w:rPr>
          <w:lang w:val="en-CA"/>
        </w:rPr>
        <w:t>1</w:t>
      </w:r>
      <w:r w:rsidRPr="00C430FC">
        <w:rPr>
          <w:lang w:val="en-CA"/>
        </w:rPr>
        <w:t xml:space="preserve"> S.C.R. </w:t>
      </w:r>
      <w:r w:rsidR="006E7EB9">
        <w:rPr>
          <w:lang w:val="en-CA"/>
        </w:rPr>
        <w:t>488</w:t>
      </w:r>
      <w:r w:rsidRPr="00C430FC">
        <w:rPr>
          <w:lang w:val="en-CA"/>
        </w:rPr>
        <w:t xml:space="preserve"> </w:t>
      </w:r>
      <w:r w:rsidR="0034720C">
        <w:rPr>
          <w:lang w:val="en-CA"/>
        </w:rPr>
        <w:t xml:space="preserve">at </w:t>
      </w:r>
      <w:r w:rsidRPr="00C430FC">
        <w:rPr>
          <w:lang w:val="en-CA"/>
        </w:rPr>
        <w:t xml:space="preserve">para. 53. </w:t>
      </w:r>
    </w:p>
  </w:footnote>
  <w:footnote w:id="19">
    <w:p w14:paraId="0E30F835" w14:textId="7E36CEBD" w:rsidR="0063422F" w:rsidRPr="00D21E26" w:rsidRDefault="0063422F">
      <w:pPr>
        <w:pStyle w:val="Notedebasdepage"/>
        <w:rPr>
          <w:lang w:val="en-US"/>
        </w:rPr>
      </w:pPr>
      <w:r>
        <w:rPr>
          <w:rStyle w:val="Appelnotedebasdep"/>
        </w:rPr>
        <w:footnoteRef/>
      </w:r>
      <w:r w:rsidRPr="00C614AE">
        <w:rPr>
          <w:lang w:val="en-CA"/>
        </w:rPr>
        <w:t xml:space="preserve">    </w:t>
      </w:r>
      <w:r w:rsidRPr="00D21E26">
        <w:rPr>
          <w:lang w:val="en-US"/>
        </w:rPr>
        <w:t xml:space="preserve">Applicant’s arguments </w:t>
      </w:r>
      <w:r w:rsidR="0034720C">
        <w:rPr>
          <w:lang w:val="en-US"/>
        </w:rPr>
        <w:t xml:space="preserve">at </w:t>
      </w:r>
      <w:r w:rsidRPr="00D21E26">
        <w:rPr>
          <w:lang w:val="en-US"/>
        </w:rPr>
        <w:t xml:space="preserve">para. 63, citing </w:t>
      </w:r>
      <w:r w:rsidRPr="00D21E26">
        <w:rPr>
          <w:i/>
          <w:iCs/>
          <w:lang w:val="en-US"/>
        </w:rPr>
        <w:t xml:space="preserve">R. </w:t>
      </w:r>
      <w:r w:rsidR="00980CF6">
        <w:rPr>
          <w:i/>
          <w:iCs/>
          <w:lang w:val="en-US"/>
        </w:rPr>
        <w:t>v</w:t>
      </w:r>
      <w:r w:rsidRPr="00D21E26">
        <w:rPr>
          <w:i/>
          <w:iCs/>
          <w:lang w:val="en-US"/>
        </w:rPr>
        <w:t>. Jarvis</w:t>
      </w:r>
      <w:r w:rsidRPr="00D21E26">
        <w:rPr>
          <w:lang w:val="en-US"/>
        </w:rPr>
        <w:t xml:space="preserve">, </w:t>
      </w:r>
      <w:r w:rsidRPr="00D21E26">
        <w:rPr>
          <w:i/>
          <w:iCs/>
          <w:lang w:val="en-US"/>
        </w:rPr>
        <w:t>supra</w:t>
      </w:r>
      <w:r w:rsidRPr="00D21E26">
        <w:rPr>
          <w:lang w:val="en-US"/>
        </w:rPr>
        <w:t xml:space="preserve"> </w:t>
      </w:r>
      <w:r w:rsidR="0034720C">
        <w:rPr>
          <w:lang w:val="en-US"/>
        </w:rPr>
        <w:t>note</w:t>
      </w:r>
      <w:r w:rsidRPr="00D21E26">
        <w:rPr>
          <w:lang w:val="en-US"/>
        </w:rPr>
        <w:t xml:space="preserve"> </w:t>
      </w:r>
      <w:r w:rsidR="00F929DC" w:rsidRPr="00D21E26">
        <w:rPr>
          <w:lang w:val="en-US"/>
        </w:rPr>
        <w:fldChar w:fldCharType="begin"/>
      </w:r>
      <w:r w:rsidRPr="00D21E26">
        <w:rPr>
          <w:lang w:val="en-US"/>
        </w:rPr>
        <w:instrText xml:space="preserve"> NOTEREF _Ref122011082 \h </w:instrText>
      </w:r>
      <w:r w:rsidR="00F929DC" w:rsidRPr="00D21E26">
        <w:rPr>
          <w:lang w:val="en-US"/>
        </w:rPr>
      </w:r>
      <w:r w:rsidR="00F929DC" w:rsidRPr="00D21E26">
        <w:rPr>
          <w:lang w:val="en-US"/>
        </w:rPr>
        <w:fldChar w:fldCharType="separate"/>
      </w:r>
      <w:r w:rsidRPr="00D21E26">
        <w:rPr>
          <w:lang w:val="en-US"/>
        </w:rPr>
        <w:t>18</w:t>
      </w:r>
      <w:r w:rsidR="00F929DC" w:rsidRPr="00D21E26">
        <w:rPr>
          <w:lang w:val="en-US"/>
        </w:rPr>
        <w:fldChar w:fldCharType="end"/>
      </w:r>
      <w:r w:rsidR="0034720C">
        <w:rPr>
          <w:lang w:val="en-US"/>
        </w:rPr>
        <w:t xml:space="preserve"> at</w:t>
      </w:r>
      <w:r w:rsidRPr="00D21E26">
        <w:rPr>
          <w:lang w:val="en-US"/>
        </w:rPr>
        <w:t xml:space="preserve"> para. 62.</w:t>
      </w:r>
    </w:p>
  </w:footnote>
  <w:footnote w:id="20">
    <w:p w14:paraId="07AEBBD6" w14:textId="51625368" w:rsidR="0063422F" w:rsidRPr="00D21E26" w:rsidRDefault="0063422F">
      <w:pPr>
        <w:pStyle w:val="Notedebasdepage"/>
        <w:rPr>
          <w:lang w:val="en-US"/>
        </w:rPr>
      </w:pPr>
      <w:r w:rsidRPr="00D21E26">
        <w:rPr>
          <w:rStyle w:val="Appelnotedebasdep"/>
          <w:lang w:val="en-US"/>
        </w:rPr>
        <w:footnoteRef/>
      </w:r>
      <w:r w:rsidRPr="00D21E26">
        <w:rPr>
          <w:lang w:val="en-US"/>
        </w:rPr>
        <w:tab/>
        <w:t xml:space="preserve">See </w:t>
      </w:r>
      <w:proofErr w:type="gramStart"/>
      <w:r w:rsidR="0048446D">
        <w:rPr>
          <w:iCs/>
          <w:lang w:val="en-US"/>
        </w:rPr>
        <w:t>in particular</w:t>
      </w:r>
      <w:r w:rsidRPr="00D21E26">
        <w:rPr>
          <w:lang w:val="en-US"/>
        </w:rPr>
        <w:t xml:space="preserve"> </w:t>
      </w:r>
      <w:r>
        <w:rPr>
          <w:i/>
          <w:iCs/>
          <w:lang w:val="en-US"/>
        </w:rPr>
        <w:t>Sherman</w:t>
      </w:r>
      <w:proofErr w:type="gramEnd"/>
      <w:r>
        <w:rPr>
          <w:i/>
          <w:iCs/>
          <w:lang w:val="en-US"/>
        </w:rPr>
        <w:t xml:space="preserve"> Estate v</w:t>
      </w:r>
      <w:r w:rsidRPr="00D21E26">
        <w:rPr>
          <w:i/>
          <w:iCs/>
          <w:lang w:val="en-US"/>
        </w:rPr>
        <w:t>. Donovan</w:t>
      </w:r>
      <w:r>
        <w:rPr>
          <w:lang w:val="en-US"/>
        </w:rPr>
        <w:t xml:space="preserve">, 2021 </w:t>
      </w:r>
      <w:r w:rsidRPr="00D21E26">
        <w:rPr>
          <w:lang w:val="en-US"/>
        </w:rPr>
        <w:t>S</w:t>
      </w:r>
      <w:r>
        <w:rPr>
          <w:lang w:val="en-US"/>
        </w:rPr>
        <w:t>C</w:t>
      </w:r>
      <w:r w:rsidRPr="00D21E26">
        <w:rPr>
          <w:lang w:val="en-US"/>
        </w:rPr>
        <w:t>C 25</w:t>
      </w:r>
      <w:r>
        <w:rPr>
          <w:lang w:val="en-US"/>
        </w:rPr>
        <w:t xml:space="preserve"> </w:t>
      </w:r>
      <w:r w:rsidR="0034720C">
        <w:rPr>
          <w:lang w:val="en-US"/>
        </w:rPr>
        <w:t xml:space="preserve">at </w:t>
      </w:r>
      <w:r>
        <w:rPr>
          <w:lang w:val="en-US"/>
        </w:rPr>
        <w:t>paras. 5 and</w:t>
      </w:r>
      <w:r w:rsidRPr="00D21E26">
        <w:rPr>
          <w:lang w:val="en-US"/>
        </w:rPr>
        <w:t xml:space="preserve"> 51; </w:t>
      </w:r>
      <w:r w:rsidRPr="00D21E26">
        <w:rPr>
          <w:i/>
          <w:lang w:val="en-US"/>
        </w:rPr>
        <w:t>Reference re Genetic Non</w:t>
      </w:r>
      <w:r w:rsidRPr="00D21E26">
        <w:rPr>
          <w:rFonts w:ascii="Cambria Math" w:hAnsi="Cambria Math" w:cs="Cambria Math"/>
          <w:i/>
          <w:lang w:val="en-US"/>
        </w:rPr>
        <w:t>‑</w:t>
      </w:r>
      <w:r w:rsidRPr="00D21E26">
        <w:rPr>
          <w:rFonts w:cs="Arial"/>
          <w:i/>
          <w:lang w:val="en-US"/>
        </w:rPr>
        <w:t>Discrimination Act</w:t>
      </w:r>
      <w:r>
        <w:rPr>
          <w:rFonts w:cs="Arial"/>
          <w:lang w:val="en-US"/>
        </w:rPr>
        <w:t>, 2020 SCC 17</w:t>
      </w:r>
      <w:r w:rsidRPr="00D21E26">
        <w:rPr>
          <w:lang w:val="en-US"/>
        </w:rPr>
        <w:t xml:space="preserve"> </w:t>
      </w:r>
      <w:r w:rsidR="0034720C">
        <w:rPr>
          <w:lang w:val="en-US"/>
        </w:rPr>
        <w:t xml:space="preserve">at </w:t>
      </w:r>
      <w:r w:rsidRPr="00D21E26">
        <w:rPr>
          <w:lang w:val="en-US"/>
        </w:rPr>
        <w:t>para</w:t>
      </w:r>
      <w:r>
        <w:rPr>
          <w:lang w:val="en-US"/>
        </w:rPr>
        <w:t>s</w:t>
      </w:r>
      <w:r w:rsidRPr="00D21E26">
        <w:rPr>
          <w:lang w:val="en-US"/>
        </w:rPr>
        <w:t>. 82</w:t>
      </w:r>
      <w:r w:rsidR="0034720C">
        <w:rPr>
          <w:lang w:val="en-US"/>
        </w:rPr>
        <w:t>–</w:t>
      </w:r>
      <w:r w:rsidRPr="00D21E26">
        <w:rPr>
          <w:lang w:val="en-US"/>
        </w:rPr>
        <w:t>83.</w:t>
      </w:r>
    </w:p>
  </w:footnote>
  <w:footnote w:id="21">
    <w:p w14:paraId="5568A528" w14:textId="188AA10E" w:rsidR="0063422F" w:rsidRPr="00D21E26" w:rsidRDefault="0063422F">
      <w:pPr>
        <w:pStyle w:val="Notedebasdepage"/>
        <w:rPr>
          <w:lang w:val="en-US"/>
        </w:rPr>
      </w:pPr>
      <w:r w:rsidRPr="00D21E26">
        <w:rPr>
          <w:rStyle w:val="Appelnotedebasdep"/>
          <w:lang w:val="en-US"/>
        </w:rPr>
        <w:footnoteRef/>
      </w:r>
      <w:r w:rsidRPr="00C614AE">
        <w:rPr>
          <w:lang w:val="en-CA"/>
        </w:rPr>
        <w:tab/>
      </w:r>
      <w:r w:rsidRPr="00C614AE">
        <w:rPr>
          <w:i/>
          <w:iCs/>
          <w:lang w:val="en-CA"/>
        </w:rPr>
        <w:t>R. v. Dyment</w:t>
      </w:r>
      <w:r w:rsidRPr="00C614AE">
        <w:rPr>
          <w:lang w:val="en-CA"/>
        </w:rPr>
        <w:t xml:space="preserve">, [1988] 2 S.C.R. 417 </w:t>
      </w:r>
      <w:r w:rsidR="0034720C">
        <w:rPr>
          <w:lang w:val="en-CA"/>
        </w:rPr>
        <w:t xml:space="preserve">at </w:t>
      </w:r>
      <w:r w:rsidRPr="00C614AE">
        <w:rPr>
          <w:lang w:val="en-CA"/>
        </w:rPr>
        <w:t xml:space="preserve">para. </w:t>
      </w:r>
      <w:r w:rsidRPr="00D21E26">
        <w:rPr>
          <w:lang w:val="en-US"/>
        </w:rPr>
        <w:t xml:space="preserve">27, </w:t>
      </w:r>
      <w:r>
        <w:rPr>
          <w:lang w:val="en-US"/>
        </w:rPr>
        <w:t xml:space="preserve">within the context of s. 8 of the </w:t>
      </w:r>
      <w:r w:rsidRPr="00370AF4">
        <w:rPr>
          <w:i/>
          <w:lang w:val="en-US"/>
        </w:rPr>
        <w:t>Canadian Charter of Rights and Freedoms</w:t>
      </w:r>
      <w:r>
        <w:rPr>
          <w:lang w:val="en-US"/>
        </w:rPr>
        <w:t>.</w:t>
      </w:r>
    </w:p>
  </w:footnote>
  <w:footnote w:id="22">
    <w:p w14:paraId="2A94D403" w14:textId="025CADE2" w:rsidR="0063422F" w:rsidRPr="00DA78BB" w:rsidRDefault="0063422F">
      <w:pPr>
        <w:pStyle w:val="Notedebasdepage"/>
        <w:rPr>
          <w:lang w:val="en-US"/>
        </w:rPr>
      </w:pPr>
      <w:r w:rsidRPr="00D21E26">
        <w:rPr>
          <w:rStyle w:val="Appelnotedebasdep"/>
          <w:lang w:val="en-US"/>
        </w:rPr>
        <w:footnoteRef/>
      </w:r>
      <w:r w:rsidRPr="00DA78BB">
        <w:rPr>
          <w:lang w:val="en-US"/>
        </w:rPr>
        <w:tab/>
      </w:r>
      <w:r w:rsidRPr="00DA78BB">
        <w:rPr>
          <w:rFonts w:cs="Arial"/>
          <w:i/>
          <w:lang w:val="en-US"/>
        </w:rPr>
        <w:t>R</w:t>
      </w:r>
      <w:r w:rsidRPr="00DA78BB">
        <w:rPr>
          <w:rFonts w:cs="Arial"/>
          <w:lang w:val="en-US"/>
        </w:rPr>
        <w:t xml:space="preserve">. </w:t>
      </w:r>
      <w:r w:rsidRPr="00DA78BB">
        <w:rPr>
          <w:rFonts w:cs="Arial"/>
          <w:i/>
          <w:iCs/>
          <w:lang w:val="en-US"/>
        </w:rPr>
        <w:t>c.</w:t>
      </w:r>
      <w:r w:rsidRPr="00DA78BB">
        <w:rPr>
          <w:rFonts w:cs="Arial"/>
          <w:lang w:val="en-US"/>
        </w:rPr>
        <w:t xml:space="preserve"> </w:t>
      </w:r>
      <w:r w:rsidRPr="00DA78BB">
        <w:rPr>
          <w:rFonts w:cs="Arial"/>
          <w:i/>
          <w:lang w:val="en-US"/>
        </w:rPr>
        <w:t>Gravel</w:t>
      </w:r>
      <w:r w:rsidRPr="00DA78BB">
        <w:rPr>
          <w:rFonts w:cs="Arial"/>
          <w:lang w:val="en-US"/>
        </w:rPr>
        <w:t xml:space="preserve">, 2018 QCCA 1114; </w:t>
      </w:r>
      <w:r w:rsidRPr="00DA78BB">
        <w:rPr>
          <w:rFonts w:cs="Arial"/>
          <w:i/>
          <w:lang w:val="en-US"/>
        </w:rPr>
        <w:t>Rozon</w:t>
      </w:r>
      <w:r w:rsidRPr="00DA78BB">
        <w:rPr>
          <w:rFonts w:cs="Arial"/>
          <w:lang w:val="en-US"/>
        </w:rPr>
        <w:t xml:space="preserve"> </w:t>
      </w:r>
      <w:r w:rsidRPr="00DA78BB">
        <w:rPr>
          <w:rFonts w:cs="Arial"/>
          <w:i/>
          <w:iCs/>
          <w:lang w:val="en-US"/>
        </w:rPr>
        <w:t>c.</w:t>
      </w:r>
      <w:r w:rsidRPr="00DA78BB">
        <w:rPr>
          <w:rFonts w:cs="Arial"/>
          <w:lang w:val="en-US"/>
        </w:rPr>
        <w:t xml:space="preserve"> </w:t>
      </w:r>
      <w:r w:rsidRPr="00DA78BB">
        <w:rPr>
          <w:rFonts w:cs="Arial"/>
          <w:i/>
          <w:lang w:val="en-US"/>
        </w:rPr>
        <w:t>R.</w:t>
      </w:r>
      <w:r w:rsidRPr="00DA78BB">
        <w:rPr>
          <w:rFonts w:cs="Arial"/>
          <w:lang w:val="en-US"/>
        </w:rPr>
        <w:t>, 1999 CanLII 11146 (S</w:t>
      </w:r>
      <w:r w:rsidR="00C935F4" w:rsidRPr="00DA78BB">
        <w:rPr>
          <w:rFonts w:cs="Arial"/>
          <w:lang w:val="en-US"/>
        </w:rPr>
        <w:t>up</w:t>
      </w:r>
      <w:r w:rsidRPr="00DA78BB">
        <w:rPr>
          <w:rFonts w:cs="Arial"/>
          <w:lang w:val="en-US"/>
        </w:rPr>
        <w:t>.</w:t>
      </w:r>
      <w:r w:rsidR="00C935F4" w:rsidRPr="00DA78BB">
        <w:rPr>
          <w:rFonts w:cs="Arial"/>
          <w:lang w:val="en-US"/>
        </w:rPr>
        <w:t xml:space="preserve"> Ct.</w:t>
      </w:r>
      <w:r w:rsidRPr="00DA78BB">
        <w:rPr>
          <w:rFonts w:cs="Arial"/>
          <w:lang w:val="en-US"/>
        </w:rPr>
        <w:t xml:space="preserve">) </w:t>
      </w:r>
      <w:r w:rsidR="00C935F4" w:rsidRPr="00DA78BB">
        <w:rPr>
          <w:rFonts w:cs="Arial"/>
          <w:lang w:val="en-US"/>
        </w:rPr>
        <w:t xml:space="preserve">at </w:t>
      </w:r>
      <w:r w:rsidRPr="00DA78BB">
        <w:rPr>
          <w:rFonts w:cs="Arial"/>
          <w:lang w:val="en-US"/>
        </w:rPr>
        <w:t xml:space="preserve">para. 36; </w:t>
      </w:r>
      <w:r w:rsidRPr="00DA78BB">
        <w:rPr>
          <w:rFonts w:cs="Arial"/>
          <w:i/>
          <w:lang w:val="en-US"/>
        </w:rPr>
        <w:t>R</w:t>
      </w:r>
      <w:r w:rsidRPr="00DA78BB">
        <w:rPr>
          <w:rFonts w:cs="Arial"/>
          <w:lang w:val="en-US"/>
        </w:rPr>
        <w:t xml:space="preserve">. </w:t>
      </w:r>
      <w:r w:rsidRPr="00DA78BB">
        <w:rPr>
          <w:rFonts w:cs="Arial"/>
          <w:i/>
          <w:iCs/>
          <w:lang w:val="en-US"/>
        </w:rPr>
        <w:t>c.</w:t>
      </w:r>
      <w:r w:rsidRPr="00DA78BB">
        <w:rPr>
          <w:rFonts w:cs="Arial"/>
          <w:lang w:val="en-US"/>
        </w:rPr>
        <w:t xml:space="preserve"> </w:t>
      </w:r>
      <w:r w:rsidRPr="00DA78BB">
        <w:rPr>
          <w:rFonts w:cs="Arial"/>
          <w:i/>
          <w:lang w:val="en-US"/>
        </w:rPr>
        <w:t>Laouar</w:t>
      </w:r>
      <w:r w:rsidRPr="00DA78BB">
        <w:rPr>
          <w:rFonts w:cs="Arial"/>
          <w:lang w:val="en-US"/>
        </w:rPr>
        <w:t xml:space="preserve">, 2015 QCCQ 14839; </w:t>
      </w:r>
      <w:r w:rsidRPr="00DA78BB">
        <w:rPr>
          <w:rFonts w:cs="Arial"/>
          <w:i/>
          <w:lang w:val="en-US"/>
        </w:rPr>
        <w:t>R</w:t>
      </w:r>
      <w:r w:rsidRPr="00DA78BB">
        <w:rPr>
          <w:rFonts w:cs="Arial"/>
          <w:lang w:val="en-US"/>
        </w:rPr>
        <w:t>. </w:t>
      </w:r>
      <w:r w:rsidRPr="00DA78BB">
        <w:rPr>
          <w:rFonts w:cs="Arial"/>
          <w:i/>
          <w:iCs/>
          <w:lang w:val="en-US"/>
        </w:rPr>
        <w:t>c.</w:t>
      </w:r>
      <w:r w:rsidRPr="00DA78BB">
        <w:rPr>
          <w:rFonts w:cs="Arial"/>
          <w:lang w:val="en-US"/>
        </w:rPr>
        <w:t> </w:t>
      </w:r>
      <w:r w:rsidRPr="00DA78BB">
        <w:rPr>
          <w:rFonts w:cs="Arial"/>
          <w:i/>
          <w:lang w:val="en-US"/>
        </w:rPr>
        <w:t>H.T.N.</w:t>
      </w:r>
      <w:r w:rsidRPr="00DA78BB">
        <w:rPr>
          <w:rFonts w:cs="Arial"/>
          <w:lang w:val="en-US"/>
        </w:rPr>
        <w:t xml:space="preserve">, 2006 QCCQ 7302; </w:t>
      </w:r>
      <w:r w:rsidRPr="00DA78BB">
        <w:rPr>
          <w:rFonts w:cs="Arial"/>
          <w:i/>
          <w:lang w:val="en-US"/>
        </w:rPr>
        <w:t>R</w:t>
      </w:r>
      <w:r w:rsidRPr="00DA78BB">
        <w:rPr>
          <w:rFonts w:cs="Arial"/>
          <w:lang w:val="en-US"/>
        </w:rPr>
        <w:t xml:space="preserve">. </w:t>
      </w:r>
      <w:r w:rsidRPr="00DA78BB">
        <w:rPr>
          <w:rFonts w:cs="Arial"/>
          <w:i/>
          <w:iCs/>
          <w:lang w:val="en-US"/>
        </w:rPr>
        <w:t>c.</w:t>
      </w:r>
      <w:r w:rsidRPr="00DA78BB">
        <w:rPr>
          <w:rFonts w:cs="Arial"/>
          <w:lang w:val="en-US"/>
        </w:rPr>
        <w:t xml:space="preserve"> </w:t>
      </w:r>
      <w:r w:rsidRPr="00DA78BB">
        <w:rPr>
          <w:rFonts w:cs="Arial"/>
          <w:i/>
          <w:lang w:val="en-US"/>
        </w:rPr>
        <w:t>A.L</w:t>
      </w:r>
      <w:r w:rsidRPr="00DA78BB">
        <w:rPr>
          <w:rFonts w:cs="Arial"/>
          <w:lang w:val="en-US"/>
        </w:rPr>
        <w:t>., 2005 CanLII 35274 (C.Q.).</w:t>
      </w:r>
    </w:p>
  </w:footnote>
  <w:footnote w:id="23">
    <w:p w14:paraId="2A9640D2" w14:textId="77777777" w:rsidR="0063422F" w:rsidRPr="00D21E26" w:rsidRDefault="0063422F">
      <w:pPr>
        <w:pStyle w:val="Notedebasdepage"/>
        <w:rPr>
          <w:lang w:val="en-US"/>
        </w:rPr>
      </w:pPr>
      <w:r w:rsidRPr="00D21E26">
        <w:rPr>
          <w:rStyle w:val="Appelnotedebasdep"/>
          <w:lang w:val="en-US"/>
        </w:rPr>
        <w:footnoteRef/>
      </w:r>
      <w:r w:rsidRPr="00D21E26">
        <w:rPr>
          <w:lang w:val="en-US"/>
        </w:rPr>
        <w:tab/>
      </w:r>
      <w:r w:rsidRPr="00D21E26">
        <w:rPr>
          <w:i/>
          <w:iCs/>
          <w:lang w:val="en-US"/>
        </w:rPr>
        <w:t>R. c. Cardinal</w:t>
      </w:r>
      <w:r w:rsidRPr="00D21E26">
        <w:rPr>
          <w:lang w:val="en-US"/>
        </w:rPr>
        <w:t>, 2012 QCCA 1838.</w:t>
      </w:r>
    </w:p>
  </w:footnote>
  <w:footnote w:id="24">
    <w:p w14:paraId="614187F0" w14:textId="15A53EC7" w:rsidR="0063422F" w:rsidRPr="00D21E26" w:rsidRDefault="0063422F">
      <w:pPr>
        <w:pStyle w:val="Notedebasdepage"/>
        <w:rPr>
          <w:lang w:val="en-US"/>
        </w:rPr>
      </w:pPr>
      <w:r w:rsidRPr="00D21E26">
        <w:rPr>
          <w:rStyle w:val="Appelnotedebasdep"/>
          <w:lang w:val="en-US"/>
        </w:rPr>
        <w:footnoteRef/>
      </w:r>
      <w:r w:rsidRPr="00D21E26">
        <w:rPr>
          <w:lang w:val="en-US"/>
        </w:rPr>
        <w:tab/>
      </w:r>
      <w:r w:rsidRPr="00D21E26">
        <w:rPr>
          <w:i/>
          <w:iCs/>
          <w:lang w:val="en-US"/>
        </w:rPr>
        <w:t>Ibid</w:t>
      </w:r>
      <w:r w:rsidRPr="00D21E26">
        <w:rPr>
          <w:lang w:val="en-US"/>
        </w:rPr>
        <w:t xml:space="preserve">. </w:t>
      </w:r>
      <w:r w:rsidR="00C935F4">
        <w:rPr>
          <w:lang w:val="en-US"/>
        </w:rPr>
        <w:t xml:space="preserve">at </w:t>
      </w:r>
      <w:r w:rsidRPr="00D21E26">
        <w:rPr>
          <w:lang w:val="en-US"/>
        </w:rPr>
        <w:t>para. 50.</w:t>
      </w:r>
    </w:p>
  </w:footnote>
  <w:footnote w:id="25">
    <w:p w14:paraId="2A08DF40" w14:textId="7203F309" w:rsidR="0063422F" w:rsidRPr="00D21E26" w:rsidRDefault="0063422F">
      <w:pPr>
        <w:pStyle w:val="Notedebasdepage"/>
        <w:rPr>
          <w:lang w:val="en-US"/>
        </w:rPr>
      </w:pPr>
      <w:r w:rsidRPr="00D21E26">
        <w:rPr>
          <w:rStyle w:val="Appelnotedebasdep"/>
          <w:lang w:val="en-US"/>
        </w:rPr>
        <w:footnoteRef/>
      </w:r>
      <w:r w:rsidRPr="00D21E26">
        <w:rPr>
          <w:lang w:val="en-US"/>
        </w:rPr>
        <w:t xml:space="preserve"> </w:t>
      </w:r>
      <w:r w:rsidRPr="00D21E26">
        <w:rPr>
          <w:lang w:val="en-US"/>
        </w:rPr>
        <w:tab/>
      </w:r>
      <w:r w:rsidRPr="00D21E26">
        <w:rPr>
          <w:i/>
          <w:iCs/>
          <w:lang w:val="en-US"/>
        </w:rPr>
        <w:t>Ibid</w:t>
      </w:r>
      <w:r w:rsidRPr="00D21E26">
        <w:rPr>
          <w:lang w:val="en-US"/>
        </w:rPr>
        <w:t>.</w:t>
      </w:r>
      <w:r w:rsidR="00C935F4">
        <w:rPr>
          <w:lang w:val="en-US"/>
        </w:rPr>
        <w:t xml:space="preserve"> at</w:t>
      </w:r>
      <w:r w:rsidRPr="00D21E26">
        <w:rPr>
          <w:lang w:val="en-US"/>
        </w:rPr>
        <w:t xml:space="preserve"> para. 51.</w:t>
      </w:r>
    </w:p>
  </w:footnote>
  <w:footnote w:id="26">
    <w:p w14:paraId="316964A8" w14:textId="78FDB76F" w:rsidR="0063422F" w:rsidRPr="00D21E26" w:rsidRDefault="0063422F">
      <w:pPr>
        <w:pStyle w:val="Notedebasdepage"/>
        <w:rPr>
          <w:lang w:val="en-US"/>
        </w:rPr>
      </w:pPr>
      <w:r w:rsidRPr="00D21E26">
        <w:rPr>
          <w:rStyle w:val="Appelnotedebasdep"/>
          <w:lang w:val="en-US"/>
        </w:rPr>
        <w:footnoteRef/>
      </w:r>
      <w:r w:rsidRPr="00D21E26">
        <w:rPr>
          <w:lang w:val="en-US"/>
        </w:rPr>
        <w:tab/>
        <w:t xml:space="preserve">Judgment </w:t>
      </w:r>
      <w:r w:rsidR="00C935F4">
        <w:rPr>
          <w:lang w:val="en-US"/>
        </w:rPr>
        <w:t xml:space="preserve">under </w:t>
      </w:r>
      <w:r w:rsidRPr="00D21E26">
        <w:rPr>
          <w:lang w:val="en-US"/>
        </w:rPr>
        <w:t>appeal</w:t>
      </w:r>
      <w:r w:rsidR="00C935F4">
        <w:rPr>
          <w:lang w:val="en-US"/>
        </w:rPr>
        <w:t xml:space="preserve"> at </w:t>
      </w:r>
      <w:r w:rsidRPr="00D21E26">
        <w:rPr>
          <w:lang w:val="en-US"/>
        </w:rPr>
        <w:t>para. 74.</w:t>
      </w:r>
    </w:p>
  </w:footnote>
  <w:footnote w:id="27">
    <w:p w14:paraId="334742AB" w14:textId="470A91D8" w:rsidR="0063422F" w:rsidRPr="000742C1" w:rsidRDefault="0063422F" w:rsidP="005F19DE">
      <w:pPr>
        <w:pStyle w:val="Notedebasdepage"/>
        <w:rPr>
          <w:lang w:val="en-CA"/>
        </w:rPr>
      </w:pPr>
      <w:r>
        <w:rPr>
          <w:rStyle w:val="Appelnotedebasdep"/>
        </w:rPr>
        <w:footnoteRef/>
      </w:r>
      <w:r w:rsidRPr="00FE13CE">
        <w:rPr>
          <w:lang w:val="en-CA"/>
        </w:rPr>
        <w:tab/>
      </w:r>
      <w:r w:rsidRPr="00FE13CE">
        <w:rPr>
          <w:i/>
          <w:iCs/>
          <w:lang w:val="en-CA"/>
        </w:rPr>
        <w:t xml:space="preserve">R. </w:t>
      </w:r>
      <w:r>
        <w:rPr>
          <w:i/>
          <w:iCs/>
          <w:lang w:val="en-CA"/>
        </w:rPr>
        <w:t xml:space="preserve">v. </w:t>
      </w:r>
      <w:r w:rsidRPr="00FE13CE">
        <w:rPr>
          <w:i/>
          <w:iCs/>
          <w:lang w:val="en-CA"/>
        </w:rPr>
        <w:t>Friesen</w:t>
      </w:r>
      <w:r w:rsidRPr="00FE13CE">
        <w:rPr>
          <w:lang w:val="en-CA"/>
        </w:rPr>
        <w:t xml:space="preserve">, </w:t>
      </w:r>
      <w:r w:rsidRPr="00FE13CE">
        <w:rPr>
          <w:i/>
          <w:iCs/>
          <w:lang w:val="en-CA"/>
        </w:rPr>
        <w:t>supra</w:t>
      </w:r>
      <w:r w:rsidRPr="00FE13CE">
        <w:rPr>
          <w:lang w:val="en-CA"/>
        </w:rPr>
        <w:t xml:space="preserve"> </w:t>
      </w:r>
      <w:r w:rsidR="00C935F4">
        <w:rPr>
          <w:lang w:val="en-CA"/>
        </w:rPr>
        <w:t>note</w:t>
      </w:r>
      <w:r w:rsidRPr="00FE13CE">
        <w:rPr>
          <w:lang w:val="en-CA"/>
        </w:rPr>
        <w:t xml:space="preserve"> </w:t>
      </w:r>
      <w:r w:rsidR="00F929DC">
        <w:rPr>
          <w:lang w:val="en-CA"/>
        </w:rPr>
        <w:fldChar w:fldCharType="begin"/>
      </w:r>
      <w:r w:rsidRPr="00FE13CE">
        <w:rPr>
          <w:lang w:val="en-CA"/>
        </w:rPr>
        <w:instrText xml:space="preserve"> NOTEREF _Ref123893240 \h </w:instrText>
      </w:r>
      <w:r w:rsidR="00F929DC">
        <w:rPr>
          <w:lang w:val="en-CA"/>
        </w:rPr>
      </w:r>
      <w:r w:rsidR="00F929DC">
        <w:rPr>
          <w:lang w:val="en-CA"/>
        </w:rPr>
        <w:fldChar w:fldCharType="separate"/>
      </w:r>
      <w:proofErr w:type="gramStart"/>
      <w:r w:rsidRPr="00C935F4">
        <w:rPr>
          <w:lang w:val="en-CA"/>
        </w:rPr>
        <w:t>16</w:t>
      </w:r>
      <w:proofErr w:type="gramEnd"/>
      <w:r w:rsidR="00F929DC">
        <w:rPr>
          <w:lang w:val="en-CA"/>
        </w:rPr>
        <w:fldChar w:fldCharType="end"/>
      </w:r>
      <w:r w:rsidRPr="00C935F4">
        <w:rPr>
          <w:lang w:val="en-CA"/>
        </w:rPr>
        <w:t xml:space="preserve"> </w:t>
      </w:r>
      <w:r w:rsidR="00C935F4" w:rsidRPr="00DA78BB">
        <w:rPr>
          <w:lang w:val="en-CA"/>
        </w:rPr>
        <w:t xml:space="preserve">at </w:t>
      </w:r>
      <w:r w:rsidRPr="00C935F4">
        <w:rPr>
          <w:lang w:val="en-CA"/>
        </w:rPr>
        <w:t xml:space="preserve">para. </w:t>
      </w:r>
      <w:r w:rsidRPr="000742C1">
        <w:rPr>
          <w:lang w:val="en-CA"/>
        </w:rPr>
        <w:t>27.</w:t>
      </w:r>
    </w:p>
  </w:footnote>
  <w:footnote w:id="28">
    <w:p w14:paraId="4FD57875" w14:textId="68375E00" w:rsidR="0063422F" w:rsidRPr="000742C1" w:rsidRDefault="0063422F">
      <w:pPr>
        <w:pStyle w:val="Notedebasdepage"/>
        <w:rPr>
          <w:lang w:val="en-CA"/>
        </w:rPr>
      </w:pPr>
      <w:r>
        <w:rPr>
          <w:rStyle w:val="Appelnotedebasdep"/>
        </w:rPr>
        <w:footnoteRef/>
      </w:r>
      <w:r w:rsidRPr="00C614AE">
        <w:rPr>
          <w:lang w:val="en-CA"/>
        </w:rPr>
        <w:tab/>
      </w:r>
      <w:r w:rsidRPr="00C614AE">
        <w:rPr>
          <w:i/>
          <w:iCs/>
          <w:lang w:val="en-CA"/>
        </w:rPr>
        <w:t>Lacelle Belec c. R.</w:t>
      </w:r>
      <w:r w:rsidRPr="00C614AE">
        <w:rPr>
          <w:lang w:val="en-CA"/>
        </w:rPr>
        <w:t xml:space="preserve">, 2019 QCCA 711 </w:t>
      </w:r>
      <w:r w:rsidR="00C935F4" w:rsidRPr="00C614AE">
        <w:rPr>
          <w:lang w:val="en-CA"/>
        </w:rPr>
        <w:t xml:space="preserve">at </w:t>
      </w:r>
      <w:r w:rsidRPr="00C614AE">
        <w:rPr>
          <w:lang w:val="en-CA"/>
        </w:rPr>
        <w:t xml:space="preserve">para. </w:t>
      </w:r>
      <w:r w:rsidRPr="000742C1">
        <w:rPr>
          <w:lang w:val="en-CA"/>
        </w:rPr>
        <w:t>27.</w:t>
      </w:r>
    </w:p>
  </w:footnote>
  <w:footnote w:id="29">
    <w:p w14:paraId="4B7AEE47" w14:textId="0A3EC374" w:rsidR="0063422F" w:rsidRPr="00C614AE" w:rsidRDefault="0063422F">
      <w:pPr>
        <w:pStyle w:val="Notedebasdepage"/>
        <w:rPr>
          <w:lang w:val="en-CA"/>
        </w:rPr>
      </w:pPr>
      <w:r>
        <w:rPr>
          <w:rStyle w:val="Appelnotedebasdep"/>
        </w:rPr>
        <w:footnoteRef/>
      </w:r>
      <w:r w:rsidRPr="00C614AE">
        <w:rPr>
          <w:lang w:val="en-CA"/>
        </w:rPr>
        <w:tab/>
        <w:t xml:space="preserve">Section 718 </w:t>
      </w:r>
      <w:r w:rsidRPr="00C614AE">
        <w:rPr>
          <w:i/>
          <w:iCs/>
          <w:spacing w:val="-20"/>
          <w:lang w:val="en-CA"/>
        </w:rPr>
        <w:t>Cr.</w:t>
      </w:r>
      <w:r w:rsidR="00C935F4" w:rsidRPr="00C614AE">
        <w:rPr>
          <w:i/>
          <w:iCs/>
          <w:spacing w:val="-20"/>
          <w:lang w:val="en-CA"/>
        </w:rPr>
        <w:t xml:space="preserve"> </w:t>
      </w:r>
      <w:r w:rsidRPr="00C614AE">
        <w:rPr>
          <w:i/>
          <w:iCs/>
          <w:spacing w:val="-20"/>
          <w:lang w:val="en-CA"/>
        </w:rPr>
        <w:t>C</w:t>
      </w:r>
      <w:r w:rsidRPr="00C614AE">
        <w:rPr>
          <w:i/>
          <w:iCs/>
          <w:lang w:val="en-CA"/>
        </w:rPr>
        <w:t>.</w:t>
      </w:r>
    </w:p>
  </w:footnote>
  <w:footnote w:id="30">
    <w:p w14:paraId="46140876" w14:textId="14E0E64D" w:rsidR="0063422F" w:rsidRPr="000742C1" w:rsidRDefault="0063422F">
      <w:pPr>
        <w:pStyle w:val="Notedebasdepage"/>
        <w:rPr>
          <w:lang w:val="en-CA"/>
        </w:rPr>
      </w:pPr>
      <w:r>
        <w:rPr>
          <w:rStyle w:val="Appelnotedebasdep"/>
        </w:rPr>
        <w:footnoteRef/>
      </w:r>
      <w:r w:rsidRPr="00C614AE">
        <w:rPr>
          <w:lang w:val="en-CA"/>
        </w:rPr>
        <w:tab/>
      </w:r>
      <w:r w:rsidRPr="00C614AE">
        <w:rPr>
          <w:i/>
          <w:iCs/>
          <w:lang w:val="en-CA"/>
        </w:rPr>
        <w:t>Harbour c. R.</w:t>
      </w:r>
      <w:r w:rsidRPr="00C614AE">
        <w:rPr>
          <w:lang w:val="en-CA"/>
        </w:rPr>
        <w:t xml:space="preserve">, 2017 QCCA 204 </w:t>
      </w:r>
      <w:r w:rsidR="00C935F4" w:rsidRPr="00C614AE">
        <w:rPr>
          <w:lang w:val="en-CA"/>
        </w:rPr>
        <w:t xml:space="preserve">at </w:t>
      </w:r>
      <w:r w:rsidRPr="00C614AE">
        <w:rPr>
          <w:lang w:val="en-CA"/>
        </w:rPr>
        <w:t xml:space="preserve">para. </w:t>
      </w:r>
      <w:r w:rsidRPr="000742C1">
        <w:rPr>
          <w:lang w:val="en-CA"/>
        </w:rPr>
        <w:t>84.</w:t>
      </w:r>
    </w:p>
  </w:footnote>
  <w:footnote w:id="31">
    <w:p w14:paraId="09957B93" w14:textId="16206EF1" w:rsidR="0063422F" w:rsidRPr="00C614AE" w:rsidRDefault="0063422F">
      <w:pPr>
        <w:pStyle w:val="Notedebasdepage"/>
        <w:rPr>
          <w:lang w:val="en-CA"/>
        </w:rPr>
      </w:pPr>
      <w:r>
        <w:rPr>
          <w:rStyle w:val="Appelnotedebasdep"/>
        </w:rPr>
        <w:footnoteRef/>
      </w:r>
      <w:r w:rsidRPr="00D65794">
        <w:rPr>
          <w:lang w:val="en-CA"/>
        </w:rPr>
        <w:tab/>
      </w:r>
      <w:r w:rsidRPr="00D65794">
        <w:rPr>
          <w:i/>
          <w:iCs/>
          <w:lang w:val="en-CA"/>
        </w:rPr>
        <w:t>R. v. Ipeelee</w:t>
      </w:r>
      <w:r w:rsidRPr="00D65794">
        <w:rPr>
          <w:lang w:val="en-CA"/>
        </w:rPr>
        <w:t xml:space="preserve">, 2012 SCC 13, [2012] 1 S.C.R. 433 </w:t>
      </w:r>
      <w:r w:rsidR="00C935F4" w:rsidRPr="00D65794">
        <w:rPr>
          <w:lang w:val="en-CA"/>
        </w:rPr>
        <w:t xml:space="preserve">at </w:t>
      </w:r>
      <w:r w:rsidRPr="00D65794">
        <w:rPr>
          <w:lang w:val="en-CA"/>
        </w:rPr>
        <w:t xml:space="preserve">para. </w:t>
      </w:r>
      <w:r w:rsidRPr="00C614AE">
        <w:rPr>
          <w:lang w:val="en-CA"/>
        </w:rPr>
        <w:t xml:space="preserve">37; </w:t>
      </w:r>
      <w:r w:rsidRPr="00C614AE">
        <w:rPr>
          <w:i/>
          <w:iCs/>
          <w:lang w:val="en-CA"/>
        </w:rPr>
        <w:t>R. v. Nasogaluak</w:t>
      </w:r>
      <w:r w:rsidRPr="00C614AE">
        <w:rPr>
          <w:lang w:val="en-CA"/>
        </w:rPr>
        <w:t xml:space="preserve">, </w:t>
      </w:r>
      <w:r w:rsidRPr="00C614AE">
        <w:rPr>
          <w:i/>
          <w:iCs/>
          <w:lang w:val="en-CA"/>
        </w:rPr>
        <w:t>supra</w:t>
      </w:r>
      <w:r w:rsidRPr="00C614AE">
        <w:rPr>
          <w:lang w:val="en-CA"/>
        </w:rPr>
        <w:t xml:space="preserve"> </w:t>
      </w:r>
      <w:r w:rsidR="00C935F4" w:rsidRPr="00C614AE">
        <w:rPr>
          <w:lang w:val="en-CA"/>
        </w:rPr>
        <w:t>note</w:t>
      </w:r>
      <w:r w:rsidRPr="00C614AE">
        <w:rPr>
          <w:lang w:val="en-CA"/>
        </w:rPr>
        <w:t xml:space="preserve"> </w:t>
      </w:r>
      <w:r w:rsidR="00F929DC">
        <w:rPr>
          <w:lang w:val="en-CA"/>
        </w:rPr>
        <w:fldChar w:fldCharType="begin"/>
      </w:r>
      <w:r w:rsidRPr="00C614AE">
        <w:rPr>
          <w:lang w:val="en-CA"/>
        </w:rPr>
        <w:instrText xml:space="preserve"> NOTEREF _Ref121313958 \h </w:instrText>
      </w:r>
      <w:r w:rsidR="00F929DC">
        <w:rPr>
          <w:lang w:val="en-CA"/>
        </w:rPr>
      </w:r>
      <w:r w:rsidR="00F929DC">
        <w:rPr>
          <w:lang w:val="en-CA"/>
        </w:rPr>
        <w:fldChar w:fldCharType="separate"/>
      </w:r>
      <w:proofErr w:type="gramStart"/>
      <w:r w:rsidRPr="00C614AE">
        <w:rPr>
          <w:lang w:val="en-CA"/>
        </w:rPr>
        <w:t>13</w:t>
      </w:r>
      <w:proofErr w:type="gramEnd"/>
      <w:r w:rsidR="00F929DC">
        <w:rPr>
          <w:lang w:val="en-CA"/>
        </w:rPr>
        <w:fldChar w:fldCharType="end"/>
      </w:r>
      <w:r w:rsidR="00C935F4">
        <w:rPr>
          <w:lang w:val="en-CA"/>
        </w:rPr>
        <w:t xml:space="preserve"> at</w:t>
      </w:r>
      <w:r w:rsidRPr="00C614AE">
        <w:rPr>
          <w:lang w:val="en-CA"/>
        </w:rPr>
        <w:t xml:space="preserve"> para. 40.</w:t>
      </w:r>
    </w:p>
  </w:footnote>
  <w:footnote w:id="32">
    <w:p w14:paraId="46B26EAC" w14:textId="6FFF0544" w:rsidR="0063422F" w:rsidRPr="0002253C" w:rsidRDefault="0063422F">
      <w:pPr>
        <w:pStyle w:val="Notedebasdepage"/>
        <w:rPr>
          <w:lang w:val="en-CA"/>
        </w:rPr>
      </w:pPr>
      <w:r>
        <w:rPr>
          <w:rStyle w:val="Appelnotedebasdep"/>
        </w:rPr>
        <w:footnoteRef/>
      </w:r>
      <w:r w:rsidRPr="00D65794">
        <w:rPr>
          <w:lang w:val="en-CA"/>
        </w:rPr>
        <w:t xml:space="preserve"> </w:t>
      </w:r>
      <w:r w:rsidRPr="00D65794">
        <w:rPr>
          <w:lang w:val="en-CA"/>
        </w:rPr>
        <w:tab/>
      </w:r>
      <w:r w:rsidRPr="00D65794">
        <w:rPr>
          <w:i/>
          <w:iCs/>
          <w:lang w:val="en-CA"/>
        </w:rPr>
        <w:t>R. v. Nasogaluak</w:t>
      </w:r>
      <w:r w:rsidRPr="00D65794">
        <w:rPr>
          <w:lang w:val="en-CA"/>
        </w:rPr>
        <w:t xml:space="preserve">, </w:t>
      </w:r>
      <w:r w:rsidRPr="00D65794">
        <w:rPr>
          <w:i/>
          <w:iCs/>
          <w:lang w:val="en-CA"/>
        </w:rPr>
        <w:t>supra</w:t>
      </w:r>
      <w:r w:rsidRPr="00D65794">
        <w:rPr>
          <w:lang w:val="en-CA"/>
        </w:rPr>
        <w:t xml:space="preserve"> </w:t>
      </w:r>
      <w:r w:rsidR="00FF2836">
        <w:rPr>
          <w:lang w:val="en-CA"/>
        </w:rPr>
        <w:t>note</w:t>
      </w:r>
      <w:r w:rsidRPr="00D65794">
        <w:rPr>
          <w:lang w:val="en-CA"/>
        </w:rPr>
        <w:t xml:space="preserve"> </w:t>
      </w:r>
      <w:r w:rsidR="00F929DC">
        <w:fldChar w:fldCharType="begin"/>
      </w:r>
      <w:r w:rsidRPr="00D65794">
        <w:rPr>
          <w:lang w:val="en-CA"/>
        </w:rPr>
        <w:instrText xml:space="preserve"> NOTEREF _Ref121313958 \h </w:instrText>
      </w:r>
      <w:r w:rsidR="00F929DC">
        <w:fldChar w:fldCharType="separate"/>
      </w:r>
      <w:proofErr w:type="gramStart"/>
      <w:r w:rsidRPr="00D65794">
        <w:rPr>
          <w:lang w:val="en-CA"/>
        </w:rPr>
        <w:t>13</w:t>
      </w:r>
      <w:proofErr w:type="gramEnd"/>
      <w:r w:rsidR="00F929DC">
        <w:fldChar w:fldCharType="end"/>
      </w:r>
      <w:r w:rsidRPr="00D65794">
        <w:rPr>
          <w:lang w:val="en-CA"/>
        </w:rPr>
        <w:t xml:space="preserve"> </w:t>
      </w:r>
      <w:r w:rsidR="00FF2836">
        <w:rPr>
          <w:lang w:val="en-CA"/>
        </w:rPr>
        <w:t xml:space="preserve">at </w:t>
      </w:r>
      <w:r w:rsidRPr="00D65794">
        <w:rPr>
          <w:lang w:val="en-CA"/>
        </w:rPr>
        <w:t xml:space="preserve">para. </w:t>
      </w:r>
      <w:r w:rsidRPr="00C430FC">
        <w:rPr>
          <w:lang w:val="en-CA"/>
        </w:rPr>
        <w:t xml:space="preserve">42. See also </w:t>
      </w:r>
      <w:r w:rsidRPr="00C430FC">
        <w:rPr>
          <w:i/>
          <w:iCs/>
          <w:lang w:val="en-CA"/>
        </w:rPr>
        <w:t>R. v. Bissonnette</w:t>
      </w:r>
      <w:r w:rsidRPr="00C430FC">
        <w:rPr>
          <w:lang w:val="en-CA"/>
        </w:rPr>
        <w:t xml:space="preserve">, 2022 SCC 23 </w:t>
      </w:r>
      <w:r w:rsidR="00FF2836">
        <w:rPr>
          <w:lang w:val="en-CA"/>
        </w:rPr>
        <w:t xml:space="preserve">at </w:t>
      </w:r>
      <w:r w:rsidRPr="00C430FC">
        <w:rPr>
          <w:lang w:val="en-CA"/>
        </w:rPr>
        <w:t>para. </w:t>
      </w:r>
      <w:r w:rsidRPr="0002253C">
        <w:rPr>
          <w:lang w:val="en-CA"/>
        </w:rPr>
        <w:t xml:space="preserve">50; </w:t>
      </w:r>
      <w:r>
        <w:rPr>
          <w:i/>
          <w:iCs/>
          <w:lang w:val="en-CA"/>
        </w:rPr>
        <w:t>R. v</w:t>
      </w:r>
      <w:r w:rsidRPr="0002253C">
        <w:rPr>
          <w:i/>
          <w:iCs/>
          <w:lang w:val="en-CA"/>
        </w:rPr>
        <w:t>. Ipeelee</w:t>
      </w:r>
      <w:r w:rsidRPr="0002253C">
        <w:rPr>
          <w:lang w:val="en-CA"/>
        </w:rPr>
        <w:t xml:space="preserve">, </w:t>
      </w:r>
      <w:r w:rsidRPr="0002253C">
        <w:rPr>
          <w:i/>
          <w:iCs/>
          <w:lang w:val="en-CA"/>
        </w:rPr>
        <w:t>supra</w:t>
      </w:r>
      <w:r w:rsidRPr="0002253C">
        <w:rPr>
          <w:lang w:val="en-CA"/>
        </w:rPr>
        <w:t xml:space="preserve"> </w:t>
      </w:r>
      <w:r w:rsidR="00FF2836">
        <w:rPr>
          <w:lang w:val="en-CA"/>
        </w:rPr>
        <w:t>note</w:t>
      </w:r>
      <w:r w:rsidRPr="0002253C">
        <w:rPr>
          <w:lang w:val="en-CA"/>
        </w:rPr>
        <w:t xml:space="preserve"> </w:t>
      </w:r>
      <w:r w:rsidR="00F929DC">
        <w:rPr>
          <w:lang w:val="en-CA"/>
        </w:rPr>
        <w:fldChar w:fldCharType="begin"/>
      </w:r>
      <w:r>
        <w:rPr>
          <w:lang w:val="en-CA"/>
        </w:rPr>
        <w:instrText xml:space="preserve"> NOTEREF _Ref123893661 \h </w:instrText>
      </w:r>
      <w:r w:rsidR="00F929DC">
        <w:rPr>
          <w:lang w:val="en-CA"/>
        </w:rPr>
      </w:r>
      <w:r w:rsidR="00F929DC">
        <w:rPr>
          <w:lang w:val="en-CA"/>
        </w:rPr>
        <w:fldChar w:fldCharType="separate"/>
      </w:r>
      <w:proofErr w:type="gramStart"/>
      <w:r>
        <w:rPr>
          <w:lang w:val="en-CA"/>
        </w:rPr>
        <w:t>31</w:t>
      </w:r>
      <w:proofErr w:type="gramEnd"/>
      <w:r w:rsidR="00F929DC">
        <w:rPr>
          <w:lang w:val="en-CA"/>
        </w:rPr>
        <w:fldChar w:fldCharType="end"/>
      </w:r>
      <w:r w:rsidRPr="0002253C">
        <w:rPr>
          <w:lang w:val="en-CA"/>
        </w:rPr>
        <w:t xml:space="preserve"> </w:t>
      </w:r>
      <w:r w:rsidR="00FF2836">
        <w:rPr>
          <w:lang w:val="en-CA"/>
        </w:rPr>
        <w:t xml:space="preserve">at </w:t>
      </w:r>
      <w:r>
        <w:rPr>
          <w:lang w:val="en-CA"/>
        </w:rPr>
        <w:t>para</w:t>
      </w:r>
      <w:r w:rsidRPr="0002253C">
        <w:rPr>
          <w:lang w:val="en-CA"/>
        </w:rPr>
        <w:t>. 37.</w:t>
      </w:r>
    </w:p>
  </w:footnote>
  <w:footnote w:id="33">
    <w:p w14:paraId="464CA622" w14:textId="48794AA1" w:rsidR="0063422F" w:rsidRPr="00C614AE" w:rsidRDefault="0063422F">
      <w:pPr>
        <w:pStyle w:val="Notedebasdepage"/>
        <w:rPr>
          <w:lang w:val="en-CA"/>
        </w:rPr>
      </w:pPr>
      <w:r>
        <w:rPr>
          <w:rStyle w:val="Appelnotedebasdep"/>
        </w:rPr>
        <w:footnoteRef/>
      </w:r>
      <w:r w:rsidRPr="00734038">
        <w:rPr>
          <w:lang w:val="en-CA"/>
        </w:rPr>
        <w:tab/>
      </w:r>
      <w:r>
        <w:rPr>
          <w:i/>
          <w:iCs/>
          <w:lang w:val="en-CA"/>
        </w:rPr>
        <w:t xml:space="preserve">R. v. </w:t>
      </w:r>
      <w:r w:rsidRPr="00734038">
        <w:rPr>
          <w:i/>
          <w:iCs/>
          <w:lang w:val="en-CA"/>
        </w:rPr>
        <w:t>Friesen</w:t>
      </w:r>
      <w:r w:rsidRPr="00734038">
        <w:rPr>
          <w:lang w:val="en-CA"/>
        </w:rPr>
        <w:t xml:space="preserve">, </w:t>
      </w:r>
      <w:r w:rsidRPr="00734038">
        <w:rPr>
          <w:i/>
          <w:iCs/>
          <w:lang w:val="en-CA"/>
        </w:rPr>
        <w:t>supra</w:t>
      </w:r>
      <w:r w:rsidRPr="00734038">
        <w:rPr>
          <w:lang w:val="en-CA"/>
        </w:rPr>
        <w:t xml:space="preserve"> </w:t>
      </w:r>
      <w:r w:rsidR="00FF2836">
        <w:rPr>
          <w:lang w:val="en-CA"/>
        </w:rPr>
        <w:t>note</w:t>
      </w:r>
      <w:r w:rsidRPr="00734038">
        <w:rPr>
          <w:lang w:val="en-CA"/>
        </w:rPr>
        <w:t xml:space="preserve"> </w:t>
      </w:r>
      <w:r w:rsidR="00F929DC">
        <w:rPr>
          <w:lang w:val="en-CA"/>
        </w:rPr>
        <w:fldChar w:fldCharType="begin"/>
      </w:r>
      <w:r w:rsidRPr="00734038">
        <w:rPr>
          <w:lang w:val="en-CA"/>
        </w:rPr>
        <w:instrText xml:space="preserve"> NOTEREF _Ref123893240 \h </w:instrText>
      </w:r>
      <w:r w:rsidR="00F929DC">
        <w:rPr>
          <w:lang w:val="en-CA"/>
        </w:rPr>
      </w:r>
      <w:r w:rsidR="00F929DC">
        <w:rPr>
          <w:lang w:val="en-CA"/>
        </w:rPr>
        <w:fldChar w:fldCharType="separate"/>
      </w:r>
      <w:proofErr w:type="gramStart"/>
      <w:r w:rsidRPr="00FF2836">
        <w:rPr>
          <w:lang w:val="en-CA"/>
        </w:rPr>
        <w:t>16</w:t>
      </w:r>
      <w:proofErr w:type="gramEnd"/>
      <w:r w:rsidR="00F929DC">
        <w:rPr>
          <w:lang w:val="en-CA"/>
        </w:rPr>
        <w:fldChar w:fldCharType="end"/>
      </w:r>
      <w:r w:rsidRPr="00FF2836">
        <w:rPr>
          <w:lang w:val="en-CA"/>
        </w:rPr>
        <w:t xml:space="preserve"> </w:t>
      </w:r>
      <w:r w:rsidR="00FF2836" w:rsidRPr="00DA78BB">
        <w:rPr>
          <w:lang w:val="en-CA"/>
        </w:rPr>
        <w:t xml:space="preserve">at </w:t>
      </w:r>
      <w:r w:rsidRPr="00FF2836">
        <w:rPr>
          <w:lang w:val="en-CA"/>
        </w:rPr>
        <w:t xml:space="preserve">para. </w:t>
      </w:r>
      <w:r w:rsidRPr="00C614AE">
        <w:rPr>
          <w:lang w:val="en-CA"/>
        </w:rPr>
        <w:t>33.</w:t>
      </w:r>
    </w:p>
  </w:footnote>
  <w:footnote w:id="34">
    <w:p w14:paraId="058E448A" w14:textId="7EE1E08C" w:rsidR="0063422F" w:rsidRPr="00C614AE" w:rsidRDefault="0063422F">
      <w:pPr>
        <w:pStyle w:val="Notedebasdepage"/>
        <w:rPr>
          <w:lang w:val="en-CA"/>
        </w:rPr>
      </w:pPr>
      <w:r>
        <w:rPr>
          <w:rStyle w:val="Appelnotedebasdep"/>
        </w:rPr>
        <w:footnoteRef/>
      </w:r>
      <w:r w:rsidRPr="00C614AE">
        <w:rPr>
          <w:lang w:val="en-CA"/>
        </w:rPr>
        <w:tab/>
      </w:r>
      <w:r w:rsidRPr="00C614AE">
        <w:rPr>
          <w:i/>
          <w:iCs/>
          <w:lang w:val="en-CA"/>
        </w:rPr>
        <w:t>R. v. Lacasse</w:t>
      </w:r>
      <w:r w:rsidRPr="00C614AE">
        <w:rPr>
          <w:lang w:val="en-CA"/>
        </w:rPr>
        <w:t xml:space="preserve">, </w:t>
      </w:r>
      <w:r w:rsidRPr="00C614AE">
        <w:rPr>
          <w:i/>
          <w:iCs/>
          <w:lang w:val="en-CA"/>
        </w:rPr>
        <w:t>supra</w:t>
      </w:r>
      <w:r w:rsidRPr="00C614AE">
        <w:rPr>
          <w:lang w:val="en-CA"/>
        </w:rPr>
        <w:t xml:space="preserve"> </w:t>
      </w:r>
      <w:r w:rsidR="00FF2836" w:rsidRPr="00C614AE">
        <w:rPr>
          <w:lang w:val="en-CA"/>
        </w:rPr>
        <w:t>note</w:t>
      </w:r>
      <w:r w:rsidRPr="00C614AE">
        <w:rPr>
          <w:lang w:val="en-CA"/>
        </w:rPr>
        <w:t xml:space="preserve"> </w:t>
      </w:r>
      <w:r w:rsidR="00F929DC">
        <w:fldChar w:fldCharType="begin"/>
      </w:r>
      <w:r w:rsidRPr="00C614AE">
        <w:rPr>
          <w:lang w:val="en-CA"/>
        </w:rPr>
        <w:instrText xml:space="preserve"> NOTEREF _Ref121313958 \h </w:instrText>
      </w:r>
      <w:r w:rsidR="00F929DC">
        <w:fldChar w:fldCharType="separate"/>
      </w:r>
      <w:proofErr w:type="gramStart"/>
      <w:r w:rsidRPr="00C430FC">
        <w:rPr>
          <w:lang w:val="en-CA"/>
        </w:rPr>
        <w:t>13</w:t>
      </w:r>
      <w:proofErr w:type="gramEnd"/>
      <w:r w:rsidR="00F929DC">
        <w:fldChar w:fldCharType="end"/>
      </w:r>
      <w:r w:rsidRPr="00C430FC">
        <w:rPr>
          <w:lang w:val="en-CA"/>
        </w:rPr>
        <w:t xml:space="preserve"> </w:t>
      </w:r>
      <w:r w:rsidR="00FF2836">
        <w:rPr>
          <w:lang w:val="en-CA"/>
        </w:rPr>
        <w:t xml:space="preserve">at </w:t>
      </w:r>
      <w:r w:rsidRPr="00C430FC">
        <w:rPr>
          <w:lang w:val="en-CA"/>
        </w:rPr>
        <w:t xml:space="preserve">para. 53, reproduced in </w:t>
      </w:r>
      <w:r w:rsidRPr="00C430FC">
        <w:rPr>
          <w:i/>
          <w:iCs/>
          <w:lang w:val="en-CA"/>
        </w:rPr>
        <w:t>R. v. Parranto</w:t>
      </w:r>
      <w:r w:rsidRPr="00C430FC">
        <w:rPr>
          <w:lang w:val="en-CA"/>
        </w:rPr>
        <w:t xml:space="preserve">, </w:t>
      </w:r>
      <w:r w:rsidRPr="00C430FC">
        <w:rPr>
          <w:i/>
          <w:iCs/>
          <w:lang w:val="en-CA"/>
        </w:rPr>
        <w:t>supra</w:t>
      </w:r>
      <w:r w:rsidRPr="00C430FC">
        <w:rPr>
          <w:lang w:val="en-CA"/>
        </w:rPr>
        <w:t xml:space="preserve"> </w:t>
      </w:r>
      <w:r w:rsidR="00FF2836">
        <w:rPr>
          <w:lang w:val="en-CA"/>
        </w:rPr>
        <w:t>note</w:t>
      </w:r>
      <w:r w:rsidRPr="00C430FC">
        <w:rPr>
          <w:lang w:val="en-CA"/>
        </w:rPr>
        <w:t xml:space="preserve"> </w:t>
      </w:r>
      <w:r w:rsidR="00F929DC">
        <w:fldChar w:fldCharType="begin"/>
      </w:r>
      <w:r w:rsidRPr="00C430FC">
        <w:rPr>
          <w:lang w:val="en-CA"/>
        </w:rPr>
        <w:instrText xml:space="preserve"> NOTEREF _Ref123893764 \h </w:instrText>
      </w:r>
      <w:r w:rsidR="00F929DC">
        <w:fldChar w:fldCharType="separate"/>
      </w:r>
      <w:proofErr w:type="gramStart"/>
      <w:r w:rsidRPr="00C614AE">
        <w:rPr>
          <w:lang w:val="en-CA"/>
        </w:rPr>
        <w:t>12</w:t>
      </w:r>
      <w:proofErr w:type="gramEnd"/>
      <w:r w:rsidR="00F929DC">
        <w:fldChar w:fldCharType="end"/>
      </w:r>
      <w:r w:rsidRPr="00C614AE">
        <w:rPr>
          <w:lang w:val="en-CA"/>
        </w:rPr>
        <w:t xml:space="preserve"> </w:t>
      </w:r>
      <w:r w:rsidR="00FF2836">
        <w:rPr>
          <w:lang w:val="en-CA"/>
        </w:rPr>
        <w:t xml:space="preserve">at </w:t>
      </w:r>
      <w:r w:rsidRPr="00C614AE">
        <w:rPr>
          <w:lang w:val="en-CA"/>
        </w:rPr>
        <w:t>para. 12.</w:t>
      </w:r>
    </w:p>
  </w:footnote>
  <w:footnote w:id="35">
    <w:p w14:paraId="3DE821F9" w14:textId="070AA398" w:rsidR="0063422F" w:rsidRPr="00907130" w:rsidRDefault="0063422F">
      <w:pPr>
        <w:pStyle w:val="Notedebasdepage"/>
        <w:rPr>
          <w:lang w:val="en-US"/>
        </w:rPr>
      </w:pPr>
      <w:r>
        <w:rPr>
          <w:rStyle w:val="Appelnotedebasdep"/>
        </w:rPr>
        <w:footnoteRef/>
      </w:r>
      <w:r w:rsidRPr="00C614AE">
        <w:rPr>
          <w:lang w:val="en-CA"/>
        </w:rPr>
        <w:tab/>
      </w:r>
      <w:r w:rsidR="005905AF">
        <w:rPr>
          <w:lang w:val="en-US"/>
        </w:rPr>
        <w:t>I</w:t>
      </w:r>
      <w:r w:rsidR="00907130" w:rsidRPr="00907130">
        <w:rPr>
          <w:lang w:val="en-US"/>
        </w:rPr>
        <w:t xml:space="preserve">n addition to suffering great emotional </w:t>
      </w:r>
      <w:r w:rsidR="00D1537D">
        <w:rPr>
          <w:lang w:val="en-US"/>
        </w:rPr>
        <w:t>harm</w:t>
      </w:r>
      <w:r w:rsidR="00D1537D" w:rsidRPr="00907130">
        <w:rPr>
          <w:lang w:val="en-US"/>
        </w:rPr>
        <w:t xml:space="preserve"> </w:t>
      </w:r>
      <w:r w:rsidR="00907130" w:rsidRPr="00907130">
        <w:rPr>
          <w:lang w:val="en-US"/>
        </w:rPr>
        <w:t>(sadness, disappointment, anger, etc.), the victim</w:t>
      </w:r>
      <w:r w:rsidR="00907130">
        <w:rPr>
          <w:lang w:val="en-US"/>
        </w:rPr>
        <w:t xml:space="preserve"> was </w:t>
      </w:r>
      <w:r w:rsidR="005905AF">
        <w:rPr>
          <w:lang w:val="en-US"/>
        </w:rPr>
        <w:t xml:space="preserve">hospitalized </w:t>
      </w:r>
      <w:r w:rsidR="00907130">
        <w:rPr>
          <w:lang w:val="en-US"/>
        </w:rPr>
        <w:t>in a psych</w:t>
      </w:r>
      <w:r w:rsidR="00907130" w:rsidRPr="00907130">
        <w:rPr>
          <w:lang w:val="en-US"/>
        </w:rPr>
        <w:t xml:space="preserve">iatric </w:t>
      </w:r>
      <w:r w:rsidR="005905AF">
        <w:rPr>
          <w:lang w:val="en-US"/>
        </w:rPr>
        <w:t xml:space="preserve">unit </w:t>
      </w:r>
      <w:r w:rsidR="00907130" w:rsidRPr="00907130">
        <w:rPr>
          <w:lang w:val="en-US"/>
        </w:rPr>
        <w:t>for five days and off work for five months</w:t>
      </w:r>
      <w:r w:rsidR="005905AF">
        <w:rPr>
          <w:lang w:val="en-US"/>
        </w:rPr>
        <w:t>, to name but a few of these cons</w:t>
      </w:r>
      <w:r w:rsidR="005905AF" w:rsidRPr="00907130">
        <w:rPr>
          <w:lang w:val="en-US"/>
        </w:rPr>
        <w:t>equences</w:t>
      </w:r>
      <w:r w:rsidR="00907130" w:rsidRPr="00907130">
        <w:rPr>
          <w:lang w:val="en-US"/>
        </w:rPr>
        <w:t xml:space="preserve">: </w:t>
      </w:r>
      <w:r w:rsidRPr="00907130">
        <w:rPr>
          <w:lang w:val="en-US"/>
        </w:rPr>
        <w:t xml:space="preserve">Judgment </w:t>
      </w:r>
      <w:r w:rsidR="00C935F4">
        <w:rPr>
          <w:lang w:val="en-US"/>
        </w:rPr>
        <w:t xml:space="preserve">under </w:t>
      </w:r>
      <w:r w:rsidRPr="00907130">
        <w:rPr>
          <w:lang w:val="en-US"/>
        </w:rPr>
        <w:t xml:space="preserve">appeal </w:t>
      </w:r>
      <w:r w:rsidR="00C935F4">
        <w:rPr>
          <w:lang w:val="en-US"/>
        </w:rPr>
        <w:t xml:space="preserve">at </w:t>
      </w:r>
      <w:r w:rsidRPr="00907130">
        <w:rPr>
          <w:lang w:val="en-US"/>
        </w:rPr>
        <w:t>paras. 19</w:t>
      </w:r>
      <w:r w:rsidR="00C935F4">
        <w:rPr>
          <w:lang w:val="en-US"/>
        </w:rPr>
        <w:t>–</w:t>
      </w:r>
      <w:r w:rsidRPr="00907130">
        <w:rPr>
          <w:lang w:val="en-US"/>
        </w:rPr>
        <w:t>28.</w:t>
      </w:r>
    </w:p>
  </w:footnote>
  <w:footnote w:id="36">
    <w:p w14:paraId="0D6C1E02" w14:textId="3EB763F5" w:rsidR="0063422F" w:rsidRPr="00C614AE" w:rsidRDefault="0063422F">
      <w:pPr>
        <w:pStyle w:val="Notedebasdepage"/>
        <w:rPr>
          <w:lang w:val="en-CA"/>
        </w:rPr>
      </w:pPr>
      <w:r w:rsidRPr="00B045A5">
        <w:rPr>
          <w:rStyle w:val="Appelnotedebasdep"/>
        </w:rPr>
        <w:footnoteRef/>
      </w:r>
      <w:r w:rsidRPr="00C614AE">
        <w:rPr>
          <w:lang w:val="en-CA"/>
        </w:rPr>
        <w:tab/>
      </w:r>
      <w:r w:rsidRPr="00C614AE">
        <w:rPr>
          <w:i/>
          <w:iCs/>
          <w:lang w:val="en-CA"/>
        </w:rPr>
        <w:t xml:space="preserve">R. </w:t>
      </w:r>
      <w:r w:rsidR="00FF2836">
        <w:rPr>
          <w:i/>
          <w:iCs/>
          <w:lang w:val="en-CA"/>
        </w:rPr>
        <w:t>v</w:t>
      </w:r>
      <w:r w:rsidRPr="00C614AE">
        <w:rPr>
          <w:i/>
          <w:iCs/>
          <w:lang w:val="en-CA"/>
        </w:rPr>
        <w:t>. Friesen</w:t>
      </w:r>
      <w:r w:rsidRPr="00C614AE">
        <w:rPr>
          <w:lang w:val="en-CA"/>
        </w:rPr>
        <w:t xml:space="preserve">, </w:t>
      </w:r>
      <w:r w:rsidRPr="00C614AE">
        <w:rPr>
          <w:i/>
          <w:iCs/>
          <w:lang w:val="en-CA"/>
        </w:rPr>
        <w:t>supra</w:t>
      </w:r>
      <w:r w:rsidRPr="00C614AE">
        <w:rPr>
          <w:lang w:val="en-CA"/>
        </w:rPr>
        <w:t xml:space="preserve"> </w:t>
      </w:r>
      <w:r w:rsidR="00FF2836">
        <w:rPr>
          <w:lang w:val="en-CA"/>
        </w:rPr>
        <w:t>note</w:t>
      </w:r>
      <w:r w:rsidRPr="00C614AE">
        <w:rPr>
          <w:lang w:val="en-CA"/>
        </w:rPr>
        <w:t xml:space="preserve"> </w:t>
      </w:r>
      <w:r w:rsidR="00610EC1">
        <w:fldChar w:fldCharType="begin"/>
      </w:r>
      <w:r w:rsidR="00610EC1" w:rsidRPr="00C614AE">
        <w:rPr>
          <w:lang w:val="en-CA"/>
        </w:rPr>
        <w:instrText xml:space="preserve"> NOTEREF _Ref123893240 \h  \* MERGEFORMAT </w:instrText>
      </w:r>
      <w:r w:rsidR="00610EC1">
        <w:fldChar w:fldCharType="separate"/>
      </w:r>
      <w:proofErr w:type="gramStart"/>
      <w:r w:rsidRPr="00C614AE">
        <w:rPr>
          <w:lang w:val="en-CA"/>
        </w:rPr>
        <w:t>16</w:t>
      </w:r>
      <w:proofErr w:type="gramEnd"/>
      <w:r w:rsidR="00610EC1">
        <w:fldChar w:fldCharType="end"/>
      </w:r>
      <w:r w:rsidRPr="00C614AE">
        <w:rPr>
          <w:lang w:val="en-CA"/>
        </w:rPr>
        <w:t xml:space="preserve"> </w:t>
      </w:r>
      <w:r w:rsidR="00FF2836" w:rsidRPr="00C614AE">
        <w:rPr>
          <w:lang w:val="en-CA"/>
        </w:rPr>
        <w:t xml:space="preserve">at </w:t>
      </w:r>
      <w:r w:rsidRPr="00C614AE">
        <w:rPr>
          <w:lang w:val="en-CA"/>
        </w:rPr>
        <w:t>para. 139.</w:t>
      </w:r>
    </w:p>
  </w:footnote>
  <w:footnote w:id="37">
    <w:p w14:paraId="07C7F052" w14:textId="77777777" w:rsidR="0063422F" w:rsidRPr="00C614AE" w:rsidRDefault="0063422F">
      <w:pPr>
        <w:pStyle w:val="Notedebasdepage"/>
        <w:rPr>
          <w:lang w:val="en-CA"/>
        </w:rPr>
      </w:pPr>
      <w:r w:rsidRPr="00B045A5">
        <w:rPr>
          <w:rStyle w:val="Appelnotedebasdep"/>
        </w:rPr>
        <w:footnoteRef/>
      </w:r>
      <w:r w:rsidRPr="00C614AE">
        <w:rPr>
          <w:lang w:val="en-CA"/>
        </w:rPr>
        <w:tab/>
      </w:r>
      <w:r w:rsidRPr="00C614AE">
        <w:rPr>
          <w:i/>
          <w:iCs/>
          <w:lang w:val="en-CA"/>
        </w:rPr>
        <w:t>R. v. McDonnell</w:t>
      </w:r>
      <w:r w:rsidRPr="00C614AE">
        <w:rPr>
          <w:lang w:val="en-CA"/>
        </w:rPr>
        <w:t>, [1997] 1 S.C.R. 948.</w:t>
      </w:r>
    </w:p>
  </w:footnote>
  <w:footnote w:id="38">
    <w:p w14:paraId="1C5B391B" w14:textId="4192F219" w:rsidR="0063422F" w:rsidRPr="00C614AE" w:rsidRDefault="0063422F">
      <w:pPr>
        <w:pStyle w:val="Notedebasdepage"/>
        <w:rPr>
          <w:lang w:val="en-CA"/>
        </w:rPr>
      </w:pPr>
      <w:r w:rsidRPr="00B045A5">
        <w:rPr>
          <w:rStyle w:val="Appelnotedebasdep"/>
        </w:rPr>
        <w:footnoteRef/>
      </w:r>
      <w:r w:rsidRPr="00C430FC">
        <w:rPr>
          <w:lang w:val="en-CA"/>
        </w:rPr>
        <w:tab/>
      </w:r>
      <w:r w:rsidRPr="00C430FC">
        <w:rPr>
          <w:i/>
          <w:iCs/>
          <w:lang w:val="en-CA"/>
        </w:rPr>
        <w:t>Ibid.</w:t>
      </w:r>
      <w:r w:rsidRPr="00C430FC">
        <w:rPr>
          <w:lang w:val="en-CA"/>
        </w:rPr>
        <w:t xml:space="preserve"> </w:t>
      </w:r>
      <w:r w:rsidR="00FF2836">
        <w:rPr>
          <w:lang w:val="en-CA"/>
        </w:rPr>
        <w:t xml:space="preserve">at </w:t>
      </w:r>
      <w:r w:rsidRPr="00C430FC">
        <w:rPr>
          <w:lang w:val="en-CA"/>
        </w:rPr>
        <w:t xml:space="preserve">para. 113. </w:t>
      </w:r>
      <w:r w:rsidRPr="00240F1B">
        <w:rPr>
          <w:lang w:val="en-US"/>
        </w:rPr>
        <w:t xml:space="preserve">Even though McLachlin </w:t>
      </w:r>
      <w:r w:rsidR="00FF2836">
        <w:rPr>
          <w:lang w:val="en-US"/>
        </w:rPr>
        <w:t xml:space="preserve">C.J. </w:t>
      </w:r>
      <w:r w:rsidRPr="00240F1B">
        <w:rPr>
          <w:lang w:val="en-US"/>
        </w:rPr>
        <w:t xml:space="preserve">was writing on behalf of the dissenting judges, the Supreme Court reproduced those remarks in </w:t>
      </w:r>
      <w:r w:rsidRPr="00240F1B">
        <w:rPr>
          <w:i/>
          <w:iCs/>
          <w:lang w:val="en-US"/>
        </w:rPr>
        <w:t>R. v. Friesen</w:t>
      </w:r>
      <w:r w:rsidRPr="00240F1B">
        <w:rPr>
          <w:lang w:val="en-US"/>
        </w:rPr>
        <w:t xml:space="preserve">, </w:t>
      </w:r>
      <w:r w:rsidRPr="00240F1B">
        <w:rPr>
          <w:i/>
          <w:iCs/>
          <w:lang w:val="en-US"/>
        </w:rPr>
        <w:t>supra</w:t>
      </w:r>
      <w:r w:rsidRPr="00240F1B">
        <w:rPr>
          <w:lang w:val="en-US"/>
        </w:rPr>
        <w:t xml:space="preserve"> </w:t>
      </w:r>
      <w:r w:rsidR="00FF2836">
        <w:rPr>
          <w:lang w:val="en-US"/>
        </w:rPr>
        <w:t>note</w:t>
      </w:r>
      <w:r w:rsidRPr="00240F1B">
        <w:rPr>
          <w:lang w:val="en-US"/>
        </w:rPr>
        <w:t xml:space="preserve"> </w:t>
      </w:r>
      <w:r w:rsidR="00F929DC" w:rsidRPr="00240F1B">
        <w:rPr>
          <w:lang w:val="en-US"/>
        </w:rPr>
        <w:fldChar w:fldCharType="begin"/>
      </w:r>
      <w:r w:rsidRPr="00240F1B">
        <w:rPr>
          <w:lang w:val="en-US"/>
        </w:rPr>
        <w:instrText xml:space="preserve"> NOTEREF _Ref123893240 \h  \* MERGEFORMAT </w:instrText>
      </w:r>
      <w:r w:rsidR="00F929DC" w:rsidRPr="00240F1B">
        <w:rPr>
          <w:lang w:val="en-US"/>
        </w:rPr>
      </w:r>
      <w:r w:rsidR="00F929DC" w:rsidRPr="00240F1B">
        <w:rPr>
          <w:lang w:val="en-US"/>
        </w:rPr>
        <w:fldChar w:fldCharType="separate"/>
      </w:r>
      <w:r w:rsidRPr="00C614AE">
        <w:rPr>
          <w:lang w:val="en-CA"/>
        </w:rPr>
        <w:t>16</w:t>
      </w:r>
      <w:r w:rsidR="00F929DC" w:rsidRPr="00240F1B">
        <w:rPr>
          <w:lang w:val="en-US"/>
        </w:rPr>
        <w:fldChar w:fldCharType="end"/>
      </w:r>
      <w:r w:rsidRPr="00C614AE">
        <w:rPr>
          <w:lang w:val="en-CA"/>
        </w:rPr>
        <w:t xml:space="preserve"> </w:t>
      </w:r>
      <w:r w:rsidR="00FF2836" w:rsidRPr="00C614AE">
        <w:rPr>
          <w:lang w:val="en-CA"/>
        </w:rPr>
        <w:t xml:space="preserve">at </w:t>
      </w:r>
      <w:r w:rsidRPr="00C614AE">
        <w:rPr>
          <w:lang w:val="en-CA"/>
        </w:rPr>
        <w:t>para. 57.</w:t>
      </w:r>
    </w:p>
  </w:footnote>
  <w:footnote w:id="39">
    <w:p w14:paraId="72AA86F0" w14:textId="6E0562FA" w:rsidR="0063422F" w:rsidRPr="00C614AE" w:rsidRDefault="0063422F" w:rsidP="004E1065">
      <w:pPr>
        <w:pStyle w:val="Notedebasdepage"/>
        <w:rPr>
          <w:lang w:val="en-CA"/>
        </w:rPr>
      </w:pPr>
      <w:r w:rsidRPr="00240F1B">
        <w:rPr>
          <w:rStyle w:val="Appelnotedebasdep"/>
          <w:lang w:val="en-US"/>
        </w:rPr>
        <w:footnoteRef/>
      </w:r>
      <w:r w:rsidRPr="00C614AE">
        <w:rPr>
          <w:lang w:val="en-CA"/>
        </w:rPr>
        <w:tab/>
      </w:r>
      <w:r w:rsidRPr="00C614AE">
        <w:rPr>
          <w:i/>
          <w:iCs/>
          <w:lang w:val="en-CA"/>
        </w:rPr>
        <w:t xml:space="preserve">R. </w:t>
      </w:r>
      <w:r w:rsidR="00980CF6">
        <w:rPr>
          <w:i/>
          <w:iCs/>
          <w:lang w:val="en-CA"/>
        </w:rPr>
        <w:t>v</w:t>
      </w:r>
      <w:r w:rsidRPr="00C614AE">
        <w:rPr>
          <w:i/>
          <w:iCs/>
          <w:lang w:val="en-CA"/>
        </w:rPr>
        <w:t>.</w:t>
      </w:r>
      <w:r w:rsidRPr="00C614AE">
        <w:rPr>
          <w:lang w:val="en-CA"/>
        </w:rPr>
        <w:t xml:space="preserve"> </w:t>
      </w:r>
      <w:r w:rsidRPr="00C614AE">
        <w:rPr>
          <w:i/>
          <w:iCs/>
          <w:lang w:val="en-CA"/>
        </w:rPr>
        <w:t>Jarvis</w:t>
      </w:r>
      <w:r w:rsidRPr="00C614AE">
        <w:rPr>
          <w:lang w:val="en-CA"/>
        </w:rPr>
        <w:t xml:space="preserve">, </w:t>
      </w:r>
      <w:r w:rsidRPr="00C614AE">
        <w:rPr>
          <w:i/>
          <w:iCs/>
          <w:lang w:val="en-CA"/>
        </w:rPr>
        <w:t>supra</w:t>
      </w:r>
      <w:r w:rsidR="00D65794" w:rsidRPr="00C614AE">
        <w:rPr>
          <w:lang w:val="en-CA"/>
        </w:rPr>
        <w:t xml:space="preserve"> note</w:t>
      </w:r>
      <w:r w:rsidRPr="00C614AE">
        <w:rPr>
          <w:lang w:val="en-CA"/>
        </w:rPr>
        <w:t xml:space="preserve"> </w:t>
      </w:r>
      <w:r w:rsidR="00F929DC" w:rsidRPr="00240F1B">
        <w:rPr>
          <w:lang w:val="en-US"/>
        </w:rPr>
        <w:fldChar w:fldCharType="begin"/>
      </w:r>
      <w:r w:rsidRPr="00C614AE">
        <w:rPr>
          <w:lang w:val="en-CA"/>
        </w:rPr>
        <w:instrText xml:space="preserve"> NOTEREF _Ref122011082 \h </w:instrText>
      </w:r>
      <w:r w:rsidR="00F929DC" w:rsidRPr="00240F1B">
        <w:rPr>
          <w:lang w:val="en-US"/>
        </w:rPr>
      </w:r>
      <w:r w:rsidR="00F929DC" w:rsidRPr="00240F1B">
        <w:rPr>
          <w:lang w:val="en-US"/>
        </w:rPr>
        <w:fldChar w:fldCharType="separate"/>
      </w:r>
      <w:proofErr w:type="gramStart"/>
      <w:r w:rsidRPr="00C614AE">
        <w:rPr>
          <w:lang w:val="en-CA"/>
        </w:rPr>
        <w:t>18</w:t>
      </w:r>
      <w:proofErr w:type="gramEnd"/>
      <w:r w:rsidR="00F929DC" w:rsidRPr="00240F1B">
        <w:rPr>
          <w:lang w:val="en-US"/>
        </w:rPr>
        <w:fldChar w:fldCharType="end"/>
      </w:r>
      <w:r w:rsidRPr="00C614AE">
        <w:rPr>
          <w:lang w:val="en-CA"/>
        </w:rPr>
        <w:t xml:space="preserve"> </w:t>
      </w:r>
      <w:r w:rsidR="00D65794" w:rsidRPr="00C614AE">
        <w:rPr>
          <w:lang w:val="en-CA"/>
        </w:rPr>
        <w:t xml:space="preserve">at </w:t>
      </w:r>
      <w:r w:rsidRPr="00C614AE">
        <w:rPr>
          <w:lang w:val="en-CA"/>
        </w:rPr>
        <w:t>para. 48.</w:t>
      </w:r>
    </w:p>
  </w:footnote>
  <w:footnote w:id="40">
    <w:p w14:paraId="1307A5FE" w14:textId="6F526BB4" w:rsidR="0063422F" w:rsidRPr="00C614AE" w:rsidRDefault="0063422F" w:rsidP="004E1065">
      <w:pPr>
        <w:pStyle w:val="Notedebasdepage"/>
        <w:rPr>
          <w:lang w:val="en-CA"/>
        </w:rPr>
      </w:pPr>
      <w:r w:rsidRPr="00240F1B">
        <w:rPr>
          <w:rStyle w:val="Appelnotedebasdep"/>
          <w:lang w:val="en-US"/>
        </w:rPr>
        <w:footnoteRef/>
      </w:r>
      <w:r w:rsidRPr="00C614AE">
        <w:rPr>
          <w:lang w:val="en-CA"/>
        </w:rPr>
        <w:tab/>
      </w:r>
      <w:r w:rsidRPr="00C614AE">
        <w:rPr>
          <w:i/>
          <w:iCs/>
          <w:lang w:val="en-CA"/>
        </w:rPr>
        <w:t>Supra</w:t>
      </w:r>
      <w:r w:rsidRPr="00C614AE">
        <w:rPr>
          <w:lang w:val="en-CA"/>
        </w:rPr>
        <w:t xml:space="preserve"> </w:t>
      </w:r>
      <w:r w:rsidR="00D65794" w:rsidRPr="00C614AE">
        <w:rPr>
          <w:lang w:val="en-CA"/>
        </w:rPr>
        <w:t>note</w:t>
      </w:r>
      <w:r w:rsidRPr="00C614AE">
        <w:rPr>
          <w:lang w:val="en-CA"/>
        </w:rPr>
        <w:t xml:space="preserve"> </w:t>
      </w:r>
      <w:r w:rsidR="00F929DC" w:rsidRPr="00240F1B">
        <w:rPr>
          <w:lang w:val="en-US"/>
        </w:rPr>
        <w:fldChar w:fldCharType="begin"/>
      </w:r>
      <w:r w:rsidRPr="00C614AE">
        <w:rPr>
          <w:lang w:val="en-CA"/>
        </w:rPr>
        <w:instrText xml:space="preserve"> NOTEREF _Ref123894104 \h </w:instrText>
      </w:r>
      <w:r w:rsidR="00F929DC" w:rsidRPr="00240F1B">
        <w:rPr>
          <w:lang w:val="en-US"/>
        </w:rPr>
      </w:r>
      <w:r w:rsidR="00F929DC" w:rsidRPr="00240F1B">
        <w:rPr>
          <w:lang w:val="en-US"/>
        </w:rPr>
        <w:fldChar w:fldCharType="separate"/>
      </w:r>
      <w:proofErr w:type="gramStart"/>
      <w:r w:rsidRPr="00C614AE">
        <w:rPr>
          <w:lang w:val="en-CA"/>
        </w:rPr>
        <w:t>20</w:t>
      </w:r>
      <w:proofErr w:type="gramEnd"/>
      <w:r w:rsidR="00F929DC" w:rsidRPr="00240F1B">
        <w:rPr>
          <w:lang w:val="en-US"/>
        </w:rPr>
        <w:fldChar w:fldCharType="end"/>
      </w:r>
      <w:r w:rsidRPr="00C614AE">
        <w:rPr>
          <w:lang w:val="en-CA"/>
        </w:rPr>
        <w:t>.</w:t>
      </w:r>
    </w:p>
  </w:footnote>
  <w:footnote w:id="41">
    <w:p w14:paraId="2777BE0B" w14:textId="64293E30" w:rsidR="0063422F" w:rsidRPr="00240F1B" w:rsidRDefault="0063422F" w:rsidP="004E1065">
      <w:pPr>
        <w:pStyle w:val="Notedebasdepage"/>
        <w:rPr>
          <w:lang w:val="en-US"/>
        </w:rPr>
      </w:pPr>
      <w:r w:rsidRPr="00240F1B">
        <w:rPr>
          <w:rStyle w:val="Appelnotedebasdep"/>
          <w:lang w:val="en-US"/>
        </w:rPr>
        <w:footnoteRef/>
      </w:r>
      <w:r w:rsidRPr="00240F1B">
        <w:rPr>
          <w:lang w:val="en-US"/>
        </w:rPr>
        <w:tab/>
      </w:r>
      <w:r w:rsidRPr="00240F1B">
        <w:rPr>
          <w:i/>
          <w:iCs/>
          <w:lang w:val="en-US"/>
        </w:rPr>
        <w:t>Sherman Estate v. Donovan</w:t>
      </w:r>
      <w:r w:rsidRPr="00240F1B">
        <w:rPr>
          <w:lang w:val="en-US"/>
        </w:rPr>
        <w:t xml:space="preserve">, </w:t>
      </w:r>
      <w:r w:rsidRPr="00240F1B">
        <w:rPr>
          <w:i/>
          <w:iCs/>
          <w:lang w:val="en-US"/>
        </w:rPr>
        <w:t>supra</w:t>
      </w:r>
      <w:r w:rsidRPr="00240F1B">
        <w:rPr>
          <w:lang w:val="en-US"/>
        </w:rPr>
        <w:t xml:space="preserve"> </w:t>
      </w:r>
      <w:r w:rsidR="00D65794">
        <w:rPr>
          <w:lang w:val="en-US"/>
        </w:rPr>
        <w:t>note</w:t>
      </w:r>
      <w:r w:rsidRPr="00240F1B">
        <w:rPr>
          <w:lang w:val="en-US"/>
        </w:rPr>
        <w:t xml:space="preserve"> </w:t>
      </w:r>
      <w:r w:rsidR="00F929DC" w:rsidRPr="00240F1B">
        <w:rPr>
          <w:lang w:val="en-US"/>
        </w:rPr>
        <w:fldChar w:fldCharType="begin"/>
      </w:r>
      <w:r w:rsidRPr="00240F1B">
        <w:rPr>
          <w:lang w:val="en-US"/>
        </w:rPr>
        <w:instrText xml:space="preserve"> NOTEREF _Ref123894104 \h </w:instrText>
      </w:r>
      <w:r w:rsidR="00F929DC" w:rsidRPr="00240F1B">
        <w:rPr>
          <w:lang w:val="en-US"/>
        </w:rPr>
      </w:r>
      <w:r w:rsidR="00F929DC" w:rsidRPr="00240F1B">
        <w:rPr>
          <w:lang w:val="en-US"/>
        </w:rPr>
        <w:fldChar w:fldCharType="separate"/>
      </w:r>
      <w:r w:rsidRPr="00240F1B">
        <w:rPr>
          <w:lang w:val="en-US"/>
        </w:rPr>
        <w:t>20</w:t>
      </w:r>
      <w:r w:rsidR="00F929DC" w:rsidRPr="00240F1B">
        <w:rPr>
          <w:lang w:val="en-US"/>
        </w:rPr>
        <w:fldChar w:fldCharType="end"/>
      </w:r>
      <w:r w:rsidRPr="00240F1B">
        <w:rPr>
          <w:lang w:val="en-US"/>
        </w:rPr>
        <w:t xml:space="preserve"> </w:t>
      </w:r>
      <w:r w:rsidR="00D65794">
        <w:rPr>
          <w:lang w:val="en-US"/>
        </w:rPr>
        <w:t xml:space="preserve">at </w:t>
      </w:r>
      <w:r w:rsidRPr="00240F1B">
        <w:rPr>
          <w:lang w:val="en-US"/>
        </w:rPr>
        <w:t>para. 72.</w:t>
      </w:r>
    </w:p>
  </w:footnote>
  <w:footnote w:id="42">
    <w:p w14:paraId="37C26B63" w14:textId="2B3B86DB" w:rsidR="0063422F" w:rsidRPr="00240F1B" w:rsidRDefault="0063422F">
      <w:pPr>
        <w:pStyle w:val="Notedebasdepage"/>
        <w:rPr>
          <w:lang w:val="en-US"/>
        </w:rPr>
      </w:pPr>
      <w:r w:rsidRPr="00240F1B">
        <w:rPr>
          <w:rStyle w:val="Appelnotedebasdep"/>
          <w:lang w:val="en-US"/>
        </w:rPr>
        <w:footnoteRef/>
      </w:r>
      <w:r w:rsidRPr="00C614AE">
        <w:rPr>
          <w:lang w:val="en-CA"/>
        </w:rPr>
        <w:tab/>
      </w:r>
      <w:r w:rsidRPr="00C614AE">
        <w:rPr>
          <w:i/>
          <w:iCs/>
          <w:lang w:val="en-CA"/>
        </w:rPr>
        <w:t>Harbour c. R.</w:t>
      </w:r>
      <w:r w:rsidRPr="00C614AE">
        <w:rPr>
          <w:lang w:val="en-CA"/>
        </w:rPr>
        <w:t xml:space="preserve">, </w:t>
      </w:r>
      <w:r w:rsidRPr="00C614AE">
        <w:rPr>
          <w:i/>
          <w:iCs/>
          <w:lang w:val="en-CA"/>
        </w:rPr>
        <w:t>supra</w:t>
      </w:r>
      <w:r w:rsidRPr="00C614AE">
        <w:rPr>
          <w:lang w:val="en-CA"/>
        </w:rPr>
        <w:t xml:space="preserve"> </w:t>
      </w:r>
      <w:r w:rsidR="00D65794" w:rsidRPr="00C614AE">
        <w:rPr>
          <w:lang w:val="en-CA"/>
        </w:rPr>
        <w:t>note</w:t>
      </w:r>
      <w:r w:rsidRPr="00C614AE">
        <w:rPr>
          <w:lang w:val="en-CA"/>
        </w:rPr>
        <w:t xml:space="preserve"> </w:t>
      </w:r>
      <w:r w:rsidR="00F929DC" w:rsidRPr="00240F1B">
        <w:rPr>
          <w:lang w:val="en-US"/>
        </w:rPr>
        <w:fldChar w:fldCharType="begin"/>
      </w:r>
      <w:r w:rsidRPr="00C614AE">
        <w:rPr>
          <w:lang w:val="en-CA"/>
        </w:rPr>
        <w:instrText xml:space="preserve"> NOTEREF _Ref123894546 \h </w:instrText>
      </w:r>
      <w:r w:rsidR="00F929DC" w:rsidRPr="00240F1B">
        <w:rPr>
          <w:lang w:val="en-US"/>
        </w:rPr>
      </w:r>
      <w:r w:rsidR="00F929DC" w:rsidRPr="00240F1B">
        <w:rPr>
          <w:lang w:val="en-US"/>
        </w:rPr>
        <w:fldChar w:fldCharType="separate"/>
      </w:r>
      <w:proofErr w:type="gramStart"/>
      <w:r w:rsidRPr="00C614AE">
        <w:rPr>
          <w:lang w:val="en-CA"/>
        </w:rPr>
        <w:t>30</w:t>
      </w:r>
      <w:proofErr w:type="gramEnd"/>
      <w:r w:rsidR="00F929DC" w:rsidRPr="00240F1B">
        <w:rPr>
          <w:lang w:val="en-US"/>
        </w:rPr>
        <w:fldChar w:fldCharType="end"/>
      </w:r>
      <w:r w:rsidRPr="00C614AE">
        <w:rPr>
          <w:lang w:val="en-CA"/>
        </w:rPr>
        <w:t xml:space="preserve"> </w:t>
      </w:r>
      <w:r w:rsidR="00D65794" w:rsidRPr="00C614AE">
        <w:rPr>
          <w:lang w:val="en-CA"/>
        </w:rPr>
        <w:t xml:space="preserve">at </w:t>
      </w:r>
      <w:r w:rsidRPr="00C614AE">
        <w:rPr>
          <w:lang w:val="en-CA"/>
        </w:rPr>
        <w:t xml:space="preserve">para. </w:t>
      </w:r>
      <w:r w:rsidRPr="00240F1B">
        <w:rPr>
          <w:lang w:val="en-US"/>
        </w:rPr>
        <w:t xml:space="preserve">81, </w:t>
      </w:r>
      <w:r w:rsidR="009768E9">
        <w:rPr>
          <w:lang w:val="en-US"/>
        </w:rPr>
        <w:t>citing</w:t>
      </w:r>
      <w:r w:rsidRPr="00240F1B">
        <w:rPr>
          <w:lang w:val="en-US"/>
        </w:rPr>
        <w:t xml:space="preserve"> </w:t>
      </w:r>
      <w:r w:rsidRPr="00240F1B">
        <w:rPr>
          <w:i/>
          <w:iCs/>
          <w:lang w:val="en-US"/>
        </w:rPr>
        <w:t>R. c. Charbonneau</w:t>
      </w:r>
      <w:r w:rsidRPr="00240F1B">
        <w:rPr>
          <w:lang w:val="en-US"/>
        </w:rPr>
        <w:t xml:space="preserve">, 2016 QCCA 1567 </w:t>
      </w:r>
      <w:r w:rsidR="00D65794">
        <w:rPr>
          <w:lang w:val="en-US"/>
        </w:rPr>
        <w:t xml:space="preserve">at </w:t>
      </w:r>
      <w:r w:rsidRPr="00240F1B">
        <w:rPr>
          <w:lang w:val="en-US"/>
        </w:rPr>
        <w:t>paras. 14-16.</w:t>
      </w:r>
    </w:p>
  </w:footnote>
  <w:footnote w:id="43">
    <w:p w14:paraId="389E8211" w14:textId="7472A1E5" w:rsidR="0063422F" w:rsidRPr="00F311B2" w:rsidRDefault="0063422F">
      <w:pPr>
        <w:pStyle w:val="Notedebasdepage"/>
        <w:rPr>
          <w:lang w:val="en-CA"/>
        </w:rPr>
      </w:pPr>
      <w:r>
        <w:rPr>
          <w:rStyle w:val="Appelnotedebasdep"/>
        </w:rPr>
        <w:footnoteRef/>
      </w:r>
      <w:r w:rsidRPr="00F311B2">
        <w:rPr>
          <w:lang w:val="en-CA"/>
        </w:rPr>
        <w:tab/>
      </w:r>
      <w:r w:rsidRPr="00F311B2">
        <w:rPr>
          <w:i/>
          <w:iCs/>
          <w:lang w:val="en-CA"/>
        </w:rPr>
        <w:t>Ibid</w:t>
      </w:r>
      <w:r w:rsidRPr="00F311B2">
        <w:rPr>
          <w:lang w:val="en-CA"/>
        </w:rPr>
        <w:t xml:space="preserve">. </w:t>
      </w:r>
      <w:r w:rsidR="00D65794">
        <w:rPr>
          <w:lang w:val="en-CA"/>
        </w:rPr>
        <w:t xml:space="preserve">at </w:t>
      </w:r>
      <w:r w:rsidRPr="00F311B2">
        <w:rPr>
          <w:lang w:val="en-CA"/>
        </w:rPr>
        <w:t>para. 96.</w:t>
      </w:r>
    </w:p>
  </w:footnote>
  <w:footnote w:id="44">
    <w:p w14:paraId="33F09C7F" w14:textId="350DAB71" w:rsidR="0063422F" w:rsidRPr="00F311B2" w:rsidRDefault="0063422F" w:rsidP="001C04A4">
      <w:pPr>
        <w:pStyle w:val="Notedebasdepage"/>
        <w:rPr>
          <w:lang w:val="en-CA"/>
        </w:rPr>
      </w:pPr>
      <w:r w:rsidRPr="00B045A5">
        <w:rPr>
          <w:rStyle w:val="Appelnotedebasdep"/>
        </w:rPr>
        <w:footnoteRef/>
      </w:r>
      <w:r w:rsidRPr="00F311B2">
        <w:rPr>
          <w:lang w:val="en-CA"/>
        </w:rPr>
        <w:tab/>
      </w:r>
      <w:r w:rsidRPr="00F311B2">
        <w:rPr>
          <w:i/>
          <w:iCs/>
          <w:lang w:val="en-CA"/>
        </w:rPr>
        <w:t>Ibid.</w:t>
      </w:r>
      <w:r w:rsidRPr="00F311B2">
        <w:rPr>
          <w:lang w:val="en-CA"/>
        </w:rPr>
        <w:t xml:space="preserve"> </w:t>
      </w:r>
      <w:r w:rsidR="00D65794">
        <w:rPr>
          <w:lang w:val="en-CA"/>
        </w:rPr>
        <w:t xml:space="preserve">at </w:t>
      </w:r>
      <w:r w:rsidRPr="00F311B2">
        <w:rPr>
          <w:lang w:val="en-CA"/>
        </w:rPr>
        <w:t xml:space="preserve">para. </w:t>
      </w:r>
      <w:proofErr w:type="gramStart"/>
      <w:r w:rsidRPr="00F311B2">
        <w:rPr>
          <w:lang w:val="en-CA"/>
        </w:rPr>
        <w:t>91</w:t>
      </w:r>
      <w:proofErr w:type="gramEnd"/>
      <w:r w:rsidRPr="00F311B2">
        <w:rPr>
          <w:lang w:val="en-CA"/>
        </w:rPr>
        <w:t xml:space="preserve"> and the </w:t>
      </w:r>
      <w:r w:rsidR="00FF2836">
        <w:rPr>
          <w:lang w:val="en-CA"/>
        </w:rPr>
        <w:t>authorities</w:t>
      </w:r>
      <w:r w:rsidR="00FF2836" w:rsidRPr="00F311B2">
        <w:rPr>
          <w:lang w:val="en-CA"/>
        </w:rPr>
        <w:t xml:space="preserve"> </w:t>
      </w:r>
      <w:r w:rsidRPr="00F311B2">
        <w:rPr>
          <w:lang w:val="en-CA"/>
        </w:rPr>
        <w:t>cited therein.</w:t>
      </w:r>
    </w:p>
  </w:footnote>
  <w:footnote w:id="45">
    <w:p w14:paraId="30B07134" w14:textId="4E12F4D7" w:rsidR="0063422F" w:rsidRPr="00D65794" w:rsidRDefault="0063422F">
      <w:pPr>
        <w:pStyle w:val="Notedebasdepage"/>
      </w:pPr>
      <w:r w:rsidRPr="00B045A5">
        <w:rPr>
          <w:rStyle w:val="Appelnotedebasdep"/>
        </w:rPr>
        <w:footnoteRef/>
      </w:r>
      <w:r w:rsidRPr="00D65794">
        <w:tab/>
        <w:t xml:space="preserve">Section 730 </w:t>
      </w:r>
      <w:r w:rsidRPr="00F311B2">
        <w:rPr>
          <w:i/>
          <w:iCs/>
          <w:spacing w:val="-20"/>
        </w:rPr>
        <w:t>Cr.</w:t>
      </w:r>
      <w:r w:rsidR="00D65794" w:rsidRPr="00DA78BB">
        <w:rPr>
          <w:i/>
          <w:iCs/>
          <w:spacing w:val="-20"/>
        </w:rPr>
        <w:t xml:space="preserve"> </w:t>
      </w:r>
      <w:r w:rsidRPr="00F311B2">
        <w:rPr>
          <w:i/>
          <w:iCs/>
          <w:spacing w:val="-20"/>
        </w:rPr>
        <w:t>C</w:t>
      </w:r>
      <w:r w:rsidRPr="00D65794">
        <w:rPr>
          <w:i/>
          <w:iCs/>
        </w:rPr>
        <w:t>.</w:t>
      </w:r>
    </w:p>
  </w:footnote>
  <w:footnote w:id="46">
    <w:p w14:paraId="7BF3B326" w14:textId="6B384353" w:rsidR="0063422F" w:rsidRPr="00F311B2" w:rsidRDefault="0063422F">
      <w:pPr>
        <w:pStyle w:val="Notedebasdepage"/>
        <w:rPr>
          <w:lang w:val="en-CA"/>
        </w:rPr>
      </w:pPr>
      <w:r>
        <w:rPr>
          <w:rStyle w:val="Appelnotedebasdep"/>
        </w:rPr>
        <w:footnoteRef/>
      </w:r>
      <w:r>
        <w:tab/>
        <w:t xml:space="preserve">Hugues Parent </w:t>
      </w:r>
      <w:r w:rsidR="00D65794">
        <w:t>&amp;</w:t>
      </w:r>
      <w:r>
        <w:t xml:space="preserve"> Julie Desrosiers, </w:t>
      </w:r>
      <w:r w:rsidRPr="003A7E31">
        <w:rPr>
          <w:i/>
          <w:iCs/>
        </w:rPr>
        <w:t>Traité de droit criminel</w:t>
      </w:r>
      <w:r>
        <w:t>, t.</w:t>
      </w:r>
      <w:r w:rsidR="00AE1E5A">
        <w:t xml:space="preserve"> </w:t>
      </w:r>
      <w:r>
        <w:t xml:space="preserve">3 </w:t>
      </w:r>
      <w:r w:rsidR="00B50A6D" w:rsidRPr="00DA78BB">
        <w:t>“</w:t>
      </w:r>
      <w:r>
        <w:t>La peine</w:t>
      </w:r>
      <w:r w:rsidR="00B50A6D" w:rsidRPr="00DA78BB">
        <w:t>”</w:t>
      </w:r>
      <w:r>
        <w:t>, 3</w:t>
      </w:r>
      <w:r w:rsidR="00D65794">
        <w:t>rd</w:t>
      </w:r>
      <w:r>
        <w:t xml:space="preserve"> </w:t>
      </w:r>
      <w:r w:rsidR="00D65794">
        <w:t>e</w:t>
      </w:r>
      <w:r>
        <w:t xml:space="preserve">d. </w:t>
      </w:r>
      <w:r w:rsidR="00D65794" w:rsidRPr="00F311B2">
        <w:rPr>
          <w:lang w:val="en-CA"/>
        </w:rPr>
        <w:t>(</w:t>
      </w:r>
      <w:r w:rsidRPr="00F311B2">
        <w:rPr>
          <w:lang w:val="en-CA"/>
        </w:rPr>
        <w:t>Montr</w:t>
      </w:r>
      <w:r w:rsidR="00D65794" w:rsidRPr="00F311B2">
        <w:rPr>
          <w:lang w:val="en-CA"/>
        </w:rPr>
        <w:t>e</w:t>
      </w:r>
      <w:r w:rsidRPr="00F311B2">
        <w:rPr>
          <w:lang w:val="en-CA"/>
        </w:rPr>
        <w:t>al</w:t>
      </w:r>
      <w:r w:rsidR="00D65794" w:rsidRPr="00F311B2">
        <w:rPr>
          <w:lang w:val="en-CA"/>
        </w:rPr>
        <w:t>:</w:t>
      </w:r>
      <w:r w:rsidRPr="00F311B2">
        <w:rPr>
          <w:lang w:val="en-CA"/>
        </w:rPr>
        <w:t xml:space="preserve"> Thémis, 2020</w:t>
      </w:r>
      <w:r w:rsidR="00D65794" w:rsidRPr="00F311B2">
        <w:rPr>
          <w:lang w:val="en-CA"/>
        </w:rPr>
        <w:t>)</w:t>
      </w:r>
      <w:r w:rsidRPr="00F311B2">
        <w:rPr>
          <w:lang w:val="en-CA"/>
        </w:rPr>
        <w:t xml:space="preserve"> </w:t>
      </w:r>
      <w:r w:rsidR="00D65794" w:rsidRPr="00F311B2">
        <w:rPr>
          <w:lang w:val="en-CA"/>
        </w:rPr>
        <w:t>at</w:t>
      </w:r>
      <w:r w:rsidRPr="00F311B2">
        <w:rPr>
          <w:lang w:val="en-CA"/>
        </w:rPr>
        <w:t xml:space="preserve"> 299.</w:t>
      </w:r>
    </w:p>
  </w:footnote>
  <w:footnote w:id="47">
    <w:p w14:paraId="4F2CC226" w14:textId="10910179" w:rsidR="0063422F" w:rsidRPr="00F311B2" w:rsidRDefault="0063422F">
      <w:pPr>
        <w:pStyle w:val="Notedebasdepage"/>
        <w:rPr>
          <w:lang w:val="en-CA"/>
        </w:rPr>
      </w:pPr>
      <w:r>
        <w:rPr>
          <w:rStyle w:val="Appelnotedebasdep"/>
        </w:rPr>
        <w:footnoteRef/>
      </w:r>
      <w:r w:rsidRPr="00F311B2">
        <w:rPr>
          <w:lang w:val="en-CA"/>
        </w:rPr>
        <w:tab/>
      </w:r>
      <w:r w:rsidRPr="00F311B2">
        <w:rPr>
          <w:i/>
          <w:iCs/>
          <w:lang w:val="en-CA"/>
        </w:rPr>
        <w:t>R. c. Douab</w:t>
      </w:r>
      <w:r w:rsidRPr="00F311B2">
        <w:rPr>
          <w:lang w:val="en-CA"/>
        </w:rPr>
        <w:t>, 2009 QCCQ 5734</w:t>
      </w:r>
      <w:r w:rsidR="00D65794" w:rsidRPr="00F311B2">
        <w:rPr>
          <w:lang w:val="en-CA"/>
        </w:rPr>
        <w:t xml:space="preserve"> at</w:t>
      </w:r>
      <w:r w:rsidRPr="00F311B2">
        <w:rPr>
          <w:lang w:val="en-CA"/>
        </w:rPr>
        <w:t xml:space="preserve"> para. 53.</w:t>
      </w:r>
    </w:p>
  </w:footnote>
  <w:footnote w:id="48">
    <w:p w14:paraId="032103B3" w14:textId="02978B88" w:rsidR="0063422F" w:rsidRPr="000742C1" w:rsidRDefault="0063422F">
      <w:pPr>
        <w:pStyle w:val="Notedebasdepage"/>
      </w:pPr>
      <w:r>
        <w:rPr>
          <w:rStyle w:val="Appelnotedebasdep"/>
        </w:rPr>
        <w:footnoteRef/>
      </w:r>
      <w:r w:rsidRPr="00F311B2">
        <w:rPr>
          <w:lang w:val="en-CA"/>
        </w:rPr>
        <w:tab/>
      </w:r>
      <w:r w:rsidRPr="00F311B2">
        <w:rPr>
          <w:i/>
          <w:iCs/>
          <w:lang w:val="en-CA"/>
        </w:rPr>
        <w:t>Oum c. R.</w:t>
      </w:r>
      <w:r w:rsidRPr="00F311B2">
        <w:rPr>
          <w:lang w:val="en-CA"/>
        </w:rPr>
        <w:t>, 2021 QCCA 462</w:t>
      </w:r>
      <w:r w:rsidR="00D65794" w:rsidRPr="00F311B2">
        <w:rPr>
          <w:lang w:val="en-CA"/>
        </w:rPr>
        <w:t xml:space="preserve"> at</w:t>
      </w:r>
      <w:r w:rsidRPr="00F311B2">
        <w:rPr>
          <w:lang w:val="en-CA"/>
        </w:rPr>
        <w:t xml:space="preserve"> para. 55, referring to </w:t>
      </w:r>
      <w:r w:rsidRPr="00F311B2">
        <w:rPr>
          <w:i/>
          <w:iCs/>
          <w:lang w:val="en-CA"/>
        </w:rPr>
        <w:t>Côté c. R.</w:t>
      </w:r>
      <w:r w:rsidRPr="00F311B2">
        <w:rPr>
          <w:lang w:val="en-CA"/>
        </w:rPr>
        <w:t>, 2014 QCCA 2083</w:t>
      </w:r>
      <w:r w:rsidR="00D65794">
        <w:rPr>
          <w:lang w:val="en-CA"/>
        </w:rPr>
        <w:t xml:space="preserve"> at</w:t>
      </w:r>
      <w:r w:rsidRPr="00F311B2">
        <w:rPr>
          <w:lang w:val="en-CA"/>
        </w:rPr>
        <w:t xml:space="preserve"> para. </w:t>
      </w:r>
      <w:r w:rsidRPr="000742C1">
        <w:t>22.</w:t>
      </w:r>
    </w:p>
  </w:footnote>
  <w:footnote w:id="49">
    <w:p w14:paraId="24979FFA" w14:textId="435C24C9" w:rsidR="0063422F" w:rsidRPr="00F311B2" w:rsidRDefault="0063422F">
      <w:pPr>
        <w:pStyle w:val="Notedebasdepage"/>
        <w:rPr>
          <w:lang w:val="en-CA"/>
        </w:rPr>
      </w:pPr>
      <w:r>
        <w:rPr>
          <w:rStyle w:val="Appelnotedebasdep"/>
        </w:rPr>
        <w:footnoteRef/>
      </w:r>
      <w:r>
        <w:tab/>
      </w:r>
      <w:r w:rsidRPr="00714354">
        <w:rPr>
          <w:i/>
          <w:iCs/>
        </w:rPr>
        <w:t>R. c. Gravel</w:t>
      </w:r>
      <w:r>
        <w:t xml:space="preserve">, </w:t>
      </w:r>
      <w:r w:rsidRPr="00F54731">
        <w:rPr>
          <w:i/>
          <w:iCs/>
        </w:rPr>
        <w:t>supra</w:t>
      </w:r>
      <w:r>
        <w:t xml:space="preserve"> </w:t>
      </w:r>
      <w:r w:rsidR="00D65794">
        <w:t>note</w:t>
      </w:r>
      <w:r>
        <w:t xml:space="preserve"> </w:t>
      </w:r>
      <w:r w:rsidR="00F929DC">
        <w:fldChar w:fldCharType="begin"/>
      </w:r>
      <w:r>
        <w:instrText xml:space="preserve"> NOTEREF _Ref123895241 \h </w:instrText>
      </w:r>
      <w:r w:rsidR="00F929DC">
        <w:fldChar w:fldCharType="separate"/>
      </w:r>
      <w:r>
        <w:t>22</w:t>
      </w:r>
      <w:r w:rsidR="00F929DC">
        <w:fldChar w:fldCharType="end"/>
      </w:r>
      <w:r>
        <w:t xml:space="preserve"> </w:t>
      </w:r>
      <w:r w:rsidR="00D65794">
        <w:t xml:space="preserve">at </w:t>
      </w:r>
      <w:r>
        <w:t xml:space="preserve">para. 15, citing Julie Desrosiers, </w:t>
      </w:r>
      <w:r w:rsidRPr="00714354">
        <w:rPr>
          <w:i/>
          <w:iCs/>
        </w:rPr>
        <w:t>L’agression sexuelle en droit canadien</w:t>
      </w:r>
      <w:r>
        <w:t>, 2</w:t>
      </w:r>
      <w:r>
        <w:rPr>
          <w:vertAlign w:val="superscript"/>
        </w:rPr>
        <w:t>d</w:t>
      </w:r>
      <w:r>
        <w:t xml:space="preserve"> ed. </w:t>
      </w:r>
      <w:r w:rsidR="00D65794" w:rsidRPr="00F311B2">
        <w:rPr>
          <w:lang w:val="en-CA"/>
        </w:rPr>
        <w:t>(</w:t>
      </w:r>
      <w:r w:rsidRPr="00F311B2">
        <w:rPr>
          <w:lang w:val="en-CA"/>
        </w:rPr>
        <w:t>Cowansville,</w:t>
      </w:r>
      <w:r w:rsidR="00AE1E5A">
        <w:rPr>
          <w:lang w:val="en-CA"/>
        </w:rPr>
        <w:t xml:space="preserve"> Que.:</w:t>
      </w:r>
      <w:r w:rsidRPr="00F311B2">
        <w:rPr>
          <w:lang w:val="en-CA"/>
        </w:rPr>
        <w:t xml:space="preserve"> Yvon Blais, 2017</w:t>
      </w:r>
      <w:r w:rsidR="00FF2836" w:rsidRPr="00F311B2">
        <w:rPr>
          <w:lang w:val="en-CA"/>
        </w:rPr>
        <w:t>)</w:t>
      </w:r>
      <w:r w:rsidRPr="00F311B2">
        <w:rPr>
          <w:lang w:val="en-CA"/>
        </w:rPr>
        <w:t xml:space="preserve"> </w:t>
      </w:r>
      <w:r w:rsidR="00FF2836" w:rsidRPr="00F311B2">
        <w:rPr>
          <w:lang w:val="en-CA"/>
        </w:rPr>
        <w:t>at</w:t>
      </w:r>
      <w:r w:rsidRPr="00F311B2">
        <w:rPr>
          <w:lang w:val="en-CA"/>
        </w:rPr>
        <w:t xml:space="preserve"> 272</w:t>
      </w:r>
      <w:r w:rsidR="00533457">
        <w:rPr>
          <w:lang w:val="en-CA"/>
        </w:rPr>
        <w:t>–</w:t>
      </w:r>
      <w:r w:rsidRPr="00F311B2">
        <w:rPr>
          <w:lang w:val="en-CA"/>
        </w:rPr>
        <w:t>273.</w:t>
      </w:r>
    </w:p>
  </w:footnote>
  <w:footnote w:id="50">
    <w:p w14:paraId="67E10B45" w14:textId="68642CC9" w:rsidR="0063422F" w:rsidRPr="001E1DF4" w:rsidRDefault="0063422F">
      <w:pPr>
        <w:pStyle w:val="Notedebasdepage"/>
        <w:rPr>
          <w:lang w:val="en-CA"/>
        </w:rPr>
      </w:pPr>
      <w:r w:rsidRPr="00B045A5">
        <w:rPr>
          <w:rStyle w:val="Appelnotedebasdep"/>
        </w:rPr>
        <w:footnoteRef/>
      </w:r>
      <w:r w:rsidRPr="00B045A5">
        <w:rPr>
          <w:lang w:val="en-CA"/>
        </w:rPr>
        <w:tab/>
      </w:r>
      <w:r w:rsidRPr="00B045A5">
        <w:rPr>
          <w:i/>
          <w:iCs/>
          <w:lang w:val="en-CA"/>
        </w:rPr>
        <w:t>R. c. Gravel</w:t>
      </w:r>
      <w:r w:rsidRPr="00B045A5">
        <w:rPr>
          <w:lang w:val="en-CA"/>
        </w:rPr>
        <w:t xml:space="preserve">, </w:t>
      </w:r>
      <w:r w:rsidRPr="00B045A5">
        <w:rPr>
          <w:i/>
          <w:iCs/>
          <w:lang w:val="en-CA"/>
        </w:rPr>
        <w:t>supra</w:t>
      </w:r>
      <w:r w:rsidRPr="00B045A5">
        <w:rPr>
          <w:lang w:val="en-CA"/>
        </w:rPr>
        <w:t xml:space="preserve"> </w:t>
      </w:r>
      <w:r w:rsidR="00D65794">
        <w:rPr>
          <w:lang w:val="en-CA"/>
        </w:rPr>
        <w:t>note</w:t>
      </w:r>
      <w:r w:rsidRPr="00B045A5">
        <w:rPr>
          <w:lang w:val="en-CA"/>
        </w:rPr>
        <w:t xml:space="preserve"> </w:t>
      </w:r>
      <w:r w:rsidR="00610EC1">
        <w:fldChar w:fldCharType="begin"/>
      </w:r>
      <w:r w:rsidR="00610EC1" w:rsidRPr="00F311B2">
        <w:rPr>
          <w:lang w:val="en-CA"/>
        </w:rPr>
        <w:instrText xml:space="preserve"> NOTEREF _Ref123895241 \h  \* MERGEFORMAT </w:instrText>
      </w:r>
      <w:r w:rsidR="00610EC1">
        <w:fldChar w:fldCharType="separate"/>
      </w:r>
      <w:proofErr w:type="gramStart"/>
      <w:r>
        <w:rPr>
          <w:lang w:val="en-CA"/>
        </w:rPr>
        <w:t>22</w:t>
      </w:r>
      <w:proofErr w:type="gramEnd"/>
      <w:r w:rsidR="00610EC1">
        <w:fldChar w:fldCharType="end"/>
      </w:r>
      <w:r w:rsidRPr="00B045A5">
        <w:rPr>
          <w:lang w:val="en-CA"/>
        </w:rPr>
        <w:t>.</w:t>
      </w:r>
    </w:p>
  </w:footnote>
  <w:footnote w:id="51">
    <w:p w14:paraId="3F7A318E" w14:textId="37B452BB" w:rsidR="0063422F" w:rsidRPr="00387554" w:rsidRDefault="0063422F">
      <w:pPr>
        <w:pStyle w:val="Notedebasdepage"/>
        <w:rPr>
          <w:lang w:val="en-CA"/>
        </w:rPr>
      </w:pPr>
      <w:r>
        <w:rPr>
          <w:rStyle w:val="Appelnotedebasdep"/>
        </w:rPr>
        <w:footnoteRef/>
      </w:r>
      <w:r w:rsidRPr="00387554">
        <w:rPr>
          <w:lang w:val="en-CA"/>
        </w:rPr>
        <w:tab/>
      </w:r>
      <w:r>
        <w:rPr>
          <w:i/>
          <w:iCs/>
          <w:lang w:val="en-CA"/>
        </w:rPr>
        <w:t>Ibid</w:t>
      </w:r>
      <w:r w:rsidRPr="00387554">
        <w:rPr>
          <w:lang w:val="en-CA"/>
        </w:rPr>
        <w:t xml:space="preserve">. </w:t>
      </w:r>
      <w:r w:rsidR="00D65794">
        <w:rPr>
          <w:lang w:val="en-CA"/>
        </w:rPr>
        <w:t xml:space="preserve">at </w:t>
      </w:r>
      <w:r>
        <w:rPr>
          <w:lang w:val="en-CA"/>
        </w:rPr>
        <w:t>para</w:t>
      </w:r>
      <w:r w:rsidRPr="00387554">
        <w:rPr>
          <w:lang w:val="en-CA"/>
        </w:rPr>
        <w:t>. 22.</w:t>
      </w:r>
    </w:p>
  </w:footnote>
  <w:footnote w:id="52">
    <w:p w14:paraId="4DCBE61B" w14:textId="77777777" w:rsidR="0063422F" w:rsidRPr="00A2646D" w:rsidRDefault="0063422F">
      <w:pPr>
        <w:pStyle w:val="Notedebasdepage"/>
        <w:rPr>
          <w:lang w:val="en-CA"/>
        </w:rPr>
      </w:pPr>
      <w:r>
        <w:rPr>
          <w:rStyle w:val="Appelnotedebasdep"/>
        </w:rPr>
        <w:footnoteRef/>
      </w:r>
      <w:r w:rsidRPr="00A2646D">
        <w:rPr>
          <w:lang w:val="en-CA"/>
        </w:rPr>
        <w:tab/>
      </w:r>
      <w:r w:rsidRPr="00A2646D">
        <w:rPr>
          <w:i/>
          <w:iCs/>
          <w:lang w:val="en-CA"/>
        </w:rPr>
        <w:t>R. v. L.A.A.</w:t>
      </w:r>
      <w:r w:rsidRPr="00A2646D">
        <w:rPr>
          <w:lang w:val="en-CA"/>
        </w:rPr>
        <w:t>, 2020 ONCJ 556.</w:t>
      </w:r>
    </w:p>
  </w:footnote>
  <w:footnote w:id="53">
    <w:p w14:paraId="22478BA0" w14:textId="77777777" w:rsidR="0063422F" w:rsidRPr="000742C1" w:rsidRDefault="0063422F">
      <w:pPr>
        <w:pStyle w:val="Notedebasdepage"/>
        <w:rPr>
          <w:lang w:val="en-CA"/>
        </w:rPr>
      </w:pPr>
      <w:r>
        <w:rPr>
          <w:rStyle w:val="Appelnotedebasdep"/>
        </w:rPr>
        <w:footnoteRef/>
      </w:r>
      <w:r w:rsidRPr="000742C1">
        <w:rPr>
          <w:lang w:val="en-CA"/>
        </w:rPr>
        <w:tab/>
      </w:r>
      <w:r w:rsidRPr="000742C1">
        <w:rPr>
          <w:i/>
          <w:iCs/>
          <w:lang w:val="en-CA"/>
        </w:rPr>
        <w:t>R. v. R.R.</w:t>
      </w:r>
      <w:r w:rsidRPr="000742C1">
        <w:rPr>
          <w:lang w:val="en-CA"/>
        </w:rPr>
        <w:t>, 2022 ONCJ 407.</w:t>
      </w:r>
    </w:p>
  </w:footnote>
  <w:footnote w:id="54">
    <w:p w14:paraId="2DC44F98" w14:textId="77777777" w:rsidR="0063422F" w:rsidRPr="00F311B2" w:rsidRDefault="0063422F">
      <w:pPr>
        <w:pStyle w:val="Notedebasdepage"/>
        <w:rPr>
          <w:lang w:val="en-CA"/>
        </w:rPr>
      </w:pPr>
      <w:r>
        <w:rPr>
          <w:rStyle w:val="Appelnotedebasdep"/>
        </w:rPr>
        <w:footnoteRef/>
      </w:r>
      <w:r w:rsidRPr="00F311B2">
        <w:rPr>
          <w:lang w:val="en-CA"/>
        </w:rPr>
        <w:tab/>
      </w:r>
      <w:r w:rsidRPr="00F311B2">
        <w:rPr>
          <w:i/>
          <w:iCs/>
          <w:lang w:val="en-CA"/>
        </w:rPr>
        <w:t>R. c. Savard</w:t>
      </w:r>
      <w:r w:rsidRPr="00F311B2">
        <w:rPr>
          <w:lang w:val="en-CA"/>
        </w:rPr>
        <w:t>, 2013 QCCQ 1950.</w:t>
      </w:r>
    </w:p>
  </w:footnote>
  <w:footnote w:id="55">
    <w:p w14:paraId="5F2E4538" w14:textId="3B775F64" w:rsidR="0063422F" w:rsidRPr="006F7A26" w:rsidRDefault="0063422F">
      <w:pPr>
        <w:pStyle w:val="Notedebasdepage"/>
        <w:rPr>
          <w:lang w:val="en-US"/>
        </w:rPr>
      </w:pPr>
      <w:r>
        <w:rPr>
          <w:rStyle w:val="Appelnotedebasdep"/>
        </w:rPr>
        <w:footnoteRef/>
      </w:r>
      <w:r w:rsidRPr="00F311B2">
        <w:rPr>
          <w:lang w:val="en-CA"/>
        </w:rPr>
        <w:tab/>
      </w:r>
      <w:r w:rsidRPr="006F7A26">
        <w:rPr>
          <w:lang w:val="en-US"/>
        </w:rPr>
        <w:t xml:space="preserve">In </w:t>
      </w:r>
      <w:r w:rsidRPr="006F7A26">
        <w:rPr>
          <w:i/>
          <w:iCs/>
          <w:lang w:val="en-US"/>
        </w:rPr>
        <w:t>R. c. Savard</w:t>
      </w:r>
      <w:r w:rsidRPr="006F7A26">
        <w:rPr>
          <w:lang w:val="en-US"/>
        </w:rPr>
        <w:t xml:space="preserve"> the accused ple</w:t>
      </w:r>
      <w:r w:rsidR="00D65794">
        <w:rPr>
          <w:lang w:val="en-US"/>
        </w:rPr>
        <w:t>a</w:t>
      </w:r>
      <w:r w:rsidRPr="006F7A26">
        <w:rPr>
          <w:lang w:val="en-US"/>
        </w:rPr>
        <w:t>d</w:t>
      </w:r>
      <w:r w:rsidR="00D65794">
        <w:rPr>
          <w:lang w:val="en-US"/>
        </w:rPr>
        <w:t>ed</w:t>
      </w:r>
      <w:r w:rsidRPr="006F7A26">
        <w:rPr>
          <w:lang w:val="en-US"/>
        </w:rPr>
        <w:t xml:space="preserve"> guilty to those charges.</w:t>
      </w:r>
    </w:p>
  </w:footnote>
  <w:footnote w:id="56">
    <w:p w14:paraId="0D226EBB" w14:textId="60FA7CBC" w:rsidR="0063422F" w:rsidRPr="00F311B2" w:rsidRDefault="0063422F" w:rsidP="0068684C">
      <w:pPr>
        <w:pStyle w:val="Notedebasdepage"/>
        <w:rPr>
          <w:lang w:val="en-CA"/>
        </w:rPr>
      </w:pPr>
      <w:r>
        <w:rPr>
          <w:rStyle w:val="Appelnotedebasdep"/>
        </w:rPr>
        <w:footnoteRef/>
      </w:r>
      <w:r w:rsidRPr="00C430FC">
        <w:rPr>
          <w:lang w:val="en-CA"/>
        </w:rPr>
        <w:tab/>
      </w:r>
      <w:r w:rsidR="006F7A26" w:rsidRPr="006F7A26">
        <w:rPr>
          <w:lang w:val="en-US"/>
        </w:rPr>
        <w:t xml:space="preserve">It should be noted that penile penetration occurred in both </w:t>
      </w:r>
      <w:r w:rsidRPr="006F7A26">
        <w:rPr>
          <w:i/>
          <w:iCs/>
          <w:lang w:val="en-US"/>
        </w:rPr>
        <w:t>R. v. L.A.A.</w:t>
      </w:r>
      <w:r w:rsidRPr="006F7A26">
        <w:rPr>
          <w:lang w:val="en-US"/>
        </w:rPr>
        <w:t xml:space="preserve"> </w:t>
      </w:r>
      <w:r w:rsidR="00D65794">
        <w:rPr>
          <w:lang w:val="en-US"/>
        </w:rPr>
        <w:t>and</w:t>
      </w:r>
      <w:r w:rsidRPr="006F7A26">
        <w:rPr>
          <w:lang w:val="en-US"/>
        </w:rPr>
        <w:t xml:space="preserve"> </w:t>
      </w:r>
      <w:r w:rsidRPr="006F7A26">
        <w:rPr>
          <w:i/>
          <w:iCs/>
          <w:lang w:val="en-US"/>
        </w:rPr>
        <w:t>R. v. R.R.</w:t>
      </w:r>
      <w:r w:rsidR="006F7A26" w:rsidRPr="006F7A26">
        <w:rPr>
          <w:lang w:val="en-US"/>
        </w:rPr>
        <w:t xml:space="preserve"> However, according to the Supreme Court in </w:t>
      </w:r>
      <w:r w:rsidRPr="006F7A26">
        <w:rPr>
          <w:i/>
          <w:iCs/>
          <w:lang w:val="en-US"/>
        </w:rPr>
        <w:t>R. v. Friesen</w:t>
      </w:r>
      <w:r w:rsidRPr="006F7A26">
        <w:rPr>
          <w:lang w:val="en-US"/>
        </w:rPr>
        <w:t xml:space="preserve">, </w:t>
      </w:r>
      <w:r w:rsidRPr="006F7A26">
        <w:rPr>
          <w:i/>
          <w:iCs/>
          <w:lang w:val="en-US"/>
        </w:rPr>
        <w:t>supra</w:t>
      </w:r>
      <w:r w:rsidRPr="006F7A26">
        <w:rPr>
          <w:lang w:val="en-US"/>
        </w:rPr>
        <w:t xml:space="preserve"> </w:t>
      </w:r>
      <w:r w:rsidR="00D65794">
        <w:rPr>
          <w:lang w:val="en-US"/>
        </w:rPr>
        <w:t>note</w:t>
      </w:r>
      <w:r w:rsidRPr="006F7A26">
        <w:rPr>
          <w:lang w:val="en-US"/>
        </w:rPr>
        <w:t xml:space="preserve"> </w:t>
      </w:r>
      <w:r w:rsidR="00F929DC" w:rsidRPr="006F7A26">
        <w:rPr>
          <w:lang w:val="en-US"/>
        </w:rPr>
        <w:fldChar w:fldCharType="begin"/>
      </w:r>
      <w:r w:rsidRPr="006F7A26">
        <w:rPr>
          <w:lang w:val="en-US"/>
        </w:rPr>
        <w:instrText xml:space="preserve"> NOTEREF _Ref123893240 \h </w:instrText>
      </w:r>
      <w:r w:rsidR="00F929DC" w:rsidRPr="006F7A26">
        <w:rPr>
          <w:lang w:val="en-US"/>
        </w:rPr>
      </w:r>
      <w:r w:rsidR="00F929DC" w:rsidRPr="006F7A26">
        <w:rPr>
          <w:lang w:val="en-US"/>
        </w:rPr>
        <w:fldChar w:fldCharType="separate"/>
      </w:r>
      <w:r w:rsidRPr="006F7A26">
        <w:rPr>
          <w:lang w:val="en-US"/>
        </w:rPr>
        <w:t>16</w:t>
      </w:r>
      <w:r w:rsidR="00F929DC" w:rsidRPr="006F7A26">
        <w:rPr>
          <w:lang w:val="en-US"/>
        </w:rPr>
        <w:fldChar w:fldCharType="end"/>
      </w:r>
      <w:r w:rsidR="006F7A26" w:rsidRPr="006F7A26">
        <w:rPr>
          <w:lang w:val="en-US"/>
        </w:rPr>
        <w:t xml:space="preserve"> </w:t>
      </w:r>
      <w:r w:rsidR="00D65794">
        <w:rPr>
          <w:lang w:val="en-US"/>
        </w:rPr>
        <w:t xml:space="preserve">at </w:t>
      </w:r>
      <w:r w:rsidR="006F7A26" w:rsidRPr="006F7A26">
        <w:rPr>
          <w:lang w:val="en-US"/>
        </w:rPr>
        <w:t>paras. 140 and 143, there is a danger</w:t>
      </w:r>
      <w:r w:rsidRPr="006F7A26">
        <w:rPr>
          <w:lang w:val="en-US"/>
        </w:rPr>
        <w:t xml:space="preserve"> in </w:t>
      </w:r>
      <w:r w:rsidRPr="00F311B2">
        <w:rPr>
          <w:lang w:val="en-US"/>
        </w:rPr>
        <w:t xml:space="preserve">“defining a </w:t>
      </w:r>
      <w:r w:rsidR="00DD54CD">
        <w:rPr>
          <w:lang w:val="en-US"/>
        </w:rPr>
        <w:t xml:space="preserve">sentencing </w:t>
      </w:r>
      <w:r w:rsidRPr="00F311B2">
        <w:rPr>
          <w:lang w:val="en-US"/>
        </w:rPr>
        <w:t xml:space="preserve">range </w:t>
      </w:r>
      <w:r w:rsidR="00DD54CD">
        <w:rPr>
          <w:lang w:val="en-US"/>
        </w:rPr>
        <w:t xml:space="preserve">based on penetration or </w:t>
      </w:r>
      <w:r w:rsidRPr="00F311B2">
        <w:rPr>
          <w:lang w:val="en-US"/>
        </w:rPr>
        <w:t xml:space="preserve">the </w:t>
      </w:r>
      <w:r w:rsidR="00DD54CD">
        <w:rPr>
          <w:lang w:val="en-US"/>
        </w:rPr>
        <w:t xml:space="preserve">specific </w:t>
      </w:r>
      <w:r w:rsidRPr="00F311B2">
        <w:rPr>
          <w:lang w:val="en-US"/>
        </w:rPr>
        <w:t xml:space="preserve">type of </w:t>
      </w:r>
      <w:r w:rsidR="00DD54CD">
        <w:rPr>
          <w:lang w:val="en-US"/>
        </w:rPr>
        <w:t>sexual activity at issue</w:t>
      </w:r>
      <w:r w:rsidRPr="00F311B2">
        <w:rPr>
          <w:lang w:val="en-US"/>
        </w:rPr>
        <w:t>”</w:t>
      </w:r>
      <w:r w:rsidR="00F47AAB">
        <w:rPr>
          <w:lang w:val="en-US"/>
        </w:rPr>
        <w:t>,</w:t>
      </w:r>
      <w:r w:rsidRPr="006F7A26">
        <w:rPr>
          <w:lang w:val="en-US"/>
        </w:rPr>
        <w:t xml:space="preserve"> especially because </w:t>
      </w:r>
      <w:r w:rsidRPr="00F311B2">
        <w:rPr>
          <w:lang w:val="en-US"/>
        </w:rPr>
        <w:t>“harm to the victim is not dependent on the type of physical activity involved”</w:t>
      </w:r>
      <w:r w:rsidR="00F47AA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BB10" w14:textId="77777777" w:rsidR="0063422F" w:rsidRDefault="0063422F" w:rsidP="00DB2119">
    <w:pPr>
      <w:tabs>
        <w:tab w:val="center" w:pos="4709"/>
        <w:tab w:val="right" w:pos="9360"/>
      </w:tabs>
      <w:spacing w:line="360" w:lineRule="auto"/>
      <w:ind w:right="524"/>
    </w:pPr>
    <w:bookmarkStart w:id="19" w:name="EntDossier"/>
    <w:r>
      <w:t>200-10-004000-225</w:t>
    </w:r>
    <w:bookmarkEnd w:id="19"/>
    <w:r w:rsidRPr="007462D6">
      <w:t xml:space="preserve"> </w:t>
    </w:r>
    <w:r>
      <w:tab/>
    </w:r>
    <w:r>
      <w:tab/>
      <w:t xml:space="preserve">PAGE: </w:t>
    </w:r>
    <w:r w:rsidR="00610EC1">
      <w:fldChar w:fldCharType="begin"/>
    </w:r>
    <w:r w:rsidR="00610EC1">
      <w:instrText xml:space="preserve"> PAGE </w:instrText>
    </w:r>
    <w:r w:rsidR="00610EC1">
      <w:fldChar w:fldCharType="separate"/>
    </w:r>
    <w:r w:rsidR="000E2485">
      <w:rPr>
        <w:noProof/>
      </w:rPr>
      <w:t>2</w:t>
    </w:r>
    <w:r w:rsidR="00610EC1">
      <w:rPr>
        <w:noProof/>
      </w:rPr>
      <w:fldChar w:fldCharType="end"/>
    </w:r>
  </w:p>
  <w:p w14:paraId="193C1EEB" w14:textId="77777777" w:rsidR="0063422F" w:rsidRDefault="0063422F"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8756F"/>
    <w:multiLevelType w:val="hybridMultilevel"/>
    <w:tmpl w:val="1318F722"/>
    <w:lvl w:ilvl="0" w:tplc="D0E472C2">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17430787"/>
    <w:multiLevelType w:val="hybridMultilevel"/>
    <w:tmpl w:val="06E6F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9226D1"/>
    <w:multiLevelType w:val="hybridMultilevel"/>
    <w:tmpl w:val="9CAAC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B07427"/>
    <w:multiLevelType w:val="hybridMultilevel"/>
    <w:tmpl w:val="835E10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4E2F08"/>
    <w:multiLevelType w:val="hybridMultilevel"/>
    <w:tmpl w:val="F38278FE"/>
    <w:lvl w:ilvl="0" w:tplc="ED4E666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8BB52DE"/>
    <w:multiLevelType w:val="multilevel"/>
    <w:tmpl w:val="79E601F0"/>
    <w:lvl w:ilvl="0">
      <w:start w:val="1"/>
      <w:numFmt w:val="decimal"/>
      <w:pStyle w:val="Paragraphe"/>
      <w:lvlText w:val="[%1]"/>
      <w:lvlJc w:val="left"/>
      <w:pPr>
        <w:tabs>
          <w:tab w:val="num" w:pos="8233"/>
        </w:tabs>
        <w:ind w:left="7513"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AA21C3"/>
    <w:multiLevelType w:val="hybridMultilevel"/>
    <w:tmpl w:val="D910E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D6A21A3"/>
    <w:multiLevelType w:val="hybridMultilevel"/>
    <w:tmpl w:val="50EE1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F3F6A3B"/>
    <w:multiLevelType w:val="hybridMultilevel"/>
    <w:tmpl w:val="332EF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0459585">
    <w:abstractNumId w:val="18"/>
  </w:num>
  <w:num w:numId="2" w16cid:durableId="408039161">
    <w:abstractNumId w:val="18"/>
  </w:num>
  <w:num w:numId="3" w16cid:durableId="441801934">
    <w:abstractNumId w:val="18"/>
  </w:num>
  <w:num w:numId="4" w16cid:durableId="2107994978">
    <w:abstractNumId w:val="8"/>
  </w:num>
  <w:num w:numId="5" w16cid:durableId="778376119">
    <w:abstractNumId w:val="3"/>
  </w:num>
  <w:num w:numId="6" w16cid:durableId="2126609395">
    <w:abstractNumId w:val="2"/>
  </w:num>
  <w:num w:numId="7" w16cid:durableId="1660116594">
    <w:abstractNumId w:val="1"/>
  </w:num>
  <w:num w:numId="8" w16cid:durableId="1576403721">
    <w:abstractNumId w:val="0"/>
  </w:num>
  <w:num w:numId="9" w16cid:durableId="2137288712">
    <w:abstractNumId w:val="9"/>
  </w:num>
  <w:num w:numId="10" w16cid:durableId="190456373">
    <w:abstractNumId w:val="7"/>
  </w:num>
  <w:num w:numId="11" w16cid:durableId="1877279360">
    <w:abstractNumId w:val="6"/>
  </w:num>
  <w:num w:numId="12" w16cid:durableId="1201816837">
    <w:abstractNumId w:val="5"/>
  </w:num>
  <w:num w:numId="13" w16cid:durableId="941839503">
    <w:abstractNumId w:val="4"/>
  </w:num>
  <w:num w:numId="14" w16cid:durableId="1059984291">
    <w:abstractNumId w:val="18"/>
  </w:num>
  <w:num w:numId="15" w16cid:durableId="1202061578">
    <w:abstractNumId w:val="18"/>
  </w:num>
  <w:num w:numId="16" w16cid:durableId="418521880">
    <w:abstractNumId w:val="18"/>
  </w:num>
  <w:num w:numId="17" w16cid:durableId="1385061267">
    <w:abstractNumId w:val="17"/>
  </w:num>
  <w:num w:numId="18" w16cid:durableId="666791512">
    <w:abstractNumId w:val="15"/>
  </w:num>
  <w:num w:numId="19" w16cid:durableId="453983667">
    <w:abstractNumId w:val="14"/>
  </w:num>
  <w:num w:numId="20" w16cid:durableId="735398025">
    <w:abstractNumId w:val="10"/>
  </w:num>
  <w:num w:numId="21" w16cid:durableId="1197963362">
    <w:abstractNumId w:val="19"/>
  </w:num>
  <w:num w:numId="22" w16cid:durableId="1531648181">
    <w:abstractNumId w:val="12"/>
  </w:num>
  <w:num w:numId="23" w16cid:durableId="239796524">
    <w:abstractNumId w:val="11"/>
  </w:num>
  <w:num w:numId="24" w16cid:durableId="1658799151">
    <w:abstractNumId w:val="15"/>
  </w:num>
  <w:num w:numId="25" w16cid:durableId="36004297">
    <w:abstractNumId w:val="15"/>
  </w:num>
  <w:num w:numId="26" w16cid:durableId="966593192">
    <w:abstractNumId w:val="13"/>
  </w:num>
  <w:num w:numId="27" w16cid:durableId="1969585897">
    <w:abstractNumId w:val="20"/>
  </w:num>
  <w:num w:numId="28" w16cid:durableId="602805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90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NBChoix" w:val="3"/>
    <w:docVar w:name="MotifJuge1" w:val="MOTIFS DU JUGE"/>
    <w:docVar w:name="MotifJuge2" w:val="MOTIFS DE LA JUGE"/>
    <w:docVar w:name="MotifJuge3" w:val="MOTIFS DE LA JUGE"/>
    <w:docVar w:name="NomFamJuge1" w:val="GAGNON"/>
    <w:docVar w:name="NomFamJuge2" w:val="GAGNÉ"/>
    <w:docVar w:name="NomFamJuge3" w:val="LAVALLÉE"/>
    <w:docVar w:name="NomFamJuge4" w:val="MAILHOT"/>
    <w:docVar w:name="NomFamJuge5" w:val="BAUDOUIN"/>
    <w:docVar w:name="QteJuge1" w:val=", J.C.A."/>
    <w:docVar w:name="QteJuge2" w:val=", J.C.A."/>
    <w:docVar w:name="QteJuge3" w:val=", J.C.A."/>
    <w:docVar w:name="stPremiereFois" w:val="Non"/>
  </w:docVars>
  <w:rsids>
    <w:rsidRoot w:val="003820B3"/>
    <w:rsid w:val="00001C5F"/>
    <w:rsid w:val="00004D75"/>
    <w:rsid w:val="000131E1"/>
    <w:rsid w:val="000135B4"/>
    <w:rsid w:val="00013B3D"/>
    <w:rsid w:val="0001704D"/>
    <w:rsid w:val="00020BBC"/>
    <w:rsid w:val="0002104C"/>
    <w:rsid w:val="00021C50"/>
    <w:rsid w:val="0002253C"/>
    <w:rsid w:val="0002329F"/>
    <w:rsid w:val="000250A9"/>
    <w:rsid w:val="00031AB6"/>
    <w:rsid w:val="000324D7"/>
    <w:rsid w:val="000336A5"/>
    <w:rsid w:val="00034C42"/>
    <w:rsid w:val="000353D8"/>
    <w:rsid w:val="00036C95"/>
    <w:rsid w:val="00037FD4"/>
    <w:rsid w:val="0004187B"/>
    <w:rsid w:val="00041C86"/>
    <w:rsid w:val="00043328"/>
    <w:rsid w:val="0004394C"/>
    <w:rsid w:val="00043DAE"/>
    <w:rsid w:val="0005319E"/>
    <w:rsid w:val="00053691"/>
    <w:rsid w:val="000543B2"/>
    <w:rsid w:val="00054F9D"/>
    <w:rsid w:val="00057636"/>
    <w:rsid w:val="00061F36"/>
    <w:rsid w:val="00064351"/>
    <w:rsid w:val="000701DC"/>
    <w:rsid w:val="000706E8"/>
    <w:rsid w:val="000742C1"/>
    <w:rsid w:val="00076573"/>
    <w:rsid w:val="000767CE"/>
    <w:rsid w:val="00076A59"/>
    <w:rsid w:val="0008285F"/>
    <w:rsid w:val="00083380"/>
    <w:rsid w:val="00090FEC"/>
    <w:rsid w:val="0009417F"/>
    <w:rsid w:val="0009652F"/>
    <w:rsid w:val="000A0303"/>
    <w:rsid w:val="000A5420"/>
    <w:rsid w:val="000A7516"/>
    <w:rsid w:val="000B2DC4"/>
    <w:rsid w:val="000B42AF"/>
    <w:rsid w:val="000B5226"/>
    <w:rsid w:val="000B5CB4"/>
    <w:rsid w:val="000B720D"/>
    <w:rsid w:val="000C0287"/>
    <w:rsid w:val="000C0A81"/>
    <w:rsid w:val="000C19EE"/>
    <w:rsid w:val="000C6613"/>
    <w:rsid w:val="000C69D3"/>
    <w:rsid w:val="000D02AE"/>
    <w:rsid w:val="000D12CF"/>
    <w:rsid w:val="000D35F3"/>
    <w:rsid w:val="000D4ACB"/>
    <w:rsid w:val="000D5A1A"/>
    <w:rsid w:val="000E0F5D"/>
    <w:rsid w:val="000E2485"/>
    <w:rsid w:val="000E7E11"/>
    <w:rsid w:val="00101D1D"/>
    <w:rsid w:val="00110B53"/>
    <w:rsid w:val="001110AC"/>
    <w:rsid w:val="00112263"/>
    <w:rsid w:val="00112321"/>
    <w:rsid w:val="00117914"/>
    <w:rsid w:val="00126B21"/>
    <w:rsid w:val="00126C09"/>
    <w:rsid w:val="00127D8B"/>
    <w:rsid w:val="00130176"/>
    <w:rsid w:val="0013028C"/>
    <w:rsid w:val="00130CF7"/>
    <w:rsid w:val="0013483A"/>
    <w:rsid w:val="0013585E"/>
    <w:rsid w:val="0014078E"/>
    <w:rsid w:val="001411F7"/>
    <w:rsid w:val="0014349E"/>
    <w:rsid w:val="00146CBE"/>
    <w:rsid w:val="001533FC"/>
    <w:rsid w:val="001552FB"/>
    <w:rsid w:val="0015610F"/>
    <w:rsid w:val="001604A6"/>
    <w:rsid w:val="00160B31"/>
    <w:rsid w:val="00163093"/>
    <w:rsid w:val="001633E0"/>
    <w:rsid w:val="00170559"/>
    <w:rsid w:val="00175CDF"/>
    <w:rsid w:val="00176308"/>
    <w:rsid w:val="00180F10"/>
    <w:rsid w:val="001818CA"/>
    <w:rsid w:val="00181F56"/>
    <w:rsid w:val="0018545B"/>
    <w:rsid w:val="001858EF"/>
    <w:rsid w:val="00186976"/>
    <w:rsid w:val="0019086D"/>
    <w:rsid w:val="00190FA7"/>
    <w:rsid w:val="00195835"/>
    <w:rsid w:val="00196671"/>
    <w:rsid w:val="00196B54"/>
    <w:rsid w:val="001972F2"/>
    <w:rsid w:val="001A16EB"/>
    <w:rsid w:val="001A557A"/>
    <w:rsid w:val="001A7867"/>
    <w:rsid w:val="001A7A17"/>
    <w:rsid w:val="001A7E50"/>
    <w:rsid w:val="001B72FF"/>
    <w:rsid w:val="001C04A4"/>
    <w:rsid w:val="001C0CC4"/>
    <w:rsid w:val="001C1EC0"/>
    <w:rsid w:val="001C331C"/>
    <w:rsid w:val="001C5F79"/>
    <w:rsid w:val="001C7DA1"/>
    <w:rsid w:val="001D0392"/>
    <w:rsid w:val="001D1D53"/>
    <w:rsid w:val="001D2B45"/>
    <w:rsid w:val="001D5526"/>
    <w:rsid w:val="001D5C8B"/>
    <w:rsid w:val="001D604D"/>
    <w:rsid w:val="001D6CD6"/>
    <w:rsid w:val="001D7F11"/>
    <w:rsid w:val="001E1DF4"/>
    <w:rsid w:val="001E2006"/>
    <w:rsid w:val="001E4E7C"/>
    <w:rsid w:val="001E50DE"/>
    <w:rsid w:val="001E6AA2"/>
    <w:rsid w:val="001E7AB1"/>
    <w:rsid w:val="001F09BB"/>
    <w:rsid w:val="001F118C"/>
    <w:rsid w:val="001F4A28"/>
    <w:rsid w:val="001F71EF"/>
    <w:rsid w:val="00200F24"/>
    <w:rsid w:val="00201276"/>
    <w:rsid w:val="0020387D"/>
    <w:rsid w:val="00204A85"/>
    <w:rsid w:val="002054AC"/>
    <w:rsid w:val="002056E3"/>
    <w:rsid w:val="00205DC4"/>
    <w:rsid w:val="00206BB0"/>
    <w:rsid w:val="00207BEA"/>
    <w:rsid w:val="0021313F"/>
    <w:rsid w:val="0021548E"/>
    <w:rsid w:val="00216C4B"/>
    <w:rsid w:val="00216E53"/>
    <w:rsid w:val="002174A3"/>
    <w:rsid w:val="00217A71"/>
    <w:rsid w:val="0022140A"/>
    <w:rsid w:val="00222512"/>
    <w:rsid w:val="00224E15"/>
    <w:rsid w:val="002273F5"/>
    <w:rsid w:val="00227AE2"/>
    <w:rsid w:val="00235D0F"/>
    <w:rsid w:val="00236A5D"/>
    <w:rsid w:val="002378D3"/>
    <w:rsid w:val="00240F1B"/>
    <w:rsid w:val="00251140"/>
    <w:rsid w:val="00253A14"/>
    <w:rsid w:val="00254B6B"/>
    <w:rsid w:val="00260AA8"/>
    <w:rsid w:val="002622F8"/>
    <w:rsid w:val="002626E7"/>
    <w:rsid w:val="00262CF4"/>
    <w:rsid w:val="0026366B"/>
    <w:rsid w:val="00266604"/>
    <w:rsid w:val="002702B8"/>
    <w:rsid w:val="00270BC4"/>
    <w:rsid w:val="00275A23"/>
    <w:rsid w:val="00276431"/>
    <w:rsid w:val="002817E8"/>
    <w:rsid w:val="0028286B"/>
    <w:rsid w:val="00285259"/>
    <w:rsid w:val="00286DFC"/>
    <w:rsid w:val="00287583"/>
    <w:rsid w:val="00287745"/>
    <w:rsid w:val="00287E14"/>
    <w:rsid w:val="00287EBA"/>
    <w:rsid w:val="00290A28"/>
    <w:rsid w:val="00296AB9"/>
    <w:rsid w:val="002A230F"/>
    <w:rsid w:val="002A3E19"/>
    <w:rsid w:val="002A55A7"/>
    <w:rsid w:val="002A5825"/>
    <w:rsid w:val="002A5D4E"/>
    <w:rsid w:val="002A629C"/>
    <w:rsid w:val="002B0C83"/>
    <w:rsid w:val="002B22AC"/>
    <w:rsid w:val="002B35F9"/>
    <w:rsid w:val="002B4A07"/>
    <w:rsid w:val="002B5A69"/>
    <w:rsid w:val="002B65E7"/>
    <w:rsid w:val="002C2BA5"/>
    <w:rsid w:val="002C4107"/>
    <w:rsid w:val="002C7A3A"/>
    <w:rsid w:val="002D0551"/>
    <w:rsid w:val="002D1252"/>
    <w:rsid w:val="002D19D4"/>
    <w:rsid w:val="002D1BB1"/>
    <w:rsid w:val="002D2DD4"/>
    <w:rsid w:val="002D479A"/>
    <w:rsid w:val="002D502C"/>
    <w:rsid w:val="002D605E"/>
    <w:rsid w:val="002D752C"/>
    <w:rsid w:val="002E1F0E"/>
    <w:rsid w:val="002E229C"/>
    <w:rsid w:val="002E4337"/>
    <w:rsid w:val="002E51F1"/>
    <w:rsid w:val="002E610F"/>
    <w:rsid w:val="002E7D32"/>
    <w:rsid w:val="002F1350"/>
    <w:rsid w:val="002F18A8"/>
    <w:rsid w:val="002F6136"/>
    <w:rsid w:val="002F6DB6"/>
    <w:rsid w:val="00302563"/>
    <w:rsid w:val="003026C9"/>
    <w:rsid w:val="00302AFC"/>
    <w:rsid w:val="00303369"/>
    <w:rsid w:val="00306D31"/>
    <w:rsid w:val="00312664"/>
    <w:rsid w:val="00313024"/>
    <w:rsid w:val="003145AC"/>
    <w:rsid w:val="0032132D"/>
    <w:rsid w:val="00321B3E"/>
    <w:rsid w:val="00322DE0"/>
    <w:rsid w:val="00323309"/>
    <w:rsid w:val="0032363D"/>
    <w:rsid w:val="003312FE"/>
    <w:rsid w:val="0033190E"/>
    <w:rsid w:val="00335A73"/>
    <w:rsid w:val="003403B4"/>
    <w:rsid w:val="0034446D"/>
    <w:rsid w:val="003461A1"/>
    <w:rsid w:val="0034720C"/>
    <w:rsid w:val="00350320"/>
    <w:rsid w:val="00352A51"/>
    <w:rsid w:val="003538A8"/>
    <w:rsid w:val="003551C0"/>
    <w:rsid w:val="00355C87"/>
    <w:rsid w:val="00361325"/>
    <w:rsid w:val="00365785"/>
    <w:rsid w:val="00370AF4"/>
    <w:rsid w:val="00370EBF"/>
    <w:rsid w:val="003740FF"/>
    <w:rsid w:val="00374888"/>
    <w:rsid w:val="00374E40"/>
    <w:rsid w:val="00377E96"/>
    <w:rsid w:val="00380D5A"/>
    <w:rsid w:val="003820B3"/>
    <w:rsid w:val="00387554"/>
    <w:rsid w:val="00391A84"/>
    <w:rsid w:val="003925B9"/>
    <w:rsid w:val="00394BC5"/>
    <w:rsid w:val="00395ADA"/>
    <w:rsid w:val="00396113"/>
    <w:rsid w:val="00396F85"/>
    <w:rsid w:val="00397C14"/>
    <w:rsid w:val="003A0156"/>
    <w:rsid w:val="003A2383"/>
    <w:rsid w:val="003A3218"/>
    <w:rsid w:val="003A7E31"/>
    <w:rsid w:val="003B0B7E"/>
    <w:rsid w:val="003B3ADC"/>
    <w:rsid w:val="003B5BCC"/>
    <w:rsid w:val="003B6281"/>
    <w:rsid w:val="003D02AC"/>
    <w:rsid w:val="003D0A0F"/>
    <w:rsid w:val="003D221F"/>
    <w:rsid w:val="003D2FBF"/>
    <w:rsid w:val="003D4423"/>
    <w:rsid w:val="003D463A"/>
    <w:rsid w:val="003D487D"/>
    <w:rsid w:val="003D533B"/>
    <w:rsid w:val="003D56B4"/>
    <w:rsid w:val="003D6D0B"/>
    <w:rsid w:val="003E09A6"/>
    <w:rsid w:val="003E1CF2"/>
    <w:rsid w:val="003E3239"/>
    <w:rsid w:val="003E3E3C"/>
    <w:rsid w:val="003F0895"/>
    <w:rsid w:val="003F140A"/>
    <w:rsid w:val="003F1F09"/>
    <w:rsid w:val="003F1F3E"/>
    <w:rsid w:val="003F2DB0"/>
    <w:rsid w:val="003F4909"/>
    <w:rsid w:val="004006B1"/>
    <w:rsid w:val="0040401B"/>
    <w:rsid w:val="004115FA"/>
    <w:rsid w:val="004136D6"/>
    <w:rsid w:val="00414158"/>
    <w:rsid w:val="0041656E"/>
    <w:rsid w:val="00417D61"/>
    <w:rsid w:val="00421DD1"/>
    <w:rsid w:val="00423DF1"/>
    <w:rsid w:val="00430C58"/>
    <w:rsid w:val="00430D4C"/>
    <w:rsid w:val="00430D8A"/>
    <w:rsid w:val="00432704"/>
    <w:rsid w:val="004331C4"/>
    <w:rsid w:val="0043564D"/>
    <w:rsid w:val="004357AF"/>
    <w:rsid w:val="00441C25"/>
    <w:rsid w:val="0044205A"/>
    <w:rsid w:val="0044455F"/>
    <w:rsid w:val="00446452"/>
    <w:rsid w:val="00446A6C"/>
    <w:rsid w:val="00454689"/>
    <w:rsid w:val="00457216"/>
    <w:rsid w:val="00462544"/>
    <w:rsid w:val="00462D4D"/>
    <w:rsid w:val="00463CC5"/>
    <w:rsid w:val="004706F6"/>
    <w:rsid w:val="004708E9"/>
    <w:rsid w:val="0047145E"/>
    <w:rsid w:val="00472DC8"/>
    <w:rsid w:val="00473998"/>
    <w:rsid w:val="00474AFA"/>
    <w:rsid w:val="004802EC"/>
    <w:rsid w:val="0048202C"/>
    <w:rsid w:val="00483865"/>
    <w:rsid w:val="0048446D"/>
    <w:rsid w:val="0049046F"/>
    <w:rsid w:val="00491607"/>
    <w:rsid w:val="0049276C"/>
    <w:rsid w:val="00492CC7"/>
    <w:rsid w:val="004A17E7"/>
    <w:rsid w:val="004A29F1"/>
    <w:rsid w:val="004A6090"/>
    <w:rsid w:val="004A6117"/>
    <w:rsid w:val="004A6641"/>
    <w:rsid w:val="004A6784"/>
    <w:rsid w:val="004A7DEC"/>
    <w:rsid w:val="004B1E94"/>
    <w:rsid w:val="004B3106"/>
    <w:rsid w:val="004B33FF"/>
    <w:rsid w:val="004B5843"/>
    <w:rsid w:val="004B6F1B"/>
    <w:rsid w:val="004B76B2"/>
    <w:rsid w:val="004C07B5"/>
    <w:rsid w:val="004C0B7B"/>
    <w:rsid w:val="004C2ADF"/>
    <w:rsid w:val="004C3D08"/>
    <w:rsid w:val="004C537B"/>
    <w:rsid w:val="004C6214"/>
    <w:rsid w:val="004C7520"/>
    <w:rsid w:val="004D2F69"/>
    <w:rsid w:val="004D4050"/>
    <w:rsid w:val="004D4CCF"/>
    <w:rsid w:val="004D4EF3"/>
    <w:rsid w:val="004D6DE8"/>
    <w:rsid w:val="004D6F86"/>
    <w:rsid w:val="004E0465"/>
    <w:rsid w:val="004E1065"/>
    <w:rsid w:val="004E2292"/>
    <w:rsid w:val="004E33DD"/>
    <w:rsid w:val="004E4FBA"/>
    <w:rsid w:val="004E69FA"/>
    <w:rsid w:val="004F3914"/>
    <w:rsid w:val="005077C6"/>
    <w:rsid w:val="00507B8A"/>
    <w:rsid w:val="00512BDC"/>
    <w:rsid w:val="005131F1"/>
    <w:rsid w:val="00513547"/>
    <w:rsid w:val="00513868"/>
    <w:rsid w:val="0051484F"/>
    <w:rsid w:val="00516B3E"/>
    <w:rsid w:val="00520F5E"/>
    <w:rsid w:val="00521C1F"/>
    <w:rsid w:val="0052441D"/>
    <w:rsid w:val="0052450A"/>
    <w:rsid w:val="00525DC9"/>
    <w:rsid w:val="005262C9"/>
    <w:rsid w:val="00526415"/>
    <w:rsid w:val="00530FE1"/>
    <w:rsid w:val="00531D4E"/>
    <w:rsid w:val="00531D70"/>
    <w:rsid w:val="0053237A"/>
    <w:rsid w:val="0053318F"/>
    <w:rsid w:val="00533457"/>
    <w:rsid w:val="00534ECF"/>
    <w:rsid w:val="00534FBF"/>
    <w:rsid w:val="005367C7"/>
    <w:rsid w:val="00544E72"/>
    <w:rsid w:val="00551E30"/>
    <w:rsid w:val="0055281C"/>
    <w:rsid w:val="0055323A"/>
    <w:rsid w:val="0055792C"/>
    <w:rsid w:val="00566BF6"/>
    <w:rsid w:val="00570741"/>
    <w:rsid w:val="00571089"/>
    <w:rsid w:val="0057294C"/>
    <w:rsid w:val="00573E8A"/>
    <w:rsid w:val="00573F80"/>
    <w:rsid w:val="00574EC2"/>
    <w:rsid w:val="0057597E"/>
    <w:rsid w:val="00577B0B"/>
    <w:rsid w:val="00580BE7"/>
    <w:rsid w:val="005814FE"/>
    <w:rsid w:val="00583434"/>
    <w:rsid w:val="0058349F"/>
    <w:rsid w:val="00586B3B"/>
    <w:rsid w:val="00586FD8"/>
    <w:rsid w:val="0059025B"/>
    <w:rsid w:val="005905AF"/>
    <w:rsid w:val="0059648B"/>
    <w:rsid w:val="005A1E85"/>
    <w:rsid w:val="005A5FB9"/>
    <w:rsid w:val="005A7652"/>
    <w:rsid w:val="005A78BF"/>
    <w:rsid w:val="005B2804"/>
    <w:rsid w:val="005B2C93"/>
    <w:rsid w:val="005B3AFA"/>
    <w:rsid w:val="005B5145"/>
    <w:rsid w:val="005B6B4C"/>
    <w:rsid w:val="005C2DE6"/>
    <w:rsid w:val="005C456E"/>
    <w:rsid w:val="005C558A"/>
    <w:rsid w:val="005C7516"/>
    <w:rsid w:val="005D1522"/>
    <w:rsid w:val="005D3471"/>
    <w:rsid w:val="005D5312"/>
    <w:rsid w:val="005D6329"/>
    <w:rsid w:val="005E079D"/>
    <w:rsid w:val="005E1F84"/>
    <w:rsid w:val="005E3BD2"/>
    <w:rsid w:val="005E4A4F"/>
    <w:rsid w:val="005E5090"/>
    <w:rsid w:val="005F19DE"/>
    <w:rsid w:val="005F5F5F"/>
    <w:rsid w:val="005F71A8"/>
    <w:rsid w:val="005F7E11"/>
    <w:rsid w:val="00602956"/>
    <w:rsid w:val="00603982"/>
    <w:rsid w:val="00603FF6"/>
    <w:rsid w:val="00605ACD"/>
    <w:rsid w:val="0061051B"/>
    <w:rsid w:val="00610EC1"/>
    <w:rsid w:val="006134AB"/>
    <w:rsid w:val="0061464A"/>
    <w:rsid w:val="00621386"/>
    <w:rsid w:val="00624770"/>
    <w:rsid w:val="00626ABF"/>
    <w:rsid w:val="0063422F"/>
    <w:rsid w:val="006358BA"/>
    <w:rsid w:val="006377E0"/>
    <w:rsid w:val="0064250B"/>
    <w:rsid w:val="006436F9"/>
    <w:rsid w:val="00644722"/>
    <w:rsid w:val="00646391"/>
    <w:rsid w:val="006479BE"/>
    <w:rsid w:val="00647BAD"/>
    <w:rsid w:val="00652A29"/>
    <w:rsid w:val="006532C4"/>
    <w:rsid w:val="00654A25"/>
    <w:rsid w:val="00654C02"/>
    <w:rsid w:val="00655B82"/>
    <w:rsid w:val="0066163B"/>
    <w:rsid w:val="006617E7"/>
    <w:rsid w:val="006624E3"/>
    <w:rsid w:val="00664213"/>
    <w:rsid w:val="0066599F"/>
    <w:rsid w:val="00666FA2"/>
    <w:rsid w:val="006678A8"/>
    <w:rsid w:val="0067087D"/>
    <w:rsid w:val="006712AD"/>
    <w:rsid w:val="006756FE"/>
    <w:rsid w:val="00675B0D"/>
    <w:rsid w:val="00680974"/>
    <w:rsid w:val="00681D7F"/>
    <w:rsid w:val="006826AA"/>
    <w:rsid w:val="0068356A"/>
    <w:rsid w:val="00685321"/>
    <w:rsid w:val="00685B40"/>
    <w:rsid w:val="006860B0"/>
    <w:rsid w:val="006861AA"/>
    <w:rsid w:val="0068684C"/>
    <w:rsid w:val="00686D61"/>
    <w:rsid w:val="006874C9"/>
    <w:rsid w:val="00692C67"/>
    <w:rsid w:val="006952C5"/>
    <w:rsid w:val="006A0DB0"/>
    <w:rsid w:val="006A2F3B"/>
    <w:rsid w:val="006A4D0E"/>
    <w:rsid w:val="006A5BE5"/>
    <w:rsid w:val="006A6629"/>
    <w:rsid w:val="006A6B3F"/>
    <w:rsid w:val="006B006D"/>
    <w:rsid w:val="006B27C9"/>
    <w:rsid w:val="006B47FC"/>
    <w:rsid w:val="006B5D17"/>
    <w:rsid w:val="006B792C"/>
    <w:rsid w:val="006C4700"/>
    <w:rsid w:val="006C4785"/>
    <w:rsid w:val="006C65E1"/>
    <w:rsid w:val="006C67AC"/>
    <w:rsid w:val="006C6A68"/>
    <w:rsid w:val="006D1FD6"/>
    <w:rsid w:val="006D6787"/>
    <w:rsid w:val="006E0313"/>
    <w:rsid w:val="006E0846"/>
    <w:rsid w:val="006E3014"/>
    <w:rsid w:val="006E725C"/>
    <w:rsid w:val="006E7EB9"/>
    <w:rsid w:val="006E7F40"/>
    <w:rsid w:val="006F1488"/>
    <w:rsid w:val="006F310B"/>
    <w:rsid w:val="006F3B86"/>
    <w:rsid w:val="006F4132"/>
    <w:rsid w:val="006F44CF"/>
    <w:rsid w:val="006F7A26"/>
    <w:rsid w:val="007075A2"/>
    <w:rsid w:val="007103A4"/>
    <w:rsid w:val="00714354"/>
    <w:rsid w:val="00715EEC"/>
    <w:rsid w:val="00717A7A"/>
    <w:rsid w:val="00720C50"/>
    <w:rsid w:val="00722001"/>
    <w:rsid w:val="00726E29"/>
    <w:rsid w:val="007279C7"/>
    <w:rsid w:val="00731364"/>
    <w:rsid w:val="007322FA"/>
    <w:rsid w:val="00732536"/>
    <w:rsid w:val="00733E40"/>
    <w:rsid w:val="00734038"/>
    <w:rsid w:val="00740A17"/>
    <w:rsid w:val="00741E50"/>
    <w:rsid w:val="00743B2D"/>
    <w:rsid w:val="0074516E"/>
    <w:rsid w:val="007462D6"/>
    <w:rsid w:val="0074738B"/>
    <w:rsid w:val="0075253A"/>
    <w:rsid w:val="00753AAF"/>
    <w:rsid w:val="00755C74"/>
    <w:rsid w:val="00756943"/>
    <w:rsid w:val="007601BF"/>
    <w:rsid w:val="0076062E"/>
    <w:rsid w:val="00767862"/>
    <w:rsid w:val="007704DB"/>
    <w:rsid w:val="00774497"/>
    <w:rsid w:val="007749B5"/>
    <w:rsid w:val="00775E0E"/>
    <w:rsid w:val="0077673E"/>
    <w:rsid w:val="00777A21"/>
    <w:rsid w:val="00782002"/>
    <w:rsid w:val="0078639E"/>
    <w:rsid w:val="007879BB"/>
    <w:rsid w:val="00792146"/>
    <w:rsid w:val="007939D3"/>
    <w:rsid w:val="00794CEB"/>
    <w:rsid w:val="007953F3"/>
    <w:rsid w:val="00797B9B"/>
    <w:rsid w:val="007A0AA7"/>
    <w:rsid w:val="007A1736"/>
    <w:rsid w:val="007A2363"/>
    <w:rsid w:val="007A6F16"/>
    <w:rsid w:val="007A7803"/>
    <w:rsid w:val="007B061E"/>
    <w:rsid w:val="007B087E"/>
    <w:rsid w:val="007B20B9"/>
    <w:rsid w:val="007B3AE8"/>
    <w:rsid w:val="007B48D5"/>
    <w:rsid w:val="007C0D5C"/>
    <w:rsid w:val="007C1BFD"/>
    <w:rsid w:val="007C525C"/>
    <w:rsid w:val="007C6DB3"/>
    <w:rsid w:val="007C70EF"/>
    <w:rsid w:val="007D087C"/>
    <w:rsid w:val="007D3B1A"/>
    <w:rsid w:val="007D4A37"/>
    <w:rsid w:val="007D5CAE"/>
    <w:rsid w:val="007E0428"/>
    <w:rsid w:val="007E33E4"/>
    <w:rsid w:val="007E4CC9"/>
    <w:rsid w:val="007F0FAA"/>
    <w:rsid w:val="007F7196"/>
    <w:rsid w:val="008009E3"/>
    <w:rsid w:val="00800D23"/>
    <w:rsid w:val="00810948"/>
    <w:rsid w:val="00810F57"/>
    <w:rsid w:val="00812439"/>
    <w:rsid w:val="00813157"/>
    <w:rsid w:val="00814C7D"/>
    <w:rsid w:val="00816273"/>
    <w:rsid w:val="00821AE4"/>
    <w:rsid w:val="00821D9D"/>
    <w:rsid w:val="0082717B"/>
    <w:rsid w:val="00827B04"/>
    <w:rsid w:val="00827FF1"/>
    <w:rsid w:val="0083032E"/>
    <w:rsid w:val="008313E6"/>
    <w:rsid w:val="0083193C"/>
    <w:rsid w:val="00833C46"/>
    <w:rsid w:val="00837115"/>
    <w:rsid w:val="0084024C"/>
    <w:rsid w:val="00841907"/>
    <w:rsid w:val="0084401E"/>
    <w:rsid w:val="00846698"/>
    <w:rsid w:val="008513A4"/>
    <w:rsid w:val="0085161F"/>
    <w:rsid w:val="008517C4"/>
    <w:rsid w:val="00853D8E"/>
    <w:rsid w:val="00854230"/>
    <w:rsid w:val="00855559"/>
    <w:rsid w:val="00856655"/>
    <w:rsid w:val="0086036A"/>
    <w:rsid w:val="00864EDF"/>
    <w:rsid w:val="008653A3"/>
    <w:rsid w:val="008657A2"/>
    <w:rsid w:val="00866645"/>
    <w:rsid w:val="00866FF1"/>
    <w:rsid w:val="0087676D"/>
    <w:rsid w:val="00882210"/>
    <w:rsid w:val="00882281"/>
    <w:rsid w:val="00887D91"/>
    <w:rsid w:val="00893CBD"/>
    <w:rsid w:val="0089492E"/>
    <w:rsid w:val="00897296"/>
    <w:rsid w:val="008A1967"/>
    <w:rsid w:val="008A3DD8"/>
    <w:rsid w:val="008A6185"/>
    <w:rsid w:val="008B2825"/>
    <w:rsid w:val="008B6D46"/>
    <w:rsid w:val="008B79D4"/>
    <w:rsid w:val="008C0F78"/>
    <w:rsid w:val="008C1FE9"/>
    <w:rsid w:val="008C3F40"/>
    <w:rsid w:val="008C4B58"/>
    <w:rsid w:val="008C50D4"/>
    <w:rsid w:val="008C732A"/>
    <w:rsid w:val="008C7DCE"/>
    <w:rsid w:val="008D0CCA"/>
    <w:rsid w:val="008D18FC"/>
    <w:rsid w:val="008D398B"/>
    <w:rsid w:val="008D4704"/>
    <w:rsid w:val="008D4858"/>
    <w:rsid w:val="008D6350"/>
    <w:rsid w:val="008D7E49"/>
    <w:rsid w:val="008E33E9"/>
    <w:rsid w:val="008F0838"/>
    <w:rsid w:val="008F252A"/>
    <w:rsid w:val="008F2AFD"/>
    <w:rsid w:val="008F364A"/>
    <w:rsid w:val="008F3F53"/>
    <w:rsid w:val="008F4C76"/>
    <w:rsid w:val="008F7B05"/>
    <w:rsid w:val="009004DD"/>
    <w:rsid w:val="00900AD2"/>
    <w:rsid w:val="00903AF9"/>
    <w:rsid w:val="00905550"/>
    <w:rsid w:val="0090566C"/>
    <w:rsid w:val="00907130"/>
    <w:rsid w:val="00907A5E"/>
    <w:rsid w:val="0091180B"/>
    <w:rsid w:val="00913CFE"/>
    <w:rsid w:val="00913E03"/>
    <w:rsid w:val="009157E4"/>
    <w:rsid w:val="00917A6A"/>
    <w:rsid w:val="00921C95"/>
    <w:rsid w:val="009229E9"/>
    <w:rsid w:val="0092686C"/>
    <w:rsid w:val="00926953"/>
    <w:rsid w:val="009272CF"/>
    <w:rsid w:val="009315E7"/>
    <w:rsid w:val="0093219A"/>
    <w:rsid w:val="00932703"/>
    <w:rsid w:val="00933C61"/>
    <w:rsid w:val="00934535"/>
    <w:rsid w:val="00934CA7"/>
    <w:rsid w:val="00934F89"/>
    <w:rsid w:val="00936469"/>
    <w:rsid w:val="009400B7"/>
    <w:rsid w:val="00941B7F"/>
    <w:rsid w:val="009508C4"/>
    <w:rsid w:val="0095266B"/>
    <w:rsid w:val="00954DC2"/>
    <w:rsid w:val="00954F1D"/>
    <w:rsid w:val="00957B92"/>
    <w:rsid w:val="00961E0B"/>
    <w:rsid w:val="00962F51"/>
    <w:rsid w:val="00970966"/>
    <w:rsid w:val="00970BB7"/>
    <w:rsid w:val="00974442"/>
    <w:rsid w:val="00974599"/>
    <w:rsid w:val="009768E9"/>
    <w:rsid w:val="00980CF6"/>
    <w:rsid w:val="009819CA"/>
    <w:rsid w:val="00981AB0"/>
    <w:rsid w:val="00982E14"/>
    <w:rsid w:val="0098368F"/>
    <w:rsid w:val="00983A92"/>
    <w:rsid w:val="00984A84"/>
    <w:rsid w:val="00990D58"/>
    <w:rsid w:val="009923C6"/>
    <w:rsid w:val="00992CD0"/>
    <w:rsid w:val="009B41E2"/>
    <w:rsid w:val="009B490A"/>
    <w:rsid w:val="009B4931"/>
    <w:rsid w:val="009C25AC"/>
    <w:rsid w:val="009C5A19"/>
    <w:rsid w:val="009C65A5"/>
    <w:rsid w:val="009D1D2B"/>
    <w:rsid w:val="009D2C37"/>
    <w:rsid w:val="009D3C39"/>
    <w:rsid w:val="009D4C14"/>
    <w:rsid w:val="009D5E89"/>
    <w:rsid w:val="009E3E5F"/>
    <w:rsid w:val="009E7864"/>
    <w:rsid w:val="009F155F"/>
    <w:rsid w:val="009F190E"/>
    <w:rsid w:val="009F1F69"/>
    <w:rsid w:val="009F322C"/>
    <w:rsid w:val="009F3F26"/>
    <w:rsid w:val="009F4094"/>
    <w:rsid w:val="009F429B"/>
    <w:rsid w:val="009F57D5"/>
    <w:rsid w:val="00A00F4C"/>
    <w:rsid w:val="00A03B2A"/>
    <w:rsid w:val="00A0445A"/>
    <w:rsid w:val="00A046BC"/>
    <w:rsid w:val="00A05756"/>
    <w:rsid w:val="00A07C30"/>
    <w:rsid w:val="00A167AC"/>
    <w:rsid w:val="00A22765"/>
    <w:rsid w:val="00A23BF4"/>
    <w:rsid w:val="00A2593B"/>
    <w:rsid w:val="00A2646D"/>
    <w:rsid w:val="00A2655D"/>
    <w:rsid w:val="00A309B4"/>
    <w:rsid w:val="00A3255C"/>
    <w:rsid w:val="00A344AA"/>
    <w:rsid w:val="00A34E05"/>
    <w:rsid w:val="00A36BD9"/>
    <w:rsid w:val="00A40503"/>
    <w:rsid w:val="00A40FEB"/>
    <w:rsid w:val="00A43D8B"/>
    <w:rsid w:val="00A44D3A"/>
    <w:rsid w:val="00A454F1"/>
    <w:rsid w:val="00A528D3"/>
    <w:rsid w:val="00A53A00"/>
    <w:rsid w:val="00A543CC"/>
    <w:rsid w:val="00A550D0"/>
    <w:rsid w:val="00A5741E"/>
    <w:rsid w:val="00A60857"/>
    <w:rsid w:val="00A6146A"/>
    <w:rsid w:val="00A640E2"/>
    <w:rsid w:val="00A64CAA"/>
    <w:rsid w:val="00A656D6"/>
    <w:rsid w:val="00A7307C"/>
    <w:rsid w:val="00A74EF9"/>
    <w:rsid w:val="00A75419"/>
    <w:rsid w:val="00A803E5"/>
    <w:rsid w:val="00A83985"/>
    <w:rsid w:val="00A85C4A"/>
    <w:rsid w:val="00A911D7"/>
    <w:rsid w:val="00A92B54"/>
    <w:rsid w:val="00A93CFF"/>
    <w:rsid w:val="00A94578"/>
    <w:rsid w:val="00A9490B"/>
    <w:rsid w:val="00AA4610"/>
    <w:rsid w:val="00AA5F04"/>
    <w:rsid w:val="00AB05F7"/>
    <w:rsid w:val="00AB349B"/>
    <w:rsid w:val="00AB3C70"/>
    <w:rsid w:val="00AB62BA"/>
    <w:rsid w:val="00AB7DD2"/>
    <w:rsid w:val="00AC1041"/>
    <w:rsid w:val="00AC13C1"/>
    <w:rsid w:val="00AC26FF"/>
    <w:rsid w:val="00AC66F7"/>
    <w:rsid w:val="00AD3689"/>
    <w:rsid w:val="00AD62C5"/>
    <w:rsid w:val="00AE11C3"/>
    <w:rsid w:val="00AE12C5"/>
    <w:rsid w:val="00AE1E5A"/>
    <w:rsid w:val="00AE6731"/>
    <w:rsid w:val="00AF0C7C"/>
    <w:rsid w:val="00AF1FC9"/>
    <w:rsid w:val="00AF357C"/>
    <w:rsid w:val="00AF5D65"/>
    <w:rsid w:val="00B01D86"/>
    <w:rsid w:val="00B02526"/>
    <w:rsid w:val="00B02E9B"/>
    <w:rsid w:val="00B0362C"/>
    <w:rsid w:val="00B045A5"/>
    <w:rsid w:val="00B05ED9"/>
    <w:rsid w:val="00B07E4E"/>
    <w:rsid w:val="00B10F0F"/>
    <w:rsid w:val="00B116D2"/>
    <w:rsid w:val="00B11B3B"/>
    <w:rsid w:val="00B11D1D"/>
    <w:rsid w:val="00B11FD1"/>
    <w:rsid w:val="00B120DB"/>
    <w:rsid w:val="00B137E9"/>
    <w:rsid w:val="00B20892"/>
    <w:rsid w:val="00B22345"/>
    <w:rsid w:val="00B234F9"/>
    <w:rsid w:val="00B26543"/>
    <w:rsid w:val="00B266D8"/>
    <w:rsid w:val="00B2752F"/>
    <w:rsid w:val="00B278B3"/>
    <w:rsid w:val="00B3082E"/>
    <w:rsid w:val="00B30EA2"/>
    <w:rsid w:val="00B30F06"/>
    <w:rsid w:val="00B358C2"/>
    <w:rsid w:val="00B369B5"/>
    <w:rsid w:val="00B36ED3"/>
    <w:rsid w:val="00B4294C"/>
    <w:rsid w:val="00B435EE"/>
    <w:rsid w:val="00B445FE"/>
    <w:rsid w:val="00B46323"/>
    <w:rsid w:val="00B46764"/>
    <w:rsid w:val="00B50A6D"/>
    <w:rsid w:val="00B513C9"/>
    <w:rsid w:val="00B5585B"/>
    <w:rsid w:val="00B569F4"/>
    <w:rsid w:val="00B56EF4"/>
    <w:rsid w:val="00B57A5D"/>
    <w:rsid w:val="00B61774"/>
    <w:rsid w:val="00B63D68"/>
    <w:rsid w:val="00B642C5"/>
    <w:rsid w:val="00B70485"/>
    <w:rsid w:val="00B72782"/>
    <w:rsid w:val="00B73F08"/>
    <w:rsid w:val="00B7466C"/>
    <w:rsid w:val="00B75949"/>
    <w:rsid w:val="00B76008"/>
    <w:rsid w:val="00B80C00"/>
    <w:rsid w:val="00B81652"/>
    <w:rsid w:val="00B8175F"/>
    <w:rsid w:val="00B8180A"/>
    <w:rsid w:val="00B82A13"/>
    <w:rsid w:val="00B84D15"/>
    <w:rsid w:val="00B862CD"/>
    <w:rsid w:val="00B87AF1"/>
    <w:rsid w:val="00B90CA4"/>
    <w:rsid w:val="00B9720B"/>
    <w:rsid w:val="00BA31E2"/>
    <w:rsid w:val="00BA382B"/>
    <w:rsid w:val="00BA45D1"/>
    <w:rsid w:val="00BA77AE"/>
    <w:rsid w:val="00BA7E17"/>
    <w:rsid w:val="00BB2094"/>
    <w:rsid w:val="00BB2AAA"/>
    <w:rsid w:val="00BB35FD"/>
    <w:rsid w:val="00BB7F8D"/>
    <w:rsid w:val="00BC33E0"/>
    <w:rsid w:val="00BC3DB8"/>
    <w:rsid w:val="00BC4A84"/>
    <w:rsid w:val="00BC5CA2"/>
    <w:rsid w:val="00BC6A6B"/>
    <w:rsid w:val="00BC7D8D"/>
    <w:rsid w:val="00BD0B72"/>
    <w:rsid w:val="00BD4CE2"/>
    <w:rsid w:val="00BD54A6"/>
    <w:rsid w:val="00BD7E7C"/>
    <w:rsid w:val="00BE08ED"/>
    <w:rsid w:val="00BF230D"/>
    <w:rsid w:val="00BF24CC"/>
    <w:rsid w:val="00C02AF8"/>
    <w:rsid w:val="00C03C0E"/>
    <w:rsid w:val="00C07B37"/>
    <w:rsid w:val="00C1050A"/>
    <w:rsid w:val="00C13791"/>
    <w:rsid w:val="00C1488E"/>
    <w:rsid w:val="00C14BC5"/>
    <w:rsid w:val="00C16D46"/>
    <w:rsid w:val="00C17E01"/>
    <w:rsid w:val="00C201E9"/>
    <w:rsid w:val="00C2324B"/>
    <w:rsid w:val="00C24AB3"/>
    <w:rsid w:val="00C27609"/>
    <w:rsid w:val="00C30FA8"/>
    <w:rsid w:val="00C31AC4"/>
    <w:rsid w:val="00C325EE"/>
    <w:rsid w:val="00C33BB0"/>
    <w:rsid w:val="00C36030"/>
    <w:rsid w:val="00C360FB"/>
    <w:rsid w:val="00C409BE"/>
    <w:rsid w:val="00C423CA"/>
    <w:rsid w:val="00C426A2"/>
    <w:rsid w:val="00C430FC"/>
    <w:rsid w:val="00C44FE8"/>
    <w:rsid w:val="00C46A12"/>
    <w:rsid w:val="00C47CB5"/>
    <w:rsid w:val="00C51347"/>
    <w:rsid w:val="00C52B61"/>
    <w:rsid w:val="00C57126"/>
    <w:rsid w:val="00C57AF5"/>
    <w:rsid w:val="00C614AE"/>
    <w:rsid w:val="00C62951"/>
    <w:rsid w:val="00C64403"/>
    <w:rsid w:val="00C652ED"/>
    <w:rsid w:val="00C7243B"/>
    <w:rsid w:val="00C73CB2"/>
    <w:rsid w:val="00C753FD"/>
    <w:rsid w:val="00C775C9"/>
    <w:rsid w:val="00C7793C"/>
    <w:rsid w:val="00C83374"/>
    <w:rsid w:val="00C85CBA"/>
    <w:rsid w:val="00C86597"/>
    <w:rsid w:val="00C87DC9"/>
    <w:rsid w:val="00C903A8"/>
    <w:rsid w:val="00C90847"/>
    <w:rsid w:val="00C935F4"/>
    <w:rsid w:val="00C939A8"/>
    <w:rsid w:val="00C93BBE"/>
    <w:rsid w:val="00C97145"/>
    <w:rsid w:val="00CA1501"/>
    <w:rsid w:val="00CA1BAC"/>
    <w:rsid w:val="00CA3864"/>
    <w:rsid w:val="00CA52A6"/>
    <w:rsid w:val="00CB2E44"/>
    <w:rsid w:val="00CB3B30"/>
    <w:rsid w:val="00CC29EE"/>
    <w:rsid w:val="00CC317D"/>
    <w:rsid w:val="00CC4055"/>
    <w:rsid w:val="00CC68BF"/>
    <w:rsid w:val="00CC7941"/>
    <w:rsid w:val="00CD01C6"/>
    <w:rsid w:val="00CD5011"/>
    <w:rsid w:val="00CE2DF1"/>
    <w:rsid w:val="00CE407D"/>
    <w:rsid w:val="00CE4CB3"/>
    <w:rsid w:val="00CE53D4"/>
    <w:rsid w:val="00CE6E1F"/>
    <w:rsid w:val="00CF0A3B"/>
    <w:rsid w:val="00CF2BB4"/>
    <w:rsid w:val="00CF7070"/>
    <w:rsid w:val="00D010FD"/>
    <w:rsid w:val="00D02812"/>
    <w:rsid w:val="00D03E4D"/>
    <w:rsid w:val="00D05CDD"/>
    <w:rsid w:val="00D1178F"/>
    <w:rsid w:val="00D13547"/>
    <w:rsid w:val="00D152C1"/>
    <w:rsid w:val="00D1537D"/>
    <w:rsid w:val="00D1637D"/>
    <w:rsid w:val="00D16BF6"/>
    <w:rsid w:val="00D20056"/>
    <w:rsid w:val="00D20559"/>
    <w:rsid w:val="00D206BA"/>
    <w:rsid w:val="00D21E26"/>
    <w:rsid w:val="00D22E85"/>
    <w:rsid w:val="00D27704"/>
    <w:rsid w:val="00D337F3"/>
    <w:rsid w:val="00D36631"/>
    <w:rsid w:val="00D405C9"/>
    <w:rsid w:val="00D466CE"/>
    <w:rsid w:val="00D4761F"/>
    <w:rsid w:val="00D5099F"/>
    <w:rsid w:val="00D51234"/>
    <w:rsid w:val="00D51C64"/>
    <w:rsid w:val="00D543EA"/>
    <w:rsid w:val="00D54688"/>
    <w:rsid w:val="00D572BB"/>
    <w:rsid w:val="00D6147D"/>
    <w:rsid w:val="00D63219"/>
    <w:rsid w:val="00D63D0F"/>
    <w:rsid w:val="00D65794"/>
    <w:rsid w:val="00D66DB6"/>
    <w:rsid w:val="00D67F38"/>
    <w:rsid w:val="00D72840"/>
    <w:rsid w:val="00D72915"/>
    <w:rsid w:val="00D7457F"/>
    <w:rsid w:val="00D761DC"/>
    <w:rsid w:val="00D81878"/>
    <w:rsid w:val="00D825A0"/>
    <w:rsid w:val="00D83A37"/>
    <w:rsid w:val="00D848E3"/>
    <w:rsid w:val="00D85889"/>
    <w:rsid w:val="00D8736D"/>
    <w:rsid w:val="00D90D8D"/>
    <w:rsid w:val="00D92B7F"/>
    <w:rsid w:val="00D959CE"/>
    <w:rsid w:val="00D96172"/>
    <w:rsid w:val="00DA1943"/>
    <w:rsid w:val="00DA2554"/>
    <w:rsid w:val="00DA3008"/>
    <w:rsid w:val="00DA4135"/>
    <w:rsid w:val="00DA5F0E"/>
    <w:rsid w:val="00DA78BB"/>
    <w:rsid w:val="00DA7ED3"/>
    <w:rsid w:val="00DB0A7A"/>
    <w:rsid w:val="00DB1561"/>
    <w:rsid w:val="00DB2119"/>
    <w:rsid w:val="00DB4BE2"/>
    <w:rsid w:val="00DB537E"/>
    <w:rsid w:val="00DB5A90"/>
    <w:rsid w:val="00DB7CA8"/>
    <w:rsid w:val="00DC05BC"/>
    <w:rsid w:val="00DC5A43"/>
    <w:rsid w:val="00DD3A24"/>
    <w:rsid w:val="00DD3A99"/>
    <w:rsid w:val="00DD54CD"/>
    <w:rsid w:val="00DD6FB8"/>
    <w:rsid w:val="00DD7734"/>
    <w:rsid w:val="00DE7448"/>
    <w:rsid w:val="00DF18FC"/>
    <w:rsid w:val="00DF3516"/>
    <w:rsid w:val="00DF3B8E"/>
    <w:rsid w:val="00E03C07"/>
    <w:rsid w:val="00E05745"/>
    <w:rsid w:val="00E05F86"/>
    <w:rsid w:val="00E07308"/>
    <w:rsid w:val="00E156BB"/>
    <w:rsid w:val="00E209CC"/>
    <w:rsid w:val="00E20E3C"/>
    <w:rsid w:val="00E22BFC"/>
    <w:rsid w:val="00E22C2A"/>
    <w:rsid w:val="00E237BD"/>
    <w:rsid w:val="00E23948"/>
    <w:rsid w:val="00E27165"/>
    <w:rsid w:val="00E35210"/>
    <w:rsid w:val="00E36290"/>
    <w:rsid w:val="00E416BB"/>
    <w:rsid w:val="00E45429"/>
    <w:rsid w:val="00E468B4"/>
    <w:rsid w:val="00E46A48"/>
    <w:rsid w:val="00E50161"/>
    <w:rsid w:val="00E51F26"/>
    <w:rsid w:val="00E6082B"/>
    <w:rsid w:val="00E63A57"/>
    <w:rsid w:val="00E648BF"/>
    <w:rsid w:val="00E6593C"/>
    <w:rsid w:val="00E70F54"/>
    <w:rsid w:val="00E71C64"/>
    <w:rsid w:val="00E722AE"/>
    <w:rsid w:val="00E743BC"/>
    <w:rsid w:val="00E77BB3"/>
    <w:rsid w:val="00E8163E"/>
    <w:rsid w:val="00E81E61"/>
    <w:rsid w:val="00E83314"/>
    <w:rsid w:val="00E848B4"/>
    <w:rsid w:val="00E91417"/>
    <w:rsid w:val="00E91FDF"/>
    <w:rsid w:val="00E92B85"/>
    <w:rsid w:val="00E93980"/>
    <w:rsid w:val="00E94329"/>
    <w:rsid w:val="00E95DCD"/>
    <w:rsid w:val="00EA0D34"/>
    <w:rsid w:val="00EA478E"/>
    <w:rsid w:val="00EA57D9"/>
    <w:rsid w:val="00EA6C3E"/>
    <w:rsid w:val="00EA7F36"/>
    <w:rsid w:val="00EB1377"/>
    <w:rsid w:val="00EB43DB"/>
    <w:rsid w:val="00EB75EC"/>
    <w:rsid w:val="00EB78D1"/>
    <w:rsid w:val="00EB7DAA"/>
    <w:rsid w:val="00EC1E33"/>
    <w:rsid w:val="00EC2844"/>
    <w:rsid w:val="00EC6E85"/>
    <w:rsid w:val="00ED0EF2"/>
    <w:rsid w:val="00ED177F"/>
    <w:rsid w:val="00ED28FC"/>
    <w:rsid w:val="00ED7854"/>
    <w:rsid w:val="00EE03D1"/>
    <w:rsid w:val="00EE0641"/>
    <w:rsid w:val="00EE0C46"/>
    <w:rsid w:val="00EF07C7"/>
    <w:rsid w:val="00EF19C5"/>
    <w:rsid w:val="00EF1BE4"/>
    <w:rsid w:val="00EF417E"/>
    <w:rsid w:val="00EF74EC"/>
    <w:rsid w:val="00F00932"/>
    <w:rsid w:val="00F01C41"/>
    <w:rsid w:val="00F045D6"/>
    <w:rsid w:val="00F04A06"/>
    <w:rsid w:val="00F06E75"/>
    <w:rsid w:val="00F07022"/>
    <w:rsid w:val="00F1119E"/>
    <w:rsid w:val="00F127E4"/>
    <w:rsid w:val="00F16C90"/>
    <w:rsid w:val="00F1703E"/>
    <w:rsid w:val="00F21708"/>
    <w:rsid w:val="00F25117"/>
    <w:rsid w:val="00F311B2"/>
    <w:rsid w:val="00F31FC7"/>
    <w:rsid w:val="00F33E30"/>
    <w:rsid w:val="00F35A34"/>
    <w:rsid w:val="00F40882"/>
    <w:rsid w:val="00F40DD8"/>
    <w:rsid w:val="00F43559"/>
    <w:rsid w:val="00F4558A"/>
    <w:rsid w:val="00F47AAB"/>
    <w:rsid w:val="00F47C3D"/>
    <w:rsid w:val="00F54731"/>
    <w:rsid w:val="00F55303"/>
    <w:rsid w:val="00F55715"/>
    <w:rsid w:val="00F5640D"/>
    <w:rsid w:val="00F573EF"/>
    <w:rsid w:val="00F574B7"/>
    <w:rsid w:val="00F5789B"/>
    <w:rsid w:val="00F641D5"/>
    <w:rsid w:val="00F6436B"/>
    <w:rsid w:val="00F65C05"/>
    <w:rsid w:val="00F72A64"/>
    <w:rsid w:val="00F7315F"/>
    <w:rsid w:val="00F73F1B"/>
    <w:rsid w:val="00F75AAB"/>
    <w:rsid w:val="00F75C76"/>
    <w:rsid w:val="00F76FA2"/>
    <w:rsid w:val="00F807C3"/>
    <w:rsid w:val="00F844D0"/>
    <w:rsid w:val="00F8703F"/>
    <w:rsid w:val="00F909A0"/>
    <w:rsid w:val="00F9119B"/>
    <w:rsid w:val="00F929DC"/>
    <w:rsid w:val="00F949C8"/>
    <w:rsid w:val="00FA231C"/>
    <w:rsid w:val="00FA24A0"/>
    <w:rsid w:val="00FA48CC"/>
    <w:rsid w:val="00FB0DA1"/>
    <w:rsid w:val="00FB58B5"/>
    <w:rsid w:val="00FB5A8F"/>
    <w:rsid w:val="00FC1578"/>
    <w:rsid w:val="00FC234F"/>
    <w:rsid w:val="00FC7099"/>
    <w:rsid w:val="00FC720B"/>
    <w:rsid w:val="00FC74C6"/>
    <w:rsid w:val="00FC7E82"/>
    <w:rsid w:val="00FD134E"/>
    <w:rsid w:val="00FE13CE"/>
    <w:rsid w:val="00FE2C0A"/>
    <w:rsid w:val="00FE3FE9"/>
    <w:rsid w:val="00FE4EC6"/>
    <w:rsid w:val="00FE4F88"/>
    <w:rsid w:val="00FE4FC5"/>
    <w:rsid w:val="00FE5484"/>
    <w:rsid w:val="00FE6A10"/>
    <w:rsid w:val="00FF283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9F26508"/>
  <w15:docId w15:val="{B89169D0-78E0-4DEE-BFF3-48C6AA7C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5A"/>
    <w:pPr>
      <w:spacing w:line="280" w:lineRule="exact"/>
    </w:pPr>
    <w:rPr>
      <w:rFonts w:ascii="Arial" w:hAnsi="Arial"/>
      <w:sz w:val="24"/>
      <w:lang w:eastAsia="fr-FR"/>
    </w:rPr>
  </w:style>
  <w:style w:type="paragraph" w:styleId="Titre1">
    <w:name w:val="heading 1"/>
    <w:basedOn w:val="Normal"/>
    <w:next w:val="Normal"/>
    <w:qFormat/>
    <w:rsid w:val="00380D5A"/>
    <w:pPr>
      <w:keepNext/>
      <w:spacing w:before="240" w:after="60" w:line="500" w:lineRule="exact"/>
      <w:outlineLvl w:val="0"/>
    </w:pPr>
    <w:rPr>
      <w:b/>
      <w:kern w:val="28"/>
      <w:sz w:val="28"/>
    </w:rPr>
  </w:style>
  <w:style w:type="paragraph" w:styleId="Titre2">
    <w:name w:val="heading 2"/>
    <w:basedOn w:val="Normal"/>
    <w:next w:val="Normal"/>
    <w:qFormat/>
    <w:rsid w:val="00380D5A"/>
    <w:pPr>
      <w:keepNext/>
      <w:spacing w:before="240" w:after="60"/>
      <w:outlineLvl w:val="1"/>
    </w:pPr>
    <w:rPr>
      <w:b/>
      <w:i/>
    </w:rPr>
  </w:style>
  <w:style w:type="paragraph" w:styleId="Titre3">
    <w:name w:val="heading 3"/>
    <w:basedOn w:val="Normal"/>
    <w:next w:val="Normal"/>
    <w:qFormat/>
    <w:rsid w:val="00380D5A"/>
    <w:pPr>
      <w:keepNext/>
      <w:spacing w:before="240" w:after="60"/>
      <w:outlineLvl w:val="2"/>
    </w:pPr>
  </w:style>
  <w:style w:type="paragraph" w:styleId="Titre4">
    <w:name w:val="heading 4"/>
    <w:basedOn w:val="Normal"/>
    <w:next w:val="Normal"/>
    <w:qFormat/>
    <w:rsid w:val="00380D5A"/>
    <w:pPr>
      <w:keepNext/>
      <w:spacing w:before="240" w:after="60"/>
      <w:outlineLvl w:val="3"/>
    </w:pPr>
    <w:rPr>
      <w:b/>
    </w:rPr>
  </w:style>
  <w:style w:type="paragraph" w:styleId="Titre5">
    <w:name w:val="heading 5"/>
    <w:basedOn w:val="Normal"/>
    <w:next w:val="Normal"/>
    <w:qFormat/>
    <w:rsid w:val="00380D5A"/>
    <w:pPr>
      <w:spacing w:before="240" w:after="60"/>
      <w:outlineLvl w:val="4"/>
    </w:pPr>
    <w:rPr>
      <w:sz w:val="22"/>
    </w:rPr>
  </w:style>
  <w:style w:type="paragraph" w:styleId="Titre6">
    <w:name w:val="heading 6"/>
    <w:basedOn w:val="Normal"/>
    <w:next w:val="Normal"/>
    <w:qFormat/>
    <w:rsid w:val="00380D5A"/>
    <w:pPr>
      <w:spacing w:before="240" w:after="60"/>
      <w:outlineLvl w:val="5"/>
    </w:pPr>
    <w:rPr>
      <w:i/>
      <w:sz w:val="22"/>
    </w:rPr>
  </w:style>
  <w:style w:type="paragraph" w:styleId="Titre7">
    <w:name w:val="heading 7"/>
    <w:basedOn w:val="Normal"/>
    <w:next w:val="Normal"/>
    <w:qFormat/>
    <w:rsid w:val="00380D5A"/>
    <w:pPr>
      <w:spacing w:before="240" w:after="60"/>
      <w:outlineLvl w:val="6"/>
    </w:pPr>
    <w:rPr>
      <w:sz w:val="20"/>
    </w:rPr>
  </w:style>
  <w:style w:type="paragraph" w:styleId="Titre8">
    <w:name w:val="heading 8"/>
    <w:basedOn w:val="Normal"/>
    <w:next w:val="Normal"/>
    <w:qFormat/>
    <w:rsid w:val="00380D5A"/>
    <w:pPr>
      <w:spacing w:before="240" w:after="60"/>
      <w:outlineLvl w:val="7"/>
    </w:pPr>
    <w:rPr>
      <w:i/>
      <w:sz w:val="20"/>
    </w:rPr>
  </w:style>
  <w:style w:type="paragraph" w:styleId="Titre9">
    <w:name w:val="heading 9"/>
    <w:basedOn w:val="Normal"/>
    <w:next w:val="Normal"/>
    <w:qFormat/>
    <w:rsid w:val="00380D5A"/>
    <w:pPr>
      <w:spacing w:before="240" w:after="60"/>
      <w:outlineLvl w:val="8"/>
    </w:pPr>
    <w:rPr>
      <w:b/>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B41E2"/>
    <w:pPr>
      <w:numPr>
        <w:numId w:val="18"/>
      </w:numPr>
      <w:tabs>
        <w:tab w:val="clear" w:pos="8233"/>
        <w:tab w:val="num" w:pos="720"/>
      </w:tabs>
      <w:spacing w:before="120" w:after="120"/>
      <w:ind w:left="0"/>
      <w:jc w:val="both"/>
    </w:pPr>
    <w:rPr>
      <w:kern w:val="28"/>
    </w:rPr>
  </w:style>
  <w:style w:type="paragraph" w:customStyle="1" w:styleId="Citationenretrait">
    <w:name w:val="Citation en retrait"/>
    <w:basedOn w:val="Normal"/>
    <w:rsid w:val="00380D5A"/>
    <w:pPr>
      <w:spacing w:before="120" w:after="120"/>
      <w:ind w:left="720" w:right="720"/>
      <w:jc w:val="both"/>
    </w:pPr>
    <w:rPr>
      <w:kern w:val="24"/>
      <w:sz w:val="22"/>
    </w:rPr>
  </w:style>
  <w:style w:type="character" w:customStyle="1" w:styleId="Citationintgre">
    <w:name w:val="Citation intégrée"/>
    <w:rsid w:val="00380D5A"/>
    <w:rPr>
      <w:rFonts w:ascii="Arial" w:hAnsi="Arial"/>
      <w:i/>
      <w:noProof w:val="0"/>
      <w:sz w:val="22"/>
      <w:lang w:val="fr-CA"/>
    </w:rPr>
  </w:style>
  <w:style w:type="paragraph" w:styleId="Corpsdetexte">
    <w:name w:val="Body Text"/>
    <w:basedOn w:val="Normal"/>
    <w:semiHidden/>
    <w:rsid w:val="00380D5A"/>
    <w:pPr>
      <w:spacing w:after="120"/>
    </w:pPr>
  </w:style>
  <w:style w:type="paragraph" w:styleId="Notedebasdepage">
    <w:name w:val="footnote text"/>
    <w:basedOn w:val="Normal"/>
    <w:link w:val="NotedebasdepageCar"/>
    <w:uiPriority w:val="99"/>
    <w:qFormat/>
    <w:rsid w:val="00380D5A"/>
    <w:pPr>
      <w:spacing w:line="240" w:lineRule="auto"/>
      <w:ind w:left="360" w:hanging="360"/>
      <w:jc w:val="both"/>
    </w:pPr>
    <w:rPr>
      <w:sz w:val="20"/>
    </w:rPr>
  </w:style>
  <w:style w:type="paragraph" w:styleId="Notedefin">
    <w:name w:val="endnote text"/>
    <w:basedOn w:val="Normal"/>
    <w:semiHidden/>
    <w:rsid w:val="00380D5A"/>
    <w:pPr>
      <w:ind w:left="-360"/>
      <w:jc w:val="both"/>
    </w:pPr>
    <w:rPr>
      <w:sz w:val="20"/>
    </w:rPr>
  </w:style>
  <w:style w:type="paragraph" w:customStyle="1" w:styleId="zSoquijlblCour">
    <w:name w:val="zSoquij_lblCour"/>
    <w:basedOn w:val="Normal"/>
    <w:rsid w:val="00380D5A"/>
    <w:pPr>
      <w:spacing w:line="500" w:lineRule="exact"/>
      <w:jc w:val="center"/>
    </w:pPr>
    <w:rPr>
      <w:b/>
      <w:sz w:val="36"/>
    </w:rPr>
  </w:style>
  <w:style w:type="paragraph" w:customStyle="1" w:styleId="zSoquijlblPays">
    <w:name w:val="zSoquij_lblPays"/>
    <w:basedOn w:val="Normal"/>
    <w:rsid w:val="00380D5A"/>
  </w:style>
  <w:style w:type="paragraph" w:customStyle="1" w:styleId="zSoquijlblProvince">
    <w:name w:val="zSoquij_lblProvince"/>
    <w:basedOn w:val="Normal"/>
    <w:rsid w:val="00380D5A"/>
  </w:style>
  <w:style w:type="paragraph" w:customStyle="1" w:styleId="zSoquijlblGreffe">
    <w:name w:val="zSoquij_lblGreffe"/>
    <w:basedOn w:val="Normal"/>
    <w:rsid w:val="00380D5A"/>
  </w:style>
  <w:style w:type="paragraph" w:customStyle="1" w:styleId="zSoquijdatGreffe">
    <w:name w:val="zSoquij_datGreffe"/>
    <w:basedOn w:val="Normal"/>
    <w:rsid w:val="00380D5A"/>
  </w:style>
  <w:style w:type="paragraph" w:customStyle="1" w:styleId="zSoquijdatDivision">
    <w:name w:val="zSoquij_datDivision"/>
    <w:basedOn w:val="Normal"/>
    <w:rsid w:val="00380D5A"/>
    <w:pPr>
      <w:jc w:val="center"/>
    </w:pPr>
    <w:rPr>
      <w:sz w:val="22"/>
    </w:rPr>
  </w:style>
  <w:style w:type="paragraph" w:customStyle="1" w:styleId="zSoquijlblNoDossier">
    <w:name w:val="zSoquij_lblNoDossier"/>
    <w:basedOn w:val="Normal"/>
    <w:rsid w:val="00380D5A"/>
  </w:style>
  <w:style w:type="paragraph" w:customStyle="1" w:styleId="zSoquijdatNoDossier">
    <w:name w:val="zSoquij_datNoDossier"/>
    <w:basedOn w:val="Normal"/>
    <w:rsid w:val="00380D5A"/>
  </w:style>
  <w:style w:type="paragraph" w:customStyle="1" w:styleId="zSoquijdatNoDossierAnt">
    <w:name w:val="zSoquij_datNoDossierAnt"/>
    <w:basedOn w:val="Normal"/>
    <w:rsid w:val="00380D5A"/>
    <w:pPr>
      <w:ind w:left="950"/>
    </w:pPr>
  </w:style>
  <w:style w:type="paragraph" w:customStyle="1" w:styleId="zSoquijdatDateJugement">
    <w:name w:val="zSoquij_datDateJugement"/>
    <w:basedOn w:val="Normal"/>
    <w:rsid w:val="00380D5A"/>
  </w:style>
  <w:style w:type="paragraph" w:customStyle="1" w:styleId="zSoquijlblDateJugement">
    <w:name w:val="zSoquij_lblDateJugement"/>
    <w:basedOn w:val="Normal"/>
    <w:rsid w:val="00380D5A"/>
  </w:style>
  <w:style w:type="paragraph" w:customStyle="1" w:styleId="zSoquijlblJuge">
    <w:name w:val="zSoquij_lblJuge"/>
    <w:basedOn w:val="Normal"/>
    <w:rsid w:val="00380D5A"/>
    <w:rPr>
      <w:b/>
    </w:rPr>
  </w:style>
  <w:style w:type="paragraph" w:customStyle="1" w:styleId="zSoquijdatQteJuge">
    <w:name w:val="zSoquij_datQteJuge"/>
    <w:basedOn w:val="Normal"/>
    <w:rsid w:val="00380D5A"/>
    <w:rPr>
      <w:b/>
    </w:rPr>
  </w:style>
  <w:style w:type="paragraph" w:customStyle="1" w:styleId="zSoquijdatJuge">
    <w:name w:val="zSoquij_datJuge"/>
    <w:basedOn w:val="Normal"/>
    <w:rsid w:val="00380D5A"/>
    <w:rPr>
      <w:b/>
    </w:rPr>
  </w:style>
  <w:style w:type="paragraph" w:customStyle="1" w:styleId="zSoquijdatNomPartieDem">
    <w:name w:val="zSoquij_datNomPartieDem"/>
    <w:basedOn w:val="Normal"/>
    <w:rsid w:val="00380D5A"/>
    <w:rPr>
      <w:b/>
      <w:bCs/>
    </w:rPr>
  </w:style>
  <w:style w:type="paragraph" w:customStyle="1" w:styleId="zSoquijdatQtePartieDem">
    <w:name w:val="zSoquij_datQtePartieDem"/>
    <w:basedOn w:val="Normal"/>
    <w:rsid w:val="00380D5A"/>
    <w:pPr>
      <w:ind w:left="708"/>
    </w:pPr>
  </w:style>
  <w:style w:type="paragraph" w:customStyle="1" w:styleId="zSoquijlblLienParties">
    <w:name w:val="zSoquij_lblLienParties"/>
    <w:basedOn w:val="Normal"/>
    <w:rsid w:val="00380D5A"/>
  </w:style>
  <w:style w:type="paragraph" w:customStyle="1" w:styleId="zSoquijdatNomPartieDef">
    <w:name w:val="zSoquij_datNomPartieDef"/>
    <w:basedOn w:val="Normal"/>
    <w:rsid w:val="00380D5A"/>
    <w:rPr>
      <w:b/>
      <w:bCs/>
    </w:rPr>
  </w:style>
  <w:style w:type="paragraph" w:customStyle="1" w:styleId="zSoquijdatQtePartieDef">
    <w:name w:val="zSoquij_datQtePartieDef"/>
    <w:basedOn w:val="Normal"/>
    <w:rsid w:val="00380D5A"/>
    <w:pPr>
      <w:ind w:left="708"/>
    </w:pPr>
  </w:style>
  <w:style w:type="paragraph" w:customStyle="1" w:styleId="zSoquijlblTypeDocument">
    <w:name w:val="zSoquij_lblTypeDocument"/>
    <w:basedOn w:val="Normal"/>
    <w:rsid w:val="00380D5A"/>
    <w:pPr>
      <w:jc w:val="center"/>
    </w:pPr>
  </w:style>
  <w:style w:type="paragraph" w:customStyle="1" w:styleId="zSoquijlblProcureurDem">
    <w:name w:val="zSoquij_lblProcureurDem"/>
    <w:basedOn w:val="Normal"/>
    <w:rsid w:val="00380D5A"/>
  </w:style>
  <w:style w:type="paragraph" w:customStyle="1" w:styleId="zSoquijlblProcureurDef">
    <w:name w:val="zSoquij_lblProcureurDef"/>
    <w:basedOn w:val="Normal"/>
    <w:rsid w:val="00380D5A"/>
  </w:style>
  <w:style w:type="paragraph" w:customStyle="1" w:styleId="zSoquijlblDateAudience">
    <w:name w:val="zSoquij_lblDateAudience"/>
    <w:basedOn w:val="Normal"/>
    <w:rsid w:val="00380D5A"/>
  </w:style>
  <w:style w:type="paragraph" w:customStyle="1" w:styleId="zSoquijdatDateAudience">
    <w:name w:val="zSoquij_datDateAudience"/>
    <w:basedOn w:val="Normal"/>
    <w:rsid w:val="00380D5A"/>
  </w:style>
  <w:style w:type="paragraph" w:customStyle="1" w:styleId="zSoquijlblNomChambre">
    <w:name w:val="zSoquij_lblNomChambre"/>
    <w:basedOn w:val="Normal"/>
    <w:rsid w:val="00380D5A"/>
  </w:style>
  <w:style w:type="paragraph" w:customStyle="1" w:styleId="zSoquijlblOpinionJuge">
    <w:name w:val="zSoquij_lblOpinionJuge"/>
    <w:basedOn w:val="Normal"/>
    <w:rsid w:val="00380D5A"/>
    <w:pPr>
      <w:jc w:val="center"/>
    </w:pPr>
  </w:style>
  <w:style w:type="character" w:customStyle="1" w:styleId="zSoquijlblEntNoDossier">
    <w:name w:val="zSoquij_lblEntNoDossier"/>
    <w:basedOn w:val="Policepardfaut"/>
    <w:rsid w:val="00380D5A"/>
    <w:rPr>
      <w:noProof w:val="0"/>
      <w:lang w:val="fr-CA"/>
    </w:rPr>
  </w:style>
  <w:style w:type="paragraph" w:customStyle="1" w:styleId="zSoquijlblTitrePartie">
    <w:name w:val="zSoquij_lblTitrePartie"/>
    <w:basedOn w:val="Normal"/>
    <w:rsid w:val="00380D5A"/>
  </w:style>
  <w:style w:type="paragraph" w:customStyle="1" w:styleId="zSoquijdatIdJuge">
    <w:name w:val="zSoquij_datIdJuge"/>
    <w:basedOn w:val="Normal"/>
    <w:rsid w:val="00380D5A"/>
    <w:pPr>
      <w:jc w:val="right"/>
    </w:pPr>
  </w:style>
  <w:style w:type="paragraph" w:customStyle="1" w:styleId="Sous-paragraphe">
    <w:name w:val="Sous-paragraphe"/>
    <w:basedOn w:val="Normal"/>
    <w:qFormat/>
    <w:rsid w:val="00380D5A"/>
    <w:pPr>
      <w:widowControl w:val="0"/>
      <w:numPr>
        <w:ilvl w:val="1"/>
        <w:numId w:val="18"/>
      </w:numPr>
      <w:spacing w:after="120"/>
      <w:jc w:val="both"/>
    </w:pPr>
    <w:rPr>
      <w:kern w:val="28"/>
    </w:rPr>
  </w:style>
  <w:style w:type="paragraph" w:customStyle="1" w:styleId="zSoquijdatNomProcureurDem">
    <w:name w:val="zSoquij_datNomProcureurDem"/>
    <w:basedOn w:val="zSoquijlblProcureurDem"/>
    <w:rsid w:val="00380D5A"/>
    <w:pPr>
      <w:keepNext/>
    </w:pPr>
  </w:style>
  <w:style w:type="paragraph" w:customStyle="1" w:styleId="zSoquijdatNomProcureurDef">
    <w:name w:val="zSoquij_datNomProcureurDef"/>
    <w:basedOn w:val="zSoquijlblProcureurDef"/>
    <w:rsid w:val="00380D5A"/>
    <w:pPr>
      <w:keepNext/>
    </w:pPr>
  </w:style>
  <w:style w:type="paragraph" w:customStyle="1" w:styleId="zSoquijdatCabinetProcureurDem">
    <w:name w:val="zSoquij_datCabinetProcureurDem"/>
    <w:basedOn w:val="Normal"/>
    <w:rsid w:val="00380D5A"/>
    <w:pPr>
      <w:keepNext/>
    </w:pPr>
  </w:style>
  <w:style w:type="paragraph" w:customStyle="1" w:styleId="zSoquijdatCabinetProcureurDef">
    <w:name w:val="zSoquij_datCabinetProcureurDef"/>
    <w:basedOn w:val="zSoquijlblProcureurDef"/>
    <w:rsid w:val="00380D5A"/>
    <w:pPr>
      <w:keepNext/>
    </w:pPr>
  </w:style>
  <w:style w:type="paragraph" w:styleId="En-tte">
    <w:name w:val="header"/>
    <w:basedOn w:val="Normal"/>
    <w:semiHidden/>
    <w:rsid w:val="00380D5A"/>
    <w:pPr>
      <w:tabs>
        <w:tab w:val="center" w:pos="4320"/>
        <w:tab w:val="right" w:pos="8640"/>
      </w:tabs>
    </w:pPr>
  </w:style>
  <w:style w:type="paragraph" w:styleId="Pieddepage">
    <w:name w:val="footer"/>
    <w:basedOn w:val="Normal"/>
    <w:semiHidden/>
    <w:rsid w:val="00380D5A"/>
    <w:pPr>
      <w:tabs>
        <w:tab w:val="center" w:pos="4320"/>
        <w:tab w:val="right" w:pos="8640"/>
      </w:tabs>
    </w:pPr>
  </w:style>
  <w:style w:type="paragraph" w:customStyle="1" w:styleId="Tableaudroiteanglais">
    <w:name w:val="Tableau droite anglais"/>
    <w:basedOn w:val="Tableaugauchefranais"/>
    <w:rsid w:val="00380D5A"/>
    <w:pPr>
      <w:ind w:left="144" w:right="720"/>
      <w:jc w:val="both"/>
    </w:pPr>
    <w:rPr>
      <w:lang w:val="en-CA"/>
    </w:rPr>
  </w:style>
  <w:style w:type="paragraph" w:customStyle="1" w:styleId="Tableaugauchefranais">
    <w:name w:val="Tableau gauche français"/>
    <w:basedOn w:val="Normal"/>
    <w:rsid w:val="00380D5A"/>
    <w:pPr>
      <w:ind w:left="720" w:right="144"/>
    </w:pPr>
    <w:rPr>
      <w:sz w:val="22"/>
    </w:rPr>
  </w:style>
  <w:style w:type="character" w:styleId="Appelnotedebasdep">
    <w:name w:val="footnote reference"/>
    <w:uiPriority w:val="99"/>
    <w:qFormat/>
    <w:rsid w:val="00380D5A"/>
    <w:rPr>
      <w:noProof w:val="0"/>
      <w:vertAlign w:val="superscript"/>
      <w:lang w:val="fr-CA"/>
    </w:rPr>
  </w:style>
  <w:style w:type="paragraph" w:styleId="Corpsdetexte3">
    <w:name w:val="Body Text 3"/>
    <w:basedOn w:val="Normal"/>
    <w:semiHidden/>
    <w:rsid w:val="00380D5A"/>
    <w:pPr>
      <w:spacing w:after="120"/>
    </w:pPr>
    <w:rPr>
      <w:sz w:val="16"/>
    </w:rPr>
  </w:style>
  <w:style w:type="paragraph" w:customStyle="1" w:styleId="zSoquijdatRepertorie">
    <w:name w:val="zSoquij_datRepertorie"/>
    <w:basedOn w:val="zSoquijlblCour"/>
    <w:rsid w:val="00380D5A"/>
    <w:pPr>
      <w:spacing w:line="240" w:lineRule="auto"/>
      <w:jc w:val="left"/>
    </w:pPr>
    <w:rPr>
      <w:sz w:val="22"/>
    </w:rPr>
  </w:style>
  <w:style w:type="paragraph" w:customStyle="1" w:styleId="zSoquijdatRefNeutre">
    <w:name w:val="zSoquij_datRefNeutre"/>
    <w:basedOn w:val="zSoquijlblCour"/>
    <w:rsid w:val="00380D5A"/>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Corpsdutexte2">
    <w:name w:val="Corps du texte (2)_"/>
    <w:basedOn w:val="Policepardfaut"/>
    <w:rsid w:val="005D5312"/>
    <w:rPr>
      <w:rFonts w:ascii="Arial" w:eastAsia="Arial" w:hAnsi="Arial" w:cs="Arial"/>
      <w:b/>
      <w:bCs/>
      <w:i w:val="0"/>
      <w:iCs w:val="0"/>
      <w:smallCaps w:val="0"/>
      <w:strike w:val="0"/>
      <w:sz w:val="19"/>
      <w:szCs w:val="19"/>
      <w:u w:val="none"/>
    </w:rPr>
  </w:style>
  <w:style w:type="character" w:customStyle="1" w:styleId="Corpsdutexte20">
    <w:name w:val="Corps du texte (2)"/>
    <w:basedOn w:val="Corpsdutexte2"/>
    <w:rsid w:val="005D5312"/>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Calibri105ptItalique">
    <w:name w:val="Corps du texte (2) + Calibri;10;5 pt;Italique"/>
    <w:basedOn w:val="Corpsdutexte2"/>
    <w:rsid w:val="005D5312"/>
    <w:rPr>
      <w:rFonts w:ascii="Calibri" w:eastAsia="Calibri" w:hAnsi="Calibri" w:cs="Calibri"/>
      <w:b/>
      <w:bCs/>
      <w:i/>
      <w:iCs/>
      <w:smallCaps w:val="0"/>
      <w:strike w:val="0"/>
      <w:color w:val="000000"/>
      <w:spacing w:val="0"/>
      <w:w w:val="100"/>
      <w:position w:val="0"/>
      <w:sz w:val="21"/>
      <w:szCs w:val="21"/>
      <w:u w:val="none"/>
      <w:lang w:val="fr-FR" w:eastAsia="fr-FR" w:bidi="fr-FR"/>
    </w:rPr>
  </w:style>
  <w:style w:type="character" w:customStyle="1" w:styleId="NotedebasdepageCar">
    <w:name w:val="Note de bas de page Car"/>
    <w:basedOn w:val="Policepardfaut"/>
    <w:link w:val="Notedebasdepage"/>
    <w:uiPriority w:val="99"/>
    <w:rsid w:val="006F44CF"/>
    <w:rPr>
      <w:rFonts w:ascii="Arial" w:hAnsi="Arial"/>
      <w:lang w:eastAsia="fr-FR"/>
    </w:rPr>
  </w:style>
  <w:style w:type="character" w:customStyle="1" w:styleId="sectionlabel">
    <w:name w:val="sectionlabel"/>
    <w:basedOn w:val="Policepardfaut"/>
    <w:rsid w:val="00A6146A"/>
  </w:style>
  <w:style w:type="paragraph" w:customStyle="1" w:styleId="paranondepar-altn">
    <w:name w:val="paranondepar-altn"/>
    <w:basedOn w:val="Normal"/>
    <w:rsid w:val="006D6787"/>
    <w:pPr>
      <w:spacing w:before="100" w:beforeAutospacing="1" w:after="100" w:afterAutospacing="1" w:line="240" w:lineRule="auto"/>
    </w:pPr>
    <w:rPr>
      <w:rFonts w:ascii="Times New Roman" w:hAnsi="Times New Roman"/>
      <w:szCs w:val="24"/>
      <w:lang w:eastAsia="fr-CA"/>
    </w:rPr>
  </w:style>
  <w:style w:type="character" w:styleId="Hyperlien">
    <w:name w:val="Hyperlink"/>
    <w:basedOn w:val="Policepardfaut"/>
    <w:uiPriority w:val="99"/>
    <w:unhideWhenUsed/>
    <w:rsid w:val="006D6787"/>
    <w:rPr>
      <w:color w:val="0000FF"/>
      <w:u w:val="single"/>
    </w:rPr>
  </w:style>
  <w:style w:type="paragraph" w:customStyle="1" w:styleId="citation-altc">
    <w:name w:val="citation-altc"/>
    <w:basedOn w:val="Normal"/>
    <w:rsid w:val="006D6787"/>
    <w:pPr>
      <w:spacing w:before="100" w:beforeAutospacing="1" w:after="100" w:afterAutospacing="1" w:line="240" w:lineRule="auto"/>
    </w:pPr>
    <w:rPr>
      <w:rFonts w:ascii="Times New Roman" w:hAnsi="Times New Roman"/>
      <w:szCs w:val="24"/>
      <w:lang w:eastAsia="fr-CA"/>
    </w:rPr>
  </w:style>
  <w:style w:type="paragraph" w:customStyle="1" w:styleId="continueparasuitedupar-altp">
    <w:name w:val="continueparasuitedupar-altp"/>
    <w:basedOn w:val="Normal"/>
    <w:rsid w:val="006D6787"/>
    <w:pPr>
      <w:spacing w:before="100" w:beforeAutospacing="1" w:after="100" w:afterAutospacing="1" w:line="240" w:lineRule="auto"/>
    </w:pPr>
    <w:rPr>
      <w:rFonts w:ascii="Times New Roman" w:hAnsi="Times New Roman"/>
      <w:szCs w:val="24"/>
      <w:lang w:eastAsia="fr-CA"/>
    </w:rPr>
  </w:style>
  <w:style w:type="character" w:customStyle="1" w:styleId="Mentionnonrsolue1">
    <w:name w:val="Mention non résolue1"/>
    <w:basedOn w:val="Policepardfaut"/>
    <w:uiPriority w:val="99"/>
    <w:semiHidden/>
    <w:unhideWhenUsed/>
    <w:rsid w:val="003D02AC"/>
    <w:rPr>
      <w:color w:val="605E5C"/>
      <w:shd w:val="clear" w:color="auto" w:fill="E1DFDD"/>
    </w:rPr>
  </w:style>
  <w:style w:type="character" w:customStyle="1" w:styleId="ParagrapheCar">
    <w:name w:val="Paragraphe Car"/>
    <w:link w:val="Paragraphe"/>
    <w:qFormat/>
    <w:locked/>
    <w:rsid w:val="009B41E2"/>
    <w:rPr>
      <w:rFonts w:ascii="Arial" w:hAnsi="Arial"/>
      <w:kern w:val="28"/>
      <w:sz w:val="24"/>
      <w:lang w:eastAsia="fr-FR"/>
    </w:rPr>
  </w:style>
  <w:style w:type="paragraph" w:styleId="Rvision">
    <w:name w:val="Revision"/>
    <w:hidden/>
    <w:uiPriority w:val="99"/>
    <w:semiHidden/>
    <w:rsid w:val="00A309B4"/>
    <w:rPr>
      <w:rFonts w:ascii="Arial" w:hAnsi="Arial"/>
      <w:sz w:val="24"/>
      <w:lang w:eastAsia="fr-FR"/>
    </w:rPr>
  </w:style>
  <w:style w:type="character" w:styleId="Marquedecommentaire">
    <w:name w:val="annotation reference"/>
    <w:basedOn w:val="Policepardfaut"/>
    <w:uiPriority w:val="99"/>
    <w:semiHidden/>
    <w:unhideWhenUsed/>
    <w:rsid w:val="00C426A2"/>
    <w:rPr>
      <w:sz w:val="16"/>
      <w:szCs w:val="16"/>
    </w:rPr>
  </w:style>
  <w:style w:type="paragraph" w:styleId="Commentaire">
    <w:name w:val="annotation text"/>
    <w:basedOn w:val="Normal"/>
    <w:link w:val="CommentaireCar"/>
    <w:uiPriority w:val="99"/>
    <w:unhideWhenUsed/>
    <w:rsid w:val="00C426A2"/>
    <w:pPr>
      <w:spacing w:line="240" w:lineRule="auto"/>
    </w:pPr>
    <w:rPr>
      <w:sz w:val="20"/>
    </w:rPr>
  </w:style>
  <w:style w:type="character" w:customStyle="1" w:styleId="CommentaireCar">
    <w:name w:val="Commentaire Car"/>
    <w:basedOn w:val="Policepardfaut"/>
    <w:link w:val="Commentaire"/>
    <w:uiPriority w:val="99"/>
    <w:rsid w:val="00C426A2"/>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C426A2"/>
    <w:rPr>
      <w:b/>
      <w:bCs/>
    </w:rPr>
  </w:style>
  <w:style w:type="character" w:customStyle="1" w:styleId="ObjetducommentaireCar">
    <w:name w:val="Objet du commentaire Car"/>
    <w:basedOn w:val="CommentaireCar"/>
    <w:link w:val="Objetducommentaire"/>
    <w:uiPriority w:val="99"/>
    <w:semiHidden/>
    <w:rsid w:val="00C426A2"/>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204">
      <w:bodyDiv w:val="1"/>
      <w:marLeft w:val="0"/>
      <w:marRight w:val="0"/>
      <w:marTop w:val="0"/>
      <w:marBottom w:val="0"/>
      <w:divBdr>
        <w:top w:val="none" w:sz="0" w:space="0" w:color="auto"/>
        <w:left w:val="none" w:sz="0" w:space="0" w:color="auto"/>
        <w:bottom w:val="none" w:sz="0" w:space="0" w:color="auto"/>
        <w:right w:val="none" w:sz="0" w:space="0" w:color="auto"/>
      </w:divBdr>
    </w:div>
    <w:div w:id="387922102">
      <w:bodyDiv w:val="1"/>
      <w:marLeft w:val="0"/>
      <w:marRight w:val="0"/>
      <w:marTop w:val="0"/>
      <w:marBottom w:val="0"/>
      <w:divBdr>
        <w:top w:val="none" w:sz="0" w:space="0" w:color="auto"/>
        <w:left w:val="none" w:sz="0" w:space="0" w:color="auto"/>
        <w:bottom w:val="none" w:sz="0" w:space="0" w:color="auto"/>
        <w:right w:val="none" w:sz="0" w:space="0" w:color="auto"/>
      </w:divBdr>
    </w:div>
    <w:div w:id="605620691">
      <w:bodyDiv w:val="1"/>
      <w:marLeft w:val="0"/>
      <w:marRight w:val="0"/>
      <w:marTop w:val="0"/>
      <w:marBottom w:val="0"/>
      <w:divBdr>
        <w:top w:val="none" w:sz="0" w:space="0" w:color="auto"/>
        <w:left w:val="none" w:sz="0" w:space="0" w:color="auto"/>
        <w:bottom w:val="none" w:sz="0" w:space="0" w:color="auto"/>
        <w:right w:val="none" w:sz="0" w:space="0" w:color="auto"/>
      </w:divBdr>
      <w:divsChild>
        <w:div w:id="768815235">
          <w:marLeft w:val="0"/>
          <w:marRight w:val="0"/>
          <w:marTop w:val="0"/>
          <w:marBottom w:val="0"/>
          <w:divBdr>
            <w:top w:val="none" w:sz="0" w:space="0" w:color="auto"/>
            <w:left w:val="none" w:sz="0" w:space="0" w:color="auto"/>
            <w:bottom w:val="none" w:sz="0" w:space="0" w:color="auto"/>
            <w:right w:val="none" w:sz="0" w:space="0" w:color="auto"/>
          </w:divBdr>
        </w:div>
      </w:divsChild>
    </w:div>
    <w:div w:id="1625111629">
      <w:bodyDiv w:val="1"/>
      <w:marLeft w:val="0"/>
      <w:marRight w:val="0"/>
      <w:marTop w:val="0"/>
      <w:marBottom w:val="0"/>
      <w:divBdr>
        <w:top w:val="none" w:sz="0" w:space="0" w:color="auto"/>
        <w:left w:val="none" w:sz="0" w:space="0" w:color="auto"/>
        <w:bottom w:val="none" w:sz="0" w:space="0" w:color="auto"/>
        <w:right w:val="none" w:sz="0" w:space="0" w:color="auto"/>
      </w:divBdr>
      <w:divsChild>
        <w:div w:id="37443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E0B3-6E1C-4E29-9920-82EC9A96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4874</Words>
  <Characters>26809</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de jugement pour la cour d'appel</vt:lpstr>
      <vt:lpstr>Gabarit de jugement pour la cour d'appel</vt:lpstr>
    </vt:vector>
  </TitlesOfParts>
  <Manager>Patrice Tardif</Manager>
  <Company>MJQ</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Lise De Bois Briand</dc:creator>
  <cp:lastModifiedBy>trad-rev</cp:lastModifiedBy>
  <cp:revision>2</cp:revision>
  <cp:lastPrinted>2023-01-09T14:28:00Z</cp:lastPrinted>
  <dcterms:created xsi:type="dcterms:W3CDTF">2024-03-20T15:11:00Z</dcterms:created>
  <dcterms:modified xsi:type="dcterms:W3CDTF">2024-03-20T15:11:00Z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04-26-2001</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CA</vt:lpwstr>
  </property>
  <property fmtid="{D5CDD505-2E9C-101B-9397-08002B2CF9AE}" pid="7" name="Soquij_Langue">
    <vt:lpwstr>Fra</vt:lpwstr>
  </property>
</Properties>
</file>