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8688" w14:textId="6602C407" w:rsidR="00CA03F9" w:rsidRPr="008778A3" w:rsidRDefault="00CA03F9">
      <w:pPr>
        <w:rPr>
          <w:lang w:val="en-CA"/>
        </w:rPr>
      </w:pPr>
      <w:r w:rsidRPr="0088092F">
        <w:rPr>
          <w:lang w:val="en-CA"/>
        </w:rPr>
        <w:t>Unofficial English Translation of the Judgment of the Court</w:t>
      </w:r>
    </w:p>
    <w:tbl>
      <w:tblPr>
        <w:tblW w:w="9360" w:type="dxa"/>
        <w:tblLayout w:type="fixed"/>
        <w:tblCellMar>
          <w:left w:w="0" w:type="dxa"/>
          <w:right w:w="0" w:type="dxa"/>
        </w:tblCellMar>
        <w:tblLook w:val="0000" w:firstRow="0" w:lastRow="0" w:firstColumn="0" w:lastColumn="0" w:noHBand="0" w:noVBand="0"/>
      </w:tblPr>
      <w:tblGrid>
        <w:gridCol w:w="1030"/>
        <w:gridCol w:w="590"/>
        <w:gridCol w:w="81"/>
        <w:gridCol w:w="2269"/>
        <w:gridCol w:w="3402"/>
        <w:gridCol w:w="1988"/>
      </w:tblGrid>
      <w:tr w:rsidR="00EF6786" w:rsidRPr="00F5469D" w14:paraId="5AFD2733" w14:textId="77777777" w:rsidTr="008D18FC">
        <w:trPr>
          <w:trHeight w:val="248"/>
        </w:trPr>
        <w:tc>
          <w:tcPr>
            <w:tcW w:w="7372" w:type="dxa"/>
            <w:gridSpan w:val="5"/>
          </w:tcPr>
          <w:p w14:paraId="3EF009A4" w14:textId="4626976D" w:rsidR="00EF6786" w:rsidRPr="001A6BBA" w:rsidRDefault="00EF6786" w:rsidP="00EF6786">
            <w:pPr>
              <w:pStyle w:val="zSoquijdatRepertorie"/>
              <w:rPr>
                <w:rFonts w:cs="Arial"/>
                <w:lang w:val="en-CA"/>
              </w:rPr>
            </w:pPr>
            <w:r>
              <w:rPr>
                <w:rFonts w:cs="Arial"/>
              </w:rPr>
              <w:t>A.B. c. Clercs de Saint-Viateur du Canada</w:t>
            </w:r>
          </w:p>
        </w:tc>
        <w:tc>
          <w:tcPr>
            <w:tcW w:w="1988" w:type="dxa"/>
          </w:tcPr>
          <w:p w14:paraId="19AE9E57" w14:textId="518C0D82" w:rsidR="00EF6786" w:rsidRPr="001A6BBA" w:rsidRDefault="00EF6786" w:rsidP="00EF6786">
            <w:pPr>
              <w:pStyle w:val="zSoquijdatRefNeutre"/>
              <w:jc w:val="right"/>
              <w:rPr>
                <w:rFonts w:cs="Arial"/>
                <w:lang w:val="en-CA"/>
              </w:rPr>
            </w:pPr>
            <w:r w:rsidRPr="00417805">
              <w:rPr>
                <w:rFonts w:cs="Arial"/>
              </w:rPr>
              <w:t>2023 QCCA 527</w:t>
            </w:r>
          </w:p>
        </w:tc>
      </w:tr>
      <w:tr w:rsidR="00C233D9" w:rsidRPr="001A6BBA" w14:paraId="70475959" w14:textId="77777777" w:rsidTr="008D18FC">
        <w:trPr>
          <w:trHeight w:val="247"/>
        </w:trPr>
        <w:tc>
          <w:tcPr>
            <w:tcW w:w="9360" w:type="dxa"/>
            <w:gridSpan w:val="6"/>
          </w:tcPr>
          <w:p w14:paraId="3CD5C730" w14:textId="0C932A62" w:rsidR="008F364A" w:rsidRPr="009F222C" w:rsidRDefault="004F208D">
            <w:pPr>
              <w:pStyle w:val="zSoquijlblCour"/>
              <w:rPr>
                <w:lang w:val="en-CA"/>
              </w:rPr>
            </w:pPr>
            <w:r w:rsidRPr="009F222C">
              <w:rPr>
                <w:lang w:val="en-CA"/>
              </w:rPr>
              <w:t xml:space="preserve"> COURT OF APPEAL</w:t>
            </w:r>
          </w:p>
        </w:tc>
      </w:tr>
      <w:tr w:rsidR="00C233D9" w:rsidRPr="001A6BBA" w14:paraId="13C9AB37" w14:textId="77777777" w:rsidTr="008D18FC">
        <w:trPr>
          <w:trHeight w:val="540"/>
        </w:trPr>
        <w:tc>
          <w:tcPr>
            <w:tcW w:w="9360" w:type="dxa"/>
            <w:gridSpan w:val="6"/>
          </w:tcPr>
          <w:p w14:paraId="7C3B8E29" w14:textId="77777777" w:rsidR="008F364A" w:rsidRPr="001A6BBA" w:rsidRDefault="008F364A">
            <w:pPr>
              <w:pStyle w:val="zSoquijdatDivision"/>
              <w:rPr>
                <w:lang w:val="en-CA"/>
              </w:rPr>
            </w:pPr>
          </w:p>
        </w:tc>
      </w:tr>
      <w:tr w:rsidR="00C233D9" w:rsidRPr="001A6BBA" w14:paraId="10B4178E" w14:textId="77777777" w:rsidTr="008D18FC">
        <w:tc>
          <w:tcPr>
            <w:tcW w:w="9360" w:type="dxa"/>
            <w:gridSpan w:val="6"/>
          </w:tcPr>
          <w:p w14:paraId="3ABA1B3F" w14:textId="77777777" w:rsidR="008F364A" w:rsidRPr="009F222C" w:rsidRDefault="00354272">
            <w:pPr>
              <w:pStyle w:val="zSoquijlblPays"/>
              <w:rPr>
                <w:lang w:val="en-CA"/>
              </w:rPr>
            </w:pPr>
            <w:r w:rsidRPr="009F222C">
              <w:rPr>
                <w:lang w:val="en-CA"/>
              </w:rPr>
              <w:t>CANADA</w:t>
            </w:r>
          </w:p>
        </w:tc>
      </w:tr>
      <w:tr w:rsidR="00C233D9" w:rsidRPr="001A6BBA" w14:paraId="40071315" w14:textId="77777777" w:rsidTr="008D18FC">
        <w:tc>
          <w:tcPr>
            <w:tcW w:w="9360" w:type="dxa"/>
            <w:gridSpan w:val="6"/>
          </w:tcPr>
          <w:p w14:paraId="67F869FE" w14:textId="60B5BCC3" w:rsidR="008F364A" w:rsidRPr="009F222C" w:rsidRDefault="004F208D">
            <w:pPr>
              <w:pStyle w:val="zSoquijlblProvince"/>
              <w:rPr>
                <w:lang w:val="en-CA"/>
              </w:rPr>
            </w:pPr>
            <w:r w:rsidRPr="009F222C">
              <w:rPr>
                <w:lang w:val="en-CA"/>
              </w:rPr>
              <w:t>PROVINCE OF QUEBEC</w:t>
            </w:r>
          </w:p>
        </w:tc>
      </w:tr>
      <w:tr w:rsidR="00C233D9" w:rsidRPr="001A6BBA" w14:paraId="4698E701" w14:textId="77777777" w:rsidTr="004A70D3">
        <w:tc>
          <w:tcPr>
            <w:tcW w:w="1701" w:type="dxa"/>
            <w:gridSpan w:val="3"/>
          </w:tcPr>
          <w:p w14:paraId="6A73F65A" w14:textId="1A919D1B" w:rsidR="008F364A" w:rsidRPr="009F222C" w:rsidRDefault="004F208D">
            <w:pPr>
              <w:pStyle w:val="zSoquijlblGreffe"/>
              <w:rPr>
                <w:lang w:val="en-CA"/>
              </w:rPr>
            </w:pPr>
            <w:r w:rsidRPr="009F222C">
              <w:rPr>
                <w:lang w:val="en-CA"/>
              </w:rPr>
              <w:t>REGISTRY OF</w:t>
            </w:r>
          </w:p>
          <w:p w14:paraId="7DBEBFD8" w14:textId="77777777" w:rsidR="008F364A" w:rsidRPr="001A6BBA" w:rsidRDefault="008F364A">
            <w:pPr>
              <w:pStyle w:val="zSoquijlblGreffe"/>
              <w:rPr>
                <w:lang w:val="en-CA"/>
              </w:rPr>
            </w:pPr>
          </w:p>
        </w:tc>
        <w:tc>
          <w:tcPr>
            <w:tcW w:w="7659" w:type="dxa"/>
            <w:gridSpan w:val="3"/>
          </w:tcPr>
          <w:p w14:paraId="19D2C9EA" w14:textId="6C8AECC7" w:rsidR="008F364A" w:rsidRPr="009F222C" w:rsidRDefault="004F208D">
            <w:pPr>
              <w:pStyle w:val="zSoquijdatGreffe"/>
              <w:rPr>
                <w:lang w:val="en-CA"/>
              </w:rPr>
            </w:pPr>
            <w:r w:rsidRPr="009F222C">
              <w:rPr>
                <w:lang w:val="en-CA"/>
              </w:rPr>
              <w:t>MONTREAL</w:t>
            </w:r>
          </w:p>
        </w:tc>
      </w:tr>
      <w:tr w:rsidR="00C233D9" w:rsidRPr="001A6BBA" w14:paraId="09397AFE" w14:textId="77777777" w:rsidTr="008D18FC">
        <w:tc>
          <w:tcPr>
            <w:tcW w:w="1030" w:type="dxa"/>
          </w:tcPr>
          <w:p w14:paraId="72E2F8C3" w14:textId="77777777" w:rsidR="008F364A" w:rsidRPr="009F222C" w:rsidRDefault="00354272">
            <w:pPr>
              <w:pStyle w:val="zSoquijlblNoDossier"/>
              <w:rPr>
                <w:lang w:val="en-CA"/>
              </w:rPr>
            </w:pPr>
            <w:r w:rsidRPr="009F222C">
              <w:rPr>
                <w:lang w:val="en-CA"/>
              </w:rPr>
              <w:t>No.:</w:t>
            </w:r>
          </w:p>
        </w:tc>
        <w:tc>
          <w:tcPr>
            <w:tcW w:w="8330" w:type="dxa"/>
            <w:gridSpan w:val="5"/>
          </w:tcPr>
          <w:p w14:paraId="086E4429" w14:textId="0146FEE0" w:rsidR="008F364A" w:rsidRPr="001A6BBA" w:rsidRDefault="00354272">
            <w:pPr>
              <w:pStyle w:val="zSoquijdatNoDossier"/>
              <w:rPr>
                <w:lang w:val="en-CA"/>
              </w:rPr>
            </w:pPr>
            <w:bookmarkStart w:id="0" w:name="NoDossier"/>
            <w:r w:rsidRPr="001A6BBA">
              <w:rPr>
                <w:lang w:val="en-CA"/>
              </w:rPr>
              <w:t>500-09-030160-220</w:t>
            </w:r>
            <w:bookmarkEnd w:id="0"/>
          </w:p>
        </w:tc>
      </w:tr>
      <w:tr w:rsidR="00C233D9" w:rsidRPr="001A6BBA" w14:paraId="36B6EFD5" w14:textId="77777777" w:rsidTr="008D18FC">
        <w:tc>
          <w:tcPr>
            <w:tcW w:w="9360" w:type="dxa"/>
            <w:gridSpan w:val="6"/>
          </w:tcPr>
          <w:p w14:paraId="7D30082F" w14:textId="77777777" w:rsidR="00180223" w:rsidRPr="001A6BBA" w:rsidRDefault="00354272" w:rsidP="00180223">
            <w:pPr>
              <w:pStyle w:val="zSoquijdatNoDossierAnt"/>
              <w:rPr>
                <w:lang w:val="en-CA"/>
              </w:rPr>
            </w:pPr>
            <w:r w:rsidRPr="001A6BBA">
              <w:rPr>
                <w:lang w:val="en-CA"/>
              </w:rPr>
              <w:t>(500-06-000890-174)</w:t>
            </w:r>
          </w:p>
        </w:tc>
      </w:tr>
      <w:tr w:rsidR="00C233D9" w:rsidRPr="001A6BBA" w14:paraId="7169D384" w14:textId="77777777" w:rsidTr="008D18FC">
        <w:tc>
          <w:tcPr>
            <w:tcW w:w="9360" w:type="dxa"/>
            <w:gridSpan w:val="6"/>
          </w:tcPr>
          <w:p w14:paraId="231B827E" w14:textId="77777777" w:rsidR="008F364A" w:rsidRPr="001A6BBA" w:rsidRDefault="008F364A">
            <w:pPr>
              <w:rPr>
                <w:lang w:val="en-CA"/>
              </w:rPr>
            </w:pPr>
          </w:p>
        </w:tc>
      </w:tr>
      <w:tr w:rsidR="00C233D9" w:rsidRPr="001A6BBA" w14:paraId="44E90347" w14:textId="77777777" w:rsidTr="008D18FC">
        <w:tc>
          <w:tcPr>
            <w:tcW w:w="1030" w:type="dxa"/>
          </w:tcPr>
          <w:p w14:paraId="03E4748E" w14:textId="2D32E90C" w:rsidR="008F364A" w:rsidRPr="009F222C" w:rsidRDefault="004F208D">
            <w:pPr>
              <w:pStyle w:val="zSoquijlblDateJugement"/>
              <w:rPr>
                <w:lang w:val="en-CA"/>
              </w:rPr>
            </w:pPr>
            <w:r w:rsidRPr="009F222C">
              <w:rPr>
                <w:lang w:val="en-CA"/>
              </w:rPr>
              <w:t>DATE:</w:t>
            </w:r>
          </w:p>
        </w:tc>
        <w:tc>
          <w:tcPr>
            <w:tcW w:w="8330" w:type="dxa"/>
            <w:gridSpan w:val="5"/>
          </w:tcPr>
          <w:p w14:paraId="6E5819F7" w14:textId="04062C5A" w:rsidR="008F364A" w:rsidRPr="009F222C" w:rsidRDefault="004F208D">
            <w:pPr>
              <w:pStyle w:val="zSoquijdatDateJugement"/>
              <w:rPr>
                <w:lang w:val="en-CA"/>
              </w:rPr>
            </w:pPr>
            <w:r w:rsidRPr="009F222C">
              <w:rPr>
                <w:lang w:val="en-CA"/>
              </w:rPr>
              <w:t>April 24, 2023</w:t>
            </w:r>
          </w:p>
        </w:tc>
      </w:tr>
      <w:tr w:rsidR="00C233D9" w:rsidRPr="001A6BBA" w14:paraId="501AC8DD" w14:textId="77777777" w:rsidTr="008D18FC">
        <w:tc>
          <w:tcPr>
            <w:tcW w:w="9360" w:type="dxa"/>
            <w:gridSpan w:val="6"/>
            <w:tcBorders>
              <w:bottom w:val="single" w:sz="8" w:space="0" w:color="auto"/>
            </w:tcBorders>
          </w:tcPr>
          <w:p w14:paraId="3A2FA006" w14:textId="77777777" w:rsidR="008F364A" w:rsidRPr="001A6BBA" w:rsidRDefault="008F364A">
            <w:pPr>
              <w:rPr>
                <w:lang w:val="en-CA"/>
              </w:rPr>
            </w:pPr>
          </w:p>
        </w:tc>
      </w:tr>
      <w:tr w:rsidR="00C233D9" w:rsidRPr="001A6BBA" w14:paraId="340F5196" w14:textId="77777777" w:rsidTr="008D18FC">
        <w:tc>
          <w:tcPr>
            <w:tcW w:w="9360" w:type="dxa"/>
            <w:gridSpan w:val="6"/>
            <w:tcBorders>
              <w:top w:val="single" w:sz="8" w:space="0" w:color="auto"/>
            </w:tcBorders>
          </w:tcPr>
          <w:p w14:paraId="2E98B974" w14:textId="77777777" w:rsidR="008F364A" w:rsidRPr="001A6BBA" w:rsidRDefault="008F364A">
            <w:pPr>
              <w:rPr>
                <w:lang w:val="en-CA"/>
              </w:rPr>
            </w:pPr>
          </w:p>
        </w:tc>
      </w:tr>
      <w:tr w:rsidR="00C233D9" w:rsidRPr="001A6BBA" w14:paraId="1091800B" w14:textId="77777777" w:rsidTr="008D18FC">
        <w:tc>
          <w:tcPr>
            <w:tcW w:w="1620" w:type="dxa"/>
            <w:gridSpan w:val="2"/>
          </w:tcPr>
          <w:p w14:paraId="4AB9B50B" w14:textId="634A774D" w:rsidR="008F364A" w:rsidRPr="009F222C" w:rsidRDefault="004F208D" w:rsidP="00423DF1">
            <w:pPr>
              <w:pStyle w:val="zSoquijlblJuge"/>
              <w:ind w:right="-142"/>
              <w:rPr>
                <w:lang w:val="en-CA"/>
              </w:rPr>
            </w:pPr>
            <w:r w:rsidRPr="009F222C">
              <w:rPr>
                <w:lang w:val="en-CA"/>
              </w:rPr>
              <w:t>CORAM:</w:t>
            </w:r>
          </w:p>
        </w:tc>
        <w:tc>
          <w:tcPr>
            <w:tcW w:w="2350" w:type="dxa"/>
            <w:gridSpan w:val="2"/>
          </w:tcPr>
          <w:p w14:paraId="516340C2" w14:textId="77777777" w:rsidR="008F364A" w:rsidRPr="009F222C" w:rsidRDefault="00354272">
            <w:pPr>
              <w:pStyle w:val="zSoquijdatQteJuge"/>
              <w:rPr>
                <w:lang w:val="en-CA"/>
              </w:rPr>
            </w:pPr>
            <w:bookmarkStart w:id="1" w:name="Honorables"/>
            <w:r w:rsidRPr="009F222C">
              <w:rPr>
                <w:lang w:val="en-CA"/>
              </w:rPr>
              <w:t>THE HONOURABLE</w:t>
            </w:r>
            <w:bookmarkEnd w:id="1"/>
          </w:p>
        </w:tc>
        <w:tc>
          <w:tcPr>
            <w:tcW w:w="5390" w:type="dxa"/>
            <w:gridSpan w:val="2"/>
          </w:tcPr>
          <w:p w14:paraId="67B8438B" w14:textId="538C3AA0" w:rsidR="008F364A" w:rsidRPr="009F222C" w:rsidRDefault="00354272">
            <w:pPr>
              <w:pStyle w:val="zSoquijdatJuge"/>
              <w:rPr>
                <w:lang w:val="en-CA"/>
              </w:rPr>
            </w:pPr>
            <w:bookmarkStart w:id="2" w:name="NomJuge1"/>
            <w:r w:rsidRPr="009F222C">
              <w:rPr>
                <w:lang w:val="en-CA"/>
              </w:rPr>
              <w:t>MARK SCHRAGER, J.A.</w:t>
            </w:r>
            <w:bookmarkEnd w:id="2"/>
          </w:p>
          <w:p w14:paraId="23040902" w14:textId="574869F3" w:rsidR="008F364A" w:rsidRPr="009F222C" w:rsidRDefault="00354272">
            <w:pPr>
              <w:pStyle w:val="zSoquijdatJuge"/>
              <w:rPr>
                <w:lang w:val="en-CA"/>
              </w:rPr>
            </w:pPr>
            <w:bookmarkStart w:id="3" w:name="NomJuge2"/>
            <w:r w:rsidRPr="009F222C">
              <w:rPr>
                <w:lang w:val="en-CA"/>
              </w:rPr>
              <w:t>PATRICK HEALY, J.A.</w:t>
            </w:r>
            <w:bookmarkEnd w:id="3"/>
          </w:p>
          <w:p w14:paraId="6CDA5F93" w14:textId="4A6E1ED6" w:rsidR="005A78BF" w:rsidRPr="009F222C" w:rsidRDefault="004F208D" w:rsidP="00180223">
            <w:pPr>
              <w:pStyle w:val="zSoquijdatJuge"/>
              <w:rPr>
                <w:lang w:val="en-CA"/>
              </w:rPr>
            </w:pPr>
            <w:bookmarkStart w:id="4" w:name="_Hlt520513784"/>
            <w:bookmarkEnd w:id="4"/>
            <w:r w:rsidRPr="009F222C">
              <w:rPr>
                <w:lang w:val="en-CA"/>
              </w:rPr>
              <w:t>CHRISTINE BAUDOUIN, J.A.</w:t>
            </w:r>
          </w:p>
        </w:tc>
      </w:tr>
      <w:tr w:rsidR="00C233D9" w:rsidRPr="001A6BBA" w14:paraId="7F513CBA" w14:textId="77777777" w:rsidTr="008D18FC">
        <w:tc>
          <w:tcPr>
            <w:tcW w:w="9360" w:type="dxa"/>
            <w:gridSpan w:val="6"/>
            <w:tcBorders>
              <w:bottom w:val="single" w:sz="8" w:space="0" w:color="auto"/>
            </w:tcBorders>
          </w:tcPr>
          <w:p w14:paraId="38E9E05E" w14:textId="77777777" w:rsidR="008F364A" w:rsidRPr="001A6BBA" w:rsidRDefault="008F364A">
            <w:pPr>
              <w:rPr>
                <w:lang w:val="en-CA"/>
              </w:rPr>
            </w:pPr>
          </w:p>
        </w:tc>
      </w:tr>
      <w:tr w:rsidR="00C233D9" w:rsidRPr="001A6BBA" w14:paraId="3ECCD5B1" w14:textId="77777777" w:rsidTr="008D18FC">
        <w:tc>
          <w:tcPr>
            <w:tcW w:w="9360" w:type="dxa"/>
            <w:gridSpan w:val="6"/>
          </w:tcPr>
          <w:p w14:paraId="6A93AFD1" w14:textId="77777777" w:rsidR="008F364A" w:rsidRPr="001A6BBA" w:rsidRDefault="008F364A">
            <w:pPr>
              <w:pStyle w:val="zSoquijlblTitrePartie"/>
              <w:rPr>
                <w:lang w:val="en-CA"/>
              </w:rPr>
            </w:pPr>
          </w:p>
        </w:tc>
      </w:tr>
      <w:tr w:rsidR="00C233D9" w:rsidRPr="001A6BBA" w14:paraId="45D39B4F" w14:textId="77777777" w:rsidTr="008D18FC">
        <w:tc>
          <w:tcPr>
            <w:tcW w:w="9360" w:type="dxa"/>
            <w:gridSpan w:val="6"/>
          </w:tcPr>
          <w:p w14:paraId="532ECF4D" w14:textId="05987DD3" w:rsidR="008F364A" w:rsidRPr="001A6BBA" w:rsidRDefault="00354272">
            <w:pPr>
              <w:pStyle w:val="zSoquijdatNomPartieDem"/>
              <w:rPr>
                <w:lang w:val="en-CA"/>
              </w:rPr>
            </w:pPr>
            <w:r w:rsidRPr="009F222C">
              <w:rPr>
                <w:lang w:val="en-CA"/>
              </w:rPr>
              <w:t>B</w:t>
            </w:r>
            <w:r w:rsidR="00FA50DB">
              <w:rPr>
                <w:lang w:val="en-CA"/>
              </w:rPr>
              <w:t>.</w:t>
            </w:r>
            <w:r w:rsidR="004F208D" w:rsidRPr="009F222C">
              <w:rPr>
                <w:lang w:val="en-CA"/>
              </w:rPr>
              <w:t>F</w:t>
            </w:r>
            <w:r w:rsidR="00FA50DB">
              <w:rPr>
                <w:lang w:val="en-CA"/>
              </w:rPr>
              <w:t>.</w:t>
            </w:r>
          </w:p>
        </w:tc>
      </w:tr>
      <w:tr w:rsidR="00C233D9" w:rsidRPr="001A6BBA" w14:paraId="4CFE57A0" w14:textId="77777777" w:rsidTr="008D18FC">
        <w:tc>
          <w:tcPr>
            <w:tcW w:w="9360" w:type="dxa"/>
            <w:gridSpan w:val="6"/>
          </w:tcPr>
          <w:p w14:paraId="61F9F379" w14:textId="272D5E21" w:rsidR="008F364A" w:rsidRPr="009F222C" w:rsidRDefault="004F208D">
            <w:pPr>
              <w:pStyle w:val="zSoquijdatQtePartieDem"/>
              <w:rPr>
                <w:lang w:val="en-CA"/>
              </w:rPr>
            </w:pPr>
            <w:r w:rsidRPr="009F222C">
              <w:rPr>
                <w:lang w:val="en-CA"/>
              </w:rPr>
              <w:t>APPELLANT – plaintiff/representative</w:t>
            </w:r>
          </w:p>
        </w:tc>
      </w:tr>
      <w:tr w:rsidR="00C233D9" w:rsidRPr="001A6BBA" w14:paraId="137298A7" w14:textId="77777777" w:rsidTr="008D18FC">
        <w:tc>
          <w:tcPr>
            <w:tcW w:w="9360" w:type="dxa"/>
            <w:gridSpan w:val="6"/>
          </w:tcPr>
          <w:p w14:paraId="547479D4" w14:textId="66CB14DC" w:rsidR="008F364A" w:rsidRPr="009F222C" w:rsidRDefault="00CA03F9">
            <w:pPr>
              <w:pStyle w:val="zSoquijlblLienParties"/>
              <w:rPr>
                <w:lang w:val="en-CA"/>
              </w:rPr>
            </w:pPr>
            <w:r>
              <w:rPr>
                <w:lang w:val="en-CA"/>
              </w:rPr>
              <w:t>v</w:t>
            </w:r>
            <w:r w:rsidR="004F208D" w:rsidRPr="009F222C">
              <w:rPr>
                <w:lang w:val="en-CA"/>
              </w:rPr>
              <w:t>.</w:t>
            </w:r>
          </w:p>
        </w:tc>
      </w:tr>
      <w:tr w:rsidR="00C233D9" w:rsidRPr="001A6BBA" w14:paraId="5AF2CBD3" w14:textId="77777777" w:rsidTr="008D18FC">
        <w:tc>
          <w:tcPr>
            <w:tcW w:w="9360" w:type="dxa"/>
            <w:gridSpan w:val="6"/>
          </w:tcPr>
          <w:p w14:paraId="2E5701F4" w14:textId="77777777" w:rsidR="008F364A" w:rsidRPr="001A6BBA" w:rsidRDefault="008F364A">
            <w:pPr>
              <w:rPr>
                <w:lang w:val="en-CA"/>
              </w:rPr>
            </w:pPr>
          </w:p>
        </w:tc>
      </w:tr>
      <w:tr w:rsidR="00C233D9" w:rsidRPr="001A6BBA" w14:paraId="3371F91C" w14:textId="77777777" w:rsidTr="008D18FC">
        <w:tc>
          <w:tcPr>
            <w:tcW w:w="9360" w:type="dxa"/>
            <w:gridSpan w:val="6"/>
          </w:tcPr>
          <w:p w14:paraId="2F8243DB" w14:textId="353266C6" w:rsidR="008F364A" w:rsidRPr="008778A3" w:rsidRDefault="00354272">
            <w:pPr>
              <w:pStyle w:val="zSoquijdatNomPartieDef"/>
            </w:pPr>
            <w:r w:rsidRPr="008778A3">
              <w:t>LES CLERCS DE SAINT-VIATEUR DU CANADA</w:t>
            </w:r>
          </w:p>
        </w:tc>
      </w:tr>
      <w:tr w:rsidR="00C233D9" w:rsidRPr="00F5469D" w14:paraId="441C7285" w14:textId="77777777" w:rsidTr="008D18FC">
        <w:tc>
          <w:tcPr>
            <w:tcW w:w="9360" w:type="dxa"/>
            <w:gridSpan w:val="6"/>
          </w:tcPr>
          <w:p w14:paraId="366E64C4" w14:textId="3EB80E4A" w:rsidR="008F364A" w:rsidRPr="009F222C" w:rsidRDefault="004F208D">
            <w:pPr>
              <w:pStyle w:val="zSoquijdatQtePartieDef"/>
              <w:rPr>
                <w:lang w:val="en-CA"/>
              </w:rPr>
            </w:pPr>
            <w:r w:rsidRPr="009F222C">
              <w:rPr>
                <w:lang w:val="en-CA"/>
              </w:rPr>
              <w:t>RESPONDENT - defendant/plaintiff in warranty</w:t>
            </w:r>
          </w:p>
        </w:tc>
      </w:tr>
      <w:tr w:rsidR="00C233D9" w:rsidRPr="001A6BBA" w14:paraId="7062CCDC" w14:textId="77777777" w:rsidTr="008D18FC">
        <w:tc>
          <w:tcPr>
            <w:tcW w:w="9360" w:type="dxa"/>
            <w:gridSpan w:val="6"/>
          </w:tcPr>
          <w:p w14:paraId="4F32F160" w14:textId="14CC47F1" w:rsidR="00180223" w:rsidRPr="009F222C" w:rsidRDefault="004F208D" w:rsidP="00180223">
            <w:pPr>
              <w:rPr>
                <w:lang w:val="en-CA"/>
              </w:rPr>
            </w:pPr>
            <w:r w:rsidRPr="009F222C">
              <w:rPr>
                <w:lang w:val="en-CA"/>
              </w:rPr>
              <w:t>and</w:t>
            </w:r>
          </w:p>
        </w:tc>
      </w:tr>
      <w:tr w:rsidR="00C233D9" w:rsidRPr="001A6BBA" w14:paraId="2C6767F7" w14:textId="77777777" w:rsidTr="008D18FC">
        <w:tc>
          <w:tcPr>
            <w:tcW w:w="9360" w:type="dxa"/>
            <w:gridSpan w:val="6"/>
          </w:tcPr>
          <w:p w14:paraId="1959FDB9" w14:textId="7574404C" w:rsidR="00180223" w:rsidRPr="009F222C" w:rsidRDefault="00354272" w:rsidP="00180223">
            <w:pPr>
              <w:pStyle w:val="zSoquijdatNomPartieDef"/>
              <w:rPr>
                <w:lang w:val="en-CA"/>
              </w:rPr>
            </w:pPr>
            <w:r w:rsidRPr="009F222C">
              <w:rPr>
                <w:lang w:val="en-CA"/>
              </w:rPr>
              <w:t>COLLÈGE BOURGET</w:t>
            </w:r>
          </w:p>
        </w:tc>
      </w:tr>
      <w:tr w:rsidR="00C233D9" w:rsidRPr="001A6BBA" w14:paraId="75C34027" w14:textId="77777777" w:rsidTr="008D18FC">
        <w:tc>
          <w:tcPr>
            <w:tcW w:w="9360" w:type="dxa"/>
            <w:gridSpan w:val="6"/>
          </w:tcPr>
          <w:p w14:paraId="7FAB9D6C" w14:textId="619F61BE" w:rsidR="00180223" w:rsidRPr="008778A3" w:rsidRDefault="00354272" w:rsidP="00180223">
            <w:pPr>
              <w:pStyle w:val="zSoquijdatNomPartieDef"/>
            </w:pPr>
            <w:r w:rsidRPr="008778A3">
              <w:t>FONDS D’ENTRAIDE DE L’ANCIEN SÉMINAIRE DE JOLIETTE</w:t>
            </w:r>
          </w:p>
        </w:tc>
      </w:tr>
      <w:tr w:rsidR="00C233D9" w:rsidRPr="001A6BBA" w14:paraId="678F5FCD" w14:textId="77777777" w:rsidTr="008D18FC">
        <w:tc>
          <w:tcPr>
            <w:tcW w:w="9360" w:type="dxa"/>
            <w:gridSpan w:val="6"/>
          </w:tcPr>
          <w:p w14:paraId="4D5C4351" w14:textId="490CCAC3" w:rsidR="00180223" w:rsidRPr="008778A3" w:rsidRDefault="00354272" w:rsidP="00180223">
            <w:pPr>
              <w:pStyle w:val="zSoquijdatNomPartieDef"/>
            </w:pPr>
            <w:r w:rsidRPr="008778A3">
              <w:t>CENTRE INTÉGRÉ UNIVERSITAIRE DE SANTÉ ET DE SERVICES SOCIAUX DE LA CAPITALE-NATIONALE</w:t>
            </w:r>
          </w:p>
        </w:tc>
      </w:tr>
      <w:tr w:rsidR="00C233D9" w:rsidRPr="001A6BBA" w14:paraId="70E6F398" w14:textId="77777777" w:rsidTr="008D18FC">
        <w:tc>
          <w:tcPr>
            <w:tcW w:w="9360" w:type="dxa"/>
            <w:gridSpan w:val="6"/>
          </w:tcPr>
          <w:p w14:paraId="160C4CB2" w14:textId="1338B091" w:rsidR="00180223" w:rsidRPr="009F222C" w:rsidRDefault="004F208D" w:rsidP="00180223">
            <w:pPr>
              <w:pStyle w:val="zSoquijdatQtePartieDef"/>
              <w:rPr>
                <w:lang w:val="en-CA"/>
              </w:rPr>
            </w:pPr>
            <w:r w:rsidRPr="009F222C">
              <w:rPr>
                <w:lang w:val="en-CA"/>
              </w:rPr>
              <w:t>RESPONDENTS – defendants</w:t>
            </w:r>
          </w:p>
        </w:tc>
      </w:tr>
      <w:tr w:rsidR="00C233D9" w:rsidRPr="001A6BBA" w14:paraId="77768DFD" w14:textId="77777777" w:rsidTr="008D18FC">
        <w:tc>
          <w:tcPr>
            <w:tcW w:w="9360" w:type="dxa"/>
            <w:gridSpan w:val="6"/>
          </w:tcPr>
          <w:p w14:paraId="25E90521" w14:textId="5822EFC6" w:rsidR="00180223" w:rsidRPr="009F222C" w:rsidRDefault="004F208D" w:rsidP="00180223">
            <w:pPr>
              <w:rPr>
                <w:lang w:val="en-CA"/>
              </w:rPr>
            </w:pPr>
            <w:r w:rsidRPr="009F222C">
              <w:rPr>
                <w:lang w:val="en-CA"/>
              </w:rPr>
              <w:t>and</w:t>
            </w:r>
          </w:p>
        </w:tc>
      </w:tr>
      <w:tr w:rsidR="00C233D9" w:rsidRPr="001A6BBA" w14:paraId="0F744CFB" w14:textId="77777777" w:rsidTr="008D18FC">
        <w:tc>
          <w:tcPr>
            <w:tcW w:w="9360" w:type="dxa"/>
            <w:gridSpan w:val="6"/>
          </w:tcPr>
          <w:p w14:paraId="1A321C4C" w14:textId="1133AB7E" w:rsidR="00180223" w:rsidRPr="009F222C" w:rsidRDefault="00354272" w:rsidP="00180223">
            <w:pPr>
              <w:pStyle w:val="zSoquijdatNomPartieDef"/>
              <w:rPr>
                <w:lang w:val="en-CA"/>
              </w:rPr>
            </w:pPr>
            <w:r w:rsidRPr="009F222C">
              <w:rPr>
                <w:lang w:val="en-CA"/>
              </w:rPr>
              <w:t>LES MISSIONS SAINT-VIATEUR</w:t>
            </w:r>
          </w:p>
        </w:tc>
      </w:tr>
      <w:tr w:rsidR="00C233D9" w:rsidRPr="001A6BBA" w14:paraId="693EF983" w14:textId="77777777" w:rsidTr="008D18FC">
        <w:tc>
          <w:tcPr>
            <w:tcW w:w="9360" w:type="dxa"/>
            <w:gridSpan w:val="6"/>
          </w:tcPr>
          <w:p w14:paraId="61DCA8A7" w14:textId="2CE10AC0" w:rsidR="00180223" w:rsidRPr="009F222C" w:rsidRDefault="00354272" w:rsidP="00180223">
            <w:pPr>
              <w:pStyle w:val="zSoquijdatNomPartieDef"/>
              <w:rPr>
                <w:lang w:val="en-CA"/>
              </w:rPr>
            </w:pPr>
            <w:r w:rsidRPr="009F222C">
              <w:rPr>
                <w:lang w:val="en-CA"/>
              </w:rPr>
              <w:t>FONDS LOUIS-QUERBES</w:t>
            </w:r>
          </w:p>
        </w:tc>
      </w:tr>
      <w:tr w:rsidR="00C233D9" w:rsidRPr="001A6BBA" w14:paraId="255D10B7" w14:textId="77777777" w:rsidTr="008D18FC">
        <w:tc>
          <w:tcPr>
            <w:tcW w:w="9360" w:type="dxa"/>
            <w:gridSpan w:val="6"/>
          </w:tcPr>
          <w:p w14:paraId="7BB9E397" w14:textId="3C6DD13D" w:rsidR="00180223" w:rsidRPr="009F222C" w:rsidRDefault="004F208D" w:rsidP="00180223">
            <w:pPr>
              <w:pStyle w:val="zSoquijdatQtePartieDef"/>
              <w:rPr>
                <w:lang w:val="en-CA"/>
              </w:rPr>
            </w:pPr>
            <w:r w:rsidRPr="009F222C">
              <w:rPr>
                <w:lang w:val="en-CA"/>
              </w:rPr>
              <w:t>RESPONDENTS – impleaded parties</w:t>
            </w:r>
          </w:p>
        </w:tc>
      </w:tr>
      <w:tr w:rsidR="00C233D9" w:rsidRPr="001A6BBA" w14:paraId="15988079" w14:textId="77777777" w:rsidTr="008D18FC">
        <w:tc>
          <w:tcPr>
            <w:tcW w:w="9360" w:type="dxa"/>
            <w:gridSpan w:val="6"/>
          </w:tcPr>
          <w:p w14:paraId="3C2FECB4" w14:textId="1BBC26E4" w:rsidR="00180223" w:rsidRPr="009F222C" w:rsidRDefault="004F208D" w:rsidP="00180223">
            <w:pPr>
              <w:rPr>
                <w:lang w:val="en-CA"/>
              </w:rPr>
            </w:pPr>
            <w:r w:rsidRPr="009F222C">
              <w:rPr>
                <w:lang w:val="en-CA"/>
              </w:rPr>
              <w:t>and</w:t>
            </w:r>
          </w:p>
        </w:tc>
      </w:tr>
      <w:tr w:rsidR="00C233D9" w:rsidRPr="001A6BBA" w14:paraId="143114BE" w14:textId="77777777" w:rsidTr="008D18FC">
        <w:tc>
          <w:tcPr>
            <w:tcW w:w="9360" w:type="dxa"/>
            <w:gridSpan w:val="6"/>
          </w:tcPr>
          <w:p w14:paraId="16855596" w14:textId="2BB6FFFE" w:rsidR="00180223" w:rsidRPr="009F222C" w:rsidRDefault="004F208D" w:rsidP="00180223">
            <w:pPr>
              <w:pStyle w:val="zSoquijdatNomPartieDef"/>
              <w:rPr>
                <w:lang w:val="en-CA"/>
              </w:rPr>
            </w:pPr>
            <w:r w:rsidRPr="009F222C">
              <w:rPr>
                <w:lang w:val="en-CA"/>
              </w:rPr>
              <w:t>INTACT INSURANCE COMPANY</w:t>
            </w:r>
          </w:p>
        </w:tc>
      </w:tr>
      <w:tr w:rsidR="00C233D9" w:rsidRPr="00F5469D" w14:paraId="169C3F2D" w14:textId="77777777" w:rsidTr="008D18FC">
        <w:tc>
          <w:tcPr>
            <w:tcW w:w="9360" w:type="dxa"/>
            <w:gridSpan w:val="6"/>
          </w:tcPr>
          <w:p w14:paraId="39F567CF" w14:textId="6C513AEF" w:rsidR="00180223" w:rsidRPr="001A6BBA" w:rsidRDefault="004F208D" w:rsidP="00180223">
            <w:pPr>
              <w:pStyle w:val="zSoquijdatQtePartieDef"/>
              <w:rPr>
                <w:lang w:val="en-CA"/>
              </w:rPr>
            </w:pPr>
            <w:r w:rsidRPr="001A6BBA">
              <w:rPr>
                <w:lang w:val="en-CA"/>
              </w:rPr>
              <w:t xml:space="preserve">RESPONDENT – third party intervenor/defendant in warranty </w:t>
            </w:r>
          </w:p>
        </w:tc>
      </w:tr>
      <w:tr w:rsidR="00C233D9" w:rsidRPr="001A6BBA" w14:paraId="7161B037" w14:textId="77777777" w:rsidTr="008D18FC">
        <w:tc>
          <w:tcPr>
            <w:tcW w:w="9360" w:type="dxa"/>
            <w:gridSpan w:val="6"/>
          </w:tcPr>
          <w:p w14:paraId="3C0D9D8B" w14:textId="7B929EB5" w:rsidR="00180223" w:rsidRPr="009F222C" w:rsidRDefault="004F208D" w:rsidP="00180223">
            <w:pPr>
              <w:rPr>
                <w:lang w:val="en-CA"/>
              </w:rPr>
            </w:pPr>
            <w:r w:rsidRPr="009F222C">
              <w:rPr>
                <w:lang w:val="en-CA"/>
              </w:rPr>
              <w:t>and</w:t>
            </w:r>
          </w:p>
        </w:tc>
      </w:tr>
      <w:tr w:rsidR="00C233D9" w:rsidRPr="001A6BBA" w14:paraId="0AF0B1DD" w14:textId="77777777" w:rsidTr="008D18FC">
        <w:tc>
          <w:tcPr>
            <w:tcW w:w="9360" w:type="dxa"/>
            <w:gridSpan w:val="6"/>
          </w:tcPr>
          <w:p w14:paraId="4BB21C33" w14:textId="0D1946B6" w:rsidR="00180223" w:rsidRPr="009F222C" w:rsidRDefault="00354272" w:rsidP="00180223">
            <w:pPr>
              <w:pStyle w:val="zSoquijdatNomPartieDef"/>
              <w:rPr>
                <w:lang w:val="en-CA"/>
              </w:rPr>
            </w:pPr>
            <w:r w:rsidRPr="009F222C">
              <w:rPr>
                <w:lang w:val="en-CA"/>
              </w:rPr>
              <w:t>TRAVELERS CANADA</w:t>
            </w:r>
          </w:p>
        </w:tc>
      </w:tr>
      <w:tr w:rsidR="00C233D9" w:rsidRPr="001A6BBA" w14:paraId="46B04E5A" w14:textId="77777777" w:rsidTr="008D18FC">
        <w:tc>
          <w:tcPr>
            <w:tcW w:w="9360" w:type="dxa"/>
            <w:gridSpan w:val="6"/>
          </w:tcPr>
          <w:p w14:paraId="161BE1C0" w14:textId="53A55E7D" w:rsidR="00180223" w:rsidRPr="009F222C" w:rsidRDefault="00354272" w:rsidP="00180223">
            <w:pPr>
              <w:pStyle w:val="zSoquijdatNomPartieDef"/>
              <w:rPr>
                <w:lang w:val="en-CA"/>
              </w:rPr>
            </w:pPr>
            <w:r w:rsidRPr="009F222C">
              <w:rPr>
                <w:lang w:val="en-CA"/>
              </w:rPr>
              <w:t>ROYAL AND SUN ALLIANCE</w:t>
            </w:r>
          </w:p>
        </w:tc>
      </w:tr>
      <w:tr w:rsidR="00C233D9" w:rsidRPr="00F5469D" w14:paraId="203513BF" w14:textId="77777777" w:rsidTr="008D18FC">
        <w:tc>
          <w:tcPr>
            <w:tcW w:w="9360" w:type="dxa"/>
            <w:gridSpan w:val="6"/>
          </w:tcPr>
          <w:p w14:paraId="4EE41CE3" w14:textId="016E97A4" w:rsidR="00180223" w:rsidRPr="009F222C" w:rsidRDefault="004F208D" w:rsidP="00180223">
            <w:pPr>
              <w:pStyle w:val="zSoquijdatQtePartieDef"/>
              <w:rPr>
                <w:lang w:val="en-CA"/>
              </w:rPr>
            </w:pPr>
            <w:r w:rsidRPr="009F222C">
              <w:rPr>
                <w:lang w:val="en-CA"/>
              </w:rPr>
              <w:t>IMPLEADED PARTIES – defendants in warranty</w:t>
            </w:r>
          </w:p>
        </w:tc>
      </w:tr>
      <w:tr w:rsidR="00C233D9" w:rsidRPr="001A6BBA" w14:paraId="64E023D5" w14:textId="77777777" w:rsidTr="008D18FC">
        <w:tc>
          <w:tcPr>
            <w:tcW w:w="9360" w:type="dxa"/>
            <w:gridSpan w:val="6"/>
          </w:tcPr>
          <w:p w14:paraId="58197D13" w14:textId="14175A45" w:rsidR="00180223" w:rsidRPr="009F222C" w:rsidRDefault="004F208D" w:rsidP="00180223">
            <w:pPr>
              <w:rPr>
                <w:lang w:val="en-CA"/>
              </w:rPr>
            </w:pPr>
            <w:r w:rsidRPr="009F222C">
              <w:rPr>
                <w:lang w:val="en-CA"/>
              </w:rPr>
              <w:t>and</w:t>
            </w:r>
          </w:p>
        </w:tc>
      </w:tr>
      <w:tr w:rsidR="00C233D9" w:rsidRPr="001A6BBA" w14:paraId="6CBC473E" w14:textId="77777777" w:rsidTr="008D18FC">
        <w:tc>
          <w:tcPr>
            <w:tcW w:w="9360" w:type="dxa"/>
            <w:gridSpan w:val="6"/>
          </w:tcPr>
          <w:p w14:paraId="05CB8BBB" w14:textId="78F1F46F" w:rsidR="00180223" w:rsidRPr="008778A3" w:rsidRDefault="00354272" w:rsidP="00180223">
            <w:pPr>
              <w:pStyle w:val="zSoquijdatNomPartieDef"/>
            </w:pPr>
            <w:r w:rsidRPr="008778A3">
              <w:br w:type="page"/>
            </w:r>
            <w:r w:rsidR="0035179A" w:rsidRPr="008778A3">
              <w:t>FONDS D’AIDE AUX ACTIONS COLLECTIVES</w:t>
            </w:r>
          </w:p>
        </w:tc>
      </w:tr>
      <w:tr w:rsidR="00C233D9" w:rsidRPr="001A6BBA" w14:paraId="190F42AB" w14:textId="77777777" w:rsidTr="008D18FC">
        <w:tc>
          <w:tcPr>
            <w:tcW w:w="9360" w:type="dxa"/>
            <w:gridSpan w:val="6"/>
          </w:tcPr>
          <w:p w14:paraId="0E060C37" w14:textId="572A60BD" w:rsidR="00180223" w:rsidRPr="009F222C" w:rsidRDefault="004F208D" w:rsidP="00180223">
            <w:pPr>
              <w:pStyle w:val="zSoquijdatQtePartieDef"/>
              <w:rPr>
                <w:lang w:val="en-CA"/>
              </w:rPr>
            </w:pPr>
            <w:r w:rsidRPr="009F222C">
              <w:rPr>
                <w:lang w:val="en-CA"/>
              </w:rPr>
              <w:lastRenderedPageBreak/>
              <w:t xml:space="preserve">IMPLEADED PARTY – Impleaded party </w:t>
            </w:r>
          </w:p>
        </w:tc>
      </w:tr>
      <w:tr w:rsidR="00C233D9" w:rsidRPr="001A6BBA" w14:paraId="3F038B2F" w14:textId="77777777" w:rsidTr="008D18FC">
        <w:tc>
          <w:tcPr>
            <w:tcW w:w="9360" w:type="dxa"/>
            <w:gridSpan w:val="6"/>
          </w:tcPr>
          <w:p w14:paraId="1A40B244" w14:textId="0B366A78" w:rsidR="007561E0" w:rsidRPr="009F222C" w:rsidRDefault="004F208D" w:rsidP="007561E0">
            <w:pPr>
              <w:rPr>
                <w:lang w:val="en-CA"/>
              </w:rPr>
            </w:pPr>
            <w:r w:rsidRPr="009F222C">
              <w:rPr>
                <w:lang w:val="en-CA"/>
              </w:rPr>
              <w:t>and</w:t>
            </w:r>
          </w:p>
        </w:tc>
      </w:tr>
      <w:tr w:rsidR="00C233D9" w:rsidRPr="001A6BBA" w14:paraId="2EE8995E" w14:textId="77777777" w:rsidTr="008D18FC">
        <w:tc>
          <w:tcPr>
            <w:tcW w:w="9360" w:type="dxa"/>
            <w:gridSpan w:val="6"/>
          </w:tcPr>
          <w:p w14:paraId="05FF518F" w14:textId="2A85F819" w:rsidR="007561E0" w:rsidRPr="009F222C" w:rsidRDefault="00354272" w:rsidP="007561E0">
            <w:pPr>
              <w:pStyle w:val="zSoquijdatNomPartieDef"/>
              <w:rPr>
                <w:lang w:val="en-CA"/>
              </w:rPr>
            </w:pPr>
            <w:r w:rsidRPr="009F222C">
              <w:rPr>
                <w:lang w:val="en-CA"/>
              </w:rPr>
              <w:t>JEAN-PHILIPPE GROLEAU</w:t>
            </w:r>
          </w:p>
        </w:tc>
      </w:tr>
      <w:tr w:rsidR="00C233D9" w:rsidRPr="001A6BBA" w14:paraId="240E3D7F" w14:textId="77777777" w:rsidTr="008D18FC">
        <w:tc>
          <w:tcPr>
            <w:tcW w:w="9360" w:type="dxa"/>
            <w:gridSpan w:val="6"/>
          </w:tcPr>
          <w:p w14:paraId="2C506A64" w14:textId="4326AA63" w:rsidR="007561E0" w:rsidRPr="009F222C" w:rsidRDefault="00354272" w:rsidP="007561E0">
            <w:pPr>
              <w:pStyle w:val="zSoquijdatQtePartieDef"/>
              <w:rPr>
                <w:lang w:val="en-CA"/>
              </w:rPr>
            </w:pPr>
            <w:r w:rsidRPr="009F222C">
              <w:rPr>
                <w:i/>
                <w:iCs/>
                <w:lang w:val="en-CA"/>
              </w:rPr>
              <w:t>AMICUS CURIAE</w:t>
            </w:r>
            <w:r w:rsidRPr="009F222C">
              <w:rPr>
                <w:lang w:val="en-CA"/>
              </w:rPr>
              <w:t xml:space="preserve"> </w:t>
            </w:r>
          </w:p>
        </w:tc>
      </w:tr>
      <w:tr w:rsidR="00C233D9" w:rsidRPr="001A6BBA" w14:paraId="5936FC37" w14:textId="77777777" w:rsidTr="008D18FC">
        <w:tc>
          <w:tcPr>
            <w:tcW w:w="9360" w:type="dxa"/>
            <w:gridSpan w:val="6"/>
          </w:tcPr>
          <w:p w14:paraId="12621E74" w14:textId="77777777" w:rsidR="008F364A" w:rsidRPr="001A6BBA" w:rsidRDefault="008F364A">
            <w:pPr>
              <w:rPr>
                <w:lang w:val="en-CA"/>
              </w:rPr>
            </w:pPr>
          </w:p>
        </w:tc>
      </w:tr>
      <w:tr w:rsidR="00C233D9" w:rsidRPr="001A6BBA" w14:paraId="3CD9110E" w14:textId="77777777" w:rsidTr="008D18FC">
        <w:tc>
          <w:tcPr>
            <w:tcW w:w="9360" w:type="dxa"/>
            <w:gridSpan w:val="6"/>
            <w:tcBorders>
              <w:top w:val="single" w:sz="8" w:space="0" w:color="auto"/>
            </w:tcBorders>
          </w:tcPr>
          <w:p w14:paraId="2D76AD0A" w14:textId="77777777" w:rsidR="008F364A" w:rsidRPr="001A6BBA" w:rsidRDefault="008F364A">
            <w:pPr>
              <w:rPr>
                <w:lang w:val="en-CA"/>
              </w:rPr>
            </w:pPr>
            <w:bookmarkStart w:id="5" w:name="Arret"/>
          </w:p>
        </w:tc>
      </w:tr>
      <w:tr w:rsidR="00C233D9" w:rsidRPr="001A6BBA" w14:paraId="5D3B07A4" w14:textId="77777777" w:rsidTr="008D18FC">
        <w:tc>
          <w:tcPr>
            <w:tcW w:w="9360" w:type="dxa"/>
            <w:gridSpan w:val="6"/>
          </w:tcPr>
          <w:p w14:paraId="6E70174E" w14:textId="44B2BE17" w:rsidR="008F364A" w:rsidRPr="009F222C" w:rsidRDefault="00354272" w:rsidP="00BC3C66">
            <w:pPr>
              <w:pStyle w:val="zSoquijlblTypeDocument"/>
              <w:spacing w:line="240" w:lineRule="auto"/>
              <w:rPr>
                <w:lang w:val="en-CA"/>
              </w:rPr>
            </w:pPr>
            <w:bookmarkStart w:id="6" w:name="TitreDocument"/>
            <w:r w:rsidRPr="009F222C">
              <w:rPr>
                <w:lang w:val="en-CA"/>
              </w:rPr>
              <w:t>JUDGMENT</w:t>
            </w:r>
            <w:bookmarkEnd w:id="6"/>
          </w:p>
        </w:tc>
      </w:tr>
      <w:tr w:rsidR="00C233D9" w:rsidRPr="001A6BBA" w14:paraId="0860DBC9" w14:textId="77777777" w:rsidTr="008D18FC">
        <w:tc>
          <w:tcPr>
            <w:tcW w:w="9360" w:type="dxa"/>
            <w:gridSpan w:val="6"/>
            <w:tcBorders>
              <w:bottom w:val="single" w:sz="8" w:space="0" w:color="auto"/>
            </w:tcBorders>
          </w:tcPr>
          <w:p w14:paraId="3CA1059B" w14:textId="77777777" w:rsidR="008F364A" w:rsidRPr="001A6BBA" w:rsidRDefault="008F364A" w:rsidP="00BC3C66">
            <w:pPr>
              <w:spacing w:line="240" w:lineRule="auto"/>
              <w:rPr>
                <w:lang w:val="en-CA"/>
              </w:rPr>
            </w:pPr>
          </w:p>
        </w:tc>
      </w:tr>
      <w:tr w:rsidR="00C233D9" w:rsidRPr="001A6BBA" w14:paraId="500DD160" w14:textId="77777777" w:rsidTr="008D18FC">
        <w:tc>
          <w:tcPr>
            <w:tcW w:w="9360" w:type="dxa"/>
            <w:gridSpan w:val="6"/>
            <w:tcBorders>
              <w:top w:val="single" w:sz="8" w:space="0" w:color="auto"/>
            </w:tcBorders>
          </w:tcPr>
          <w:p w14:paraId="06DC64A5" w14:textId="77777777" w:rsidR="008F364A" w:rsidRPr="001A6BBA" w:rsidRDefault="008F364A" w:rsidP="00BC3C66">
            <w:pPr>
              <w:spacing w:line="240" w:lineRule="auto"/>
              <w:rPr>
                <w:lang w:val="en-CA"/>
              </w:rPr>
            </w:pPr>
          </w:p>
        </w:tc>
      </w:tr>
    </w:tbl>
    <w:p w14:paraId="608574BE" w14:textId="6CA268BF" w:rsidR="00BB7D66" w:rsidRPr="001A6BBA" w:rsidRDefault="00BB7D66" w:rsidP="00BC3C66">
      <w:pPr>
        <w:pStyle w:val="Paragraphe"/>
        <w:numPr>
          <w:ilvl w:val="0"/>
          <w:numId w:val="0"/>
        </w:numPr>
        <w:spacing w:before="0" w:after="0" w:line="240" w:lineRule="auto"/>
        <w:rPr>
          <w:lang w:val="en-CA"/>
        </w:rPr>
      </w:pPr>
    </w:p>
    <w:tbl>
      <w:tblPr>
        <w:tblStyle w:val="Grilledutableau"/>
        <w:tblW w:w="0" w:type="auto"/>
        <w:tblLook w:val="04A0" w:firstRow="1" w:lastRow="0" w:firstColumn="1" w:lastColumn="0" w:noHBand="0" w:noVBand="1"/>
      </w:tblPr>
      <w:tblGrid>
        <w:gridCol w:w="9352"/>
      </w:tblGrid>
      <w:tr w:rsidR="00C233D9" w:rsidRPr="00F5469D" w14:paraId="118E968B" w14:textId="77777777" w:rsidTr="00BB7D66">
        <w:tc>
          <w:tcPr>
            <w:tcW w:w="9352" w:type="dxa"/>
          </w:tcPr>
          <w:p w14:paraId="70E80ED9" w14:textId="5BC59FC7" w:rsidR="00BB7D66" w:rsidRPr="001A6BBA" w:rsidRDefault="004F208D" w:rsidP="00BC3C66">
            <w:pPr>
              <w:pStyle w:val="Paragraphe"/>
              <w:numPr>
                <w:ilvl w:val="0"/>
                <w:numId w:val="0"/>
              </w:numPr>
              <w:spacing w:before="0" w:after="0" w:line="240" w:lineRule="auto"/>
              <w:rPr>
                <w:lang w:val="en-CA"/>
              </w:rPr>
            </w:pPr>
            <w:r w:rsidRPr="009F222C">
              <w:rPr>
                <w:b/>
                <w:bCs/>
                <w:lang w:val="en-CA"/>
              </w:rPr>
              <w:t>WARN</w:t>
            </w:r>
            <w:r w:rsidR="00FA50DB">
              <w:rPr>
                <w:b/>
                <w:bCs/>
                <w:lang w:val="en-CA"/>
              </w:rPr>
              <w:t>I</w:t>
            </w:r>
            <w:r w:rsidRPr="009F222C">
              <w:rPr>
                <w:b/>
                <w:bCs/>
                <w:lang w:val="en-CA"/>
              </w:rPr>
              <w:t>NG</w:t>
            </w:r>
            <w:r w:rsidRPr="009F222C">
              <w:rPr>
                <w:bCs/>
                <w:lang w:val="en-CA"/>
              </w:rPr>
              <w:t>:</w:t>
            </w:r>
            <w:r w:rsidR="00354272" w:rsidRPr="001A6BBA">
              <w:rPr>
                <w:lang w:val="en-CA"/>
              </w:rPr>
              <w:t xml:space="preserve"> </w:t>
            </w:r>
            <w:r w:rsidR="00FA50DB">
              <w:rPr>
                <w:lang w:val="en-CA"/>
              </w:rPr>
              <w:t xml:space="preserve">Order restricting publication: </w:t>
            </w:r>
            <w:r w:rsidRPr="009F222C">
              <w:rPr>
                <w:lang w:val="en-CA"/>
              </w:rPr>
              <w:t>On August 25,</w:t>
            </w:r>
            <w:r w:rsidR="00FA50DB">
              <w:rPr>
                <w:lang w:val="en-CA"/>
              </w:rPr>
              <w:t xml:space="preserve"> </w:t>
            </w:r>
            <w:r w:rsidRPr="009F222C">
              <w:rPr>
                <w:lang w:val="en-CA"/>
              </w:rPr>
              <w:t xml:space="preserve">2022, the Honourable Robert Mainville made an order directing that any information that could identify the </w:t>
            </w:r>
            <w:r w:rsidR="00CA03F9" w:rsidRPr="009F222C">
              <w:rPr>
                <w:lang w:val="en-CA"/>
              </w:rPr>
              <w:t xml:space="preserve">dissenting </w:t>
            </w:r>
            <w:r w:rsidR="00CA03F9">
              <w:rPr>
                <w:lang w:val="en-CA"/>
              </w:rPr>
              <w:t xml:space="preserve">class </w:t>
            </w:r>
            <w:r w:rsidR="00CA03F9" w:rsidRPr="009F222C">
              <w:rPr>
                <w:lang w:val="en-CA"/>
              </w:rPr>
              <w:t>member</w:t>
            </w:r>
            <w:r w:rsidRPr="009F222C">
              <w:rPr>
                <w:lang w:val="en-CA"/>
              </w:rPr>
              <w:t xml:space="preserve"> </w:t>
            </w:r>
            <w:r w:rsidR="0035179A">
              <w:rPr>
                <w:lang w:val="en-CA"/>
              </w:rPr>
              <w:t xml:space="preserve">shall </w:t>
            </w:r>
            <w:r w:rsidRPr="009F222C">
              <w:rPr>
                <w:lang w:val="en-CA"/>
              </w:rPr>
              <w:t xml:space="preserve">not be published in any document or broadcast or transmitted in any way. </w:t>
            </w:r>
          </w:p>
        </w:tc>
      </w:tr>
    </w:tbl>
    <w:p w14:paraId="084F711B" w14:textId="231D9322" w:rsidR="007B3470" w:rsidRPr="001A6BBA" w:rsidRDefault="004F208D" w:rsidP="00BC3C66">
      <w:pPr>
        <w:pStyle w:val="Style1"/>
        <w:spacing w:before="120" w:after="120" w:line="280" w:lineRule="exact"/>
        <w:rPr>
          <w:lang w:val="en-CA"/>
        </w:rPr>
      </w:pPr>
      <w:r w:rsidRPr="001A6BBA">
        <w:rPr>
          <w:lang w:val="en-CA"/>
        </w:rPr>
        <w:t>With leave from a judge of this Court, the appellant appeals from a ju</w:t>
      </w:r>
      <w:r w:rsidR="00354272" w:rsidRPr="001A6BBA">
        <w:rPr>
          <w:lang w:val="en-CA"/>
        </w:rPr>
        <w:t>d</w:t>
      </w:r>
      <w:r w:rsidRPr="001A6BBA">
        <w:rPr>
          <w:lang w:val="en-CA"/>
        </w:rPr>
        <w:t>gment of the Superior Court, District of Montreal (the Honourable Thomas M. Davis)</w:t>
      </w:r>
      <w:r w:rsidR="007367CF">
        <w:rPr>
          <w:lang w:val="en-CA"/>
        </w:rPr>
        <w:t>,</w:t>
      </w:r>
      <w:r w:rsidRPr="001A6BBA">
        <w:rPr>
          <w:lang w:val="en-CA"/>
        </w:rPr>
        <w:t xml:space="preserve"> rendered on </w:t>
      </w:r>
      <w:r w:rsidR="007367CF">
        <w:rPr>
          <w:lang w:val="en-CA"/>
        </w:rPr>
        <w:br/>
      </w:r>
      <w:r w:rsidRPr="001A6BBA">
        <w:rPr>
          <w:lang w:val="en-CA"/>
        </w:rPr>
        <w:t xml:space="preserve">July 4, 2022, dismissing his application to approve a settlement </w:t>
      </w:r>
      <w:r w:rsidR="00033486">
        <w:rPr>
          <w:lang w:val="en-CA"/>
        </w:rPr>
        <w:t xml:space="preserve">and professional fee </w:t>
      </w:r>
      <w:r w:rsidRPr="001A6BBA">
        <w:rPr>
          <w:lang w:val="en-CA"/>
        </w:rPr>
        <w:t xml:space="preserve">agreement entered into in the context of a class action instituted </w:t>
      </w:r>
      <w:r w:rsidR="00D65514" w:rsidRPr="001A6BBA">
        <w:rPr>
          <w:lang w:val="en-CA"/>
        </w:rPr>
        <w:t>on behalf</w:t>
      </w:r>
      <w:r w:rsidRPr="001A6BBA">
        <w:rPr>
          <w:lang w:val="en-CA"/>
        </w:rPr>
        <w:t xml:space="preserve"> of </w:t>
      </w:r>
      <w:r w:rsidR="007367CF">
        <w:rPr>
          <w:lang w:val="en-CA"/>
        </w:rPr>
        <w:t xml:space="preserve">certain </w:t>
      </w:r>
      <w:r w:rsidRPr="001A6BBA">
        <w:rPr>
          <w:lang w:val="en-CA"/>
        </w:rPr>
        <w:t xml:space="preserve">victims of sexual assaults committed in Quebec since 1935 by members of the respondent religious community or employees of various </w:t>
      </w:r>
      <w:r w:rsidR="00CA03F9" w:rsidRPr="001A6BBA">
        <w:rPr>
          <w:lang w:val="en-CA"/>
        </w:rPr>
        <w:t>institutions</w:t>
      </w:r>
      <w:r w:rsidRPr="001A6BBA">
        <w:rPr>
          <w:lang w:val="en-CA"/>
        </w:rPr>
        <w:t xml:space="preserve"> under </w:t>
      </w:r>
      <w:r w:rsidR="003F70D7">
        <w:rPr>
          <w:lang w:val="en-CA"/>
        </w:rPr>
        <w:t>its</w:t>
      </w:r>
      <w:r w:rsidRPr="001A6BBA">
        <w:rPr>
          <w:lang w:val="en-CA"/>
        </w:rPr>
        <w:t xml:space="preserve"> </w:t>
      </w:r>
      <w:r w:rsidR="008B3DC6">
        <w:rPr>
          <w:lang w:val="en-CA"/>
        </w:rPr>
        <w:t>control</w:t>
      </w:r>
      <w:r w:rsidR="00D65514" w:rsidRPr="001A6BBA">
        <w:rPr>
          <w:lang w:val="en-CA"/>
        </w:rPr>
        <w:t>.</w:t>
      </w:r>
    </w:p>
    <w:p w14:paraId="79B9EC12" w14:textId="05DF8CAA" w:rsidR="00BB7D66" w:rsidRPr="009F222C" w:rsidRDefault="004F208D" w:rsidP="00BC3C66">
      <w:pPr>
        <w:pStyle w:val="Paragraphe"/>
        <w:spacing w:line="280" w:lineRule="exact"/>
        <w:rPr>
          <w:lang w:val="en-CA"/>
        </w:rPr>
      </w:pPr>
      <w:r w:rsidRPr="009F222C">
        <w:rPr>
          <w:lang w:val="en-CA"/>
        </w:rPr>
        <w:t>For the reasons of Schrager J.A., Healy and Baudo</w:t>
      </w:r>
      <w:r w:rsidR="00033486">
        <w:rPr>
          <w:lang w:val="en-CA"/>
        </w:rPr>
        <w:t>u</w:t>
      </w:r>
      <w:r w:rsidRPr="009F222C">
        <w:rPr>
          <w:lang w:val="en-CA"/>
        </w:rPr>
        <w:t xml:space="preserve">in JJ.A. concurring, </w:t>
      </w:r>
      <w:r w:rsidRPr="009F222C">
        <w:rPr>
          <w:b/>
          <w:lang w:val="en-CA"/>
        </w:rPr>
        <w:t>THE COURT</w:t>
      </w:r>
      <w:r w:rsidRPr="009F222C">
        <w:rPr>
          <w:lang w:val="en-CA"/>
        </w:rPr>
        <w:t>:</w:t>
      </w:r>
    </w:p>
    <w:p w14:paraId="03E926B5" w14:textId="07834432" w:rsidR="007B3470" w:rsidRPr="009F222C" w:rsidRDefault="004F208D" w:rsidP="00BC3C66">
      <w:pPr>
        <w:pStyle w:val="Paragraphe"/>
        <w:spacing w:line="280" w:lineRule="exact"/>
        <w:rPr>
          <w:szCs w:val="24"/>
          <w:lang w:val="en-CA"/>
        </w:rPr>
      </w:pPr>
      <w:r w:rsidRPr="009F222C">
        <w:rPr>
          <w:b/>
          <w:bCs/>
          <w:lang w:val="en-CA"/>
        </w:rPr>
        <w:t>ALLOWS</w:t>
      </w:r>
      <w:r w:rsidRPr="009F222C">
        <w:rPr>
          <w:bCs/>
          <w:lang w:val="en-CA"/>
        </w:rPr>
        <w:t xml:space="preserve"> the appeal;</w:t>
      </w:r>
      <w:r w:rsidR="00354272" w:rsidRPr="009F222C">
        <w:rPr>
          <w:lang w:val="en-CA"/>
        </w:rPr>
        <w:t xml:space="preserve"> </w:t>
      </w:r>
    </w:p>
    <w:p w14:paraId="23E7ED56" w14:textId="5CEFF96F" w:rsidR="007B3470" w:rsidRPr="009F222C" w:rsidRDefault="007367CF" w:rsidP="00BC3C66">
      <w:pPr>
        <w:pStyle w:val="Paragraphe"/>
        <w:spacing w:line="280" w:lineRule="exact"/>
        <w:rPr>
          <w:szCs w:val="24"/>
          <w:lang w:val="en-CA"/>
        </w:rPr>
      </w:pPr>
      <w:r>
        <w:rPr>
          <w:b/>
          <w:bCs/>
          <w:lang w:val="en-CA"/>
        </w:rPr>
        <w:t>REVERSES</w:t>
      </w:r>
      <w:r w:rsidRPr="009F222C">
        <w:rPr>
          <w:b/>
          <w:bCs/>
          <w:lang w:val="en-CA"/>
        </w:rPr>
        <w:t xml:space="preserve"> </w:t>
      </w:r>
      <w:r w:rsidR="004F208D" w:rsidRPr="009F222C">
        <w:rPr>
          <w:bCs/>
          <w:lang w:val="en-CA"/>
        </w:rPr>
        <w:t>the trial judgment;</w:t>
      </w:r>
    </w:p>
    <w:p w14:paraId="53FCB48D" w14:textId="7D411101" w:rsidR="007B3470" w:rsidRPr="001A6BBA" w:rsidRDefault="004F208D" w:rsidP="00BC3C66">
      <w:pPr>
        <w:pStyle w:val="Paragraphe"/>
        <w:spacing w:line="280" w:lineRule="exact"/>
        <w:rPr>
          <w:szCs w:val="24"/>
          <w:lang w:val="en-CA"/>
        </w:rPr>
      </w:pPr>
      <w:r w:rsidRPr="001A6BBA">
        <w:rPr>
          <w:b/>
          <w:bCs/>
          <w:lang w:val="en-CA"/>
        </w:rPr>
        <w:t>GRANTS</w:t>
      </w:r>
      <w:r w:rsidRPr="001A6BBA">
        <w:rPr>
          <w:bCs/>
          <w:lang w:val="en-CA"/>
        </w:rPr>
        <w:t xml:space="preserve"> the </w:t>
      </w:r>
      <w:r w:rsidR="00D65514" w:rsidRPr="001A6BBA">
        <w:rPr>
          <w:bCs/>
          <w:lang w:val="en-CA"/>
        </w:rPr>
        <w:t>application</w:t>
      </w:r>
      <w:r w:rsidRPr="001A6BBA">
        <w:rPr>
          <w:bCs/>
          <w:lang w:val="en-CA"/>
        </w:rPr>
        <w:t xml:space="preserve"> to approve the settlement agreement, transaction</w:t>
      </w:r>
      <w:r w:rsidR="00626A76">
        <w:rPr>
          <w:bCs/>
          <w:lang w:val="en-CA"/>
        </w:rPr>
        <w:t>,</w:t>
      </w:r>
      <w:r w:rsidRPr="001A6BBA">
        <w:rPr>
          <w:bCs/>
          <w:lang w:val="en-CA"/>
        </w:rPr>
        <w:t xml:space="preserve"> and release between the parties signed on January 26 and </w:t>
      </w:r>
      <w:r w:rsidR="007367CF" w:rsidRPr="001A6BBA">
        <w:rPr>
          <w:bCs/>
          <w:lang w:val="en-CA"/>
        </w:rPr>
        <w:t>2</w:t>
      </w:r>
      <w:r w:rsidR="007367CF">
        <w:rPr>
          <w:bCs/>
          <w:lang w:val="en-CA"/>
        </w:rPr>
        <w:t>8</w:t>
      </w:r>
      <w:r w:rsidRPr="001A6BBA">
        <w:rPr>
          <w:bCs/>
          <w:lang w:val="en-CA"/>
        </w:rPr>
        <w:t xml:space="preserve">, 2022 (the </w:t>
      </w:r>
      <w:r w:rsidR="00033486">
        <w:rPr>
          <w:bCs/>
          <w:lang w:val="en-CA"/>
        </w:rPr>
        <w:t>“</w:t>
      </w:r>
      <w:r w:rsidRPr="001A6BBA">
        <w:rPr>
          <w:bCs/>
          <w:lang w:val="en-CA"/>
        </w:rPr>
        <w:t>Agreement</w:t>
      </w:r>
      <w:r w:rsidR="00033486">
        <w:rPr>
          <w:bCs/>
          <w:lang w:val="en-CA"/>
        </w:rPr>
        <w:t>”</w:t>
      </w:r>
      <w:r w:rsidRPr="001A6BBA">
        <w:rPr>
          <w:bCs/>
          <w:lang w:val="en-CA"/>
        </w:rPr>
        <w:t>).</w:t>
      </w:r>
    </w:p>
    <w:p w14:paraId="53C88658" w14:textId="21EE72D8" w:rsidR="007B3470" w:rsidRPr="001A6BBA" w:rsidRDefault="004F208D" w:rsidP="00BC3C66">
      <w:pPr>
        <w:pStyle w:val="Paragraphe"/>
        <w:spacing w:line="280" w:lineRule="exact"/>
        <w:rPr>
          <w:szCs w:val="24"/>
          <w:lang w:val="en-CA"/>
        </w:rPr>
      </w:pPr>
      <w:r w:rsidRPr="001A6BBA">
        <w:rPr>
          <w:b/>
          <w:bCs/>
          <w:lang w:val="en-CA"/>
        </w:rPr>
        <w:t xml:space="preserve">APPROVES </w:t>
      </w:r>
      <w:r w:rsidRPr="001A6BBA">
        <w:rPr>
          <w:bCs/>
          <w:lang w:val="en-CA"/>
        </w:rPr>
        <w:t xml:space="preserve">the Agreement, including the schedules in their entirety, </w:t>
      </w:r>
      <w:r w:rsidR="007367CF">
        <w:rPr>
          <w:bCs/>
          <w:lang w:val="en-CA"/>
        </w:rPr>
        <w:t xml:space="preserve">except </w:t>
      </w:r>
      <w:r w:rsidR="00867B96">
        <w:rPr>
          <w:bCs/>
          <w:lang w:val="en-CA"/>
        </w:rPr>
        <w:t>as</w:t>
      </w:r>
      <w:r w:rsidR="007367CF">
        <w:rPr>
          <w:bCs/>
          <w:lang w:val="en-CA"/>
        </w:rPr>
        <w:t xml:space="preserve"> to</w:t>
      </w:r>
      <w:r w:rsidRPr="001A6BBA">
        <w:rPr>
          <w:bCs/>
          <w:lang w:val="en-CA"/>
        </w:rPr>
        <w:t xml:space="preserve"> the</w:t>
      </w:r>
      <w:r w:rsidR="00E265EB">
        <w:rPr>
          <w:bCs/>
          <w:lang w:val="en-CA"/>
        </w:rPr>
        <w:t xml:space="preserve"> </w:t>
      </w:r>
      <w:r w:rsidR="00D65514" w:rsidRPr="001A6BBA">
        <w:rPr>
          <w:bCs/>
          <w:lang w:val="en-CA"/>
        </w:rPr>
        <w:t xml:space="preserve">professional fees </w:t>
      </w:r>
      <w:r w:rsidR="0021741F">
        <w:rPr>
          <w:bCs/>
          <w:lang w:val="en-CA"/>
        </w:rPr>
        <w:t xml:space="preserve">of counsel </w:t>
      </w:r>
      <w:r w:rsidR="007367CF">
        <w:rPr>
          <w:bCs/>
          <w:lang w:val="en-CA"/>
        </w:rPr>
        <w:t>calculated on the basis of</w:t>
      </w:r>
      <w:r w:rsidRPr="001A6BBA">
        <w:rPr>
          <w:bCs/>
          <w:lang w:val="en-CA"/>
        </w:rPr>
        <w:t xml:space="preserve"> 25% of the settlement </w:t>
      </w:r>
      <w:r w:rsidR="00935C8F" w:rsidRPr="001A6BBA">
        <w:rPr>
          <w:bCs/>
          <w:lang w:val="en-CA"/>
        </w:rPr>
        <w:t>fund in</w:t>
      </w:r>
      <w:r w:rsidRPr="001A6BBA">
        <w:rPr>
          <w:bCs/>
          <w:lang w:val="en-CA"/>
        </w:rPr>
        <w:t xml:space="preserve"> section 8 of the Agreement;</w:t>
      </w:r>
    </w:p>
    <w:p w14:paraId="4E2F0DAC" w14:textId="108E370D" w:rsidR="007B3470" w:rsidRPr="009F222C" w:rsidRDefault="00357B15" w:rsidP="00BC3C66">
      <w:pPr>
        <w:pStyle w:val="Paragraphe"/>
        <w:spacing w:line="280" w:lineRule="exact"/>
        <w:rPr>
          <w:szCs w:val="24"/>
          <w:lang w:val="en-CA"/>
        </w:rPr>
      </w:pPr>
      <w:r>
        <w:rPr>
          <w:b/>
          <w:bCs/>
          <w:lang w:val="en-CA"/>
        </w:rPr>
        <w:t>FORMALLY RECOGNIZES</w:t>
      </w:r>
      <w:r w:rsidR="004F208D" w:rsidRPr="009F222C">
        <w:rPr>
          <w:b/>
          <w:bCs/>
          <w:lang w:val="en-CA"/>
        </w:rPr>
        <w:t xml:space="preserve"> </w:t>
      </w:r>
      <w:r w:rsidR="00767D10">
        <w:rPr>
          <w:bCs/>
          <w:lang w:val="en-CA"/>
        </w:rPr>
        <w:t>class counsel’s</w:t>
      </w:r>
      <w:r w:rsidR="0021741F">
        <w:rPr>
          <w:bCs/>
          <w:lang w:val="en-CA"/>
        </w:rPr>
        <w:t xml:space="preserve"> </w:t>
      </w:r>
      <w:r w:rsidR="00767D10">
        <w:rPr>
          <w:bCs/>
          <w:lang w:val="en-CA"/>
        </w:rPr>
        <w:t xml:space="preserve">offer </w:t>
      </w:r>
      <w:r w:rsidR="004F208D" w:rsidRPr="009F222C">
        <w:rPr>
          <w:bCs/>
          <w:lang w:val="en-CA"/>
        </w:rPr>
        <w:t>to reduce their fees to 20</w:t>
      </w:r>
      <w:r w:rsidR="00E265EB">
        <w:rPr>
          <w:bCs/>
          <w:lang w:val="en-CA"/>
        </w:rPr>
        <w:t>%</w:t>
      </w:r>
      <w:r w:rsidR="004F208D" w:rsidRPr="009F222C">
        <w:rPr>
          <w:bCs/>
          <w:lang w:val="en-CA"/>
        </w:rPr>
        <w:t xml:space="preserve"> of the settlement </w:t>
      </w:r>
      <w:r w:rsidR="00767D10">
        <w:rPr>
          <w:bCs/>
          <w:lang w:val="en-CA"/>
        </w:rPr>
        <w:t>fund</w:t>
      </w:r>
      <w:r w:rsidR="004F208D" w:rsidRPr="009F222C">
        <w:rPr>
          <w:bCs/>
          <w:lang w:val="en-CA"/>
        </w:rPr>
        <w:t>;</w:t>
      </w:r>
    </w:p>
    <w:p w14:paraId="7AC5A94B" w14:textId="34C092E6" w:rsidR="007B3470" w:rsidRPr="009F222C" w:rsidRDefault="004F208D" w:rsidP="00BC3C66">
      <w:pPr>
        <w:pStyle w:val="Paragraphe"/>
        <w:spacing w:line="280" w:lineRule="exact"/>
        <w:rPr>
          <w:szCs w:val="24"/>
          <w:lang w:val="en-CA"/>
        </w:rPr>
      </w:pPr>
      <w:r w:rsidRPr="009F222C">
        <w:rPr>
          <w:b/>
          <w:bCs/>
          <w:lang w:val="en-CA"/>
        </w:rPr>
        <w:t xml:space="preserve">SETS </w:t>
      </w:r>
      <w:r w:rsidRPr="009F222C">
        <w:rPr>
          <w:lang w:val="en-CA"/>
        </w:rPr>
        <w:t xml:space="preserve">the amount of the </w:t>
      </w:r>
      <w:r w:rsidR="00D65514" w:rsidRPr="009F222C">
        <w:rPr>
          <w:lang w:val="en-CA"/>
        </w:rPr>
        <w:t xml:space="preserve">professional </w:t>
      </w:r>
      <w:r w:rsidRPr="009F222C">
        <w:rPr>
          <w:lang w:val="en-CA"/>
        </w:rPr>
        <w:t xml:space="preserve">fees at $5,600,000 (plus </w:t>
      </w:r>
      <w:r w:rsidR="00767D10">
        <w:rPr>
          <w:lang w:val="en-CA"/>
        </w:rPr>
        <w:t>disbursements</w:t>
      </w:r>
      <w:r w:rsidR="00767D10" w:rsidRPr="009F222C">
        <w:rPr>
          <w:lang w:val="en-CA"/>
        </w:rPr>
        <w:t xml:space="preserve"> </w:t>
      </w:r>
      <w:r w:rsidRPr="009F222C">
        <w:rPr>
          <w:lang w:val="en-CA"/>
        </w:rPr>
        <w:t xml:space="preserve">of $8,661.10 </w:t>
      </w:r>
      <w:r w:rsidR="00767D10">
        <w:rPr>
          <w:lang w:val="en-CA"/>
        </w:rPr>
        <w:t>and</w:t>
      </w:r>
      <w:r w:rsidR="00767D10" w:rsidRPr="009F222C">
        <w:rPr>
          <w:lang w:val="en-CA"/>
        </w:rPr>
        <w:t xml:space="preserve"> </w:t>
      </w:r>
      <w:r w:rsidR="00867B96">
        <w:rPr>
          <w:lang w:val="en-CA"/>
        </w:rPr>
        <w:t xml:space="preserve">the </w:t>
      </w:r>
      <w:r w:rsidRPr="009F222C">
        <w:rPr>
          <w:lang w:val="en-CA"/>
        </w:rPr>
        <w:t>applicable taxes);</w:t>
      </w:r>
    </w:p>
    <w:p w14:paraId="2099C241" w14:textId="1CED0DDA" w:rsidR="007B3470" w:rsidRPr="001A6BBA" w:rsidRDefault="00357B15" w:rsidP="00BC3C66">
      <w:pPr>
        <w:pStyle w:val="Paragraphe"/>
        <w:spacing w:line="280" w:lineRule="exact"/>
        <w:rPr>
          <w:szCs w:val="24"/>
          <w:lang w:val="en-CA"/>
        </w:rPr>
      </w:pPr>
      <w:r>
        <w:rPr>
          <w:b/>
          <w:lang w:val="en-CA"/>
        </w:rPr>
        <w:t>FORMALLY RECOGNIZES</w:t>
      </w:r>
      <w:r w:rsidR="004F208D" w:rsidRPr="009F222C">
        <w:rPr>
          <w:bCs/>
          <w:lang w:val="en-CA"/>
        </w:rPr>
        <w:t xml:space="preserve"> </w:t>
      </w:r>
      <w:r w:rsidR="00767D10">
        <w:rPr>
          <w:bCs/>
          <w:lang w:val="en-CA"/>
        </w:rPr>
        <w:t>class</w:t>
      </w:r>
      <w:r w:rsidR="004F208D" w:rsidRPr="009F222C">
        <w:rPr>
          <w:bCs/>
          <w:lang w:val="en-CA"/>
        </w:rPr>
        <w:t xml:space="preserve"> counsel</w:t>
      </w:r>
      <w:r w:rsidR="00767D10">
        <w:rPr>
          <w:bCs/>
          <w:lang w:val="en-CA"/>
        </w:rPr>
        <w:t>’s undertaking</w:t>
      </w:r>
      <w:r w:rsidR="004F208D" w:rsidRPr="009F222C">
        <w:rPr>
          <w:bCs/>
          <w:lang w:val="en-CA"/>
        </w:rPr>
        <w:t xml:space="preserve"> to reimburse $99,136.09 to the impleaded </w:t>
      </w:r>
      <w:r w:rsidR="00767D10">
        <w:rPr>
          <w:bCs/>
          <w:lang w:val="en-CA"/>
        </w:rPr>
        <w:t xml:space="preserve">party </w:t>
      </w:r>
      <w:r w:rsidR="004F208D" w:rsidRPr="009F222C">
        <w:rPr>
          <w:bCs/>
          <w:lang w:val="en-CA"/>
        </w:rPr>
        <w:t>Fonds d’aide aux actions collectives;</w:t>
      </w:r>
    </w:p>
    <w:p w14:paraId="76BC629F" w14:textId="7B4DD433" w:rsidR="007B3470" w:rsidRPr="001A6BBA" w:rsidRDefault="004F208D" w:rsidP="00BC3C66">
      <w:pPr>
        <w:pStyle w:val="Paragraphe"/>
        <w:spacing w:line="280" w:lineRule="exact"/>
        <w:rPr>
          <w:szCs w:val="24"/>
          <w:lang w:val="en-CA"/>
        </w:rPr>
      </w:pPr>
      <w:r w:rsidRPr="001A6BBA">
        <w:rPr>
          <w:b/>
          <w:lang w:val="en-CA"/>
        </w:rPr>
        <w:lastRenderedPageBreak/>
        <w:t>GRANTS</w:t>
      </w:r>
      <w:r w:rsidRPr="001A6BBA">
        <w:rPr>
          <w:bCs/>
          <w:lang w:val="en-CA"/>
        </w:rPr>
        <w:t xml:space="preserve"> the </w:t>
      </w:r>
      <w:r w:rsidR="00674C37" w:rsidRPr="001A6BBA">
        <w:rPr>
          <w:bCs/>
          <w:i/>
          <w:lang w:val="en-CA"/>
        </w:rPr>
        <w:t>amicus cur</w:t>
      </w:r>
      <w:r w:rsidR="00674C37">
        <w:rPr>
          <w:bCs/>
          <w:i/>
          <w:lang w:val="en-CA"/>
        </w:rPr>
        <w:t>i</w:t>
      </w:r>
      <w:r w:rsidR="00674C37" w:rsidRPr="00674C37">
        <w:rPr>
          <w:bCs/>
          <w:i/>
          <w:lang w:val="en-CA"/>
        </w:rPr>
        <w:t>ae</w:t>
      </w:r>
      <w:r w:rsidR="00674C37">
        <w:rPr>
          <w:bCs/>
          <w:lang w:val="en-CA"/>
        </w:rPr>
        <w:t>’s</w:t>
      </w:r>
      <w:r w:rsidR="00674C37" w:rsidRPr="001A6BBA">
        <w:rPr>
          <w:bCs/>
          <w:lang w:val="en-CA"/>
        </w:rPr>
        <w:t xml:space="preserve"> </w:t>
      </w:r>
      <w:r w:rsidRPr="001A6BBA">
        <w:rPr>
          <w:bCs/>
          <w:lang w:val="en-CA"/>
        </w:rPr>
        <w:t xml:space="preserve">motion for </w:t>
      </w:r>
      <w:r w:rsidR="00F100F1">
        <w:rPr>
          <w:bCs/>
          <w:lang w:val="en-CA"/>
        </w:rPr>
        <w:t>directives</w:t>
      </w:r>
      <w:r w:rsidR="00F100F1" w:rsidRPr="001A6BBA">
        <w:rPr>
          <w:bCs/>
          <w:lang w:val="en-CA"/>
        </w:rPr>
        <w:t xml:space="preserve"> </w:t>
      </w:r>
      <w:r w:rsidRPr="001A6BBA">
        <w:rPr>
          <w:bCs/>
          <w:lang w:val="en-CA"/>
        </w:rPr>
        <w:t xml:space="preserve">and </w:t>
      </w:r>
      <w:r w:rsidRPr="001A6BBA">
        <w:rPr>
          <w:b/>
          <w:lang w:val="en-CA"/>
        </w:rPr>
        <w:t>DECLARES</w:t>
      </w:r>
      <w:r w:rsidRPr="001A6BBA">
        <w:rPr>
          <w:bCs/>
          <w:lang w:val="en-CA"/>
        </w:rPr>
        <w:t xml:space="preserve"> that the </w:t>
      </w:r>
      <w:r w:rsidR="00D65514" w:rsidRPr="001A6BBA">
        <w:rPr>
          <w:bCs/>
          <w:lang w:val="en-CA"/>
        </w:rPr>
        <w:t xml:space="preserve">professional </w:t>
      </w:r>
      <w:r w:rsidRPr="001A6BBA">
        <w:rPr>
          <w:bCs/>
          <w:lang w:val="en-CA"/>
        </w:rPr>
        <w:t xml:space="preserve">fees and expenses of the </w:t>
      </w:r>
      <w:r w:rsidRPr="001A6BBA">
        <w:rPr>
          <w:bCs/>
          <w:i/>
          <w:lang w:val="en-CA"/>
        </w:rPr>
        <w:t>amicus curiae</w:t>
      </w:r>
      <w:r w:rsidRPr="001A6BBA">
        <w:rPr>
          <w:bCs/>
          <w:lang w:val="en-CA"/>
        </w:rPr>
        <w:t xml:space="preserve"> shall be paid by the </w:t>
      </w:r>
      <w:r w:rsidR="00F100F1">
        <w:rPr>
          <w:bCs/>
          <w:lang w:val="en-CA"/>
        </w:rPr>
        <w:t xml:space="preserve">class </w:t>
      </w:r>
      <w:r w:rsidRPr="001A6BBA">
        <w:rPr>
          <w:bCs/>
          <w:lang w:val="en-CA"/>
        </w:rPr>
        <w:t>members out of the settlement fund;</w:t>
      </w:r>
    </w:p>
    <w:p w14:paraId="692E0125" w14:textId="02472A8C" w:rsidR="007B3470" w:rsidRPr="009F222C" w:rsidRDefault="004F208D" w:rsidP="00BC3C66">
      <w:pPr>
        <w:pStyle w:val="Paragraphe"/>
        <w:spacing w:line="280" w:lineRule="exact"/>
        <w:rPr>
          <w:szCs w:val="24"/>
          <w:lang w:val="en-CA"/>
        </w:rPr>
      </w:pPr>
      <w:r w:rsidRPr="009F222C">
        <w:rPr>
          <w:b/>
          <w:bCs/>
          <w:lang w:val="en-CA"/>
        </w:rPr>
        <w:t>DECLARES</w:t>
      </w:r>
      <w:r w:rsidRPr="009F222C">
        <w:rPr>
          <w:lang w:val="en-CA"/>
        </w:rPr>
        <w:t xml:space="preserve"> that the Superior Court retains jurisdiction over </w:t>
      </w:r>
      <w:r w:rsidR="00662350">
        <w:rPr>
          <w:lang w:val="en-CA"/>
        </w:rPr>
        <w:t>all</w:t>
      </w:r>
      <w:r w:rsidRPr="009F222C">
        <w:rPr>
          <w:lang w:val="en-CA"/>
        </w:rPr>
        <w:t xml:space="preserve"> other </w:t>
      </w:r>
      <w:r w:rsidR="00F100F1">
        <w:rPr>
          <w:lang w:val="en-CA"/>
        </w:rPr>
        <w:t xml:space="preserve">future </w:t>
      </w:r>
      <w:r w:rsidR="008F6944">
        <w:rPr>
          <w:lang w:val="en-CA"/>
        </w:rPr>
        <w:t>issues in</w:t>
      </w:r>
      <w:r w:rsidR="00F100F1">
        <w:rPr>
          <w:lang w:val="en-CA"/>
        </w:rPr>
        <w:t xml:space="preserve"> the file</w:t>
      </w:r>
      <w:r w:rsidRPr="009F222C">
        <w:rPr>
          <w:lang w:val="en-CA"/>
        </w:rPr>
        <w:t>;</w:t>
      </w:r>
    </w:p>
    <w:p w14:paraId="53693FA8" w14:textId="2DF3E3F2" w:rsidR="007B3470" w:rsidRPr="001A6BBA" w:rsidRDefault="004F208D" w:rsidP="00BC3C66">
      <w:pPr>
        <w:pStyle w:val="Paragraphe"/>
        <w:spacing w:line="280" w:lineRule="exact"/>
        <w:rPr>
          <w:szCs w:val="24"/>
          <w:lang w:val="en-CA"/>
        </w:rPr>
      </w:pPr>
      <w:r w:rsidRPr="009F222C">
        <w:rPr>
          <w:b/>
          <w:bCs/>
          <w:lang w:val="en-CA"/>
        </w:rPr>
        <w:t xml:space="preserve">THE WHOLE </w:t>
      </w:r>
      <w:r w:rsidRPr="009F222C">
        <w:rPr>
          <w:lang w:val="en-CA"/>
        </w:rPr>
        <w:t>without legal costs.</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C233D9" w:rsidRPr="00F5469D" w14:paraId="533D55E1" w14:textId="77777777" w:rsidTr="003E3239">
        <w:trPr>
          <w:trHeight w:val="576"/>
        </w:trPr>
        <w:tc>
          <w:tcPr>
            <w:tcW w:w="9362" w:type="dxa"/>
            <w:gridSpan w:val="3"/>
            <w:tcBorders>
              <w:top w:val="nil"/>
              <w:bottom w:val="nil"/>
            </w:tcBorders>
          </w:tcPr>
          <w:p w14:paraId="7ED88398" w14:textId="77777777" w:rsidR="008F364A" w:rsidRPr="001A6BBA" w:rsidRDefault="008F364A" w:rsidP="00BC3C66">
            <w:pPr>
              <w:keepNext/>
              <w:rPr>
                <w:lang w:val="en-CA"/>
              </w:rPr>
            </w:pPr>
          </w:p>
        </w:tc>
      </w:tr>
      <w:tr w:rsidR="00C233D9" w:rsidRPr="00F5469D" w14:paraId="4173267C" w14:textId="77777777" w:rsidTr="00117914">
        <w:trPr>
          <w:trHeight w:val="283"/>
        </w:trPr>
        <w:tc>
          <w:tcPr>
            <w:tcW w:w="4682" w:type="dxa"/>
            <w:gridSpan w:val="2"/>
            <w:tcBorders>
              <w:top w:val="nil"/>
              <w:bottom w:val="nil"/>
            </w:tcBorders>
          </w:tcPr>
          <w:p w14:paraId="731475B9" w14:textId="77777777" w:rsidR="008F364A" w:rsidRPr="001A6BBA" w:rsidRDefault="008F364A" w:rsidP="00BC3C66">
            <w:pPr>
              <w:keepNext/>
              <w:rPr>
                <w:lang w:val="en-CA"/>
              </w:rPr>
            </w:pPr>
          </w:p>
        </w:tc>
        <w:tc>
          <w:tcPr>
            <w:tcW w:w="4680" w:type="dxa"/>
            <w:tcBorders>
              <w:top w:val="nil"/>
              <w:bottom w:val="single" w:sz="8" w:space="0" w:color="auto"/>
            </w:tcBorders>
          </w:tcPr>
          <w:p w14:paraId="72F52401" w14:textId="77777777" w:rsidR="008F364A" w:rsidRPr="001A6BBA" w:rsidRDefault="008F364A" w:rsidP="00BC3C66">
            <w:pPr>
              <w:keepNext/>
              <w:rPr>
                <w:lang w:val="en-CA"/>
              </w:rPr>
            </w:pPr>
          </w:p>
        </w:tc>
      </w:tr>
      <w:tr w:rsidR="00C233D9" w:rsidRPr="001A6BBA" w14:paraId="2F141C22" w14:textId="77777777" w:rsidTr="00117914">
        <w:trPr>
          <w:trHeight w:val="283"/>
        </w:trPr>
        <w:tc>
          <w:tcPr>
            <w:tcW w:w="4682" w:type="dxa"/>
            <w:gridSpan w:val="2"/>
            <w:tcBorders>
              <w:top w:val="nil"/>
            </w:tcBorders>
          </w:tcPr>
          <w:p w14:paraId="79984114" w14:textId="77777777" w:rsidR="008F364A" w:rsidRPr="001A6BBA" w:rsidRDefault="008F364A" w:rsidP="00BC3C66">
            <w:pPr>
              <w:keepNext/>
              <w:rPr>
                <w:lang w:val="en-CA"/>
              </w:rPr>
            </w:pPr>
          </w:p>
        </w:tc>
        <w:tc>
          <w:tcPr>
            <w:tcW w:w="4680" w:type="dxa"/>
            <w:tcBorders>
              <w:top w:val="single" w:sz="8" w:space="0" w:color="auto"/>
            </w:tcBorders>
          </w:tcPr>
          <w:p w14:paraId="61059AE5" w14:textId="7E2C9CD4" w:rsidR="008F364A" w:rsidRPr="009F222C" w:rsidRDefault="00354272" w:rsidP="00BC3C66">
            <w:pPr>
              <w:rPr>
                <w:lang w:val="en-CA"/>
              </w:rPr>
            </w:pPr>
            <w:r w:rsidRPr="009F222C">
              <w:rPr>
                <w:lang w:val="en-CA"/>
              </w:rPr>
              <w:t>MARK SCHRAGER, J.A.</w:t>
            </w:r>
          </w:p>
        </w:tc>
      </w:tr>
      <w:tr w:rsidR="00C233D9" w:rsidRPr="001A6BBA" w14:paraId="1E444A53" w14:textId="77777777" w:rsidTr="00117914">
        <w:trPr>
          <w:trHeight w:val="283"/>
        </w:trPr>
        <w:tc>
          <w:tcPr>
            <w:tcW w:w="4682" w:type="dxa"/>
            <w:gridSpan w:val="2"/>
            <w:tcBorders>
              <w:top w:val="nil"/>
            </w:tcBorders>
          </w:tcPr>
          <w:p w14:paraId="31880F22" w14:textId="77777777" w:rsidR="008F364A" w:rsidRPr="001A6BBA" w:rsidRDefault="008F364A" w:rsidP="00BC3C66">
            <w:pPr>
              <w:keepNext/>
              <w:rPr>
                <w:lang w:val="en-CA"/>
              </w:rPr>
            </w:pPr>
            <w:bookmarkStart w:id="7" w:name="Signature2"/>
          </w:p>
        </w:tc>
        <w:tc>
          <w:tcPr>
            <w:tcW w:w="4680" w:type="dxa"/>
            <w:tcBorders>
              <w:top w:val="nil"/>
            </w:tcBorders>
          </w:tcPr>
          <w:p w14:paraId="4BB94977" w14:textId="77777777" w:rsidR="008F364A" w:rsidRPr="001A6BBA" w:rsidRDefault="008F364A" w:rsidP="00BC3C66">
            <w:pPr>
              <w:keepNext/>
              <w:rPr>
                <w:lang w:val="en-CA"/>
              </w:rPr>
            </w:pPr>
          </w:p>
        </w:tc>
      </w:tr>
      <w:tr w:rsidR="00C233D9" w:rsidRPr="001A6BBA" w14:paraId="4C8F5C2C" w14:textId="77777777" w:rsidTr="00117914">
        <w:trPr>
          <w:trHeight w:val="283"/>
        </w:trPr>
        <w:tc>
          <w:tcPr>
            <w:tcW w:w="4682" w:type="dxa"/>
            <w:gridSpan w:val="2"/>
            <w:tcBorders>
              <w:top w:val="nil"/>
              <w:bottom w:val="nil"/>
            </w:tcBorders>
          </w:tcPr>
          <w:p w14:paraId="3CE421CD" w14:textId="77777777" w:rsidR="008F364A" w:rsidRPr="001A6BBA" w:rsidRDefault="008F364A" w:rsidP="00BC3C66">
            <w:pPr>
              <w:keepNext/>
              <w:rPr>
                <w:lang w:val="en-CA"/>
              </w:rPr>
            </w:pPr>
          </w:p>
        </w:tc>
        <w:tc>
          <w:tcPr>
            <w:tcW w:w="4680" w:type="dxa"/>
            <w:tcBorders>
              <w:top w:val="nil"/>
              <w:bottom w:val="single" w:sz="8" w:space="0" w:color="auto"/>
            </w:tcBorders>
          </w:tcPr>
          <w:p w14:paraId="16F19289" w14:textId="77777777" w:rsidR="008F364A" w:rsidRPr="001A6BBA" w:rsidRDefault="008F364A" w:rsidP="00BC3C66">
            <w:pPr>
              <w:keepNext/>
              <w:rPr>
                <w:lang w:val="en-CA"/>
              </w:rPr>
            </w:pPr>
          </w:p>
        </w:tc>
      </w:tr>
      <w:tr w:rsidR="00C233D9" w:rsidRPr="001A6BBA" w14:paraId="3B37ABE1" w14:textId="77777777" w:rsidTr="00117914">
        <w:trPr>
          <w:trHeight w:val="283"/>
        </w:trPr>
        <w:tc>
          <w:tcPr>
            <w:tcW w:w="4682" w:type="dxa"/>
            <w:gridSpan w:val="2"/>
            <w:tcBorders>
              <w:top w:val="nil"/>
            </w:tcBorders>
          </w:tcPr>
          <w:p w14:paraId="32CFEBFC" w14:textId="77777777" w:rsidR="008F364A" w:rsidRPr="001A6BBA" w:rsidRDefault="008F364A" w:rsidP="00BC3C66">
            <w:pPr>
              <w:keepNext/>
              <w:rPr>
                <w:lang w:val="en-CA"/>
              </w:rPr>
            </w:pPr>
          </w:p>
        </w:tc>
        <w:tc>
          <w:tcPr>
            <w:tcW w:w="4680" w:type="dxa"/>
            <w:tcBorders>
              <w:top w:val="single" w:sz="8" w:space="0" w:color="auto"/>
            </w:tcBorders>
          </w:tcPr>
          <w:p w14:paraId="6D9D00E1" w14:textId="0070A9A2" w:rsidR="008F364A" w:rsidRPr="009F222C" w:rsidRDefault="00354272" w:rsidP="00BC3C66">
            <w:pPr>
              <w:keepNext/>
              <w:rPr>
                <w:lang w:val="en-CA"/>
              </w:rPr>
            </w:pPr>
            <w:r w:rsidRPr="009F222C">
              <w:rPr>
                <w:lang w:val="en-CA"/>
              </w:rPr>
              <w:t>PATRICK HEALY, J.A.</w:t>
            </w:r>
          </w:p>
        </w:tc>
      </w:tr>
      <w:tr w:rsidR="00C233D9" w:rsidRPr="001A6BBA" w14:paraId="37297E72" w14:textId="77777777" w:rsidTr="00117914">
        <w:trPr>
          <w:trHeight w:val="283"/>
        </w:trPr>
        <w:tc>
          <w:tcPr>
            <w:tcW w:w="4682" w:type="dxa"/>
            <w:gridSpan w:val="2"/>
            <w:tcBorders>
              <w:top w:val="nil"/>
            </w:tcBorders>
          </w:tcPr>
          <w:p w14:paraId="61C99F31" w14:textId="77777777" w:rsidR="008F364A" w:rsidRPr="001A6BBA" w:rsidRDefault="008F364A" w:rsidP="00BC3C66">
            <w:pPr>
              <w:keepNext/>
              <w:rPr>
                <w:lang w:val="en-CA"/>
              </w:rPr>
            </w:pPr>
            <w:bookmarkStart w:id="8" w:name="Signature3"/>
            <w:bookmarkEnd w:id="7"/>
          </w:p>
        </w:tc>
        <w:tc>
          <w:tcPr>
            <w:tcW w:w="4680" w:type="dxa"/>
            <w:tcBorders>
              <w:top w:val="nil"/>
            </w:tcBorders>
          </w:tcPr>
          <w:p w14:paraId="0EED0D72" w14:textId="77777777" w:rsidR="008F364A" w:rsidRPr="001A6BBA" w:rsidRDefault="008F364A" w:rsidP="00BC3C66">
            <w:pPr>
              <w:keepNext/>
              <w:rPr>
                <w:lang w:val="en-CA"/>
              </w:rPr>
            </w:pPr>
          </w:p>
        </w:tc>
      </w:tr>
      <w:tr w:rsidR="00C233D9" w:rsidRPr="001A6BBA" w14:paraId="7EAC7BB9" w14:textId="77777777" w:rsidTr="00117914">
        <w:trPr>
          <w:trHeight w:val="283"/>
        </w:trPr>
        <w:tc>
          <w:tcPr>
            <w:tcW w:w="4682" w:type="dxa"/>
            <w:gridSpan w:val="2"/>
            <w:tcBorders>
              <w:top w:val="nil"/>
              <w:bottom w:val="nil"/>
            </w:tcBorders>
          </w:tcPr>
          <w:p w14:paraId="4DE49F73" w14:textId="77777777" w:rsidR="008F364A" w:rsidRPr="001A6BBA" w:rsidRDefault="008F364A" w:rsidP="00BC3C66">
            <w:pPr>
              <w:keepNext/>
              <w:rPr>
                <w:lang w:val="en-CA"/>
              </w:rPr>
            </w:pPr>
          </w:p>
        </w:tc>
        <w:tc>
          <w:tcPr>
            <w:tcW w:w="4680" w:type="dxa"/>
            <w:tcBorders>
              <w:top w:val="nil"/>
              <w:bottom w:val="single" w:sz="8" w:space="0" w:color="auto"/>
            </w:tcBorders>
          </w:tcPr>
          <w:p w14:paraId="56C5D5EB" w14:textId="77777777" w:rsidR="008F364A" w:rsidRPr="001A6BBA" w:rsidRDefault="008F364A" w:rsidP="00BC3C66">
            <w:pPr>
              <w:keepNext/>
              <w:rPr>
                <w:lang w:val="en-CA"/>
              </w:rPr>
            </w:pPr>
          </w:p>
        </w:tc>
      </w:tr>
      <w:tr w:rsidR="00C233D9" w:rsidRPr="001A6BBA" w14:paraId="56265047" w14:textId="77777777" w:rsidTr="00117914">
        <w:trPr>
          <w:trHeight w:val="283"/>
        </w:trPr>
        <w:tc>
          <w:tcPr>
            <w:tcW w:w="4682" w:type="dxa"/>
            <w:gridSpan w:val="2"/>
            <w:tcBorders>
              <w:top w:val="nil"/>
            </w:tcBorders>
          </w:tcPr>
          <w:p w14:paraId="3A1362DE" w14:textId="77777777" w:rsidR="008F364A" w:rsidRPr="001A6BBA" w:rsidRDefault="008F364A" w:rsidP="00BC3C66">
            <w:pPr>
              <w:keepNext/>
              <w:rPr>
                <w:lang w:val="en-CA"/>
              </w:rPr>
            </w:pPr>
          </w:p>
        </w:tc>
        <w:tc>
          <w:tcPr>
            <w:tcW w:w="4680" w:type="dxa"/>
            <w:tcBorders>
              <w:top w:val="single" w:sz="8" w:space="0" w:color="auto"/>
            </w:tcBorders>
          </w:tcPr>
          <w:p w14:paraId="14C49F77" w14:textId="45E07C8F" w:rsidR="008F364A" w:rsidRPr="009F222C" w:rsidRDefault="004F208D" w:rsidP="00BC3C66">
            <w:pPr>
              <w:keepNext/>
              <w:rPr>
                <w:lang w:val="en-CA"/>
              </w:rPr>
            </w:pPr>
            <w:r w:rsidRPr="009F222C">
              <w:rPr>
                <w:lang w:val="en-CA"/>
              </w:rPr>
              <w:t>CHRISTINE BAUDOUIN, J.A.</w:t>
            </w:r>
          </w:p>
        </w:tc>
      </w:tr>
      <w:bookmarkEnd w:id="8"/>
      <w:tr w:rsidR="00C233D9" w:rsidRPr="001A6BBA" w14:paraId="0B9CDA52" w14:textId="77777777" w:rsidTr="00423DF1">
        <w:tc>
          <w:tcPr>
            <w:tcW w:w="9362" w:type="dxa"/>
            <w:gridSpan w:val="3"/>
          </w:tcPr>
          <w:p w14:paraId="16E2888A" w14:textId="77777777" w:rsidR="005A78BF" w:rsidRPr="001A6BBA" w:rsidRDefault="005A78BF" w:rsidP="00BC3C66">
            <w:pPr>
              <w:rPr>
                <w:lang w:val="en-CA"/>
              </w:rPr>
            </w:pPr>
          </w:p>
        </w:tc>
      </w:tr>
      <w:tr w:rsidR="00C233D9" w:rsidRPr="001A6BBA" w14:paraId="3B8141FA" w14:textId="77777777" w:rsidTr="00423DF1">
        <w:tc>
          <w:tcPr>
            <w:tcW w:w="9362" w:type="dxa"/>
            <w:gridSpan w:val="3"/>
          </w:tcPr>
          <w:p w14:paraId="1B703A82" w14:textId="7FD73645" w:rsidR="005A78BF" w:rsidRPr="009F222C" w:rsidRDefault="00354272" w:rsidP="00BC3C66">
            <w:pPr>
              <w:pStyle w:val="zSoquijdatNomProcureurDem"/>
              <w:rPr>
                <w:lang w:val="en-CA"/>
              </w:rPr>
            </w:pPr>
            <w:r w:rsidRPr="009F222C">
              <w:rPr>
                <w:lang w:val="en-CA"/>
              </w:rPr>
              <w:t>Mtre Justin Wee</w:t>
            </w:r>
          </w:p>
        </w:tc>
      </w:tr>
      <w:tr w:rsidR="00C233D9" w:rsidRPr="001A6BBA" w14:paraId="3038A011" w14:textId="77777777" w:rsidTr="00423DF1">
        <w:tc>
          <w:tcPr>
            <w:tcW w:w="9362" w:type="dxa"/>
            <w:gridSpan w:val="3"/>
          </w:tcPr>
          <w:p w14:paraId="0E355CDF" w14:textId="46B3FE2A" w:rsidR="00180223" w:rsidRPr="009F222C" w:rsidRDefault="004F208D" w:rsidP="00BC3C66">
            <w:pPr>
              <w:pStyle w:val="zSoquijdatNomProcureurDem"/>
              <w:rPr>
                <w:lang w:val="en-CA"/>
              </w:rPr>
            </w:pPr>
            <w:r w:rsidRPr="009F222C">
              <w:rPr>
                <w:lang w:val="en-CA"/>
              </w:rPr>
              <w:t>Mtre Alain Arsenault</w:t>
            </w:r>
          </w:p>
        </w:tc>
      </w:tr>
      <w:tr w:rsidR="00C233D9" w:rsidRPr="001A6BBA" w14:paraId="2B9242A9" w14:textId="77777777" w:rsidTr="00423DF1">
        <w:tc>
          <w:tcPr>
            <w:tcW w:w="9362" w:type="dxa"/>
            <w:gridSpan w:val="3"/>
          </w:tcPr>
          <w:p w14:paraId="2103D86B" w14:textId="303EBC83" w:rsidR="00180223" w:rsidRPr="009F222C" w:rsidRDefault="004F208D" w:rsidP="00BC3C66">
            <w:pPr>
              <w:pStyle w:val="zSoquijdatNomProcureurDem"/>
              <w:rPr>
                <w:lang w:val="en-CA"/>
              </w:rPr>
            </w:pPr>
            <w:r w:rsidRPr="009F222C">
              <w:rPr>
                <w:lang w:val="en-CA"/>
              </w:rPr>
              <w:t>Mtre Virginia Dufresne-Lemire</w:t>
            </w:r>
          </w:p>
        </w:tc>
      </w:tr>
      <w:tr w:rsidR="00C233D9" w:rsidRPr="001A6BBA" w14:paraId="180E4659" w14:textId="77777777" w:rsidTr="00423DF1">
        <w:tc>
          <w:tcPr>
            <w:tcW w:w="9362" w:type="dxa"/>
            <w:gridSpan w:val="3"/>
          </w:tcPr>
          <w:p w14:paraId="68CCE8DD" w14:textId="22E8D8B3" w:rsidR="005A78BF" w:rsidRPr="009F222C" w:rsidRDefault="000D7464" w:rsidP="00BC3C66">
            <w:pPr>
              <w:pStyle w:val="zSoquijdatCabinetProcureurDem"/>
              <w:rPr>
                <w:lang w:val="en-CA"/>
              </w:rPr>
            </w:pPr>
            <w:r w:rsidRPr="009F222C">
              <w:rPr>
                <w:lang w:val="en-CA"/>
              </w:rPr>
              <w:t>ARSENAULT DUFRESNE WEE AVOCATS</w:t>
            </w:r>
          </w:p>
        </w:tc>
      </w:tr>
      <w:tr w:rsidR="00C233D9" w:rsidRPr="001A6BBA" w14:paraId="37628127" w14:textId="77777777" w:rsidTr="0096767C">
        <w:tc>
          <w:tcPr>
            <w:tcW w:w="9362" w:type="dxa"/>
            <w:gridSpan w:val="3"/>
            <w:tcBorders>
              <w:top w:val="nil"/>
            </w:tcBorders>
          </w:tcPr>
          <w:p w14:paraId="3C8AE43B" w14:textId="3D621956" w:rsidR="00180223" w:rsidRPr="009F222C" w:rsidRDefault="004F208D" w:rsidP="00BC3C66">
            <w:pPr>
              <w:pStyle w:val="zSoquijdatNomProcureurDem"/>
              <w:rPr>
                <w:lang w:val="en-CA"/>
              </w:rPr>
            </w:pPr>
            <w:r w:rsidRPr="009F222C">
              <w:rPr>
                <w:lang w:val="en-CA"/>
              </w:rPr>
              <w:t>Mtre. Robert Kugler</w:t>
            </w:r>
          </w:p>
        </w:tc>
      </w:tr>
      <w:tr w:rsidR="00C233D9" w:rsidRPr="001A6BBA" w14:paraId="463AC813" w14:textId="77777777" w:rsidTr="00423DF1">
        <w:tc>
          <w:tcPr>
            <w:tcW w:w="9362" w:type="dxa"/>
            <w:gridSpan w:val="3"/>
          </w:tcPr>
          <w:p w14:paraId="4AD771EF" w14:textId="09DE4DB8" w:rsidR="00180223" w:rsidRPr="009F222C" w:rsidRDefault="004F208D" w:rsidP="00BC3C66">
            <w:pPr>
              <w:pStyle w:val="zSoquijdatNomProcureurDem"/>
              <w:rPr>
                <w:lang w:val="en-CA"/>
              </w:rPr>
            </w:pPr>
            <w:r w:rsidRPr="009F222C">
              <w:rPr>
                <w:lang w:val="en-CA"/>
              </w:rPr>
              <w:t>Mtre Pierre Boivin</w:t>
            </w:r>
          </w:p>
        </w:tc>
      </w:tr>
      <w:tr w:rsidR="00C233D9" w:rsidRPr="001A6BBA" w14:paraId="280A0F98" w14:textId="77777777" w:rsidTr="00423DF1">
        <w:tc>
          <w:tcPr>
            <w:tcW w:w="9362" w:type="dxa"/>
            <w:gridSpan w:val="3"/>
          </w:tcPr>
          <w:p w14:paraId="0067C555" w14:textId="46426A49" w:rsidR="00180223" w:rsidRPr="009F222C" w:rsidRDefault="004F208D" w:rsidP="00BC3C66">
            <w:pPr>
              <w:pStyle w:val="zSoquijdatNomProcureurDem"/>
              <w:rPr>
                <w:lang w:val="en-CA"/>
              </w:rPr>
            </w:pPr>
            <w:r w:rsidRPr="009F222C">
              <w:rPr>
                <w:lang w:val="en-CA"/>
              </w:rPr>
              <w:t>Mtre Jérémie Longpré</w:t>
            </w:r>
          </w:p>
        </w:tc>
      </w:tr>
      <w:tr w:rsidR="00C233D9" w:rsidRPr="001A6BBA" w14:paraId="2AAD1EDA" w14:textId="77777777" w:rsidTr="00423DF1">
        <w:tc>
          <w:tcPr>
            <w:tcW w:w="9362" w:type="dxa"/>
            <w:gridSpan w:val="3"/>
          </w:tcPr>
          <w:p w14:paraId="59018737" w14:textId="7DB4F9D2" w:rsidR="00180223" w:rsidRPr="009F222C" w:rsidRDefault="00354272" w:rsidP="00BC3C66">
            <w:pPr>
              <w:pStyle w:val="zSoquijdatCabinetProcureurDem"/>
              <w:rPr>
                <w:lang w:val="en-CA"/>
              </w:rPr>
            </w:pPr>
            <w:r w:rsidRPr="009F222C">
              <w:rPr>
                <w:lang w:val="en-CA"/>
              </w:rPr>
              <w:t>KUGLER KANDESTIN</w:t>
            </w:r>
          </w:p>
        </w:tc>
      </w:tr>
      <w:tr w:rsidR="00C233D9" w:rsidRPr="00F5469D" w14:paraId="6A94018D" w14:textId="77777777" w:rsidTr="00423DF1">
        <w:tc>
          <w:tcPr>
            <w:tcW w:w="9362" w:type="dxa"/>
            <w:gridSpan w:val="3"/>
          </w:tcPr>
          <w:p w14:paraId="4E854AD1" w14:textId="05F5D518" w:rsidR="00180223" w:rsidRPr="001A6BBA" w:rsidRDefault="004F208D" w:rsidP="00BC3C66">
            <w:pPr>
              <w:pStyle w:val="zSoquijlblProcureurDem"/>
              <w:rPr>
                <w:lang w:val="en-CA"/>
              </w:rPr>
            </w:pPr>
            <w:r w:rsidRPr="009F222C">
              <w:rPr>
                <w:lang w:val="en-CA"/>
              </w:rPr>
              <w:t>For the appellant B.F.</w:t>
            </w:r>
          </w:p>
        </w:tc>
      </w:tr>
      <w:tr w:rsidR="00C233D9" w:rsidRPr="00F5469D" w14:paraId="7548FC75" w14:textId="77777777" w:rsidTr="00423DF1">
        <w:tc>
          <w:tcPr>
            <w:tcW w:w="9362" w:type="dxa"/>
            <w:gridSpan w:val="3"/>
          </w:tcPr>
          <w:p w14:paraId="5412EE33" w14:textId="77777777" w:rsidR="000D7464" w:rsidRPr="001A6BBA" w:rsidRDefault="000D7464" w:rsidP="00BC3C66">
            <w:pPr>
              <w:rPr>
                <w:lang w:val="en-CA"/>
              </w:rPr>
            </w:pPr>
          </w:p>
        </w:tc>
      </w:tr>
      <w:tr w:rsidR="00C233D9" w:rsidRPr="001A6BBA" w14:paraId="765C7D04" w14:textId="77777777" w:rsidTr="00423DF1">
        <w:tc>
          <w:tcPr>
            <w:tcW w:w="9362" w:type="dxa"/>
            <w:gridSpan w:val="3"/>
          </w:tcPr>
          <w:p w14:paraId="0C09FDDB" w14:textId="00C489E2" w:rsidR="000D7464" w:rsidRPr="009F222C" w:rsidRDefault="004F208D" w:rsidP="00BC3C66">
            <w:pPr>
              <w:pStyle w:val="zSoquijdatNomProcureurDem"/>
              <w:rPr>
                <w:lang w:val="en-CA"/>
              </w:rPr>
            </w:pPr>
            <w:r w:rsidRPr="009F222C">
              <w:rPr>
                <w:lang w:val="en-CA"/>
              </w:rPr>
              <w:t>Mtre Jean-Philippe Groleau</w:t>
            </w:r>
          </w:p>
        </w:tc>
      </w:tr>
      <w:tr w:rsidR="00C233D9" w:rsidRPr="001A6BBA" w14:paraId="6B9433AE" w14:textId="77777777" w:rsidTr="00423DF1">
        <w:tc>
          <w:tcPr>
            <w:tcW w:w="9362" w:type="dxa"/>
            <w:gridSpan w:val="3"/>
          </w:tcPr>
          <w:p w14:paraId="37AC6464" w14:textId="2D9D02CC" w:rsidR="000D7464" w:rsidRPr="001A6BBA" w:rsidRDefault="004F208D" w:rsidP="00BC3C66">
            <w:pPr>
              <w:pStyle w:val="zSoquijdatNomProcureurDem"/>
              <w:rPr>
                <w:lang w:val="en-CA"/>
              </w:rPr>
            </w:pPr>
            <w:r w:rsidRPr="001A6BBA">
              <w:rPr>
                <w:lang w:val="en-CA"/>
              </w:rPr>
              <w:t>Mtre Guillaume Xavier Charlebois</w:t>
            </w:r>
          </w:p>
        </w:tc>
      </w:tr>
      <w:tr w:rsidR="00C233D9" w:rsidRPr="001A6BBA" w14:paraId="6E5D5138" w14:textId="77777777" w:rsidTr="00423DF1">
        <w:tc>
          <w:tcPr>
            <w:tcW w:w="9362" w:type="dxa"/>
            <w:gridSpan w:val="3"/>
          </w:tcPr>
          <w:p w14:paraId="55350713" w14:textId="2903FDF0" w:rsidR="000D7464" w:rsidRPr="009F222C" w:rsidRDefault="00354272" w:rsidP="00BC3C66">
            <w:pPr>
              <w:pStyle w:val="zSoquijdatCabinetProcureurDem"/>
              <w:rPr>
                <w:lang w:val="en-CA"/>
              </w:rPr>
            </w:pPr>
            <w:r w:rsidRPr="009F222C">
              <w:rPr>
                <w:lang w:val="en-CA"/>
              </w:rPr>
              <w:t>DAVIES WARD PHILIPPS &amp; VINEBERG</w:t>
            </w:r>
          </w:p>
        </w:tc>
      </w:tr>
      <w:tr w:rsidR="00C233D9" w:rsidRPr="001A6BBA" w14:paraId="19E4D8C7" w14:textId="77777777" w:rsidTr="00423DF1">
        <w:tc>
          <w:tcPr>
            <w:tcW w:w="9362" w:type="dxa"/>
            <w:gridSpan w:val="3"/>
          </w:tcPr>
          <w:p w14:paraId="0D01D213" w14:textId="59B7EE35" w:rsidR="000D7464" w:rsidRPr="009F222C" w:rsidRDefault="00354272" w:rsidP="00BC3C66">
            <w:pPr>
              <w:pStyle w:val="zSoquijlblProcureurDem"/>
              <w:rPr>
                <w:lang w:val="en-CA"/>
              </w:rPr>
            </w:pPr>
            <w:r w:rsidRPr="009F222C">
              <w:rPr>
                <w:i/>
                <w:iCs/>
                <w:lang w:val="en-CA"/>
              </w:rPr>
              <w:t>Amicus curiae</w:t>
            </w:r>
          </w:p>
        </w:tc>
      </w:tr>
      <w:tr w:rsidR="00C233D9" w:rsidRPr="001A6BBA" w14:paraId="39E95C86" w14:textId="77777777" w:rsidTr="00BC3C66">
        <w:tc>
          <w:tcPr>
            <w:tcW w:w="9362" w:type="dxa"/>
            <w:gridSpan w:val="3"/>
            <w:tcBorders>
              <w:bottom w:val="nil"/>
            </w:tcBorders>
          </w:tcPr>
          <w:p w14:paraId="5CAB7D0E" w14:textId="77777777" w:rsidR="005A78BF" w:rsidRPr="001A6BBA" w:rsidRDefault="005A78BF" w:rsidP="00BC3C66">
            <w:pPr>
              <w:rPr>
                <w:lang w:val="en-CA"/>
              </w:rPr>
            </w:pPr>
          </w:p>
        </w:tc>
      </w:tr>
      <w:tr w:rsidR="00C233D9" w:rsidRPr="001A6BBA" w14:paraId="3FF20215" w14:textId="77777777" w:rsidTr="00BC3C66">
        <w:tc>
          <w:tcPr>
            <w:tcW w:w="9362" w:type="dxa"/>
            <w:gridSpan w:val="3"/>
            <w:tcBorders>
              <w:top w:val="nil"/>
            </w:tcBorders>
          </w:tcPr>
          <w:p w14:paraId="488F63BC" w14:textId="24F2C8F1" w:rsidR="005A78BF" w:rsidRPr="009F222C" w:rsidRDefault="00354272" w:rsidP="00BC3C66">
            <w:pPr>
              <w:pStyle w:val="zSoquijdatNomProcureurDef"/>
              <w:rPr>
                <w:lang w:val="en-CA"/>
              </w:rPr>
            </w:pPr>
            <w:r w:rsidRPr="009F222C">
              <w:rPr>
                <w:lang w:val="en-CA"/>
              </w:rPr>
              <w:t>M</w:t>
            </w:r>
            <w:r w:rsidR="004F208D" w:rsidRPr="009F222C">
              <w:rPr>
                <w:lang w:val="en-CA"/>
              </w:rPr>
              <w:t>tr</w:t>
            </w:r>
            <w:r w:rsidRPr="009F222C">
              <w:rPr>
                <w:lang w:val="en-CA"/>
              </w:rPr>
              <w:t>e François-David Paré</w:t>
            </w:r>
          </w:p>
        </w:tc>
      </w:tr>
      <w:tr w:rsidR="00C233D9" w:rsidRPr="001A6BBA" w14:paraId="4A8150A4" w14:textId="77777777" w:rsidTr="00423DF1">
        <w:tc>
          <w:tcPr>
            <w:tcW w:w="9362" w:type="dxa"/>
            <w:gridSpan w:val="3"/>
          </w:tcPr>
          <w:p w14:paraId="4F249BFE" w14:textId="36E26781" w:rsidR="0096767C" w:rsidRPr="009F222C" w:rsidRDefault="00354272" w:rsidP="00BC3C66">
            <w:pPr>
              <w:pStyle w:val="zSoquijdatNomProcureurDef"/>
              <w:rPr>
                <w:lang w:val="en-CA"/>
              </w:rPr>
            </w:pPr>
            <w:r w:rsidRPr="009F222C">
              <w:rPr>
                <w:lang w:val="en-CA"/>
              </w:rPr>
              <w:t>M</w:t>
            </w:r>
            <w:r w:rsidR="004F208D" w:rsidRPr="009F222C">
              <w:rPr>
                <w:lang w:val="en-CA"/>
              </w:rPr>
              <w:t>tr</w:t>
            </w:r>
            <w:r w:rsidRPr="009F222C">
              <w:rPr>
                <w:lang w:val="en-CA"/>
              </w:rPr>
              <w:t>e Dominic Dupoy</w:t>
            </w:r>
          </w:p>
        </w:tc>
      </w:tr>
      <w:tr w:rsidR="00C233D9" w:rsidRPr="001A6BBA" w14:paraId="2CFB7124" w14:textId="77777777" w:rsidTr="00423DF1">
        <w:tc>
          <w:tcPr>
            <w:tcW w:w="9362" w:type="dxa"/>
            <w:gridSpan w:val="3"/>
          </w:tcPr>
          <w:p w14:paraId="4246B0DA" w14:textId="3686AEBA" w:rsidR="005A78BF" w:rsidRPr="009F222C" w:rsidRDefault="00354272" w:rsidP="00BC3C66">
            <w:pPr>
              <w:pStyle w:val="zSoquijdatCabinetProcureurDef"/>
              <w:rPr>
                <w:lang w:val="en-CA"/>
              </w:rPr>
            </w:pPr>
            <w:r w:rsidRPr="009F222C">
              <w:rPr>
                <w:lang w:val="en-CA"/>
              </w:rPr>
              <w:t>NORTON ROSE FULBRIGHT CANADA</w:t>
            </w:r>
          </w:p>
        </w:tc>
      </w:tr>
      <w:tr w:rsidR="00C233D9" w:rsidRPr="001A6BBA" w14:paraId="21D42653" w14:textId="77777777" w:rsidTr="00423DF1">
        <w:tc>
          <w:tcPr>
            <w:tcW w:w="9362" w:type="dxa"/>
            <w:gridSpan w:val="3"/>
          </w:tcPr>
          <w:p w14:paraId="2C5A5DFB" w14:textId="51A2F545" w:rsidR="00180223" w:rsidRPr="009F222C" w:rsidRDefault="00354272" w:rsidP="00BC3C66">
            <w:pPr>
              <w:pStyle w:val="zSoquijdatNomProcureurDef"/>
              <w:rPr>
                <w:lang w:val="en-CA"/>
              </w:rPr>
            </w:pPr>
            <w:r w:rsidRPr="009F222C">
              <w:rPr>
                <w:lang w:val="en-CA"/>
              </w:rPr>
              <w:t>M</w:t>
            </w:r>
            <w:r w:rsidR="004F208D" w:rsidRPr="009F222C">
              <w:rPr>
                <w:lang w:val="en-CA"/>
              </w:rPr>
              <w:t>tr</w:t>
            </w:r>
            <w:r w:rsidRPr="009F222C">
              <w:rPr>
                <w:lang w:val="en-CA"/>
              </w:rPr>
              <w:t>e Francesco Calandriello</w:t>
            </w:r>
          </w:p>
        </w:tc>
      </w:tr>
      <w:tr w:rsidR="00C233D9" w:rsidRPr="001A6BBA" w14:paraId="76DBE434" w14:textId="77777777" w:rsidTr="00423DF1">
        <w:tc>
          <w:tcPr>
            <w:tcW w:w="9362" w:type="dxa"/>
            <w:gridSpan w:val="3"/>
          </w:tcPr>
          <w:p w14:paraId="5622246A" w14:textId="1A0A7ADD" w:rsidR="000D7464" w:rsidRPr="009F222C" w:rsidRDefault="00354272" w:rsidP="00BC3C66">
            <w:pPr>
              <w:pStyle w:val="zSoquijdatNomProcureurDef"/>
              <w:rPr>
                <w:lang w:val="en-CA"/>
              </w:rPr>
            </w:pPr>
            <w:r w:rsidRPr="009F222C">
              <w:rPr>
                <w:lang w:val="en-CA"/>
              </w:rPr>
              <w:t>M</w:t>
            </w:r>
            <w:r w:rsidR="004F208D" w:rsidRPr="009F222C">
              <w:rPr>
                <w:lang w:val="en-CA"/>
              </w:rPr>
              <w:t>tr</w:t>
            </w:r>
            <w:r w:rsidRPr="009F222C">
              <w:rPr>
                <w:lang w:val="en-CA"/>
              </w:rPr>
              <w:t>e Michael Malka</w:t>
            </w:r>
          </w:p>
        </w:tc>
      </w:tr>
      <w:tr w:rsidR="00C233D9" w:rsidRPr="001A6BBA" w14:paraId="3AE15F17" w14:textId="77777777" w:rsidTr="00423DF1">
        <w:tc>
          <w:tcPr>
            <w:tcW w:w="9362" w:type="dxa"/>
            <w:gridSpan w:val="3"/>
          </w:tcPr>
          <w:p w14:paraId="62CF0435" w14:textId="7FB46525" w:rsidR="00180223" w:rsidRPr="001A6BBA" w:rsidRDefault="000D7464" w:rsidP="00BC3C66">
            <w:pPr>
              <w:pStyle w:val="zSoquijdatCabinetProcureurDef"/>
              <w:rPr>
                <w:lang w:val="en-CA"/>
              </w:rPr>
            </w:pPr>
            <w:r w:rsidRPr="001A6BBA">
              <w:rPr>
                <w:lang w:val="en-CA"/>
              </w:rPr>
              <w:t>CUCCINIELLO CALANDRIELLO AVOCATS</w:t>
            </w:r>
          </w:p>
        </w:tc>
      </w:tr>
      <w:tr w:rsidR="00C233D9" w:rsidRPr="001A6BBA" w14:paraId="569E6E08" w14:textId="77777777" w:rsidTr="00423DF1">
        <w:tc>
          <w:tcPr>
            <w:tcW w:w="9362" w:type="dxa"/>
            <w:gridSpan w:val="3"/>
          </w:tcPr>
          <w:p w14:paraId="7309B62A" w14:textId="42507F8D" w:rsidR="00180223" w:rsidRPr="008778A3" w:rsidRDefault="004F208D" w:rsidP="00BC3C66">
            <w:pPr>
              <w:pStyle w:val="zSoquijlblProcureurDef"/>
            </w:pPr>
            <w:r w:rsidRPr="008778A3">
              <w:t xml:space="preserve">For </w:t>
            </w:r>
            <w:r w:rsidR="0000265C">
              <w:t xml:space="preserve">the </w:t>
            </w:r>
            <w:r w:rsidRPr="008778A3">
              <w:t>respondent</w:t>
            </w:r>
            <w:r w:rsidR="00354272" w:rsidRPr="008778A3">
              <w:t xml:space="preserve"> Les Clercs de Saint-Viateur du Canada</w:t>
            </w:r>
          </w:p>
        </w:tc>
      </w:tr>
      <w:tr w:rsidR="00C233D9" w:rsidRPr="001A6BBA" w14:paraId="6548CF7F" w14:textId="77777777" w:rsidTr="00DD78E1">
        <w:tc>
          <w:tcPr>
            <w:tcW w:w="9362" w:type="dxa"/>
            <w:gridSpan w:val="3"/>
            <w:tcBorders>
              <w:bottom w:val="nil"/>
            </w:tcBorders>
          </w:tcPr>
          <w:p w14:paraId="11181E23" w14:textId="77777777" w:rsidR="00180223" w:rsidRPr="008778A3" w:rsidRDefault="00180223" w:rsidP="00BC3C66"/>
        </w:tc>
      </w:tr>
      <w:tr w:rsidR="00C233D9" w:rsidRPr="001A6BBA" w14:paraId="6D497D07" w14:textId="77777777" w:rsidTr="00DD78E1">
        <w:tc>
          <w:tcPr>
            <w:tcW w:w="9362" w:type="dxa"/>
            <w:gridSpan w:val="3"/>
            <w:tcBorders>
              <w:top w:val="nil"/>
            </w:tcBorders>
          </w:tcPr>
          <w:p w14:paraId="354D307A" w14:textId="639504E1" w:rsidR="00180223" w:rsidRPr="009F222C" w:rsidRDefault="00354272" w:rsidP="00BC3C66">
            <w:pPr>
              <w:pStyle w:val="zSoquijdatNomProcureurDef"/>
              <w:rPr>
                <w:lang w:val="en-CA"/>
              </w:rPr>
            </w:pPr>
            <w:r w:rsidRPr="009F222C">
              <w:rPr>
                <w:lang w:val="en-CA"/>
              </w:rPr>
              <w:lastRenderedPageBreak/>
              <w:t>M</w:t>
            </w:r>
            <w:r w:rsidR="004F208D" w:rsidRPr="009F222C">
              <w:rPr>
                <w:lang w:val="en-CA"/>
              </w:rPr>
              <w:t>tr</w:t>
            </w:r>
            <w:r w:rsidRPr="009F222C">
              <w:rPr>
                <w:lang w:val="en-CA"/>
              </w:rPr>
              <w:t>e Camille Lefebvre</w:t>
            </w:r>
          </w:p>
        </w:tc>
      </w:tr>
      <w:tr w:rsidR="00C233D9" w:rsidRPr="001A6BBA" w14:paraId="4114E0CD" w14:textId="77777777" w:rsidTr="00423DF1">
        <w:tc>
          <w:tcPr>
            <w:tcW w:w="9362" w:type="dxa"/>
            <w:gridSpan w:val="3"/>
          </w:tcPr>
          <w:p w14:paraId="2F789C67" w14:textId="1725A94F" w:rsidR="00180223" w:rsidRPr="009F222C" w:rsidRDefault="00354272" w:rsidP="00BC3C66">
            <w:pPr>
              <w:pStyle w:val="zSoquijdatNomProcureurDef"/>
              <w:rPr>
                <w:lang w:val="en-CA"/>
              </w:rPr>
            </w:pPr>
            <w:r w:rsidRPr="009F222C">
              <w:rPr>
                <w:lang w:val="en-CA"/>
              </w:rPr>
              <w:t>M</w:t>
            </w:r>
            <w:r w:rsidR="004F208D" w:rsidRPr="009F222C">
              <w:rPr>
                <w:lang w:val="en-CA"/>
              </w:rPr>
              <w:t>tr</w:t>
            </w:r>
            <w:r w:rsidRPr="009F222C">
              <w:rPr>
                <w:lang w:val="en-CA"/>
              </w:rPr>
              <w:t>e Emmanuel Laurin-Légaré</w:t>
            </w:r>
          </w:p>
        </w:tc>
      </w:tr>
      <w:tr w:rsidR="00C233D9" w:rsidRPr="001A6BBA" w14:paraId="5586EEE6" w14:textId="77777777" w:rsidTr="00423DF1">
        <w:tc>
          <w:tcPr>
            <w:tcW w:w="9362" w:type="dxa"/>
            <w:gridSpan w:val="3"/>
          </w:tcPr>
          <w:p w14:paraId="374E650A" w14:textId="615DEC68" w:rsidR="00180223" w:rsidRPr="009F222C" w:rsidRDefault="00354272" w:rsidP="00BC3C66">
            <w:pPr>
              <w:pStyle w:val="zSoquijdatCabinetProcureurDef"/>
              <w:rPr>
                <w:lang w:val="en-CA"/>
              </w:rPr>
            </w:pPr>
            <w:r w:rsidRPr="009F222C">
              <w:rPr>
                <w:lang w:val="en-CA"/>
              </w:rPr>
              <w:t>DE GRANDPRÉ CHAIT</w:t>
            </w:r>
          </w:p>
        </w:tc>
      </w:tr>
      <w:tr w:rsidR="00C233D9" w:rsidRPr="00F5469D" w14:paraId="57A5E31D" w14:textId="77777777" w:rsidTr="00423DF1">
        <w:tc>
          <w:tcPr>
            <w:tcW w:w="9362" w:type="dxa"/>
            <w:gridSpan w:val="3"/>
          </w:tcPr>
          <w:p w14:paraId="3487C539" w14:textId="1DEB938E" w:rsidR="00180223" w:rsidRPr="009F222C" w:rsidRDefault="004F208D" w:rsidP="00BC3C66">
            <w:pPr>
              <w:pStyle w:val="zSoquijlblProcureurDef"/>
              <w:rPr>
                <w:lang w:val="en-CA"/>
              </w:rPr>
            </w:pPr>
            <w:r w:rsidRPr="009F222C">
              <w:rPr>
                <w:lang w:val="en-CA"/>
              </w:rPr>
              <w:t xml:space="preserve">For </w:t>
            </w:r>
            <w:r w:rsidR="0000265C">
              <w:rPr>
                <w:lang w:val="en-CA"/>
              </w:rPr>
              <w:t xml:space="preserve">the </w:t>
            </w:r>
            <w:r w:rsidRPr="009F222C">
              <w:rPr>
                <w:lang w:val="en-CA"/>
              </w:rPr>
              <w:t>respondent</w:t>
            </w:r>
            <w:r w:rsidR="00354272" w:rsidRPr="009F222C">
              <w:rPr>
                <w:lang w:val="en-CA"/>
              </w:rPr>
              <w:t xml:space="preserve"> Collège Bourget</w:t>
            </w:r>
          </w:p>
        </w:tc>
      </w:tr>
      <w:tr w:rsidR="00C233D9" w:rsidRPr="00F5469D" w14:paraId="6BDAE73C" w14:textId="77777777" w:rsidTr="00ED74C3">
        <w:tc>
          <w:tcPr>
            <w:tcW w:w="9362" w:type="dxa"/>
            <w:gridSpan w:val="3"/>
            <w:tcBorders>
              <w:bottom w:val="nil"/>
            </w:tcBorders>
          </w:tcPr>
          <w:p w14:paraId="7D6D797F" w14:textId="77777777" w:rsidR="00ED74C3" w:rsidRPr="001A6BBA" w:rsidRDefault="00ED74C3" w:rsidP="00BC3C66">
            <w:pPr>
              <w:rPr>
                <w:lang w:val="en-CA"/>
              </w:rPr>
            </w:pPr>
          </w:p>
        </w:tc>
      </w:tr>
      <w:tr w:rsidR="00C233D9" w:rsidRPr="001A6BBA" w14:paraId="5593AB83" w14:textId="77777777" w:rsidTr="00ED74C3">
        <w:tc>
          <w:tcPr>
            <w:tcW w:w="9362" w:type="dxa"/>
            <w:gridSpan w:val="3"/>
            <w:tcBorders>
              <w:top w:val="nil"/>
            </w:tcBorders>
          </w:tcPr>
          <w:p w14:paraId="47E5CA6E" w14:textId="3DC38C19" w:rsidR="00ED74C3" w:rsidRPr="009F222C" w:rsidRDefault="00354272" w:rsidP="00BC3C66">
            <w:pPr>
              <w:pStyle w:val="zSoquijdatNomProcureurDef"/>
              <w:rPr>
                <w:lang w:val="en-CA"/>
              </w:rPr>
            </w:pPr>
            <w:r w:rsidRPr="009F222C">
              <w:rPr>
                <w:lang w:val="en-CA"/>
              </w:rPr>
              <w:t>M</w:t>
            </w:r>
            <w:r w:rsidR="004F208D" w:rsidRPr="009F222C">
              <w:rPr>
                <w:lang w:val="en-CA"/>
              </w:rPr>
              <w:t>tr</w:t>
            </w:r>
            <w:r w:rsidRPr="009F222C">
              <w:rPr>
                <w:lang w:val="en-CA"/>
              </w:rPr>
              <w:t>e François-David Paré</w:t>
            </w:r>
          </w:p>
        </w:tc>
      </w:tr>
      <w:tr w:rsidR="00C233D9" w:rsidRPr="001A6BBA" w14:paraId="13595FC4" w14:textId="77777777" w:rsidTr="00423DF1">
        <w:tc>
          <w:tcPr>
            <w:tcW w:w="9362" w:type="dxa"/>
            <w:gridSpan w:val="3"/>
          </w:tcPr>
          <w:p w14:paraId="1D279A5B" w14:textId="3A65E43D" w:rsidR="00ED74C3" w:rsidRPr="009F222C" w:rsidRDefault="000D7464" w:rsidP="00ED74C3">
            <w:pPr>
              <w:pStyle w:val="zSoquijdatCabinetProcureurDef"/>
              <w:rPr>
                <w:lang w:val="en-CA"/>
              </w:rPr>
            </w:pPr>
            <w:r w:rsidRPr="009F222C">
              <w:rPr>
                <w:lang w:val="en-CA"/>
              </w:rPr>
              <w:t>NORTON ROSE FULBRIGHT CANADA</w:t>
            </w:r>
          </w:p>
        </w:tc>
      </w:tr>
      <w:tr w:rsidR="00C233D9" w:rsidRPr="001A6BBA" w14:paraId="45F6DF8C" w14:textId="77777777" w:rsidTr="00423DF1">
        <w:tc>
          <w:tcPr>
            <w:tcW w:w="9362" w:type="dxa"/>
            <w:gridSpan w:val="3"/>
          </w:tcPr>
          <w:p w14:paraId="66BB9959" w14:textId="4D393412" w:rsidR="00ED74C3" w:rsidRPr="008778A3" w:rsidRDefault="00662350" w:rsidP="00ED74C3">
            <w:pPr>
              <w:pStyle w:val="zSoquijlblProcureurDef"/>
            </w:pPr>
            <w:r w:rsidRPr="008778A3">
              <w:t xml:space="preserve">For </w:t>
            </w:r>
            <w:r w:rsidR="0000265C" w:rsidRPr="0000265C">
              <w:t>the</w:t>
            </w:r>
            <w:r w:rsidR="0000265C" w:rsidRPr="008778A3">
              <w:t xml:space="preserve"> </w:t>
            </w:r>
            <w:r w:rsidRPr="008778A3">
              <w:t>respondents</w:t>
            </w:r>
            <w:r w:rsidR="00354272" w:rsidRPr="008778A3">
              <w:t xml:space="preserve"> Fonds d’entraide de l’ancien séminaire de Joliette, Les missions Saint-Viateur</w:t>
            </w:r>
            <w:r w:rsidR="00626A76">
              <w:t>,</w:t>
            </w:r>
            <w:r w:rsidR="00354272" w:rsidRPr="008778A3">
              <w:t xml:space="preserve"> </w:t>
            </w:r>
            <w:r w:rsidR="004F208D" w:rsidRPr="008778A3">
              <w:t>and</w:t>
            </w:r>
            <w:r w:rsidR="00354272" w:rsidRPr="008778A3">
              <w:t xml:space="preserve"> Fonds Louis-Querbes</w:t>
            </w:r>
          </w:p>
        </w:tc>
      </w:tr>
      <w:tr w:rsidR="00C233D9" w:rsidRPr="001A6BBA" w14:paraId="42A85E61" w14:textId="77777777" w:rsidTr="00423DF1">
        <w:tc>
          <w:tcPr>
            <w:tcW w:w="9362" w:type="dxa"/>
            <w:gridSpan w:val="3"/>
          </w:tcPr>
          <w:p w14:paraId="4F7B2788" w14:textId="77777777" w:rsidR="00ED74C3" w:rsidRPr="008778A3" w:rsidRDefault="00ED74C3" w:rsidP="005A78BF"/>
        </w:tc>
      </w:tr>
      <w:tr w:rsidR="00C233D9" w:rsidRPr="001A6BBA" w14:paraId="48A8E8D2" w14:textId="77777777" w:rsidTr="00423DF1">
        <w:tc>
          <w:tcPr>
            <w:tcW w:w="9362" w:type="dxa"/>
            <w:gridSpan w:val="3"/>
          </w:tcPr>
          <w:p w14:paraId="50397E23" w14:textId="2C80E653" w:rsidR="00ED74C3" w:rsidRPr="009F222C" w:rsidRDefault="00354272" w:rsidP="00ED74C3">
            <w:pPr>
              <w:pStyle w:val="zSoquijdatNomProcureurDef"/>
              <w:rPr>
                <w:lang w:val="en-CA"/>
              </w:rPr>
            </w:pPr>
            <w:r w:rsidRPr="009F222C">
              <w:rPr>
                <w:lang w:val="en-CA"/>
              </w:rPr>
              <w:t>Mtre Marie-Nancy Paquet</w:t>
            </w:r>
          </w:p>
        </w:tc>
      </w:tr>
      <w:tr w:rsidR="00C233D9" w:rsidRPr="001A6BBA" w14:paraId="645ACB63" w14:textId="77777777" w:rsidTr="00423DF1">
        <w:tc>
          <w:tcPr>
            <w:tcW w:w="9362" w:type="dxa"/>
            <w:gridSpan w:val="3"/>
          </w:tcPr>
          <w:p w14:paraId="12F88D8B" w14:textId="767E5DEC" w:rsidR="00ED74C3" w:rsidRPr="009F222C" w:rsidRDefault="00354272" w:rsidP="00ED74C3">
            <w:pPr>
              <w:pStyle w:val="zSoquijdatCabinetProcureurDef"/>
              <w:rPr>
                <w:lang w:val="en-CA"/>
              </w:rPr>
            </w:pPr>
            <w:r w:rsidRPr="009F222C">
              <w:rPr>
                <w:lang w:val="en-CA"/>
              </w:rPr>
              <w:t>LAVERY DE BILLY</w:t>
            </w:r>
          </w:p>
        </w:tc>
      </w:tr>
      <w:tr w:rsidR="00C233D9" w:rsidRPr="001A6BBA" w14:paraId="5890642E" w14:textId="77777777" w:rsidTr="00423DF1">
        <w:tc>
          <w:tcPr>
            <w:tcW w:w="9362" w:type="dxa"/>
            <w:gridSpan w:val="3"/>
          </w:tcPr>
          <w:p w14:paraId="0A397028" w14:textId="77075020" w:rsidR="00ED74C3" w:rsidRPr="008778A3" w:rsidRDefault="00662350" w:rsidP="00ED74C3">
            <w:pPr>
              <w:pStyle w:val="zSoquijlblProcureurDef"/>
            </w:pPr>
            <w:r w:rsidRPr="008778A3">
              <w:t xml:space="preserve">For </w:t>
            </w:r>
            <w:r w:rsidR="0000265C" w:rsidRPr="0000265C">
              <w:t>the</w:t>
            </w:r>
            <w:r w:rsidR="0000265C" w:rsidRPr="008778A3">
              <w:t xml:space="preserve"> </w:t>
            </w:r>
            <w:r w:rsidRPr="008778A3">
              <w:t>respondent</w:t>
            </w:r>
            <w:r w:rsidR="00354272" w:rsidRPr="008778A3">
              <w:t xml:space="preserve"> Centre intégré universitaire de santé et de services sociaux de la Capitale-Nationale</w:t>
            </w:r>
          </w:p>
        </w:tc>
      </w:tr>
      <w:tr w:rsidR="00C233D9" w:rsidRPr="001A6BBA" w14:paraId="59D2C6D6" w14:textId="77777777" w:rsidTr="00423DF1">
        <w:tc>
          <w:tcPr>
            <w:tcW w:w="9362" w:type="dxa"/>
            <w:gridSpan w:val="3"/>
          </w:tcPr>
          <w:p w14:paraId="37552E02" w14:textId="77777777" w:rsidR="00ED74C3" w:rsidRPr="008778A3" w:rsidRDefault="00ED74C3" w:rsidP="005A78BF"/>
        </w:tc>
      </w:tr>
      <w:tr w:rsidR="00C233D9" w:rsidRPr="001A6BBA" w14:paraId="02A5D36F" w14:textId="77777777" w:rsidTr="00423DF1">
        <w:tc>
          <w:tcPr>
            <w:tcW w:w="9362" w:type="dxa"/>
            <w:gridSpan w:val="3"/>
          </w:tcPr>
          <w:p w14:paraId="0622DDDB" w14:textId="08DCF31B" w:rsidR="00ED74C3" w:rsidRPr="009F222C" w:rsidRDefault="00354272" w:rsidP="00ED74C3">
            <w:pPr>
              <w:pStyle w:val="zSoquijdatNomProcureurDef"/>
              <w:rPr>
                <w:lang w:val="en-CA"/>
              </w:rPr>
            </w:pPr>
            <w:r w:rsidRPr="009F222C">
              <w:rPr>
                <w:lang w:val="en-CA"/>
              </w:rPr>
              <w:t>M</w:t>
            </w:r>
            <w:r w:rsidR="004F208D" w:rsidRPr="009F222C">
              <w:rPr>
                <w:lang w:val="en-CA"/>
              </w:rPr>
              <w:t>tr</w:t>
            </w:r>
            <w:r w:rsidRPr="009F222C">
              <w:rPr>
                <w:lang w:val="en-CA"/>
              </w:rPr>
              <w:t>e Elisabeth Neelin</w:t>
            </w:r>
          </w:p>
        </w:tc>
      </w:tr>
      <w:tr w:rsidR="00C233D9" w:rsidRPr="001A6BBA" w14:paraId="3CA4BF12" w14:textId="77777777" w:rsidTr="00423DF1">
        <w:tc>
          <w:tcPr>
            <w:tcW w:w="9362" w:type="dxa"/>
            <w:gridSpan w:val="3"/>
          </w:tcPr>
          <w:p w14:paraId="2EACF7A2" w14:textId="68B438BE" w:rsidR="00ED74C3" w:rsidRPr="009F222C" w:rsidRDefault="00354272" w:rsidP="00ED74C3">
            <w:pPr>
              <w:pStyle w:val="zSoquijdatCabinetProcureurDef"/>
              <w:rPr>
                <w:lang w:val="en-CA"/>
              </w:rPr>
            </w:pPr>
            <w:r w:rsidRPr="009F222C">
              <w:rPr>
                <w:lang w:val="en-CA"/>
              </w:rPr>
              <w:t>LANGLOIS AVOCATS</w:t>
            </w:r>
          </w:p>
        </w:tc>
      </w:tr>
      <w:tr w:rsidR="00C233D9" w:rsidRPr="00F5469D" w14:paraId="7DE62DE8" w14:textId="77777777" w:rsidTr="00423DF1">
        <w:tc>
          <w:tcPr>
            <w:tcW w:w="9362" w:type="dxa"/>
            <w:gridSpan w:val="3"/>
          </w:tcPr>
          <w:p w14:paraId="1742EF62" w14:textId="1C574B03" w:rsidR="00ED74C3" w:rsidRPr="001A6BBA" w:rsidRDefault="004F208D" w:rsidP="00ED74C3">
            <w:pPr>
              <w:pStyle w:val="zSoquijlblProcureurDef"/>
              <w:rPr>
                <w:lang w:val="en-CA"/>
              </w:rPr>
            </w:pPr>
            <w:r w:rsidRPr="009F222C">
              <w:rPr>
                <w:lang w:val="en-CA"/>
              </w:rPr>
              <w:t xml:space="preserve">For </w:t>
            </w:r>
            <w:r w:rsidR="0000265C">
              <w:rPr>
                <w:lang w:val="en-CA"/>
              </w:rPr>
              <w:t>the</w:t>
            </w:r>
            <w:r w:rsidR="0000265C" w:rsidRPr="009F222C">
              <w:rPr>
                <w:lang w:val="en-CA"/>
              </w:rPr>
              <w:t xml:space="preserve"> </w:t>
            </w:r>
            <w:r w:rsidRPr="009F222C">
              <w:rPr>
                <w:lang w:val="en-CA"/>
              </w:rPr>
              <w:t>respondent</w:t>
            </w:r>
            <w:r w:rsidR="00354272" w:rsidRPr="009F222C">
              <w:rPr>
                <w:lang w:val="en-CA"/>
              </w:rPr>
              <w:t xml:space="preserve"> Intact </w:t>
            </w:r>
            <w:r w:rsidRPr="001A6BBA">
              <w:rPr>
                <w:lang w:val="en-CA"/>
              </w:rPr>
              <w:t>Insurance Company</w:t>
            </w:r>
          </w:p>
        </w:tc>
      </w:tr>
      <w:tr w:rsidR="00C233D9" w:rsidRPr="00F5469D" w14:paraId="0D7B4467" w14:textId="77777777" w:rsidTr="00423DF1">
        <w:tc>
          <w:tcPr>
            <w:tcW w:w="9362" w:type="dxa"/>
            <w:gridSpan w:val="3"/>
          </w:tcPr>
          <w:p w14:paraId="54BDB951" w14:textId="77777777" w:rsidR="00ED74C3" w:rsidRPr="001A6BBA" w:rsidRDefault="00ED74C3" w:rsidP="005A78BF">
            <w:pPr>
              <w:rPr>
                <w:lang w:val="en-CA"/>
              </w:rPr>
            </w:pPr>
          </w:p>
        </w:tc>
      </w:tr>
      <w:tr w:rsidR="00C233D9" w:rsidRPr="001A6BBA" w14:paraId="72F751CD" w14:textId="77777777" w:rsidTr="00423DF1">
        <w:tc>
          <w:tcPr>
            <w:tcW w:w="9362" w:type="dxa"/>
            <w:gridSpan w:val="3"/>
          </w:tcPr>
          <w:p w14:paraId="4CFBCD14" w14:textId="3C112BE4" w:rsidR="00ED74C3" w:rsidRPr="009F222C" w:rsidRDefault="00354272" w:rsidP="00ED74C3">
            <w:pPr>
              <w:pStyle w:val="zSoquijdatNomProcureurDef"/>
              <w:rPr>
                <w:lang w:val="en-CA"/>
              </w:rPr>
            </w:pPr>
            <w:r w:rsidRPr="009F222C">
              <w:rPr>
                <w:lang w:val="en-CA"/>
              </w:rPr>
              <w:t>M</w:t>
            </w:r>
            <w:r w:rsidR="004F208D" w:rsidRPr="009F222C">
              <w:rPr>
                <w:lang w:val="en-CA"/>
              </w:rPr>
              <w:t>tr</w:t>
            </w:r>
            <w:r w:rsidRPr="009F222C">
              <w:rPr>
                <w:lang w:val="en-CA"/>
              </w:rPr>
              <w:t>e Gabriel Archambault</w:t>
            </w:r>
          </w:p>
        </w:tc>
      </w:tr>
      <w:tr w:rsidR="00C233D9" w:rsidRPr="001A6BBA" w14:paraId="41AD4BA9" w14:textId="77777777" w:rsidTr="00423DF1">
        <w:tc>
          <w:tcPr>
            <w:tcW w:w="9362" w:type="dxa"/>
            <w:gridSpan w:val="3"/>
          </w:tcPr>
          <w:p w14:paraId="150A2800" w14:textId="700A077A" w:rsidR="00ED74C3" w:rsidRPr="009F222C" w:rsidRDefault="00354272" w:rsidP="00ED74C3">
            <w:pPr>
              <w:pStyle w:val="zSoquijdatCabinetProcureurDef"/>
              <w:rPr>
                <w:lang w:val="en-CA"/>
              </w:rPr>
            </w:pPr>
            <w:r w:rsidRPr="009F222C">
              <w:rPr>
                <w:lang w:val="en-CA"/>
              </w:rPr>
              <w:t>CLYDE &amp; C</w:t>
            </w:r>
            <w:r w:rsidR="004F208D" w:rsidRPr="009F222C">
              <w:rPr>
                <w:lang w:val="en-CA"/>
              </w:rPr>
              <w:t>O</w:t>
            </w:r>
            <w:r w:rsidRPr="009F222C">
              <w:rPr>
                <w:lang w:val="en-CA"/>
              </w:rPr>
              <w:t xml:space="preserve"> CANADA</w:t>
            </w:r>
          </w:p>
        </w:tc>
      </w:tr>
      <w:tr w:rsidR="00C233D9" w:rsidRPr="00F5469D" w14:paraId="1930AA0C" w14:textId="77777777" w:rsidTr="00423DF1">
        <w:tc>
          <w:tcPr>
            <w:tcW w:w="9362" w:type="dxa"/>
            <w:gridSpan w:val="3"/>
          </w:tcPr>
          <w:p w14:paraId="303C6D0F" w14:textId="1EBB9DA4" w:rsidR="00ED74C3" w:rsidRPr="009F222C" w:rsidRDefault="0000265C" w:rsidP="00ED74C3">
            <w:pPr>
              <w:pStyle w:val="zSoquijlblProcureurDef"/>
              <w:rPr>
                <w:lang w:val="en-CA"/>
              </w:rPr>
            </w:pPr>
            <w:r>
              <w:rPr>
                <w:lang w:val="en-CA"/>
              </w:rPr>
              <w:t>F</w:t>
            </w:r>
            <w:r w:rsidR="004F208D" w:rsidRPr="009F222C">
              <w:rPr>
                <w:lang w:val="en-CA"/>
              </w:rPr>
              <w:t xml:space="preserve">or </w:t>
            </w:r>
            <w:r>
              <w:rPr>
                <w:lang w:val="en-CA"/>
              </w:rPr>
              <w:t xml:space="preserve">the </w:t>
            </w:r>
            <w:r w:rsidR="004F208D" w:rsidRPr="009F222C">
              <w:rPr>
                <w:lang w:val="en-CA"/>
              </w:rPr>
              <w:t>impleaded party</w:t>
            </w:r>
            <w:r w:rsidR="00354272" w:rsidRPr="009F222C">
              <w:rPr>
                <w:lang w:val="en-CA"/>
              </w:rPr>
              <w:t xml:space="preserve"> Travelers Canada</w:t>
            </w:r>
          </w:p>
        </w:tc>
      </w:tr>
      <w:tr w:rsidR="00C233D9" w:rsidRPr="00F5469D" w14:paraId="4FB1A9A1" w14:textId="77777777" w:rsidTr="00423DF1">
        <w:tc>
          <w:tcPr>
            <w:tcW w:w="9362" w:type="dxa"/>
            <w:gridSpan w:val="3"/>
          </w:tcPr>
          <w:p w14:paraId="73383E0F" w14:textId="77777777" w:rsidR="00ED74C3" w:rsidRPr="001A6BBA" w:rsidRDefault="00ED74C3" w:rsidP="005A78BF">
            <w:pPr>
              <w:rPr>
                <w:lang w:val="en-CA"/>
              </w:rPr>
            </w:pPr>
          </w:p>
        </w:tc>
      </w:tr>
      <w:tr w:rsidR="00C233D9" w:rsidRPr="001A6BBA" w14:paraId="4A81CD2F" w14:textId="77777777" w:rsidTr="00423DF1">
        <w:tc>
          <w:tcPr>
            <w:tcW w:w="9362" w:type="dxa"/>
            <w:gridSpan w:val="3"/>
          </w:tcPr>
          <w:p w14:paraId="6DC570B5" w14:textId="7997699A" w:rsidR="00ED74C3" w:rsidRPr="008778A3" w:rsidRDefault="00354272" w:rsidP="00ED74C3">
            <w:pPr>
              <w:pStyle w:val="zSoquijdatNomProcureurDef"/>
            </w:pPr>
            <w:r w:rsidRPr="008778A3">
              <w:t>M</w:t>
            </w:r>
            <w:r w:rsidR="004F208D" w:rsidRPr="008778A3">
              <w:t>tr</w:t>
            </w:r>
            <w:r w:rsidRPr="008778A3">
              <w:t>e Jean-Pierre Casavant, Ad. E.</w:t>
            </w:r>
          </w:p>
        </w:tc>
      </w:tr>
      <w:tr w:rsidR="00C233D9" w:rsidRPr="001A6BBA" w14:paraId="1250E6C9" w14:textId="77777777" w:rsidTr="00423DF1">
        <w:tc>
          <w:tcPr>
            <w:tcW w:w="9362" w:type="dxa"/>
            <w:gridSpan w:val="3"/>
          </w:tcPr>
          <w:p w14:paraId="661D6FA4" w14:textId="6672DC3E" w:rsidR="000D7464" w:rsidRPr="009F222C" w:rsidRDefault="00354272" w:rsidP="00ED74C3">
            <w:pPr>
              <w:pStyle w:val="zSoquijdatNomProcureurDef"/>
              <w:rPr>
                <w:lang w:val="en-CA"/>
              </w:rPr>
            </w:pPr>
            <w:r w:rsidRPr="009F222C">
              <w:rPr>
                <w:lang w:val="en-CA"/>
              </w:rPr>
              <w:t>M</w:t>
            </w:r>
            <w:r w:rsidR="004F208D" w:rsidRPr="009F222C">
              <w:rPr>
                <w:lang w:val="en-CA"/>
              </w:rPr>
              <w:t>tr</w:t>
            </w:r>
            <w:r w:rsidRPr="009F222C">
              <w:rPr>
                <w:lang w:val="en-CA"/>
              </w:rPr>
              <w:t>e Guillaume Carrier</w:t>
            </w:r>
          </w:p>
        </w:tc>
      </w:tr>
      <w:tr w:rsidR="00C233D9" w:rsidRPr="001A6BBA" w14:paraId="2CEC2707" w14:textId="77777777" w:rsidTr="00423DF1">
        <w:tc>
          <w:tcPr>
            <w:tcW w:w="9362" w:type="dxa"/>
            <w:gridSpan w:val="3"/>
          </w:tcPr>
          <w:p w14:paraId="70A9609C" w14:textId="43E2C370" w:rsidR="00ED74C3" w:rsidRPr="009F222C" w:rsidRDefault="00354272" w:rsidP="00ED74C3">
            <w:pPr>
              <w:pStyle w:val="zSoquijdatCabinetProcureurDef"/>
              <w:rPr>
                <w:lang w:val="en-CA"/>
              </w:rPr>
            </w:pPr>
            <w:r w:rsidRPr="009F222C">
              <w:rPr>
                <w:lang w:val="en-CA"/>
              </w:rPr>
              <w:t>CASAVANT BÉDARD</w:t>
            </w:r>
          </w:p>
        </w:tc>
      </w:tr>
      <w:tr w:rsidR="00C233D9" w:rsidRPr="00F5469D" w14:paraId="3179E836" w14:textId="77777777" w:rsidTr="00423DF1">
        <w:tc>
          <w:tcPr>
            <w:tcW w:w="9362" w:type="dxa"/>
            <w:gridSpan w:val="3"/>
          </w:tcPr>
          <w:p w14:paraId="7AA1EFD0" w14:textId="097A6D55" w:rsidR="00ED74C3" w:rsidRPr="001A6BBA" w:rsidRDefault="004F208D" w:rsidP="00ED74C3">
            <w:pPr>
              <w:pStyle w:val="zSoquijlblProcureurDef"/>
              <w:rPr>
                <w:lang w:val="en-CA"/>
              </w:rPr>
            </w:pPr>
            <w:r w:rsidRPr="001A6BBA">
              <w:rPr>
                <w:lang w:val="en-CA"/>
              </w:rPr>
              <w:t xml:space="preserve">For </w:t>
            </w:r>
            <w:r w:rsidR="0000265C">
              <w:rPr>
                <w:lang w:val="en-CA"/>
              </w:rPr>
              <w:t xml:space="preserve">the </w:t>
            </w:r>
            <w:r w:rsidRPr="001A6BBA">
              <w:rPr>
                <w:lang w:val="en-CA"/>
              </w:rPr>
              <w:t>impleaded party</w:t>
            </w:r>
            <w:r w:rsidR="00354272" w:rsidRPr="001A6BBA">
              <w:rPr>
                <w:lang w:val="en-CA"/>
              </w:rPr>
              <w:t xml:space="preserve"> Royal and Sun Alliance</w:t>
            </w:r>
          </w:p>
        </w:tc>
      </w:tr>
      <w:tr w:rsidR="00C233D9" w:rsidRPr="00F5469D" w14:paraId="154F343E" w14:textId="77777777" w:rsidTr="000D7464">
        <w:tc>
          <w:tcPr>
            <w:tcW w:w="9362" w:type="dxa"/>
            <w:gridSpan w:val="3"/>
            <w:tcBorders>
              <w:bottom w:val="nil"/>
            </w:tcBorders>
          </w:tcPr>
          <w:p w14:paraId="40D06212" w14:textId="77777777" w:rsidR="00ED74C3" w:rsidRPr="001A6BBA" w:rsidRDefault="00ED74C3" w:rsidP="005A78BF">
            <w:pPr>
              <w:rPr>
                <w:lang w:val="en-CA"/>
              </w:rPr>
            </w:pPr>
          </w:p>
        </w:tc>
      </w:tr>
      <w:tr w:rsidR="00C233D9" w:rsidRPr="001A6BBA" w14:paraId="3890D1CF" w14:textId="77777777" w:rsidTr="000D7464">
        <w:tc>
          <w:tcPr>
            <w:tcW w:w="9362" w:type="dxa"/>
            <w:gridSpan w:val="3"/>
            <w:tcBorders>
              <w:top w:val="nil"/>
            </w:tcBorders>
          </w:tcPr>
          <w:p w14:paraId="1A93F0FD" w14:textId="2B9D126E" w:rsidR="00ED74C3" w:rsidRPr="009F222C" w:rsidRDefault="000D7464" w:rsidP="00ED74C3">
            <w:pPr>
              <w:pStyle w:val="zSoquijdatNomProcureurDef"/>
              <w:rPr>
                <w:lang w:val="en-CA"/>
              </w:rPr>
            </w:pPr>
            <w:r w:rsidRPr="009F222C">
              <w:rPr>
                <w:lang w:val="en-CA"/>
              </w:rPr>
              <w:t>M</w:t>
            </w:r>
            <w:r w:rsidR="004F208D" w:rsidRPr="009F222C">
              <w:rPr>
                <w:lang w:val="en-CA"/>
              </w:rPr>
              <w:t>tr</w:t>
            </w:r>
            <w:r w:rsidRPr="009F222C">
              <w:rPr>
                <w:lang w:val="en-CA"/>
              </w:rPr>
              <w:t>e Nathalie Guilbert</w:t>
            </w:r>
          </w:p>
        </w:tc>
      </w:tr>
      <w:tr w:rsidR="00C233D9" w:rsidRPr="001A6BBA" w14:paraId="046DB9F6" w14:textId="77777777" w:rsidTr="00423DF1">
        <w:tc>
          <w:tcPr>
            <w:tcW w:w="9362" w:type="dxa"/>
            <w:gridSpan w:val="3"/>
          </w:tcPr>
          <w:p w14:paraId="22CF43EE" w14:textId="760C70B5" w:rsidR="00ED74C3" w:rsidRPr="009F222C" w:rsidRDefault="000D7464" w:rsidP="00ED74C3">
            <w:pPr>
              <w:pStyle w:val="zSoquijdatNomProcureurDef"/>
              <w:rPr>
                <w:lang w:val="en-CA"/>
              </w:rPr>
            </w:pPr>
            <w:r w:rsidRPr="009F222C">
              <w:rPr>
                <w:lang w:val="en-CA"/>
              </w:rPr>
              <w:t>Mtre Frikia Belogbi</w:t>
            </w:r>
          </w:p>
        </w:tc>
      </w:tr>
      <w:tr w:rsidR="00C233D9" w:rsidRPr="001A6BBA" w14:paraId="3D3F4E27" w14:textId="77777777" w:rsidTr="00423DF1">
        <w:tc>
          <w:tcPr>
            <w:tcW w:w="9362" w:type="dxa"/>
            <w:gridSpan w:val="3"/>
          </w:tcPr>
          <w:p w14:paraId="26CDB902" w14:textId="0E3E03C1" w:rsidR="00ED74C3" w:rsidRPr="008778A3" w:rsidRDefault="008F6944" w:rsidP="00ED74C3">
            <w:pPr>
              <w:pStyle w:val="zSoquijdatCabinetProcureurDef"/>
            </w:pPr>
            <w:r w:rsidRPr="008778A3">
              <w:t>FONDS D’AIDE AUX ACTIONS COLLECTIVES</w:t>
            </w:r>
          </w:p>
        </w:tc>
      </w:tr>
      <w:tr w:rsidR="00C233D9" w:rsidRPr="00F5469D" w14:paraId="3E20744B" w14:textId="77777777" w:rsidTr="00423DF1">
        <w:tc>
          <w:tcPr>
            <w:tcW w:w="9362" w:type="dxa"/>
            <w:gridSpan w:val="3"/>
          </w:tcPr>
          <w:p w14:paraId="40A6127F" w14:textId="707C84DD" w:rsidR="00ED74C3" w:rsidRPr="009F222C" w:rsidRDefault="004F208D" w:rsidP="00ED74C3">
            <w:pPr>
              <w:pStyle w:val="zSoquijlblProcureurDef"/>
              <w:rPr>
                <w:lang w:val="en-CA"/>
              </w:rPr>
            </w:pPr>
            <w:r w:rsidRPr="009F222C">
              <w:rPr>
                <w:lang w:val="en-CA"/>
              </w:rPr>
              <w:t xml:space="preserve">For </w:t>
            </w:r>
            <w:r w:rsidR="0000265C">
              <w:rPr>
                <w:lang w:val="en-CA"/>
              </w:rPr>
              <w:t xml:space="preserve">the </w:t>
            </w:r>
            <w:r w:rsidRPr="009F222C">
              <w:rPr>
                <w:lang w:val="en-CA"/>
              </w:rPr>
              <w:t>impleaded party</w:t>
            </w:r>
            <w:r w:rsidR="00354272" w:rsidRPr="009F222C">
              <w:rPr>
                <w:lang w:val="en-CA"/>
              </w:rPr>
              <w:t xml:space="preserve"> Fonds d’aide aux actions collectives</w:t>
            </w:r>
          </w:p>
        </w:tc>
      </w:tr>
      <w:tr w:rsidR="00C233D9" w:rsidRPr="00F5469D" w14:paraId="2AA9BADC" w14:textId="77777777" w:rsidTr="00423DF1">
        <w:tc>
          <w:tcPr>
            <w:tcW w:w="9362" w:type="dxa"/>
            <w:gridSpan w:val="3"/>
          </w:tcPr>
          <w:p w14:paraId="6170423B" w14:textId="77777777" w:rsidR="005A78BF" w:rsidRPr="001A6BBA" w:rsidRDefault="005A78BF" w:rsidP="005A78BF">
            <w:pPr>
              <w:rPr>
                <w:lang w:val="en-CA"/>
              </w:rPr>
            </w:pPr>
          </w:p>
        </w:tc>
      </w:tr>
      <w:tr w:rsidR="00C233D9" w:rsidRPr="001A6BBA" w14:paraId="59FF6E24" w14:textId="77777777" w:rsidTr="00423DF1">
        <w:tc>
          <w:tcPr>
            <w:tcW w:w="1997" w:type="dxa"/>
          </w:tcPr>
          <w:p w14:paraId="4C725334" w14:textId="614FDE8B" w:rsidR="005A78BF" w:rsidRPr="009F222C" w:rsidRDefault="00354272" w:rsidP="005A78BF">
            <w:pPr>
              <w:pStyle w:val="zSoquijlblDateAudience"/>
              <w:rPr>
                <w:lang w:val="en-CA"/>
              </w:rPr>
            </w:pPr>
            <w:r w:rsidRPr="009F222C">
              <w:rPr>
                <w:lang w:val="en-CA"/>
              </w:rPr>
              <w:t xml:space="preserve">Date </w:t>
            </w:r>
            <w:r w:rsidR="004F208D" w:rsidRPr="009F222C">
              <w:rPr>
                <w:lang w:val="en-CA"/>
              </w:rPr>
              <w:t>of hearing</w:t>
            </w:r>
            <w:r w:rsidRPr="009F222C">
              <w:rPr>
                <w:lang w:val="en-CA"/>
              </w:rPr>
              <w:t>:</w:t>
            </w:r>
          </w:p>
        </w:tc>
        <w:tc>
          <w:tcPr>
            <w:tcW w:w="7365" w:type="dxa"/>
            <w:gridSpan w:val="2"/>
          </w:tcPr>
          <w:p w14:paraId="58EEBE17" w14:textId="11DC3F6F" w:rsidR="005A78BF" w:rsidRPr="009F222C" w:rsidRDefault="004F208D" w:rsidP="005A78BF">
            <w:pPr>
              <w:pStyle w:val="zSoquijdatDateAudience"/>
              <w:rPr>
                <w:lang w:val="en-CA"/>
              </w:rPr>
            </w:pPr>
            <w:r w:rsidRPr="009F222C">
              <w:rPr>
                <w:lang w:val="en-CA"/>
              </w:rPr>
              <w:t>March 7,</w:t>
            </w:r>
            <w:r w:rsidR="00354272" w:rsidRPr="009F222C">
              <w:rPr>
                <w:lang w:val="en-CA"/>
              </w:rPr>
              <w:t xml:space="preserve"> 2023</w:t>
            </w:r>
          </w:p>
        </w:tc>
      </w:tr>
    </w:tbl>
    <w:p w14:paraId="51C9D19E" w14:textId="77777777" w:rsidR="002E7C51" w:rsidRPr="001A6BBA" w:rsidRDefault="002E7C51" w:rsidP="002E7C51">
      <w:pPr>
        <w:rPr>
          <w:lang w:val="en-CA"/>
        </w:rPr>
      </w:pPr>
      <w:bookmarkStart w:id="9" w:name="Opinion"/>
      <w:bookmarkEnd w:id="5"/>
    </w:p>
    <w:p w14:paraId="467B6C12" w14:textId="77777777" w:rsidR="002E7C51" w:rsidRPr="001A6BBA" w:rsidRDefault="002E7C51" w:rsidP="002E7C51">
      <w:pPr>
        <w:rPr>
          <w:lang w:val="en-CA"/>
        </w:rPr>
        <w:sectPr w:rsidR="002E7C51" w:rsidRPr="001A6BBA" w:rsidSect="00F43559">
          <w:headerReference w:type="default" r:id="rId8"/>
          <w:pgSz w:w="12242" w:h="15842" w:code="1"/>
          <w:pgMar w:top="1440" w:right="1008" w:bottom="1440" w:left="1872" w:header="1440" w:footer="792" w:gutter="0"/>
          <w:cols w:space="720"/>
          <w:formProt w:val="0"/>
          <w:titlePg/>
        </w:sectPr>
      </w:pPr>
    </w:p>
    <w:tbl>
      <w:tblPr>
        <w:tblW w:w="0" w:type="auto"/>
        <w:tblLayout w:type="fixed"/>
        <w:tblCellMar>
          <w:left w:w="0" w:type="dxa"/>
          <w:right w:w="0" w:type="dxa"/>
        </w:tblCellMar>
        <w:tblLook w:val="0000" w:firstRow="0" w:lastRow="0" w:firstColumn="0" w:lastColumn="0" w:noHBand="0" w:noVBand="0"/>
      </w:tblPr>
      <w:tblGrid>
        <w:gridCol w:w="9360"/>
      </w:tblGrid>
      <w:tr w:rsidR="00C233D9" w:rsidRPr="001A6BBA" w14:paraId="481BC3B0" w14:textId="77777777" w:rsidTr="00E024A4">
        <w:tc>
          <w:tcPr>
            <w:tcW w:w="9360" w:type="dxa"/>
            <w:tcBorders>
              <w:bottom w:val="single" w:sz="8" w:space="0" w:color="auto"/>
            </w:tcBorders>
          </w:tcPr>
          <w:p w14:paraId="07EDC7EF" w14:textId="77777777" w:rsidR="002E7C51" w:rsidRPr="001A6BBA" w:rsidRDefault="00354272" w:rsidP="00E024A4">
            <w:pPr>
              <w:rPr>
                <w:lang w:val="en-CA"/>
              </w:rPr>
            </w:pPr>
            <w:r w:rsidRPr="001A6BBA">
              <w:rPr>
                <w:lang w:val="en-CA"/>
              </w:rPr>
              <w:lastRenderedPageBreak/>
              <w:br w:type="page"/>
            </w:r>
          </w:p>
        </w:tc>
      </w:tr>
      <w:tr w:rsidR="00C233D9" w:rsidRPr="001A6BBA" w14:paraId="62870C47" w14:textId="77777777" w:rsidTr="00E024A4">
        <w:tc>
          <w:tcPr>
            <w:tcW w:w="9360" w:type="dxa"/>
            <w:tcBorders>
              <w:top w:val="single" w:sz="8" w:space="0" w:color="auto"/>
            </w:tcBorders>
          </w:tcPr>
          <w:p w14:paraId="6C2F02B0" w14:textId="77777777" w:rsidR="002E7C51" w:rsidRPr="001A6BBA" w:rsidRDefault="002E7C51" w:rsidP="00E024A4">
            <w:pPr>
              <w:rPr>
                <w:lang w:val="en-CA"/>
              </w:rPr>
            </w:pPr>
          </w:p>
        </w:tc>
      </w:tr>
      <w:tr w:rsidR="00C233D9" w:rsidRPr="00F5469D" w14:paraId="7433E11B" w14:textId="77777777" w:rsidTr="00E024A4">
        <w:tc>
          <w:tcPr>
            <w:tcW w:w="9360" w:type="dxa"/>
          </w:tcPr>
          <w:p w14:paraId="71EEE0D3" w14:textId="179A5B79" w:rsidR="002E7C51" w:rsidRPr="009F222C" w:rsidRDefault="00354272" w:rsidP="00E024A4">
            <w:pPr>
              <w:pStyle w:val="zSoquijlblOpinionJuge"/>
              <w:rPr>
                <w:lang w:val="en-CA"/>
              </w:rPr>
            </w:pPr>
            <w:r w:rsidRPr="009F222C">
              <w:rPr>
                <w:lang w:val="en-CA"/>
              </w:rPr>
              <w:t>REASONS OF SCHRAGER, J.A.</w:t>
            </w:r>
          </w:p>
        </w:tc>
      </w:tr>
      <w:tr w:rsidR="00C233D9" w:rsidRPr="00F5469D" w14:paraId="5F07DF0B" w14:textId="77777777" w:rsidTr="00E024A4">
        <w:tc>
          <w:tcPr>
            <w:tcW w:w="9360" w:type="dxa"/>
            <w:tcBorders>
              <w:bottom w:val="single" w:sz="8" w:space="0" w:color="auto"/>
            </w:tcBorders>
          </w:tcPr>
          <w:p w14:paraId="054FBCBA" w14:textId="77777777" w:rsidR="002E7C51" w:rsidRPr="001A6BBA" w:rsidRDefault="002E7C51" w:rsidP="00E024A4">
            <w:pPr>
              <w:rPr>
                <w:lang w:val="en-CA"/>
              </w:rPr>
            </w:pPr>
          </w:p>
        </w:tc>
      </w:tr>
      <w:tr w:rsidR="00C233D9" w:rsidRPr="00F5469D" w14:paraId="68A2894B" w14:textId="77777777" w:rsidTr="00E024A4">
        <w:tc>
          <w:tcPr>
            <w:tcW w:w="9360" w:type="dxa"/>
            <w:tcBorders>
              <w:top w:val="single" w:sz="8" w:space="0" w:color="auto"/>
            </w:tcBorders>
          </w:tcPr>
          <w:p w14:paraId="4C04A108" w14:textId="77777777" w:rsidR="002E7C51" w:rsidRPr="001A6BBA" w:rsidRDefault="002E7C51" w:rsidP="00E024A4">
            <w:pPr>
              <w:rPr>
                <w:lang w:val="en-CA"/>
              </w:rPr>
            </w:pPr>
          </w:p>
        </w:tc>
      </w:tr>
    </w:tbl>
    <w:p w14:paraId="3E79F6D6" w14:textId="4575C11B" w:rsidR="002E7C51" w:rsidRPr="001A6BBA" w:rsidRDefault="00354272" w:rsidP="002E7C51">
      <w:pPr>
        <w:pStyle w:val="Style1"/>
        <w:spacing w:before="120" w:after="120" w:line="280" w:lineRule="exact"/>
        <w:rPr>
          <w:lang w:val="en-CA"/>
        </w:rPr>
      </w:pPr>
      <w:r w:rsidRPr="001A6BBA">
        <w:rPr>
          <w:lang w:val="en-CA"/>
        </w:rPr>
        <w:t>With leave from a judge of this Court,</w:t>
      </w:r>
      <w:r w:rsidRPr="001A6BBA">
        <w:rPr>
          <w:rStyle w:val="Appelnotedebasdep"/>
          <w:lang w:val="en-CA"/>
        </w:rPr>
        <w:footnoteReference w:id="1"/>
      </w:r>
      <w:r w:rsidRPr="001A6BBA">
        <w:rPr>
          <w:lang w:val="en-CA"/>
        </w:rPr>
        <w:t xml:space="preserve"> the appellant appeals from a judgment of the Superior Court, District of Montreal (the Honourable Thomas M. Davis)</w:t>
      </w:r>
      <w:r w:rsidR="003E6BCE">
        <w:rPr>
          <w:lang w:val="en-CA"/>
        </w:rPr>
        <w:t>,</w:t>
      </w:r>
      <w:r w:rsidRPr="001A6BBA">
        <w:rPr>
          <w:lang w:val="en-CA"/>
        </w:rPr>
        <w:t xml:space="preserve"> rendered on July 4, 2022,</w:t>
      </w:r>
      <w:bookmarkStart w:id="10" w:name="_Ref128033726"/>
      <w:r w:rsidRPr="001A6BBA">
        <w:rPr>
          <w:rStyle w:val="Appelnotedebasdep"/>
          <w:lang w:val="en-CA"/>
        </w:rPr>
        <w:footnoteReference w:id="2"/>
      </w:r>
      <w:r w:rsidRPr="001A6BBA">
        <w:rPr>
          <w:lang w:val="en-CA"/>
        </w:rPr>
        <w:t xml:space="preserve"> </w:t>
      </w:r>
      <w:bookmarkEnd w:id="10"/>
      <w:r w:rsidRPr="001A6BBA">
        <w:rPr>
          <w:lang w:val="en-CA"/>
        </w:rPr>
        <w:t xml:space="preserve"> dismissing his application for approval of a settlement and professional fee</w:t>
      </w:r>
      <w:r w:rsidR="00674C37">
        <w:rPr>
          <w:lang w:val="en-CA"/>
        </w:rPr>
        <w:t xml:space="preserve"> </w:t>
      </w:r>
      <w:r w:rsidR="00674C37" w:rsidRPr="001A6BBA">
        <w:rPr>
          <w:lang w:val="en-CA"/>
        </w:rPr>
        <w:t xml:space="preserve">agreement </w:t>
      </w:r>
      <w:r w:rsidRPr="001A6BBA">
        <w:rPr>
          <w:lang w:val="en-CA"/>
        </w:rPr>
        <w:t xml:space="preserve">entered into in the context of a class action instituted </w:t>
      </w:r>
      <w:r w:rsidR="00D65514" w:rsidRPr="001A6BBA">
        <w:rPr>
          <w:lang w:val="en-CA"/>
        </w:rPr>
        <w:t>on behalf</w:t>
      </w:r>
      <w:r w:rsidRPr="001A6BBA">
        <w:rPr>
          <w:lang w:val="en-CA"/>
        </w:rPr>
        <w:t xml:space="preserve"> of </w:t>
      </w:r>
      <w:r w:rsidR="003E6BCE">
        <w:rPr>
          <w:lang w:val="en-CA"/>
        </w:rPr>
        <w:t xml:space="preserve">certain </w:t>
      </w:r>
      <w:r w:rsidRPr="001A6BBA">
        <w:rPr>
          <w:lang w:val="en-CA"/>
        </w:rPr>
        <w:t xml:space="preserve">victims of sexual assaults committed in Quebec since 1935 by members of the Clercs de Saint-Viateur du Canada religious community </w:t>
      </w:r>
      <w:r w:rsidR="004F529B" w:rsidRPr="001A6BBA">
        <w:rPr>
          <w:lang w:val="en-CA"/>
        </w:rPr>
        <w:t>(</w:t>
      </w:r>
      <w:r w:rsidR="004F529B">
        <w:rPr>
          <w:lang w:val="en-CA"/>
        </w:rPr>
        <w:t>“</w:t>
      </w:r>
      <w:r w:rsidRPr="001A6BBA">
        <w:rPr>
          <w:b/>
          <w:lang w:val="en-CA"/>
        </w:rPr>
        <w:t>CSV</w:t>
      </w:r>
      <w:r w:rsidR="003F70D7" w:rsidRPr="003F70D7">
        <w:rPr>
          <w:bCs/>
          <w:lang w:val="en-CA"/>
        </w:rPr>
        <w:t>”</w:t>
      </w:r>
      <w:r w:rsidRPr="001A6BBA">
        <w:rPr>
          <w:lang w:val="en-CA"/>
        </w:rPr>
        <w:t xml:space="preserve">) or employees of various </w:t>
      </w:r>
      <w:r w:rsidR="00E97C91" w:rsidRPr="001A6BBA">
        <w:rPr>
          <w:lang w:val="en-CA"/>
        </w:rPr>
        <w:t>institutions</w:t>
      </w:r>
      <w:r w:rsidRPr="001A6BBA">
        <w:rPr>
          <w:lang w:val="en-CA"/>
        </w:rPr>
        <w:t xml:space="preserve"> under </w:t>
      </w:r>
      <w:r w:rsidR="003F70D7">
        <w:rPr>
          <w:lang w:val="en-CA"/>
        </w:rPr>
        <w:t>its</w:t>
      </w:r>
      <w:r w:rsidRPr="001A6BBA">
        <w:rPr>
          <w:lang w:val="en-CA"/>
        </w:rPr>
        <w:t xml:space="preserve"> </w:t>
      </w:r>
      <w:r w:rsidR="008B3DC6">
        <w:rPr>
          <w:lang w:val="en-CA"/>
        </w:rPr>
        <w:t>control</w:t>
      </w:r>
      <w:r w:rsidRPr="001A6BBA">
        <w:rPr>
          <w:lang w:val="en-CA"/>
        </w:rPr>
        <w:t>.</w:t>
      </w:r>
    </w:p>
    <w:p w14:paraId="67FF3B7E" w14:textId="6661F371" w:rsidR="002E7C51" w:rsidRPr="001A6BBA" w:rsidRDefault="003E6BCE" w:rsidP="002E7C51">
      <w:pPr>
        <w:pStyle w:val="Style1"/>
        <w:spacing w:before="120" w:after="120" w:line="280" w:lineRule="exact"/>
        <w:rPr>
          <w:lang w:val="en-CA"/>
        </w:rPr>
      </w:pPr>
      <w:r>
        <w:rPr>
          <w:lang w:val="en-CA"/>
        </w:rPr>
        <w:t>In this</w:t>
      </w:r>
      <w:r w:rsidR="00354272" w:rsidRPr="001A6BBA">
        <w:rPr>
          <w:lang w:val="en-CA"/>
        </w:rPr>
        <w:t xml:space="preserve"> appeal, the Court must determine if the judge erred in refusing to approve the agreement because the </w:t>
      </w:r>
      <w:r w:rsidR="00D65514" w:rsidRPr="001A6BBA">
        <w:rPr>
          <w:lang w:val="en-CA"/>
        </w:rPr>
        <w:t xml:space="preserve">professional </w:t>
      </w:r>
      <w:r w:rsidR="00354272" w:rsidRPr="001A6BBA">
        <w:rPr>
          <w:lang w:val="en-CA"/>
        </w:rPr>
        <w:t>fees</w:t>
      </w:r>
      <w:r>
        <w:rPr>
          <w:lang w:val="en-CA"/>
        </w:rPr>
        <w:t xml:space="preserve"> </w:t>
      </w:r>
      <w:r w:rsidRPr="001A6BBA">
        <w:rPr>
          <w:lang w:val="en-CA"/>
        </w:rPr>
        <w:t>($8,048,250)</w:t>
      </w:r>
      <w:r w:rsidR="00D65514" w:rsidRPr="001A6BBA">
        <w:rPr>
          <w:lang w:val="en-CA"/>
        </w:rPr>
        <w:t xml:space="preserve"> </w:t>
      </w:r>
      <w:r w:rsidRPr="001A6BBA">
        <w:rPr>
          <w:lang w:val="en-CA"/>
        </w:rPr>
        <w:t xml:space="preserve">set out therein </w:t>
      </w:r>
      <w:r>
        <w:rPr>
          <w:lang w:val="en-CA"/>
        </w:rPr>
        <w:t>for</w:t>
      </w:r>
      <w:r w:rsidRPr="001A6BBA">
        <w:rPr>
          <w:lang w:val="en-CA"/>
        </w:rPr>
        <w:t xml:space="preserve"> </w:t>
      </w:r>
      <w:r w:rsidR="00D65514" w:rsidRPr="001A6BBA">
        <w:rPr>
          <w:lang w:val="en-CA"/>
        </w:rPr>
        <w:t>class counsel</w:t>
      </w:r>
      <w:r>
        <w:rPr>
          <w:lang w:val="en-CA"/>
        </w:rPr>
        <w:t>,</w:t>
      </w:r>
      <w:r w:rsidR="00417108">
        <w:rPr>
          <w:lang w:val="en-CA"/>
        </w:rPr>
        <w:t xml:space="preserve"> that is,</w:t>
      </w:r>
      <w:r>
        <w:rPr>
          <w:lang w:val="en-CA"/>
        </w:rPr>
        <w:t xml:space="preserve"> </w:t>
      </w:r>
      <w:r w:rsidR="00354272" w:rsidRPr="001A6BBA">
        <w:rPr>
          <w:lang w:val="en-CA"/>
        </w:rPr>
        <w:t xml:space="preserve">25% of the settlement fund ($28,000,000) plus taxes, are unreasonable. The Court must also determine which party must pay the </w:t>
      </w:r>
      <w:r w:rsidR="00D65514" w:rsidRPr="001A6BBA">
        <w:rPr>
          <w:lang w:val="en-CA"/>
        </w:rPr>
        <w:t xml:space="preserve">professional </w:t>
      </w:r>
      <w:r w:rsidR="00354272" w:rsidRPr="001A6BBA">
        <w:rPr>
          <w:lang w:val="en-CA"/>
        </w:rPr>
        <w:t xml:space="preserve">fees of the </w:t>
      </w:r>
      <w:r w:rsidR="00354272" w:rsidRPr="001A6BBA">
        <w:rPr>
          <w:i/>
          <w:lang w:val="en-CA"/>
        </w:rPr>
        <w:t xml:space="preserve">amicus </w:t>
      </w:r>
      <w:r w:rsidR="00E97C91" w:rsidRPr="001A6BBA">
        <w:rPr>
          <w:i/>
          <w:lang w:val="en-CA"/>
        </w:rPr>
        <w:t>curiae</w:t>
      </w:r>
      <w:r w:rsidR="00354272" w:rsidRPr="001A6BBA">
        <w:rPr>
          <w:i/>
          <w:lang w:val="en-CA"/>
        </w:rPr>
        <w:t xml:space="preserve"> </w:t>
      </w:r>
      <w:r w:rsidR="00D65514" w:rsidRPr="001A6BBA">
        <w:rPr>
          <w:lang w:val="en-CA"/>
        </w:rPr>
        <w:t>appointed</w:t>
      </w:r>
      <w:r w:rsidR="00354272" w:rsidRPr="001A6BBA">
        <w:rPr>
          <w:lang w:val="en-CA"/>
        </w:rPr>
        <w:t xml:space="preserve"> in the appeal.</w:t>
      </w:r>
    </w:p>
    <w:p w14:paraId="459A431D" w14:textId="32E71F6D" w:rsidR="002E7C51" w:rsidRPr="001A6BBA" w:rsidRDefault="00354272" w:rsidP="002E7C51">
      <w:pPr>
        <w:pStyle w:val="Style1"/>
        <w:spacing w:before="120" w:after="120" w:line="280" w:lineRule="exact"/>
        <w:rPr>
          <w:lang w:val="en-CA"/>
        </w:rPr>
      </w:pPr>
      <w:r w:rsidRPr="009F222C">
        <w:rPr>
          <w:lang w:val="en-CA"/>
        </w:rPr>
        <w:t xml:space="preserve">In 2017, the appellant filed an application for authorization to institute a class </w:t>
      </w:r>
      <w:r w:rsidR="00E97C91" w:rsidRPr="009F222C">
        <w:rPr>
          <w:lang w:val="en-CA"/>
        </w:rPr>
        <w:t>action</w:t>
      </w:r>
      <w:r w:rsidRPr="009F222C">
        <w:rPr>
          <w:lang w:val="en-CA"/>
        </w:rPr>
        <w:t xml:space="preserve"> against CSV.</w:t>
      </w:r>
      <w:r w:rsidRPr="001A6BBA">
        <w:rPr>
          <w:lang w:val="en-CA"/>
        </w:rPr>
        <w:t xml:space="preserve"> </w:t>
      </w:r>
      <w:r w:rsidRPr="009F222C">
        <w:rPr>
          <w:lang w:val="en-CA"/>
        </w:rPr>
        <w:t xml:space="preserve">On April 25, 2019, </w:t>
      </w:r>
      <w:r w:rsidR="004F529B">
        <w:rPr>
          <w:lang w:val="en-CA"/>
        </w:rPr>
        <w:t>t</w:t>
      </w:r>
      <w:r w:rsidR="004F529B" w:rsidRPr="009F222C">
        <w:rPr>
          <w:lang w:val="en-CA"/>
        </w:rPr>
        <w:t>h</w:t>
      </w:r>
      <w:r w:rsidR="004F529B">
        <w:rPr>
          <w:lang w:val="en-CA"/>
        </w:rPr>
        <w:t>e</w:t>
      </w:r>
      <w:r w:rsidR="004F529B" w:rsidRPr="009F222C">
        <w:rPr>
          <w:lang w:val="en-CA"/>
        </w:rPr>
        <w:t xml:space="preserve"> application was granted </w:t>
      </w:r>
      <w:r w:rsidRPr="009F222C">
        <w:rPr>
          <w:lang w:val="en-CA"/>
        </w:rPr>
        <w:t xml:space="preserve">by a judge of the Superior </w:t>
      </w:r>
      <w:r w:rsidR="00662350" w:rsidRPr="009F222C">
        <w:rPr>
          <w:lang w:val="en-CA"/>
        </w:rPr>
        <w:t>Court</w:t>
      </w:r>
      <w:r w:rsidR="00662350" w:rsidRPr="00E97C91">
        <w:rPr>
          <w:lang w:val="en-CA"/>
        </w:rPr>
        <w:t>.</w:t>
      </w:r>
      <w:r w:rsidRPr="001A6BBA">
        <w:rPr>
          <w:rStyle w:val="Appelnotedebasdep"/>
          <w:lang w:val="en-CA"/>
        </w:rPr>
        <w:footnoteReference w:id="3"/>
      </w:r>
      <w:r w:rsidRPr="001A6BBA">
        <w:rPr>
          <w:lang w:val="en-CA"/>
        </w:rPr>
        <w:t xml:space="preserve"> In the circumstances, the appellant appointed Mtre Virginie Dufresne-Lemire from the firm Dufresne Wee avocats, </w:t>
      </w:r>
      <w:r w:rsidR="00E97C91">
        <w:rPr>
          <w:lang w:val="en-CA"/>
        </w:rPr>
        <w:t>now</w:t>
      </w:r>
      <w:r w:rsidRPr="001A6BBA">
        <w:rPr>
          <w:lang w:val="en-CA"/>
        </w:rPr>
        <w:t xml:space="preserve"> Arsenault Dufresne Wee avocats (</w:t>
      </w:r>
      <w:r w:rsidR="004F529B">
        <w:rPr>
          <w:lang w:val="en-CA"/>
        </w:rPr>
        <w:t>“</w:t>
      </w:r>
      <w:r w:rsidRPr="001A6BBA">
        <w:rPr>
          <w:b/>
          <w:lang w:val="en-CA"/>
        </w:rPr>
        <w:t>ADW</w:t>
      </w:r>
      <w:r w:rsidR="00BD1C64">
        <w:rPr>
          <w:bCs/>
          <w:lang w:val="en-CA"/>
        </w:rPr>
        <w:t>”</w:t>
      </w:r>
      <w:r w:rsidRPr="001A6BBA">
        <w:rPr>
          <w:lang w:val="en-CA"/>
        </w:rPr>
        <w:t xml:space="preserve">), to act on </w:t>
      </w:r>
      <w:r w:rsidR="007D60CA">
        <w:rPr>
          <w:lang w:val="en-CA"/>
        </w:rPr>
        <w:t xml:space="preserve">his </w:t>
      </w:r>
      <w:r w:rsidRPr="001A6BBA">
        <w:rPr>
          <w:lang w:val="en-CA"/>
        </w:rPr>
        <w:t xml:space="preserve">behalf </w:t>
      </w:r>
      <w:r w:rsidR="007D60CA">
        <w:rPr>
          <w:lang w:val="en-CA"/>
        </w:rPr>
        <w:t xml:space="preserve">and </w:t>
      </w:r>
      <w:r w:rsidR="004F529B">
        <w:rPr>
          <w:lang w:val="en-CA"/>
        </w:rPr>
        <w:t>for</w:t>
      </w:r>
      <w:r w:rsidRPr="001A6BBA">
        <w:rPr>
          <w:lang w:val="en-CA"/>
        </w:rPr>
        <w:t xml:space="preserve"> the </w:t>
      </w:r>
      <w:r w:rsidR="00D65514" w:rsidRPr="001A6BBA">
        <w:rPr>
          <w:lang w:val="en-CA"/>
        </w:rPr>
        <w:t xml:space="preserve">class </w:t>
      </w:r>
      <w:r w:rsidRPr="001A6BBA">
        <w:rPr>
          <w:lang w:val="en-CA"/>
        </w:rPr>
        <w:t xml:space="preserve">members. </w:t>
      </w:r>
      <w:r w:rsidR="007D60CA">
        <w:rPr>
          <w:lang w:val="en-CA"/>
        </w:rPr>
        <w:t>The</w:t>
      </w:r>
      <w:r w:rsidRPr="009F222C">
        <w:rPr>
          <w:lang w:val="en-CA"/>
        </w:rPr>
        <w:t xml:space="preserve"> </w:t>
      </w:r>
      <w:r w:rsidR="00D65514" w:rsidRPr="009F222C">
        <w:rPr>
          <w:lang w:val="en-CA"/>
        </w:rPr>
        <w:t xml:space="preserve">professional </w:t>
      </w:r>
      <w:r w:rsidRPr="009F222C">
        <w:rPr>
          <w:lang w:val="en-CA"/>
        </w:rPr>
        <w:t xml:space="preserve">fee agreement signed by the appellant </w:t>
      </w:r>
      <w:r w:rsidR="00D65514" w:rsidRPr="009F222C">
        <w:rPr>
          <w:lang w:val="en-CA"/>
        </w:rPr>
        <w:t>stipulated</w:t>
      </w:r>
      <w:r w:rsidRPr="009F222C">
        <w:rPr>
          <w:lang w:val="en-CA"/>
        </w:rPr>
        <w:t xml:space="preserve"> the following</w:t>
      </w:r>
      <w:r w:rsidR="007D60CA">
        <w:rPr>
          <w:lang w:val="en-CA"/>
        </w:rPr>
        <w:t xml:space="preserve">, </w:t>
      </w:r>
      <w:r w:rsidR="007D60CA">
        <w:rPr>
          <w:i/>
          <w:iCs/>
          <w:lang w:val="en-CA"/>
        </w:rPr>
        <w:t>inter alia</w:t>
      </w:r>
      <w:r w:rsidRPr="009F222C">
        <w:rPr>
          <w:lang w:val="en-CA"/>
        </w:rPr>
        <w:t>:</w:t>
      </w:r>
    </w:p>
    <w:p w14:paraId="4A0D906B" w14:textId="24EB2F50" w:rsidR="002E7C51" w:rsidRPr="001A6BBA" w:rsidRDefault="00354272" w:rsidP="002E7C51">
      <w:pPr>
        <w:pStyle w:val="Style1"/>
        <w:numPr>
          <w:ilvl w:val="0"/>
          <w:numId w:val="19"/>
        </w:numPr>
        <w:spacing w:before="120" w:after="120" w:line="280" w:lineRule="exact"/>
        <w:ind w:left="714" w:hanging="357"/>
        <w:rPr>
          <w:lang w:val="en-CA"/>
        </w:rPr>
      </w:pPr>
      <w:r w:rsidRPr="001A6BBA">
        <w:rPr>
          <w:lang w:val="en-CA"/>
        </w:rPr>
        <w:t>The appellant agreed that [</w:t>
      </w:r>
      <w:r w:rsidRPr="001A6BBA">
        <w:rPr>
          <w:smallCaps/>
          <w:lang w:val="en-CA"/>
        </w:rPr>
        <w:t>translation]</w:t>
      </w:r>
      <w:r w:rsidRPr="001A6BBA">
        <w:rPr>
          <w:lang w:val="en-CA"/>
        </w:rPr>
        <w:t xml:space="preserve"> “25% of the total amount received either </w:t>
      </w:r>
      <w:r w:rsidR="004F529B">
        <w:rPr>
          <w:lang w:val="en-CA"/>
        </w:rPr>
        <w:t>through a</w:t>
      </w:r>
      <w:r w:rsidR="004F529B" w:rsidRPr="001A6BBA">
        <w:rPr>
          <w:lang w:val="en-CA"/>
        </w:rPr>
        <w:t xml:space="preserve"> </w:t>
      </w:r>
      <w:r w:rsidRPr="001A6BBA">
        <w:rPr>
          <w:lang w:val="en-CA"/>
        </w:rPr>
        <w:t xml:space="preserve">settlement or following a judgment” </w:t>
      </w:r>
      <w:r w:rsidR="00D65514" w:rsidRPr="001A6BBA">
        <w:rPr>
          <w:lang w:val="en-CA"/>
        </w:rPr>
        <w:t>would be</w:t>
      </w:r>
      <w:r w:rsidRPr="001A6BBA">
        <w:rPr>
          <w:lang w:val="en-CA"/>
        </w:rPr>
        <w:t xml:space="preserve"> withheld from the amounts collected </w:t>
      </w:r>
      <w:r w:rsidR="00D65514" w:rsidRPr="001A6BBA">
        <w:rPr>
          <w:lang w:val="en-CA"/>
        </w:rPr>
        <w:t xml:space="preserve">by Mtre Dufresne-Lemire </w:t>
      </w:r>
      <w:r w:rsidR="004F529B">
        <w:rPr>
          <w:lang w:val="en-CA"/>
        </w:rPr>
        <w:t>for</w:t>
      </w:r>
      <w:r w:rsidRPr="001A6BBA">
        <w:rPr>
          <w:lang w:val="en-CA"/>
        </w:rPr>
        <w:t xml:space="preserve"> </w:t>
      </w:r>
      <w:r w:rsidR="00F44558">
        <w:rPr>
          <w:lang w:val="en-CA"/>
        </w:rPr>
        <w:t xml:space="preserve">him </w:t>
      </w:r>
      <w:r w:rsidRPr="001A6BBA">
        <w:rPr>
          <w:lang w:val="en-CA"/>
        </w:rPr>
        <w:t xml:space="preserve">and </w:t>
      </w:r>
      <w:r w:rsidR="004F529B">
        <w:rPr>
          <w:lang w:val="en-CA"/>
        </w:rPr>
        <w:t>for</w:t>
      </w:r>
      <w:r w:rsidRPr="001A6BBA">
        <w:rPr>
          <w:lang w:val="en-CA"/>
        </w:rPr>
        <w:t xml:space="preserve"> the class members.</w:t>
      </w:r>
    </w:p>
    <w:p w14:paraId="056A2D65" w14:textId="79EFF948" w:rsidR="002E7C51" w:rsidRPr="001A6BBA" w:rsidRDefault="00354272" w:rsidP="002E7C51">
      <w:pPr>
        <w:pStyle w:val="Style1"/>
        <w:numPr>
          <w:ilvl w:val="0"/>
          <w:numId w:val="19"/>
        </w:numPr>
        <w:spacing w:before="120" w:after="120" w:line="280" w:lineRule="exact"/>
        <w:ind w:left="714" w:hanging="357"/>
        <w:rPr>
          <w:lang w:val="en-CA"/>
        </w:rPr>
      </w:pPr>
      <w:r w:rsidRPr="001A6BBA">
        <w:rPr>
          <w:lang w:val="en-CA"/>
        </w:rPr>
        <w:t xml:space="preserve">In the event the mandate was revoked before the </w:t>
      </w:r>
      <w:r w:rsidR="00D65514" w:rsidRPr="001A6BBA">
        <w:rPr>
          <w:lang w:val="en-CA"/>
        </w:rPr>
        <w:t xml:space="preserve">end of the </w:t>
      </w:r>
      <w:r w:rsidRPr="001A6BBA">
        <w:rPr>
          <w:lang w:val="en-CA"/>
        </w:rPr>
        <w:t>proceeding</w:t>
      </w:r>
      <w:r w:rsidR="00D65514" w:rsidRPr="001A6BBA">
        <w:rPr>
          <w:lang w:val="en-CA"/>
        </w:rPr>
        <w:t>s</w:t>
      </w:r>
      <w:r w:rsidRPr="001A6BBA">
        <w:rPr>
          <w:lang w:val="en-CA"/>
        </w:rPr>
        <w:t>, the appellant undertook to compensate Mtre Dufresne-Lemire [</w:t>
      </w:r>
      <w:r w:rsidRPr="001A6BBA">
        <w:rPr>
          <w:smallCaps/>
          <w:lang w:val="en-CA"/>
        </w:rPr>
        <w:t>translation] “</w:t>
      </w:r>
      <w:r w:rsidRPr="001A6BBA">
        <w:rPr>
          <w:lang w:val="en-CA"/>
        </w:rPr>
        <w:t xml:space="preserve">for </w:t>
      </w:r>
      <w:r w:rsidR="00D54C6F">
        <w:rPr>
          <w:lang w:val="en-CA"/>
        </w:rPr>
        <w:t xml:space="preserve">the </w:t>
      </w:r>
      <w:r w:rsidRPr="001A6BBA">
        <w:rPr>
          <w:lang w:val="en-CA"/>
        </w:rPr>
        <w:t xml:space="preserve">time spent on the file ... at the hourly rate of $250 for each lawyer’s time, plus incurred </w:t>
      </w:r>
      <w:r w:rsidR="007D60CA">
        <w:rPr>
          <w:lang w:val="en-CA"/>
        </w:rPr>
        <w:t>disbursements</w:t>
      </w:r>
      <w:r w:rsidRPr="001A6BBA">
        <w:rPr>
          <w:lang w:val="en-CA"/>
        </w:rPr>
        <w:t xml:space="preserve"> and applicable taxes”</w:t>
      </w:r>
      <w:r w:rsidR="00865101">
        <w:rPr>
          <w:lang w:val="en-CA"/>
        </w:rPr>
        <w:t>.</w:t>
      </w:r>
    </w:p>
    <w:p w14:paraId="555C2AF8" w14:textId="7949F3D7" w:rsidR="002E7C51" w:rsidRPr="001A6BBA" w:rsidRDefault="00354272" w:rsidP="002E7C51">
      <w:pPr>
        <w:pStyle w:val="Style1"/>
        <w:spacing w:before="120" w:after="120" w:line="280" w:lineRule="exact"/>
        <w:rPr>
          <w:lang w:val="en-CA"/>
        </w:rPr>
      </w:pPr>
      <w:r w:rsidRPr="001A6BBA">
        <w:rPr>
          <w:lang w:val="en-CA"/>
        </w:rPr>
        <w:t>At the time, Mtre Dufresne-Lemire and her associate, Mtre Justin Wee, had just three years and one year of experience</w:t>
      </w:r>
      <w:r w:rsidR="00541FF5">
        <w:rPr>
          <w:lang w:val="en-CA"/>
        </w:rPr>
        <w:t>,</w:t>
      </w:r>
      <w:r w:rsidRPr="001A6BBA">
        <w:rPr>
          <w:lang w:val="en-CA"/>
        </w:rPr>
        <w:t xml:space="preserve"> respectively. This </w:t>
      </w:r>
      <w:r w:rsidR="001A7E74">
        <w:rPr>
          <w:lang w:val="en-CA"/>
        </w:rPr>
        <w:t>meant they had</w:t>
      </w:r>
      <w:r w:rsidRPr="001A6BBA">
        <w:rPr>
          <w:lang w:val="en-CA"/>
        </w:rPr>
        <w:t xml:space="preserve"> to seek </w:t>
      </w:r>
      <w:r w:rsidR="001A7E74">
        <w:rPr>
          <w:lang w:val="en-CA"/>
        </w:rPr>
        <w:t xml:space="preserve">assistance from </w:t>
      </w:r>
      <w:r w:rsidRPr="001A6BBA">
        <w:rPr>
          <w:lang w:val="en-CA"/>
        </w:rPr>
        <w:t>other lawyers, including Mtres Alain Arsenault and Julie Plante</w:t>
      </w:r>
      <w:r w:rsidR="001A7E74">
        <w:rPr>
          <w:lang w:val="en-CA"/>
        </w:rPr>
        <w:t>.</w:t>
      </w:r>
    </w:p>
    <w:p w14:paraId="4BE95D89" w14:textId="40915758" w:rsidR="002E7C51" w:rsidRPr="001A6BBA" w:rsidRDefault="00D65514" w:rsidP="002E7C51">
      <w:pPr>
        <w:pStyle w:val="Paragraphe"/>
        <w:spacing w:line="280" w:lineRule="exact"/>
        <w:rPr>
          <w:lang w:val="en-CA"/>
        </w:rPr>
      </w:pPr>
      <w:r w:rsidRPr="001A6BBA">
        <w:rPr>
          <w:lang w:val="en-CA"/>
        </w:rPr>
        <w:lastRenderedPageBreak/>
        <w:t xml:space="preserve"> </w:t>
      </w:r>
      <w:r w:rsidR="00952D27">
        <w:rPr>
          <w:lang w:val="en-CA"/>
        </w:rPr>
        <w:t>A</w:t>
      </w:r>
      <w:r w:rsidR="00354272" w:rsidRPr="001A6BBA">
        <w:rPr>
          <w:lang w:val="en-CA"/>
        </w:rPr>
        <w:t xml:space="preserve">fter four years of litigation, </w:t>
      </w:r>
      <w:r w:rsidRPr="001A6BBA">
        <w:rPr>
          <w:lang w:val="en-CA"/>
        </w:rPr>
        <w:t>numerous</w:t>
      </w:r>
      <w:r w:rsidR="00354272" w:rsidRPr="001A6BBA">
        <w:rPr>
          <w:lang w:val="en-CA"/>
        </w:rPr>
        <w:t xml:space="preserve"> settlement conferences and many days of negotiations, the parties </w:t>
      </w:r>
      <w:r w:rsidR="00952D27">
        <w:rPr>
          <w:lang w:val="en-CA"/>
        </w:rPr>
        <w:t>reached</w:t>
      </w:r>
      <w:r w:rsidR="00952D27" w:rsidRPr="001A6BBA">
        <w:rPr>
          <w:lang w:val="en-CA"/>
        </w:rPr>
        <w:t xml:space="preserve"> </w:t>
      </w:r>
      <w:r w:rsidR="00354272" w:rsidRPr="001A6BBA">
        <w:rPr>
          <w:lang w:val="en-CA"/>
        </w:rPr>
        <w:t>a settlement, transaction</w:t>
      </w:r>
      <w:r w:rsidR="00C61BD5">
        <w:rPr>
          <w:lang w:val="en-CA"/>
        </w:rPr>
        <w:t>,</w:t>
      </w:r>
      <w:r w:rsidR="00354272" w:rsidRPr="001A6BBA">
        <w:rPr>
          <w:lang w:val="en-CA"/>
        </w:rPr>
        <w:t xml:space="preserve"> and release agreement (hereinafter the “</w:t>
      </w:r>
      <w:r w:rsidR="00662350" w:rsidRPr="001A6BBA">
        <w:rPr>
          <w:b/>
          <w:lang w:val="en-CA"/>
        </w:rPr>
        <w:t>Agreement</w:t>
      </w:r>
      <w:r w:rsidR="00662350">
        <w:rPr>
          <w:lang w:val="en-CA"/>
        </w:rPr>
        <w:t>”</w:t>
      </w:r>
      <w:r w:rsidR="00354272" w:rsidRPr="001A6BBA">
        <w:rPr>
          <w:lang w:val="en-CA"/>
        </w:rPr>
        <w:t>)</w:t>
      </w:r>
      <w:r w:rsidR="00952D27">
        <w:rPr>
          <w:lang w:val="en-CA"/>
        </w:rPr>
        <w:t>,which was signed o</w:t>
      </w:r>
      <w:r w:rsidR="00952D27" w:rsidRPr="001A6BBA">
        <w:rPr>
          <w:lang w:val="en-CA"/>
        </w:rPr>
        <w:t>n January 26 and 28, 2022</w:t>
      </w:r>
      <w:r w:rsidRPr="001A6BBA">
        <w:rPr>
          <w:lang w:val="en-CA"/>
        </w:rPr>
        <w:t>.</w:t>
      </w:r>
    </w:p>
    <w:p w14:paraId="52B62AC2" w14:textId="0D4465E7" w:rsidR="002E7C51" w:rsidRPr="001A6BBA" w:rsidRDefault="00354272" w:rsidP="002E7C51">
      <w:pPr>
        <w:pStyle w:val="Paragraphe"/>
        <w:spacing w:line="280" w:lineRule="exact"/>
        <w:rPr>
          <w:lang w:val="en-CA"/>
        </w:rPr>
      </w:pPr>
      <w:r w:rsidRPr="009F222C">
        <w:rPr>
          <w:lang w:val="en-CA"/>
        </w:rPr>
        <w:t xml:space="preserve">On February 11, 2022, after the publication of the notice to </w:t>
      </w:r>
      <w:r w:rsidR="001A7E74">
        <w:rPr>
          <w:lang w:val="en-CA"/>
        </w:rPr>
        <w:t xml:space="preserve">class </w:t>
      </w:r>
      <w:r w:rsidRPr="009F222C">
        <w:rPr>
          <w:lang w:val="en-CA"/>
        </w:rPr>
        <w:t>members (art.</w:t>
      </w:r>
      <w:r w:rsidR="0000265C">
        <w:rPr>
          <w:lang w:val="en-CA"/>
        </w:rPr>
        <w:t> </w:t>
      </w:r>
      <w:r w:rsidRPr="001A6BBA">
        <w:rPr>
          <w:lang w:val="en-CA"/>
        </w:rPr>
        <w:t>590 CCP)</w:t>
      </w:r>
      <w:r w:rsidR="00952D27">
        <w:rPr>
          <w:lang w:val="en-CA"/>
        </w:rPr>
        <w:t>,</w:t>
      </w:r>
      <w:r w:rsidRPr="001A6BBA">
        <w:rPr>
          <w:lang w:val="en-CA"/>
        </w:rPr>
        <w:t xml:space="preserve"> which had been approved by the Superior Court judge, the appellant filed an application to approve the Agreement.</w:t>
      </w:r>
    </w:p>
    <w:p w14:paraId="31933416" w14:textId="2212AF7E" w:rsidR="002E7C51" w:rsidRPr="001A6BBA" w:rsidRDefault="00354272" w:rsidP="002E7C51">
      <w:pPr>
        <w:pStyle w:val="Paragraphe"/>
        <w:spacing w:line="280" w:lineRule="exact"/>
        <w:rPr>
          <w:lang w:val="en-CA"/>
        </w:rPr>
      </w:pPr>
      <w:r w:rsidRPr="009F222C">
        <w:rPr>
          <w:lang w:val="en-CA"/>
        </w:rPr>
        <w:t xml:space="preserve">The Agreement contained, </w:t>
      </w:r>
      <w:r w:rsidRPr="009F222C">
        <w:rPr>
          <w:i/>
          <w:lang w:val="en-CA"/>
        </w:rPr>
        <w:t>inter alia</w:t>
      </w:r>
      <w:r w:rsidRPr="009F222C">
        <w:rPr>
          <w:iCs/>
          <w:lang w:val="en-CA"/>
        </w:rPr>
        <w:t>,</w:t>
      </w:r>
      <w:r w:rsidRPr="009F222C">
        <w:rPr>
          <w:lang w:val="en-CA"/>
        </w:rPr>
        <w:t xml:space="preserve"> the following terms and conditions:</w:t>
      </w:r>
    </w:p>
    <w:p w14:paraId="77420123" w14:textId="5E9B9F94" w:rsidR="002E7C51" w:rsidRPr="001A6BBA" w:rsidRDefault="00354272" w:rsidP="002E7C51">
      <w:pPr>
        <w:pStyle w:val="Style1"/>
        <w:numPr>
          <w:ilvl w:val="0"/>
          <w:numId w:val="20"/>
        </w:numPr>
        <w:spacing w:before="120" w:after="120" w:line="280" w:lineRule="exact"/>
        <w:rPr>
          <w:sz w:val="22"/>
          <w:szCs w:val="22"/>
          <w:lang w:val="en-CA"/>
        </w:rPr>
      </w:pPr>
      <w:r w:rsidRPr="001A6BBA">
        <w:rPr>
          <w:sz w:val="22"/>
          <w:szCs w:val="22"/>
          <w:lang w:val="en-CA"/>
        </w:rPr>
        <w:t xml:space="preserve">A settlement fund for collective recovery </w:t>
      </w:r>
      <w:r w:rsidR="006A117D">
        <w:rPr>
          <w:sz w:val="22"/>
          <w:szCs w:val="22"/>
          <w:lang w:val="en-CA"/>
        </w:rPr>
        <w:t xml:space="preserve">of claims </w:t>
      </w:r>
      <w:r w:rsidRPr="001A6BBA">
        <w:rPr>
          <w:sz w:val="22"/>
          <w:szCs w:val="22"/>
          <w:lang w:val="en-CA"/>
        </w:rPr>
        <w:t xml:space="preserve">will be </w:t>
      </w:r>
      <w:r w:rsidR="009E2945">
        <w:rPr>
          <w:sz w:val="22"/>
          <w:szCs w:val="22"/>
          <w:lang w:val="en-CA"/>
        </w:rPr>
        <w:t>established</w:t>
      </w:r>
      <w:r w:rsidRPr="001A6BBA">
        <w:rPr>
          <w:sz w:val="22"/>
          <w:szCs w:val="22"/>
          <w:lang w:val="en-CA"/>
        </w:rPr>
        <w:t xml:space="preserve"> (1) </w:t>
      </w:r>
      <w:r w:rsidR="00330193">
        <w:rPr>
          <w:sz w:val="22"/>
          <w:szCs w:val="22"/>
          <w:lang w:val="en-CA"/>
        </w:rPr>
        <w:t xml:space="preserve">in </w:t>
      </w:r>
      <w:r w:rsidR="00674DA6">
        <w:rPr>
          <w:sz w:val="22"/>
          <w:szCs w:val="22"/>
          <w:lang w:val="en-CA"/>
        </w:rPr>
        <w:t xml:space="preserve">the amount of </w:t>
      </w:r>
      <w:r w:rsidRPr="001A6BBA">
        <w:rPr>
          <w:sz w:val="22"/>
          <w:szCs w:val="22"/>
          <w:lang w:val="en-CA"/>
        </w:rPr>
        <w:t>$28,000,000 [</w:t>
      </w:r>
      <w:r w:rsidRPr="001A6BBA">
        <w:rPr>
          <w:smallCaps/>
          <w:sz w:val="22"/>
          <w:szCs w:val="22"/>
          <w:lang w:val="en-CA"/>
        </w:rPr>
        <w:t>translation</w:t>
      </w:r>
      <w:r w:rsidRPr="001A6BBA">
        <w:rPr>
          <w:sz w:val="22"/>
          <w:szCs w:val="22"/>
          <w:lang w:val="en-CA"/>
        </w:rPr>
        <w:t>]</w:t>
      </w:r>
      <w:r w:rsidRPr="001A6BBA">
        <w:rPr>
          <w:smallCaps/>
          <w:lang w:val="en-CA"/>
        </w:rPr>
        <w:t xml:space="preserve"> </w:t>
      </w:r>
      <w:r w:rsidRPr="001A6BBA">
        <w:rPr>
          <w:sz w:val="22"/>
          <w:szCs w:val="22"/>
          <w:lang w:val="en-CA"/>
        </w:rPr>
        <w:t xml:space="preserve">“in capital, interest, the additional indemnity, </w:t>
      </w:r>
      <w:r w:rsidR="009E2945">
        <w:rPr>
          <w:sz w:val="22"/>
          <w:szCs w:val="22"/>
          <w:lang w:val="en-CA"/>
        </w:rPr>
        <w:t>costs</w:t>
      </w:r>
      <w:r w:rsidR="009E2945" w:rsidRPr="001A6BBA">
        <w:rPr>
          <w:sz w:val="22"/>
          <w:szCs w:val="22"/>
          <w:lang w:val="en-CA"/>
        </w:rPr>
        <w:t xml:space="preserve"> </w:t>
      </w:r>
      <w:r w:rsidRPr="001A6BBA">
        <w:rPr>
          <w:sz w:val="22"/>
          <w:szCs w:val="22"/>
          <w:lang w:val="en-CA"/>
        </w:rPr>
        <w:t>and all applicable taxes” to be paid by CSV and the “parties involved” (Collège Bourget, CIUSSS de la Capitale-Nationale</w:t>
      </w:r>
      <w:r w:rsidR="00D65514" w:rsidRPr="001A6BBA">
        <w:rPr>
          <w:sz w:val="22"/>
          <w:szCs w:val="22"/>
          <w:lang w:val="en-CA"/>
        </w:rPr>
        <w:t>,</w:t>
      </w:r>
      <w:r w:rsidRPr="001A6BBA">
        <w:rPr>
          <w:rStyle w:val="Appelnotedebasdep"/>
          <w:sz w:val="22"/>
          <w:szCs w:val="22"/>
          <w:lang w:val="en-CA"/>
        </w:rPr>
        <w:footnoteReference w:id="4"/>
      </w:r>
      <w:r w:rsidR="009E2945">
        <w:rPr>
          <w:sz w:val="22"/>
          <w:szCs w:val="22"/>
          <w:lang w:val="en-CA"/>
        </w:rPr>
        <w:t xml:space="preserve"> </w:t>
      </w:r>
      <w:r w:rsidRPr="001A6BBA">
        <w:rPr>
          <w:sz w:val="22"/>
          <w:szCs w:val="22"/>
          <w:lang w:val="en-CA"/>
        </w:rPr>
        <w:t>Fonds d’entraide de l’ancien Séminaire de Joliette, Les Missions Saint-Viateur, Fonds Louis-Querbes, Travelers</w:t>
      </w:r>
      <w:r w:rsidR="00BE21AE">
        <w:rPr>
          <w:sz w:val="22"/>
          <w:szCs w:val="22"/>
          <w:lang w:val="en-CA"/>
        </w:rPr>
        <w:t>,</w:t>
      </w:r>
      <w:r w:rsidRPr="001A6BBA">
        <w:rPr>
          <w:sz w:val="22"/>
          <w:szCs w:val="22"/>
          <w:lang w:val="en-CA"/>
        </w:rPr>
        <w:t xml:space="preserve"> and Royal and Sun Alliance)</w:t>
      </w:r>
      <w:r w:rsidR="00BE21AE">
        <w:rPr>
          <w:sz w:val="22"/>
          <w:szCs w:val="22"/>
          <w:lang w:val="en-CA"/>
        </w:rPr>
        <w:t>;</w:t>
      </w:r>
      <w:r w:rsidRPr="001A6BBA">
        <w:rPr>
          <w:sz w:val="22"/>
          <w:szCs w:val="22"/>
          <w:lang w:val="en-CA"/>
        </w:rPr>
        <w:t xml:space="preserve"> and (2) the amount CSV will receive from </w:t>
      </w:r>
      <w:r w:rsidR="00BE21AE">
        <w:rPr>
          <w:sz w:val="22"/>
          <w:szCs w:val="22"/>
          <w:lang w:val="en-CA"/>
        </w:rPr>
        <w:t xml:space="preserve">the </w:t>
      </w:r>
      <w:r w:rsidRPr="001A6BBA">
        <w:rPr>
          <w:sz w:val="22"/>
          <w:szCs w:val="22"/>
          <w:lang w:val="en-CA"/>
        </w:rPr>
        <w:t xml:space="preserve">tax authorities, if </w:t>
      </w:r>
      <w:r w:rsidR="00674DA6">
        <w:rPr>
          <w:sz w:val="22"/>
          <w:szCs w:val="22"/>
          <w:lang w:val="en-CA"/>
        </w:rPr>
        <w:t>any</w:t>
      </w:r>
      <w:r w:rsidRPr="001A6BBA">
        <w:rPr>
          <w:sz w:val="22"/>
          <w:szCs w:val="22"/>
          <w:lang w:val="en-CA"/>
        </w:rPr>
        <w:t xml:space="preserve">, as reimbursement of the GST and QST on the statement of </w:t>
      </w:r>
      <w:r w:rsidR="00245C83">
        <w:rPr>
          <w:sz w:val="22"/>
          <w:szCs w:val="22"/>
          <w:lang w:val="en-CA"/>
        </w:rPr>
        <w:t>professional fees</w:t>
      </w:r>
      <w:r w:rsidRPr="001A6BBA">
        <w:rPr>
          <w:sz w:val="22"/>
          <w:szCs w:val="22"/>
          <w:lang w:val="en-CA"/>
        </w:rPr>
        <w:t xml:space="preserve"> of </w:t>
      </w:r>
      <w:r w:rsidR="00674DA6">
        <w:rPr>
          <w:sz w:val="22"/>
          <w:szCs w:val="22"/>
          <w:lang w:val="en-CA"/>
        </w:rPr>
        <w:t>class counsel</w:t>
      </w:r>
      <w:r w:rsidRPr="001A6BBA">
        <w:rPr>
          <w:sz w:val="22"/>
          <w:szCs w:val="22"/>
          <w:lang w:val="en-CA"/>
        </w:rPr>
        <w:t>.</w:t>
      </w:r>
    </w:p>
    <w:p w14:paraId="3A32910E" w14:textId="5B8A18E1" w:rsidR="002E7C51" w:rsidRPr="001A6BBA" w:rsidRDefault="00354272" w:rsidP="002E7C51">
      <w:pPr>
        <w:pStyle w:val="Style1"/>
        <w:numPr>
          <w:ilvl w:val="0"/>
          <w:numId w:val="20"/>
        </w:numPr>
        <w:spacing w:before="120" w:after="120" w:line="280" w:lineRule="exact"/>
        <w:rPr>
          <w:sz w:val="22"/>
          <w:szCs w:val="22"/>
          <w:lang w:val="en-CA"/>
        </w:rPr>
      </w:pPr>
      <w:r w:rsidRPr="009F222C">
        <w:rPr>
          <w:sz w:val="22"/>
          <w:szCs w:val="22"/>
          <w:lang w:val="en-CA"/>
        </w:rPr>
        <w:t>The settlement fund will be used to:</w:t>
      </w:r>
      <w:r w:rsidRPr="001A6BBA">
        <w:rPr>
          <w:sz w:val="22"/>
          <w:szCs w:val="22"/>
          <w:lang w:val="en-CA"/>
        </w:rPr>
        <w:t xml:space="preserve"> (1) indemnify the members whose claim</w:t>
      </w:r>
      <w:r w:rsidR="00417108">
        <w:rPr>
          <w:sz w:val="22"/>
          <w:szCs w:val="22"/>
          <w:lang w:val="en-CA"/>
        </w:rPr>
        <w:t>s</w:t>
      </w:r>
      <w:r w:rsidRPr="001A6BBA">
        <w:rPr>
          <w:sz w:val="22"/>
          <w:szCs w:val="22"/>
          <w:lang w:val="en-CA"/>
        </w:rPr>
        <w:t xml:space="preserve"> </w:t>
      </w:r>
      <w:r w:rsidR="00417108">
        <w:rPr>
          <w:sz w:val="22"/>
          <w:szCs w:val="22"/>
          <w:lang w:val="en-CA"/>
        </w:rPr>
        <w:t>are</w:t>
      </w:r>
      <w:r w:rsidR="00417108" w:rsidRPr="001A6BBA">
        <w:rPr>
          <w:sz w:val="22"/>
          <w:szCs w:val="22"/>
          <w:lang w:val="en-CA"/>
        </w:rPr>
        <w:t xml:space="preserve"> </w:t>
      </w:r>
      <w:r w:rsidRPr="001A6BBA">
        <w:rPr>
          <w:sz w:val="22"/>
          <w:szCs w:val="22"/>
          <w:lang w:val="en-CA"/>
        </w:rPr>
        <w:t xml:space="preserve">accepted at the end of the adjudication process; </w:t>
      </w:r>
      <w:r w:rsidRPr="009F222C">
        <w:rPr>
          <w:sz w:val="22"/>
          <w:szCs w:val="22"/>
          <w:lang w:val="en-CA"/>
        </w:rPr>
        <w:t xml:space="preserve">(2) to pay the judicial and extrajudicial </w:t>
      </w:r>
      <w:r w:rsidR="00D65514" w:rsidRPr="009F222C">
        <w:rPr>
          <w:sz w:val="22"/>
          <w:szCs w:val="22"/>
          <w:lang w:val="en-CA"/>
        </w:rPr>
        <w:t xml:space="preserve">professional </w:t>
      </w:r>
      <w:r w:rsidRPr="009F222C">
        <w:rPr>
          <w:sz w:val="22"/>
          <w:szCs w:val="22"/>
          <w:lang w:val="en-CA"/>
        </w:rPr>
        <w:t xml:space="preserve">fees of </w:t>
      </w:r>
      <w:r w:rsidR="00417108">
        <w:rPr>
          <w:sz w:val="22"/>
          <w:szCs w:val="22"/>
          <w:lang w:val="en-CA"/>
        </w:rPr>
        <w:t xml:space="preserve">class </w:t>
      </w:r>
      <w:r w:rsidRPr="009F222C">
        <w:rPr>
          <w:sz w:val="22"/>
          <w:szCs w:val="22"/>
          <w:lang w:val="en-CA"/>
        </w:rPr>
        <w:t>counsel;</w:t>
      </w:r>
      <w:r w:rsidRPr="001A6BBA">
        <w:rPr>
          <w:sz w:val="22"/>
          <w:szCs w:val="22"/>
          <w:lang w:val="en-CA"/>
        </w:rPr>
        <w:t xml:space="preserve"> and (3) to pay </w:t>
      </w:r>
      <w:r w:rsidR="00BE21AE">
        <w:rPr>
          <w:sz w:val="22"/>
          <w:szCs w:val="22"/>
          <w:lang w:val="en-CA"/>
        </w:rPr>
        <w:t>and/</w:t>
      </w:r>
      <w:r w:rsidRPr="001A6BBA">
        <w:rPr>
          <w:sz w:val="22"/>
          <w:szCs w:val="22"/>
          <w:lang w:val="en-CA"/>
        </w:rPr>
        <w:t xml:space="preserve">or reimburse the </w:t>
      </w:r>
      <w:r w:rsidR="00417108">
        <w:rPr>
          <w:sz w:val="22"/>
          <w:szCs w:val="22"/>
          <w:lang w:val="en-CA"/>
        </w:rPr>
        <w:t>disbursements</w:t>
      </w:r>
      <w:r w:rsidRPr="001A6BBA">
        <w:rPr>
          <w:sz w:val="22"/>
          <w:szCs w:val="22"/>
          <w:lang w:val="en-CA"/>
        </w:rPr>
        <w:t>, costs</w:t>
      </w:r>
      <w:r w:rsidR="00BE21AE">
        <w:rPr>
          <w:sz w:val="22"/>
          <w:szCs w:val="22"/>
          <w:lang w:val="en-CA"/>
        </w:rPr>
        <w:t>,</w:t>
      </w:r>
      <w:r w:rsidRPr="001A6BBA">
        <w:rPr>
          <w:sz w:val="22"/>
          <w:szCs w:val="22"/>
          <w:lang w:val="en-CA"/>
        </w:rPr>
        <w:t xml:space="preserve"> and other expenses </w:t>
      </w:r>
      <w:r w:rsidR="00417108">
        <w:rPr>
          <w:sz w:val="22"/>
          <w:szCs w:val="22"/>
          <w:lang w:val="en-CA"/>
        </w:rPr>
        <w:t>incurred in</w:t>
      </w:r>
      <w:r w:rsidR="00417108" w:rsidRPr="001A6BBA">
        <w:rPr>
          <w:sz w:val="22"/>
          <w:szCs w:val="22"/>
          <w:lang w:val="en-CA"/>
        </w:rPr>
        <w:t xml:space="preserve"> </w:t>
      </w:r>
      <w:r w:rsidRPr="001A6BBA">
        <w:rPr>
          <w:sz w:val="22"/>
          <w:szCs w:val="22"/>
          <w:lang w:val="en-CA"/>
        </w:rPr>
        <w:t xml:space="preserve">the class action, </w:t>
      </w:r>
      <w:r w:rsidR="00417108">
        <w:rPr>
          <w:sz w:val="22"/>
          <w:szCs w:val="22"/>
          <w:lang w:val="en-CA"/>
        </w:rPr>
        <w:t>as well as any</w:t>
      </w:r>
      <w:r w:rsidR="00417108" w:rsidRPr="001A6BBA">
        <w:rPr>
          <w:sz w:val="22"/>
          <w:szCs w:val="22"/>
          <w:lang w:val="en-CA"/>
        </w:rPr>
        <w:t xml:space="preserve"> </w:t>
      </w:r>
      <w:r w:rsidRPr="001A6BBA">
        <w:rPr>
          <w:sz w:val="22"/>
          <w:szCs w:val="22"/>
          <w:lang w:val="en-CA"/>
        </w:rPr>
        <w:t>[</w:t>
      </w:r>
      <w:r w:rsidRPr="001A6BBA">
        <w:rPr>
          <w:smallCaps/>
          <w:sz w:val="22"/>
          <w:szCs w:val="22"/>
          <w:lang w:val="en-CA"/>
        </w:rPr>
        <w:t>translation</w:t>
      </w:r>
      <w:r w:rsidRPr="001A6BBA">
        <w:rPr>
          <w:sz w:val="22"/>
          <w:szCs w:val="22"/>
          <w:lang w:val="en-CA"/>
        </w:rPr>
        <w:t>]</w:t>
      </w:r>
      <w:r w:rsidRPr="001A6BBA">
        <w:rPr>
          <w:smallCaps/>
          <w:lang w:val="en-CA"/>
        </w:rPr>
        <w:t xml:space="preserve"> </w:t>
      </w:r>
      <w:r w:rsidRPr="001A6BBA">
        <w:rPr>
          <w:sz w:val="22"/>
          <w:szCs w:val="22"/>
          <w:lang w:val="en-CA"/>
        </w:rPr>
        <w:t>“amounts arising from an action in subrogation to the members’ rights”, if any.</w:t>
      </w:r>
    </w:p>
    <w:p w14:paraId="40F38AF2" w14:textId="05068BE8" w:rsidR="002E7C51" w:rsidRPr="001A6BBA" w:rsidRDefault="00354272" w:rsidP="002E7C51">
      <w:pPr>
        <w:pStyle w:val="Style1"/>
        <w:numPr>
          <w:ilvl w:val="0"/>
          <w:numId w:val="20"/>
        </w:numPr>
        <w:spacing w:before="120" w:after="120" w:line="280" w:lineRule="exact"/>
        <w:ind w:left="714" w:hanging="357"/>
        <w:rPr>
          <w:sz w:val="22"/>
          <w:szCs w:val="22"/>
          <w:lang w:val="en-CA"/>
        </w:rPr>
      </w:pPr>
      <w:r w:rsidRPr="001A6BBA">
        <w:rPr>
          <w:sz w:val="22"/>
          <w:szCs w:val="22"/>
          <w:lang w:val="en-CA"/>
        </w:rPr>
        <w:t xml:space="preserve">A statement </w:t>
      </w:r>
      <w:r w:rsidR="00245C83">
        <w:rPr>
          <w:sz w:val="22"/>
          <w:szCs w:val="22"/>
          <w:lang w:val="en-CA"/>
        </w:rPr>
        <w:t>of</w:t>
      </w:r>
      <w:r w:rsidR="00D65514" w:rsidRPr="001A6BBA">
        <w:rPr>
          <w:sz w:val="22"/>
          <w:szCs w:val="22"/>
          <w:lang w:val="en-CA"/>
        </w:rPr>
        <w:t xml:space="preserve"> professional</w:t>
      </w:r>
      <w:r w:rsidRPr="001A6BBA">
        <w:rPr>
          <w:sz w:val="22"/>
          <w:szCs w:val="22"/>
          <w:lang w:val="en-CA"/>
        </w:rPr>
        <w:t xml:space="preserve"> fees of </w:t>
      </w:r>
      <w:r w:rsidR="001A7E74">
        <w:rPr>
          <w:sz w:val="22"/>
          <w:szCs w:val="22"/>
          <w:lang w:val="en-CA"/>
        </w:rPr>
        <w:t xml:space="preserve">class </w:t>
      </w:r>
      <w:r w:rsidR="001A7E74" w:rsidRPr="001A6BBA">
        <w:rPr>
          <w:sz w:val="22"/>
          <w:szCs w:val="22"/>
          <w:lang w:val="en-CA"/>
        </w:rPr>
        <w:t xml:space="preserve">counsel </w:t>
      </w:r>
      <w:r w:rsidRPr="001A6BBA">
        <w:rPr>
          <w:sz w:val="22"/>
          <w:szCs w:val="22"/>
          <w:lang w:val="en-CA"/>
        </w:rPr>
        <w:t>addressed to CSV in the amount of $8,048,250 (</w:t>
      </w:r>
      <w:r w:rsidR="0063241B">
        <w:rPr>
          <w:sz w:val="22"/>
          <w:szCs w:val="22"/>
          <w:lang w:val="en-CA"/>
        </w:rPr>
        <w:t xml:space="preserve">representing </w:t>
      </w:r>
      <w:r w:rsidRPr="001A6BBA">
        <w:rPr>
          <w:sz w:val="22"/>
          <w:szCs w:val="22"/>
          <w:lang w:val="en-CA"/>
        </w:rPr>
        <w:t xml:space="preserve">25% of $28,000,000, plus taxes), covering the </w:t>
      </w:r>
      <w:r w:rsidR="00D65514" w:rsidRPr="001A6BBA">
        <w:rPr>
          <w:sz w:val="22"/>
          <w:szCs w:val="22"/>
          <w:lang w:val="en-CA"/>
        </w:rPr>
        <w:t xml:space="preserve">professional </w:t>
      </w:r>
      <w:r w:rsidRPr="001A6BBA">
        <w:rPr>
          <w:sz w:val="22"/>
          <w:szCs w:val="22"/>
          <w:lang w:val="en-CA"/>
        </w:rPr>
        <w:t>fees, or [</w:t>
      </w:r>
      <w:r w:rsidRPr="001A6BBA">
        <w:rPr>
          <w:smallCaps/>
          <w:sz w:val="22"/>
          <w:szCs w:val="22"/>
          <w:lang w:val="en-CA"/>
        </w:rPr>
        <w:t>translation] “</w:t>
      </w:r>
      <w:r w:rsidRPr="001A6BBA">
        <w:rPr>
          <w:sz w:val="22"/>
          <w:szCs w:val="22"/>
          <w:lang w:val="en-CA"/>
        </w:rPr>
        <w:t xml:space="preserve">any other amount authorized by the Court”, will be sent within 10 days </w:t>
      </w:r>
      <w:r w:rsidR="005A73DA">
        <w:rPr>
          <w:sz w:val="22"/>
          <w:szCs w:val="22"/>
          <w:lang w:val="en-CA"/>
        </w:rPr>
        <w:t>after</w:t>
      </w:r>
      <w:r w:rsidRPr="001A6BBA">
        <w:rPr>
          <w:sz w:val="22"/>
          <w:szCs w:val="22"/>
          <w:lang w:val="en-CA"/>
        </w:rPr>
        <w:t xml:space="preserve"> the judgment approving the Agreement has </w:t>
      </w:r>
      <w:r w:rsidR="006C0613">
        <w:rPr>
          <w:sz w:val="22"/>
          <w:szCs w:val="22"/>
          <w:lang w:val="en-CA"/>
        </w:rPr>
        <w:t>acquired the force of</w:t>
      </w:r>
      <w:r w:rsidR="006C0613" w:rsidRPr="001A6BBA">
        <w:rPr>
          <w:sz w:val="22"/>
          <w:szCs w:val="22"/>
          <w:lang w:val="en-CA"/>
        </w:rPr>
        <w:t xml:space="preserve"> </w:t>
      </w:r>
      <w:r w:rsidR="00417108" w:rsidRPr="004A70D3">
        <w:rPr>
          <w:i/>
          <w:iCs/>
          <w:sz w:val="22"/>
          <w:szCs w:val="22"/>
          <w:lang w:val="en-CA"/>
        </w:rPr>
        <w:t>res judicata</w:t>
      </w:r>
      <w:r w:rsidRPr="001A6BBA">
        <w:rPr>
          <w:sz w:val="22"/>
          <w:szCs w:val="22"/>
          <w:lang w:val="en-CA"/>
        </w:rPr>
        <w:t>, [</w:t>
      </w:r>
      <w:r w:rsidRPr="001A6BBA">
        <w:rPr>
          <w:smallCaps/>
          <w:sz w:val="22"/>
          <w:szCs w:val="22"/>
          <w:lang w:val="en-CA"/>
        </w:rPr>
        <w:t xml:space="preserve">translation] </w:t>
      </w:r>
      <w:r w:rsidRPr="001A6BBA">
        <w:rPr>
          <w:sz w:val="22"/>
          <w:szCs w:val="22"/>
          <w:lang w:val="en-CA"/>
        </w:rPr>
        <w:t>“</w:t>
      </w:r>
      <w:r w:rsidR="009E6BD9" w:rsidRPr="009E6BD9">
        <w:rPr>
          <w:sz w:val="22"/>
          <w:szCs w:val="22"/>
          <w:lang w:val="en-CA"/>
        </w:rPr>
        <w:t>subject to the approval of the Court</w:t>
      </w:r>
      <w:r w:rsidRPr="001A6BBA">
        <w:rPr>
          <w:sz w:val="22"/>
          <w:szCs w:val="22"/>
          <w:lang w:val="en-CA"/>
        </w:rPr>
        <w:t>”.</w:t>
      </w:r>
    </w:p>
    <w:p w14:paraId="5A263CFB" w14:textId="3F7FE77D" w:rsidR="002E7C51" w:rsidRPr="001A6BBA" w:rsidRDefault="00354272" w:rsidP="002E7C51">
      <w:pPr>
        <w:pStyle w:val="Style1"/>
        <w:numPr>
          <w:ilvl w:val="0"/>
          <w:numId w:val="20"/>
        </w:numPr>
        <w:spacing w:before="120" w:after="120" w:line="280" w:lineRule="exact"/>
        <w:ind w:left="714" w:hanging="357"/>
        <w:rPr>
          <w:sz w:val="22"/>
          <w:szCs w:val="22"/>
          <w:lang w:val="en-CA"/>
        </w:rPr>
      </w:pPr>
      <w:r w:rsidRPr="001A6BBA">
        <w:rPr>
          <w:sz w:val="22"/>
          <w:szCs w:val="22"/>
          <w:lang w:val="en-CA"/>
        </w:rPr>
        <w:t>The appellant gave the defendants, [</w:t>
      </w:r>
      <w:r w:rsidRPr="001A6BBA">
        <w:rPr>
          <w:smallCaps/>
          <w:sz w:val="22"/>
          <w:szCs w:val="22"/>
          <w:lang w:val="en-CA"/>
        </w:rPr>
        <w:t xml:space="preserve">translation] </w:t>
      </w:r>
      <w:r w:rsidRPr="001A6BBA">
        <w:rPr>
          <w:sz w:val="22"/>
          <w:szCs w:val="22"/>
          <w:lang w:val="en-CA"/>
        </w:rPr>
        <w:t>“personally and on behalf of the Class members</w:t>
      </w:r>
      <w:r w:rsidR="00BE21AE">
        <w:rPr>
          <w:sz w:val="22"/>
          <w:szCs w:val="22"/>
          <w:lang w:val="en-CA"/>
        </w:rPr>
        <w:t xml:space="preserve"> </w:t>
      </w:r>
      <w:r w:rsidRPr="001A6BBA">
        <w:rPr>
          <w:sz w:val="22"/>
          <w:szCs w:val="22"/>
          <w:lang w:val="en-CA"/>
        </w:rPr>
        <w:t>...</w:t>
      </w:r>
      <w:r w:rsidR="00BE21AE">
        <w:rPr>
          <w:sz w:val="22"/>
          <w:szCs w:val="22"/>
          <w:lang w:val="en-CA"/>
        </w:rPr>
        <w:t xml:space="preserve"> </w:t>
      </w:r>
      <w:r w:rsidRPr="001A6BBA">
        <w:rPr>
          <w:sz w:val="22"/>
          <w:szCs w:val="22"/>
          <w:lang w:val="en-CA"/>
        </w:rPr>
        <w:t>and their successors, heirs, and assigns, full and final release</w:t>
      </w:r>
      <w:r w:rsidR="00BE21AE">
        <w:rPr>
          <w:sz w:val="22"/>
          <w:szCs w:val="22"/>
          <w:lang w:val="en-CA"/>
        </w:rPr>
        <w:t xml:space="preserve"> </w:t>
      </w:r>
      <w:r w:rsidRPr="001A6BBA">
        <w:rPr>
          <w:sz w:val="22"/>
          <w:szCs w:val="22"/>
          <w:lang w:val="en-CA"/>
        </w:rPr>
        <w:t>...”.</w:t>
      </w:r>
    </w:p>
    <w:p w14:paraId="07FE4593" w14:textId="13F34694" w:rsidR="002E7C51" w:rsidRPr="001A6BBA" w:rsidRDefault="00354272" w:rsidP="002E7C51">
      <w:pPr>
        <w:pStyle w:val="Style1"/>
        <w:numPr>
          <w:ilvl w:val="0"/>
          <w:numId w:val="20"/>
        </w:numPr>
        <w:spacing w:before="120" w:after="120" w:line="280" w:lineRule="exact"/>
        <w:ind w:left="714" w:hanging="357"/>
        <w:rPr>
          <w:sz w:val="22"/>
          <w:szCs w:val="22"/>
          <w:lang w:val="en-CA"/>
        </w:rPr>
      </w:pPr>
      <w:r w:rsidRPr="001A6BBA">
        <w:rPr>
          <w:sz w:val="22"/>
          <w:szCs w:val="22"/>
          <w:lang w:val="en-CA"/>
        </w:rPr>
        <w:t>C</w:t>
      </w:r>
      <w:r w:rsidR="001A7E74">
        <w:rPr>
          <w:sz w:val="22"/>
          <w:szCs w:val="22"/>
          <w:lang w:val="en-CA"/>
        </w:rPr>
        <w:t>lass c</w:t>
      </w:r>
      <w:r w:rsidRPr="001A6BBA">
        <w:rPr>
          <w:sz w:val="22"/>
          <w:szCs w:val="22"/>
          <w:lang w:val="en-CA"/>
        </w:rPr>
        <w:t xml:space="preserve">ounsel </w:t>
      </w:r>
      <w:r w:rsidR="00B94D27">
        <w:rPr>
          <w:sz w:val="22"/>
          <w:szCs w:val="22"/>
          <w:lang w:val="en-CA"/>
        </w:rPr>
        <w:t>will</w:t>
      </w:r>
      <w:r w:rsidRPr="001A6BBA">
        <w:rPr>
          <w:sz w:val="22"/>
          <w:szCs w:val="22"/>
          <w:lang w:val="en-CA"/>
        </w:rPr>
        <w:t xml:space="preserve"> be solely responsible for developing and determining the terms and conditions of the adjudication process, subject to the terms and conditions set out in Schedule 3 of the Agreement. </w:t>
      </w:r>
      <w:r w:rsidRPr="009F222C">
        <w:rPr>
          <w:sz w:val="22"/>
          <w:szCs w:val="22"/>
          <w:lang w:val="en-CA"/>
        </w:rPr>
        <w:t xml:space="preserve">The adjudication process will be presided by the Honourable Claude Champagne, a retired Superior Court judge. </w:t>
      </w:r>
      <w:r w:rsidRPr="001A6BBA">
        <w:rPr>
          <w:sz w:val="22"/>
          <w:szCs w:val="22"/>
          <w:lang w:val="en-CA"/>
        </w:rPr>
        <w:t>Only a limited number of persons will have access to the claimants’ names</w:t>
      </w:r>
      <w:r w:rsidR="006C0613">
        <w:rPr>
          <w:sz w:val="22"/>
          <w:szCs w:val="22"/>
          <w:lang w:val="en-CA"/>
        </w:rPr>
        <w:t>,</w:t>
      </w:r>
      <w:r w:rsidRPr="001A6BBA">
        <w:rPr>
          <w:sz w:val="22"/>
          <w:szCs w:val="22"/>
          <w:lang w:val="en-CA"/>
        </w:rPr>
        <w:t xml:space="preserve"> if </w:t>
      </w:r>
      <w:r w:rsidR="006C0613">
        <w:rPr>
          <w:sz w:val="22"/>
          <w:szCs w:val="22"/>
          <w:lang w:val="en-CA"/>
        </w:rPr>
        <w:t>necessary</w:t>
      </w:r>
      <w:r w:rsidRPr="001A6BBA">
        <w:rPr>
          <w:sz w:val="22"/>
          <w:szCs w:val="22"/>
          <w:lang w:val="en-CA"/>
        </w:rPr>
        <w:t>. The defendants are not entitled to take part in the determination of individual compensation by the adjudicator or to contest it.</w:t>
      </w:r>
    </w:p>
    <w:p w14:paraId="40BFCA74" w14:textId="7C258C97" w:rsidR="002E7C51" w:rsidRPr="001A6BBA" w:rsidRDefault="00354272" w:rsidP="002E7C51">
      <w:pPr>
        <w:pStyle w:val="Style1"/>
        <w:numPr>
          <w:ilvl w:val="0"/>
          <w:numId w:val="20"/>
        </w:numPr>
        <w:spacing w:before="120" w:after="120" w:line="280" w:lineRule="exact"/>
        <w:ind w:left="714" w:hanging="357"/>
        <w:rPr>
          <w:sz w:val="22"/>
          <w:szCs w:val="22"/>
          <w:lang w:val="en-CA"/>
        </w:rPr>
      </w:pPr>
      <w:r w:rsidRPr="001A6BBA">
        <w:rPr>
          <w:sz w:val="22"/>
          <w:szCs w:val="22"/>
          <w:lang w:val="en-CA"/>
        </w:rPr>
        <w:lastRenderedPageBreak/>
        <w:t>The adjudicator will assign each member whose claim is accepted to one of the three categories of compensation set out in Schedule 8 of the Agreement:</w:t>
      </w:r>
    </w:p>
    <w:p w14:paraId="18C6AADF" w14:textId="226AD107" w:rsidR="002E7C51" w:rsidRPr="001A6BBA" w:rsidRDefault="00354272" w:rsidP="002E7C51">
      <w:pPr>
        <w:pStyle w:val="Style1"/>
        <w:numPr>
          <w:ilvl w:val="0"/>
          <w:numId w:val="21"/>
        </w:numPr>
        <w:spacing w:before="120" w:after="120" w:line="280" w:lineRule="exact"/>
        <w:ind w:left="1429" w:hanging="357"/>
        <w:rPr>
          <w:sz w:val="22"/>
          <w:szCs w:val="22"/>
          <w:lang w:val="en-CA"/>
        </w:rPr>
      </w:pPr>
      <w:r w:rsidRPr="009F222C">
        <w:rPr>
          <w:sz w:val="22"/>
          <w:szCs w:val="22"/>
          <w:lang w:val="en-CA"/>
        </w:rPr>
        <w:t>Category A:</w:t>
      </w:r>
      <w:r w:rsidRPr="001A6BBA">
        <w:rPr>
          <w:sz w:val="22"/>
          <w:szCs w:val="22"/>
          <w:lang w:val="en-CA"/>
        </w:rPr>
        <w:t xml:space="preserve"> Base compensation </w:t>
      </w:r>
      <w:r w:rsidR="00FB7B90">
        <w:rPr>
          <w:sz w:val="22"/>
          <w:szCs w:val="22"/>
          <w:lang w:val="en-CA"/>
        </w:rPr>
        <w:t>equivalent to</w:t>
      </w:r>
      <w:r w:rsidRPr="001A6BBA">
        <w:rPr>
          <w:sz w:val="22"/>
          <w:szCs w:val="22"/>
          <w:lang w:val="en-CA"/>
        </w:rPr>
        <w:t xml:space="preserve"> $X and used as the basis for </w:t>
      </w:r>
      <w:r w:rsidR="00FB7B90">
        <w:rPr>
          <w:sz w:val="22"/>
          <w:szCs w:val="22"/>
          <w:lang w:val="en-CA"/>
        </w:rPr>
        <w:t>calculating</w:t>
      </w:r>
      <w:r w:rsidRPr="001A6BBA">
        <w:rPr>
          <w:sz w:val="22"/>
          <w:szCs w:val="22"/>
          <w:lang w:val="en-CA"/>
        </w:rPr>
        <w:t xml:space="preserve"> extraordinary compensation categories;</w:t>
      </w:r>
    </w:p>
    <w:p w14:paraId="1895E19D" w14:textId="3BB290D6" w:rsidR="002E7C51" w:rsidRPr="001A6BBA" w:rsidRDefault="00354272" w:rsidP="002E7C51">
      <w:pPr>
        <w:pStyle w:val="Style1"/>
        <w:numPr>
          <w:ilvl w:val="0"/>
          <w:numId w:val="21"/>
        </w:numPr>
        <w:spacing w:before="120" w:after="120" w:line="280" w:lineRule="exact"/>
        <w:ind w:left="1429" w:hanging="357"/>
        <w:rPr>
          <w:sz w:val="22"/>
          <w:szCs w:val="22"/>
          <w:lang w:val="en-CA"/>
        </w:rPr>
      </w:pPr>
      <w:r w:rsidRPr="009F222C">
        <w:rPr>
          <w:sz w:val="22"/>
          <w:szCs w:val="22"/>
          <w:lang w:val="en-CA"/>
        </w:rPr>
        <w:t>Cat</w:t>
      </w:r>
      <w:r w:rsidR="00B678A9">
        <w:rPr>
          <w:sz w:val="22"/>
          <w:szCs w:val="22"/>
          <w:lang w:val="en-CA"/>
        </w:rPr>
        <w:t>egory</w:t>
      </w:r>
      <w:r w:rsidRPr="009F222C">
        <w:rPr>
          <w:sz w:val="22"/>
          <w:szCs w:val="22"/>
          <w:lang w:val="en-CA"/>
        </w:rPr>
        <w:t xml:space="preserve"> </w:t>
      </w:r>
      <w:r w:rsidR="00B678A9" w:rsidRPr="009F222C">
        <w:rPr>
          <w:sz w:val="22"/>
          <w:szCs w:val="22"/>
          <w:lang w:val="en-CA"/>
        </w:rPr>
        <w:t>B:</w:t>
      </w:r>
      <w:r w:rsidRPr="001A6BBA">
        <w:rPr>
          <w:sz w:val="22"/>
          <w:szCs w:val="22"/>
          <w:lang w:val="en-CA"/>
        </w:rPr>
        <w:t xml:space="preserve"> </w:t>
      </w:r>
      <w:r w:rsidR="00B678A9">
        <w:rPr>
          <w:sz w:val="22"/>
          <w:szCs w:val="22"/>
          <w:lang w:val="en-CA"/>
        </w:rPr>
        <w:t>Extraordinary compensation</w:t>
      </w:r>
      <w:r w:rsidRPr="001A6BBA">
        <w:rPr>
          <w:sz w:val="22"/>
          <w:szCs w:val="22"/>
          <w:lang w:val="en-CA"/>
        </w:rPr>
        <w:t xml:space="preserve"> 1 </w:t>
      </w:r>
      <w:r w:rsidR="00FB7B90">
        <w:rPr>
          <w:sz w:val="22"/>
          <w:szCs w:val="22"/>
          <w:lang w:val="en-CA"/>
        </w:rPr>
        <w:t xml:space="preserve">equivalent to </w:t>
      </w:r>
      <w:r w:rsidR="00BC10C5">
        <w:rPr>
          <w:sz w:val="22"/>
          <w:szCs w:val="22"/>
          <w:lang w:val="en-CA"/>
        </w:rPr>
        <w:t>$</w:t>
      </w:r>
      <w:r w:rsidRPr="001A6BBA">
        <w:rPr>
          <w:sz w:val="22"/>
          <w:szCs w:val="22"/>
          <w:lang w:val="en-CA"/>
        </w:rPr>
        <w:t>1</w:t>
      </w:r>
      <w:r w:rsidR="006C0613">
        <w:rPr>
          <w:sz w:val="22"/>
          <w:szCs w:val="22"/>
          <w:lang w:val="en-CA"/>
        </w:rPr>
        <w:t>.</w:t>
      </w:r>
      <w:r w:rsidRPr="001A6BBA">
        <w:rPr>
          <w:sz w:val="22"/>
          <w:szCs w:val="22"/>
          <w:lang w:val="en-CA"/>
        </w:rPr>
        <w:t>5</w:t>
      </w:r>
      <w:r w:rsidR="009E17D5">
        <w:rPr>
          <w:sz w:val="22"/>
          <w:szCs w:val="22"/>
          <w:lang w:val="en-CA"/>
        </w:rPr>
        <w:t>X</w:t>
      </w:r>
      <w:r w:rsidRPr="001A6BBA">
        <w:rPr>
          <w:sz w:val="22"/>
          <w:szCs w:val="22"/>
          <w:lang w:val="en-CA"/>
        </w:rPr>
        <w:t xml:space="preserve">, </w:t>
      </w:r>
      <w:r w:rsidR="00B678A9">
        <w:rPr>
          <w:sz w:val="22"/>
          <w:szCs w:val="22"/>
          <w:lang w:val="en-CA"/>
        </w:rPr>
        <w:t>that is,</w:t>
      </w:r>
      <w:r w:rsidRPr="001A6BBA">
        <w:rPr>
          <w:sz w:val="22"/>
          <w:szCs w:val="22"/>
          <w:lang w:val="en-CA"/>
        </w:rPr>
        <w:t xml:space="preserve"> compensation 50% </w:t>
      </w:r>
      <w:r w:rsidR="00B678A9">
        <w:rPr>
          <w:sz w:val="22"/>
          <w:szCs w:val="22"/>
          <w:lang w:val="en-CA"/>
        </w:rPr>
        <w:t>higher than base compensation;</w:t>
      </w:r>
    </w:p>
    <w:p w14:paraId="48FD0B24" w14:textId="477DC473" w:rsidR="002E7C51" w:rsidRPr="001A6BBA" w:rsidRDefault="00354272" w:rsidP="002E7C51">
      <w:pPr>
        <w:pStyle w:val="Style1"/>
        <w:numPr>
          <w:ilvl w:val="0"/>
          <w:numId w:val="21"/>
        </w:numPr>
        <w:spacing w:before="120" w:after="120" w:line="280" w:lineRule="exact"/>
        <w:ind w:left="1429" w:hanging="357"/>
        <w:rPr>
          <w:sz w:val="22"/>
          <w:szCs w:val="22"/>
          <w:lang w:val="en-CA"/>
        </w:rPr>
      </w:pPr>
      <w:r w:rsidRPr="009F222C">
        <w:rPr>
          <w:sz w:val="22"/>
          <w:szCs w:val="22"/>
          <w:lang w:val="en-CA"/>
        </w:rPr>
        <w:t>Cat</w:t>
      </w:r>
      <w:r w:rsidR="00B678A9">
        <w:rPr>
          <w:sz w:val="22"/>
          <w:szCs w:val="22"/>
          <w:lang w:val="en-CA"/>
        </w:rPr>
        <w:t>egory</w:t>
      </w:r>
      <w:r w:rsidRPr="009F222C">
        <w:rPr>
          <w:sz w:val="22"/>
          <w:szCs w:val="22"/>
          <w:lang w:val="en-CA"/>
        </w:rPr>
        <w:t xml:space="preserve"> </w:t>
      </w:r>
      <w:r w:rsidR="00B678A9" w:rsidRPr="009F222C">
        <w:rPr>
          <w:sz w:val="22"/>
          <w:szCs w:val="22"/>
          <w:lang w:val="en-CA"/>
        </w:rPr>
        <w:t>C:</w:t>
      </w:r>
      <w:r w:rsidRPr="001A6BBA">
        <w:rPr>
          <w:sz w:val="22"/>
          <w:szCs w:val="22"/>
          <w:lang w:val="en-CA"/>
        </w:rPr>
        <w:t xml:space="preserve"> </w:t>
      </w:r>
      <w:r w:rsidR="00B678A9">
        <w:rPr>
          <w:sz w:val="22"/>
          <w:szCs w:val="22"/>
          <w:lang w:val="en-CA"/>
        </w:rPr>
        <w:t>Extraordinary compensation</w:t>
      </w:r>
      <w:r w:rsidRPr="001A6BBA">
        <w:rPr>
          <w:sz w:val="22"/>
          <w:szCs w:val="22"/>
          <w:lang w:val="en-CA"/>
        </w:rPr>
        <w:t xml:space="preserve"> 2 </w:t>
      </w:r>
      <w:r w:rsidR="00FB7B90">
        <w:rPr>
          <w:sz w:val="22"/>
          <w:szCs w:val="22"/>
          <w:lang w:val="en-CA"/>
        </w:rPr>
        <w:t>equivalent to</w:t>
      </w:r>
      <w:r w:rsidRPr="001A6BBA">
        <w:rPr>
          <w:sz w:val="22"/>
          <w:szCs w:val="22"/>
          <w:lang w:val="en-CA"/>
        </w:rPr>
        <w:t xml:space="preserve"> </w:t>
      </w:r>
      <w:r w:rsidR="00BC10C5">
        <w:rPr>
          <w:sz w:val="22"/>
          <w:szCs w:val="22"/>
          <w:lang w:val="en-CA"/>
        </w:rPr>
        <w:t>$</w:t>
      </w:r>
      <w:r w:rsidRPr="001A6BBA">
        <w:rPr>
          <w:sz w:val="22"/>
          <w:szCs w:val="22"/>
          <w:lang w:val="en-CA"/>
        </w:rPr>
        <w:t>2</w:t>
      </w:r>
      <w:r w:rsidR="009E17D5">
        <w:rPr>
          <w:sz w:val="22"/>
          <w:szCs w:val="22"/>
          <w:lang w:val="en-CA"/>
        </w:rPr>
        <w:t>X</w:t>
      </w:r>
      <w:r w:rsidRPr="001A6BBA">
        <w:rPr>
          <w:sz w:val="22"/>
          <w:szCs w:val="22"/>
          <w:lang w:val="en-CA"/>
        </w:rPr>
        <w:t xml:space="preserve">, </w:t>
      </w:r>
      <w:r w:rsidR="00B678A9">
        <w:rPr>
          <w:sz w:val="22"/>
          <w:szCs w:val="22"/>
          <w:lang w:val="en-CA"/>
        </w:rPr>
        <w:t xml:space="preserve">that is, </w:t>
      </w:r>
      <w:r w:rsidR="00FB7B90">
        <w:rPr>
          <w:sz w:val="22"/>
          <w:szCs w:val="22"/>
          <w:lang w:val="en-CA"/>
        </w:rPr>
        <w:t>double the</w:t>
      </w:r>
      <w:r w:rsidR="00B678A9">
        <w:rPr>
          <w:sz w:val="22"/>
          <w:szCs w:val="22"/>
          <w:lang w:val="en-CA"/>
        </w:rPr>
        <w:t xml:space="preserve"> base compensation, up to a maximum of $200,000.</w:t>
      </w:r>
      <w:r w:rsidRPr="001A6BBA">
        <w:rPr>
          <w:sz w:val="22"/>
          <w:szCs w:val="22"/>
          <w:lang w:val="en-CA"/>
        </w:rPr>
        <w:t xml:space="preserve"> </w:t>
      </w:r>
    </w:p>
    <w:p w14:paraId="2EA14C61" w14:textId="5D6E112B" w:rsidR="002E7C51" w:rsidRPr="001A6BBA" w:rsidRDefault="007C5C97" w:rsidP="002E7C51">
      <w:pPr>
        <w:pStyle w:val="Paragraphe"/>
        <w:spacing w:line="280" w:lineRule="exact"/>
        <w:rPr>
          <w:lang w:val="en-CA"/>
        </w:rPr>
      </w:pPr>
      <w:r w:rsidRPr="001A6BBA">
        <w:rPr>
          <w:lang w:val="en-CA"/>
        </w:rPr>
        <w:t>The Agreement also provides for</w:t>
      </w:r>
      <w:r w:rsidR="00EF2CE6">
        <w:rPr>
          <w:lang w:val="en-CA"/>
        </w:rPr>
        <w:t xml:space="preserve"> </w:t>
      </w:r>
      <w:r w:rsidRPr="001A6BBA">
        <w:rPr>
          <w:lang w:val="en-CA"/>
        </w:rPr>
        <w:t>changes to the definition of the class and of the subclasses.</w:t>
      </w:r>
    </w:p>
    <w:p w14:paraId="7CFBF914" w14:textId="5F9D8EB4" w:rsidR="002E7C51" w:rsidRPr="001A6BBA" w:rsidRDefault="001D5A5F" w:rsidP="002E7C51">
      <w:pPr>
        <w:pStyle w:val="Style1"/>
        <w:spacing w:before="120" w:after="120" w:line="280" w:lineRule="exact"/>
        <w:rPr>
          <w:lang w:val="en-CA"/>
        </w:rPr>
      </w:pPr>
      <w:r>
        <w:rPr>
          <w:rFonts w:cs="Arial"/>
          <w:color w:val="000000"/>
          <w:lang w:val="en-CA"/>
        </w:rPr>
        <w:t>After being i</w:t>
      </w:r>
      <w:r w:rsidR="00EF2CE6">
        <w:rPr>
          <w:rFonts w:cs="Arial"/>
          <w:color w:val="000000"/>
          <w:lang w:val="en-CA"/>
        </w:rPr>
        <w:t>nformed of the Agreement, a</w:t>
      </w:r>
      <w:r w:rsidR="007C5C97" w:rsidRPr="001A6BBA">
        <w:rPr>
          <w:rFonts w:cs="Arial"/>
          <w:color w:val="000000"/>
          <w:lang w:val="en-CA"/>
        </w:rPr>
        <w:t xml:space="preserve"> class member (the “</w:t>
      </w:r>
      <w:r w:rsidR="009F65B1" w:rsidRPr="001A6BBA">
        <w:rPr>
          <w:rFonts w:cs="Arial"/>
          <w:b/>
          <w:lang w:val="en-CA"/>
        </w:rPr>
        <w:t>dissenting member</w:t>
      </w:r>
      <w:r w:rsidR="007C5C97" w:rsidRPr="001A6BBA">
        <w:rPr>
          <w:rFonts w:cs="Arial"/>
          <w:lang w:val="en-CA"/>
        </w:rPr>
        <w:t xml:space="preserve">”) contacted class </w:t>
      </w:r>
      <w:r w:rsidR="00EF2CE6">
        <w:rPr>
          <w:rFonts w:cs="Arial"/>
          <w:lang w:val="en-CA"/>
        </w:rPr>
        <w:t>counsel</w:t>
      </w:r>
      <w:r w:rsidR="007C5C97" w:rsidRPr="001A6BBA">
        <w:rPr>
          <w:rFonts w:cs="Arial"/>
          <w:lang w:val="en-CA"/>
        </w:rPr>
        <w:t xml:space="preserve"> </w:t>
      </w:r>
      <w:r w:rsidR="00B16E7D">
        <w:rPr>
          <w:rFonts w:cs="Arial"/>
          <w:lang w:val="en-CA"/>
        </w:rPr>
        <w:t xml:space="preserve">and asked for </w:t>
      </w:r>
      <w:r w:rsidR="00EF2CE6">
        <w:rPr>
          <w:rFonts w:cs="Arial"/>
          <w:lang w:val="en-CA"/>
        </w:rPr>
        <w:t>the</w:t>
      </w:r>
      <w:r w:rsidR="000E14D0">
        <w:rPr>
          <w:rFonts w:cs="Arial"/>
          <w:lang w:val="en-CA"/>
        </w:rPr>
        <w:t xml:space="preserve"> </w:t>
      </w:r>
      <w:r w:rsidR="006C0613">
        <w:rPr>
          <w:rFonts w:cs="Arial"/>
          <w:lang w:val="en-CA"/>
        </w:rPr>
        <w:t>justification for</w:t>
      </w:r>
      <w:r w:rsidR="007C5C97" w:rsidRPr="001A6BBA">
        <w:rPr>
          <w:rFonts w:cs="Arial"/>
          <w:lang w:val="en-CA"/>
        </w:rPr>
        <w:t xml:space="preserve"> </w:t>
      </w:r>
      <w:r w:rsidR="006C0613">
        <w:rPr>
          <w:rFonts w:cs="Arial"/>
          <w:lang w:val="en-CA"/>
        </w:rPr>
        <w:t>the</w:t>
      </w:r>
      <w:r w:rsidR="00EF2CE6">
        <w:rPr>
          <w:rFonts w:cs="Arial"/>
          <w:lang w:val="en-CA"/>
        </w:rPr>
        <w:t xml:space="preserve"> </w:t>
      </w:r>
      <w:r w:rsidR="00D65514" w:rsidRPr="001A6BBA">
        <w:rPr>
          <w:rFonts w:cs="Arial"/>
          <w:lang w:val="en-CA"/>
        </w:rPr>
        <w:t>professional fees</w:t>
      </w:r>
      <w:r w:rsidR="00EF2CE6" w:rsidRPr="00EF2CE6">
        <w:rPr>
          <w:rFonts w:cs="Arial"/>
          <w:lang w:val="en-CA"/>
        </w:rPr>
        <w:t xml:space="preserve"> </w:t>
      </w:r>
      <w:r w:rsidR="00EF2CE6" w:rsidRPr="001A6BBA">
        <w:rPr>
          <w:rFonts w:cs="Arial"/>
          <w:lang w:val="en-CA"/>
        </w:rPr>
        <w:t>claimed</w:t>
      </w:r>
      <w:r w:rsidR="007C5C97" w:rsidRPr="001A6BBA">
        <w:rPr>
          <w:rFonts w:cs="Arial"/>
          <w:lang w:val="en-CA"/>
        </w:rPr>
        <w:t>, which he felt w</w:t>
      </w:r>
      <w:r w:rsidR="00B16E7D">
        <w:rPr>
          <w:rFonts w:cs="Arial"/>
          <w:lang w:val="en-CA"/>
        </w:rPr>
        <w:t>ere</w:t>
      </w:r>
      <w:r w:rsidR="00EF2CE6">
        <w:rPr>
          <w:rFonts w:cs="Arial"/>
          <w:lang w:val="en-CA"/>
        </w:rPr>
        <w:t xml:space="preserve"> </w:t>
      </w:r>
      <w:r w:rsidR="007C5C97" w:rsidRPr="001A6BBA">
        <w:rPr>
          <w:rFonts w:cs="Arial"/>
          <w:lang w:val="en-CA"/>
        </w:rPr>
        <w:t>too high.</w:t>
      </w:r>
      <w:r w:rsidR="00354272" w:rsidRPr="001A6BBA">
        <w:rPr>
          <w:lang w:val="en-CA"/>
        </w:rPr>
        <w:t xml:space="preserve"> </w:t>
      </w:r>
      <w:r w:rsidR="007C5C97" w:rsidRPr="001A6BBA">
        <w:rPr>
          <w:lang w:val="en-CA"/>
        </w:rPr>
        <w:t xml:space="preserve">Counsel answered him, but he was </w:t>
      </w:r>
      <w:r w:rsidR="000E14D0">
        <w:rPr>
          <w:lang w:val="en-CA"/>
        </w:rPr>
        <w:t>dis</w:t>
      </w:r>
      <w:r w:rsidR="007C5C97" w:rsidRPr="001A6BBA">
        <w:rPr>
          <w:lang w:val="en-CA"/>
        </w:rPr>
        <w:t>satisfied with their explanation and decided to contest the application for approval of the Agreement.</w:t>
      </w:r>
      <w:r w:rsidR="00354272" w:rsidRPr="001A6BBA">
        <w:rPr>
          <w:lang w:val="en-CA"/>
        </w:rPr>
        <w:t xml:space="preserve"> </w:t>
      </w:r>
      <w:r w:rsidR="007C5C97" w:rsidRPr="001A6BBA">
        <w:rPr>
          <w:lang w:val="en-CA"/>
        </w:rPr>
        <w:t>The Fonds d’aide aux actions collectives (</w:t>
      </w:r>
      <w:r w:rsidR="00EF2CE6" w:rsidRPr="00B16E7D">
        <w:rPr>
          <w:bCs/>
          <w:lang w:val="en-CA"/>
        </w:rPr>
        <w:t>“</w:t>
      </w:r>
      <w:r w:rsidR="007C5C97" w:rsidRPr="001A6BBA">
        <w:rPr>
          <w:b/>
          <w:lang w:val="en-CA"/>
        </w:rPr>
        <w:t>FAAC</w:t>
      </w:r>
      <w:r w:rsidR="007C5C97" w:rsidRPr="001A6BBA">
        <w:rPr>
          <w:lang w:val="en-CA"/>
        </w:rPr>
        <w:t xml:space="preserve">”) does not contest the Agreement and defers to the Court to determine the </w:t>
      </w:r>
      <w:r w:rsidR="00D65514" w:rsidRPr="001A6BBA">
        <w:rPr>
          <w:rFonts w:cs="Arial"/>
          <w:lang w:val="en-CA"/>
        </w:rPr>
        <w:t xml:space="preserve">professional fees of </w:t>
      </w:r>
      <w:r w:rsidR="007C5C97" w:rsidRPr="001A6BBA">
        <w:rPr>
          <w:lang w:val="en-CA"/>
        </w:rPr>
        <w:t xml:space="preserve">class </w:t>
      </w:r>
      <w:r w:rsidR="00D65514" w:rsidRPr="001A6BBA">
        <w:rPr>
          <w:lang w:val="en-CA"/>
        </w:rPr>
        <w:t>counsel</w:t>
      </w:r>
      <w:r w:rsidR="007C5C97" w:rsidRPr="001A6BBA">
        <w:rPr>
          <w:lang w:val="en-CA"/>
        </w:rPr>
        <w:t>.</w:t>
      </w:r>
    </w:p>
    <w:p w14:paraId="698F7E48" w14:textId="521F2216" w:rsidR="002E7C51" w:rsidRPr="001A6BBA" w:rsidRDefault="007C5C97" w:rsidP="002E7C51">
      <w:pPr>
        <w:pStyle w:val="Style1"/>
        <w:spacing w:before="120" w:after="120" w:line="280" w:lineRule="exact"/>
        <w:rPr>
          <w:lang w:val="en-CA"/>
        </w:rPr>
      </w:pPr>
      <w:r w:rsidRPr="001A6BBA">
        <w:rPr>
          <w:lang w:val="en-CA"/>
        </w:rPr>
        <w:t xml:space="preserve">The hearing of the </w:t>
      </w:r>
      <w:r w:rsidR="00EF2CE6" w:rsidRPr="001A6BBA">
        <w:rPr>
          <w:lang w:val="en-CA"/>
        </w:rPr>
        <w:t>application</w:t>
      </w:r>
      <w:r w:rsidRPr="001A6BBA">
        <w:rPr>
          <w:lang w:val="en-CA"/>
        </w:rPr>
        <w:t xml:space="preserve"> for approval of the </w:t>
      </w:r>
      <w:r w:rsidR="00935C8F">
        <w:rPr>
          <w:lang w:val="en-CA"/>
        </w:rPr>
        <w:t>A</w:t>
      </w:r>
      <w:r w:rsidRPr="001A6BBA">
        <w:rPr>
          <w:lang w:val="en-CA"/>
        </w:rPr>
        <w:t>greement was held on February 17, 2022, before Davis J.</w:t>
      </w:r>
      <w:r w:rsidR="00354272" w:rsidRPr="001A6BBA">
        <w:rPr>
          <w:lang w:val="en-CA"/>
        </w:rPr>
        <w:t xml:space="preserve"> </w:t>
      </w:r>
      <w:r w:rsidRPr="009F222C">
        <w:rPr>
          <w:lang w:val="en-CA"/>
        </w:rPr>
        <w:t>On that date, over 378 class members had asked to be registered in the class action.</w:t>
      </w:r>
      <w:r w:rsidR="00354272" w:rsidRPr="001A6BBA">
        <w:rPr>
          <w:lang w:val="en-CA"/>
        </w:rPr>
        <w:t xml:space="preserve"> </w:t>
      </w:r>
      <w:r w:rsidRPr="001A6BBA">
        <w:rPr>
          <w:lang w:val="en-CA"/>
        </w:rPr>
        <w:t xml:space="preserve">Only one, the </w:t>
      </w:r>
      <w:r w:rsidR="009F65B1" w:rsidRPr="001A6BBA">
        <w:rPr>
          <w:lang w:val="en-CA"/>
        </w:rPr>
        <w:t>dissenting member</w:t>
      </w:r>
      <w:r w:rsidRPr="001A6BBA">
        <w:rPr>
          <w:lang w:val="en-CA"/>
        </w:rPr>
        <w:t>, objected to the application for approval of the Agreement.</w:t>
      </w:r>
      <w:r w:rsidR="00354272" w:rsidRPr="001A6BBA">
        <w:rPr>
          <w:lang w:val="en-CA"/>
        </w:rPr>
        <w:t xml:space="preserve"> </w:t>
      </w:r>
      <w:r w:rsidRPr="001A6BBA">
        <w:rPr>
          <w:lang w:val="en-CA"/>
        </w:rPr>
        <w:t xml:space="preserve">At the hearing, he testified as to why he was contesting the </w:t>
      </w:r>
      <w:r w:rsidR="00D65514" w:rsidRPr="001A6BBA">
        <w:rPr>
          <w:lang w:val="en-CA"/>
        </w:rPr>
        <w:t>professional</w:t>
      </w:r>
      <w:r w:rsidRPr="001A6BBA">
        <w:rPr>
          <w:lang w:val="en-CA"/>
        </w:rPr>
        <w:t xml:space="preserve"> fees </w:t>
      </w:r>
      <w:r w:rsidR="009F65B1" w:rsidRPr="001A6BBA">
        <w:rPr>
          <w:lang w:val="en-CA"/>
        </w:rPr>
        <w:t xml:space="preserve">claimed </w:t>
      </w:r>
      <w:r w:rsidRPr="001A6BBA">
        <w:rPr>
          <w:lang w:val="en-CA"/>
        </w:rPr>
        <w:t xml:space="preserve">and </w:t>
      </w:r>
      <w:r w:rsidR="00EA3C34">
        <w:rPr>
          <w:lang w:val="en-CA"/>
        </w:rPr>
        <w:t>asked</w:t>
      </w:r>
      <w:r w:rsidRPr="001A6BBA">
        <w:rPr>
          <w:lang w:val="en-CA"/>
        </w:rPr>
        <w:t xml:space="preserve"> the judge to suspend </w:t>
      </w:r>
      <w:r w:rsidR="00EA3C34">
        <w:rPr>
          <w:lang w:val="en-CA"/>
        </w:rPr>
        <w:t xml:space="preserve">his </w:t>
      </w:r>
      <w:r w:rsidR="007B6CAF">
        <w:rPr>
          <w:lang w:val="en-CA"/>
        </w:rPr>
        <w:t>deliberations</w:t>
      </w:r>
      <w:r w:rsidRPr="001A6BBA">
        <w:rPr>
          <w:lang w:val="en-CA"/>
        </w:rPr>
        <w:t xml:space="preserve"> [</w:t>
      </w:r>
      <w:r w:rsidRPr="001A6BBA">
        <w:rPr>
          <w:smallCaps/>
          <w:lang w:val="en-CA"/>
        </w:rPr>
        <w:t>translation]</w:t>
      </w:r>
      <w:r w:rsidRPr="001A6BBA">
        <w:rPr>
          <w:lang w:val="en-CA"/>
        </w:rPr>
        <w:t xml:space="preserve"> “to obtain more information about the work performed by counsel ...  in this case”.</w:t>
      </w:r>
      <w:r w:rsidR="00354272" w:rsidRPr="001A6BBA">
        <w:rPr>
          <w:lang w:val="en-CA"/>
        </w:rPr>
        <w:t xml:space="preserve"> </w:t>
      </w:r>
      <w:r w:rsidRPr="009F222C">
        <w:rPr>
          <w:lang w:val="en-CA"/>
        </w:rPr>
        <w:t>The judge dismissed that application and took the case under advisement.</w:t>
      </w:r>
    </w:p>
    <w:p w14:paraId="40EC8079" w14:textId="608BEDED" w:rsidR="002E7C51" w:rsidRPr="001A6BBA" w:rsidRDefault="007C5C97" w:rsidP="002E7C51">
      <w:pPr>
        <w:pStyle w:val="Style1"/>
        <w:spacing w:before="120" w:after="120" w:line="280" w:lineRule="exact"/>
        <w:rPr>
          <w:lang w:val="en-CA"/>
        </w:rPr>
      </w:pPr>
      <w:r w:rsidRPr="009F222C">
        <w:rPr>
          <w:lang w:val="en-CA"/>
        </w:rPr>
        <w:t>He rendered judgment on July 4, 2022.</w:t>
      </w:r>
      <w:r w:rsidR="00354272" w:rsidRPr="001A6BBA">
        <w:rPr>
          <w:lang w:val="en-CA"/>
        </w:rPr>
        <w:t xml:space="preserve"> </w:t>
      </w:r>
      <w:r w:rsidRPr="009F222C">
        <w:rPr>
          <w:lang w:val="en-CA"/>
        </w:rPr>
        <w:t xml:space="preserve">He dismissed the application for approval of the Agreement </w:t>
      </w:r>
      <w:r w:rsidR="00F02466">
        <w:rPr>
          <w:lang w:val="en-CA"/>
        </w:rPr>
        <w:t>on the ground that</w:t>
      </w:r>
      <w:r w:rsidRPr="009F222C">
        <w:rPr>
          <w:lang w:val="en-CA"/>
        </w:rPr>
        <w:t xml:space="preserve"> the </w:t>
      </w:r>
      <w:r w:rsidR="00D65514" w:rsidRPr="009F222C">
        <w:rPr>
          <w:lang w:val="en-CA"/>
        </w:rPr>
        <w:t xml:space="preserve">professional </w:t>
      </w:r>
      <w:r w:rsidRPr="009F222C">
        <w:rPr>
          <w:lang w:val="en-CA"/>
        </w:rPr>
        <w:t xml:space="preserve">fees of </w:t>
      </w:r>
      <w:r w:rsidR="00D65514" w:rsidRPr="009F222C">
        <w:rPr>
          <w:lang w:val="en-CA"/>
        </w:rPr>
        <w:t xml:space="preserve">the </w:t>
      </w:r>
      <w:r w:rsidRPr="009F222C">
        <w:rPr>
          <w:lang w:val="en-CA"/>
        </w:rPr>
        <w:t>class members</w:t>
      </w:r>
      <w:r w:rsidR="00D65514" w:rsidRPr="009F222C">
        <w:rPr>
          <w:lang w:val="en-CA"/>
        </w:rPr>
        <w:t>’ counsel</w:t>
      </w:r>
      <w:r w:rsidRPr="009F222C">
        <w:rPr>
          <w:lang w:val="en-CA"/>
        </w:rPr>
        <w:t xml:space="preserve"> were unreasonable.</w:t>
      </w:r>
    </w:p>
    <w:p w14:paraId="4C098683" w14:textId="528E1B46" w:rsidR="002E7C51" w:rsidRPr="001A6BBA" w:rsidRDefault="009F65B1" w:rsidP="002E7C51">
      <w:pPr>
        <w:pStyle w:val="Paragraphe"/>
        <w:spacing w:line="280" w:lineRule="exact"/>
        <w:rPr>
          <w:lang w:val="en-CA"/>
        </w:rPr>
      </w:pPr>
      <w:r>
        <w:rPr>
          <w:lang w:val="en-CA"/>
        </w:rPr>
        <w:t>O</w:t>
      </w:r>
      <w:r w:rsidRPr="009F222C">
        <w:rPr>
          <w:lang w:val="en-CA"/>
        </w:rPr>
        <w:t>n August 25, 2022</w:t>
      </w:r>
      <w:r>
        <w:rPr>
          <w:lang w:val="en-CA"/>
        </w:rPr>
        <w:t>, a</w:t>
      </w:r>
      <w:r w:rsidR="007C5C97" w:rsidRPr="009F222C">
        <w:rPr>
          <w:lang w:val="en-CA"/>
        </w:rPr>
        <w:t xml:space="preserve"> judge of th</w:t>
      </w:r>
      <w:r w:rsidR="006E25D8">
        <w:rPr>
          <w:lang w:val="en-CA"/>
        </w:rPr>
        <w:t>is</w:t>
      </w:r>
      <w:r w:rsidR="007C5C97" w:rsidRPr="009F222C">
        <w:rPr>
          <w:lang w:val="en-CA"/>
        </w:rPr>
        <w:t xml:space="preserve"> Court granted leave to appeal.</w:t>
      </w:r>
      <w:r w:rsidR="007C5C97" w:rsidRPr="001A6BBA">
        <w:rPr>
          <w:rStyle w:val="Appelnotedebasdep"/>
          <w:szCs w:val="24"/>
          <w:lang w:val="en-CA"/>
        </w:rPr>
        <w:footnoteReference w:id="5"/>
      </w:r>
    </w:p>
    <w:p w14:paraId="247A204A" w14:textId="0A79A3B4" w:rsidR="002E7C51" w:rsidRPr="001A6BBA" w:rsidRDefault="007C5C97" w:rsidP="002E7C51">
      <w:pPr>
        <w:pStyle w:val="Style1"/>
        <w:spacing w:before="120" w:after="120" w:line="280" w:lineRule="exact"/>
        <w:rPr>
          <w:lang w:val="en-CA"/>
        </w:rPr>
      </w:pPr>
      <w:r w:rsidRPr="001A6BBA">
        <w:rPr>
          <w:szCs w:val="24"/>
          <w:lang w:val="en-CA"/>
        </w:rPr>
        <w:t xml:space="preserve">Noting that the respondents did not intend to take part in a debate on the quantum of </w:t>
      </w:r>
      <w:r w:rsidR="00D65514" w:rsidRPr="001A6BBA">
        <w:rPr>
          <w:szCs w:val="24"/>
          <w:lang w:val="en-CA"/>
        </w:rPr>
        <w:t xml:space="preserve">professional </w:t>
      </w:r>
      <w:r w:rsidRPr="001A6BBA">
        <w:rPr>
          <w:szCs w:val="24"/>
          <w:lang w:val="en-CA"/>
        </w:rPr>
        <w:t xml:space="preserve">fees and that the </w:t>
      </w:r>
      <w:r w:rsidR="009F65B1" w:rsidRPr="001A6BBA">
        <w:rPr>
          <w:szCs w:val="24"/>
          <w:lang w:val="en-CA"/>
        </w:rPr>
        <w:t>dissenting member</w:t>
      </w:r>
      <w:r w:rsidRPr="001A6BBA">
        <w:rPr>
          <w:szCs w:val="24"/>
          <w:lang w:val="en-CA"/>
        </w:rPr>
        <w:t xml:space="preserve"> could not </w:t>
      </w:r>
      <w:r w:rsidRPr="001A6BBA">
        <w:rPr>
          <w:lang w:val="en-CA"/>
        </w:rPr>
        <w:t>[</w:t>
      </w:r>
      <w:r w:rsidRPr="001A6BBA">
        <w:rPr>
          <w:smallCaps/>
          <w:lang w:val="en-CA"/>
        </w:rPr>
        <w:t>translation]</w:t>
      </w:r>
      <w:r w:rsidRPr="001A6BBA">
        <w:rPr>
          <w:szCs w:val="24"/>
          <w:lang w:val="en-CA"/>
        </w:rPr>
        <w:t xml:space="preserve"> </w:t>
      </w:r>
      <w:r w:rsidR="000E14D0">
        <w:rPr>
          <w:szCs w:val="24"/>
          <w:lang w:val="en-CA"/>
        </w:rPr>
        <w:t>“</w:t>
      </w:r>
      <w:r w:rsidRPr="001A6BBA">
        <w:rPr>
          <w:szCs w:val="24"/>
          <w:lang w:val="en-CA"/>
        </w:rPr>
        <w:t xml:space="preserve">effectively take part in the appeal without the </w:t>
      </w:r>
      <w:r w:rsidR="00D65514" w:rsidRPr="001A6BBA">
        <w:rPr>
          <w:szCs w:val="24"/>
          <w:lang w:val="en-CA"/>
        </w:rPr>
        <w:t>assistance</w:t>
      </w:r>
      <w:r w:rsidRPr="001A6BBA">
        <w:rPr>
          <w:szCs w:val="24"/>
          <w:lang w:val="en-CA"/>
        </w:rPr>
        <w:t xml:space="preserve"> of a lawyer”, the </w:t>
      </w:r>
      <w:r w:rsidR="000E14D0">
        <w:rPr>
          <w:szCs w:val="24"/>
          <w:lang w:val="en-CA"/>
        </w:rPr>
        <w:t xml:space="preserve">Court of Appeal </w:t>
      </w:r>
      <w:r w:rsidRPr="001A6BBA">
        <w:rPr>
          <w:szCs w:val="24"/>
          <w:lang w:val="en-CA"/>
        </w:rPr>
        <w:t xml:space="preserve">judge concluded that the appointment of an </w:t>
      </w:r>
      <w:r w:rsidRPr="001A6BBA">
        <w:rPr>
          <w:i/>
          <w:szCs w:val="24"/>
          <w:lang w:val="en-CA"/>
        </w:rPr>
        <w:t>amicus</w:t>
      </w:r>
      <w:r w:rsidRPr="009F65B1">
        <w:rPr>
          <w:i/>
          <w:iCs/>
          <w:szCs w:val="24"/>
          <w:lang w:val="en-CA"/>
        </w:rPr>
        <w:t xml:space="preserve"> </w:t>
      </w:r>
      <w:r w:rsidR="009F65B1" w:rsidRPr="009F65B1">
        <w:rPr>
          <w:i/>
          <w:iCs/>
          <w:szCs w:val="24"/>
          <w:lang w:val="en-CA"/>
        </w:rPr>
        <w:t>curiae</w:t>
      </w:r>
      <w:r w:rsidRPr="001A6BBA">
        <w:rPr>
          <w:szCs w:val="24"/>
          <w:lang w:val="en-CA"/>
        </w:rPr>
        <w:t xml:space="preserve"> was necessary to </w:t>
      </w:r>
      <w:r w:rsidR="004E66E0">
        <w:rPr>
          <w:szCs w:val="24"/>
          <w:lang w:val="en-CA"/>
        </w:rPr>
        <w:t>counterbalance</w:t>
      </w:r>
      <w:r w:rsidRPr="001A6BBA">
        <w:rPr>
          <w:szCs w:val="24"/>
          <w:lang w:val="en-CA"/>
        </w:rPr>
        <w:t xml:space="preserve"> the submissions of the parties.</w:t>
      </w:r>
      <w:r w:rsidR="00354272" w:rsidRPr="001A6BBA">
        <w:rPr>
          <w:szCs w:val="24"/>
          <w:lang w:val="en-CA"/>
        </w:rPr>
        <w:t xml:space="preserve"> </w:t>
      </w:r>
      <w:r w:rsidRPr="001A6BBA">
        <w:rPr>
          <w:szCs w:val="24"/>
          <w:lang w:val="en-CA"/>
        </w:rPr>
        <w:t xml:space="preserve">It was impossible to obtain the </w:t>
      </w:r>
      <w:r w:rsidR="009F65B1" w:rsidRPr="001A6BBA">
        <w:rPr>
          <w:szCs w:val="24"/>
          <w:lang w:val="en-CA"/>
        </w:rPr>
        <w:t>dissenting member’s</w:t>
      </w:r>
      <w:r w:rsidRPr="001A6BBA">
        <w:rPr>
          <w:szCs w:val="24"/>
          <w:lang w:val="en-CA"/>
        </w:rPr>
        <w:t xml:space="preserve"> agreement on the choice of </w:t>
      </w:r>
      <w:r w:rsidR="009F65B1">
        <w:rPr>
          <w:szCs w:val="24"/>
          <w:lang w:val="en-CA"/>
        </w:rPr>
        <w:t>a lawyer</w:t>
      </w:r>
      <w:r w:rsidRPr="001A6BBA">
        <w:rPr>
          <w:szCs w:val="24"/>
          <w:lang w:val="en-CA"/>
        </w:rPr>
        <w:t xml:space="preserve"> to act as </w:t>
      </w:r>
      <w:r w:rsidR="00354272" w:rsidRPr="001A6BBA">
        <w:rPr>
          <w:i/>
          <w:iCs/>
          <w:szCs w:val="24"/>
          <w:lang w:val="en-CA"/>
        </w:rPr>
        <w:t>amicus curiae</w:t>
      </w:r>
      <w:r w:rsidR="004E66E0">
        <w:rPr>
          <w:szCs w:val="24"/>
          <w:lang w:val="en-CA"/>
        </w:rPr>
        <w:t>,</w:t>
      </w:r>
      <w:r w:rsidR="00354272" w:rsidRPr="001A6BBA">
        <w:rPr>
          <w:szCs w:val="24"/>
          <w:lang w:val="en-CA"/>
        </w:rPr>
        <w:t xml:space="preserve"> </w:t>
      </w:r>
      <w:r w:rsidRPr="001A6BBA">
        <w:rPr>
          <w:szCs w:val="24"/>
          <w:lang w:val="en-CA"/>
        </w:rPr>
        <w:t xml:space="preserve">because the </w:t>
      </w:r>
      <w:r w:rsidR="004D68FF" w:rsidRPr="001A6BBA">
        <w:rPr>
          <w:szCs w:val="24"/>
          <w:lang w:val="en-CA"/>
        </w:rPr>
        <w:t>dissenting member</w:t>
      </w:r>
      <w:r w:rsidRPr="001A6BBA">
        <w:rPr>
          <w:szCs w:val="24"/>
          <w:lang w:val="en-CA"/>
        </w:rPr>
        <w:t xml:space="preserve"> believed that </w:t>
      </w:r>
      <w:r w:rsidR="009F65B1">
        <w:rPr>
          <w:szCs w:val="24"/>
          <w:lang w:val="en-CA"/>
        </w:rPr>
        <w:t>any</w:t>
      </w:r>
      <w:r w:rsidRPr="001A6BBA">
        <w:rPr>
          <w:szCs w:val="24"/>
          <w:lang w:val="en-CA"/>
        </w:rPr>
        <w:t xml:space="preserve"> member of the Bar </w:t>
      </w:r>
      <w:r w:rsidR="009F65B1">
        <w:rPr>
          <w:szCs w:val="24"/>
          <w:lang w:val="en-CA"/>
        </w:rPr>
        <w:t>would be</w:t>
      </w:r>
      <w:r w:rsidRPr="001A6BBA">
        <w:rPr>
          <w:szCs w:val="24"/>
          <w:lang w:val="en-CA"/>
        </w:rPr>
        <w:t xml:space="preserve"> in a conflict of interest since </w:t>
      </w:r>
      <w:r w:rsidR="009F65B1">
        <w:rPr>
          <w:szCs w:val="24"/>
          <w:lang w:val="en-CA"/>
        </w:rPr>
        <w:t xml:space="preserve">the matter </w:t>
      </w:r>
      <w:r w:rsidR="00D65514" w:rsidRPr="001A6BBA">
        <w:rPr>
          <w:szCs w:val="24"/>
          <w:lang w:val="en-CA"/>
        </w:rPr>
        <w:t>involved</w:t>
      </w:r>
      <w:r w:rsidRPr="001A6BBA">
        <w:rPr>
          <w:szCs w:val="24"/>
          <w:lang w:val="en-CA"/>
        </w:rPr>
        <w:t xml:space="preserve"> </w:t>
      </w:r>
      <w:r w:rsidR="00D65514" w:rsidRPr="001A6BBA">
        <w:rPr>
          <w:szCs w:val="24"/>
          <w:lang w:val="en-CA"/>
        </w:rPr>
        <w:t xml:space="preserve">professional </w:t>
      </w:r>
      <w:r w:rsidRPr="001A6BBA">
        <w:rPr>
          <w:szCs w:val="24"/>
          <w:lang w:val="en-CA"/>
        </w:rPr>
        <w:t xml:space="preserve">fees. The Court </w:t>
      </w:r>
      <w:r w:rsidR="000E14D0">
        <w:rPr>
          <w:szCs w:val="24"/>
          <w:lang w:val="en-CA"/>
        </w:rPr>
        <w:t xml:space="preserve">of Appeal </w:t>
      </w:r>
      <w:r w:rsidRPr="001A6BBA">
        <w:rPr>
          <w:szCs w:val="24"/>
          <w:lang w:val="en-CA"/>
        </w:rPr>
        <w:t xml:space="preserve">judge </w:t>
      </w:r>
      <w:r w:rsidR="004E66E0" w:rsidRPr="001A6BBA">
        <w:rPr>
          <w:szCs w:val="24"/>
          <w:lang w:val="en-CA"/>
        </w:rPr>
        <w:t xml:space="preserve">therefore </w:t>
      </w:r>
      <w:r w:rsidR="009F65B1" w:rsidRPr="001A6BBA">
        <w:rPr>
          <w:szCs w:val="24"/>
          <w:lang w:val="en-CA"/>
        </w:rPr>
        <w:t>authorized</w:t>
      </w:r>
      <w:r w:rsidRPr="001A6BBA">
        <w:rPr>
          <w:szCs w:val="24"/>
          <w:lang w:val="en-CA"/>
        </w:rPr>
        <w:t xml:space="preserve"> the </w:t>
      </w:r>
      <w:r w:rsidRPr="001A6BBA">
        <w:rPr>
          <w:szCs w:val="24"/>
          <w:lang w:val="en-CA"/>
        </w:rPr>
        <w:lastRenderedPageBreak/>
        <w:t>appellant to chose from a list of three lawyers</w:t>
      </w:r>
      <w:r w:rsidR="004E66E0">
        <w:rPr>
          <w:szCs w:val="24"/>
          <w:lang w:val="en-CA"/>
        </w:rPr>
        <w:t>,</w:t>
      </w:r>
      <w:r w:rsidRPr="001A6BBA">
        <w:rPr>
          <w:szCs w:val="24"/>
          <w:lang w:val="en-CA"/>
        </w:rPr>
        <w:t xml:space="preserve"> whose names were provided to the Court beforehand.</w:t>
      </w:r>
      <w:r w:rsidRPr="001A6BBA">
        <w:rPr>
          <w:rStyle w:val="Appelnotedebasdep"/>
          <w:szCs w:val="24"/>
          <w:lang w:val="en-CA"/>
        </w:rPr>
        <w:footnoteReference w:id="6"/>
      </w:r>
    </w:p>
    <w:p w14:paraId="7C358268" w14:textId="1E4149C7" w:rsidR="002E7C51" w:rsidRPr="009F222C" w:rsidRDefault="007C5C97" w:rsidP="002E7C51">
      <w:pPr>
        <w:pStyle w:val="Titre1"/>
        <w:numPr>
          <w:ilvl w:val="0"/>
          <w:numId w:val="23"/>
        </w:numPr>
        <w:spacing w:line="280" w:lineRule="exact"/>
        <w:ind w:left="0" w:firstLine="0"/>
        <w:rPr>
          <w:lang w:val="en-CA"/>
        </w:rPr>
      </w:pPr>
      <w:r w:rsidRPr="009F222C">
        <w:rPr>
          <w:lang w:val="en-CA"/>
        </w:rPr>
        <w:t>JUDGMENT UNDER APPEAL</w:t>
      </w:r>
    </w:p>
    <w:p w14:paraId="2BD8D395" w14:textId="6E2840E6" w:rsidR="002E7C51" w:rsidRPr="001A6BBA" w:rsidRDefault="007C5C97" w:rsidP="002E7C51">
      <w:pPr>
        <w:pStyle w:val="Style1"/>
        <w:spacing w:before="120" w:after="120" w:line="280" w:lineRule="exact"/>
        <w:rPr>
          <w:lang w:val="en-CA"/>
        </w:rPr>
      </w:pPr>
      <w:r w:rsidRPr="001A6BBA">
        <w:rPr>
          <w:lang w:val="en-CA"/>
        </w:rPr>
        <w:t xml:space="preserve">The judge reviewed the </w:t>
      </w:r>
      <w:r w:rsidR="00FB328F">
        <w:rPr>
          <w:lang w:val="en-CA"/>
        </w:rPr>
        <w:t>criteria</w:t>
      </w:r>
      <w:r w:rsidR="008F6BF9" w:rsidRPr="001A6BBA">
        <w:rPr>
          <w:lang w:val="en-CA"/>
        </w:rPr>
        <w:t xml:space="preserve"> </w:t>
      </w:r>
      <w:r w:rsidRPr="001A6BBA">
        <w:rPr>
          <w:lang w:val="en-CA"/>
        </w:rPr>
        <w:t xml:space="preserve">developed by the courts to assess </w:t>
      </w:r>
      <w:r w:rsidR="00E74A4A">
        <w:rPr>
          <w:lang w:val="en-CA"/>
        </w:rPr>
        <w:t xml:space="preserve">whether a class action transaction should be approved. </w:t>
      </w:r>
      <w:r w:rsidRPr="009F222C">
        <w:rPr>
          <w:lang w:val="en-CA"/>
        </w:rPr>
        <w:t>Overall, he accepted that these factors (length of the dispute</w:t>
      </w:r>
      <w:r w:rsidR="004E66E0">
        <w:rPr>
          <w:lang w:val="en-CA"/>
        </w:rPr>
        <w:t>;</w:t>
      </w:r>
      <w:r w:rsidRPr="009F222C">
        <w:rPr>
          <w:lang w:val="en-CA"/>
        </w:rPr>
        <w:t xml:space="preserve"> inclusive nature and advantages of the Agreement</w:t>
      </w:r>
      <w:r w:rsidR="004E66E0">
        <w:rPr>
          <w:lang w:val="en-CA"/>
        </w:rPr>
        <w:t>;</w:t>
      </w:r>
      <w:r w:rsidRPr="009F222C">
        <w:rPr>
          <w:lang w:val="en-CA"/>
        </w:rPr>
        <w:t xml:space="preserve"> counsel’s experience</w:t>
      </w:r>
      <w:r w:rsidR="004E66E0">
        <w:rPr>
          <w:lang w:val="en-CA"/>
        </w:rPr>
        <w:t>;</w:t>
      </w:r>
      <w:r w:rsidRPr="009F222C">
        <w:rPr>
          <w:lang w:val="en-CA"/>
        </w:rPr>
        <w:t xml:space="preserve"> testimony of class members, other than the dissenting member</w:t>
      </w:r>
      <w:r w:rsidR="004E66E0">
        <w:rPr>
          <w:lang w:val="en-CA"/>
        </w:rPr>
        <w:t>;</w:t>
      </w:r>
      <w:r w:rsidRPr="009F222C">
        <w:rPr>
          <w:lang w:val="en-CA"/>
        </w:rPr>
        <w:t xml:space="preserve"> counsel’s dedication to class members</w:t>
      </w:r>
      <w:r w:rsidR="004E66E0">
        <w:rPr>
          <w:lang w:val="en-CA"/>
        </w:rPr>
        <w:t>;</w:t>
      </w:r>
      <w:r w:rsidRPr="009F222C">
        <w:rPr>
          <w:lang w:val="en-CA"/>
        </w:rPr>
        <w:t xml:space="preserve"> and the absence of collusion between the parties)</w:t>
      </w:r>
      <w:r w:rsidR="00354272" w:rsidRPr="001A6BBA">
        <w:rPr>
          <w:lang w:val="en-CA"/>
        </w:rPr>
        <w:t xml:space="preserve"> </w:t>
      </w:r>
      <w:r w:rsidRPr="001A6BBA">
        <w:rPr>
          <w:lang w:val="en-CA"/>
        </w:rPr>
        <w:t>weighed in favour of approv</w:t>
      </w:r>
      <w:r w:rsidR="00E74A4A">
        <w:rPr>
          <w:lang w:val="en-CA"/>
        </w:rPr>
        <w:t>ing</w:t>
      </w:r>
      <w:r w:rsidRPr="001A6BBA">
        <w:rPr>
          <w:lang w:val="en-CA"/>
        </w:rPr>
        <w:t xml:space="preserve"> the Agreement.</w:t>
      </w:r>
    </w:p>
    <w:p w14:paraId="3839C216" w14:textId="79108778" w:rsidR="002E7C51" w:rsidRPr="001A6BBA" w:rsidRDefault="007C5C97" w:rsidP="002E7C51">
      <w:pPr>
        <w:pStyle w:val="Style1"/>
        <w:spacing w:before="120" w:after="120" w:line="280" w:lineRule="exact"/>
        <w:rPr>
          <w:lang w:val="en-CA"/>
        </w:rPr>
      </w:pPr>
      <w:r w:rsidRPr="009F222C">
        <w:rPr>
          <w:lang w:val="en-CA"/>
        </w:rPr>
        <w:t xml:space="preserve">The judge then examined the application for approval of </w:t>
      </w:r>
      <w:r w:rsidR="008F6BF9">
        <w:rPr>
          <w:lang w:val="en-CA"/>
        </w:rPr>
        <w:t>class counsel’s</w:t>
      </w:r>
      <w:r w:rsidR="008F6BF9" w:rsidRPr="009F222C">
        <w:rPr>
          <w:lang w:val="en-CA"/>
        </w:rPr>
        <w:t xml:space="preserve"> </w:t>
      </w:r>
      <w:r w:rsidR="00D65514" w:rsidRPr="009F222C">
        <w:rPr>
          <w:lang w:val="en-CA"/>
        </w:rPr>
        <w:t xml:space="preserve">professional </w:t>
      </w:r>
      <w:r w:rsidRPr="009F222C">
        <w:rPr>
          <w:lang w:val="en-CA"/>
        </w:rPr>
        <w:t>fees</w:t>
      </w:r>
      <w:r w:rsidR="00E74A4A">
        <w:rPr>
          <w:lang w:val="en-CA"/>
        </w:rPr>
        <w:t>.</w:t>
      </w:r>
      <w:r w:rsidR="00354272" w:rsidRPr="001A6BBA">
        <w:rPr>
          <w:lang w:val="en-CA"/>
        </w:rPr>
        <w:t xml:space="preserve"> </w:t>
      </w:r>
      <w:r w:rsidRPr="001A6BBA">
        <w:rPr>
          <w:lang w:val="en-CA"/>
        </w:rPr>
        <w:t xml:space="preserve">With respect to the </w:t>
      </w:r>
      <w:r w:rsidR="00E74A4A" w:rsidRPr="001A6BBA">
        <w:rPr>
          <w:lang w:val="en-CA"/>
        </w:rPr>
        <w:t>dissenting member’s</w:t>
      </w:r>
      <w:r w:rsidRPr="001A6BBA">
        <w:rPr>
          <w:lang w:val="en-CA"/>
        </w:rPr>
        <w:t xml:space="preserve"> objection, the judge noted that his dissatisfaction appeared to stem, at least in part, from his misconception that counsel had not listened to his questions and concerns.</w:t>
      </w:r>
      <w:r w:rsidR="00354272" w:rsidRPr="001A6BBA">
        <w:rPr>
          <w:lang w:val="en-CA"/>
        </w:rPr>
        <w:t xml:space="preserve"> </w:t>
      </w:r>
      <w:r w:rsidRPr="001A6BBA">
        <w:rPr>
          <w:lang w:val="en-CA"/>
        </w:rPr>
        <w:t xml:space="preserve">In addition, the </w:t>
      </w:r>
      <w:r w:rsidR="00E74A4A" w:rsidRPr="001A6BBA">
        <w:rPr>
          <w:lang w:val="en-CA"/>
        </w:rPr>
        <w:t>dissenting member</w:t>
      </w:r>
      <w:r w:rsidRPr="001A6BBA">
        <w:rPr>
          <w:lang w:val="en-CA"/>
        </w:rPr>
        <w:t xml:space="preserve"> [</w:t>
      </w:r>
      <w:r w:rsidRPr="001A6BBA">
        <w:rPr>
          <w:smallCaps/>
          <w:lang w:val="en-CA"/>
        </w:rPr>
        <w:t>translation]</w:t>
      </w:r>
      <w:r w:rsidRPr="001A6BBA">
        <w:rPr>
          <w:lang w:val="en-CA"/>
        </w:rPr>
        <w:t xml:space="preserve"> “</w:t>
      </w:r>
      <w:r w:rsidR="00E74A4A">
        <w:rPr>
          <w:lang w:val="en-CA"/>
        </w:rPr>
        <w:t>does</w:t>
      </w:r>
      <w:r w:rsidRPr="001A6BBA">
        <w:rPr>
          <w:lang w:val="en-CA"/>
        </w:rPr>
        <w:t xml:space="preserve"> not understand </w:t>
      </w:r>
      <w:r w:rsidR="00E74A4A">
        <w:rPr>
          <w:lang w:val="en-CA"/>
        </w:rPr>
        <w:t>that</w:t>
      </w:r>
      <w:r w:rsidRPr="001A6BBA">
        <w:rPr>
          <w:lang w:val="en-CA"/>
        </w:rPr>
        <w:t xml:space="preserve"> it </w:t>
      </w:r>
      <w:r w:rsidR="00E74A4A">
        <w:rPr>
          <w:lang w:val="en-CA"/>
        </w:rPr>
        <w:t>is</w:t>
      </w:r>
      <w:r w:rsidRPr="001A6BBA">
        <w:rPr>
          <w:lang w:val="en-CA"/>
        </w:rPr>
        <w:t xml:space="preserve"> common practice in class actions to sign</w:t>
      </w:r>
      <w:r w:rsidR="00E74A4A">
        <w:rPr>
          <w:lang w:val="en-CA"/>
        </w:rPr>
        <w:t xml:space="preserve"> professional</w:t>
      </w:r>
      <w:r w:rsidRPr="001A6BBA">
        <w:rPr>
          <w:lang w:val="en-CA"/>
        </w:rPr>
        <w:t xml:space="preserve"> fee agreements </w:t>
      </w:r>
      <w:r w:rsidR="00022B93">
        <w:rPr>
          <w:lang w:val="en-CA"/>
        </w:rPr>
        <w:t xml:space="preserve">that </w:t>
      </w:r>
      <w:r w:rsidR="008F6BF9">
        <w:rPr>
          <w:lang w:val="en-CA"/>
        </w:rPr>
        <w:t>must</w:t>
      </w:r>
      <w:r w:rsidR="00E74A4A">
        <w:rPr>
          <w:lang w:val="en-CA"/>
        </w:rPr>
        <w:t xml:space="preserve"> </w:t>
      </w:r>
      <w:r w:rsidRPr="001A6BBA">
        <w:rPr>
          <w:lang w:val="en-CA"/>
        </w:rPr>
        <w:t>ultimately be submitted to the Court”.</w:t>
      </w:r>
      <w:r w:rsidRPr="001A6BBA">
        <w:rPr>
          <w:rStyle w:val="Appelnotedebasdep"/>
          <w:lang w:val="en-CA"/>
        </w:rPr>
        <w:footnoteReference w:id="7"/>
      </w:r>
      <w:r w:rsidR="00354272" w:rsidRPr="001A6BBA">
        <w:rPr>
          <w:lang w:val="en-CA"/>
        </w:rPr>
        <w:t xml:space="preserve"> </w:t>
      </w:r>
      <w:r w:rsidRPr="001A6BBA">
        <w:rPr>
          <w:lang w:val="en-CA"/>
        </w:rPr>
        <w:t xml:space="preserve">The </w:t>
      </w:r>
      <w:r w:rsidR="00E74A4A" w:rsidRPr="001A6BBA">
        <w:rPr>
          <w:lang w:val="en-CA"/>
        </w:rPr>
        <w:t>dissenting member’s</w:t>
      </w:r>
      <w:r w:rsidRPr="001A6BBA">
        <w:rPr>
          <w:lang w:val="en-CA"/>
        </w:rPr>
        <w:t xml:space="preserve"> dissatisfaction, however, cannot </w:t>
      </w:r>
      <w:r w:rsidR="00E74A4A">
        <w:rPr>
          <w:lang w:val="en-CA"/>
        </w:rPr>
        <w:t>prevail</w:t>
      </w:r>
      <w:r w:rsidRPr="001A6BBA">
        <w:rPr>
          <w:lang w:val="en-CA"/>
        </w:rPr>
        <w:t xml:space="preserve"> over the collective interest of class members.</w:t>
      </w:r>
      <w:r w:rsidRPr="001A6BBA">
        <w:rPr>
          <w:rStyle w:val="Appelnotedebasdep"/>
          <w:lang w:val="en-CA"/>
        </w:rPr>
        <w:footnoteReference w:id="8"/>
      </w:r>
    </w:p>
    <w:p w14:paraId="1AD7A05C" w14:textId="14887557" w:rsidR="002E7C51" w:rsidRPr="001A6BBA" w:rsidRDefault="007C5C97" w:rsidP="002E7C51">
      <w:pPr>
        <w:pStyle w:val="Style1"/>
        <w:spacing w:before="120" w:after="120" w:line="280" w:lineRule="exact"/>
        <w:rPr>
          <w:lang w:val="en-CA"/>
        </w:rPr>
      </w:pPr>
      <w:r w:rsidRPr="001A6BBA">
        <w:rPr>
          <w:lang w:val="en-CA"/>
        </w:rPr>
        <w:t xml:space="preserve">The judge recalled that the </w:t>
      </w:r>
      <w:r w:rsidR="004E6A6C">
        <w:rPr>
          <w:lang w:val="en-CA"/>
        </w:rPr>
        <w:t xml:space="preserve">professional </w:t>
      </w:r>
      <w:r w:rsidRPr="001A6BBA">
        <w:rPr>
          <w:lang w:val="en-CA"/>
        </w:rPr>
        <w:t xml:space="preserve">fee agreement is presumed valid and can be set aside only if it is established that it is not </w:t>
      </w:r>
      <w:r w:rsidR="0046336F">
        <w:rPr>
          <w:lang w:val="en-CA"/>
        </w:rPr>
        <w:t>fair</w:t>
      </w:r>
      <w:r w:rsidRPr="001A6BBA">
        <w:rPr>
          <w:lang w:val="en-CA"/>
        </w:rPr>
        <w:t xml:space="preserve"> and reasonable.</w:t>
      </w:r>
      <w:r w:rsidR="00354272" w:rsidRPr="001A6BBA">
        <w:rPr>
          <w:lang w:val="en-CA"/>
        </w:rPr>
        <w:t xml:space="preserve"> </w:t>
      </w:r>
      <w:r w:rsidRPr="001A6BBA">
        <w:rPr>
          <w:lang w:val="en-CA"/>
        </w:rPr>
        <w:t xml:space="preserve">Relying on </w:t>
      </w:r>
      <w:r w:rsidRPr="001A6BBA">
        <w:rPr>
          <w:i/>
          <w:lang w:val="en-CA"/>
        </w:rPr>
        <w:t>Servites de Marie</w:t>
      </w:r>
      <w:r w:rsidR="0046336F">
        <w:rPr>
          <w:iCs/>
          <w:lang w:val="en-CA"/>
        </w:rPr>
        <w:t>,</w:t>
      </w:r>
      <w:r w:rsidRPr="001A6BBA">
        <w:rPr>
          <w:rStyle w:val="Appelnotedebasdep"/>
          <w:lang w:val="en-CA"/>
        </w:rPr>
        <w:footnoteReference w:id="9"/>
      </w:r>
      <w:r w:rsidRPr="001A6BBA">
        <w:rPr>
          <w:lang w:val="en-CA"/>
        </w:rPr>
        <w:t xml:space="preserve"> in which the Superior Court approved </w:t>
      </w:r>
      <w:r w:rsidR="00D65514" w:rsidRPr="001A6BBA">
        <w:rPr>
          <w:lang w:val="en-CA"/>
        </w:rPr>
        <w:t xml:space="preserve">professional </w:t>
      </w:r>
      <w:r w:rsidRPr="001A6BBA">
        <w:rPr>
          <w:lang w:val="en-CA"/>
        </w:rPr>
        <w:t>fees representing 30% of the settlement fund, the judge acknowledged that a law firm that takes on a class action to compensate sexual assault victims [</w:t>
      </w:r>
      <w:r w:rsidRPr="001A6BBA">
        <w:rPr>
          <w:smallCaps/>
          <w:lang w:val="en-CA"/>
        </w:rPr>
        <w:t>translation]</w:t>
      </w:r>
      <w:r w:rsidRPr="001A6BBA">
        <w:rPr>
          <w:lang w:val="en-CA"/>
        </w:rPr>
        <w:t xml:space="preserve"> “embarks on a </w:t>
      </w:r>
      <w:r w:rsidR="004E6A6C">
        <w:rPr>
          <w:lang w:val="en-CA"/>
        </w:rPr>
        <w:t>journey</w:t>
      </w:r>
      <w:r w:rsidRPr="001A6BBA">
        <w:rPr>
          <w:lang w:val="en-CA"/>
        </w:rPr>
        <w:t xml:space="preserve"> full of uncertainty”.</w:t>
      </w:r>
      <w:r w:rsidRPr="001A6BBA">
        <w:rPr>
          <w:rStyle w:val="Appelnotedebasdep"/>
          <w:lang w:val="en-CA"/>
        </w:rPr>
        <w:footnoteReference w:id="10"/>
      </w:r>
      <w:r w:rsidR="00354272" w:rsidRPr="001A6BBA">
        <w:rPr>
          <w:lang w:val="en-CA"/>
        </w:rPr>
        <w:t xml:space="preserve"> </w:t>
      </w:r>
      <w:r w:rsidRPr="001A6BBA">
        <w:rPr>
          <w:lang w:val="en-CA"/>
        </w:rPr>
        <w:t>The judge noted that certain aspects of the two cases were comparable, namely the number of hours the lawyers spent on the file.</w:t>
      </w:r>
      <w:r w:rsidR="00354272" w:rsidRPr="001A6BBA">
        <w:rPr>
          <w:lang w:val="en-CA"/>
        </w:rPr>
        <w:t xml:space="preserve"> </w:t>
      </w:r>
      <w:r w:rsidRPr="001A6BBA">
        <w:rPr>
          <w:lang w:val="en-CA"/>
        </w:rPr>
        <w:t>He concluded, however, that the two cases must be distinguished with respect to the value of the hours</w:t>
      </w:r>
      <w:r w:rsidR="00E13EB8">
        <w:rPr>
          <w:lang w:val="en-CA"/>
        </w:rPr>
        <w:t xml:space="preserve"> worked</w:t>
      </w:r>
      <w:r w:rsidRPr="001A6BBA">
        <w:rPr>
          <w:lang w:val="en-CA"/>
        </w:rPr>
        <w:t xml:space="preserve"> in relation to the amount claimed under the</w:t>
      </w:r>
      <w:r w:rsidR="004E6A6C">
        <w:rPr>
          <w:lang w:val="en-CA"/>
        </w:rPr>
        <w:t xml:space="preserve"> professional</w:t>
      </w:r>
      <w:r w:rsidRPr="001A6BBA">
        <w:rPr>
          <w:lang w:val="en-CA"/>
        </w:rPr>
        <w:t xml:space="preserve"> fee agreement.</w:t>
      </w:r>
      <w:r w:rsidRPr="001A6BBA">
        <w:rPr>
          <w:rStyle w:val="Appelnotedebasdep"/>
          <w:lang w:val="en-CA"/>
        </w:rPr>
        <w:footnoteReference w:id="11"/>
      </w:r>
      <w:r w:rsidR="00354272" w:rsidRPr="001A6BBA">
        <w:rPr>
          <w:lang w:val="en-CA"/>
        </w:rPr>
        <w:t xml:space="preserve"> </w:t>
      </w:r>
      <w:r w:rsidRPr="001A6BBA">
        <w:rPr>
          <w:lang w:val="en-CA"/>
        </w:rPr>
        <w:t xml:space="preserve">In this case, </w:t>
      </w:r>
      <w:r w:rsidR="004E6A6C">
        <w:rPr>
          <w:lang w:val="en-CA"/>
        </w:rPr>
        <w:t>counsel</w:t>
      </w:r>
      <w:r w:rsidRPr="001A6BBA">
        <w:rPr>
          <w:lang w:val="en-CA"/>
        </w:rPr>
        <w:t xml:space="preserve"> spent 3,479 hours on the file and estimate that there is at least 800 hours of work left to do.</w:t>
      </w:r>
      <w:r w:rsidR="00354272" w:rsidRPr="001A6BBA">
        <w:rPr>
          <w:lang w:val="en-CA"/>
        </w:rPr>
        <w:t xml:space="preserve"> </w:t>
      </w:r>
      <w:r w:rsidRPr="001A6BBA">
        <w:rPr>
          <w:lang w:val="en-CA"/>
        </w:rPr>
        <w:t xml:space="preserve">According to the judge’s estimate, that work </w:t>
      </w:r>
      <w:r w:rsidR="004E6A6C">
        <w:rPr>
          <w:lang w:val="en-CA"/>
        </w:rPr>
        <w:t>represents</w:t>
      </w:r>
      <w:r w:rsidRPr="001A6BBA">
        <w:rPr>
          <w:lang w:val="en-CA"/>
        </w:rPr>
        <w:t xml:space="preserve"> approximately $1,509,686 in </w:t>
      </w:r>
      <w:r w:rsidR="00D65514" w:rsidRPr="001A6BBA">
        <w:rPr>
          <w:lang w:val="en-CA"/>
        </w:rPr>
        <w:t xml:space="preserve">professional </w:t>
      </w:r>
      <w:r w:rsidRPr="001A6BBA">
        <w:rPr>
          <w:lang w:val="en-CA"/>
        </w:rPr>
        <w:t>fees, using the hourly rate formula (and the hourly rates disclosed by counsel).</w:t>
      </w:r>
      <w:r w:rsidR="004E6A6C" w:rsidRPr="001A6BBA">
        <w:rPr>
          <w:rStyle w:val="Appelnotedebasdep"/>
          <w:lang w:val="en-CA"/>
        </w:rPr>
        <w:footnoteReference w:id="12"/>
      </w:r>
      <w:r w:rsidR="00354272" w:rsidRPr="001A6BBA">
        <w:rPr>
          <w:lang w:val="en-CA"/>
        </w:rPr>
        <w:t xml:space="preserve"> </w:t>
      </w:r>
      <w:r w:rsidRPr="001A6BBA">
        <w:rPr>
          <w:lang w:val="en-CA"/>
        </w:rPr>
        <w:t xml:space="preserve">The judge admitted, however, that </w:t>
      </w:r>
      <w:r w:rsidR="00E13EB8">
        <w:rPr>
          <w:lang w:val="en-CA"/>
        </w:rPr>
        <w:t xml:space="preserve">he was concerned by </w:t>
      </w:r>
      <w:r w:rsidRPr="001A6BBA">
        <w:rPr>
          <w:lang w:val="en-CA"/>
        </w:rPr>
        <w:t>the</w:t>
      </w:r>
      <w:r w:rsidR="004E6A6C">
        <w:rPr>
          <w:lang w:val="en-CA"/>
        </w:rPr>
        <w:t xml:space="preserve"> way</w:t>
      </w:r>
      <w:r w:rsidRPr="001A6BBA">
        <w:rPr>
          <w:lang w:val="en-CA"/>
        </w:rPr>
        <w:t xml:space="preserve"> those rates were </w:t>
      </w:r>
      <w:r w:rsidR="004E6A6C">
        <w:rPr>
          <w:lang w:val="en-CA"/>
        </w:rPr>
        <w:t xml:space="preserve">communicated to </w:t>
      </w:r>
      <w:r w:rsidR="00E13EB8">
        <w:rPr>
          <w:lang w:val="en-CA"/>
        </w:rPr>
        <w:t>him</w:t>
      </w:r>
      <w:r w:rsidRPr="001A6BBA">
        <w:rPr>
          <w:lang w:val="en-CA"/>
        </w:rPr>
        <w:t>:</w:t>
      </w:r>
    </w:p>
    <w:p w14:paraId="17ECE119" w14:textId="54A4C602" w:rsidR="004E6A6C" w:rsidRDefault="004E6A6C" w:rsidP="0046336F">
      <w:pPr>
        <w:keepNext/>
        <w:spacing w:before="120" w:after="120"/>
        <w:ind w:left="720" w:right="720"/>
        <w:jc w:val="both"/>
        <w:rPr>
          <w:rFonts w:cs="Arial"/>
          <w:color w:val="000000"/>
          <w:sz w:val="22"/>
          <w:szCs w:val="22"/>
          <w:lang w:val="en-CA" w:eastAsia="fr-CA"/>
        </w:rPr>
      </w:pPr>
      <w:r>
        <w:rPr>
          <w:rFonts w:cs="Arial"/>
          <w:color w:val="000000"/>
          <w:sz w:val="22"/>
          <w:szCs w:val="22"/>
          <w:lang w:val="en-CA" w:eastAsia="fr-CA"/>
        </w:rPr>
        <w:lastRenderedPageBreak/>
        <w:t>[</w:t>
      </w:r>
      <w:r w:rsidRPr="004E6A6C">
        <w:rPr>
          <w:rFonts w:cs="Arial"/>
          <w:smallCaps/>
          <w:color w:val="000000"/>
          <w:sz w:val="22"/>
          <w:szCs w:val="22"/>
          <w:lang w:val="en-CA" w:eastAsia="fr-CA"/>
        </w:rPr>
        <w:t>t</w:t>
      </w:r>
      <w:r w:rsidR="007C5C97" w:rsidRPr="004E6A6C">
        <w:rPr>
          <w:rFonts w:cs="Arial"/>
          <w:smallCaps/>
          <w:color w:val="000000"/>
          <w:sz w:val="22"/>
          <w:szCs w:val="22"/>
          <w:lang w:val="en-CA" w:eastAsia="fr-CA"/>
        </w:rPr>
        <w:t>ranslation</w:t>
      </w:r>
      <w:r>
        <w:rPr>
          <w:rFonts w:cs="Arial"/>
          <w:color w:val="000000"/>
          <w:sz w:val="22"/>
          <w:szCs w:val="22"/>
          <w:lang w:val="en-CA" w:eastAsia="fr-CA"/>
        </w:rPr>
        <w:t>]</w:t>
      </w:r>
    </w:p>
    <w:p w14:paraId="5D2F9F25" w14:textId="1D2574C5" w:rsidR="002E7C51" w:rsidRPr="001A6BBA" w:rsidRDefault="007C5C97" w:rsidP="0046336F">
      <w:pPr>
        <w:keepNext/>
        <w:spacing w:before="120" w:after="120"/>
        <w:ind w:left="720" w:right="720"/>
        <w:jc w:val="both"/>
        <w:rPr>
          <w:rFonts w:cs="Arial"/>
          <w:color w:val="000000"/>
          <w:sz w:val="22"/>
          <w:szCs w:val="22"/>
          <w:lang w:val="en-CA" w:eastAsia="fr-CA"/>
        </w:rPr>
      </w:pPr>
      <w:r w:rsidRPr="001A6BBA">
        <w:rPr>
          <w:rFonts w:cs="Arial"/>
          <w:color w:val="000000"/>
          <w:sz w:val="22"/>
          <w:szCs w:val="22"/>
          <w:lang w:val="en-CA" w:eastAsia="fr-CA"/>
        </w:rPr>
        <w:t>[53]   On April 12, [the Court] received an Excel spreadsheet of each lawyer</w:t>
      </w:r>
      <w:r w:rsidR="004E6A6C">
        <w:rPr>
          <w:rFonts w:cs="Arial"/>
          <w:color w:val="000000"/>
          <w:sz w:val="22"/>
          <w:szCs w:val="22"/>
          <w:lang w:val="en-CA" w:eastAsia="fr-CA"/>
        </w:rPr>
        <w:t>’s hours</w:t>
      </w:r>
      <w:r w:rsidRPr="001A6BBA">
        <w:rPr>
          <w:rFonts w:cs="Arial"/>
          <w:color w:val="000000"/>
          <w:sz w:val="22"/>
          <w:szCs w:val="22"/>
          <w:lang w:val="en-CA" w:eastAsia="fr-CA"/>
        </w:rPr>
        <w:t xml:space="preserve"> and a description of the tasks performed.</w:t>
      </w:r>
      <w:r w:rsidR="00354272" w:rsidRPr="001A6BBA">
        <w:rPr>
          <w:rFonts w:cs="Arial"/>
          <w:color w:val="000000"/>
          <w:sz w:val="22"/>
          <w:szCs w:val="22"/>
          <w:lang w:val="en-CA" w:eastAsia="fr-CA"/>
        </w:rPr>
        <w:t xml:space="preserve"> </w:t>
      </w:r>
      <w:r w:rsidRPr="009F222C">
        <w:rPr>
          <w:rFonts w:cs="Arial"/>
          <w:color w:val="000000"/>
          <w:sz w:val="22"/>
          <w:szCs w:val="22"/>
          <w:lang w:val="en-CA" w:eastAsia="fr-CA"/>
        </w:rPr>
        <w:t xml:space="preserve">The Court does not question the </w:t>
      </w:r>
      <w:r w:rsidR="004E6A6C">
        <w:rPr>
          <w:rFonts w:cs="Arial"/>
          <w:color w:val="000000"/>
          <w:sz w:val="22"/>
          <w:szCs w:val="22"/>
          <w:lang w:val="en-CA" w:eastAsia="fr-CA"/>
        </w:rPr>
        <w:t>hours</w:t>
      </w:r>
      <w:r w:rsidRPr="009F222C">
        <w:rPr>
          <w:rFonts w:cs="Arial"/>
          <w:color w:val="000000"/>
          <w:sz w:val="22"/>
          <w:szCs w:val="22"/>
          <w:lang w:val="en-CA" w:eastAsia="fr-CA"/>
        </w:rPr>
        <w:t xml:space="preserve"> or the description.</w:t>
      </w:r>
      <w:r w:rsidR="00354272" w:rsidRPr="001A6BBA">
        <w:rPr>
          <w:rFonts w:cs="Arial"/>
          <w:color w:val="000000"/>
          <w:sz w:val="22"/>
          <w:szCs w:val="22"/>
          <w:lang w:val="en-CA" w:eastAsia="fr-CA"/>
        </w:rPr>
        <w:t xml:space="preserve"> </w:t>
      </w:r>
      <w:r w:rsidRPr="001A6BBA">
        <w:rPr>
          <w:rFonts w:cs="Arial"/>
          <w:color w:val="000000"/>
          <w:sz w:val="22"/>
          <w:szCs w:val="22"/>
          <w:lang w:val="en-CA" w:eastAsia="fr-CA"/>
        </w:rPr>
        <w:t xml:space="preserve">However, that </w:t>
      </w:r>
      <w:r w:rsidR="004E6A6C">
        <w:rPr>
          <w:rFonts w:cs="Arial"/>
          <w:color w:val="000000"/>
          <w:sz w:val="22"/>
          <w:szCs w:val="22"/>
          <w:lang w:val="en-CA" w:eastAsia="fr-CA"/>
        </w:rPr>
        <w:t>document</w:t>
      </w:r>
      <w:r w:rsidRPr="001A6BBA">
        <w:rPr>
          <w:rFonts w:cs="Arial"/>
          <w:color w:val="000000"/>
          <w:sz w:val="22"/>
          <w:szCs w:val="22"/>
          <w:lang w:val="en-CA" w:eastAsia="fr-CA"/>
        </w:rPr>
        <w:t xml:space="preserve"> does not indicate each lawyer’s hourly rate.</w:t>
      </w:r>
      <w:r w:rsidR="00354272" w:rsidRPr="001A6BBA">
        <w:rPr>
          <w:rFonts w:cs="Arial"/>
          <w:color w:val="000000"/>
          <w:sz w:val="22"/>
          <w:szCs w:val="22"/>
          <w:lang w:val="en-CA" w:eastAsia="fr-CA"/>
        </w:rPr>
        <w:t xml:space="preserve"> </w:t>
      </w:r>
      <w:r w:rsidRPr="001A6BBA">
        <w:rPr>
          <w:rFonts w:cs="Arial"/>
          <w:color w:val="000000"/>
          <w:sz w:val="22"/>
          <w:szCs w:val="22"/>
          <w:lang w:val="en-CA" w:eastAsia="fr-CA"/>
        </w:rPr>
        <w:t xml:space="preserve">Class </w:t>
      </w:r>
      <w:r w:rsidR="004E6A6C">
        <w:rPr>
          <w:rFonts w:cs="Arial"/>
          <w:color w:val="000000"/>
          <w:sz w:val="22"/>
          <w:szCs w:val="22"/>
          <w:lang w:val="en-CA" w:eastAsia="fr-CA"/>
        </w:rPr>
        <w:t>counsel</w:t>
      </w:r>
      <w:r w:rsidRPr="001A6BBA">
        <w:rPr>
          <w:rFonts w:cs="Arial"/>
          <w:color w:val="000000"/>
          <w:sz w:val="22"/>
          <w:szCs w:val="22"/>
          <w:lang w:val="en-CA" w:eastAsia="fr-CA"/>
        </w:rPr>
        <w:t xml:space="preserve"> confirm</w:t>
      </w:r>
      <w:r w:rsidR="0046336F">
        <w:rPr>
          <w:rFonts w:cs="Arial"/>
          <w:color w:val="000000"/>
          <w:sz w:val="22"/>
          <w:szCs w:val="22"/>
          <w:lang w:val="en-CA" w:eastAsia="fr-CA"/>
        </w:rPr>
        <w:t>ed</w:t>
      </w:r>
      <w:r w:rsidRPr="001A6BBA">
        <w:rPr>
          <w:rFonts w:cs="Arial"/>
          <w:color w:val="000000"/>
          <w:sz w:val="22"/>
          <w:szCs w:val="22"/>
          <w:lang w:val="en-CA" w:eastAsia="fr-CA"/>
        </w:rPr>
        <w:t xml:space="preserve"> that the</w:t>
      </w:r>
      <w:r w:rsidR="003C31C7">
        <w:rPr>
          <w:rFonts w:cs="Arial"/>
          <w:color w:val="000000"/>
          <w:sz w:val="22"/>
          <w:szCs w:val="22"/>
          <w:lang w:val="en-CA" w:eastAsia="fr-CA"/>
        </w:rPr>
        <w:t>y</w:t>
      </w:r>
      <w:r w:rsidRPr="001A6BBA">
        <w:rPr>
          <w:rFonts w:cs="Arial"/>
          <w:color w:val="000000"/>
          <w:sz w:val="22"/>
          <w:szCs w:val="22"/>
          <w:lang w:val="en-CA" w:eastAsia="fr-CA"/>
        </w:rPr>
        <w:t xml:space="preserve"> forgot to include them when asked by the </w:t>
      </w:r>
      <w:r w:rsidR="004D68FF" w:rsidRPr="001A6BBA">
        <w:rPr>
          <w:rFonts w:cs="Arial"/>
          <w:color w:val="000000"/>
          <w:sz w:val="22"/>
          <w:szCs w:val="22"/>
          <w:lang w:val="en-CA" w:eastAsia="fr-CA"/>
        </w:rPr>
        <w:t>Court but</w:t>
      </w:r>
      <w:r w:rsidRPr="001A6BBA">
        <w:rPr>
          <w:rFonts w:cs="Arial"/>
          <w:color w:val="000000"/>
          <w:sz w:val="22"/>
          <w:szCs w:val="22"/>
          <w:lang w:val="en-CA" w:eastAsia="fr-CA"/>
        </w:rPr>
        <w:t xml:space="preserve"> provided them afterwards.</w:t>
      </w:r>
    </w:p>
    <w:p w14:paraId="06F9315A" w14:textId="398CE3AB" w:rsidR="002E7C51" w:rsidRDefault="007C5C97" w:rsidP="002E7C51">
      <w:pPr>
        <w:spacing w:before="120" w:after="120"/>
        <w:ind w:left="720" w:right="720"/>
        <w:jc w:val="both"/>
        <w:rPr>
          <w:rFonts w:cs="Arial"/>
          <w:color w:val="000000"/>
          <w:sz w:val="22"/>
          <w:szCs w:val="22"/>
          <w:lang w:val="en-CA" w:eastAsia="fr-CA"/>
        </w:rPr>
      </w:pPr>
      <w:r w:rsidRPr="001A6BBA">
        <w:rPr>
          <w:rFonts w:cs="Arial"/>
          <w:color w:val="000000"/>
          <w:sz w:val="22"/>
          <w:szCs w:val="22"/>
          <w:lang w:val="en-CA" w:eastAsia="fr-CA"/>
        </w:rPr>
        <w:t>[54]   This new information led the Court to write to counsel again, given the written observations of the dissenting</w:t>
      </w:r>
      <w:r w:rsidR="003C31C7">
        <w:rPr>
          <w:rFonts w:cs="Arial"/>
          <w:color w:val="000000"/>
          <w:sz w:val="22"/>
          <w:szCs w:val="22"/>
          <w:lang w:val="en-CA" w:eastAsia="fr-CA"/>
        </w:rPr>
        <w:t xml:space="preserve"> </w:t>
      </w:r>
      <w:r w:rsidRPr="001A6BBA">
        <w:rPr>
          <w:rFonts w:cs="Arial"/>
          <w:color w:val="000000"/>
          <w:sz w:val="22"/>
          <w:szCs w:val="22"/>
          <w:lang w:val="en-CA" w:eastAsia="fr-CA"/>
        </w:rPr>
        <w:t xml:space="preserve">member concerning the hourly rate that Mtre Dufresne-Lemire had </w:t>
      </w:r>
      <w:r w:rsidR="004D68FF">
        <w:rPr>
          <w:rFonts w:cs="Arial"/>
          <w:color w:val="000000"/>
          <w:sz w:val="22"/>
          <w:szCs w:val="22"/>
          <w:lang w:val="en-CA" w:eastAsia="fr-CA"/>
        </w:rPr>
        <w:t>represented</w:t>
      </w:r>
      <w:r w:rsidR="003C31C7">
        <w:rPr>
          <w:rFonts w:cs="Arial"/>
          <w:color w:val="000000"/>
          <w:sz w:val="22"/>
          <w:szCs w:val="22"/>
          <w:lang w:val="en-CA" w:eastAsia="fr-CA"/>
        </w:rPr>
        <w:t xml:space="preserve"> to</w:t>
      </w:r>
      <w:r w:rsidRPr="001A6BBA">
        <w:rPr>
          <w:rFonts w:cs="Arial"/>
          <w:color w:val="000000"/>
          <w:sz w:val="22"/>
          <w:szCs w:val="22"/>
          <w:lang w:val="en-CA" w:eastAsia="fr-CA"/>
        </w:rPr>
        <w:t xml:space="preserve"> him:</w:t>
      </w:r>
    </w:p>
    <w:p w14:paraId="6D06DA1B" w14:textId="2A21865E" w:rsidR="006C2C3C" w:rsidRPr="001A6BBA" w:rsidRDefault="006C2C3C" w:rsidP="0046336F">
      <w:pPr>
        <w:spacing w:before="120" w:after="120"/>
        <w:ind w:left="720" w:right="720" w:firstLine="273"/>
        <w:jc w:val="both"/>
        <w:rPr>
          <w:rFonts w:cs="Arial"/>
          <w:color w:val="000000"/>
          <w:sz w:val="22"/>
          <w:szCs w:val="22"/>
          <w:lang w:val="en-CA" w:eastAsia="fr-CA"/>
        </w:rPr>
      </w:pPr>
      <w:r>
        <w:rPr>
          <w:rFonts w:cs="Arial"/>
          <w:color w:val="000000"/>
          <w:sz w:val="22"/>
          <w:szCs w:val="22"/>
          <w:lang w:val="en-CA" w:eastAsia="fr-CA"/>
        </w:rPr>
        <w:t>[</w:t>
      </w:r>
      <w:r w:rsidRPr="004A70D3">
        <w:rPr>
          <w:rFonts w:cs="Arial"/>
          <w:smallCaps/>
          <w:color w:val="000000"/>
          <w:sz w:val="22"/>
          <w:szCs w:val="22"/>
          <w:lang w:val="en-CA" w:eastAsia="fr-CA"/>
        </w:rPr>
        <w:t>translation</w:t>
      </w:r>
      <w:r>
        <w:rPr>
          <w:rFonts w:cs="Arial"/>
          <w:color w:val="000000"/>
          <w:sz w:val="22"/>
          <w:szCs w:val="22"/>
          <w:lang w:val="en-CA" w:eastAsia="fr-CA"/>
        </w:rPr>
        <w:t>]</w:t>
      </w:r>
    </w:p>
    <w:p w14:paraId="20E6F42F" w14:textId="3D7BC38A" w:rsidR="002E7C51" w:rsidRPr="009F222C" w:rsidRDefault="007C5C97" w:rsidP="002E7C51">
      <w:pPr>
        <w:spacing w:before="120" w:after="120"/>
        <w:ind w:left="1004" w:right="1004"/>
        <w:jc w:val="both"/>
        <w:rPr>
          <w:rFonts w:cs="Arial"/>
          <w:color w:val="000000"/>
          <w:sz w:val="20"/>
          <w:lang w:val="en-CA" w:eastAsia="fr-CA"/>
        </w:rPr>
      </w:pPr>
      <w:r w:rsidRPr="009F222C">
        <w:rPr>
          <w:rFonts w:cs="Arial"/>
          <w:color w:val="000000"/>
          <w:sz w:val="20"/>
          <w:lang w:val="en-CA" w:eastAsia="fr-CA"/>
        </w:rPr>
        <w:t>Maitre Dufresne-Lemire</w:t>
      </w:r>
    </w:p>
    <w:p w14:paraId="5732622D" w14:textId="204846B1" w:rsidR="002E7C51" w:rsidRPr="001A6BBA" w:rsidRDefault="007C5C97" w:rsidP="002E7C51">
      <w:pPr>
        <w:spacing w:before="120" w:after="120"/>
        <w:ind w:left="1004" w:right="1004"/>
        <w:jc w:val="both"/>
        <w:rPr>
          <w:rFonts w:cs="Arial"/>
          <w:color w:val="000000"/>
          <w:sz w:val="20"/>
          <w:lang w:val="en-CA" w:eastAsia="fr-CA"/>
        </w:rPr>
      </w:pPr>
      <w:r w:rsidRPr="001A6BBA">
        <w:rPr>
          <w:rFonts w:cs="Arial"/>
          <w:color w:val="000000"/>
          <w:sz w:val="20"/>
          <w:lang w:val="en-CA" w:eastAsia="fr-CA"/>
        </w:rPr>
        <w:t xml:space="preserve">I would like </w:t>
      </w:r>
      <w:r w:rsidR="006C2C3C">
        <w:rPr>
          <w:rFonts w:cs="Arial"/>
          <w:color w:val="000000"/>
          <w:sz w:val="20"/>
          <w:lang w:val="en-CA" w:eastAsia="fr-CA"/>
        </w:rPr>
        <w:t>to give you the opportunity to</w:t>
      </w:r>
      <w:r w:rsidRPr="001A6BBA">
        <w:rPr>
          <w:rFonts w:cs="Arial"/>
          <w:color w:val="000000"/>
          <w:sz w:val="20"/>
          <w:lang w:val="en-CA" w:eastAsia="fr-CA"/>
        </w:rPr>
        <w:t xml:space="preserve"> comment on the attached document.</w:t>
      </w:r>
      <w:r w:rsidR="006C2C3C">
        <w:rPr>
          <w:rFonts w:cs="Arial"/>
          <w:color w:val="000000"/>
          <w:sz w:val="20"/>
          <w:lang w:val="en-CA" w:eastAsia="fr-CA"/>
        </w:rPr>
        <w:t xml:space="preserve"> Specifically,</w:t>
      </w:r>
      <w:r w:rsidR="00354272" w:rsidRPr="001A6BBA">
        <w:rPr>
          <w:rFonts w:cs="Arial"/>
          <w:color w:val="000000"/>
          <w:sz w:val="20"/>
          <w:lang w:val="en-CA" w:eastAsia="fr-CA"/>
        </w:rPr>
        <w:t xml:space="preserve"> </w:t>
      </w:r>
      <w:r w:rsidR="0023716C" w:rsidRPr="001A6BBA">
        <w:rPr>
          <w:rFonts w:cs="Arial"/>
          <w:color w:val="000000"/>
          <w:sz w:val="20"/>
          <w:lang w:val="en-CA" w:eastAsia="fr-CA"/>
        </w:rPr>
        <w:t>I</w:t>
      </w:r>
      <w:r w:rsidRPr="001A6BBA">
        <w:rPr>
          <w:rFonts w:cs="Arial"/>
          <w:color w:val="000000"/>
          <w:sz w:val="20"/>
          <w:lang w:val="en-CA" w:eastAsia="fr-CA"/>
        </w:rPr>
        <w:t xml:space="preserve"> am confused by [</w:t>
      </w:r>
      <w:r w:rsidR="0023716C" w:rsidRPr="001A6BBA">
        <w:rPr>
          <w:rFonts w:cs="Arial"/>
          <w:color w:val="000000"/>
          <w:sz w:val="20"/>
          <w:lang w:val="en-CA" w:eastAsia="fr-CA"/>
        </w:rPr>
        <w:t>dissenting member</w:t>
      </w:r>
      <w:r w:rsidRPr="001A6BBA">
        <w:rPr>
          <w:rFonts w:cs="Arial"/>
          <w:color w:val="000000"/>
          <w:sz w:val="20"/>
          <w:lang w:val="en-CA" w:eastAsia="fr-CA"/>
        </w:rPr>
        <w:t>]’s claim that you told him your hourly rate was $200, whereas Mtre Wee told me this morning that it is $400?</w:t>
      </w:r>
      <w:r w:rsidR="00354272" w:rsidRPr="001A6BBA">
        <w:rPr>
          <w:rFonts w:cs="Arial"/>
          <w:color w:val="000000"/>
          <w:sz w:val="20"/>
          <w:lang w:val="en-CA" w:eastAsia="fr-CA"/>
        </w:rPr>
        <w:t xml:space="preserve"> </w:t>
      </w:r>
      <w:r w:rsidRPr="009F222C">
        <w:rPr>
          <w:rFonts w:cs="Arial"/>
          <w:color w:val="000000"/>
          <w:sz w:val="20"/>
          <w:lang w:val="en-CA" w:eastAsia="fr-CA"/>
        </w:rPr>
        <w:t>Have the rates provided to me been in effect since the file</w:t>
      </w:r>
      <w:r w:rsidR="003C31C7">
        <w:rPr>
          <w:rFonts w:cs="Arial"/>
          <w:color w:val="000000"/>
          <w:sz w:val="20"/>
          <w:lang w:val="en-CA" w:eastAsia="fr-CA"/>
        </w:rPr>
        <w:t xml:space="preserve"> began</w:t>
      </w:r>
      <w:r w:rsidRPr="009F222C">
        <w:rPr>
          <w:rFonts w:cs="Arial"/>
          <w:color w:val="000000"/>
          <w:sz w:val="20"/>
          <w:lang w:val="en-CA" w:eastAsia="fr-CA"/>
        </w:rPr>
        <w:t>?</w:t>
      </w:r>
      <w:r w:rsidR="00354272" w:rsidRPr="001A6BBA">
        <w:rPr>
          <w:rFonts w:cs="Arial"/>
          <w:color w:val="000000"/>
          <w:sz w:val="20"/>
          <w:lang w:val="en-CA" w:eastAsia="fr-CA"/>
        </w:rPr>
        <w:t xml:space="preserve"> </w:t>
      </w:r>
    </w:p>
    <w:p w14:paraId="42ED2D8B" w14:textId="65838286" w:rsidR="002E7C51" w:rsidRPr="001A6BBA" w:rsidRDefault="007C5C97" w:rsidP="002E7C51">
      <w:pPr>
        <w:spacing w:before="120" w:after="120"/>
        <w:ind w:left="720" w:right="720"/>
        <w:jc w:val="both"/>
        <w:rPr>
          <w:rFonts w:cs="Arial"/>
          <w:color w:val="000000"/>
          <w:sz w:val="22"/>
          <w:szCs w:val="22"/>
          <w:lang w:val="en-CA" w:eastAsia="fr-CA"/>
        </w:rPr>
      </w:pPr>
      <w:r w:rsidRPr="001A6BBA">
        <w:rPr>
          <w:rFonts w:cs="Arial"/>
          <w:color w:val="000000"/>
          <w:sz w:val="22"/>
          <w:szCs w:val="22"/>
          <w:lang w:val="en-CA" w:eastAsia="fr-CA"/>
        </w:rPr>
        <w:t xml:space="preserve">[55]   The lawyer explained that her </w:t>
      </w:r>
      <w:r w:rsidR="003C31C7">
        <w:rPr>
          <w:rFonts w:cs="Arial"/>
          <w:color w:val="000000"/>
          <w:sz w:val="22"/>
          <w:szCs w:val="22"/>
          <w:lang w:val="en-CA" w:eastAsia="fr-CA"/>
        </w:rPr>
        <w:t xml:space="preserve">hourly </w:t>
      </w:r>
      <w:r w:rsidRPr="001A6BBA">
        <w:rPr>
          <w:rFonts w:cs="Arial"/>
          <w:color w:val="000000"/>
          <w:sz w:val="22"/>
          <w:szCs w:val="22"/>
          <w:lang w:val="en-CA" w:eastAsia="fr-CA"/>
        </w:rPr>
        <w:t xml:space="preserve">rate </w:t>
      </w:r>
      <w:r w:rsidR="003C31C7">
        <w:rPr>
          <w:rFonts w:cs="Arial"/>
          <w:color w:val="000000"/>
          <w:sz w:val="22"/>
          <w:szCs w:val="22"/>
          <w:lang w:val="en-CA" w:eastAsia="fr-CA"/>
        </w:rPr>
        <w:t>for</w:t>
      </w:r>
      <w:r w:rsidRPr="001A6BBA">
        <w:rPr>
          <w:rFonts w:cs="Arial"/>
          <w:color w:val="000000"/>
          <w:sz w:val="22"/>
          <w:szCs w:val="22"/>
          <w:lang w:val="en-CA" w:eastAsia="fr-CA"/>
        </w:rPr>
        <w:t xml:space="preserve"> individual files can be </w:t>
      </w:r>
      <w:r w:rsidR="003C31C7" w:rsidRPr="001A6BBA">
        <w:rPr>
          <w:rFonts w:cs="Arial"/>
          <w:color w:val="000000"/>
          <w:sz w:val="22"/>
          <w:szCs w:val="22"/>
          <w:lang w:val="en-CA" w:eastAsia="fr-CA"/>
        </w:rPr>
        <w:t>$200 but</w:t>
      </w:r>
      <w:r w:rsidRPr="001A6BBA">
        <w:rPr>
          <w:rFonts w:cs="Arial"/>
          <w:color w:val="000000"/>
          <w:sz w:val="22"/>
          <w:szCs w:val="22"/>
          <w:lang w:val="en-CA" w:eastAsia="fr-CA"/>
        </w:rPr>
        <w:t xml:space="preserve"> </w:t>
      </w:r>
      <w:r w:rsidR="006D0DA6">
        <w:rPr>
          <w:rFonts w:cs="Arial"/>
          <w:color w:val="000000"/>
          <w:sz w:val="22"/>
          <w:szCs w:val="22"/>
          <w:lang w:val="en-CA" w:eastAsia="fr-CA"/>
        </w:rPr>
        <w:t>that it can be</w:t>
      </w:r>
      <w:r w:rsidR="0023716C">
        <w:rPr>
          <w:rFonts w:cs="Arial"/>
          <w:color w:val="000000"/>
          <w:sz w:val="22"/>
          <w:szCs w:val="22"/>
          <w:lang w:val="en-CA" w:eastAsia="fr-CA"/>
        </w:rPr>
        <w:t xml:space="preserve"> </w:t>
      </w:r>
      <w:r w:rsidRPr="001A6BBA">
        <w:rPr>
          <w:rFonts w:cs="Arial"/>
          <w:color w:val="000000"/>
          <w:sz w:val="22"/>
          <w:szCs w:val="22"/>
          <w:lang w:val="en-CA" w:eastAsia="fr-CA"/>
        </w:rPr>
        <w:t xml:space="preserve">higher </w:t>
      </w:r>
      <w:r w:rsidR="003C31C7">
        <w:rPr>
          <w:rFonts w:cs="Arial"/>
          <w:color w:val="000000"/>
          <w:sz w:val="22"/>
          <w:szCs w:val="22"/>
          <w:lang w:val="en-CA" w:eastAsia="fr-CA"/>
        </w:rPr>
        <w:t>for files</w:t>
      </w:r>
      <w:r w:rsidRPr="001A6BBA">
        <w:rPr>
          <w:rFonts w:cs="Arial"/>
          <w:color w:val="000000"/>
          <w:sz w:val="22"/>
          <w:szCs w:val="22"/>
          <w:lang w:val="en-CA" w:eastAsia="fr-CA"/>
        </w:rPr>
        <w:t xml:space="preserve"> based on a percentage fee.</w:t>
      </w:r>
    </w:p>
    <w:p w14:paraId="1FF8F521" w14:textId="59781989" w:rsidR="002E7C51" w:rsidRPr="009F222C" w:rsidRDefault="007C5C97" w:rsidP="002E7C51">
      <w:pPr>
        <w:spacing w:before="120" w:after="120"/>
        <w:ind w:left="720" w:right="720"/>
        <w:jc w:val="both"/>
        <w:rPr>
          <w:rFonts w:cs="Arial"/>
          <w:color w:val="000000"/>
          <w:sz w:val="22"/>
          <w:szCs w:val="22"/>
          <w:lang w:val="en-CA" w:eastAsia="fr-CA"/>
        </w:rPr>
      </w:pPr>
      <w:r w:rsidRPr="009F222C">
        <w:rPr>
          <w:rFonts w:cs="Arial"/>
          <w:color w:val="000000"/>
          <w:sz w:val="22"/>
          <w:szCs w:val="22"/>
          <w:lang w:val="en-CA" w:eastAsia="fr-CA"/>
        </w:rPr>
        <w:t>[56]   Her email does not mention</w:t>
      </w:r>
      <w:r w:rsidR="003C31C7">
        <w:rPr>
          <w:rFonts w:cs="Arial"/>
          <w:color w:val="000000"/>
          <w:sz w:val="22"/>
          <w:szCs w:val="22"/>
          <w:lang w:val="en-CA" w:eastAsia="fr-CA"/>
        </w:rPr>
        <w:t xml:space="preserve"> </w:t>
      </w:r>
      <w:r w:rsidRPr="009F222C">
        <w:rPr>
          <w:rFonts w:cs="Arial"/>
          <w:color w:val="000000"/>
          <w:sz w:val="22"/>
          <w:szCs w:val="22"/>
          <w:lang w:val="en-CA" w:eastAsia="fr-CA"/>
        </w:rPr>
        <w:t xml:space="preserve">her </w:t>
      </w:r>
      <w:r w:rsidR="0023716C" w:rsidRPr="009F222C">
        <w:rPr>
          <w:rFonts w:cs="Arial"/>
          <w:color w:val="000000"/>
          <w:sz w:val="22"/>
          <w:szCs w:val="22"/>
          <w:lang w:val="en-CA" w:eastAsia="fr-CA"/>
        </w:rPr>
        <w:t>colleagues’</w:t>
      </w:r>
      <w:r w:rsidR="00B86015">
        <w:rPr>
          <w:rFonts w:cs="Arial"/>
          <w:color w:val="000000"/>
          <w:sz w:val="22"/>
          <w:szCs w:val="22"/>
          <w:lang w:val="en-CA" w:eastAsia="fr-CA"/>
        </w:rPr>
        <w:t xml:space="preserve"> rates</w:t>
      </w:r>
      <w:r w:rsidR="003C31C7">
        <w:rPr>
          <w:rFonts w:cs="Arial"/>
          <w:color w:val="000000"/>
          <w:sz w:val="22"/>
          <w:szCs w:val="22"/>
          <w:lang w:val="en-CA" w:eastAsia="fr-CA"/>
        </w:rPr>
        <w:t>.</w:t>
      </w:r>
    </w:p>
    <w:p w14:paraId="2CE0BF57" w14:textId="5745836F" w:rsidR="002E7C51" w:rsidRPr="001A6BBA" w:rsidRDefault="007C5C97" w:rsidP="002E7C51">
      <w:pPr>
        <w:spacing w:before="120" w:after="120"/>
        <w:ind w:left="720" w:right="720"/>
        <w:jc w:val="both"/>
        <w:rPr>
          <w:rFonts w:cs="Arial"/>
          <w:color w:val="000000"/>
          <w:sz w:val="22"/>
          <w:szCs w:val="22"/>
          <w:lang w:val="en-CA" w:eastAsia="fr-CA"/>
        </w:rPr>
      </w:pPr>
      <w:r w:rsidRPr="001A6BBA">
        <w:rPr>
          <w:rFonts w:cs="Arial"/>
          <w:color w:val="000000"/>
          <w:sz w:val="22"/>
          <w:szCs w:val="22"/>
          <w:lang w:val="en-CA" w:eastAsia="fr-CA"/>
        </w:rPr>
        <w:t xml:space="preserve">[57]   The way the hourly rates were </w:t>
      </w:r>
      <w:r w:rsidR="0023716C">
        <w:rPr>
          <w:rFonts w:cs="Arial"/>
          <w:color w:val="000000"/>
          <w:sz w:val="22"/>
          <w:szCs w:val="22"/>
          <w:lang w:val="en-CA" w:eastAsia="fr-CA"/>
        </w:rPr>
        <w:t>represented</w:t>
      </w:r>
      <w:r w:rsidRPr="001A6BBA">
        <w:rPr>
          <w:rFonts w:cs="Arial"/>
          <w:color w:val="000000"/>
          <w:sz w:val="22"/>
          <w:szCs w:val="22"/>
          <w:lang w:val="en-CA" w:eastAsia="fr-CA"/>
        </w:rPr>
        <w:t xml:space="preserve"> to him and the lawyer’s email </w:t>
      </w:r>
      <w:r w:rsidR="009712D6">
        <w:rPr>
          <w:rFonts w:cs="Arial"/>
          <w:color w:val="000000"/>
          <w:sz w:val="22"/>
          <w:szCs w:val="22"/>
          <w:lang w:val="en-CA" w:eastAsia="fr-CA"/>
        </w:rPr>
        <w:t>raises questions</w:t>
      </w:r>
      <w:r w:rsidRPr="001A6BBA">
        <w:rPr>
          <w:rFonts w:cs="Arial"/>
          <w:color w:val="000000"/>
          <w:sz w:val="22"/>
          <w:szCs w:val="22"/>
          <w:lang w:val="en-CA" w:eastAsia="fr-CA"/>
        </w:rPr>
        <w:t>.</w:t>
      </w:r>
      <w:r w:rsidR="00354272" w:rsidRPr="001A6BBA">
        <w:rPr>
          <w:rFonts w:cs="Arial"/>
          <w:color w:val="000000"/>
          <w:sz w:val="22"/>
          <w:szCs w:val="22"/>
          <w:lang w:val="en-CA" w:eastAsia="fr-CA"/>
        </w:rPr>
        <w:t xml:space="preserve"> </w:t>
      </w:r>
      <w:r w:rsidRPr="001A6BBA">
        <w:rPr>
          <w:rFonts w:cs="Arial"/>
          <w:color w:val="000000"/>
          <w:sz w:val="22"/>
          <w:szCs w:val="22"/>
          <w:lang w:val="en-CA" w:eastAsia="fr-CA"/>
        </w:rPr>
        <w:t>...</w:t>
      </w:r>
    </w:p>
    <w:p w14:paraId="451949F7" w14:textId="408550EF" w:rsidR="002E7C51" w:rsidRPr="001A6BBA" w:rsidRDefault="007C5C97" w:rsidP="002E7C51">
      <w:pPr>
        <w:pStyle w:val="Style1"/>
        <w:numPr>
          <w:ilvl w:val="0"/>
          <w:numId w:val="0"/>
        </w:numPr>
        <w:spacing w:before="120" w:after="120" w:line="280" w:lineRule="exact"/>
        <w:rPr>
          <w:lang w:val="en-CA"/>
        </w:rPr>
      </w:pPr>
      <w:r w:rsidRPr="001A6BBA">
        <w:rPr>
          <w:lang w:val="en-CA"/>
        </w:rPr>
        <w:t>According to the judge</w:t>
      </w:r>
      <w:r w:rsidR="002D4CC8">
        <w:rPr>
          <w:lang w:val="en-CA"/>
        </w:rPr>
        <w:t>,</w:t>
      </w:r>
      <w:r w:rsidRPr="001A6BBA">
        <w:rPr>
          <w:lang w:val="en-CA"/>
        </w:rPr>
        <w:t xml:space="preserve"> </w:t>
      </w:r>
      <w:r w:rsidR="0057099C" w:rsidRPr="001A6BBA">
        <w:rPr>
          <w:lang w:val="en-CA"/>
        </w:rPr>
        <w:t>[</w:t>
      </w:r>
      <w:r w:rsidRPr="001A6BBA">
        <w:rPr>
          <w:smallCaps/>
          <w:lang w:val="en-CA"/>
        </w:rPr>
        <w:t>translation</w:t>
      </w:r>
      <w:r w:rsidR="0057099C" w:rsidRPr="001A6BBA">
        <w:rPr>
          <w:lang w:val="en-CA"/>
        </w:rPr>
        <w:t>]</w:t>
      </w:r>
      <w:r w:rsidRPr="001A6BBA">
        <w:rPr>
          <w:lang w:val="en-CA"/>
        </w:rPr>
        <w:t xml:space="preserve"> “[o]ne  </w:t>
      </w:r>
      <w:r w:rsidR="00D21102">
        <w:rPr>
          <w:lang w:val="en-CA"/>
        </w:rPr>
        <w:t xml:space="preserve">may be left with </w:t>
      </w:r>
      <w:r w:rsidRPr="001A6BBA">
        <w:rPr>
          <w:lang w:val="en-CA"/>
        </w:rPr>
        <w:t>the impression that the rates</w:t>
      </w:r>
      <w:r w:rsidR="003C31C7">
        <w:rPr>
          <w:lang w:val="en-CA"/>
        </w:rPr>
        <w:t xml:space="preserve"> </w:t>
      </w:r>
      <w:r w:rsidR="002D4CC8">
        <w:rPr>
          <w:lang w:val="en-CA"/>
        </w:rPr>
        <w:t>disclosed</w:t>
      </w:r>
      <w:r w:rsidRPr="001A6BBA">
        <w:rPr>
          <w:lang w:val="en-CA"/>
        </w:rPr>
        <w:t xml:space="preserve"> [were] </w:t>
      </w:r>
      <w:r w:rsidR="003C31C7">
        <w:rPr>
          <w:lang w:val="en-CA"/>
        </w:rPr>
        <w:t>established for</w:t>
      </w:r>
      <w:r w:rsidRPr="001A6BBA">
        <w:rPr>
          <w:lang w:val="en-CA"/>
        </w:rPr>
        <w:t xml:space="preserve"> this case”</w:t>
      </w:r>
      <w:r w:rsidR="002D4CC8">
        <w:rPr>
          <w:lang w:val="en-CA"/>
        </w:rPr>
        <w:t>,</w:t>
      </w:r>
      <w:r w:rsidRPr="001A6BBA">
        <w:rPr>
          <w:rStyle w:val="Appelnotedebasdep"/>
          <w:lang w:val="en-CA"/>
        </w:rPr>
        <w:footnoteReference w:id="13"/>
      </w:r>
      <w:r w:rsidRPr="001A6BBA">
        <w:rPr>
          <w:lang w:val="en-CA"/>
        </w:rPr>
        <w:t xml:space="preserve"> especially since the appellant provided no information </w:t>
      </w:r>
      <w:r w:rsidR="004D68FF" w:rsidRPr="001A6BBA">
        <w:rPr>
          <w:lang w:val="en-CA"/>
        </w:rPr>
        <w:t>[</w:t>
      </w:r>
      <w:r w:rsidR="004D68FF" w:rsidRPr="001A6BBA">
        <w:rPr>
          <w:smallCaps/>
          <w:lang w:val="en-CA"/>
        </w:rPr>
        <w:t>translation</w:t>
      </w:r>
      <w:r w:rsidR="004D68FF" w:rsidRPr="001A6BBA">
        <w:rPr>
          <w:lang w:val="en-CA"/>
        </w:rPr>
        <w:t xml:space="preserve">] </w:t>
      </w:r>
      <w:r w:rsidR="004D68FF" w:rsidRPr="001A6BBA">
        <w:rPr>
          <w:smallCaps/>
          <w:lang w:val="en-CA"/>
        </w:rPr>
        <w:t>“</w:t>
      </w:r>
      <w:r w:rsidRPr="001A6BBA">
        <w:rPr>
          <w:lang w:val="en-CA"/>
        </w:rPr>
        <w:t>on any discussion</w:t>
      </w:r>
      <w:r w:rsidR="00D21102">
        <w:rPr>
          <w:lang w:val="en-CA"/>
        </w:rPr>
        <w:t xml:space="preserve"> he may have had</w:t>
      </w:r>
      <w:r w:rsidRPr="001A6BBA">
        <w:rPr>
          <w:lang w:val="en-CA"/>
        </w:rPr>
        <w:t xml:space="preserve"> with the lawyers on the expected </w:t>
      </w:r>
      <w:r w:rsidR="00D65514" w:rsidRPr="001A6BBA">
        <w:rPr>
          <w:lang w:val="en-CA"/>
        </w:rPr>
        <w:t xml:space="preserve">professional </w:t>
      </w:r>
      <w:r w:rsidRPr="001A6BBA">
        <w:rPr>
          <w:lang w:val="en-CA"/>
        </w:rPr>
        <w:t>fees or on the hourly rates”</w:t>
      </w:r>
      <w:r w:rsidR="002D4CC8">
        <w:rPr>
          <w:lang w:val="en-CA"/>
        </w:rPr>
        <w:t>.</w:t>
      </w:r>
      <w:r w:rsidRPr="001A6BBA">
        <w:rPr>
          <w:rStyle w:val="Appelnotedebasdep"/>
          <w:lang w:val="en-CA"/>
        </w:rPr>
        <w:footnoteReference w:id="14"/>
      </w:r>
      <w:r w:rsidR="00354272" w:rsidRPr="001A6BBA">
        <w:rPr>
          <w:lang w:val="en-CA"/>
        </w:rPr>
        <w:t xml:space="preserve"> </w:t>
      </w:r>
      <w:r w:rsidRPr="001A6BBA">
        <w:rPr>
          <w:lang w:val="en-CA"/>
        </w:rPr>
        <w:t xml:space="preserve">In the circumstances, therefore, it is impossible to know what </w:t>
      </w:r>
      <w:r w:rsidR="00D65514" w:rsidRPr="001A6BBA">
        <w:rPr>
          <w:lang w:val="en-CA"/>
        </w:rPr>
        <w:t xml:space="preserve">professional </w:t>
      </w:r>
      <w:r w:rsidRPr="001A6BBA">
        <w:rPr>
          <w:lang w:val="en-CA"/>
        </w:rPr>
        <w:t xml:space="preserve">fees were </w:t>
      </w:r>
      <w:r w:rsidR="009712D6">
        <w:rPr>
          <w:lang w:val="en-CA"/>
        </w:rPr>
        <w:t xml:space="preserve">proposed </w:t>
      </w:r>
      <w:r w:rsidRPr="001A6BBA">
        <w:rPr>
          <w:lang w:val="en-CA"/>
        </w:rPr>
        <w:t xml:space="preserve">when the file </w:t>
      </w:r>
      <w:r w:rsidR="0023716C">
        <w:rPr>
          <w:lang w:val="en-CA"/>
        </w:rPr>
        <w:t>began</w:t>
      </w:r>
      <w:r w:rsidRPr="001A6BBA">
        <w:rPr>
          <w:lang w:val="en-CA"/>
        </w:rPr>
        <w:t>.</w:t>
      </w:r>
      <w:r w:rsidR="00354272" w:rsidRPr="001A6BBA">
        <w:rPr>
          <w:lang w:val="en-CA"/>
        </w:rPr>
        <w:t xml:space="preserve"> </w:t>
      </w:r>
      <w:r w:rsidR="0057099C" w:rsidRPr="001A6BBA">
        <w:rPr>
          <w:lang w:val="en-CA"/>
        </w:rPr>
        <w:t>The judge noted, however, that the hourly rate</w:t>
      </w:r>
      <w:r w:rsidR="004D68FF">
        <w:rPr>
          <w:lang w:val="en-CA"/>
        </w:rPr>
        <w:t>s</w:t>
      </w:r>
      <w:r w:rsidR="0057099C" w:rsidRPr="001A6BBA">
        <w:rPr>
          <w:lang w:val="en-CA"/>
        </w:rPr>
        <w:t xml:space="preserve"> </w:t>
      </w:r>
      <w:r w:rsidR="0023716C">
        <w:rPr>
          <w:lang w:val="en-CA"/>
        </w:rPr>
        <w:t xml:space="preserve">in </w:t>
      </w:r>
      <w:r w:rsidR="0057099C" w:rsidRPr="001A6BBA">
        <w:rPr>
          <w:lang w:val="en-CA"/>
        </w:rPr>
        <w:t xml:space="preserve">the </w:t>
      </w:r>
      <w:r w:rsidR="003C31C7">
        <w:rPr>
          <w:lang w:val="en-CA"/>
        </w:rPr>
        <w:t xml:space="preserve">professional </w:t>
      </w:r>
      <w:r w:rsidR="0057099C" w:rsidRPr="001A6BBA">
        <w:rPr>
          <w:lang w:val="en-CA"/>
        </w:rPr>
        <w:t>fee agreement</w:t>
      </w:r>
      <w:r w:rsidR="00354272" w:rsidRPr="001A6BBA">
        <w:rPr>
          <w:lang w:val="en-CA"/>
        </w:rPr>
        <w:t xml:space="preserve"> (</w:t>
      </w:r>
      <w:r w:rsidR="0057099C" w:rsidRPr="001A6BBA">
        <w:rPr>
          <w:lang w:val="en-CA"/>
        </w:rPr>
        <w:t>$</w:t>
      </w:r>
      <w:r w:rsidR="00354272" w:rsidRPr="001A6BBA">
        <w:rPr>
          <w:lang w:val="en-CA"/>
        </w:rPr>
        <w:t>250</w:t>
      </w:r>
      <w:r w:rsidR="004D68FF">
        <w:rPr>
          <w:lang w:val="en-CA"/>
        </w:rPr>
        <w:t xml:space="preserve">) </w:t>
      </w:r>
      <w:r w:rsidR="0023716C">
        <w:rPr>
          <w:lang w:val="en-CA"/>
        </w:rPr>
        <w:t xml:space="preserve">in the </w:t>
      </w:r>
      <w:r w:rsidR="002D4CC8">
        <w:rPr>
          <w:lang w:val="en-CA"/>
        </w:rPr>
        <w:t>event</w:t>
      </w:r>
      <w:r w:rsidR="0023716C">
        <w:rPr>
          <w:lang w:val="en-CA"/>
        </w:rPr>
        <w:t xml:space="preserve"> of a revocation of the mandate</w:t>
      </w:r>
      <w:r w:rsidR="00574820" w:rsidRPr="001A6BBA">
        <w:rPr>
          <w:lang w:val="en-CA"/>
        </w:rPr>
        <w:t xml:space="preserve"> </w:t>
      </w:r>
      <w:r w:rsidR="004D68FF">
        <w:rPr>
          <w:lang w:val="en-CA"/>
        </w:rPr>
        <w:t xml:space="preserve">were </w:t>
      </w:r>
      <w:r w:rsidR="002D4CC8">
        <w:rPr>
          <w:lang w:val="en-CA"/>
        </w:rPr>
        <w:t xml:space="preserve">quite different than </w:t>
      </w:r>
      <w:r w:rsidR="004D68FF">
        <w:rPr>
          <w:lang w:val="en-CA"/>
        </w:rPr>
        <w:t xml:space="preserve">those </w:t>
      </w:r>
      <w:r w:rsidR="00D21102">
        <w:rPr>
          <w:lang w:val="en-CA"/>
        </w:rPr>
        <w:t>provided to him</w:t>
      </w:r>
      <w:r w:rsidR="00574820" w:rsidRPr="001A6BBA">
        <w:rPr>
          <w:lang w:val="en-CA"/>
        </w:rPr>
        <w:t>.</w:t>
      </w:r>
      <w:r w:rsidR="00354272" w:rsidRPr="001A6BBA">
        <w:rPr>
          <w:rStyle w:val="Appelnotedebasdep"/>
          <w:lang w:val="en-CA"/>
        </w:rPr>
        <w:footnoteReference w:id="15"/>
      </w:r>
      <w:r w:rsidR="00574820" w:rsidRPr="001A6BBA">
        <w:rPr>
          <w:lang w:val="en-CA"/>
        </w:rPr>
        <w:t xml:space="preserve"> </w:t>
      </w:r>
      <w:r w:rsidR="003B3F39">
        <w:rPr>
          <w:lang w:val="en-CA"/>
        </w:rPr>
        <w:t xml:space="preserve">Sections </w:t>
      </w:r>
      <w:r w:rsidR="00574820" w:rsidRPr="001A6BBA">
        <w:rPr>
          <w:lang w:val="en-CA"/>
        </w:rPr>
        <w:t xml:space="preserve">99 and 100 du </w:t>
      </w:r>
      <w:r w:rsidR="00574820" w:rsidRPr="001A6BBA">
        <w:rPr>
          <w:i/>
          <w:lang w:val="en-CA"/>
        </w:rPr>
        <w:t>Code of Professional Conduct of Lawyers</w:t>
      </w:r>
      <w:r w:rsidR="00574820" w:rsidRPr="001A6BBA">
        <w:rPr>
          <w:rStyle w:val="Appelnotedebasdep"/>
          <w:lang w:val="en-CA"/>
        </w:rPr>
        <w:footnoteReference w:id="16"/>
      </w:r>
      <w:r w:rsidR="00574820" w:rsidRPr="001A6BBA">
        <w:rPr>
          <w:lang w:val="en-CA"/>
        </w:rPr>
        <w:t xml:space="preserve"> (</w:t>
      </w:r>
      <w:r w:rsidR="0023716C">
        <w:rPr>
          <w:lang w:val="en-CA"/>
        </w:rPr>
        <w:t>“</w:t>
      </w:r>
      <w:r w:rsidR="00574820" w:rsidRPr="001A6BBA">
        <w:rPr>
          <w:b/>
          <w:i/>
          <w:lang w:val="en-CA"/>
        </w:rPr>
        <w:t>Code of Professional Conduct</w:t>
      </w:r>
      <w:r w:rsidR="002D4CC8">
        <w:rPr>
          <w:bCs/>
          <w:iCs/>
          <w:lang w:val="en-CA"/>
        </w:rPr>
        <w:t>”</w:t>
      </w:r>
      <w:r w:rsidR="00574820" w:rsidRPr="001A6BBA">
        <w:rPr>
          <w:lang w:val="en-CA"/>
        </w:rPr>
        <w:t xml:space="preserve">) impose </w:t>
      </w:r>
      <w:r w:rsidR="002D4CC8">
        <w:rPr>
          <w:lang w:val="en-CA"/>
        </w:rPr>
        <w:t xml:space="preserve">a duty to inform </w:t>
      </w:r>
      <w:r w:rsidR="00574820" w:rsidRPr="001A6BBA">
        <w:rPr>
          <w:lang w:val="en-CA"/>
        </w:rPr>
        <w:t xml:space="preserve">on lawyers </w:t>
      </w:r>
      <w:r w:rsidR="006E25D8">
        <w:rPr>
          <w:lang w:val="en-CA"/>
        </w:rPr>
        <w:t>with respect to</w:t>
      </w:r>
      <w:r w:rsidR="00574820" w:rsidRPr="001A6BBA">
        <w:rPr>
          <w:lang w:val="en-CA"/>
        </w:rPr>
        <w:t xml:space="preserve"> the amount of their fees.</w:t>
      </w:r>
      <w:r w:rsidR="00354272" w:rsidRPr="001A6BBA">
        <w:rPr>
          <w:lang w:val="en-CA"/>
        </w:rPr>
        <w:t xml:space="preserve"> </w:t>
      </w:r>
      <w:r w:rsidR="00574820" w:rsidRPr="001A6BBA">
        <w:rPr>
          <w:lang w:val="en-CA"/>
        </w:rPr>
        <w:t>The judge added that that duty remains important even when there is a percentage agreement.</w:t>
      </w:r>
    </w:p>
    <w:p w14:paraId="76376F01" w14:textId="1B7C4ADC" w:rsidR="002E7C51" w:rsidRPr="001A6BBA" w:rsidRDefault="00574820" w:rsidP="002E7C51">
      <w:pPr>
        <w:pStyle w:val="Style1"/>
        <w:spacing w:before="120" w:after="120" w:line="280" w:lineRule="exact"/>
        <w:rPr>
          <w:lang w:val="en-CA"/>
        </w:rPr>
      </w:pPr>
      <w:r w:rsidRPr="001A6BBA">
        <w:rPr>
          <w:lang w:val="en-CA"/>
        </w:rPr>
        <w:lastRenderedPageBreak/>
        <w:t xml:space="preserve">In any event, the judge considered that even using the hourly rates that were </w:t>
      </w:r>
      <w:r w:rsidR="00FB328F">
        <w:rPr>
          <w:lang w:val="en-CA"/>
        </w:rPr>
        <w:t>provided</w:t>
      </w:r>
      <w:r w:rsidR="00FB328F" w:rsidRPr="001A6BBA">
        <w:rPr>
          <w:lang w:val="en-CA"/>
        </w:rPr>
        <w:t xml:space="preserve"> </w:t>
      </w:r>
      <w:r w:rsidRPr="001A6BBA">
        <w:rPr>
          <w:lang w:val="en-CA"/>
        </w:rPr>
        <w:t xml:space="preserve">to him, the </w:t>
      </w:r>
      <w:r w:rsidR="0023716C" w:rsidRPr="001A6BBA">
        <w:rPr>
          <w:lang w:val="en-CA"/>
        </w:rPr>
        <w:t>multiplier</w:t>
      </w:r>
      <w:r w:rsidRPr="001A6BBA">
        <w:rPr>
          <w:lang w:val="en-CA"/>
        </w:rPr>
        <w:t xml:space="preserve"> (approximately 4.64) between the professional fees estimated using the hourly rate formula ($1,509,686) and the professional fees claimed ($7,000,000) is very high and well above the norm,</w:t>
      </w:r>
      <w:r w:rsidR="000363A1">
        <w:rPr>
          <w:lang w:val="en-CA"/>
        </w:rPr>
        <w:t xml:space="preserve"> which is </w:t>
      </w:r>
      <w:r w:rsidRPr="001A6BBA">
        <w:rPr>
          <w:lang w:val="en-CA"/>
        </w:rPr>
        <w:t>a multiplier of between 2 and 3.</w:t>
      </w:r>
      <w:r w:rsidR="00354272" w:rsidRPr="001A6BBA">
        <w:rPr>
          <w:lang w:val="en-CA"/>
        </w:rPr>
        <w:t xml:space="preserve"> </w:t>
      </w:r>
      <w:r w:rsidRPr="001A6BBA">
        <w:rPr>
          <w:lang w:val="en-CA"/>
        </w:rPr>
        <w:t xml:space="preserve">The judge assessed the reasonableness of the professional fees </w:t>
      </w:r>
      <w:r w:rsidR="00FB328F" w:rsidRPr="001A6BBA">
        <w:rPr>
          <w:lang w:val="en-CA"/>
        </w:rPr>
        <w:t xml:space="preserve">claimed </w:t>
      </w:r>
      <w:r w:rsidRPr="001A6BBA">
        <w:rPr>
          <w:lang w:val="en-CA"/>
        </w:rPr>
        <w:t>in light of the factors listed in s.</w:t>
      </w:r>
      <w:r w:rsidR="00354272" w:rsidRPr="001A6BBA">
        <w:rPr>
          <w:lang w:val="en-CA"/>
        </w:rPr>
        <w:t xml:space="preserve"> </w:t>
      </w:r>
      <w:r w:rsidRPr="009F222C">
        <w:rPr>
          <w:lang w:val="en-CA"/>
        </w:rPr>
        <w:t xml:space="preserve">102 of the </w:t>
      </w:r>
      <w:r w:rsidRPr="009F222C">
        <w:rPr>
          <w:i/>
          <w:lang w:val="en-CA"/>
        </w:rPr>
        <w:t>Code of Professional Condu</w:t>
      </w:r>
      <w:r w:rsidR="000363A1">
        <w:rPr>
          <w:i/>
          <w:lang w:val="en-CA"/>
        </w:rPr>
        <w:t>c</w:t>
      </w:r>
      <w:r w:rsidRPr="009F222C">
        <w:rPr>
          <w:i/>
          <w:lang w:val="en-CA"/>
        </w:rPr>
        <w:t>t.</w:t>
      </w:r>
      <w:r w:rsidR="00354272" w:rsidRPr="001A6BBA">
        <w:rPr>
          <w:lang w:val="en-CA"/>
        </w:rPr>
        <w:t xml:space="preserve"> </w:t>
      </w:r>
      <w:r w:rsidRPr="001A6BBA">
        <w:rPr>
          <w:lang w:val="en-CA"/>
        </w:rPr>
        <w:t>He accepted that the principal lawyers on the file, Mtre Dufresne-Lemire and Mtre W</w:t>
      </w:r>
      <w:r w:rsidR="00FB328F">
        <w:rPr>
          <w:lang w:val="en-CA"/>
        </w:rPr>
        <w:t>e</w:t>
      </w:r>
      <w:r w:rsidRPr="001A6BBA">
        <w:rPr>
          <w:lang w:val="en-CA"/>
        </w:rPr>
        <w:t xml:space="preserve">e, </w:t>
      </w:r>
      <w:r w:rsidR="00FB328F">
        <w:rPr>
          <w:lang w:val="en-CA"/>
        </w:rPr>
        <w:t>did not have a lot of experience</w:t>
      </w:r>
      <w:r w:rsidRPr="001A6BBA">
        <w:rPr>
          <w:lang w:val="en-CA"/>
        </w:rPr>
        <w:t>.</w:t>
      </w:r>
      <w:r w:rsidR="00354272" w:rsidRPr="001A6BBA">
        <w:rPr>
          <w:lang w:val="en-CA"/>
        </w:rPr>
        <w:t xml:space="preserve"> </w:t>
      </w:r>
      <w:r w:rsidRPr="001A6BBA">
        <w:rPr>
          <w:lang w:val="en-CA"/>
        </w:rPr>
        <w:t xml:space="preserve">In addition, a large part of their work </w:t>
      </w:r>
      <w:r w:rsidR="00FB328F">
        <w:rPr>
          <w:lang w:val="en-CA"/>
        </w:rPr>
        <w:t>involved</w:t>
      </w:r>
      <w:r w:rsidRPr="001A6BBA">
        <w:rPr>
          <w:lang w:val="en-CA"/>
        </w:rPr>
        <w:t xml:space="preserve"> </w:t>
      </w:r>
      <w:r w:rsidR="00CA4E64">
        <w:rPr>
          <w:lang w:val="en-CA"/>
        </w:rPr>
        <w:t>talking to</w:t>
      </w:r>
      <w:r w:rsidRPr="001A6BBA">
        <w:rPr>
          <w:lang w:val="en-CA"/>
        </w:rPr>
        <w:t xml:space="preserve"> the victims, which was certainly difficult from an emotional perspective, but not from a legal perspective.</w:t>
      </w:r>
      <w:r w:rsidR="00354272" w:rsidRPr="001A6BBA">
        <w:rPr>
          <w:lang w:val="en-CA"/>
        </w:rPr>
        <w:t xml:space="preserve"> </w:t>
      </w:r>
      <w:r w:rsidRPr="001A6BBA">
        <w:rPr>
          <w:lang w:val="en-CA"/>
        </w:rPr>
        <w:t xml:space="preserve">The main legal </w:t>
      </w:r>
      <w:r w:rsidR="006E25D8">
        <w:rPr>
          <w:lang w:val="en-CA"/>
        </w:rPr>
        <w:t>challenge</w:t>
      </w:r>
      <w:r w:rsidRPr="001A6BBA">
        <w:rPr>
          <w:lang w:val="en-CA"/>
        </w:rPr>
        <w:t xml:space="preserve"> </w:t>
      </w:r>
      <w:r w:rsidR="00FB328F" w:rsidRPr="001A6BBA">
        <w:rPr>
          <w:lang w:val="en-CA"/>
        </w:rPr>
        <w:t>concern</w:t>
      </w:r>
      <w:r w:rsidR="00FB328F">
        <w:rPr>
          <w:lang w:val="en-CA"/>
        </w:rPr>
        <w:t>ed</w:t>
      </w:r>
      <w:r w:rsidR="00FB328F" w:rsidRPr="001A6BBA">
        <w:rPr>
          <w:lang w:val="en-CA"/>
        </w:rPr>
        <w:t xml:space="preserve"> </w:t>
      </w:r>
      <w:r w:rsidRPr="001A6BBA">
        <w:rPr>
          <w:lang w:val="en-CA"/>
        </w:rPr>
        <w:t xml:space="preserve">the issue of </w:t>
      </w:r>
      <w:r w:rsidR="00360B1C" w:rsidRPr="001A6BBA">
        <w:rPr>
          <w:lang w:val="en-CA"/>
        </w:rPr>
        <w:t>prescription because</w:t>
      </w:r>
      <w:r w:rsidRPr="001A6BBA">
        <w:rPr>
          <w:lang w:val="en-CA"/>
        </w:rPr>
        <w:t xml:space="preserve"> the Supreme Court had not yet rendered </w:t>
      </w:r>
      <w:r w:rsidRPr="001A6BBA">
        <w:rPr>
          <w:i/>
          <w:lang w:val="en-CA"/>
        </w:rPr>
        <w:t>J.J</w:t>
      </w:r>
      <w:r w:rsidR="000363A1">
        <w:rPr>
          <w:i/>
          <w:lang w:val="en-CA"/>
        </w:rPr>
        <w:t>.</w:t>
      </w:r>
      <w:r w:rsidR="006530AE" w:rsidRPr="00F66E41">
        <w:rPr>
          <w:rStyle w:val="Appelnotedebasdep"/>
          <w:iCs/>
        </w:rPr>
        <w:footnoteReference w:id="17"/>
      </w:r>
      <w:r w:rsidR="00CA4E64" w:rsidRPr="00CA4E64">
        <w:rPr>
          <w:rStyle w:val="Appelnotedebasdep"/>
          <w:lang w:val="en-CA"/>
        </w:rPr>
        <w:t xml:space="preserve"> </w:t>
      </w:r>
      <w:r w:rsidR="000363A1" w:rsidRPr="001A6BBA">
        <w:rPr>
          <w:lang w:val="en-CA"/>
        </w:rPr>
        <w:t>when the application for authorization to institute</w:t>
      </w:r>
      <w:r w:rsidR="00F66E41">
        <w:rPr>
          <w:lang w:val="en-CA"/>
        </w:rPr>
        <w:t xml:space="preserve"> the</w:t>
      </w:r>
      <w:r w:rsidR="000363A1" w:rsidRPr="001A6BBA">
        <w:rPr>
          <w:lang w:val="en-CA"/>
        </w:rPr>
        <w:t xml:space="preserve"> class action was filed</w:t>
      </w:r>
      <w:r w:rsidRPr="001A6BBA">
        <w:rPr>
          <w:i/>
          <w:lang w:val="en-CA"/>
        </w:rPr>
        <w:t>.</w:t>
      </w:r>
      <w:r w:rsidR="00354272" w:rsidRPr="001A6BBA">
        <w:rPr>
          <w:lang w:val="en-CA"/>
        </w:rPr>
        <w:t xml:space="preserve"> </w:t>
      </w:r>
      <w:r w:rsidRPr="001A6BBA">
        <w:rPr>
          <w:lang w:val="en-CA"/>
        </w:rPr>
        <w:t>The Court of Appeal</w:t>
      </w:r>
      <w:r w:rsidR="000363A1" w:rsidRPr="001A6BBA">
        <w:rPr>
          <w:lang w:val="en-CA"/>
        </w:rPr>
        <w:t xml:space="preserve">, however, </w:t>
      </w:r>
      <w:r w:rsidR="00360B1C" w:rsidRPr="001A6BBA">
        <w:rPr>
          <w:lang w:val="en-CA"/>
        </w:rPr>
        <w:t xml:space="preserve">had already ruled </w:t>
      </w:r>
      <w:r w:rsidRPr="001A6BBA">
        <w:rPr>
          <w:lang w:val="en-CA"/>
        </w:rPr>
        <w:t>that a c</w:t>
      </w:r>
      <w:r w:rsidR="00360B1C">
        <w:rPr>
          <w:lang w:val="en-CA"/>
        </w:rPr>
        <w:t>la</w:t>
      </w:r>
      <w:r w:rsidRPr="001A6BBA">
        <w:rPr>
          <w:lang w:val="en-CA"/>
        </w:rPr>
        <w:t xml:space="preserve">ss action was the appropriate vehicle for this type of </w:t>
      </w:r>
      <w:r w:rsidR="000363A1">
        <w:rPr>
          <w:lang w:val="en-CA"/>
        </w:rPr>
        <w:t>case</w:t>
      </w:r>
      <w:r w:rsidRPr="001A6BBA">
        <w:rPr>
          <w:lang w:val="en-CA"/>
        </w:rPr>
        <w:t>.</w:t>
      </w:r>
      <w:r w:rsidR="00354272" w:rsidRPr="001A6BBA">
        <w:rPr>
          <w:lang w:val="en-CA"/>
        </w:rPr>
        <w:t xml:space="preserve"> </w:t>
      </w:r>
      <w:r w:rsidRPr="001A6BBA">
        <w:rPr>
          <w:lang w:val="en-CA"/>
        </w:rPr>
        <w:t>Despite this, the judge acknowledged that [</w:t>
      </w:r>
      <w:r w:rsidRPr="001A6BBA">
        <w:rPr>
          <w:smallCaps/>
          <w:lang w:val="en-CA"/>
        </w:rPr>
        <w:t>translation]</w:t>
      </w:r>
      <w:r w:rsidRPr="001A6BBA">
        <w:rPr>
          <w:lang w:val="en-CA"/>
        </w:rPr>
        <w:t xml:space="preserve"> </w:t>
      </w:r>
      <w:r w:rsidR="00A20E03">
        <w:rPr>
          <w:lang w:val="en-CA"/>
        </w:rPr>
        <w:t>“</w:t>
      </w:r>
      <w:r w:rsidRPr="001A6BBA">
        <w:rPr>
          <w:lang w:val="en-CA"/>
        </w:rPr>
        <w:t>there could be challenges in terms of the administration of proof and the damages suffered</w:t>
      </w:r>
      <w:r w:rsidR="00A20E03">
        <w:rPr>
          <w:lang w:val="en-CA"/>
        </w:rPr>
        <w:t>”</w:t>
      </w:r>
      <w:r w:rsidRPr="001A6BBA">
        <w:rPr>
          <w:lang w:val="en-CA"/>
        </w:rPr>
        <w:t>.</w:t>
      </w:r>
      <w:r w:rsidRPr="001A6BBA">
        <w:rPr>
          <w:rStyle w:val="Appelnotedebasdep"/>
          <w:lang w:val="en-CA"/>
        </w:rPr>
        <w:footnoteReference w:id="18"/>
      </w:r>
      <w:r w:rsidR="00354272" w:rsidRPr="001A6BBA">
        <w:rPr>
          <w:lang w:val="en-CA"/>
        </w:rPr>
        <w:t xml:space="preserve"> </w:t>
      </w:r>
      <w:r w:rsidRPr="001A6BBA">
        <w:rPr>
          <w:lang w:val="en-CA"/>
        </w:rPr>
        <w:t xml:space="preserve">He also conceded that </w:t>
      </w:r>
      <w:r w:rsidR="000363A1">
        <w:rPr>
          <w:lang w:val="en-CA"/>
        </w:rPr>
        <w:t>counsel</w:t>
      </w:r>
      <w:r w:rsidRPr="001A6BBA">
        <w:rPr>
          <w:lang w:val="en-CA"/>
        </w:rPr>
        <w:t xml:space="preserve"> had assumed an </w:t>
      </w:r>
      <w:r w:rsidRPr="00360B1C">
        <w:rPr>
          <w:lang w:val="en-CA"/>
        </w:rPr>
        <w:t>enormous risk in taking on the case, particularly in view of the respondents</w:t>
      </w:r>
      <w:r w:rsidR="00A20E03">
        <w:rPr>
          <w:lang w:val="en-CA"/>
        </w:rPr>
        <w:t>’</w:t>
      </w:r>
      <w:r w:rsidRPr="00360B1C">
        <w:rPr>
          <w:lang w:val="en-CA"/>
        </w:rPr>
        <w:t xml:space="preserve"> ability to pay </w:t>
      </w:r>
      <w:r w:rsidR="00360B1C" w:rsidRPr="00360B1C">
        <w:rPr>
          <w:lang w:val="en-CA"/>
        </w:rPr>
        <w:t>if found guilty</w:t>
      </w:r>
      <w:r w:rsidRPr="00360B1C">
        <w:rPr>
          <w:lang w:val="en-CA"/>
        </w:rPr>
        <w:t xml:space="preserve"> and the uncertainty of the </w:t>
      </w:r>
      <w:r w:rsidR="00FB328F" w:rsidRPr="00360B1C">
        <w:rPr>
          <w:lang w:val="en-CA"/>
        </w:rPr>
        <w:t xml:space="preserve">applicable </w:t>
      </w:r>
      <w:r w:rsidRPr="00360B1C">
        <w:rPr>
          <w:lang w:val="en-CA"/>
        </w:rPr>
        <w:t xml:space="preserve">law </w:t>
      </w:r>
      <w:r w:rsidR="000363A1" w:rsidRPr="00360B1C">
        <w:rPr>
          <w:lang w:val="en-CA"/>
        </w:rPr>
        <w:t>before</w:t>
      </w:r>
      <w:r w:rsidRPr="00360B1C">
        <w:rPr>
          <w:lang w:val="en-CA"/>
        </w:rPr>
        <w:t xml:space="preserve"> </w:t>
      </w:r>
      <w:r w:rsidRPr="004A70D3">
        <w:rPr>
          <w:i/>
          <w:iCs/>
          <w:lang w:val="en-CA"/>
        </w:rPr>
        <w:t>J.J.</w:t>
      </w:r>
      <w:r w:rsidRPr="00360B1C">
        <w:rPr>
          <w:lang w:val="en-CA"/>
        </w:rPr>
        <w:t xml:space="preserve"> Ultimately, however, the</w:t>
      </w:r>
      <w:r w:rsidRPr="001A6BBA">
        <w:rPr>
          <w:lang w:val="en-CA"/>
        </w:rPr>
        <w:t xml:space="preserve"> judge considered that the case </w:t>
      </w:r>
      <w:r w:rsidR="00360B1C" w:rsidRPr="001A6BBA">
        <w:rPr>
          <w:lang w:val="en-CA"/>
        </w:rPr>
        <w:t>[</w:t>
      </w:r>
      <w:r w:rsidR="00360B1C" w:rsidRPr="001A6BBA">
        <w:rPr>
          <w:smallCaps/>
          <w:lang w:val="en-CA"/>
        </w:rPr>
        <w:t>translation]</w:t>
      </w:r>
      <w:r w:rsidR="00360B1C" w:rsidRPr="001A6BBA">
        <w:rPr>
          <w:lang w:val="en-CA"/>
        </w:rPr>
        <w:t xml:space="preserve"> </w:t>
      </w:r>
      <w:r w:rsidR="00A20E03">
        <w:rPr>
          <w:lang w:val="en-CA"/>
        </w:rPr>
        <w:t>“</w:t>
      </w:r>
      <w:r w:rsidRPr="001A6BBA">
        <w:rPr>
          <w:lang w:val="en-CA"/>
        </w:rPr>
        <w:t>represented a medium degree of difficulty and overall risk when the application for authorization was filed</w:t>
      </w:r>
      <w:r w:rsidR="00A20E03">
        <w:rPr>
          <w:lang w:val="en-CA"/>
        </w:rPr>
        <w:t>”</w:t>
      </w:r>
      <w:r w:rsidR="00BB6450">
        <w:rPr>
          <w:lang w:val="en-CA"/>
        </w:rPr>
        <w:t>.</w:t>
      </w:r>
      <w:r w:rsidRPr="001A6BBA">
        <w:rPr>
          <w:rStyle w:val="Appelnotedebasdep"/>
          <w:lang w:val="en-CA"/>
        </w:rPr>
        <w:footnoteReference w:id="19"/>
      </w:r>
      <w:r w:rsidR="00354272" w:rsidRPr="001A6BBA">
        <w:rPr>
          <w:lang w:val="en-CA"/>
        </w:rPr>
        <w:t xml:space="preserve"> </w:t>
      </w:r>
      <w:r w:rsidR="005E50FC">
        <w:rPr>
          <w:lang w:val="en-CA"/>
        </w:rPr>
        <w:t>T</w:t>
      </w:r>
      <w:r w:rsidRPr="001A6BBA">
        <w:rPr>
          <w:lang w:val="en-CA"/>
        </w:rPr>
        <w:t>he professional fees claimed included [</w:t>
      </w:r>
      <w:r w:rsidRPr="001A6BBA">
        <w:rPr>
          <w:smallCaps/>
          <w:lang w:val="en-CA"/>
        </w:rPr>
        <w:t>translation]</w:t>
      </w:r>
      <w:r w:rsidRPr="001A6BBA">
        <w:rPr>
          <w:lang w:val="en-CA"/>
        </w:rPr>
        <w:t xml:space="preserve"> “a </w:t>
      </w:r>
      <w:r w:rsidR="004A70D3">
        <w:rPr>
          <w:lang w:val="en-CA"/>
        </w:rPr>
        <w:t>foreseeable</w:t>
      </w:r>
      <w:r w:rsidR="004A70D3" w:rsidRPr="001A6BBA">
        <w:rPr>
          <w:lang w:val="en-CA"/>
        </w:rPr>
        <w:t xml:space="preserve"> </w:t>
      </w:r>
      <w:r w:rsidRPr="001A6BBA">
        <w:rPr>
          <w:lang w:val="en-CA"/>
        </w:rPr>
        <w:t xml:space="preserve">premium </w:t>
      </w:r>
      <w:r w:rsidR="00BB6450">
        <w:rPr>
          <w:lang w:val="en-CA"/>
        </w:rPr>
        <w:t>where</w:t>
      </w:r>
      <w:r w:rsidR="00BB6450" w:rsidRPr="001A6BBA">
        <w:rPr>
          <w:lang w:val="en-CA"/>
        </w:rPr>
        <w:t xml:space="preserve"> </w:t>
      </w:r>
      <w:r w:rsidRPr="001A6BBA">
        <w:rPr>
          <w:lang w:val="en-CA"/>
        </w:rPr>
        <w:t>the risk was very high”.</w:t>
      </w:r>
      <w:r w:rsidRPr="001A6BBA">
        <w:rPr>
          <w:rStyle w:val="Appelnotedebasdep"/>
          <w:lang w:val="en-CA"/>
        </w:rPr>
        <w:footnoteReference w:id="20"/>
      </w:r>
      <w:r w:rsidR="00354272" w:rsidRPr="001A6BBA">
        <w:rPr>
          <w:lang w:val="en-CA"/>
        </w:rPr>
        <w:t xml:space="preserve"> </w:t>
      </w:r>
      <w:r w:rsidRPr="001A6BBA">
        <w:rPr>
          <w:lang w:val="en-CA"/>
        </w:rPr>
        <w:t xml:space="preserve">Indeed, </w:t>
      </w:r>
      <w:r w:rsidR="00A13816" w:rsidRPr="001A6BBA">
        <w:rPr>
          <w:lang w:val="en-CA"/>
        </w:rPr>
        <w:t>[</w:t>
      </w:r>
      <w:r w:rsidR="00A13816" w:rsidRPr="001A6BBA">
        <w:rPr>
          <w:smallCaps/>
          <w:lang w:val="en-CA"/>
        </w:rPr>
        <w:t>translation]</w:t>
      </w:r>
      <w:r w:rsidRPr="001A6BBA">
        <w:rPr>
          <w:lang w:val="en-CA"/>
        </w:rPr>
        <w:t xml:space="preserve"> “at an hourly rate of $250</w:t>
      </w:r>
      <w:r w:rsidR="00A13816">
        <w:rPr>
          <w:lang w:val="en-CA"/>
        </w:rPr>
        <w:t>,</w:t>
      </w:r>
      <w:r w:rsidRPr="001A6BBA">
        <w:rPr>
          <w:lang w:val="en-CA"/>
        </w:rPr>
        <w:t xml:space="preserve"> their investment in the file represented $869,772 up to that point, or $1,069,772 with the 800 additional hours</w:t>
      </w:r>
      <w:r w:rsidR="005E50FC">
        <w:rPr>
          <w:lang w:val="en-CA"/>
        </w:rPr>
        <w:t>,</w:t>
      </w:r>
      <w:r w:rsidRPr="001A6BBA">
        <w:rPr>
          <w:lang w:val="en-CA"/>
        </w:rPr>
        <w:t xml:space="preserve"> and their claim </w:t>
      </w:r>
      <w:r w:rsidR="00BB6450">
        <w:rPr>
          <w:lang w:val="en-CA"/>
        </w:rPr>
        <w:t>would result in a</w:t>
      </w:r>
      <w:r w:rsidRPr="001A6BBA">
        <w:rPr>
          <w:lang w:val="en-CA"/>
        </w:rPr>
        <w:t xml:space="preserve"> premium of almost $6,000,000.</w:t>
      </w:r>
      <w:r w:rsidRPr="001A6BBA">
        <w:rPr>
          <w:rStyle w:val="Appelnotedebasdep"/>
          <w:lang w:val="en-CA"/>
        </w:rPr>
        <w:footnoteReference w:id="21"/>
      </w:r>
      <w:r w:rsidR="00354272" w:rsidRPr="001A6BBA">
        <w:rPr>
          <w:lang w:val="en-CA"/>
        </w:rPr>
        <w:t xml:space="preserve"> </w:t>
      </w:r>
      <w:r w:rsidRPr="001A6BBA">
        <w:rPr>
          <w:lang w:val="en-CA"/>
        </w:rPr>
        <w:t xml:space="preserve">Even accepting the hourly rates suggested by the lawyers, the premium </w:t>
      </w:r>
      <w:r w:rsidR="00A13816">
        <w:rPr>
          <w:lang w:val="en-CA"/>
        </w:rPr>
        <w:t>w</w:t>
      </w:r>
      <w:r w:rsidR="005E50FC">
        <w:rPr>
          <w:lang w:val="en-CA"/>
        </w:rPr>
        <w:t>ould be</w:t>
      </w:r>
      <w:r w:rsidR="00A13816">
        <w:rPr>
          <w:lang w:val="en-CA"/>
        </w:rPr>
        <w:t xml:space="preserve"> more than</w:t>
      </w:r>
      <w:r w:rsidRPr="001A6BBA">
        <w:rPr>
          <w:lang w:val="en-CA"/>
        </w:rPr>
        <w:t xml:space="preserve"> $5,000,000.</w:t>
      </w:r>
      <w:r w:rsidR="00354272" w:rsidRPr="001A6BBA">
        <w:rPr>
          <w:lang w:val="en-CA"/>
        </w:rPr>
        <w:t xml:space="preserve"> </w:t>
      </w:r>
      <w:r w:rsidRPr="001A6BBA">
        <w:rPr>
          <w:lang w:val="en-CA"/>
        </w:rPr>
        <w:t>The judge concluded that such professional fees were excessive, and above all, contrary to the interests of class members.</w:t>
      </w:r>
    </w:p>
    <w:p w14:paraId="47AA773E" w14:textId="17E79ECF" w:rsidR="002E7C51" w:rsidRPr="001A6BBA" w:rsidRDefault="00574820" w:rsidP="002E7C51">
      <w:pPr>
        <w:pStyle w:val="Style1"/>
        <w:widowControl w:val="0"/>
        <w:spacing w:before="120" w:after="120" w:line="280" w:lineRule="exact"/>
        <w:rPr>
          <w:lang w:val="en-CA"/>
        </w:rPr>
      </w:pPr>
      <w:r w:rsidRPr="001A6BBA">
        <w:rPr>
          <w:lang w:val="en-CA"/>
        </w:rPr>
        <w:t>The judge determined that this conclusion was a</w:t>
      </w:r>
      <w:r w:rsidR="006A46F0">
        <w:rPr>
          <w:lang w:val="en-CA"/>
        </w:rPr>
        <w:t>n</w:t>
      </w:r>
      <w:r w:rsidRPr="001A6BBA">
        <w:rPr>
          <w:lang w:val="en-CA"/>
        </w:rPr>
        <w:t xml:space="preserve"> </w:t>
      </w:r>
      <w:r w:rsidR="00BB6450">
        <w:rPr>
          <w:lang w:val="en-CA"/>
        </w:rPr>
        <w:t>insurmountable obstacle</w:t>
      </w:r>
      <w:r w:rsidRPr="001A6BBA">
        <w:rPr>
          <w:lang w:val="en-CA"/>
        </w:rPr>
        <w:t xml:space="preserve"> to the application for </w:t>
      </w:r>
      <w:r w:rsidR="00480658" w:rsidRPr="001A6BBA">
        <w:rPr>
          <w:lang w:val="en-CA"/>
        </w:rPr>
        <w:t>approval</w:t>
      </w:r>
      <w:r w:rsidRPr="001A6BBA">
        <w:rPr>
          <w:lang w:val="en-CA"/>
        </w:rPr>
        <w:t xml:space="preserve"> of the Agreement, </w:t>
      </w:r>
      <w:r w:rsidR="006A46F0">
        <w:rPr>
          <w:lang w:val="en-CA"/>
        </w:rPr>
        <w:t xml:space="preserve">which provided in </w:t>
      </w:r>
      <w:r w:rsidR="00223D8B">
        <w:rPr>
          <w:lang w:val="en-CA"/>
        </w:rPr>
        <w:t xml:space="preserve">clause </w:t>
      </w:r>
      <w:r w:rsidRPr="001A6BBA">
        <w:rPr>
          <w:lang w:val="en-CA"/>
        </w:rPr>
        <w:t xml:space="preserve">28 that if the </w:t>
      </w:r>
      <w:r w:rsidR="006A46F0">
        <w:rPr>
          <w:lang w:val="en-CA"/>
        </w:rPr>
        <w:t>C</w:t>
      </w:r>
      <w:r w:rsidRPr="001A6BBA">
        <w:rPr>
          <w:lang w:val="en-CA"/>
        </w:rPr>
        <w:t>ourt refused to approve the entire Agreement</w:t>
      </w:r>
      <w:r w:rsidR="006A46F0">
        <w:rPr>
          <w:lang w:val="en-CA"/>
        </w:rPr>
        <w:t>,</w:t>
      </w:r>
      <w:r w:rsidRPr="001A6BBA">
        <w:rPr>
          <w:lang w:val="en-CA"/>
        </w:rPr>
        <w:t xml:space="preserve"> it would be [</w:t>
      </w:r>
      <w:r w:rsidRPr="001A6BBA">
        <w:rPr>
          <w:smallCaps/>
          <w:lang w:val="en-CA"/>
        </w:rPr>
        <w:t>translation]</w:t>
      </w:r>
      <w:r w:rsidRPr="001A6BBA">
        <w:rPr>
          <w:lang w:val="en-CA"/>
        </w:rPr>
        <w:t xml:space="preserve"> “henceforth considered null and void and without effect”.</w:t>
      </w:r>
      <w:r w:rsidRPr="001A6BBA">
        <w:rPr>
          <w:rStyle w:val="Appelnotedebasdep"/>
          <w:lang w:val="en-CA"/>
        </w:rPr>
        <w:footnoteReference w:id="22"/>
      </w:r>
      <w:r w:rsidR="00354272" w:rsidRPr="001A6BBA">
        <w:rPr>
          <w:lang w:val="en-CA"/>
        </w:rPr>
        <w:t xml:space="preserve"> </w:t>
      </w:r>
      <w:r w:rsidRPr="001A6BBA">
        <w:rPr>
          <w:lang w:val="en-CA"/>
        </w:rPr>
        <w:t xml:space="preserve">He stated, however, that he was confident </w:t>
      </w:r>
      <w:r w:rsidR="00480658" w:rsidRPr="001A6BBA">
        <w:rPr>
          <w:lang w:val="en-CA"/>
        </w:rPr>
        <w:t>[</w:t>
      </w:r>
      <w:r w:rsidR="00480658" w:rsidRPr="001A6BBA">
        <w:rPr>
          <w:smallCaps/>
          <w:lang w:val="en-CA"/>
        </w:rPr>
        <w:t>translation]</w:t>
      </w:r>
      <w:r w:rsidRPr="001A6BBA">
        <w:rPr>
          <w:lang w:val="en-CA"/>
        </w:rPr>
        <w:t xml:space="preserve"> “that the parties will meet to agree on reasonable fees and submit them to the Court, thus </w:t>
      </w:r>
      <w:r w:rsidR="00480658">
        <w:rPr>
          <w:lang w:val="en-CA"/>
        </w:rPr>
        <w:t>allowing class</w:t>
      </w:r>
      <w:r w:rsidRPr="001A6BBA">
        <w:rPr>
          <w:lang w:val="en-CA"/>
        </w:rPr>
        <w:t xml:space="preserve"> members to </w:t>
      </w:r>
      <w:r w:rsidR="00480658" w:rsidRPr="001A6BBA">
        <w:rPr>
          <w:lang w:val="en-CA"/>
        </w:rPr>
        <w:t>receive</w:t>
      </w:r>
      <w:r w:rsidRPr="001A6BBA">
        <w:rPr>
          <w:lang w:val="en-CA"/>
        </w:rPr>
        <w:t xml:space="preserve"> the amounts to which they are entitled”.</w:t>
      </w:r>
      <w:r w:rsidRPr="001A6BBA">
        <w:rPr>
          <w:rStyle w:val="Appelnotedebasdep"/>
          <w:lang w:val="en-CA"/>
        </w:rPr>
        <w:footnoteReference w:id="23"/>
      </w:r>
    </w:p>
    <w:p w14:paraId="71AD655B" w14:textId="3CC867ED" w:rsidR="002E7C51" w:rsidRPr="009F222C" w:rsidRDefault="00574820" w:rsidP="002E7C51">
      <w:pPr>
        <w:pStyle w:val="Titre1"/>
        <w:numPr>
          <w:ilvl w:val="0"/>
          <w:numId w:val="23"/>
        </w:numPr>
        <w:spacing w:line="280" w:lineRule="exact"/>
        <w:ind w:left="0" w:firstLine="0"/>
        <w:rPr>
          <w:lang w:val="en-CA"/>
        </w:rPr>
      </w:pPr>
      <w:r w:rsidRPr="009F222C">
        <w:rPr>
          <w:lang w:val="en-CA"/>
        </w:rPr>
        <w:lastRenderedPageBreak/>
        <w:t>ISSUES</w:t>
      </w:r>
    </w:p>
    <w:p w14:paraId="24163A1D" w14:textId="5E843895" w:rsidR="002E7C51" w:rsidRPr="009F222C" w:rsidRDefault="00574820" w:rsidP="002E7C51">
      <w:pPr>
        <w:pStyle w:val="Paragraphe"/>
        <w:spacing w:line="280" w:lineRule="exact"/>
        <w:rPr>
          <w:lang w:val="en-CA"/>
        </w:rPr>
      </w:pPr>
      <w:r w:rsidRPr="009F222C">
        <w:rPr>
          <w:lang w:val="en-CA"/>
        </w:rPr>
        <w:t xml:space="preserve">The issues can be </w:t>
      </w:r>
      <w:r w:rsidR="006A46F0">
        <w:rPr>
          <w:lang w:val="en-CA"/>
        </w:rPr>
        <w:t>stated</w:t>
      </w:r>
      <w:r w:rsidRPr="009F222C">
        <w:rPr>
          <w:lang w:val="en-CA"/>
        </w:rPr>
        <w:t xml:space="preserve"> as follows:</w:t>
      </w:r>
    </w:p>
    <w:p w14:paraId="03C02D4D" w14:textId="00A863F2" w:rsidR="002E7C51" w:rsidRPr="001A6BBA" w:rsidRDefault="00574820" w:rsidP="002E7C51">
      <w:pPr>
        <w:pStyle w:val="Sous-paragraphe"/>
        <w:numPr>
          <w:ilvl w:val="0"/>
          <w:numId w:val="0"/>
        </w:numPr>
        <w:spacing w:before="120"/>
        <w:ind w:left="720"/>
        <w:rPr>
          <w:lang w:val="en-CA"/>
        </w:rPr>
      </w:pPr>
      <w:r w:rsidRPr="009F222C">
        <w:rPr>
          <w:lang w:val="en-CA"/>
        </w:rPr>
        <w:t>(a)</w:t>
      </w:r>
      <w:r w:rsidR="00354272" w:rsidRPr="001A6BBA">
        <w:rPr>
          <w:lang w:val="en-CA"/>
        </w:rPr>
        <w:tab/>
      </w:r>
      <w:r w:rsidRPr="009F222C">
        <w:rPr>
          <w:lang w:val="en-CA"/>
        </w:rPr>
        <w:t xml:space="preserve">Did the judge err in </w:t>
      </w:r>
      <w:r w:rsidR="00062CA3">
        <w:rPr>
          <w:lang w:val="en-CA"/>
        </w:rPr>
        <w:t>finding</w:t>
      </w:r>
      <w:r w:rsidRPr="009F222C">
        <w:rPr>
          <w:lang w:val="en-CA"/>
        </w:rPr>
        <w:t xml:space="preserve"> that he could not approve the Agreement?</w:t>
      </w:r>
    </w:p>
    <w:p w14:paraId="7E969060" w14:textId="225C14EB" w:rsidR="002E7C51" w:rsidRPr="001A6BBA" w:rsidRDefault="00574820" w:rsidP="002E7C51">
      <w:pPr>
        <w:pStyle w:val="Sous-paragraphe"/>
        <w:numPr>
          <w:ilvl w:val="0"/>
          <w:numId w:val="0"/>
        </w:numPr>
        <w:spacing w:before="120"/>
        <w:ind w:left="1440" w:hanging="720"/>
        <w:rPr>
          <w:lang w:val="en-CA"/>
        </w:rPr>
      </w:pPr>
      <w:r w:rsidRPr="009F222C">
        <w:rPr>
          <w:lang w:val="en-CA"/>
        </w:rPr>
        <w:t>(b)</w:t>
      </w:r>
      <w:r w:rsidR="00354272" w:rsidRPr="001A6BBA">
        <w:rPr>
          <w:lang w:val="en-CA"/>
        </w:rPr>
        <w:tab/>
      </w:r>
      <w:r w:rsidRPr="009F222C">
        <w:rPr>
          <w:lang w:val="en-CA"/>
        </w:rPr>
        <w:t xml:space="preserve">Did the judge err in </w:t>
      </w:r>
      <w:r w:rsidR="00062CA3">
        <w:rPr>
          <w:lang w:val="en-CA"/>
        </w:rPr>
        <w:t>finding</w:t>
      </w:r>
      <w:r w:rsidRPr="009F222C">
        <w:rPr>
          <w:lang w:val="en-CA"/>
        </w:rPr>
        <w:t xml:space="preserve"> that the professional fees claimed for class </w:t>
      </w:r>
      <w:r w:rsidR="009E6BD9">
        <w:rPr>
          <w:lang w:val="en-CA"/>
        </w:rPr>
        <w:t>counsel</w:t>
      </w:r>
      <w:r w:rsidRPr="009F222C">
        <w:rPr>
          <w:lang w:val="en-CA"/>
        </w:rPr>
        <w:t xml:space="preserve"> are unreasonable?</w:t>
      </w:r>
      <w:r w:rsidR="00354272" w:rsidRPr="001A6BBA">
        <w:rPr>
          <w:lang w:val="en-CA"/>
        </w:rPr>
        <w:t xml:space="preserve"> </w:t>
      </w:r>
      <w:r w:rsidRPr="009F222C">
        <w:rPr>
          <w:lang w:val="en-CA"/>
        </w:rPr>
        <w:t xml:space="preserve">Should the Court </w:t>
      </w:r>
      <w:r w:rsidR="009E6BD9">
        <w:rPr>
          <w:lang w:val="en-CA"/>
        </w:rPr>
        <w:t>determine</w:t>
      </w:r>
      <w:r w:rsidR="009E6BD9" w:rsidRPr="009F222C">
        <w:rPr>
          <w:lang w:val="en-CA"/>
        </w:rPr>
        <w:t xml:space="preserve"> </w:t>
      </w:r>
      <w:r w:rsidRPr="009F222C">
        <w:rPr>
          <w:lang w:val="en-CA"/>
        </w:rPr>
        <w:t>the professional fees?</w:t>
      </w:r>
    </w:p>
    <w:p w14:paraId="712DB5EC" w14:textId="5E071237" w:rsidR="002E7C51" w:rsidRPr="001A6BBA" w:rsidRDefault="00574820" w:rsidP="002E7C51">
      <w:pPr>
        <w:pStyle w:val="Sous-paragraphe"/>
        <w:numPr>
          <w:ilvl w:val="0"/>
          <w:numId w:val="0"/>
        </w:numPr>
        <w:spacing w:before="120"/>
        <w:ind w:left="1440" w:hanging="720"/>
        <w:rPr>
          <w:lang w:val="en-CA"/>
        </w:rPr>
      </w:pPr>
      <w:r w:rsidRPr="009F222C">
        <w:rPr>
          <w:lang w:val="en-CA"/>
        </w:rPr>
        <w:t>(c)</w:t>
      </w:r>
      <w:r w:rsidR="00354272" w:rsidRPr="001A6BBA">
        <w:rPr>
          <w:lang w:val="en-CA"/>
        </w:rPr>
        <w:tab/>
      </w:r>
      <w:r w:rsidRPr="009F222C">
        <w:rPr>
          <w:lang w:val="en-CA"/>
        </w:rPr>
        <w:t xml:space="preserve">Who must pay the professional fees of the </w:t>
      </w:r>
      <w:r w:rsidRPr="009F222C">
        <w:rPr>
          <w:i/>
          <w:lang w:val="en-CA"/>
        </w:rPr>
        <w:t>amicus curiae</w:t>
      </w:r>
      <w:r w:rsidRPr="009F222C">
        <w:rPr>
          <w:lang w:val="en-CA"/>
        </w:rPr>
        <w:t>?</w:t>
      </w:r>
    </w:p>
    <w:p w14:paraId="01A9131A" w14:textId="11F64ED6" w:rsidR="002E7C51" w:rsidRPr="009F222C" w:rsidRDefault="00574820" w:rsidP="002E7C51">
      <w:pPr>
        <w:pStyle w:val="Titre1"/>
        <w:numPr>
          <w:ilvl w:val="0"/>
          <w:numId w:val="23"/>
        </w:numPr>
        <w:spacing w:line="280" w:lineRule="exact"/>
        <w:ind w:left="0" w:firstLine="0"/>
        <w:rPr>
          <w:lang w:val="en-CA"/>
        </w:rPr>
      </w:pPr>
      <w:r w:rsidRPr="009F222C">
        <w:rPr>
          <w:lang w:val="en-CA"/>
        </w:rPr>
        <w:t>DISCUSSION</w:t>
      </w:r>
    </w:p>
    <w:p w14:paraId="4E4E835E" w14:textId="1F44B300" w:rsidR="002E7C51" w:rsidRPr="009F222C" w:rsidRDefault="00480658" w:rsidP="00480658">
      <w:pPr>
        <w:pStyle w:val="Titre2"/>
        <w:numPr>
          <w:ilvl w:val="0"/>
          <w:numId w:val="0"/>
        </w:numPr>
        <w:ind w:left="709"/>
        <w:rPr>
          <w:lang w:val="en-CA"/>
        </w:rPr>
      </w:pPr>
      <w:r>
        <w:rPr>
          <w:lang w:val="en-CA"/>
        </w:rPr>
        <w:t>(a)</w:t>
      </w:r>
      <w:r w:rsidR="009E6BD9">
        <w:rPr>
          <w:lang w:val="en-CA"/>
        </w:rPr>
        <w:t xml:space="preserve"> </w:t>
      </w:r>
      <w:r w:rsidR="00574820" w:rsidRPr="009F222C">
        <w:rPr>
          <w:lang w:val="en-CA"/>
        </w:rPr>
        <w:t xml:space="preserve">Did the judge err in </w:t>
      </w:r>
      <w:r w:rsidR="00062CA3">
        <w:rPr>
          <w:lang w:val="en-CA"/>
        </w:rPr>
        <w:t>finding</w:t>
      </w:r>
      <w:r w:rsidR="00574820" w:rsidRPr="009F222C">
        <w:rPr>
          <w:lang w:val="en-CA"/>
        </w:rPr>
        <w:t xml:space="preserve"> that he could not approve the Agreement?</w:t>
      </w:r>
    </w:p>
    <w:p w14:paraId="35128C76" w14:textId="40C9FD3C" w:rsidR="002E7C51" w:rsidRPr="001A6BBA" w:rsidRDefault="00574820" w:rsidP="002E7C51">
      <w:pPr>
        <w:pStyle w:val="Paragraphe"/>
        <w:spacing w:line="280" w:lineRule="exact"/>
        <w:rPr>
          <w:lang w:val="en-CA"/>
        </w:rPr>
      </w:pPr>
      <w:r w:rsidRPr="001A6BBA">
        <w:rPr>
          <w:lang w:val="en-CA"/>
        </w:rPr>
        <w:t xml:space="preserve">Overall, the parties agree that the judge committed a reviewable error in </w:t>
      </w:r>
      <w:r w:rsidR="00075735">
        <w:rPr>
          <w:lang w:val="en-CA"/>
        </w:rPr>
        <w:t>finding</w:t>
      </w:r>
      <w:r w:rsidRPr="001A6BBA">
        <w:rPr>
          <w:lang w:val="en-CA"/>
        </w:rPr>
        <w:t xml:space="preserve"> that he had to reject the Agreement because he considered the professional fees of class </w:t>
      </w:r>
      <w:r w:rsidR="00244D4F">
        <w:rPr>
          <w:lang w:val="en-CA"/>
        </w:rPr>
        <w:t>counsel</w:t>
      </w:r>
      <w:r w:rsidRPr="001A6BBA">
        <w:rPr>
          <w:lang w:val="en-CA"/>
        </w:rPr>
        <w:t xml:space="preserve"> unreasonable.</w:t>
      </w:r>
    </w:p>
    <w:p w14:paraId="23A34B9B" w14:textId="54E60A8A" w:rsidR="002E7C51" w:rsidRPr="009F222C" w:rsidRDefault="00244D4F" w:rsidP="002E7C51">
      <w:pPr>
        <w:pStyle w:val="Paragraphe"/>
        <w:spacing w:line="280" w:lineRule="exact"/>
        <w:rPr>
          <w:lang w:val="en-CA"/>
        </w:rPr>
      </w:pPr>
      <w:r>
        <w:rPr>
          <w:lang w:val="en-CA"/>
        </w:rPr>
        <w:t>P</w:t>
      </w:r>
      <w:r w:rsidRPr="009F222C">
        <w:rPr>
          <w:lang w:val="en-CA"/>
        </w:rPr>
        <w:t xml:space="preserve">ursuant to </w:t>
      </w:r>
      <w:r w:rsidR="00684A40">
        <w:rPr>
          <w:lang w:val="en-CA"/>
        </w:rPr>
        <w:t>art</w:t>
      </w:r>
      <w:r w:rsidRPr="009F222C">
        <w:rPr>
          <w:lang w:val="en-CA"/>
        </w:rPr>
        <w:t>. 590 CCP</w:t>
      </w:r>
      <w:r>
        <w:rPr>
          <w:lang w:val="en-CA"/>
        </w:rPr>
        <w:t>,</w:t>
      </w:r>
      <w:r w:rsidRPr="009F222C">
        <w:rPr>
          <w:lang w:val="en-CA"/>
        </w:rPr>
        <w:t xml:space="preserve"> </w:t>
      </w:r>
      <w:r>
        <w:rPr>
          <w:lang w:val="en-CA"/>
        </w:rPr>
        <w:t>a</w:t>
      </w:r>
      <w:r w:rsidR="00574820" w:rsidRPr="009F222C">
        <w:rPr>
          <w:lang w:val="en-CA"/>
        </w:rPr>
        <w:t xml:space="preserve"> transaction concluded in the context of a class action is valid only if approved by the court.</w:t>
      </w:r>
    </w:p>
    <w:p w14:paraId="4A9850C0" w14:textId="2E048289" w:rsidR="002E7C51" w:rsidRPr="001A6BBA" w:rsidRDefault="00574820" w:rsidP="002E7C51">
      <w:pPr>
        <w:pStyle w:val="Style1"/>
        <w:spacing w:before="120" w:after="120" w:line="280" w:lineRule="exact"/>
        <w:rPr>
          <w:lang w:val="en-CA"/>
        </w:rPr>
      </w:pPr>
      <w:r w:rsidRPr="009F222C">
        <w:rPr>
          <w:szCs w:val="24"/>
          <w:lang w:val="en-CA"/>
        </w:rPr>
        <w:t xml:space="preserve">Before approving a transaction, the judge must be convinced that </w:t>
      </w:r>
      <w:r w:rsidR="00035713">
        <w:rPr>
          <w:szCs w:val="24"/>
          <w:lang w:val="en-CA"/>
        </w:rPr>
        <w:t xml:space="preserve">it </w:t>
      </w:r>
      <w:r w:rsidRPr="009F222C">
        <w:rPr>
          <w:szCs w:val="24"/>
          <w:lang w:val="en-CA"/>
        </w:rPr>
        <w:t>is [</w:t>
      </w:r>
      <w:r w:rsidRPr="009F222C">
        <w:rPr>
          <w:smallCaps/>
          <w:szCs w:val="24"/>
          <w:lang w:val="en-CA"/>
        </w:rPr>
        <w:t>translation]</w:t>
      </w:r>
      <w:r w:rsidRPr="009F222C">
        <w:rPr>
          <w:szCs w:val="24"/>
          <w:lang w:val="en-CA"/>
        </w:rPr>
        <w:t xml:space="preserve"> “fair, reasonable and in the best interest of the class members”.</w:t>
      </w:r>
      <w:bookmarkStart w:id="13" w:name="_Ref128402085"/>
      <w:r w:rsidRPr="001A6BBA">
        <w:rPr>
          <w:rStyle w:val="Appelnotedebasdep"/>
          <w:rFonts w:cs="Arial"/>
          <w:szCs w:val="24"/>
          <w:lang w:val="en-CA" w:eastAsia="fr-CA"/>
        </w:rPr>
        <w:footnoteReference w:id="24"/>
      </w:r>
      <w:bookmarkEnd w:id="13"/>
      <w:r w:rsidR="00354272" w:rsidRPr="001A6BBA">
        <w:rPr>
          <w:szCs w:val="24"/>
          <w:lang w:val="en-CA"/>
        </w:rPr>
        <w:t xml:space="preserve"> </w:t>
      </w:r>
      <w:r w:rsidRPr="001A6BBA">
        <w:rPr>
          <w:szCs w:val="24"/>
          <w:lang w:val="en-CA"/>
        </w:rPr>
        <w:t xml:space="preserve">As part of </w:t>
      </w:r>
      <w:r w:rsidR="00AC134D">
        <w:rPr>
          <w:szCs w:val="24"/>
          <w:lang w:val="en-CA"/>
        </w:rPr>
        <w:t>the</w:t>
      </w:r>
      <w:r w:rsidRPr="001A6BBA">
        <w:rPr>
          <w:szCs w:val="24"/>
          <w:lang w:val="en-CA"/>
        </w:rPr>
        <w:t xml:space="preserve"> analysis, he or she must </w:t>
      </w:r>
      <w:r w:rsidRPr="009F222C">
        <w:rPr>
          <w:szCs w:val="24"/>
          <w:lang w:val="en-CA"/>
        </w:rPr>
        <w:t>[</w:t>
      </w:r>
      <w:r w:rsidRPr="009F222C">
        <w:rPr>
          <w:smallCaps/>
          <w:szCs w:val="24"/>
          <w:lang w:val="en-CA"/>
        </w:rPr>
        <w:t>translation]</w:t>
      </w:r>
      <w:r w:rsidRPr="009F222C">
        <w:rPr>
          <w:szCs w:val="24"/>
          <w:lang w:val="en-CA"/>
        </w:rPr>
        <w:t xml:space="preserve"> </w:t>
      </w:r>
      <w:r w:rsidR="00AC134D">
        <w:rPr>
          <w:szCs w:val="24"/>
          <w:lang w:val="en-CA"/>
        </w:rPr>
        <w:t>“</w:t>
      </w:r>
      <w:r w:rsidRPr="001A6BBA">
        <w:rPr>
          <w:szCs w:val="24"/>
          <w:lang w:val="en-CA"/>
        </w:rPr>
        <w:t>bear in mind the main principles and objectives underlying class actions</w:t>
      </w:r>
      <w:r w:rsidR="00AC134D">
        <w:rPr>
          <w:szCs w:val="24"/>
          <w:lang w:val="en-CA"/>
        </w:rPr>
        <w:t xml:space="preserve"> and</w:t>
      </w:r>
      <w:r w:rsidRPr="001A6BBA">
        <w:rPr>
          <w:szCs w:val="24"/>
          <w:lang w:val="en-CA"/>
        </w:rPr>
        <w:t xml:space="preserve"> weigh the advantages and disadvantages of </w:t>
      </w:r>
      <w:r w:rsidR="00035713">
        <w:rPr>
          <w:szCs w:val="24"/>
          <w:lang w:val="en-CA"/>
        </w:rPr>
        <w:t xml:space="preserve">the </w:t>
      </w:r>
      <w:r w:rsidRPr="001A6BBA">
        <w:rPr>
          <w:szCs w:val="24"/>
          <w:lang w:val="en-CA"/>
        </w:rPr>
        <w:t>settlement, as well as the reciprocal concessions, risks of a trial</w:t>
      </w:r>
      <w:r w:rsidR="00035713">
        <w:rPr>
          <w:szCs w:val="24"/>
          <w:lang w:val="en-CA"/>
        </w:rPr>
        <w:t>,</w:t>
      </w:r>
      <w:r w:rsidRPr="001A6BBA">
        <w:rPr>
          <w:szCs w:val="24"/>
          <w:lang w:val="en-CA"/>
        </w:rPr>
        <w:t xml:space="preserve"> and costs to be incurred</w:t>
      </w:r>
      <w:bookmarkStart w:id="14" w:name="_Ref127801212"/>
      <w:r w:rsidR="00035713">
        <w:rPr>
          <w:szCs w:val="24"/>
          <w:lang w:val="en-CA"/>
        </w:rPr>
        <w:t>”</w:t>
      </w:r>
      <w:r w:rsidRPr="001A6BBA">
        <w:rPr>
          <w:szCs w:val="24"/>
          <w:lang w:val="en-CA"/>
        </w:rPr>
        <w:t>.</w:t>
      </w:r>
      <w:r w:rsidRPr="001A6BBA">
        <w:rPr>
          <w:rStyle w:val="Appelnotedebasdep"/>
          <w:szCs w:val="24"/>
          <w:lang w:val="en-CA"/>
        </w:rPr>
        <w:footnoteReference w:id="25"/>
      </w:r>
      <w:bookmarkEnd w:id="14"/>
      <w:r w:rsidR="00354272" w:rsidRPr="001A6BBA">
        <w:rPr>
          <w:szCs w:val="24"/>
          <w:lang w:val="en-CA"/>
        </w:rPr>
        <w:t xml:space="preserve"> </w:t>
      </w:r>
      <w:r w:rsidRPr="001A6BBA">
        <w:rPr>
          <w:szCs w:val="24"/>
          <w:lang w:val="en-CA"/>
        </w:rPr>
        <w:t>In practice, the assessment of the fair</w:t>
      </w:r>
      <w:r w:rsidR="00CC0EC6" w:rsidRPr="001A6BBA">
        <w:rPr>
          <w:szCs w:val="24"/>
          <w:lang w:val="en-CA"/>
        </w:rPr>
        <w:t>ness</w:t>
      </w:r>
      <w:r w:rsidRPr="001A6BBA">
        <w:rPr>
          <w:szCs w:val="24"/>
          <w:lang w:val="en-CA"/>
        </w:rPr>
        <w:t xml:space="preserve"> and reasonable</w:t>
      </w:r>
      <w:r w:rsidR="00CC0EC6" w:rsidRPr="001A6BBA">
        <w:rPr>
          <w:szCs w:val="24"/>
          <w:lang w:val="en-CA"/>
        </w:rPr>
        <w:t>ness</w:t>
      </w:r>
      <w:r w:rsidRPr="001A6BBA">
        <w:rPr>
          <w:szCs w:val="24"/>
          <w:lang w:val="en-CA"/>
        </w:rPr>
        <w:t xml:space="preserve"> of the transaction </w:t>
      </w:r>
      <w:r w:rsidR="00244D4F" w:rsidRPr="001A6BBA">
        <w:rPr>
          <w:szCs w:val="24"/>
          <w:lang w:val="en-CA"/>
        </w:rPr>
        <w:t>revolves</w:t>
      </w:r>
      <w:r w:rsidRPr="001A6BBA">
        <w:rPr>
          <w:szCs w:val="24"/>
          <w:lang w:val="en-CA"/>
        </w:rPr>
        <w:t xml:space="preserve"> around the following criteria imported from U.S. law:</w:t>
      </w:r>
    </w:p>
    <w:p w14:paraId="505EAE9D" w14:textId="71A3CFF3" w:rsidR="002E7C51" w:rsidRPr="009F222C" w:rsidRDefault="00574820" w:rsidP="002E7C51">
      <w:pPr>
        <w:pStyle w:val="Tiret"/>
        <w:numPr>
          <w:ilvl w:val="0"/>
          <w:numId w:val="27"/>
        </w:numPr>
        <w:spacing w:before="120" w:after="120" w:line="280" w:lineRule="exact"/>
        <w:ind w:left="1077" w:right="720" w:hanging="357"/>
        <w:rPr>
          <w:sz w:val="22"/>
          <w:szCs w:val="18"/>
          <w:lang w:val="en-CA"/>
        </w:rPr>
      </w:pPr>
      <w:r w:rsidRPr="009F222C">
        <w:rPr>
          <w:sz w:val="22"/>
          <w:szCs w:val="18"/>
          <w:lang w:val="en-CA"/>
        </w:rPr>
        <w:t xml:space="preserve">The likelihood </w:t>
      </w:r>
      <w:r w:rsidR="00035713">
        <w:rPr>
          <w:sz w:val="22"/>
          <w:szCs w:val="18"/>
          <w:lang w:val="en-CA"/>
        </w:rPr>
        <w:t>that the action will</w:t>
      </w:r>
      <w:r w:rsidRPr="009F222C">
        <w:rPr>
          <w:sz w:val="22"/>
          <w:szCs w:val="18"/>
          <w:lang w:val="en-CA"/>
        </w:rPr>
        <w:t xml:space="preserve"> succe</w:t>
      </w:r>
      <w:r w:rsidR="00035713">
        <w:rPr>
          <w:sz w:val="22"/>
          <w:szCs w:val="18"/>
          <w:lang w:val="en-CA"/>
        </w:rPr>
        <w:t>ed</w:t>
      </w:r>
      <w:r w:rsidRPr="009F222C">
        <w:rPr>
          <w:sz w:val="22"/>
          <w:szCs w:val="18"/>
          <w:lang w:val="en-CA"/>
        </w:rPr>
        <w:t>;</w:t>
      </w:r>
    </w:p>
    <w:p w14:paraId="5B5DA735" w14:textId="346D958A" w:rsidR="002E7C51" w:rsidRPr="009F222C" w:rsidRDefault="00574820" w:rsidP="002E7C51">
      <w:pPr>
        <w:pStyle w:val="Tiret"/>
        <w:numPr>
          <w:ilvl w:val="0"/>
          <w:numId w:val="27"/>
        </w:numPr>
        <w:spacing w:before="120" w:after="120" w:line="280" w:lineRule="exact"/>
        <w:ind w:left="1077" w:right="720" w:hanging="357"/>
        <w:rPr>
          <w:sz w:val="22"/>
          <w:szCs w:val="18"/>
          <w:lang w:val="en-CA"/>
        </w:rPr>
      </w:pPr>
      <w:r w:rsidRPr="009F222C">
        <w:rPr>
          <w:sz w:val="22"/>
          <w:szCs w:val="18"/>
          <w:lang w:val="en-CA"/>
        </w:rPr>
        <w:t xml:space="preserve">The </w:t>
      </w:r>
      <w:r w:rsidR="00035713">
        <w:rPr>
          <w:sz w:val="22"/>
          <w:szCs w:val="18"/>
          <w:lang w:val="en-CA"/>
        </w:rPr>
        <w:t>extent</w:t>
      </w:r>
      <w:r w:rsidR="00035713" w:rsidRPr="009F222C">
        <w:rPr>
          <w:sz w:val="22"/>
          <w:szCs w:val="18"/>
          <w:lang w:val="en-CA"/>
        </w:rPr>
        <w:t xml:space="preserve"> </w:t>
      </w:r>
      <w:r w:rsidRPr="009F222C">
        <w:rPr>
          <w:sz w:val="22"/>
          <w:szCs w:val="18"/>
          <w:lang w:val="en-CA"/>
        </w:rPr>
        <w:t>and nature of the evidence to be adduced;</w:t>
      </w:r>
    </w:p>
    <w:p w14:paraId="32E484DB" w14:textId="7AD33CE3" w:rsidR="002E7C51" w:rsidRPr="009F222C" w:rsidRDefault="00574820" w:rsidP="002E7C51">
      <w:pPr>
        <w:pStyle w:val="Tiret"/>
        <w:numPr>
          <w:ilvl w:val="0"/>
          <w:numId w:val="27"/>
        </w:numPr>
        <w:spacing w:before="120" w:after="120" w:line="280" w:lineRule="exact"/>
        <w:ind w:left="1077" w:right="720" w:hanging="357"/>
        <w:rPr>
          <w:sz w:val="22"/>
          <w:szCs w:val="18"/>
          <w:lang w:val="en-CA"/>
        </w:rPr>
      </w:pPr>
      <w:r w:rsidRPr="009F222C">
        <w:rPr>
          <w:sz w:val="22"/>
          <w:szCs w:val="18"/>
          <w:lang w:val="en-CA"/>
        </w:rPr>
        <w:t xml:space="preserve">The </w:t>
      </w:r>
      <w:r w:rsidR="00AC134D">
        <w:rPr>
          <w:sz w:val="22"/>
          <w:szCs w:val="18"/>
          <w:lang w:val="en-CA"/>
        </w:rPr>
        <w:t>terms</w:t>
      </w:r>
      <w:r w:rsidRPr="009F222C">
        <w:rPr>
          <w:sz w:val="22"/>
          <w:szCs w:val="18"/>
          <w:lang w:val="en-CA"/>
        </w:rPr>
        <w:t xml:space="preserve"> and conditions of the </w:t>
      </w:r>
      <w:r w:rsidR="00244D4F">
        <w:rPr>
          <w:sz w:val="22"/>
          <w:szCs w:val="18"/>
          <w:lang w:val="en-CA"/>
        </w:rPr>
        <w:t>transaction</w:t>
      </w:r>
      <w:r w:rsidRPr="009F222C">
        <w:rPr>
          <w:sz w:val="22"/>
          <w:szCs w:val="18"/>
          <w:lang w:val="en-CA"/>
        </w:rPr>
        <w:t>;</w:t>
      </w:r>
    </w:p>
    <w:p w14:paraId="03C98EEB" w14:textId="6B0E9723" w:rsidR="002E7C51" w:rsidRPr="009F222C" w:rsidRDefault="00574820" w:rsidP="002E7C51">
      <w:pPr>
        <w:pStyle w:val="Tiret"/>
        <w:numPr>
          <w:ilvl w:val="0"/>
          <w:numId w:val="27"/>
        </w:numPr>
        <w:spacing w:before="120" w:after="120" w:line="280" w:lineRule="exact"/>
        <w:ind w:left="1077" w:right="720" w:hanging="357"/>
        <w:rPr>
          <w:sz w:val="22"/>
          <w:szCs w:val="18"/>
          <w:lang w:val="en-CA"/>
        </w:rPr>
      </w:pPr>
      <w:r w:rsidRPr="009F222C">
        <w:rPr>
          <w:sz w:val="22"/>
          <w:szCs w:val="18"/>
          <w:lang w:val="en-CA"/>
        </w:rPr>
        <w:t xml:space="preserve">The recommendations </w:t>
      </w:r>
      <w:r w:rsidR="00035713" w:rsidRPr="009F222C">
        <w:rPr>
          <w:sz w:val="22"/>
          <w:szCs w:val="18"/>
          <w:lang w:val="en-CA"/>
        </w:rPr>
        <w:t xml:space="preserve">of counsel </w:t>
      </w:r>
      <w:r w:rsidRPr="009F222C">
        <w:rPr>
          <w:sz w:val="22"/>
          <w:szCs w:val="18"/>
          <w:lang w:val="en-CA"/>
        </w:rPr>
        <w:t xml:space="preserve">and </w:t>
      </w:r>
      <w:r w:rsidR="00035713">
        <w:rPr>
          <w:sz w:val="22"/>
          <w:szCs w:val="18"/>
          <w:lang w:val="en-CA"/>
        </w:rPr>
        <w:t xml:space="preserve">their degree of </w:t>
      </w:r>
      <w:r w:rsidRPr="009F222C">
        <w:rPr>
          <w:sz w:val="22"/>
          <w:szCs w:val="18"/>
          <w:lang w:val="en-CA"/>
        </w:rPr>
        <w:t>experience;</w:t>
      </w:r>
    </w:p>
    <w:p w14:paraId="667C7A2D" w14:textId="20679B67" w:rsidR="002E7C51" w:rsidRPr="009F222C" w:rsidRDefault="00574820" w:rsidP="002E7C51">
      <w:pPr>
        <w:pStyle w:val="Tiret"/>
        <w:numPr>
          <w:ilvl w:val="0"/>
          <w:numId w:val="27"/>
        </w:numPr>
        <w:spacing w:before="120" w:after="120" w:line="280" w:lineRule="exact"/>
        <w:ind w:left="1077" w:right="720" w:hanging="357"/>
        <w:rPr>
          <w:sz w:val="22"/>
          <w:szCs w:val="18"/>
          <w:lang w:val="en-CA"/>
        </w:rPr>
      </w:pPr>
      <w:r w:rsidRPr="009F222C">
        <w:rPr>
          <w:sz w:val="22"/>
          <w:szCs w:val="18"/>
          <w:lang w:val="en-CA"/>
        </w:rPr>
        <w:t xml:space="preserve">The </w:t>
      </w:r>
      <w:r w:rsidR="00035713">
        <w:rPr>
          <w:sz w:val="22"/>
          <w:szCs w:val="18"/>
          <w:lang w:val="en-CA"/>
        </w:rPr>
        <w:t xml:space="preserve">anticipated cost and </w:t>
      </w:r>
      <w:r w:rsidRPr="009F222C">
        <w:rPr>
          <w:sz w:val="22"/>
          <w:szCs w:val="18"/>
          <w:lang w:val="en-CA"/>
        </w:rPr>
        <w:t>duration of litigation;</w:t>
      </w:r>
    </w:p>
    <w:p w14:paraId="50680203" w14:textId="23953DDE" w:rsidR="002E7C51" w:rsidRPr="009F222C" w:rsidRDefault="00574820" w:rsidP="002E7C51">
      <w:pPr>
        <w:pStyle w:val="Tiret"/>
        <w:numPr>
          <w:ilvl w:val="0"/>
          <w:numId w:val="27"/>
        </w:numPr>
        <w:spacing w:before="120" w:after="120" w:line="280" w:lineRule="exact"/>
        <w:ind w:left="1077" w:right="720" w:hanging="357"/>
        <w:rPr>
          <w:sz w:val="22"/>
          <w:szCs w:val="18"/>
          <w:lang w:val="en-CA"/>
        </w:rPr>
      </w:pPr>
      <w:r w:rsidRPr="009F222C">
        <w:rPr>
          <w:sz w:val="22"/>
          <w:szCs w:val="18"/>
          <w:lang w:val="en-CA"/>
        </w:rPr>
        <w:t>The recommendations of neutral third parties, if any;</w:t>
      </w:r>
    </w:p>
    <w:p w14:paraId="41221BFC" w14:textId="3760372A" w:rsidR="002E7C51" w:rsidRPr="009F222C" w:rsidRDefault="00574820" w:rsidP="002E7C51">
      <w:pPr>
        <w:pStyle w:val="Tiret"/>
        <w:numPr>
          <w:ilvl w:val="0"/>
          <w:numId w:val="27"/>
        </w:numPr>
        <w:spacing w:before="120" w:after="120" w:line="280" w:lineRule="exact"/>
        <w:ind w:left="1077" w:right="720" w:hanging="357"/>
        <w:rPr>
          <w:sz w:val="22"/>
          <w:szCs w:val="18"/>
          <w:lang w:val="en-CA"/>
        </w:rPr>
      </w:pPr>
      <w:r w:rsidRPr="009F222C">
        <w:rPr>
          <w:sz w:val="22"/>
          <w:szCs w:val="18"/>
          <w:lang w:val="en-CA"/>
        </w:rPr>
        <w:lastRenderedPageBreak/>
        <w:t xml:space="preserve">The </w:t>
      </w:r>
      <w:r w:rsidR="00F1790E">
        <w:rPr>
          <w:sz w:val="22"/>
          <w:szCs w:val="18"/>
          <w:lang w:val="en-CA"/>
        </w:rPr>
        <w:t>nature</w:t>
      </w:r>
      <w:r w:rsidR="00F1790E" w:rsidRPr="009F222C">
        <w:rPr>
          <w:sz w:val="22"/>
          <w:szCs w:val="18"/>
          <w:lang w:val="en-CA"/>
        </w:rPr>
        <w:t xml:space="preserve"> </w:t>
      </w:r>
      <w:r w:rsidRPr="009F222C">
        <w:rPr>
          <w:sz w:val="22"/>
          <w:szCs w:val="18"/>
          <w:lang w:val="en-CA"/>
        </w:rPr>
        <w:t xml:space="preserve">and </w:t>
      </w:r>
      <w:r w:rsidR="00F1790E">
        <w:rPr>
          <w:sz w:val="22"/>
          <w:szCs w:val="18"/>
          <w:lang w:val="en-CA"/>
        </w:rPr>
        <w:t>number</w:t>
      </w:r>
      <w:r w:rsidR="00F1790E" w:rsidRPr="009F222C">
        <w:rPr>
          <w:sz w:val="22"/>
          <w:szCs w:val="18"/>
          <w:lang w:val="en-CA"/>
        </w:rPr>
        <w:t xml:space="preserve"> </w:t>
      </w:r>
      <w:r w:rsidRPr="009F222C">
        <w:rPr>
          <w:sz w:val="22"/>
          <w:szCs w:val="18"/>
          <w:lang w:val="en-CA"/>
        </w:rPr>
        <w:t xml:space="preserve">of objections to the </w:t>
      </w:r>
      <w:r w:rsidR="00244D4F">
        <w:rPr>
          <w:sz w:val="22"/>
          <w:szCs w:val="18"/>
          <w:lang w:val="en-CA"/>
        </w:rPr>
        <w:t>transaction</w:t>
      </w:r>
      <w:r w:rsidRPr="009F222C">
        <w:rPr>
          <w:sz w:val="22"/>
          <w:szCs w:val="18"/>
          <w:lang w:val="en-CA"/>
        </w:rPr>
        <w:t>; and</w:t>
      </w:r>
    </w:p>
    <w:p w14:paraId="549865CB" w14:textId="01310BCC" w:rsidR="002E7C51" w:rsidRPr="001A6BBA" w:rsidRDefault="00574820" w:rsidP="002E7C51">
      <w:pPr>
        <w:pStyle w:val="Tiret"/>
        <w:numPr>
          <w:ilvl w:val="0"/>
          <w:numId w:val="27"/>
        </w:numPr>
        <w:spacing w:before="120" w:after="120" w:line="280" w:lineRule="exact"/>
        <w:ind w:left="1077" w:right="720" w:hanging="357"/>
        <w:rPr>
          <w:sz w:val="22"/>
          <w:szCs w:val="18"/>
          <w:lang w:val="en-CA"/>
        </w:rPr>
      </w:pPr>
      <w:bookmarkStart w:id="16" w:name="_Ref127799635"/>
      <w:r w:rsidRPr="009F222C">
        <w:rPr>
          <w:sz w:val="22"/>
          <w:szCs w:val="18"/>
          <w:lang w:val="en-CA"/>
        </w:rPr>
        <w:t xml:space="preserve">The good faith </w:t>
      </w:r>
      <w:r w:rsidR="00035713">
        <w:rPr>
          <w:sz w:val="22"/>
          <w:szCs w:val="18"/>
          <w:lang w:val="en-CA"/>
        </w:rPr>
        <w:t xml:space="preserve">of the parties </w:t>
      </w:r>
      <w:r w:rsidRPr="009F222C">
        <w:rPr>
          <w:sz w:val="22"/>
          <w:szCs w:val="18"/>
          <w:lang w:val="en-CA"/>
        </w:rPr>
        <w:t>and the absence of collusion.</w:t>
      </w:r>
      <w:r w:rsidR="00354272" w:rsidRPr="001A6BBA">
        <w:rPr>
          <w:rStyle w:val="Appelnotedebasdep"/>
          <w:sz w:val="22"/>
          <w:szCs w:val="18"/>
          <w:lang w:val="en-CA"/>
        </w:rPr>
        <w:footnoteReference w:id="26"/>
      </w:r>
      <w:bookmarkEnd w:id="16"/>
    </w:p>
    <w:p w14:paraId="7585EF04" w14:textId="4707933A" w:rsidR="002E7C51" w:rsidRPr="001A6BBA" w:rsidRDefault="00574820" w:rsidP="002E7C51">
      <w:pPr>
        <w:pStyle w:val="Style1"/>
        <w:spacing w:before="120" w:after="120" w:line="280" w:lineRule="exact"/>
        <w:rPr>
          <w:lang w:val="en-CA"/>
        </w:rPr>
      </w:pPr>
      <w:r w:rsidRPr="001A6BBA">
        <w:rPr>
          <w:szCs w:val="24"/>
          <w:lang w:val="en-CA"/>
        </w:rPr>
        <w:t xml:space="preserve">In principle, the judge must approve the agreement as </w:t>
      </w:r>
      <w:r w:rsidR="00EB145C">
        <w:rPr>
          <w:szCs w:val="24"/>
          <w:lang w:val="en-CA"/>
        </w:rPr>
        <w:t>is</w:t>
      </w:r>
      <w:r w:rsidRPr="001A6BBA">
        <w:rPr>
          <w:szCs w:val="24"/>
          <w:lang w:val="en-CA"/>
        </w:rPr>
        <w:t xml:space="preserve"> or refuse to ratify it.</w:t>
      </w:r>
      <w:r w:rsidR="00354272" w:rsidRPr="001A6BBA">
        <w:rPr>
          <w:szCs w:val="24"/>
          <w:lang w:val="en-CA"/>
        </w:rPr>
        <w:t xml:space="preserve"> </w:t>
      </w:r>
      <w:r w:rsidR="00EB145C">
        <w:rPr>
          <w:szCs w:val="24"/>
          <w:lang w:val="en-CA"/>
        </w:rPr>
        <w:t>Since t</w:t>
      </w:r>
      <w:r w:rsidRPr="001A6BBA">
        <w:rPr>
          <w:szCs w:val="24"/>
          <w:lang w:val="en-CA"/>
        </w:rPr>
        <w:t>he</w:t>
      </w:r>
      <w:r w:rsidR="00EB145C">
        <w:rPr>
          <w:szCs w:val="24"/>
          <w:lang w:val="en-CA"/>
        </w:rPr>
        <w:t xml:space="preserve"> transaction</w:t>
      </w:r>
      <w:r w:rsidRPr="001A6BBA">
        <w:rPr>
          <w:szCs w:val="24"/>
          <w:lang w:val="en-CA"/>
        </w:rPr>
        <w:t xml:space="preserve"> is indivisible, he or she may not approve it in part or </w:t>
      </w:r>
      <w:r w:rsidR="00EB145C">
        <w:rPr>
          <w:szCs w:val="24"/>
          <w:lang w:val="en-CA"/>
        </w:rPr>
        <w:t>amend</w:t>
      </w:r>
      <w:r w:rsidRPr="001A6BBA">
        <w:rPr>
          <w:szCs w:val="24"/>
          <w:lang w:val="en-CA"/>
        </w:rPr>
        <w:t xml:space="preserve"> it.</w:t>
      </w:r>
      <w:r w:rsidRPr="001A6BBA">
        <w:rPr>
          <w:rStyle w:val="Appelnotedebasdep"/>
          <w:szCs w:val="24"/>
          <w:lang w:val="en-CA"/>
        </w:rPr>
        <w:footnoteReference w:id="27"/>
      </w:r>
      <w:r w:rsidR="00354272" w:rsidRPr="001A6BBA">
        <w:rPr>
          <w:szCs w:val="24"/>
          <w:lang w:val="en-CA"/>
        </w:rPr>
        <w:t xml:space="preserve"> </w:t>
      </w:r>
      <w:r w:rsidRPr="001A6BBA">
        <w:rPr>
          <w:szCs w:val="24"/>
          <w:lang w:val="en-CA"/>
        </w:rPr>
        <w:t xml:space="preserve">What happens when the agreement the parties are seeking to have approved as a </w:t>
      </w:r>
      <w:r w:rsidR="00EB145C">
        <w:rPr>
          <w:szCs w:val="24"/>
          <w:lang w:val="en-CA"/>
        </w:rPr>
        <w:t>transaction</w:t>
      </w:r>
      <w:r w:rsidRPr="001A6BBA">
        <w:rPr>
          <w:szCs w:val="24"/>
          <w:lang w:val="en-CA"/>
        </w:rPr>
        <w:t xml:space="preserve"> includes a clause fixing the </w:t>
      </w:r>
      <w:r w:rsidR="00EB145C">
        <w:rPr>
          <w:szCs w:val="24"/>
          <w:lang w:val="en-CA"/>
        </w:rPr>
        <w:t xml:space="preserve">professional </w:t>
      </w:r>
      <w:r w:rsidRPr="001A6BBA">
        <w:rPr>
          <w:szCs w:val="24"/>
          <w:lang w:val="en-CA"/>
        </w:rPr>
        <w:t>fees of class counsel?</w:t>
      </w:r>
    </w:p>
    <w:p w14:paraId="2E2F573A" w14:textId="6846811C" w:rsidR="002E7C51" w:rsidRPr="009F222C" w:rsidRDefault="00574820" w:rsidP="002E7C51">
      <w:pPr>
        <w:pStyle w:val="Paragraphe"/>
        <w:spacing w:line="280" w:lineRule="exact"/>
        <w:rPr>
          <w:lang w:val="en-CA"/>
        </w:rPr>
      </w:pPr>
      <w:r w:rsidRPr="009F222C">
        <w:rPr>
          <w:lang w:val="en-CA"/>
        </w:rPr>
        <w:t>Article 593 CCP provides as foll</w:t>
      </w:r>
      <w:r w:rsidR="00EB145C">
        <w:rPr>
          <w:lang w:val="en-CA"/>
        </w:rPr>
        <w:t>o</w:t>
      </w:r>
      <w:r w:rsidRPr="009F222C">
        <w:rPr>
          <w:lang w:val="en-CA"/>
        </w:rPr>
        <w:t>ws:</w:t>
      </w:r>
    </w:p>
    <w:tbl>
      <w:tblPr>
        <w:tblW w:w="0" w:type="auto"/>
        <w:tblCellMar>
          <w:left w:w="70" w:type="dxa"/>
          <w:right w:w="70" w:type="dxa"/>
        </w:tblCellMar>
        <w:tblLook w:val="0000" w:firstRow="0" w:lastRow="0" w:firstColumn="0" w:lastColumn="0" w:noHBand="0" w:noVBand="0"/>
      </w:tblPr>
      <w:tblGrid>
        <w:gridCol w:w="4680"/>
        <w:gridCol w:w="4682"/>
      </w:tblGrid>
      <w:tr w:rsidR="00C233D9" w:rsidRPr="001A6BBA" w14:paraId="19A104D1" w14:textId="77777777" w:rsidTr="00E024A4">
        <w:tc>
          <w:tcPr>
            <w:tcW w:w="4680" w:type="dxa"/>
          </w:tcPr>
          <w:p w14:paraId="69321FC3" w14:textId="1D54F426" w:rsidR="002E7C51" w:rsidRPr="001A6BBA" w:rsidRDefault="00354272" w:rsidP="00574820">
            <w:pPr>
              <w:shd w:val="clear" w:color="auto" w:fill="FFFFFF"/>
              <w:ind w:left="209" w:right="142"/>
              <w:jc w:val="both"/>
              <w:rPr>
                <w:rFonts w:cs="Arial"/>
                <w:sz w:val="22"/>
                <w:szCs w:val="22"/>
                <w:lang w:val="en-CA" w:eastAsia="fr-CA"/>
              </w:rPr>
            </w:pPr>
            <w:r w:rsidRPr="001A6BBA">
              <w:rPr>
                <w:b/>
                <w:bCs/>
                <w:sz w:val="22"/>
                <w:szCs w:val="22"/>
                <w:lang w:val="en-CA"/>
              </w:rPr>
              <w:t>593.</w:t>
            </w:r>
            <w:r w:rsidRPr="001A6BBA">
              <w:rPr>
                <w:sz w:val="22"/>
                <w:szCs w:val="22"/>
                <w:lang w:val="en-CA"/>
              </w:rPr>
              <w:t xml:space="preserve"> </w:t>
            </w:r>
            <w:r w:rsidR="00574820" w:rsidRPr="009F222C">
              <w:rPr>
                <w:rFonts w:cs="Arial"/>
                <w:sz w:val="22"/>
                <w:szCs w:val="22"/>
                <w:lang w:val="en-CA" w:eastAsia="fr-CA"/>
              </w:rPr>
              <w:t>The court may award the representative plaintiff an indemnity for disbursements and an amount to cover legal costs and the lawyer’s professional fee.</w:t>
            </w:r>
            <w:r w:rsidR="00574820" w:rsidRPr="001A6BBA">
              <w:rPr>
                <w:rFonts w:cs="Arial"/>
                <w:sz w:val="22"/>
                <w:szCs w:val="22"/>
                <w:lang w:val="en-CA" w:eastAsia="fr-CA"/>
              </w:rPr>
              <w:t xml:space="preserve"> </w:t>
            </w:r>
            <w:r w:rsidR="00574820" w:rsidRPr="009F222C">
              <w:rPr>
                <w:rFonts w:cs="Arial"/>
                <w:sz w:val="22"/>
                <w:szCs w:val="22"/>
                <w:lang w:val="en-CA" w:eastAsia="fr-CA"/>
              </w:rPr>
              <w:t>Both are payable out of the amount recovered collectively or before payment of individual claims.</w:t>
            </w:r>
          </w:p>
          <w:p w14:paraId="42F977EC" w14:textId="77777777" w:rsidR="002E7C51" w:rsidRPr="001A6BBA" w:rsidRDefault="002E7C51" w:rsidP="002E7C51">
            <w:pPr>
              <w:shd w:val="clear" w:color="auto" w:fill="FFFFFF"/>
              <w:ind w:left="720" w:right="142"/>
              <w:jc w:val="both"/>
              <w:rPr>
                <w:rFonts w:cs="Arial"/>
                <w:sz w:val="22"/>
                <w:szCs w:val="22"/>
                <w:lang w:val="en-CA" w:eastAsia="fr-CA"/>
              </w:rPr>
            </w:pPr>
          </w:p>
        </w:tc>
        <w:tc>
          <w:tcPr>
            <w:tcW w:w="4682" w:type="dxa"/>
          </w:tcPr>
          <w:p w14:paraId="777A6AC7" w14:textId="6E9E9291" w:rsidR="002E7C51" w:rsidRPr="008778A3" w:rsidRDefault="00354272" w:rsidP="002E7C51">
            <w:pPr>
              <w:shd w:val="clear" w:color="auto" w:fill="FFFFFF"/>
              <w:ind w:left="142" w:right="720"/>
              <w:jc w:val="both"/>
              <w:rPr>
                <w:rFonts w:cs="Arial"/>
                <w:sz w:val="22"/>
                <w:szCs w:val="22"/>
                <w:lang w:eastAsia="fr-CA"/>
              </w:rPr>
            </w:pPr>
            <w:r w:rsidRPr="008778A3">
              <w:rPr>
                <w:b/>
                <w:bCs/>
                <w:sz w:val="22"/>
                <w:szCs w:val="22"/>
              </w:rPr>
              <w:t>593.</w:t>
            </w:r>
            <w:r w:rsidRPr="008778A3">
              <w:rPr>
                <w:sz w:val="22"/>
                <w:szCs w:val="22"/>
              </w:rPr>
              <w:t xml:space="preserve"> </w:t>
            </w:r>
            <w:r w:rsidR="00574820" w:rsidRPr="008778A3">
              <w:rPr>
                <w:rFonts w:cs="Arial"/>
                <w:sz w:val="22"/>
                <w:szCs w:val="22"/>
                <w:lang w:eastAsia="fr-CA"/>
              </w:rPr>
              <w:t xml:space="preserve">Le tribunal peut accorder une indemnité au </w:t>
            </w:r>
            <w:r w:rsidR="00E53512" w:rsidRPr="008778A3">
              <w:rPr>
                <w:rFonts w:cs="Arial"/>
                <w:sz w:val="22"/>
                <w:szCs w:val="22"/>
                <w:lang w:eastAsia="fr-CA"/>
              </w:rPr>
              <w:t>repr</w:t>
            </w:r>
            <w:r w:rsidR="00D951B2">
              <w:rPr>
                <w:rFonts w:cs="Arial"/>
                <w:sz w:val="22"/>
                <w:szCs w:val="22"/>
                <w:lang w:eastAsia="fr-CA"/>
              </w:rPr>
              <w:t>é</w:t>
            </w:r>
            <w:r w:rsidR="00E53512" w:rsidRPr="008778A3">
              <w:rPr>
                <w:rFonts w:cs="Arial"/>
                <w:sz w:val="22"/>
                <w:szCs w:val="22"/>
                <w:lang w:eastAsia="fr-CA"/>
              </w:rPr>
              <w:t>sent</w:t>
            </w:r>
            <w:r w:rsidR="00D951B2">
              <w:rPr>
                <w:rFonts w:cs="Arial"/>
                <w:sz w:val="22"/>
                <w:szCs w:val="22"/>
                <w:lang w:eastAsia="fr-CA"/>
              </w:rPr>
              <w:t>ant</w:t>
            </w:r>
            <w:r w:rsidR="00574820" w:rsidRPr="008778A3">
              <w:rPr>
                <w:rFonts w:cs="Arial"/>
                <w:sz w:val="22"/>
                <w:szCs w:val="22"/>
                <w:lang w:eastAsia="fr-CA"/>
              </w:rPr>
              <w:t xml:space="preserve"> pour le paiement de ses débours de même qu’un montant pour le paiement des frais de justice et des honoraires de son avocat, le tout payable à même le montant du recouvrement collectif ou avant le paiement des réclamations individuelles.</w:t>
            </w:r>
          </w:p>
          <w:p w14:paraId="2E5F5087" w14:textId="77777777" w:rsidR="002E7C51" w:rsidRPr="008778A3" w:rsidRDefault="00354272" w:rsidP="002E7C51">
            <w:pPr>
              <w:shd w:val="clear" w:color="auto" w:fill="FFFFFF"/>
              <w:ind w:left="142" w:right="720"/>
              <w:jc w:val="both"/>
              <w:rPr>
                <w:rFonts w:cs="Arial"/>
                <w:sz w:val="22"/>
                <w:szCs w:val="22"/>
                <w:u w:val="single"/>
                <w:lang w:eastAsia="fr-CA"/>
              </w:rPr>
            </w:pPr>
            <w:r w:rsidRPr="008778A3">
              <w:rPr>
                <w:rFonts w:cs="Arial"/>
                <w:sz w:val="22"/>
                <w:szCs w:val="22"/>
                <w:lang w:eastAsia="fr-CA"/>
              </w:rPr>
              <w:br/>
            </w:r>
          </w:p>
        </w:tc>
      </w:tr>
      <w:tr w:rsidR="00C233D9" w:rsidRPr="001A6BBA" w14:paraId="57453646" w14:textId="77777777" w:rsidTr="00E024A4">
        <w:tc>
          <w:tcPr>
            <w:tcW w:w="4680" w:type="dxa"/>
          </w:tcPr>
          <w:p w14:paraId="4BA5D923" w14:textId="77777777" w:rsidR="00574820" w:rsidRPr="001A6BBA" w:rsidRDefault="00574820" w:rsidP="00574820">
            <w:pPr>
              <w:shd w:val="clear" w:color="auto" w:fill="FFFFFF"/>
              <w:ind w:left="142" w:right="720"/>
              <w:jc w:val="both"/>
              <w:rPr>
                <w:rFonts w:cs="Arial"/>
                <w:sz w:val="22"/>
                <w:szCs w:val="22"/>
                <w:u w:val="single"/>
                <w:lang w:val="en-CA" w:eastAsia="fr-CA"/>
              </w:rPr>
            </w:pPr>
            <w:r w:rsidRPr="009F222C">
              <w:rPr>
                <w:rFonts w:cs="Arial"/>
                <w:sz w:val="22"/>
                <w:szCs w:val="22"/>
                <w:u w:val="single"/>
                <w:lang w:val="en-CA" w:eastAsia="fr-CA"/>
              </w:rPr>
              <w:t>In the interests of the class members, the court assesses whether the fee charged by the representative plaintiff’s lawyer is reasonable;</w:t>
            </w:r>
            <w:r w:rsidRPr="001A6BBA">
              <w:rPr>
                <w:rFonts w:cs="Arial"/>
                <w:sz w:val="22"/>
                <w:szCs w:val="22"/>
                <w:u w:val="single"/>
                <w:lang w:val="en-CA" w:eastAsia="fr-CA"/>
              </w:rPr>
              <w:t xml:space="preserve"> </w:t>
            </w:r>
            <w:r w:rsidRPr="009F222C">
              <w:rPr>
                <w:rFonts w:cs="Arial"/>
                <w:sz w:val="22"/>
                <w:szCs w:val="22"/>
                <w:u w:val="single"/>
                <w:lang w:val="en-CA" w:eastAsia="fr-CA"/>
              </w:rPr>
              <w:t>if the fee is not reasonable, the court may determine it.</w:t>
            </w:r>
          </w:p>
          <w:p w14:paraId="7E7A531D" w14:textId="77777777" w:rsidR="002E7C51" w:rsidRPr="001A6BBA" w:rsidRDefault="002E7C51" w:rsidP="00574820">
            <w:pPr>
              <w:shd w:val="clear" w:color="auto" w:fill="FFFFFF"/>
              <w:ind w:left="720" w:right="142"/>
              <w:jc w:val="both"/>
              <w:rPr>
                <w:b/>
                <w:bCs/>
                <w:sz w:val="22"/>
                <w:szCs w:val="22"/>
                <w:lang w:val="en-CA"/>
              </w:rPr>
            </w:pPr>
          </w:p>
        </w:tc>
        <w:tc>
          <w:tcPr>
            <w:tcW w:w="4682" w:type="dxa"/>
          </w:tcPr>
          <w:p w14:paraId="76B4A1BA" w14:textId="54D8FEA9" w:rsidR="00574820" w:rsidRPr="008778A3" w:rsidRDefault="00574820" w:rsidP="00574820">
            <w:pPr>
              <w:shd w:val="clear" w:color="auto" w:fill="FFFFFF"/>
              <w:ind w:left="65" w:right="142"/>
              <w:jc w:val="both"/>
              <w:rPr>
                <w:rFonts w:cs="Arial"/>
                <w:sz w:val="22"/>
                <w:szCs w:val="22"/>
                <w:u w:val="single"/>
                <w:lang w:eastAsia="fr-CA"/>
              </w:rPr>
            </w:pPr>
            <w:r w:rsidRPr="008778A3">
              <w:rPr>
                <w:rFonts w:cs="Arial"/>
                <w:sz w:val="22"/>
                <w:szCs w:val="22"/>
                <w:u w:val="single"/>
                <w:lang w:eastAsia="fr-CA"/>
              </w:rPr>
              <w:t xml:space="preserve">Il s’assure, en tenant compte de l’intérêt des membres du groupe, que les honoraires de l’avocat du </w:t>
            </w:r>
            <w:r w:rsidR="00D951B2" w:rsidRPr="00D951B2">
              <w:rPr>
                <w:rFonts w:cs="Arial"/>
                <w:sz w:val="22"/>
                <w:szCs w:val="22"/>
                <w:u w:val="single"/>
                <w:lang w:eastAsia="fr-CA"/>
              </w:rPr>
              <w:t>représentant</w:t>
            </w:r>
            <w:r w:rsidRPr="008778A3">
              <w:rPr>
                <w:rFonts w:cs="Arial"/>
                <w:sz w:val="22"/>
                <w:szCs w:val="22"/>
                <w:u w:val="single"/>
                <w:lang w:eastAsia="fr-CA"/>
              </w:rPr>
              <w:t xml:space="preserve"> sont raisonnables; autrement, il peut les fixer au montant qu’il indique.</w:t>
            </w:r>
          </w:p>
          <w:p w14:paraId="0B124747" w14:textId="0E5B44F5" w:rsidR="002E7C51" w:rsidRPr="008778A3" w:rsidRDefault="002E7C51" w:rsidP="00574820">
            <w:pPr>
              <w:shd w:val="clear" w:color="auto" w:fill="FFFFFF"/>
              <w:ind w:left="142" w:right="720"/>
              <w:jc w:val="both"/>
              <w:rPr>
                <w:b/>
                <w:bCs/>
                <w:sz w:val="22"/>
                <w:szCs w:val="22"/>
              </w:rPr>
            </w:pPr>
          </w:p>
        </w:tc>
      </w:tr>
      <w:tr w:rsidR="00C233D9" w:rsidRPr="001A6BBA" w14:paraId="4015230E" w14:textId="77777777" w:rsidTr="00E024A4">
        <w:tc>
          <w:tcPr>
            <w:tcW w:w="4680" w:type="dxa"/>
          </w:tcPr>
          <w:p w14:paraId="435DAD02" w14:textId="77777777" w:rsidR="00574820" w:rsidRPr="001A6BBA" w:rsidRDefault="00574820" w:rsidP="00574820">
            <w:pPr>
              <w:shd w:val="clear" w:color="auto" w:fill="FFFFFF"/>
              <w:ind w:left="142" w:right="720"/>
              <w:jc w:val="both"/>
              <w:rPr>
                <w:rFonts w:cs="Arial"/>
                <w:sz w:val="22"/>
                <w:szCs w:val="22"/>
                <w:lang w:val="en-CA" w:eastAsia="fr-CA"/>
              </w:rPr>
            </w:pPr>
            <w:r w:rsidRPr="009F222C">
              <w:rPr>
                <w:rFonts w:cs="Arial"/>
                <w:sz w:val="22"/>
                <w:szCs w:val="22"/>
                <w:lang w:val="en-CA" w:eastAsia="fr-CA"/>
              </w:rPr>
              <w:t>Regardless of whether the Class Action Assistance Fund provided assistance to the representative plaintiff, the court hears the Fund before ruling on the legal costs and the fee.</w:t>
            </w:r>
            <w:r w:rsidRPr="001A6BBA">
              <w:rPr>
                <w:rFonts w:cs="Arial"/>
                <w:sz w:val="22"/>
                <w:szCs w:val="22"/>
                <w:lang w:val="en-CA" w:eastAsia="fr-CA"/>
              </w:rPr>
              <w:t xml:space="preserve"> </w:t>
            </w:r>
            <w:r w:rsidRPr="009F222C">
              <w:rPr>
                <w:rFonts w:cs="Arial"/>
                <w:sz w:val="22"/>
                <w:szCs w:val="22"/>
                <w:lang w:val="en-CA" w:eastAsia="fr-CA"/>
              </w:rPr>
              <w:t>The court considers whether or not the Fund guaranteed payment of all or any portion of the legal costs or the fee.</w:t>
            </w:r>
          </w:p>
          <w:p w14:paraId="5354D6DB" w14:textId="77777777" w:rsidR="002E7C51" w:rsidRPr="001A6BBA" w:rsidRDefault="002E7C51" w:rsidP="00574820">
            <w:pPr>
              <w:shd w:val="clear" w:color="auto" w:fill="FFFFFF"/>
              <w:ind w:left="720" w:right="142"/>
              <w:jc w:val="both"/>
              <w:rPr>
                <w:b/>
                <w:bCs/>
                <w:sz w:val="22"/>
                <w:szCs w:val="22"/>
                <w:lang w:val="en-CA"/>
              </w:rPr>
            </w:pPr>
          </w:p>
        </w:tc>
        <w:tc>
          <w:tcPr>
            <w:tcW w:w="4682" w:type="dxa"/>
          </w:tcPr>
          <w:p w14:paraId="7D6FAB8C" w14:textId="285600B3" w:rsidR="002E7C51" w:rsidRPr="008778A3" w:rsidRDefault="00075735" w:rsidP="00574820">
            <w:pPr>
              <w:shd w:val="clear" w:color="auto" w:fill="FFFFFF"/>
              <w:ind w:left="142" w:right="720"/>
              <w:jc w:val="both"/>
              <w:rPr>
                <w:b/>
                <w:bCs/>
                <w:sz w:val="22"/>
                <w:szCs w:val="22"/>
              </w:rPr>
            </w:pPr>
            <w:r w:rsidRPr="00D023DE">
              <w:rPr>
                <w:rFonts w:cs="Arial"/>
                <w:sz w:val="22"/>
                <w:szCs w:val="22"/>
                <w:lang w:eastAsia="fr-CA"/>
              </w:rPr>
              <w:t>Il entend, avant de se prononcer sur les frais de justice et les honoraires, le Fonds d’aide aux actions collectives que celui-ci ait ou non attribué une aide au représentant. Le tribunal prend en compte le fait que le Fonds ait garanti le paiement de tout ou partie des frais de justice ou des honoraires.</w:t>
            </w:r>
          </w:p>
        </w:tc>
      </w:tr>
      <w:tr w:rsidR="00C233D9" w:rsidRPr="001A6BBA" w14:paraId="482F4023" w14:textId="77777777" w:rsidTr="00E024A4">
        <w:tc>
          <w:tcPr>
            <w:tcW w:w="4680" w:type="dxa"/>
          </w:tcPr>
          <w:p w14:paraId="05EE9A0B" w14:textId="77777777" w:rsidR="002E7C51" w:rsidRPr="008778A3" w:rsidRDefault="002E7C51" w:rsidP="002E7C51">
            <w:pPr>
              <w:shd w:val="clear" w:color="auto" w:fill="FFFFFF"/>
              <w:ind w:left="720" w:right="142"/>
              <w:jc w:val="both"/>
              <w:rPr>
                <w:b/>
                <w:bCs/>
                <w:sz w:val="22"/>
                <w:szCs w:val="22"/>
              </w:rPr>
            </w:pPr>
          </w:p>
        </w:tc>
        <w:tc>
          <w:tcPr>
            <w:tcW w:w="4682" w:type="dxa"/>
          </w:tcPr>
          <w:p w14:paraId="2D985630" w14:textId="77777777" w:rsidR="002E7C51" w:rsidRPr="009F222C" w:rsidRDefault="00354272" w:rsidP="002E7C51">
            <w:pPr>
              <w:shd w:val="clear" w:color="auto" w:fill="FFFFFF"/>
              <w:ind w:left="720" w:right="142"/>
              <w:jc w:val="right"/>
              <w:rPr>
                <w:rFonts w:cs="Arial"/>
                <w:sz w:val="22"/>
                <w:szCs w:val="22"/>
                <w:u w:val="single"/>
                <w:lang w:val="en-CA" w:eastAsia="fr-CA"/>
              </w:rPr>
            </w:pPr>
            <w:r w:rsidRPr="009F222C">
              <w:rPr>
                <w:rFonts w:cs="Arial"/>
                <w:sz w:val="22"/>
                <w:szCs w:val="22"/>
                <w:lang w:val="en-CA" w:eastAsia="fr-CA"/>
              </w:rPr>
              <w:t>[Emphasis added.]</w:t>
            </w:r>
          </w:p>
        </w:tc>
      </w:tr>
    </w:tbl>
    <w:p w14:paraId="57BC4A3E" w14:textId="5E26E208" w:rsidR="002E7C51" w:rsidRPr="001A6BBA" w:rsidRDefault="00574820" w:rsidP="002E7C51">
      <w:pPr>
        <w:pStyle w:val="Paragraphe"/>
        <w:spacing w:line="280" w:lineRule="exact"/>
        <w:rPr>
          <w:lang w:val="en-CA"/>
        </w:rPr>
      </w:pPr>
      <w:r w:rsidRPr="009F222C">
        <w:rPr>
          <w:szCs w:val="24"/>
          <w:lang w:val="en-CA"/>
        </w:rPr>
        <w:lastRenderedPageBreak/>
        <w:t>Thus, art. 593 CCP establishes that [</w:t>
      </w:r>
      <w:r w:rsidRPr="009F222C">
        <w:rPr>
          <w:smallCaps/>
          <w:szCs w:val="24"/>
          <w:lang w:val="en-CA"/>
        </w:rPr>
        <w:t>translation]</w:t>
      </w:r>
      <w:r w:rsidR="00354272" w:rsidRPr="001A6BBA">
        <w:rPr>
          <w:szCs w:val="24"/>
          <w:lang w:val="en-CA"/>
        </w:rPr>
        <w:t xml:space="preserve"> </w:t>
      </w:r>
      <w:r w:rsidRPr="001A6BBA">
        <w:rPr>
          <w:lang w:val="en-CA"/>
        </w:rPr>
        <w:t>“</w:t>
      </w:r>
      <w:r w:rsidR="00D0470F" w:rsidRPr="00D0470F">
        <w:rPr>
          <w:lang w:val="en-CA"/>
        </w:rPr>
        <w:t>no fee agreement concluded between the class representative and counsel – nor any fee agreement concluded between the class representative, counsel and the opposing parties in a transaction submitted for approval – binds the judge</w:t>
      </w:r>
      <w:r w:rsidRPr="001A6BBA">
        <w:rPr>
          <w:lang w:val="en-CA"/>
        </w:rPr>
        <w:t>”</w:t>
      </w:r>
      <w:r w:rsidR="00D0470F">
        <w:rPr>
          <w:lang w:val="en-CA"/>
        </w:rPr>
        <w:t>.</w:t>
      </w:r>
      <w:r w:rsidRPr="001A6BBA">
        <w:rPr>
          <w:rStyle w:val="Appelnotedebasdep"/>
          <w:rFonts w:cs="Arial"/>
          <w:color w:val="000000"/>
          <w:lang w:val="en-CA"/>
        </w:rPr>
        <w:footnoteReference w:id="28"/>
      </w:r>
      <w:r w:rsidR="00354272" w:rsidRPr="001A6BBA">
        <w:rPr>
          <w:lang w:val="en-CA"/>
        </w:rPr>
        <w:t xml:space="preserve"> </w:t>
      </w:r>
      <w:r w:rsidRPr="001A6BBA">
        <w:rPr>
          <w:rFonts w:cs="Arial"/>
          <w:color w:val="000000"/>
          <w:lang w:val="en-CA"/>
        </w:rPr>
        <w:t xml:space="preserve">To the extent that the parties </w:t>
      </w:r>
      <w:r w:rsidR="00287689">
        <w:rPr>
          <w:rFonts w:cs="Arial"/>
          <w:color w:val="000000"/>
          <w:lang w:val="en-CA"/>
        </w:rPr>
        <w:t>provide that</w:t>
      </w:r>
      <w:r w:rsidR="00287689" w:rsidRPr="001A6BBA">
        <w:rPr>
          <w:rFonts w:cs="Arial"/>
          <w:color w:val="000000"/>
          <w:lang w:val="en-CA"/>
        </w:rPr>
        <w:t xml:space="preserve"> </w:t>
      </w:r>
      <w:r w:rsidRPr="001A6BBA">
        <w:rPr>
          <w:rFonts w:cs="Arial"/>
          <w:color w:val="000000"/>
          <w:lang w:val="en-CA"/>
        </w:rPr>
        <w:t>the approval of the agreement depend</w:t>
      </w:r>
      <w:r w:rsidR="00287689">
        <w:rPr>
          <w:rFonts w:cs="Arial"/>
          <w:color w:val="000000"/>
          <w:lang w:val="en-CA"/>
        </w:rPr>
        <w:t>s</w:t>
      </w:r>
      <w:r w:rsidRPr="001A6BBA">
        <w:rPr>
          <w:rFonts w:cs="Arial"/>
          <w:color w:val="000000"/>
          <w:lang w:val="en-CA"/>
        </w:rPr>
        <w:t xml:space="preserve"> on the approval of the professional fees</w:t>
      </w:r>
      <w:r w:rsidR="00A51DC6" w:rsidRPr="00A51DC6">
        <w:rPr>
          <w:rFonts w:cs="Arial"/>
          <w:color w:val="000000"/>
          <w:lang w:val="en-CA"/>
        </w:rPr>
        <w:t xml:space="preserve"> </w:t>
      </w:r>
      <w:r w:rsidR="00A51DC6" w:rsidRPr="001A6BBA">
        <w:rPr>
          <w:rFonts w:cs="Arial"/>
          <w:color w:val="000000"/>
          <w:lang w:val="en-CA"/>
        </w:rPr>
        <w:t>agreed</w:t>
      </w:r>
      <w:r w:rsidR="00A51DC6">
        <w:rPr>
          <w:rFonts w:cs="Arial"/>
          <w:color w:val="000000"/>
          <w:lang w:val="en-CA"/>
        </w:rPr>
        <w:t xml:space="preserve"> to</w:t>
      </w:r>
      <w:r w:rsidRPr="001A6BBA">
        <w:rPr>
          <w:rFonts w:cs="Arial"/>
          <w:color w:val="000000"/>
          <w:lang w:val="en-CA"/>
        </w:rPr>
        <w:t>, that is</w:t>
      </w:r>
      <w:r w:rsidR="00287689">
        <w:rPr>
          <w:rFonts w:cs="Arial"/>
          <w:color w:val="000000"/>
          <w:lang w:val="en-CA"/>
        </w:rPr>
        <w:t>,</w:t>
      </w:r>
      <w:r w:rsidRPr="001A6BBA">
        <w:rPr>
          <w:rFonts w:cs="Arial"/>
          <w:color w:val="000000"/>
          <w:lang w:val="en-CA"/>
        </w:rPr>
        <w:t xml:space="preserve"> that they [</w:t>
      </w:r>
      <w:r w:rsidRPr="001A6BBA">
        <w:rPr>
          <w:rFonts w:cs="Arial"/>
          <w:smallCaps/>
          <w:color w:val="000000"/>
          <w:lang w:val="en-CA"/>
        </w:rPr>
        <w:t>translation]</w:t>
      </w:r>
      <w:r w:rsidRPr="001A6BBA">
        <w:rPr>
          <w:rFonts w:cs="Arial"/>
          <w:color w:val="000000"/>
          <w:lang w:val="en-CA"/>
        </w:rPr>
        <w:t xml:space="preserve"> “</w:t>
      </w:r>
      <w:r w:rsidR="00287689">
        <w:rPr>
          <w:rFonts w:cs="Arial"/>
          <w:color w:val="000000"/>
          <w:lang w:val="en-CA"/>
        </w:rPr>
        <w:t xml:space="preserve">could not be </w:t>
      </w:r>
      <w:r w:rsidR="00B01F15">
        <w:rPr>
          <w:rFonts w:cs="Arial"/>
          <w:color w:val="000000"/>
          <w:lang w:val="en-CA"/>
        </w:rPr>
        <w:t>sever</w:t>
      </w:r>
      <w:r w:rsidR="00287689">
        <w:rPr>
          <w:rFonts w:cs="Arial"/>
          <w:color w:val="000000"/>
          <w:lang w:val="en-CA"/>
        </w:rPr>
        <w:t>ed</w:t>
      </w:r>
      <w:r w:rsidRPr="001A6BBA">
        <w:rPr>
          <w:rFonts w:cs="Arial"/>
          <w:color w:val="000000"/>
          <w:lang w:val="en-CA"/>
        </w:rPr>
        <w:t xml:space="preserve">” </w:t>
      </w:r>
      <w:r w:rsidR="00287689">
        <w:rPr>
          <w:rFonts w:cs="Arial"/>
          <w:color w:val="000000"/>
          <w:lang w:val="en-CA"/>
        </w:rPr>
        <w:t>from</w:t>
      </w:r>
      <w:r w:rsidR="00287689" w:rsidRPr="001A6BBA">
        <w:rPr>
          <w:rFonts w:cs="Arial"/>
          <w:color w:val="000000"/>
          <w:lang w:val="en-CA"/>
        </w:rPr>
        <w:t xml:space="preserve"> </w:t>
      </w:r>
      <w:r w:rsidRPr="001A6BBA">
        <w:rPr>
          <w:rFonts w:cs="Arial"/>
          <w:color w:val="000000"/>
          <w:lang w:val="en-CA"/>
        </w:rPr>
        <w:t>the agreement, a refusal to approve the professional fees necessarily entails the rejection of the agreement as a whole.</w:t>
      </w:r>
      <w:bookmarkStart w:id="18" w:name="_Ref127800849"/>
      <w:r w:rsidR="00EB145C" w:rsidRPr="001A6BBA">
        <w:rPr>
          <w:rStyle w:val="Appelnotedebasdep"/>
          <w:rFonts w:cs="Arial"/>
          <w:color w:val="000000"/>
          <w:lang w:val="en-CA"/>
        </w:rPr>
        <w:footnoteReference w:id="29"/>
      </w:r>
      <w:bookmarkEnd w:id="18"/>
      <w:r w:rsidRPr="001A6BBA">
        <w:rPr>
          <w:lang w:val="en-CA"/>
        </w:rPr>
        <w:t xml:space="preserve"> Conversely, when the approval of the agreement is not conditional on the approval of the professional fees claimed, the judge may approve the agreement</w:t>
      </w:r>
      <w:r w:rsidRPr="001A6BBA">
        <w:rPr>
          <w:rStyle w:val="Appelnotedebasdep"/>
          <w:lang w:val="en-CA"/>
        </w:rPr>
        <w:footnoteReference w:id="30"/>
      </w:r>
      <w:r w:rsidRPr="001A6BBA">
        <w:rPr>
          <w:lang w:val="en-CA"/>
        </w:rPr>
        <w:t xml:space="preserve"> and </w:t>
      </w:r>
      <w:r w:rsidR="00287689">
        <w:rPr>
          <w:lang w:val="en-CA"/>
        </w:rPr>
        <w:t>amend</w:t>
      </w:r>
      <w:r w:rsidR="00287689" w:rsidRPr="001A6BBA">
        <w:rPr>
          <w:lang w:val="en-CA"/>
        </w:rPr>
        <w:t xml:space="preserve"> </w:t>
      </w:r>
      <w:r w:rsidRPr="001A6BBA">
        <w:rPr>
          <w:lang w:val="en-CA"/>
        </w:rPr>
        <w:t xml:space="preserve">the quantum of the professional fees if he or she considers the amount claimed </w:t>
      </w:r>
      <w:r w:rsidR="00B849C8">
        <w:rPr>
          <w:lang w:val="en-CA"/>
        </w:rPr>
        <w:t xml:space="preserve">to be </w:t>
      </w:r>
      <w:r w:rsidRPr="001A6BBA">
        <w:rPr>
          <w:lang w:val="en-CA"/>
        </w:rPr>
        <w:t>unreasonable.</w:t>
      </w:r>
      <w:r w:rsidRPr="001A6BBA">
        <w:rPr>
          <w:rStyle w:val="Appelnotedebasdep"/>
          <w:lang w:val="en-CA"/>
        </w:rPr>
        <w:footnoteReference w:id="31"/>
      </w:r>
    </w:p>
    <w:p w14:paraId="6D7909F5" w14:textId="119065A1" w:rsidR="002E7C51" w:rsidRPr="001A6BBA" w:rsidRDefault="00CC0EC6" w:rsidP="002E7C51">
      <w:pPr>
        <w:pStyle w:val="Paragraphe"/>
        <w:spacing w:line="280" w:lineRule="exact"/>
        <w:rPr>
          <w:lang w:val="en-CA"/>
        </w:rPr>
      </w:pPr>
      <w:r w:rsidRPr="001A6BBA">
        <w:rPr>
          <w:lang w:val="en-CA"/>
        </w:rPr>
        <w:t xml:space="preserve">In this case, the judge </w:t>
      </w:r>
      <w:r w:rsidR="00755F78">
        <w:rPr>
          <w:lang w:val="en-CA"/>
        </w:rPr>
        <w:t>found</w:t>
      </w:r>
      <w:r w:rsidRPr="001A6BBA">
        <w:rPr>
          <w:lang w:val="en-CA"/>
        </w:rPr>
        <w:t xml:space="preserve"> that </w:t>
      </w:r>
      <w:r w:rsidR="00755F78">
        <w:rPr>
          <w:lang w:val="en-CA"/>
        </w:rPr>
        <w:t>in view of</w:t>
      </w:r>
      <w:r w:rsidR="00755F78" w:rsidRPr="001A6BBA">
        <w:rPr>
          <w:lang w:val="en-CA"/>
        </w:rPr>
        <w:t xml:space="preserve"> </w:t>
      </w:r>
      <w:r w:rsidR="00755F78">
        <w:rPr>
          <w:lang w:val="en-CA"/>
        </w:rPr>
        <w:t>clause</w:t>
      </w:r>
      <w:r w:rsidR="00755F78" w:rsidRPr="001A6BBA">
        <w:rPr>
          <w:lang w:val="en-CA"/>
        </w:rPr>
        <w:t xml:space="preserve"> 28 of the Agreement</w:t>
      </w:r>
      <w:r w:rsidR="00755F78">
        <w:rPr>
          <w:lang w:val="en-CA"/>
        </w:rPr>
        <w:t>,</w:t>
      </w:r>
      <w:r w:rsidR="00755F78" w:rsidRPr="001A6BBA">
        <w:rPr>
          <w:lang w:val="en-CA"/>
        </w:rPr>
        <w:t xml:space="preserve"> </w:t>
      </w:r>
      <w:r w:rsidRPr="001A6BBA">
        <w:rPr>
          <w:lang w:val="en-CA"/>
        </w:rPr>
        <w:t xml:space="preserve">his refusal to approve the professional fees claimed </w:t>
      </w:r>
      <w:r w:rsidR="00287689">
        <w:rPr>
          <w:lang w:val="en-CA"/>
        </w:rPr>
        <w:t>unavoidably</w:t>
      </w:r>
      <w:r w:rsidR="00287689" w:rsidRPr="001A6BBA">
        <w:rPr>
          <w:lang w:val="en-CA"/>
        </w:rPr>
        <w:t xml:space="preserve"> entail</w:t>
      </w:r>
      <w:r w:rsidR="00755F78">
        <w:rPr>
          <w:lang w:val="en-CA"/>
        </w:rPr>
        <w:t>ed</w:t>
      </w:r>
      <w:r w:rsidR="00287689" w:rsidRPr="001A6BBA">
        <w:rPr>
          <w:lang w:val="en-CA"/>
        </w:rPr>
        <w:t xml:space="preserve"> </w:t>
      </w:r>
      <w:r w:rsidRPr="001A6BBA">
        <w:rPr>
          <w:lang w:val="en-CA"/>
        </w:rPr>
        <w:t xml:space="preserve">the rejection of the </w:t>
      </w:r>
      <w:r w:rsidR="00FB2277" w:rsidRPr="001A6BBA">
        <w:rPr>
          <w:lang w:val="en-CA"/>
        </w:rPr>
        <w:t>Agreement</w:t>
      </w:r>
      <w:r w:rsidRPr="001A6BBA">
        <w:rPr>
          <w:lang w:val="en-CA"/>
        </w:rPr>
        <w:t>.</w:t>
      </w:r>
      <w:r w:rsidR="00354272" w:rsidRPr="001A6BBA">
        <w:rPr>
          <w:lang w:val="en-CA"/>
        </w:rPr>
        <w:t xml:space="preserve"> </w:t>
      </w:r>
      <w:r w:rsidRPr="009F222C">
        <w:rPr>
          <w:lang w:val="en-CA"/>
        </w:rPr>
        <w:t xml:space="preserve">This conclusion was </w:t>
      </w:r>
      <w:r w:rsidR="00755F78">
        <w:rPr>
          <w:lang w:val="en-CA"/>
        </w:rPr>
        <w:t>incorrect</w:t>
      </w:r>
      <w:r w:rsidRPr="009F222C">
        <w:rPr>
          <w:lang w:val="en-CA"/>
        </w:rPr>
        <w:t xml:space="preserve"> and must be reviewed on appeal.</w:t>
      </w:r>
      <w:r w:rsidR="00354272" w:rsidRPr="001A6BBA">
        <w:rPr>
          <w:lang w:val="en-CA"/>
        </w:rPr>
        <w:t xml:space="preserve"> </w:t>
      </w:r>
      <w:r w:rsidRPr="001A6BBA">
        <w:rPr>
          <w:lang w:val="en-CA"/>
        </w:rPr>
        <w:t xml:space="preserve">Like the appellant, the </w:t>
      </w:r>
      <w:r w:rsidR="0086574C" w:rsidRPr="001A6BBA">
        <w:rPr>
          <w:lang w:val="en-CA"/>
        </w:rPr>
        <w:t>respondents,</w:t>
      </w:r>
      <w:r w:rsidRPr="001A6BBA">
        <w:rPr>
          <w:lang w:val="en-CA"/>
        </w:rPr>
        <w:t xml:space="preserve"> and the </w:t>
      </w:r>
      <w:r w:rsidRPr="001A6BBA">
        <w:rPr>
          <w:i/>
          <w:lang w:val="en-CA"/>
        </w:rPr>
        <w:t>amicus curiae</w:t>
      </w:r>
      <w:r w:rsidRPr="001A6BBA">
        <w:rPr>
          <w:lang w:val="en-CA"/>
        </w:rPr>
        <w:t xml:space="preserve">, I am of the view that the Agreement, when correctly interpreted, allowed the judge to approve the settlement </w:t>
      </w:r>
      <w:r w:rsidR="00287689">
        <w:rPr>
          <w:lang w:val="en-CA"/>
        </w:rPr>
        <w:t>while amending</w:t>
      </w:r>
      <w:r w:rsidRPr="001A6BBA">
        <w:rPr>
          <w:lang w:val="en-CA"/>
        </w:rPr>
        <w:t xml:space="preserve"> the quantum of professional fees.</w:t>
      </w:r>
    </w:p>
    <w:p w14:paraId="577FE940" w14:textId="23FF8130" w:rsidR="002E7C51" w:rsidRPr="009F222C" w:rsidRDefault="004A69CE" w:rsidP="002E7C51">
      <w:pPr>
        <w:pStyle w:val="Paragraphe"/>
        <w:spacing w:line="280" w:lineRule="exact"/>
        <w:rPr>
          <w:lang w:val="en-CA"/>
        </w:rPr>
      </w:pPr>
      <w:r>
        <w:rPr>
          <w:lang w:val="en-CA"/>
        </w:rPr>
        <w:t xml:space="preserve">Clause </w:t>
      </w:r>
      <w:r w:rsidR="00CC0EC6" w:rsidRPr="009F222C">
        <w:rPr>
          <w:lang w:val="en-CA"/>
        </w:rPr>
        <w:t>28 of the Agreement states:</w:t>
      </w:r>
      <w:r w:rsidR="00354272" w:rsidRPr="009F222C">
        <w:rPr>
          <w:lang w:val="en-CA"/>
        </w:rPr>
        <w:t xml:space="preserve"> </w:t>
      </w:r>
    </w:p>
    <w:p w14:paraId="396CA651" w14:textId="77777777" w:rsidR="004A69CE" w:rsidRDefault="004A69CE" w:rsidP="002E7C51">
      <w:pPr>
        <w:pStyle w:val="Paragraphe"/>
        <w:numPr>
          <w:ilvl w:val="0"/>
          <w:numId w:val="0"/>
        </w:numPr>
        <w:spacing w:line="280" w:lineRule="exact"/>
        <w:ind w:left="720" w:right="720"/>
        <w:rPr>
          <w:lang w:val="en-CA"/>
        </w:rPr>
      </w:pPr>
      <w:bookmarkStart w:id="21" w:name="_Hlk138052716"/>
      <w:r w:rsidRPr="001A6BBA">
        <w:rPr>
          <w:lang w:val="en-CA"/>
        </w:rPr>
        <w:t>[</w:t>
      </w:r>
      <w:r w:rsidRPr="001A6BBA">
        <w:rPr>
          <w:smallCaps/>
          <w:lang w:val="en-CA"/>
        </w:rPr>
        <w:t>translation]</w:t>
      </w:r>
      <w:r w:rsidRPr="001A6BBA">
        <w:rPr>
          <w:lang w:val="en-CA"/>
        </w:rPr>
        <w:t xml:space="preserve"> </w:t>
      </w:r>
    </w:p>
    <w:bookmarkEnd w:id="21"/>
    <w:p w14:paraId="61240FCB" w14:textId="6715575B" w:rsidR="002E7C51" w:rsidRPr="001A6BBA" w:rsidRDefault="00CC0EC6" w:rsidP="002E7C51">
      <w:pPr>
        <w:pStyle w:val="Paragraphe"/>
        <w:numPr>
          <w:ilvl w:val="0"/>
          <w:numId w:val="0"/>
        </w:numPr>
        <w:spacing w:line="280" w:lineRule="exact"/>
        <w:ind w:left="720" w:right="720"/>
        <w:rPr>
          <w:sz w:val="22"/>
          <w:szCs w:val="18"/>
          <w:lang w:val="en-CA"/>
        </w:rPr>
      </w:pPr>
      <w:r w:rsidRPr="001A6BBA">
        <w:rPr>
          <w:sz w:val="22"/>
          <w:szCs w:val="18"/>
          <w:lang w:val="en-CA"/>
        </w:rPr>
        <w:t xml:space="preserve">If the Court refuses to </w:t>
      </w:r>
      <w:r w:rsidR="004A69CE" w:rsidRPr="001A6BBA">
        <w:rPr>
          <w:sz w:val="22"/>
          <w:szCs w:val="18"/>
          <w:lang w:val="en-CA"/>
        </w:rPr>
        <w:t>approve</w:t>
      </w:r>
      <w:r w:rsidRPr="001A6BBA">
        <w:rPr>
          <w:sz w:val="22"/>
          <w:szCs w:val="18"/>
          <w:lang w:val="en-CA"/>
        </w:rPr>
        <w:t xml:space="preserve"> this </w:t>
      </w:r>
      <w:r w:rsidR="001D7B4D">
        <w:rPr>
          <w:sz w:val="22"/>
          <w:szCs w:val="18"/>
          <w:lang w:val="en-CA"/>
        </w:rPr>
        <w:t xml:space="preserve">Settlement </w:t>
      </w:r>
      <w:r w:rsidRPr="001A6BBA">
        <w:rPr>
          <w:sz w:val="22"/>
          <w:szCs w:val="18"/>
          <w:lang w:val="en-CA"/>
        </w:rPr>
        <w:t>Agreement as a whole, the parties agree that it will be considered null and void as a whole, and that the parties will be returned to the</w:t>
      </w:r>
      <w:r w:rsidR="0063241B">
        <w:rPr>
          <w:sz w:val="22"/>
          <w:szCs w:val="18"/>
          <w:lang w:val="en-CA"/>
        </w:rPr>
        <w:t xml:space="preserve"> same</w:t>
      </w:r>
      <w:r w:rsidRPr="001A6BBA">
        <w:rPr>
          <w:sz w:val="22"/>
          <w:szCs w:val="18"/>
          <w:lang w:val="en-CA"/>
        </w:rPr>
        <w:t xml:space="preserve"> legal situation they were in before </w:t>
      </w:r>
      <w:r w:rsidR="0063241B">
        <w:rPr>
          <w:sz w:val="22"/>
          <w:szCs w:val="18"/>
          <w:lang w:val="en-CA"/>
        </w:rPr>
        <w:t xml:space="preserve">entering the </w:t>
      </w:r>
      <w:r w:rsidRPr="001A6BBA">
        <w:rPr>
          <w:sz w:val="22"/>
          <w:szCs w:val="18"/>
          <w:lang w:val="en-CA"/>
        </w:rPr>
        <w:t>Agreement</w:t>
      </w:r>
      <w:r w:rsidR="00CB7391">
        <w:rPr>
          <w:sz w:val="22"/>
          <w:szCs w:val="18"/>
          <w:lang w:val="en-CA"/>
        </w:rPr>
        <w:t>;</w:t>
      </w:r>
      <w:r w:rsidRPr="001A6BBA">
        <w:rPr>
          <w:sz w:val="22"/>
          <w:szCs w:val="18"/>
          <w:lang w:val="en-CA"/>
        </w:rPr>
        <w:t xml:space="preserve"> </w:t>
      </w:r>
      <w:r w:rsidR="00CB7391">
        <w:rPr>
          <w:sz w:val="22"/>
          <w:szCs w:val="18"/>
          <w:lang w:val="en-CA"/>
        </w:rPr>
        <w:t>t</w:t>
      </w:r>
      <w:r w:rsidRPr="001A6BBA">
        <w:rPr>
          <w:sz w:val="22"/>
          <w:szCs w:val="18"/>
          <w:lang w:val="en-CA"/>
        </w:rPr>
        <w:t xml:space="preserve">hey </w:t>
      </w:r>
      <w:r w:rsidR="00CB7391">
        <w:rPr>
          <w:sz w:val="22"/>
          <w:szCs w:val="18"/>
          <w:lang w:val="en-CA"/>
        </w:rPr>
        <w:t xml:space="preserve">will </w:t>
      </w:r>
      <w:r w:rsidR="007206D4">
        <w:rPr>
          <w:sz w:val="22"/>
          <w:szCs w:val="18"/>
          <w:lang w:val="en-CA"/>
        </w:rPr>
        <w:t>not</w:t>
      </w:r>
      <w:r w:rsidRPr="001A6BBA">
        <w:rPr>
          <w:sz w:val="22"/>
          <w:szCs w:val="18"/>
          <w:lang w:val="en-CA"/>
        </w:rPr>
        <w:t xml:space="preserve"> </w:t>
      </w:r>
      <w:r w:rsidR="00CB7391">
        <w:rPr>
          <w:sz w:val="22"/>
          <w:szCs w:val="18"/>
          <w:lang w:val="en-CA"/>
        </w:rPr>
        <w:t xml:space="preserve">be entitled to </w:t>
      </w:r>
      <w:r w:rsidRPr="001A6BBA">
        <w:rPr>
          <w:sz w:val="22"/>
          <w:szCs w:val="18"/>
          <w:lang w:val="en-CA"/>
        </w:rPr>
        <w:t xml:space="preserve">invoke the Settlement Agreement in the dispute </w:t>
      </w:r>
      <w:r w:rsidR="00CB7391">
        <w:rPr>
          <w:sz w:val="22"/>
          <w:szCs w:val="18"/>
          <w:lang w:val="en-CA"/>
        </w:rPr>
        <w:t>that</w:t>
      </w:r>
      <w:r w:rsidRPr="001A6BBA">
        <w:rPr>
          <w:sz w:val="22"/>
          <w:szCs w:val="18"/>
          <w:lang w:val="en-CA"/>
        </w:rPr>
        <w:t xml:space="preserve"> will </w:t>
      </w:r>
      <w:r w:rsidR="004A69CE">
        <w:rPr>
          <w:sz w:val="22"/>
          <w:szCs w:val="18"/>
          <w:lang w:val="en-CA"/>
        </w:rPr>
        <w:t xml:space="preserve">then </w:t>
      </w:r>
      <w:r w:rsidRPr="001A6BBA">
        <w:rPr>
          <w:sz w:val="22"/>
          <w:szCs w:val="18"/>
          <w:lang w:val="en-CA"/>
        </w:rPr>
        <w:t>continue between them.</w:t>
      </w:r>
    </w:p>
    <w:p w14:paraId="3F7ECCE4" w14:textId="675D2837" w:rsidR="002E7C51" w:rsidRPr="001A6BBA" w:rsidRDefault="00CC0EC6" w:rsidP="007206D4">
      <w:pPr>
        <w:pStyle w:val="Paragraphe"/>
        <w:numPr>
          <w:ilvl w:val="0"/>
          <w:numId w:val="0"/>
        </w:numPr>
        <w:spacing w:line="280" w:lineRule="exact"/>
        <w:ind w:right="6"/>
        <w:rPr>
          <w:lang w:val="en-CA"/>
        </w:rPr>
      </w:pPr>
      <w:r w:rsidRPr="009F222C">
        <w:rPr>
          <w:lang w:val="en-CA"/>
        </w:rPr>
        <w:t xml:space="preserve">This provision is completed by </w:t>
      </w:r>
      <w:r w:rsidR="007206D4">
        <w:rPr>
          <w:lang w:val="en-CA"/>
        </w:rPr>
        <w:t>clause</w:t>
      </w:r>
      <w:r w:rsidRPr="009F222C">
        <w:rPr>
          <w:lang w:val="en-CA"/>
        </w:rPr>
        <w:t xml:space="preserve"> 31, which states that </w:t>
      </w:r>
      <w:r w:rsidR="007206D4" w:rsidRPr="001A6BBA">
        <w:rPr>
          <w:lang w:val="en-CA"/>
        </w:rPr>
        <w:t>[</w:t>
      </w:r>
      <w:r w:rsidR="007206D4" w:rsidRPr="001A6BBA">
        <w:rPr>
          <w:smallCaps/>
          <w:lang w:val="en-CA"/>
        </w:rPr>
        <w:t>translation]</w:t>
      </w:r>
      <w:r w:rsidR="007206D4" w:rsidRPr="001A6BBA">
        <w:rPr>
          <w:lang w:val="en-CA"/>
        </w:rPr>
        <w:t xml:space="preserve"> </w:t>
      </w:r>
      <w:r w:rsidR="007206D4">
        <w:rPr>
          <w:lang w:val="en-CA"/>
        </w:rPr>
        <w:t>“</w:t>
      </w:r>
      <w:r w:rsidRPr="009F222C">
        <w:rPr>
          <w:lang w:val="en-CA"/>
        </w:rPr>
        <w:t xml:space="preserve">the Settlement Agreement, including its preamble and schedules, is </w:t>
      </w:r>
      <w:r w:rsidR="00220C55" w:rsidRPr="009F222C">
        <w:rPr>
          <w:lang w:val="en-CA"/>
        </w:rPr>
        <w:t>indivisible</w:t>
      </w:r>
      <w:r w:rsidRPr="009F222C">
        <w:rPr>
          <w:lang w:val="en-CA"/>
        </w:rPr>
        <w:t xml:space="preserve"> and constitutes a transaction within the meaning of articles 2631 </w:t>
      </w:r>
      <w:r w:rsidR="0063241B" w:rsidRPr="004A70D3">
        <w:rPr>
          <w:i/>
          <w:iCs/>
          <w:lang w:val="en-CA"/>
        </w:rPr>
        <w:t>et seq</w:t>
      </w:r>
      <w:r w:rsidR="0063241B">
        <w:rPr>
          <w:lang w:val="en-CA"/>
        </w:rPr>
        <w:t>.</w:t>
      </w:r>
      <w:r w:rsidRPr="009F222C">
        <w:rPr>
          <w:lang w:val="en-CA"/>
        </w:rPr>
        <w:t xml:space="preserve"> </w:t>
      </w:r>
      <w:r w:rsidR="003D4404">
        <w:rPr>
          <w:lang w:val="en-CA"/>
        </w:rPr>
        <w:t xml:space="preserve">of </w:t>
      </w:r>
      <w:r w:rsidRPr="009F222C">
        <w:rPr>
          <w:lang w:val="en-CA"/>
        </w:rPr>
        <w:t xml:space="preserve">the </w:t>
      </w:r>
      <w:r w:rsidRPr="009F222C">
        <w:rPr>
          <w:i/>
          <w:lang w:val="en-CA"/>
        </w:rPr>
        <w:t xml:space="preserve">Civil Code of </w:t>
      </w:r>
      <w:r w:rsidR="0063241B" w:rsidRPr="009F222C">
        <w:rPr>
          <w:i/>
          <w:lang w:val="en-CA"/>
        </w:rPr>
        <w:t>Qu</w:t>
      </w:r>
      <w:r w:rsidR="0063241B">
        <w:rPr>
          <w:i/>
          <w:lang w:val="en-CA"/>
        </w:rPr>
        <w:t>é</w:t>
      </w:r>
      <w:r w:rsidR="0063241B" w:rsidRPr="009F222C">
        <w:rPr>
          <w:i/>
          <w:lang w:val="en-CA"/>
        </w:rPr>
        <w:t>bec</w:t>
      </w:r>
      <w:r w:rsidRPr="009F222C">
        <w:rPr>
          <w:i/>
          <w:lang w:val="en-CA"/>
        </w:rPr>
        <w:t>”</w:t>
      </w:r>
      <w:r w:rsidRPr="009F222C">
        <w:rPr>
          <w:lang w:val="en-CA"/>
        </w:rPr>
        <w:t>.</w:t>
      </w:r>
      <w:r w:rsidR="00354272" w:rsidRPr="001A6BBA">
        <w:rPr>
          <w:lang w:val="en-CA"/>
        </w:rPr>
        <w:t xml:space="preserve"> </w:t>
      </w:r>
      <w:r w:rsidRPr="009F222C">
        <w:rPr>
          <w:lang w:val="en-CA"/>
        </w:rPr>
        <w:t xml:space="preserve">Together, </w:t>
      </w:r>
      <w:r w:rsidR="007206D4">
        <w:rPr>
          <w:lang w:val="en-CA"/>
        </w:rPr>
        <w:t>clauses</w:t>
      </w:r>
      <w:r w:rsidRPr="009F222C">
        <w:rPr>
          <w:lang w:val="en-CA"/>
        </w:rPr>
        <w:t xml:space="preserve"> 28 and 31 </w:t>
      </w:r>
      <w:r w:rsidRPr="001A6BBA">
        <w:rPr>
          <w:lang w:val="en-CA"/>
        </w:rPr>
        <w:t xml:space="preserve">confirm in unequivocal terms that the Agreement is a “whole” that cannot be </w:t>
      </w:r>
      <w:r w:rsidR="0063241B">
        <w:rPr>
          <w:lang w:val="en-CA"/>
        </w:rPr>
        <w:t>amended</w:t>
      </w:r>
      <w:r w:rsidR="0063241B" w:rsidRPr="001A6BBA">
        <w:rPr>
          <w:lang w:val="en-CA"/>
        </w:rPr>
        <w:t xml:space="preserve"> </w:t>
      </w:r>
      <w:r w:rsidRPr="001A6BBA">
        <w:rPr>
          <w:lang w:val="en-CA"/>
        </w:rPr>
        <w:t>or approved in part.</w:t>
      </w:r>
      <w:r w:rsidR="00354272" w:rsidRPr="001A6BBA">
        <w:rPr>
          <w:lang w:val="en-CA"/>
        </w:rPr>
        <w:t xml:space="preserve"> </w:t>
      </w:r>
      <w:r w:rsidRPr="009F222C">
        <w:rPr>
          <w:lang w:val="en-CA"/>
        </w:rPr>
        <w:t xml:space="preserve">On a mere reading of </w:t>
      </w:r>
      <w:r w:rsidR="007206D4">
        <w:rPr>
          <w:lang w:val="en-CA"/>
        </w:rPr>
        <w:t xml:space="preserve">clauses </w:t>
      </w:r>
      <w:r w:rsidRPr="001A6BBA">
        <w:rPr>
          <w:lang w:val="en-CA"/>
        </w:rPr>
        <w:t>28 and 31</w:t>
      </w:r>
      <w:r w:rsidR="00361CA0">
        <w:rPr>
          <w:lang w:val="en-CA"/>
        </w:rPr>
        <w:t>,</w:t>
      </w:r>
      <w:r w:rsidRPr="001A6BBA">
        <w:rPr>
          <w:lang w:val="en-CA"/>
        </w:rPr>
        <w:t xml:space="preserve"> it may therefore be tempting to conclude, as the judge did, that approval of the quantum of the professional fees set by the parties is necessary for approval of the Agreement.</w:t>
      </w:r>
      <w:r w:rsidR="00354272" w:rsidRPr="001A6BBA">
        <w:rPr>
          <w:lang w:val="en-CA"/>
        </w:rPr>
        <w:t xml:space="preserve"> </w:t>
      </w:r>
      <w:r w:rsidR="007206D4">
        <w:rPr>
          <w:lang w:val="en-CA"/>
        </w:rPr>
        <w:lastRenderedPageBreak/>
        <w:t>Clauses</w:t>
      </w:r>
      <w:r w:rsidR="00354272" w:rsidRPr="001A6BBA">
        <w:rPr>
          <w:lang w:val="en-CA"/>
        </w:rPr>
        <w:t xml:space="preserve"> </w:t>
      </w:r>
      <w:r w:rsidRPr="009F222C">
        <w:rPr>
          <w:lang w:val="en-CA"/>
        </w:rPr>
        <w:t>28 and 31 must</w:t>
      </w:r>
      <w:r w:rsidR="0063241B">
        <w:rPr>
          <w:lang w:val="en-CA"/>
        </w:rPr>
        <w:t>,</w:t>
      </w:r>
      <w:r w:rsidR="0063241B" w:rsidRPr="009F222C">
        <w:rPr>
          <w:lang w:val="en-CA"/>
        </w:rPr>
        <w:t xml:space="preserve"> </w:t>
      </w:r>
      <w:r w:rsidRPr="009F222C">
        <w:rPr>
          <w:lang w:val="en-CA"/>
        </w:rPr>
        <w:t>however, be read in conjunction with the other provisions of the Agreement (see art.</w:t>
      </w:r>
      <w:r w:rsidR="00354272" w:rsidRPr="001A6BBA">
        <w:rPr>
          <w:lang w:val="en-CA"/>
        </w:rPr>
        <w:t xml:space="preserve"> </w:t>
      </w:r>
      <w:r w:rsidRPr="009F222C">
        <w:rPr>
          <w:lang w:val="en-CA"/>
        </w:rPr>
        <w:t>1427 CCQ).</w:t>
      </w:r>
    </w:p>
    <w:p w14:paraId="7E87211D" w14:textId="010C82B8" w:rsidR="002E7C51" w:rsidRPr="001A6BBA" w:rsidRDefault="00CC0EC6" w:rsidP="002E7C51">
      <w:pPr>
        <w:pStyle w:val="Paragraphe"/>
        <w:spacing w:line="280" w:lineRule="exact"/>
        <w:rPr>
          <w:lang w:val="en-CA"/>
        </w:rPr>
      </w:pPr>
      <w:r w:rsidRPr="001A6BBA">
        <w:rPr>
          <w:lang w:val="en-CA"/>
        </w:rPr>
        <w:t>In this case, a careful reading of the other provisions of the Agreement is a bar to the judge’s conclusion.</w:t>
      </w:r>
      <w:r w:rsidR="00354272" w:rsidRPr="001A6BBA">
        <w:rPr>
          <w:lang w:val="en-CA"/>
        </w:rPr>
        <w:t xml:space="preserve"> </w:t>
      </w:r>
      <w:r w:rsidR="007206D4">
        <w:rPr>
          <w:lang w:val="en-CA"/>
        </w:rPr>
        <w:t>Clause</w:t>
      </w:r>
      <w:r w:rsidR="00354272" w:rsidRPr="001A6BBA">
        <w:rPr>
          <w:lang w:val="en-CA"/>
        </w:rPr>
        <w:t xml:space="preserve"> </w:t>
      </w:r>
      <w:r w:rsidRPr="009F222C">
        <w:rPr>
          <w:lang w:val="en-CA"/>
        </w:rPr>
        <w:t xml:space="preserve">8 of the Agreement indeed </w:t>
      </w:r>
      <w:r w:rsidRPr="009F222C">
        <w:rPr>
          <w:i/>
          <w:lang w:val="en-CA"/>
        </w:rPr>
        <w:t xml:space="preserve">expressly </w:t>
      </w:r>
      <w:r w:rsidRPr="009F222C">
        <w:rPr>
          <w:lang w:val="en-CA"/>
        </w:rPr>
        <w:t>provides that the judge can change the quantum of professional fees claimed:</w:t>
      </w:r>
    </w:p>
    <w:p w14:paraId="78F89BC8" w14:textId="5C766D6F" w:rsidR="001A6BBA" w:rsidRPr="001A6BBA" w:rsidRDefault="001A6BBA" w:rsidP="002E7C51">
      <w:pPr>
        <w:pStyle w:val="Paragraphe"/>
        <w:numPr>
          <w:ilvl w:val="0"/>
          <w:numId w:val="0"/>
        </w:numPr>
        <w:spacing w:line="280" w:lineRule="exact"/>
        <w:ind w:left="720" w:right="720"/>
        <w:rPr>
          <w:sz w:val="22"/>
          <w:szCs w:val="18"/>
          <w:lang w:val="en-CA"/>
        </w:rPr>
      </w:pPr>
      <w:r w:rsidRPr="001A6BBA">
        <w:rPr>
          <w:smallCaps/>
          <w:sz w:val="22"/>
          <w:szCs w:val="18"/>
          <w:lang w:val="en-CA"/>
        </w:rPr>
        <w:t>[t</w:t>
      </w:r>
      <w:r w:rsidR="00CC0EC6" w:rsidRPr="001A6BBA">
        <w:rPr>
          <w:smallCaps/>
          <w:sz w:val="22"/>
          <w:szCs w:val="18"/>
          <w:lang w:val="en-CA"/>
        </w:rPr>
        <w:t>ranslation</w:t>
      </w:r>
      <w:r w:rsidRPr="001A6BBA">
        <w:rPr>
          <w:smallCaps/>
          <w:sz w:val="22"/>
          <w:szCs w:val="18"/>
          <w:lang w:val="en-CA"/>
        </w:rPr>
        <w:t>]</w:t>
      </w:r>
    </w:p>
    <w:p w14:paraId="210E5105" w14:textId="4E38A558" w:rsidR="002E7C51" w:rsidRPr="001A6BBA" w:rsidRDefault="001A6BBA" w:rsidP="002E7C51">
      <w:pPr>
        <w:pStyle w:val="Paragraphe"/>
        <w:numPr>
          <w:ilvl w:val="0"/>
          <w:numId w:val="0"/>
        </w:numPr>
        <w:spacing w:line="280" w:lineRule="exact"/>
        <w:ind w:left="720" w:right="720"/>
        <w:rPr>
          <w:sz w:val="22"/>
          <w:szCs w:val="18"/>
          <w:lang w:val="en-CA"/>
        </w:rPr>
      </w:pPr>
      <w:r w:rsidRPr="001A6BBA">
        <w:rPr>
          <w:sz w:val="22"/>
          <w:szCs w:val="18"/>
          <w:lang w:val="en-CA"/>
        </w:rPr>
        <w:t xml:space="preserve">A statement of </w:t>
      </w:r>
      <w:r w:rsidR="00207C31">
        <w:rPr>
          <w:sz w:val="22"/>
          <w:szCs w:val="18"/>
          <w:lang w:val="en-CA"/>
        </w:rPr>
        <w:t>the P</w:t>
      </w:r>
      <w:r w:rsidR="006A117D">
        <w:rPr>
          <w:sz w:val="22"/>
          <w:szCs w:val="18"/>
          <w:lang w:val="en-CA"/>
        </w:rPr>
        <w:t xml:space="preserve">rofessional </w:t>
      </w:r>
      <w:r w:rsidR="00207C31">
        <w:rPr>
          <w:sz w:val="22"/>
          <w:szCs w:val="18"/>
          <w:lang w:val="en-CA"/>
        </w:rPr>
        <w:t>F</w:t>
      </w:r>
      <w:r w:rsidRPr="001A6BBA">
        <w:rPr>
          <w:sz w:val="22"/>
          <w:szCs w:val="18"/>
          <w:lang w:val="en-CA"/>
        </w:rPr>
        <w:t>ees</w:t>
      </w:r>
      <w:r w:rsidR="00CC0EC6" w:rsidRPr="001A6BBA">
        <w:rPr>
          <w:sz w:val="22"/>
          <w:szCs w:val="18"/>
          <w:lang w:val="en-CA"/>
        </w:rPr>
        <w:t xml:space="preserve"> of </w:t>
      </w:r>
      <w:r w:rsidR="00207C31">
        <w:rPr>
          <w:sz w:val="22"/>
          <w:szCs w:val="18"/>
          <w:lang w:val="en-CA"/>
        </w:rPr>
        <w:t>c</w:t>
      </w:r>
      <w:r w:rsidR="00CC0EC6" w:rsidRPr="001A6BBA">
        <w:rPr>
          <w:sz w:val="22"/>
          <w:szCs w:val="18"/>
          <w:lang w:val="en-CA"/>
        </w:rPr>
        <w:t xml:space="preserve">ounsel for the Plaintiff and the class members addressed to </w:t>
      </w:r>
      <w:r w:rsidR="00207C31">
        <w:rPr>
          <w:sz w:val="22"/>
          <w:szCs w:val="18"/>
          <w:lang w:val="en-CA"/>
        </w:rPr>
        <w:t xml:space="preserve">the </w:t>
      </w:r>
      <w:r w:rsidR="00CC0EC6" w:rsidRPr="001A6BBA">
        <w:rPr>
          <w:sz w:val="22"/>
          <w:szCs w:val="18"/>
          <w:lang w:val="en-CA"/>
        </w:rPr>
        <w:t xml:space="preserve">Defendant CSV in the amount of $8,048,250, representing 25% of the amount of $28,000,000 set </w:t>
      </w:r>
      <w:r w:rsidR="00207C31">
        <w:rPr>
          <w:sz w:val="22"/>
          <w:szCs w:val="18"/>
          <w:lang w:val="en-CA"/>
        </w:rPr>
        <w:t>out</w:t>
      </w:r>
      <w:r w:rsidR="00CC0EC6" w:rsidRPr="001A6BBA">
        <w:rPr>
          <w:sz w:val="22"/>
          <w:szCs w:val="18"/>
          <w:lang w:val="en-CA"/>
        </w:rPr>
        <w:t xml:space="preserve"> in </w:t>
      </w:r>
      <w:r w:rsidR="005A73DA">
        <w:rPr>
          <w:sz w:val="22"/>
          <w:szCs w:val="18"/>
          <w:lang w:val="en-CA"/>
        </w:rPr>
        <w:t>paragraph</w:t>
      </w:r>
      <w:r w:rsidR="005A73DA" w:rsidRPr="001A6BBA">
        <w:rPr>
          <w:sz w:val="22"/>
          <w:szCs w:val="18"/>
          <w:lang w:val="en-CA"/>
        </w:rPr>
        <w:t xml:space="preserve"> </w:t>
      </w:r>
      <w:r w:rsidR="00CC0EC6" w:rsidRPr="001A6BBA">
        <w:rPr>
          <w:sz w:val="22"/>
          <w:szCs w:val="18"/>
          <w:lang w:val="en-CA"/>
        </w:rPr>
        <w:t xml:space="preserve">3 of this Settlement Agreement, plus applicable taxes, </w:t>
      </w:r>
      <w:r w:rsidR="005A73DA">
        <w:rPr>
          <w:sz w:val="22"/>
          <w:szCs w:val="18"/>
          <w:lang w:val="en-CA"/>
        </w:rPr>
        <w:t>the whole</w:t>
      </w:r>
      <w:r w:rsidR="005A73DA" w:rsidRPr="001A6BBA">
        <w:rPr>
          <w:sz w:val="22"/>
          <w:szCs w:val="18"/>
          <w:lang w:val="en-CA"/>
        </w:rPr>
        <w:t xml:space="preserve"> </w:t>
      </w:r>
      <w:r w:rsidR="00CC0EC6" w:rsidRPr="001A6BBA">
        <w:rPr>
          <w:sz w:val="22"/>
          <w:szCs w:val="18"/>
          <w:lang w:val="en-CA"/>
        </w:rPr>
        <w:t xml:space="preserve">as set </w:t>
      </w:r>
      <w:r w:rsidR="00207C31">
        <w:rPr>
          <w:sz w:val="22"/>
          <w:szCs w:val="18"/>
          <w:lang w:val="en-CA"/>
        </w:rPr>
        <w:t>out</w:t>
      </w:r>
      <w:r w:rsidR="00CC0EC6" w:rsidRPr="001A6BBA">
        <w:rPr>
          <w:sz w:val="22"/>
          <w:szCs w:val="18"/>
          <w:lang w:val="en-CA"/>
        </w:rPr>
        <w:t xml:space="preserve"> in the Fee Agreement </w:t>
      </w:r>
      <w:r w:rsidR="005A73DA">
        <w:rPr>
          <w:sz w:val="22"/>
          <w:szCs w:val="18"/>
          <w:lang w:val="en-CA"/>
        </w:rPr>
        <w:t>signed</w:t>
      </w:r>
      <w:r w:rsidR="005A73DA" w:rsidRPr="001A6BBA">
        <w:rPr>
          <w:sz w:val="22"/>
          <w:szCs w:val="18"/>
          <w:lang w:val="en-CA"/>
        </w:rPr>
        <w:t xml:space="preserve"> </w:t>
      </w:r>
      <w:r w:rsidR="00CC0EC6" w:rsidRPr="001A6BBA">
        <w:rPr>
          <w:sz w:val="22"/>
          <w:szCs w:val="18"/>
          <w:lang w:val="en-CA"/>
        </w:rPr>
        <w:t xml:space="preserve">by Plaintiff, covering the </w:t>
      </w:r>
      <w:r w:rsidR="006613E6">
        <w:rPr>
          <w:sz w:val="22"/>
          <w:szCs w:val="18"/>
          <w:lang w:val="en-CA"/>
        </w:rPr>
        <w:t>Professional F</w:t>
      </w:r>
      <w:r w:rsidR="006613E6" w:rsidRPr="001A6BBA">
        <w:rPr>
          <w:sz w:val="22"/>
          <w:szCs w:val="18"/>
          <w:lang w:val="en-CA"/>
        </w:rPr>
        <w:t>ees</w:t>
      </w:r>
      <w:r w:rsidR="00CC0EC6" w:rsidRPr="001A6BBA">
        <w:rPr>
          <w:sz w:val="22"/>
          <w:szCs w:val="18"/>
          <w:lang w:val="en-CA"/>
        </w:rPr>
        <w:t xml:space="preserve"> </w:t>
      </w:r>
      <w:r w:rsidR="00CC0EC6" w:rsidRPr="001A6BBA">
        <w:rPr>
          <w:sz w:val="22"/>
          <w:szCs w:val="18"/>
          <w:u w:val="single"/>
          <w:lang w:val="en-CA"/>
        </w:rPr>
        <w:t>or any other amount authorized by the Court</w:t>
      </w:r>
      <w:r w:rsidR="00CC0EC6" w:rsidRPr="001A6BBA">
        <w:rPr>
          <w:sz w:val="22"/>
          <w:szCs w:val="18"/>
          <w:lang w:val="en-CA"/>
        </w:rPr>
        <w:t xml:space="preserve">, will be </w:t>
      </w:r>
      <w:r w:rsidR="002E15A1">
        <w:rPr>
          <w:sz w:val="22"/>
          <w:szCs w:val="18"/>
          <w:lang w:val="en-CA"/>
        </w:rPr>
        <w:t xml:space="preserve">sent </w:t>
      </w:r>
      <w:r w:rsidR="00CC0EC6" w:rsidRPr="001A6BBA">
        <w:rPr>
          <w:sz w:val="22"/>
          <w:szCs w:val="18"/>
          <w:lang w:val="en-CA"/>
        </w:rPr>
        <w:t>by counsel for the Plaintiff and the class members within ten (10) days</w:t>
      </w:r>
      <w:r w:rsidR="005A73DA">
        <w:rPr>
          <w:sz w:val="22"/>
          <w:szCs w:val="18"/>
          <w:lang w:val="en-CA"/>
        </w:rPr>
        <w:t xml:space="preserve"> after</w:t>
      </w:r>
      <w:r w:rsidR="00CC0EC6" w:rsidRPr="001A6BBA">
        <w:rPr>
          <w:sz w:val="22"/>
          <w:szCs w:val="18"/>
          <w:lang w:val="en-CA"/>
        </w:rPr>
        <w:t xml:space="preserve"> the judgment approving the Settlement Agreement </w:t>
      </w:r>
      <w:r w:rsidR="000453D6">
        <w:rPr>
          <w:sz w:val="22"/>
          <w:szCs w:val="18"/>
          <w:lang w:val="en-CA"/>
        </w:rPr>
        <w:t>has acquire</w:t>
      </w:r>
      <w:r w:rsidR="00D67CEB">
        <w:rPr>
          <w:sz w:val="22"/>
          <w:szCs w:val="18"/>
          <w:lang w:val="en-CA"/>
        </w:rPr>
        <w:t>d</w:t>
      </w:r>
      <w:r w:rsidR="000453D6">
        <w:rPr>
          <w:sz w:val="22"/>
          <w:szCs w:val="18"/>
          <w:lang w:val="en-CA"/>
        </w:rPr>
        <w:t xml:space="preserve"> the force of</w:t>
      </w:r>
      <w:r w:rsidR="000453D6" w:rsidRPr="001A6BBA">
        <w:rPr>
          <w:sz w:val="22"/>
          <w:szCs w:val="18"/>
          <w:lang w:val="en-CA"/>
        </w:rPr>
        <w:t xml:space="preserve"> </w:t>
      </w:r>
      <w:r w:rsidR="00CC0EC6" w:rsidRPr="001A6BBA">
        <w:rPr>
          <w:i/>
          <w:sz w:val="22"/>
          <w:szCs w:val="18"/>
          <w:lang w:val="en-CA"/>
        </w:rPr>
        <w:t>res judicata</w:t>
      </w:r>
      <w:r w:rsidR="00CC0EC6" w:rsidRPr="001A6BBA">
        <w:rPr>
          <w:sz w:val="22"/>
          <w:szCs w:val="18"/>
          <w:lang w:val="en-CA"/>
        </w:rPr>
        <w:t xml:space="preserve">, </w:t>
      </w:r>
      <w:r w:rsidR="00CC0EC6" w:rsidRPr="001A6BBA">
        <w:rPr>
          <w:sz w:val="22"/>
          <w:szCs w:val="18"/>
          <w:u w:val="single"/>
          <w:lang w:val="en-CA"/>
        </w:rPr>
        <w:t>subject to the approval of the Court</w:t>
      </w:r>
      <w:r w:rsidR="00CC0EC6" w:rsidRPr="001A6BBA">
        <w:rPr>
          <w:sz w:val="22"/>
          <w:szCs w:val="18"/>
          <w:lang w:val="en-CA"/>
        </w:rPr>
        <w:t xml:space="preserve">. </w:t>
      </w:r>
    </w:p>
    <w:p w14:paraId="3D46ED7B" w14:textId="6E2C0E40" w:rsidR="002E7C51" w:rsidRPr="009F222C" w:rsidRDefault="00CC0EC6" w:rsidP="002E7C51">
      <w:pPr>
        <w:pStyle w:val="Paragraphe"/>
        <w:numPr>
          <w:ilvl w:val="0"/>
          <w:numId w:val="0"/>
        </w:numPr>
        <w:spacing w:line="280" w:lineRule="exact"/>
        <w:ind w:left="720" w:right="720"/>
        <w:jc w:val="right"/>
        <w:rPr>
          <w:sz w:val="22"/>
          <w:szCs w:val="18"/>
          <w:lang w:val="en-CA"/>
        </w:rPr>
      </w:pPr>
      <w:r w:rsidRPr="009F222C">
        <w:rPr>
          <w:sz w:val="22"/>
          <w:szCs w:val="18"/>
          <w:lang w:val="en-CA"/>
        </w:rPr>
        <w:t>[Emphasis added</w:t>
      </w:r>
      <w:r w:rsidR="006613E6">
        <w:rPr>
          <w:sz w:val="22"/>
          <w:szCs w:val="18"/>
          <w:lang w:val="en-CA"/>
        </w:rPr>
        <w:t>.</w:t>
      </w:r>
      <w:r w:rsidRPr="009F222C">
        <w:rPr>
          <w:sz w:val="22"/>
          <w:szCs w:val="18"/>
          <w:lang w:val="en-CA"/>
        </w:rPr>
        <w:t>]</w:t>
      </w:r>
    </w:p>
    <w:p w14:paraId="65115828" w14:textId="6735D30C" w:rsidR="002E7C51" w:rsidRPr="009F222C" w:rsidRDefault="00CC0EC6" w:rsidP="002E7C51">
      <w:pPr>
        <w:pStyle w:val="Paragraphe"/>
        <w:spacing w:line="280" w:lineRule="exact"/>
        <w:rPr>
          <w:lang w:val="en-CA"/>
        </w:rPr>
      </w:pPr>
      <w:r w:rsidRPr="009F222C">
        <w:rPr>
          <w:lang w:val="en-CA"/>
        </w:rPr>
        <w:t>Along th</w:t>
      </w:r>
      <w:r w:rsidR="006613E6">
        <w:rPr>
          <w:lang w:val="en-CA"/>
        </w:rPr>
        <w:t>e</w:t>
      </w:r>
      <w:r w:rsidRPr="009F222C">
        <w:rPr>
          <w:lang w:val="en-CA"/>
        </w:rPr>
        <w:t xml:space="preserve"> same lines, </w:t>
      </w:r>
      <w:r w:rsidR="007206D4">
        <w:rPr>
          <w:lang w:val="en-CA"/>
        </w:rPr>
        <w:t>clause</w:t>
      </w:r>
      <w:r w:rsidRPr="009F222C">
        <w:rPr>
          <w:lang w:val="en-CA"/>
        </w:rPr>
        <w:t xml:space="preserve"> 9 states:</w:t>
      </w:r>
      <w:r w:rsidR="00354272" w:rsidRPr="009F222C">
        <w:rPr>
          <w:lang w:val="en-CA"/>
        </w:rPr>
        <w:t xml:space="preserve"> </w:t>
      </w:r>
    </w:p>
    <w:p w14:paraId="656FD384" w14:textId="7909744F" w:rsidR="002E7C51" w:rsidRPr="001A6BBA" w:rsidRDefault="00CC0EC6" w:rsidP="002E7C51">
      <w:pPr>
        <w:pStyle w:val="Paragraphe"/>
        <w:numPr>
          <w:ilvl w:val="0"/>
          <w:numId w:val="0"/>
        </w:numPr>
        <w:spacing w:line="280" w:lineRule="exact"/>
        <w:ind w:left="720" w:right="720"/>
        <w:rPr>
          <w:sz w:val="22"/>
          <w:szCs w:val="18"/>
          <w:lang w:val="en-CA"/>
        </w:rPr>
      </w:pPr>
      <w:r w:rsidRPr="001A6BBA">
        <w:rPr>
          <w:sz w:val="22"/>
          <w:szCs w:val="18"/>
          <w:lang w:val="en-CA"/>
        </w:rPr>
        <w:t xml:space="preserve">Within ten (10) working days of receipt of the amount set out in </w:t>
      </w:r>
      <w:r w:rsidR="003669E6">
        <w:rPr>
          <w:sz w:val="22"/>
          <w:szCs w:val="18"/>
          <w:lang w:val="en-CA"/>
        </w:rPr>
        <w:t>paragraphs</w:t>
      </w:r>
      <w:r w:rsidR="003669E6" w:rsidRPr="001A6BBA">
        <w:rPr>
          <w:sz w:val="22"/>
          <w:szCs w:val="18"/>
          <w:lang w:val="en-CA"/>
        </w:rPr>
        <w:t xml:space="preserve"> </w:t>
      </w:r>
      <w:r w:rsidRPr="001A6BBA">
        <w:rPr>
          <w:sz w:val="22"/>
          <w:szCs w:val="18"/>
          <w:lang w:val="en-CA"/>
        </w:rPr>
        <w:t xml:space="preserve">3 and 6 of this Settlement </w:t>
      </w:r>
      <w:r w:rsidR="00935C8F">
        <w:rPr>
          <w:sz w:val="22"/>
          <w:szCs w:val="18"/>
          <w:lang w:val="en-CA"/>
        </w:rPr>
        <w:t>A</w:t>
      </w:r>
      <w:r w:rsidRPr="001A6BBA">
        <w:rPr>
          <w:sz w:val="22"/>
          <w:szCs w:val="18"/>
          <w:lang w:val="en-CA"/>
        </w:rPr>
        <w:t xml:space="preserve">greement, counsel for the </w:t>
      </w:r>
      <w:r w:rsidR="006613E6">
        <w:rPr>
          <w:sz w:val="22"/>
          <w:szCs w:val="18"/>
          <w:lang w:val="en-CA"/>
        </w:rPr>
        <w:t>Plaintiff</w:t>
      </w:r>
      <w:r w:rsidRPr="001A6BBA">
        <w:rPr>
          <w:sz w:val="22"/>
          <w:szCs w:val="18"/>
          <w:lang w:val="en-CA"/>
        </w:rPr>
        <w:t xml:space="preserve"> and the class members will withdraw from their </w:t>
      </w:r>
      <w:r w:rsidR="003669E6">
        <w:rPr>
          <w:sz w:val="22"/>
          <w:szCs w:val="18"/>
          <w:lang w:val="en-CA"/>
        </w:rPr>
        <w:t xml:space="preserve">trust </w:t>
      </w:r>
      <w:r w:rsidRPr="001A6BBA">
        <w:rPr>
          <w:sz w:val="22"/>
          <w:szCs w:val="18"/>
          <w:lang w:val="en-CA"/>
        </w:rPr>
        <w:t xml:space="preserve">account </w:t>
      </w:r>
      <w:r w:rsidR="003669E6" w:rsidRPr="004A70D3">
        <w:rPr>
          <w:iCs/>
          <w:sz w:val="22"/>
          <w:szCs w:val="18"/>
          <w:u w:val="single"/>
          <w:lang w:val="en-CA"/>
        </w:rPr>
        <w:t>the</w:t>
      </w:r>
      <w:r w:rsidR="003669E6" w:rsidRPr="004A70D3">
        <w:rPr>
          <w:sz w:val="22"/>
          <w:szCs w:val="18"/>
          <w:u w:val="single"/>
          <w:lang w:val="en-CA"/>
        </w:rPr>
        <w:t xml:space="preserve"> </w:t>
      </w:r>
      <w:r w:rsidR="006613E6">
        <w:rPr>
          <w:sz w:val="22"/>
          <w:szCs w:val="18"/>
          <w:u w:val="single"/>
          <w:lang w:val="en-CA"/>
        </w:rPr>
        <w:t xml:space="preserve">amount of </w:t>
      </w:r>
      <w:r w:rsidRPr="004A70D3">
        <w:rPr>
          <w:sz w:val="22"/>
          <w:szCs w:val="18"/>
          <w:u w:val="single"/>
          <w:lang w:val="en-CA"/>
        </w:rPr>
        <w:t xml:space="preserve">Professional </w:t>
      </w:r>
      <w:r w:rsidR="006613E6">
        <w:rPr>
          <w:sz w:val="22"/>
          <w:szCs w:val="18"/>
          <w:u w:val="single"/>
          <w:lang w:val="en-CA"/>
        </w:rPr>
        <w:t>F</w:t>
      </w:r>
      <w:r w:rsidR="003C6693" w:rsidRPr="004A70D3">
        <w:rPr>
          <w:sz w:val="22"/>
          <w:szCs w:val="18"/>
          <w:u w:val="single"/>
          <w:lang w:val="en-CA"/>
        </w:rPr>
        <w:t>ees</w:t>
      </w:r>
      <w:r w:rsidR="003C6693" w:rsidRPr="003C6693">
        <w:rPr>
          <w:sz w:val="22"/>
          <w:szCs w:val="18"/>
          <w:u w:val="single"/>
          <w:lang w:val="en-CA"/>
        </w:rPr>
        <w:t xml:space="preserve"> </w:t>
      </w:r>
      <w:r w:rsidRPr="003C6693">
        <w:rPr>
          <w:sz w:val="22"/>
          <w:szCs w:val="18"/>
          <w:u w:val="single"/>
          <w:lang w:val="en-CA"/>
        </w:rPr>
        <w:t>approved by the court</w:t>
      </w:r>
      <w:r w:rsidRPr="001A6BBA">
        <w:rPr>
          <w:sz w:val="22"/>
          <w:szCs w:val="18"/>
          <w:lang w:val="en-CA"/>
        </w:rPr>
        <w:t xml:space="preserve">, as set out in </w:t>
      </w:r>
      <w:r w:rsidR="003C6693">
        <w:rPr>
          <w:sz w:val="22"/>
          <w:szCs w:val="18"/>
          <w:lang w:val="en-CA"/>
        </w:rPr>
        <w:t>clause</w:t>
      </w:r>
      <w:r w:rsidRPr="001A6BBA">
        <w:rPr>
          <w:sz w:val="22"/>
          <w:szCs w:val="18"/>
          <w:lang w:val="en-CA"/>
        </w:rPr>
        <w:t xml:space="preserve"> 8 of this Settlement </w:t>
      </w:r>
      <w:r w:rsidR="003669E6">
        <w:rPr>
          <w:sz w:val="22"/>
          <w:szCs w:val="18"/>
          <w:lang w:val="en-CA"/>
        </w:rPr>
        <w:t>A</w:t>
      </w:r>
      <w:r w:rsidR="003669E6" w:rsidRPr="001A6BBA">
        <w:rPr>
          <w:sz w:val="22"/>
          <w:szCs w:val="18"/>
          <w:lang w:val="en-CA"/>
        </w:rPr>
        <w:t>greement</w:t>
      </w:r>
      <w:r w:rsidRPr="001A6BBA">
        <w:rPr>
          <w:sz w:val="22"/>
          <w:szCs w:val="18"/>
          <w:lang w:val="en-CA"/>
        </w:rPr>
        <w:t>.</w:t>
      </w:r>
    </w:p>
    <w:p w14:paraId="0E1258C1" w14:textId="77777777" w:rsidR="002E7C51" w:rsidRPr="009F222C" w:rsidRDefault="00354272" w:rsidP="002E7C51">
      <w:pPr>
        <w:pStyle w:val="Paragraphe"/>
        <w:numPr>
          <w:ilvl w:val="0"/>
          <w:numId w:val="0"/>
        </w:numPr>
        <w:spacing w:line="280" w:lineRule="exact"/>
        <w:ind w:left="720" w:right="720"/>
        <w:jc w:val="right"/>
        <w:rPr>
          <w:sz w:val="22"/>
          <w:szCs w:val="18"/>
          <w:lang w:val="en-CA"/>
        </w:rPr>
      </w:pPr>
      <w:r w:rsidRPr="009F222C">
        <w:rPr>
          <w:sz w:val="22"/>
          <w:szCs w:val="18"/>
          <w:lang w:val="en-CA"/>
        </w:rPr>
        <w:t>[Emphasis added.]</w:t>
      </w:r>
    </w:p>
    <w:p w14:paraId="70E3A9DE" w14:textId="239C97E5" w:rsidR="002E7C51" w:rsidRPr="001A6BBA" w:rsidRDefault="00CC0EC6" w:rsidP="002E7C51">
      <w:pPr>
        <w:pStyle w:val="Paragraphe"/>
        <w:spacing w:line="280" w:lineRule="exact"/>
        <w:rPr>
          <w:lang w:val="en-CA"/>
        </w:rPr>
      </w:pPr>
      <w:r w:rsidRPr="009F222C">
        <w:rPr>
          <w:lang w:val="en-CA"/>
        </w:rPr>
        <w:t xml:space="preserve">These provisions clearly recognize </w:t>
      </w:r>
      <w:r w:rsidR="003669E6">
        <w:rPr>
          <w:lang w:val="en-CA"/>
        </w:rPr>
        <w:t>the</w:t>
      </w:r>
      <w:r w:rsidR="003669E6" w:rsidRPr="009F222C">
        <w:rPr>
          <w:lang w:val="en-CA"/>
        </w:rPr>
        <w:t xml:space="preserve"> </w:t>
      </w:r>
      <w:r w:rsidRPr="009F222C">
        <w:rPr>
          <w:lang w:val="en-CA"/>
        </w:rPr>
        <w:t>judge’s power to determine the amount of professional fees.</w:t>
      </w:r>
      <w:r w:rsidR="00354272" w:rsidRPr="001A6BBA">
        <w:rPr>
          <w:lang w:val="en-CA"/>
        </w:rPr>
        <w:t xml:space="preserve"> </w:t>
      </w:r>
      <w:r w:rsidRPr="001A6BBA">
        <w:rPr>
          <w:lang w:val="en-CA"/>
        </w:rPr>
        <w:t>In this case</w:t>
      </w:r>
      <w:r w:rsidR="00A52ECB">
        <w:rPr>
          <w:lang w:val="en-CA"/>
        </w:rPr>
        <w:t>,</w:t>
      </w:r>
      <w:r w:rsidRPr="001A6BBA">
        <w:rPr>
          <w:lang w:val="en-CA"/>
        </w:rPr>
        <w:t xml:space="preserve"> the judge could </w:t>
      </w:r>
      <w:r w:rsidR="00A52ECB" w:rsidRPr="001A6BBA">
        <w:rPr>
          <w:lang w:val="en-CA"/>
        </w:rPr>
        <w:t>therefore</w:t>
      </w:r>
      <w:r w:rsidR="00A52ECB">
        <w:rPr>
          <w:lang w:val="en-CA"/>
        </w:rPr>
        <w:t xml:space="preserve"> </w:t>
      </w:r>
      <w:r w:rsidR="003669E6">
        <w:rPr>
          <w:lang w:val="en-CA"/>
        </w:rPr>
        <w:t>amend</w:t>
      </w:r>
      <w:r w:rsidR="003669E6" w:rsidRPr="001A6BBA">
        <w:rPr>
          <w:lang w:val="en-CA"/>
        </w:rPr>
        <w:t xml:space="preserve"> </w:t>
      </w:r>
      <w:r w:rsidRPr="001A6BBA">
        <w:rPr>
          <w:lang w:val="en-CA"/>
        </w:rPr>
        <w:t xml:space="preserve">the quantum of professional fees determined by the parties </w:t>
      </w:r>
      <w:r w:rsidR="003669E6">
        <w:rPr>
          <w:lang w:val="en-CA"/>
        </w:rPr>
        <w:t>while</w:t>
      </w:r>
      <w:r w:rsidRPr="001A6BBA">
        <w:rPr>
          <w:lang w:val="en-CA"/>
        </w:rPr>
        <w:t xml:space="preserve"> respect</w:t>
      </w:r>
      <w:r w:rsidR="003669E6">
        <w:rPr>
          <w:lang w:val="en-CA"/>
        </w:rPr>
        <w:t>ing</w:t>
      </w:r>
      <w:r w:rsidRPr="001A6BBA">
        <w:rPr>
          <w:lang w:val="en-CA"/>
        </w:rPr>
        <w:t xml:space="preserve"> the Agreement </w:t>
      </w:r>
      <w:r w:rsidR="003C6693">
        <w:rPr>
          <w:lang w:val="en-CA"/>
        </w:rPr>
        <w:t>[</w:t>
      </w:r>
      <w:r w:rsidRPr="003C6693">
        <w:rPr>
          <w:smallCaps/>
          <w:lang w:val="en-CA"/>
        </w:rPr>
        <w:t>translation</w:t>
      </w:r>
      <w:r w:rsidR="003C6693">
        <w:rPr>
          <w:smallCaps/>
          <w:lang w:val="en-CA"/>
        </w:rPr>
        <w:t>]</w:t>
      </w:r>
      <w:r w:rsidRPr="001A6BBA">
        <w:rPr>
          <w:lang w:val="en-CA"/>
        </w:rPr>
        <w:t xml:space="preserve"> “as a whole”.</w:t>
      </w:r>
      <w:r w:rsidR="00354272" w:rsidRPr="001A6BBA">
        <w:rPr>
          <w:lang w:val="en-CA"/>
        </w:rPr>
        <w:t xml:space="preserve"> </w:t>
      </w:r>
      <w:r w:rsidRPr="001A6BBA">
        <w:rPr>
          <w:lang w:val="en-CA"/>
        </w:rPr>
        <w:t xml:space="preserve">He did not have to reject the Agreement if he </w:t>
      </w:r>
      <w:r w:rsidR="003669E6">
        <w:rPr>
          <w:lang w:val="en-CA"/>
        </w:rPr>
        <w:t>considered</w:t>
      </w:r>
      <w:r w:rsidR="003669E6" w:rsidRPr="001A6BBA">
        <w:rPr>
          <w:lang w:val="en-CA"/>
        </w:rPr>
        <w:t xml:space="preserve"> </w:t>
      </w:r>
      <w:r w:rsidRPr="001A6BBA">
        <w:rPr>
          <w:lang w:val="en-CA"/>
        </w:rPr>
        <w:t>that the professional fees claimed were excessive.</w:t>
      </w:r>
      <w:r w:rsidR="00354272" w:rsidRPr="001A6BBA">
        <w:rPr>
          <w:lang w:val="en-CA"/>
        </w:rPr>
        <w:t xml:space="preserve"> </w:t>
      </w:r>
      <w:r w:rsidRPr="001A6BBA">
        <w:rPr>
          <w:lang w:val="en-CA"/>
        </w:rPr>
        <w:t>Insofar as the judge determined that the Agreement was otherwise fair and in the interest</w:t>
      </w:r>
      <w:r w:rsidR="003C6693">
        <w:rPr>
          <w:lang w:val="en-CA"/>
        </w:rPr>
        <w:t>s</w:t>
      </w:r>
      <w:r w:rsidRPr="001A6BBA">
        <w:rPr>
          <w:lang w:val="en-CA"/>
        </w:rPr>
        <w:t xml:space="preserve"> of the class members, which no one </w:t>
      </w:r>
      <w:r w:rsidR="003669E6" w:rsidRPr="008778A3">
        <w:rPr>
          <w:lang w:val="en-CA"/>
        </w:rPr>
        <w:t xml:space="preserve">— </w:t>
      </w:r>
      <w:r w:rsidRPr="001A6BBA">
        <w:rPr>
          <w:lang w:val="en-CA"/>
        </w:rPr>
        <w:t xml:space="preserve">not even the dissenting member </w:t>
      </w:r>
      <w:r w:rsidR="003669E6" w:rsidRPr="008778A3">
        <w:rPr>
          <w:lang w:val="en-CA"/>
        </w:rPr>
        <w:t xml:space="preserve">— </w:t>
      </w:r>
      <w:r w:rsidRPr="001A6BBA">
        <w:rPr>
          <w:lang w:val="en-CA"/>
        </w:rPr>
        <w:t>question</w:t>
      </w:r>
      <w:r w:rsidR="00A52ECB">
        <w:rPr>
          <w:lang w:val="en-CA"/>
        </w:rPr>
        <w:t>s</w:t>
      </w:r>
      <w:r w:rsidRPr="001A6BBA">
        <w:rPr>
          <w:lang w:val="en-CA"/>
        </w:rPr>
        <w:t>, he should have approved it while revising the amount of the professional fees.</w:t>
      </w:r>
      <w:r w:rsidR="00354272" w:rsidRPr="001A6BBA">
        <w:rPr>
          <w:lang w:val="en-CA"/>
        </w:rPr>
        <w:t xml:space="preserve"> </w:t>
      </w:r>
      <w:r w:rsidRPr="009F222C">
        <w:rPr>
          <w:lang w:val="en-CA"/>
        </w:rPr>
        <w:t>In finding as he did, he committed an error which must be corrected by the Court.</w:t>
      </w:r>
    </w:p>
    <w:p w14:paraId="68F8ADF8" w14:textId="3153DCCA" w:rsidR="002E7C51" w:rsidRPr="001A6BBA" w:rsidRDefault="00CC0EC6" w:rsidP="002E7C51">
      <w:pPr>
        <w:pStyle w:val="Paragraphe"/>
        <w:spacing w:line="280" w:lineRule="exact"/>
        <w:rPr>
          <w:lang w:val="en-CA"/>
        </w:rPr>
      </w:pPr>
      <w:r w:rsidRPr="001A6BBA">
        <w:rPr>
          <w:lang w:val="en-CA"/>
        </w:rPr>
        <w:t>Given the interpretation of the Agreement that I propos</w:t>
      </w:r>
      <w:r w:rsidR="00A52ECB">
        <w:rPr>
          <w:lang w:val="en-CA"/>
        </w:rPr>
        <w:t>e</w:t>
      </w:r>
      <w:r w:rsidRPr="001A6BBA">
        <w:rPr>
          <w:lang w:val="en-CA"/>
        </w:rPr>
        <w:t>, it is not necessary to respond to</w:t>
      </w:r>
      <w:r w:rsidR="003C6693">
        <w:rPr>
          <w:lang w:val="en-CA"/>
        </w:rPr>
        <w:t xml:space="preserve"> the</w:t>
      </w:r>
      <w:r w:rsidRPr="001A6BBA">
        <w:rPr>
          <w:lang w:val="en-CA"/>
        </w:rPr>
        <w:t xml:space="preserve"> FAAC</w:t>
      </w:r>
      <w:r w:rsidR="00541FF5">
        <w:rPr>
          <w:lang w:val="en-CA"/>
        </w:rPr>
        <w:t>’</w:t>
      </w:r>
      <w:r w:rsidRPr="001A6BBA">
        <w:rPr>
          <w:lang w:val="en-CA"/>
        </w:rPr>
        <w:t xml:space="preserve">s </w:t>
      </w:r>
      <w:r w:rsidR="00A52ECB">
        <w:rPr>
          <w:lang w:val="en-CA"/>
        </w:rPr>
        <w:t>submissions</w:t>
      </w:r>
      <w:r w:rsidRPr="001A6BBA">
        <w:rPr>
          <w:lang w:val="en-CA"/>
        </w:rPr>
        <w:t xml:space="preserve"> that, insofar as </w:t>
      </w:r>
      <w:r w:rsidR="003C6693">
        <w:rPr>
          <w:lang w:val="en-CA"/>
        </w:rPr>
        <w:t>clause</w:t>
      </w:r>
      <w:r w:rsidRPr="001A6BBA">
        <w:rPr>
          <w:lang w:val="en-CA"/>
        </w:rPr>
        <w:t xml:space="preserve"> 28 of the Agreement prevents homologation of the settlement </w:t>
      </w:r>
      <w:r w:rsidR="00BF700A">
        <w:rPr>
          <w:lang w:val="en-CA"/>
        </w:rPr>
        <w:t>unless</w:t>
      </w:r>
      <w:r w:rsidRPr="001A6BBA">
        <w:rPr>
          <w:lang w:val="en-CA"/>
        </w:rPr>
        <w:t xml:space="preserve"> </w:t>
      </w:r>
      <w:r w:rsidR="003C6693">
        <w:rPr>
          <w:lang w:val="en-CA"/>
        </w:rPr>
        <w:t>the</w:t>
      </w:r>
      <w:r w:rsidRPr="001A6BBA">
        <w:rPr>
          <w:lang w:val="en-CA"/>
        </w:rPr>
        <w:t xml:space="preserve"> professional fees</w:t>
      </w:r>
      <w:r w:rsidR="003C6693">
        <w:rPr>
          <w:lang w:val="en-CA"/>
        </w:rPr>
        <w:t xml:space="preserve"> of counsel</w:t>
      </w:r>
      <w:r w:rsidR="00BF700A">
        <w:rPr>
          <w:lang w:val="en-CA"/>
        </w:rPr>
        <w:t xml:space="preserve"> are approved</w:t>
      </w:r>
      <w:r w:rsidRPr="001A6BBA">
        <w:rPr>
          <w:lang w:val="en-CA"/>
        </w:rPr>
        <w:t>, it is against public order.</w:t>
      </w:r>
    </w:p>
    <w:p w14:paraId="2821DEFF" w14:textId="77777777" w:rsidR="00A52ECB" w:rsidRPr="00A52ECB" w:rsidRDefault="00A52ECB" w:rsidP="00A44096">
      <w:pPr>
        <w:pStyle w:val="Paragraphedeliste"/>
        <w:keepNext/>
        <w:numPr>
          <w:ilvl w:val="0"/>
          <w:numId w:val="28"/>
        </w:numPr>
        <w:spacing w:before="240" w:after="60"/>
        <w:ind w:left="709" w:firstLine="0"/>
        <w:contextualSpacing w:val="0"/>
        <w:outlineLvl w:val="1"/>
        <w:rPr>
          <w:b/>
          <w:i/>
          <w:vanish/>
          <w:lang w:val="en-CA"/>
        </w:rPr>
      </w:pPr>
      <w:bookmarkStart w:id="22" w:name="_Ref125992424"/>
      <w:bookmarkStart w:id="23" w:name="_Toc127803199"/>
    </w:p>
    <w:p w14:paraId="2736FAE8" w14:textId="7DBDE8FF" w:rsidR="002E7C51" w:rsidRPr="001A6BBA" w:rsidRDefault="00A52ECB" w:rsidP="00A52ECB">
      <w:pPr>
        <w:pStyle w:val="Titre2"/>
        <w:numPr>
          <w:ilvl w:val="0"/>
          <w:numId w:val="0"/>
        </w:numPr>
        <w:ind w:left="709"/>
        <w:rPr>
          <w:lang w:val="en-CA"/>
        </w:rPr>
      </w:pPr>
      <w:r>
        <w:rPr>
          <w:lang w:val="en-CA"/>
        </w:rPr>
        <w:t xml:space="preserve">(b) </w:t>
      </w:r>
      <w:r w:rsidR="00CC0EC6" w:rsidRPr="009F222C">
        <w:rPr>
          <w:lang w:val="en-CA"/>
        </w:rPr>
        <w:t xml:space="preserve">Did the judge err in </w:t>
      </w:r>
      <w:r>
        <w:rPr>
          <w:lang w:val="en-CA"/>
        </w:rPr>
        <w:t>finding</w:t>
      </w:r>
      <w:r w:rsidR="00CC0EC6" w:rsidRPr="009F222C">
        <w:rPr>
          <w:lang w:val="en-CA"/>
        </w:rPr>
        <w:t xml:space="preserve"> that the professional fees claimed are unreasonable?</w:t>
      </w:r>
      <w:r w:rsidR="00354272" w:rsidRPr="001A6BBA">
        <w:rPr>
          <w:lang w:val="en-CA"/>
        </w:rPr>
        <w:t xml:space="preserve"> </w:t>
      </w:r>
      <w:bookmarkEnd w:id="22"/>
      <w:bookmarkEnd w:id="23"/>
      <w:r w:rsidR="00574820" w:rsidRPr="009F222C">
        <w:rPr>
          <w:lang w:val="en-CA"/>
        </w:rPr>
        <w:t xml:space="preserve">Should the Court </w:t>
      </w:r>
      <w:r w:rsidR="009E6BD9">
        <w:rPr>
          <w:lang w:val="en-CA"/>
        </w:rPr>
        <w:t>determine</w:t>
      </w:r>
      <w:r w:rsidR="009E6BD9" w:rsidRPr="009F222C">
        <w:rPr>
          <w:lang w:val="en-CA"/>
        </w:rPr>
        <w:t xml:space="preserve"> </w:t>
      </w:r>
      <w:r w:rsidR="00574820" w:rsidRPr="009F222C">
        <w:rPr>
          <w:lang w:val="en-CA"/>
        </w:rPr>
        <w:t>the professional fees?</w:t>
      </w:r>
    </w:p>
    <w:p w14:paraId="03445AC5" w14:textId="504449AF" w:rsidR="002E7C51" w:rsidRPr="009F222C" w:rsidRDefault="006E33B5" w:rsidP="00534AD6">
      <w:pPr>
        <w:pStyle w:val="Titre3"/>
        <w:rPr>
          <w:lang w:val="en-CA"/>
        </w:rPr>
      </w:pPr>
      <w:r>
        <w:rPr>
          <w:lang w:val="en-CA"/>
        </w:rPr>
        <w:t>T</w:t>
      </w:r>
      <w:r w:rsidR="00CC0EC6" w:rsidRPr="009F222C">
        <w:rPr>
          <w:lang w:val="en-CA"/>
        </w:rPr>
        <w:t>he parties</w:t>
      </w:r>
      <w:r>
        <w:rPr>
          <w:lang w:val="en-CA"/>
        </w:rPr>
        <w:t>’ submissions</w:t>
      </w:r>
    </w:p>
    <w:p w14:paraId="705AEBCA" w14:textId="19315194" w:rsidR="002E7C51" w:rsidRPr="001A6BBA" w:rsidRDefault="00CC0EC6" w:rsidP="002E7C51">
      <w:pPr>
        <w:pStyle w:val="Paragraphe"/>
        <w:spacing w:line="280" w:lineRule="exact"/>
        <w:rPr>
          <w:lang w:val="en-CA"/>
        </w:rPr>
      </w:pPr>
      <w:r w:rsidRPr="001A6BBA">
        <w:rPr>
          <w:lang w:val="en-CA"/>
        </w:rPr>
        <w:t>I will summarize the parties</w:t>
      </w:r>
      <w:r w:rsidR="004002DD">
        <w:rPr>
          <w:lang w:val="en-CA"/>
        </w:rPr>
        <w:t>’</w:t>
      </w:r>
      <w:r w:rsidRPr="001A6BBA">
        <w:rPr>
          <w:lang w:val="en-CA"/>
        </w:rPr>
        <w:t xml:space="preserve"> </w:t>
      </w:r>
      <w:r w:rsidR="004002DD">
        <w:rPr>
          <w:lang w:val="en-CA"/>
        </w:rPr>
        <w:t>submissions</w:t>
      </w:r>
      <w:r w:rsidR="00F27551" w:rsidRPr="001A6BBA">
        <w:rPr>
          <w:lang w:val="en-CA"/>
        </w:rPr>
        <w:t xml:space="preserve"> </w:t>
      </w:r>
      <w:r w:rsidRPr="001A6BBA">
        <w:rPr>
          <w:lang w:val="en-CA"/>
        </w:rPr>
        <w:t>in detail, as they exhaustively describe the elements to be considered when assessing the amount of professional fees to be paid.</w:t>
      </w:r>
    </w:p>
    <w:p w14:paraId="6B149560" w14:textId="5AADACEB" w:rsidR="002E7C51" w:rsidRPr="001A6BBA" w:rsidRDefault="00CC0EC6" w:rsidP="002E7C51">
      <w:pPr>
        <w:pStyle w:val="Paragraphe"/>
        <w:spacing w:line="280" w:lineRule="exact"/>
        <w:rPr>
          <w:lang w:val="en-CA"/>
        </w:rPr>
      </w:pPr>
      <w:r w:rsidRPr="009F222C">
        <w:rPr>
          <w:lang w:val="en-CA"/>
        </w:rPr>
        <w:t xml:space="preserve">The appellant </w:t>
      </w:r>
      <w:r w:rsidR="00E969E3">
        <w:rPr>
          <w:lang w:val="en-CA"/>
        </w:rPr>
        <w:t>submits</w:t>
      </w:r>
      <w:r w:rsidRPr="009F222C">
        <w:rPr>
          <w:lang w:val="en-CA"/>
        </w:rPr>
        <w:t xml:space="preserve"> that the judge </w:t>
      </w:r>
      <w:r w:rsidR="00E969E3">
        <w:rPr>
          <w:lang w:val="en-CA"/>
        </w:rPr>
        <w:t xml:space="preserve">erred in </w:t>
      </w:r>
      <w:r w:rsidRPr="009F222C">
        <w:rPr>
          <w:lang w:val="en-CA"/>
        </w:rPr>
        <w:t xml:space="preserve">law and </w:t>
      </w:r>
      <w:r w:rsidR="00E969E3">
        <w:rPr>
          <w:lang w:val="en-CA"/>
        </w:rPr>
        <w:t xml:space="preserve">made </w:t>
      </w:r>
      <w:r w:rsidRPr="009F222C">
        <w:rPr>
          <w:lang w:val="en-CA"/>
        </w:rPr>
        <w:t>palpable and overriding errors in concluding that the professional fees claimed were unreasonable.</w:t>
      </w:r>
      <w:r w:rsidR="00354272" w:rsidRPr="001A6BBA">
        <w:rPr>
          <w:lang w:val="en-CA"/>
        </w:rPr>
        <w:t xml:space="preserve"> </w:t>
      </w:r>
      <w:r w:rsidRPr="001A6BBA">
        <w:rPr>
          <w:lang w:val="en-CA"/>
        </w:rPr>
        <w:t xml:space="preserve">He recalled that the </w:t>
      </w:r>
      <w:r w:rsidR="00171C13">
        <w:rPr>
          <w:lang w:val="en-CA"/>
        </w:rPr>
        <w:t xml:space="preserve">professional </w:t>
      </w:r>
      <w:r w:rsidRPr="001A6BBA">
        <w:rPr>
          <w:lang w:val="en-CA"/>
        </w:rPr>
        <w:t>fee agreement is presumed valid.</w:t>
      </w:r>
      <w:r w:rsidR="00354272" w:rsidRPr="001A6BBA">
        <w:rPr>
          <w:lang w:val="en-CA"/>
        </w:rPr>
        <w:t xml:space="preserve"> </w:t>
      </w:r>
      <w:r w:rsidRPr="009F222C">
        <w:rPr>
          <w:lang w:val="en-CA"/>
        </w:rPr>
        <w:t>In addition, a percentage agreement providing for a percentage of 15</w:t>
      </w:r>
      <w:r w:rsidR="00171C13">
        <w:rPr>
          <w:lang w:val="en-CA"/>
        </w:rPr>
        <w:t>%</w:t>
      </w:r>
      <w:r w:rsidRPr="009F222C">
        <w:rPr>
          <w:lang w:val="en-CA"/>
        </w:rPr>
        <w:t xml:space="preserve"> to 33% is generally considered fair and reasonable.</w:t>
      </w:r>
      <w:r w:rsidR="00354272" w:rsidRPr="001A6BBA">
        <w:rPr>
          <w:lang w:val="en-CA"/>
        </w:rPr>
        <w:t xml:space="preserve"> </w:t>
      </w:r>
      <w:r w:rsidR="00BF700A">
        <w:rPr>
          <w:lang w:val="en-CA"/>
        </w:rPr>
        <w:t>According to him</w:t>
      </w:r>
      <w:r w:rsidRPr="001A6BBA">
        <w:rPr>
          <w:lang w:val="en-CA"/>
        </w:rPr>
        <w:t xml:space="preserve">, convincing evidence </w:t>
      </w:r>
      <w:r w:rsidR="00BF700A">
        <w:rPr>
          <w:lang w:val="en-CA"/>
        </w:rPr>
        <w:t>[</w:t>
      </w:r>
      <w:r w:rsidRPr="00BF700A">
        <w:rPr>
          <w:smallCaps/>
          <w:lang w:val="en-CA"/>
        </w:rPr>
        <w:t>translation</w:t>
      </w:r>
      <w:r w:rsidR="00BF700A">
        <w:rPr>
          <w:smallCaps/>
          <w:lang w:val="en-CA"/>
        </w:rPr>
        <w:t>]</w:t>
      </w:r>
      <w:r w:rsidRPr="001A6BBA">
        <w:rPr>
          <w:lang w:val="en-CA"/>
        </w:rPr>
        <w:t xml:space="preserve"> </w:t>
      </w:r>
      <w:r w:rsidR="00E969E3">
        <w:rPr>
          <w:lang w:val="en-CA"/>
        </w:rPr>
        <w:t>“</w:t>
      </w:r>
      <w:r w:rsidRPr="001A6BBA">
        <w:rPr>
          <w:lang w:val="en-CA"/>
        </w:rPr>
        <w:t xml:space="preserve">that the </w:t>
      </w:r>
      <w:r w:rsidR="00171C13">
        <w:rPr>
          <w:lang w:val="en-CA"/>
        </w:rPr>
        <w:t xml:space="preserve">professional </w:t>
      </w:r>
      <w:r w:rsidRPr="001A6BBA">
        <w:rPr>
          <w:lang w:val="en-CA"/>
        </w:rPr>
        <w:t>fee agreement was not entered into in the interest</w:t>
      </w:r>
      <w:r w:rsidR="00BF700A">
        <w:rPr>
          <w:lang w:val="en-CA"/>
        </w:rPr>
        <w:t>s</w:t>
      </w:r>
      <w:r w:rsidRPr="001A6BBA">
        <w:rPr>
          <w:lang w:val="en-CA"/>
        </w:rPr>
        <w:t xml:space="preserve"> of the class members</w:t>
      </w:r>
      <w:r w:rsidR="00E969E3">
        <w:rPr>
          <w:lang w:val="en-CA"/>
        </w:rPr>
        <w:t>”</w:t>
      </w:r>
      <w:r w:rsidRPr="001A6BBA">
        <w:rPr>
          <w:lang w:val="en-CA"/>
        </w:rPr>
        <w:t xml:space="preserve"> is required to rebut these presumptions.</w:t>
      </w:r>
      <w:r w:rsidR="00354272" w:rsidRPr="001A6BBA">
        <w:rPr>
          <w:lang w:val="en-CA"/>
        </w:rPr>
        <w:t xml:space="preserve"> </w:t>
      </w:r>
      <w:r w:rsidRPr="001A6BBA">
        <w:rPr>
          <w:lang w:val="en-CA"/>
        </w:rPr>
        <w:t>It</w:t>
      </w:r>
      <w:r w:rsidR="00BF700A">
        <w:rPr>
          <w:lang w:val="en-CA"/>
        </w:rPr>
        <w:t xml:space="preserve"> i</w:t>
      </w:r>
      <w:r w:rsidRPr="001A6BBA">
        <w:rPr>
          <w:lang w:val="en-CA"/>
        </w:rPr>
        <w:t>s in every class member</w:t>
      </w:r>
      <w:r w:rsidR="00E969E3">
        <w:rPr>
          <w:lang w:val="en-CA"/>
        </w:rPr>
        <w:t>’</w:t>
      </w:r>
      <w:r w:rsidRPr="001A6BBA">
        <w:rPr>
          <w:lang w:val="en-CA"/>
        </w:rPr>
        <w:t>s interest to ensure that counsel works diligently to achieve the best possible result.</w:t>
      </w:r>
      <w:r w:rsidR="00354272" w:rsidRPr="001A6BBA">
        <w:rPr>
          <w:lang w:val="en-CA"/>
        </w:rPr>
        <w:t xml:space="preserve"> </w:t>
      </w:r>
      <w:r w:rsidRPr="001A6BBA">
        <w:rPr>
          <w:lang w:val="en-CA"/>
        </w:rPr>
        <w:t xml:space="preserve">What </w:t>
      </w:r>
      <w:r w:rsidR="00171C13">
        <w:rPr>
          <w:lang w:val="en-CA"/>
        </w:rPr>
        <w:t xml:space="preserve">is of </w:t>
      </w:r>
      <w:r w:rsidRPr="001A6BBA">
        <w:rPr>
          <w:lang w:val="en-CA"/>
        </w:rPr>
        <w:t xml:space="preserve">interest </w:t>
      </w:r>
      <w:r w:rsidR="00171C13">
        <w:rPr>
          <w:lang w:val="en-CA"/>
        </w:rPr>
        <w:t>to him or her</w:t>
      </w:r>
      <w:r w:rsidR="00171C13" w:rsidRPr="001A6BBA">
        <w:rPr>
          <w:lang w:val="en-CA"/>
        </w:rPr>
        <w:t xml:space="preserve"> </w:t>
      </w:r>
      <w:r w:rsidRPr="001A6BBA">
        <w:rPr>
          <w:lang w:val="en-CA"/>
        </w:rPr>
        <w:t xml:space="preserve">is the result obtained </w:t>
      </w:r>
      <w:r w:rsidRPr="001A6BBA">
        <w:rPr>
          <w:i/>
          <w:lang w:val="en-CA"/>
        </w:rPr>
        <w:t>for him</w:t>
      </w:r>
      <w:r w:rsidR="00171C13">
        <w:rPr>
          <w:i/>
          <w:lang w:val="en-CA"/>
        </w:rPr>
        <w:t xml:space="preserve"> of her</w:t>
      </w:r>
      <w:r w:rsidRPr="001A6BBA">
        <w:rPr>
          <w:lang w:val="en-CA"/>
        </w:rPr>
        <w:t xml:space="preserve">, and that the percentage of professional fees applicable </w:t>
      </w:r>
      <w:r w:rsidRPr="001A6BBA">
        <w:rPr>
          <w:i/>
          <w:lang w:val="en-CA"/>
        </w:rPr>
        <w:t>to his</w:t>
      </w:r>
      <w:r w:rsidR="00171C13">
        <w:rPr>
          <w:i/>
          <w:lang w:val="en-CA"/>
        </w:rPr>
        <w:t xml:space="preserve"> or her</w:t>
      </w:r>
      <w:r w:rsidRPr="001A6BBA">
        <w:rPr>
          <w:i/>
          <w:lang w:val="en-CA"/>
        </w:rPr>
        <w:t xml:space="preserve"> </w:t>
      </w:r>
      <w:r w:rsidR="003E1FF8">
        <w:rPr>
          <w:i/>
          <w:lang w:val="en-CA"/>
        </w:rPr>
        <w:t>indemnity</w:t>
      </w:r>
      <w:r w:rsidRPr="001A6BBA">
        <w:rPr>
          <w:lang w:val="en-CA"/>
        </w:rPr>
        <w:t xml:space="preserve"> is reasonable and in line with the percentage applied to the indemnities of other class members.</w:t>
      </w:r>
      <w:r w:rsidR="00354272" w:rsidRPr="001A6BBA">
        <w:rPr>
          <w:lang w:val="en-CA"/>
        </w:rPr>
        <w:t xml:space="preserve"> </w:t>
      </w:r>
      <w:r w:rsidRPr="001A6BBA">
        <w:rPr>
          <w:lang w:val="en-CA"/>
        </w:rPr>
        <w:t>Thus, if the percentage set out in the fee agreement is between 15</w:t>
      </w:r>
      <w:r w:rsidR="00171C13">
        <w:rPr>
          <w:lang w:val="en-CA"/>
        </w:rPr>
        <w:t>%</w:t>
      </w:r>
      <w:r w:rsidRPr="001A6BBA">
        <w:rPr>
          <w:lang w:val="en-CA"/>
        </w:rPr>
        <w:t xml:space="preserve"> and 33% and </w:t>
      </w:r>
      <w:r w:rsidR="003E1FF8">
        <w:rPr>
          <w:lang w:val="en-CA"/>
        </w:rPr>
        <w:t>counsel</w:t>
      </w:r>
      <w:r w:rsidRPr="001A6BBA">
        <w:rPr>
          <w:lang w:val="en-CA"/>
        </w:rPr>
        <w:t xml:space="preserve"> worked diligently to </w:t>
      </w:r>
      <w:r w:rsidR="003E1FF8" w:rsidRPr="001A6BBA">
        <w:rPr>
          <w:lang w:val="en-CA"/>
        </w:rPr>
        <w:t>achieve</w:t>
      </w:r>
      <w:r w:rsidRPr="001A6BBA">
        <w:rPr>
          <w:lang w:val="en-CA"/>
        </w:rPr>
        <w:t xml:space="preserve"> the result obtained, the professional fees should be approved.</w:t>
      </w:r>
      <w:r w:rsidR="00354272" w:rsidRPr="001A6BBA">
        <w:rPr>
          <w:lang w:val="en-CA"/>
        </w:rPr>
        <w:t xml:space="preserve"> </w:t>
      </w:r>
      <w:r w:rsidRPr="009F222C">
        <w:rPr>
          <w:lang w:val="en-CA"/>
        </w:rPr>
        <w:t>In this case, the professional fees claimed should have been approved.</w:t>
      </w:r>
      <w:r w:rsidR="00354272" w:rsidRPr="001A6BBA">
        <w:rPr>
          <w:lang w:val="en-CA"/>
        </w:rPr>
        <w:t xml:space="preserve"> </w:t>
      </w:r>
      <w:r w:rsidRPr="001A6BBA">
        <w:rPr>
          <w:lang w:val="en-CA"/>
        </w:rPr>
        <w:t xml:space="preserve">Indeed, the percentage (25%) set out in the fee agreement is within the established range and received the approval of the appellant and </w:t>
      </w:r>
      <w:r w:rsidR="003E1FF8">
        <w:rPr>
          <w:lang w:val="en-CA"/>
        </w:rPr>
        <w:t xml:space="preserve">of </w:t>
      </w:r>
      <w:r w:rsidRPr="001A6BBA">
        <w:rPr>
          <w:lang w:val="en-CA"/>
        </w:rPr>
        <w:t>several other class members.</w:t>
      </w:r>
      <w:r w:rsidR="00354272" w:rsidRPr="001A6BBA">
        <w:rPr>
          <w:lang w:val="en-CA"/>
        </w:rPr>
        <w:t xml:space="preserve"> </w:t>
      </w:r>
      <w:r w:rsidR="00E969E3">
        <w:rPr>
          <w:lang w:val="en-CA"/>
        </w:rPr>
        <w:t>The</w:t>
      </w:r>
      <w:r w:rsidRPr="009F222C">
        <w:rPr>
          <w:lang w:val="en-CA"/>
        </w:rPr>
        <w:t xml:space="preserve"> FAAC </w:t>
      </w:r>
      <w:r w:rsidR="00E969E3">
        <w:rPr>
          <w:lang w:val="en-CA"/>
        </w:rPr>
        <w:t xml:space="preserve">did not </w:t>
      </w:r>
      <w:r w:rsidRPr="009F222C">
        <w:rPr>
          <w:lang w:val="en-CA"/>
        </w:rPr>
        <w:t>oppose it</w:t>
      </w:r>
      <w:r w:rsidR="00E969E3">
        <w:rPr>
          <w:lang w:val="en-CA"/>
        </w:rPr>
        <w:t xml:space="preserve"> either</w:t>
      </w:r>
      <w:r w:rsidRPr="009F222C">
        <w:rPr>
          <w:lang w:val="en-CA"/>
        </w:rPr>
        <w:t>.</w:t>
      </w:r>
      <w:r w:rsidR="00354272" w:rsidRPr="001A6BBA">
        <w:rPr>
          <w:lang w:val="en-CA"/>
        </w:rPr>
        <w:t xml:space="preserve"> </w:t>
      </w:r>
      <w:r w:rsidRPr="001A6BBA">
        <w:rPr>
          <w:lang w:val="en-CA"/>
        </w:rPr>
        <w:t xml:space="preserve">In addition, the judge acknowledged that </w:t>
      </w:r>
      <w:r w:rsidR="003E1FF8">
        <w:rPr>
          <w:lang w:val="en-CA"/>
        </w:rPr>
        <w:t>counsel</w:t>
      </w:r>
      <w:r w:rsidRPr="001A6BBA">
        <w:rPr>
          <w:lang w:val="en-CA"/>
        </w:rPr>
        <w:t xml:space="preserve"> had accepted an enormous risk, worked hard, shown exemplary dedication to the class members</w:t>
      </w:r>
      <w:r w:rsidR="00620491">
        <w:rPr>
          <w:lang w:val="en-CA"/>
        </w:rPr>
        <w:t>,</w:t>
      </w:r>
      <w:r w:rsidRPr="001A6BBA">
        <w:rPr>
          <w:lang w:val="en-CA"/>
        </w:rPr>
        <w:t xml:space="preserve"> and negotiated an excellent agreement that </w:t>
      </w:r>
      <w:r w:rsidR="003E1FF8">
        <w:rPr>
          <w:lang w:val="en-CA"/>
        </w:rPr>
        <w:t>allowed</w:t>
      </w:r>
      <w:r w:rsidRPr="001A6BBA">
        <w:rPr>
          <w:lang w:val="en-CA"/>
        </w:rPr>
        <w:t xml:space="preserve"> them to receive a significant indemnity.</w:t>
      </w:r>
      <w:r w:rsidR="00354272" w:rsidRPr="001A6BBA">
        <w:rPr>
          <w:lang w:val="en-CA"/>
        </w:rPr>
        <w:t xml:space="preserve"> </w:t>
      </w:r>
      <w:r w:rsidRPr="001A6BBA">
        <w:rPr>
          <w:lang w:val="en-CA"/>
        </w:rPr>
        <w:t>Accordingly, he should have concluded that the professional fees claimed were reasonable.</w:t>
      </w:r>
      <w:r w:rsidR="00354272" w:rsidRPr="001A6BBA">
        <w:rPr>
          <w:lang w:val="en-CA"/>
        </w:rPr>
        <w:t xml:space="preserve"> </w:t>
      </w:r>
      <w:r w:rsidRPr="001A6BBA">
        <w:rPr>
          <w:lang w:val="en-CA"/>
        </w:rPr>
        <w:t xml:space="preserve">Nevertheless, as a gesture of good faith, class counsel </w:t>
      </w:r>
      <w:r w:rsidR="00171C13">
        <w:rPr>
          <w:lang w:val="en-CA"/>
        </w:rPr>
        <w:t>offered</w:t>
      </w:r>
      <w:r w:rsidRPr="001A6BBA">
        <w:rPr>
          <w:lang w:val="en-CA"/>
        </w:rPr>
        <w:t xml:space="preserve"> to reduce their fees from 25% to 20% of recovery</w:t>
      </w:r>
      <w:r w:rsidR="003E1FF8">
        <w:rPr>
          <w:lang w:val="en-CA"/>
        </w:rPr>
        <w:t>,</w:t>
      </w:r>
      <w:r w:rsidRPr="001A6BBA">
        <w:rPr>
          <w:lang w:val="en-CA"/>
        </w:rPr>
        <w:t xml:space="preserve"> plus disbursements and taxes.</w:t>
      </w:r>
    </w:p>
    <w:p w14:paraId="0FB37180" w14:textId="4D007455" w:rsidR="002E7C51" w:rsidRPr="001A6BBA" w:rsidRDefault="00CC0EC6" w:rsidP="002E7C51">
      <w:pPr>
        <w:pStyle w:val="Paragraphe"/>
        <w:spacing w:line="280" w:lineRule="exact"/>
        <w:rPr>
          <w:lang w:val="en-CA"/>
        </w:rPr>
      </w:pPr>
      <w:r w:rsidRPr="001A6BBA">
        <w:rPr>
          <w:lang w:val="en-CA"/>
        </w:rPr>
        <w:t>The appellant</w:t>
      </w:r>
      <w:r w:rsidR="00632AFF">
        <w:rPr>
          <w:lang w:val="en-CA"/>
        </w:rPr>
        <w:t xml:space="preserve"> submits that</w:t>
      </w:r>
      <w:r w:rsidRPr="001A6BBA">
        <w:rPr>
          <w:lang w:val="en-CA"/>
        </w:rPr>
        <w:t xml:space="preserve"> the judge erred in applying the lodestar method (or </w:t>
      </w:r>
      <w:r w:rsidR="00632AFF">
        <w:rPr>
          <w:lang w:val="en-CA"/>
        </w:rPr>
        <w:t>“</w:t>
      </w:r>
      <w:r w:rsidRPr="001A6BBA">
        <w:rPr>
          <w:lang w:val="en-CA"/>
        </w:rPr>
        <w:t>multiplier method</w:t>
      </w:r>
      <w:r w:rsidR="00632AFF">
        <w:rPr>
          <w:lang w:val="en-CA"/>
        </w:rPr>
        <w:t>”</w:t>
      </w:r>
      <w:r w:rsidRPr="001A6BBA">
        <w:rPr>
          <w:lang w:val="en-CA"/>
        </w:rPr>
        <w:t xml:space="preserve">) to conclude that the professional fees claimed were excessive, </w:t>
      </w:r>
      <w:r w:rsidR="00632AFF">
        <w:rPr>
          <w:lang w:val="en-CA"/>
        </w:rPr>
        <w:t>as</w:t>
      </w:r>
      <w:r w:rsidRPr="001A6BBA">
        <w:rPr>
          <w:lang w:val="en-CA"/>
        </w:rPr>
        <w:t xml:space="preserve"> they were 4.64 times higher than those that would have been due </w:t>
      </w:r>
      <w:r w:rsidR="00632AFF">
        <w:rPr>
          <w:lang w:val="en-CA"/>
        </w:rPr>
        <w:t>under</w:t>
      </w:r>
      <w:r w:rsidRPr="001A6BBA">
        <w:rPr>
          <w:lang w:val="en-CA"/>
        </w:rPr>
        <w:t xml:space="preserve"> an hourly rate agreement.</w:t>
      </w:r>
      <w:r w:rsidR="00354272" w:rsidRPr="001A6BBA">
        <w:rPr>
          <w:lang w:val="en-CA"/>
        </w:rPr>
        <w:t xml:space="preserve"> </w:t>
      </w:r>
      <w:r w:rsidRPr="001A6BBA">
        <w:rPr>
          <w:lang w:val="en-CA"/>
        </w:rPr>
        <w:t>According to the appellant, the judge</w:t>
      </w:r>
      <w:r w:rsidR="00632AFF">
        <w:rPr>
          <w:lang w:val="en-CA"/>
        </w:rPr>
        <w:t>’</w:t>
      </w:r>
      <w:r w:rsidRPr="001A6BBA">
        <w:rPr>
          <w:lang w:val="en-CA"/>
        </w:rPr>
        <w:t>s reasoning, based on a rigid application of this method, calls into question the very validity of a percentage agreement.</w:t>
      </w:r>
      <w:r w:rsidR="00354272" w:rsidRPr="001A6BBA">
        <w:rPr>
          <w:lang w:val="en-CA"/>
        </w:rPr>
        <w:t xml:space="preserve"> </w:t>
      </w:r>
      <w:r w:rsidRPr="001A6BBA">
        <w:rPr>
          <w:lang w:val="en-CA"/>
        </w:rPr>
        <w:t xml:space="preserve">This is, however, the most appropriate form of remuneration </w:t>
      </w:r>
      <w:r w:rsidR="00554F67">
        <w:rPr>
          <w:lang w:val="en-CA"/>
        </w:rPr>
        <w:t>in</w:t>
      </w:r>
      <w:r w:rsidR="00554F67" w:rsidRPr="001A6BBA">
        <w:rPr>
          <w:lang w:val="en-CA"/>
        </w:rPr>
        <w:t xml:space="preserve"> </w:t>
      </w:r>
      <w:r w:rsidRPr="001A6BBA">
        <w:rPr>
          <w:lang w:val="en-CA"/>
        </w:rPr>
        <w:t>class action</w:t>
      </w:r>
      <w:r w:rsidR="00554F67">
        <w:rPr>
          <w:lang w:val="en-CA"/>
        </w:rPr>
        <w:t>s</w:t>
      </w:r>
      <w:r w:rsidRPr="001A6BBA">
        <w:rPr>
          <w:lang w:val="en-CA"/>
        </w:rPr>
        <w:t>.</w:t>
      </w:r>
      <w:r w:rsidR="00354272" w:rsidRPr="001A6BBA">
        <w:rPr>
          <w:lang w:val="en-CA"/>
        </w:rPr>
        <w:t xml:space="preserve"> </w:t>
      </w:r>
      <w:r w:rsidRPr="001A6BBA">
        <w:rPr>
          <w:lang w:val="en-CA"/>
        </w:rPr>
        <w:t xml:space="preserve">Moreover, by ruling that </w:t>
      </w:r>
      <w:r w:rsidR="00554F67">
        <w:rPr>
          <w:lang w:val="en-CA"/>
        </w:rPr>
        <w:t xml:space="preserve">the </w:t>
      </w:r>
      <w:r w:rsidRPr="001A6BBA">
        <w:rPr>
          <w:lang w:val="en-CA"/>
        </w:rPr>
        <w:t xml:space="preserve">professional fees should not exceed the amount obtained by multiplying the number of hours worked at regular hourly rates by an arbitrary factor of 3, the judge </w:t>
      </w:r>
      <w:r w:rsidRPr="001A6BBA">
        <w:rPr>
          <w:i/>
          <w:lang w:val="en-CA"/>
        </w:rPr>
        <w:t>de facto</w:t>
      </w:r>
      <w:r w:rsidRPr="001A6BBA">
        <w:rPr>
          <w:lang w:val="en-CA"/>
        </w:rPr>
        <w:t xml:space="preserve"> legislated </w:t>
      </w:r>
      <w:r w:rsidR="003E1FF8">
        <w:rPr>
          <w:lang w:val="en-CA"/>
        </w:rPr>
        <w:t>an upper limit</w:t>
      </w:r>
      <w:r w:rsidRPr="001A6BBA">
        <w:rPr>
          <w:lang w:val="en-CA"/>
        </w:rPr>
        <w:t xml:space="preserve"> </w:t>
      </w:r>
      <w:r w:rsidR="00554F67">
        <w:rPr>
          <w:lang w:val="en-CA"/>
        </w:rPr>
        <w:t>for</w:t>
      </w:r>
      <w:r w:rsidR="00554F67" w:rsidRPr="001A6BBA">
        <w:rPr>
          <w:lang w:val="en-CA"/>
        </w:rPr>
        <w:t xml:space="preserve"> </w:t>
      </w:r>
      <w:r w:rsidRPr="001A6BBA">
        <w:rPr>
          <w:lang w:val="en-CA"/>
        </w:rPr>
        <w:t>lawyers</w:t>
      </w:r>
      <w:r w:rsidR="00632AFF">
        <w:rPr>
          <w:lang w:val="en-CA"/>
        </w:rPr>
        <w:t>’</w:t>
      </w:r>
      <w:r w:rsidRPr="001A6BBA">
        <w:rPr>
          <w:lang w:val="en-CA"/>
        </w:rPr>
        <w:t xml:space="preserve"> professional fees.</w:t>
      </w:r>
      <w:r w:rsidR="00354272" w:rsidRPr="001A6BBA">
        <w:rPr>
          <w:lang w:val="en-CA"/>
        </w:rPr>
        <w:t xml:space="preserve"> </w:t>
      </w:r>
      <w:r w:rsidRPr="009F222C">
        <w:rPr>
          <w:lang w:val="en-CA"/>
        </w:rPr>
        <w:t>The appellant stresse</w:t>
      </w:r>
      <w:r w:rsidR="001905DE">
        <w:rPr>
          <w:lang w:val="en-CA"/>
        </w:rPr>
        <w:t>s</w:t>
      </w:r>
      <w:r w:rsidRPr="009F222C">
        <w:rPr>
          <w:lang w:val="en-CA"/>
        </w:rPr>
        <w:t xml:space="preserve"> the dangers of such a precedent.</w:t>
      </w:r>
      <w:r w:rsidR="00354272" w:rsidRPr="001A6BBA">
        <w:rPr>
          <w:lang w:val="en-CA"/>
        </w:rPr>
        <w:t xml:space="preserve"> </w:t>
      </w:r>
      <w:r w:rsidRPr="001A6BBA">
        <w:rPr>
          <w:lang w:val="en-CA"/>
        </w:rPr>
        <w:t xml:space="preserve">In his view, the judgment </w:t>
      </w:r>
      <w:r w:rsidR="004E66E0">
        <w:rPr>
          <w:lang w:val="en-CA"/>
        </w:rPr>
        <w:t>under appeal</w:t>
      </w:r>
      <w:r w:rsidRPr="001A6BBA">
        <w:rPr>
          <w:lang w:val="en-CA"/>
        </w:rPr>
        <w:t xml:space="preserve"> </w:t>
      </w:r>
      <w:r w:rsidR="001905DE">
        <w:rPr>
          <w:lang w:val="en-CA"/>
        </w:rPr>
        <w:t>[</w:t>
      </w:r>
      <w:r w:rsidRPr="003E1FF8">
        <w:rPr>
          <w:smallCaps/>
          <w:lang w:val="en-CA"/>
        </w:rPr>
        <w:t>translation</w:t>
      </w:r>
      <w:r w:rsidR="001905DE">
        <w:rPr>
          <w:smallCaps/>
          <w:lang w:val="en-CA"/>
        </w:rPr>
        <w:t>]</w:t>
      </w:r>
      <w:r w:rsidRPr="001A6BBA">
        <w:rPr>
          <w:lang w:val="en-CA"/>
        </w:rPr>
        <w:t xml:space="preserve"> </w:t>
      </w:r>
      <w:r w:rsidR="00632AFF">
        <w:rPr>
          <w:lang w:val="en-CA"/>
        </w:rPr>
        <w:t>“</w:t>
      </w:r>
      <w:r w:rsidRPr="001A6BBA">
        <w:rPr>
          <w:lang w:val="en-CA"/>
        </w:rPr>
        <w:t xml:space="preserve">so distorts </w:t>
      </w:r>
      <w:r w:rsidR="00554F67">
        <w:rPr>
          <w:lang w:val="en-CA"/>
        </w:rPr>
        <w:t>p</w:t>
      </w:r>
      <w:r w:rsidRPr="001A6BBA">
        <w:rPr>
          <w:lang w:val="en-CA"/>
        </w:rPr>
        <w:t xml:space="preserve">ercentage agreements that it may discourage firms from undertaking class </w:t>
      </w:r>
      <w:r w:rsidRPr="001A6BBA">
        <w:rPr>
          <w:lang w:val="en-CA"/>
        </w:rPr>
        <w:lastRenderedPageBreak/>
        <w:t>actions on behalf of plaintiffs, ultimately undermining the social objectives of this procedural vehicle</w:t>
      </w:r>
      <w:r w:rsidR="00632AFF">
        <w:rPr>
          <w:lang w:val="en-CA"/>
        </w:rPr>
        <w:t>”</w:t>
      </w:r>
      <w:r w:rsidRPr="001A6BBA">
        <w:rPr>
          <w:lang w:val="en-CA"/>
        </w:rPr>
        <w:t>.</w:t>
      </w:r>
      <w:r w:rsidR="00354272" w:rsidRPr="001A6BBA">
        <w:rPr>
          <w:lang w:val="en-CA"/>
        </w:rPr>
        <w:t xml:space="preserve"> </w:t>
      </w:r>
      <w:bookmarkStart w:id="24" w:name="_Hlk125624613"/>
      <w:r w:rsidRPr="001A6BBA">
        <w:rPr>
          <w:lang w:val="en-CA"/>
        </w:rPr>
        <w:t xml:space="preserve">The appellant also argues that the systematic </w:t>
      </w:r>
      <w:r w:rsidR="001905DE" w:rsidRPr="001A6BBA">
        <w:rPr>
          <w:lang w:val="en-CA"/>
        </w:rPr>
        <w:t>application</w:t>
      </w:r>
      <w:r w:rsidRPr="001A6BBA">
        <w:rPr>
          <w:lang w:val="en-CA"/>
        </w:rPr>
        <w:t xml:space="preserve"> of the </w:t>
      </w:r>
      <w:r w:rsidR="001905DE" w:rsidRPr="001A6BBA">
        <w:rPr>
          <w:lang w:val="en-CA"/>
        </w:rPr>
        <w:t>multiplier</w:t>
      </w:r>
      <w:r w:rsidRPr="001A6BBA">
        <w:rPr>
          <w:lang w:val="en-CA"/>
        </w:rPr>
        <w:t xml:space="preserve"> method is not in the interest</w:t>
      </w:r>
      <w:r w:rsidR="001905DE">
        <w:rPr>
          <w:lang w:val="en-CA"/>
        </w:rPr>
        <w:t>s</w:t>
      </w:r>
      <w:r w:rsidRPr="001A6BBA">
        <w:rPr>
          <w:lang w:val="en-CA"/>
        </w:rPr>
        <w:t xml:space="preserve"> of class members, since it favours inefficiency, even incompetence, instead of encouraging lawyers to work strategically and efficiently.</w:t>
      </w:r>
      <w:r w:rsidR="00354272" w:rsidRPr="001A6BBA">
        <w:rPr>
          <w:lang w:val="en-CA"/>
        </w:rPr>
        <w:t xml:space="preserve"> </w:t>
      </w:r>
      <w:bookmarkEnd w:id="24"/>
      <w:r w:rsidRPr="009F222C">
        <w:rPr>
          <w:lang w:val="en-CA"/>
        </w:rPr>
        <w:t xml:space="preserve">The systematic application of this method also distorts the assessment of the fairness and reasonableness of professional fees, by elevating the time lawyers spend on the case to the status of a </w:t>
      </w:r>
      <w:r w:rsidR="00554F67">
        <w:rPr>
          <w:lang w:val="en-CA"/>
        </w:rPr>
        <w:t>[</w:t>
      </w:r>
      <w:r w:rsidR="00554F67" w:rsidRPr="004A70D3">
        <w:rPr>
          <w:smallCaps/>
          <w:lang w:val="en-CA"/>
        </w:rPr>
        <w:t>translation</w:t>
      </w:r>
      <w:r w:rsidR="00554F67">
        <w:rPr>
          <w:lang w:val="en-CA"/>
        </w:rPr>
        <w:t xml:space="preserve">”] </w:t>
      </w:r>
      <w:r w:rsidR="009F4073">
        <w:rPr>
          <w:lang w:val="en-CA"/>
        </w:rPr>
        <w:t>“</w:t>
      </w:r>
      <w:r w:rsidRPr="009F222C">
        <w:rPr>
          <w:lang w:val="en-CA"/>
        </w:rPr>
        <w:t>super factor</w:t>
      </w:r>
      <w:r w:rsidR="009F4073">
        <w:rPr>
          <w:lang w:val="en-CA"/>
        </w:rPr>
        <w:t>”</w:t>
      </w:r>
      <w:r w:rsidRPr="009F222C">
        <w:rPr>
          <w:lang w:val="en-CA"/>
        </w:rPr>
        <w:t>.</w:t>
      </w:r>
      <w:r w:rsidR="00354272" w:rsidRPr="001A6BBA">
        <w:rPr>
          <w:lang w:val="en-CA"/>
        </w:rPr>
        <w:t xml:space="preserve"> </w:t>
      </w:r>
      <w:r w:rsidR="001905DE" w:rsidRPr="009F222C">
        <w:rPr>
          <w:lang w:val="en-CA"/>
        </w:rPr>
        <w:t xml:space="preserve">Section </w:t>
      </w:r>
      <w:r w:rsidR="001905DE" w:rsidRPr="001A6BBA">
        <w:rPr>
          <w:lang w:val="en-CA"/>
        </w:rPr>
        <w:t>102</w:t>
      </w:r>
      <w:r w:rsidRPr="009F222C">
        <w:rPr>
          <w:lang w:val="en-CA"/>
        </w:rPr>
        <w:t xml:space="preserve"> of the </w:t>
      </w:r>
      <w:r w:rsidRPr="009F222C">
        <w:rPr>
          <w:i/>
          <w:lang w:val="en-CA"/>
        </w:rPr>
        <w:t>Code of Professional Conduct</w:t>
      </w:r>
      <w:r w:rsidRPr="009F222C">
        <w:rPr>
          <w:lang w:val="en-CA"/>
        </w:rPr>
        <w:t xml:space="preserve">, however, stipulates that </w:t>
      </w:r>
      <w:r w:rsidR="001905DE">
        <w:rPr>
          <w:lang w:val="en-CA"/>
        </w:rPr>
        <w:t xml:space="preserve">professional </w:t>
      </w:r>
      <w:r w:rsidRPr="009F222C">
        <w:rPr>
          <w:lang w:val="en-CA"/>
        </w:rPr>
        <w:t xml:space="preserve">fees are fair and reasonable if they are warranted </w:t>
      </w:r>
      <w:r w:rsidRPr="009F222C">
        <w:rPr>
          <w:i/>
          <w:lang w:val="en-CA"/>
        </w:rPr>
        <w:t>by the circumstances</w:t>
      </w:r>
      <w:r w:rsidRPr="001A6BBA">
        <w:rPr>
          <w:iCs/>
          <w:lang w:val="en-CA"/>
        </w:rPr>
        <w:t>.</w:t>
      </w:r>
      <w:r w:rsidR="00354272" w:rsidRPr="001A6BBA">
        <w:rPr>
          <w:lang w:val="en-CA"/>
        </w:rPr>
        <w:t xml:space="preserve"> </w:t>
      </w:r>
      <w:r w:rsidRPr="001A6BBA">
        <w:rPr>
          <w:lang w:val="en-CA"/>
        </w:rPr>
        <w:t>The multiplier method is in fact of limited usefulness, especially when compared to the responsibility assumed by the lawyers and the result obtained.</w:t>
      </w:r>
      <w:r w:rsidR="00354272" w:rsidRPr="001A6BBA">
        <w:rPr>
          <w:lang w:val="en-CA"/>
        </w:rPr>
        <w:t xml:space="preserve"> </w:t>
      </w:r>
      <w:r w:rsidRPr="001A6BBA">
        <w:rPr>
          <w:lang w:val="en-CA"/>
        </w:rPr>
        <w:t xml:space="preserve">For these reasons, the appellant asks the Court to </w:t>
      </w:r>
      <w:r w:rsidR="00383DD1" w:rsidRPr="001A6BBA">
        <w:rPr>
          <w:lang w:val="en-CA"/>
        </w:rPr>
        <w:t>declare</w:t>
      </w:r>
      <w:r w:rsidRPr="001A6BBA">
        <w:rPr>
          <w:lang w:val="en-CA"/>
        </w:rPr>
        <w:t xml:space="preserve"> that the professional fees claimed are reasonable, but to take not</w:t>
      </w:r>
      <w:r w:rsidR="00383DD1">
        <w:rPr>
          <w:lang w:val="en-CA"/>
        </w:rPr>
        <w:t>e</w:t>
      </w:r>
      <w:r w:rsidRPr="001A6BBA">
        <w:rPr>
          <w:lang w:val="en-CA"/>
        </w:rPr>
        <w:t xml:space="preserve"> that </w:t>
      </w:r>
      <w:r w:rsidR="00383DD1">
        <w:rPr>
          <w:lang w:val="en-CA"/>
        </w:rPr>
        <w:t>counsel</w:t>
      </w:r>
      <w:r w:rsidRPr="001A6BBA">
        <w:rPr>
          <w:lang w:val="en-CA"/>
        </w:rPr>
        <w:t xml:space="preserve"> nevertheless accept to reduce their fees to 20% of the settlement fund.</w:t>
      </w:r>
    </w:p>
    <w:p w14:paraId="7215E515" w14:textId="27ACC057" w:rsidR="002E7C51" w:rsidRPr="001A6BBA" w:rsidRDefault="00CC0EC6" w:rsidP="002E7C51">
      <w:pPr>
        <w:pStyle w:val="Style1"/>
        <w:spacing w:before="120" w:after="120" w:line="280" w:lineRule="exact"/>
        <w:rPr>
          <w:lang w:val="en-CA"/>
        </w:rPr>
      </w:pPr>
      <w:r w:rsidRPr="009F222C">
        <w:rPr>
          <w:lang w:val="en-CA"/>
        </w:rPr>
        <w:t xml:space="preserve">The respondents and the FAAC do not </w:t>
      </w:r>
      <w:r w:rsidR="00554F67">
        <w:rPr>
          <w:lang w:val="en-CA"/>
        </w:rPr>
        <w:t>take a position</w:t>
      </w:r>
      <w:r w:rsidR="00554F67" w:rsidRPr="009F222C">
        <w:rPr>
          <w:lang w:val="en-CA"/>
        </w:rPr>
        <w:t xml:space="preserve"> </w:t>
      </w:r>
      <w:r w:rsidRPr="009F222C">
        <w:rPr>
          <w:lang w:val="en-CA"/>
        </w:rPr>
        <w:t>on the reasonableness of the professional fees claimed.</w:t>
      </w:r>
      <w:r w:rsidR="00354272" w:rsidRPr="001A6BBA">
        <w:rPr>
          <w:lang w:val="en-CA"/>
        </w:rPr>
        <w:t xml:space="preserve"> </w:t>
      </w:r>
      <w:r w:rsidRPr="001A6BBA">
        <w:rPr>
          <w:lang w:val="en-CA"/>
        </w:rPr>
        <w:t xml:space="preserve">The respondents argue, however, that the Court has the power to </w:t>
      </w:r>
      <w:r w:rsidR="00362D61">
        <w:rPr>
          <w:lang w:val="en-CA"/>
        </w:rPr>
        <w:t>determine</w:t>
      </w:r>
      <w:r w:rsidRPr="001A6BBA">
        <w:rPr>
          <w:lang w:val="en-CA"/>
        </w:rPr>
        <w:t xml:space="preserve"> the professional fees without </w:t>
      </w:r>
      <w:r w:rsidR="00554F67">
        <w:rPr>
          <w:lang w:val="en-CA"/>
        </w:rPr>
        <w:t xml:space="preserve">having to </w:t>
      </w:r>
      <w:r w:rsidRPr="001A6BBA">
        <w:rPr>
          <w:lang w:val="en-CA"/>
        </w:rPr>
        <w:t>return the case before the Superior Court.</w:t>
      </w:r>
      <w:r w:rsidR="00354272" w:rsidRPr="001A6BBA">
        <w:rPr>
          <w:lang w:val="en-CA"/>
        </w:rPr>
        <w:t xml:space="preserve"> </w:t>
      </w:r>
      <w:r w:rsidRPr="001A6BBA">
        <w:rPr>
          <w:lang w:val="en-CA"/>
        </w:rPr>
        <w:t>They emphasize that it is in the interest</w:t>
      </w:r>
      <w:r w:rsidR="00383DD1">
        <w:rPr>
          <w:lang w:val="en-CA"/>
        </w:rPr>
        <w:t>s</w:t>
      </w:r>
      <w:r w:rsidRPr="001A6BBA">
        <w:rPr>
          <w:lang w:val="en-CA"/>
        </w:rPr>
        <w:t xml:space="preserve"> of class members that the Agreement be approved as soon as possible, and that a decision by the Court </w:t>
      </w:r>
      <w:r w:rsidR="00383DD1">
        <w:rPr>
          <w:lang w:val="en-CA"/>
        </w:rPr>
        <w:t>[</w:t>
      </w:r>
      <w:r w:rsidRPr="00383DD1">
        <w:rPr>
          <w:smallCaps/>
          <w:lang w:val="en-CA"/>
        </w:rPr>
        <w:t>translation</w:t>
      </w:r>
      <w:r w:rsidR="00383DD1">
        <w:rPr>
          <w:smallCaps/>
          <w:lang w:val="en-CA"/>
        </w:rPr>
        <w:t>]</w:t>
      </w:r>
      <w:r w:rsidRPr="001A6BBA">
        <w:rPr>
          <w:lang w:val="en-CA"/>
        </w:rPr>
        <w:t xml:space="preserve"> “would avoid the uncertainty related to a possible obligation for the parties to </w:t>
      </w:r>
      <w:r w:rsidR="00383DD1">
        <w:rPr>
          <w:lang w:val="en-CA"/>
        </w:rPr>
        <w:t>give</w:t>
      </w:r>
      <w:r w:rsidRPr="001A6BBA">
        <w:rPr>
          <w:lang w:val="en-CA"/>
        </w:rPr>
        <w:t xml:space="preserve"> a new notice to the class members </w:t>
      </w:r>
      <w:r w:rsidR="00383DD1">
        <w:rPr>
          <w:lang w:val="en-CA"/>
        </w:rPr>
        <w:t>pursuant to</w:t>
      </w:r>
      <w:r w:rsidRPr="001A6BBA">
        <w:rPr>
          <w:lang w:val="en-CA"/>
        </w:rPr>
        <w:t xml:space="preserve"> article 590 CCP”.</w:t>
      </w:r>
      <w:r w:rsidR="00354272" w:rsidRPr="001A6BBA">
        <w:rPr>
          <w:lang w:val="en-CA"/>
        </w:rPr>
        <w:t xml:space="preserve"> </w:t>
      </w:r>
      <w:r w:rsidR="00383DD1">
        <w:rPr>
          <w:lang w:val="en-CA"/>
        </w:rPr>
        <w:t xml:space="preserve">The </w:t>
      </w:r>
      <w:r w:rsidRPr="001A6BBA">
        <w:rPr>
          <w:lang w:val="en-CA"/>
        </w:rPr>
        <w:t>FAAC</w:t>
      </w:r>
      <w:r w:rsidR="002C0652">
        <w:rPr>
          <w:lang w:val="en-CA"/>
        </w:rPr>
        <w:t xml:space="preserve"> </w:t>
      </w:r>
      <w:r w:rsidRPr="001A6BBA">
        <w:rPr>
          <w:lang w:val="en-CA"/>
        </w:rPr>
        <w:t xml:space="preserve">argues that the Court should approve the </w:t>
      </w:r>
      <w:r w:rsidR="00383DD1">
        <w:rPr>
          <w:lang w:val="en-CA"/>
        </w:rPr>
        <w:t xml:space="preserve">professional </w:t>
      </w:r>
      <w:r w:rsidRPr="001A6BBA">
        <w:rPr>
          <w:lang w:val="en-CA"/>
        </w:rPr>
        <w:t xml:space="preserve">fees as voluntarily reduced by the </w:t>
      </w:r>
      <w:r w:rsidR="0021741F">
        <w:rPr>
          <w:lang w:val="en-CA"/>
        </w:rPr>
        <w:t xml:space="preserve">class members’ </w:t>
      </w:r>
      <w:r w:rsidR="00383DD1">
        <w:rPr>
          <w:lang w:val="en-CA"/>
        </w:rPr>
        <w:t>counsel,</w:t>
      </w:r>
      <w:r w:rsidRPr="001A6BBA">
        <w:rPr>
          <w:lang w:val="en-CA"/>
        </w:rPr>
        <w:t xml:space="preserve"> subject to the undertaking by class members to reimburse </w:t>
      </w:r>
      <w:r w:rsidR="00383DD1" w:rsidRPr="001A6BBA">
        <w:rPr>
          <w:lang w:val="en-CA"/>
        </w:rPr>
        <w:t>$99,136.09</w:t>
      </w:r>
      <w:r w:rsidR="00383DD1">
        <w:rPr>
          <w:lang w:val="en-CA"/>
        </w:rPr>
        <w:t xml:space="preserve"> to </w:t>
      </w:r>
      <w:r w:rsidRPr="001A6BBA">
        <w:rPr>
          <w:lang w:val="en-CA"/>
        </w:rPr>
        <w:t xml:space="preserve">the FAAC, an undertaking </w:t>
      </w:r>
      <w:r w:rsidR="00383DD1">
        <w:rPr>
          <w:lang w:val="en-CA"/>
        </w:rPr>
        <w:t>[</w:t>
      </w:r>
      <w:r w:rsidR="00383DD1" w:rsidRPr="003E1FF8">
        <w:rPr>
          <w:smallCaps/>
          <w:lang w:val="en-CA"/>
        </w:rPr>
        <w:t>translation</w:t>
      </w:r>
      <w:r w:rsidR="00383DD1">
        <w:rPr>
          <w:smallCaps/>
          <w:lang w:val="en-CA"/>
        </w:rPr>
        <w:t>]</w:t>
      </w:r>
      <w:r w:rsidR="00383DD1" w:rsidRPr="001A6BBA">
        <w:rPr>
          <w:lang w:val="en-CA"/>
        </w:rPr>
        <w:t xml:space="preserve"> </w:t>
      </w:r>
      <w:r w:rsidR="009F4073">
        <w:rPr>
          <w:lang w:val="en-CA"/>
        </w:rPr>
        <w:t>“</w:t>
      </w:r>
      <w:r w:rsidRPr="001A6BBA">
        <w:rPr>
          <w:lang w:val="en-CA"/>
        </w:rPr>
        <w:t>which must be acknowledged</w:t>
      </w:r>
      <w:r w:rsidR="009F4073">
        <w:rPr>
          <w:lang w:val="en-CA"/>
        </w:rPr>
        <w:t>”</w:t>
      </w:r>
      <w:r w:rsidRPr="001A6BBA">
        <w:rPr>
          <w:lang w:val="en-CA"/>
        </w:rPr>
        <w:t>.</w:t>
      </w:r>
    </w:p>
    <w:p w14:paraId="000605D1" w14:textId="1F3566FA" w:rsidR="00881428" w:rsidRPr="001A6BBA" w:rsidRDefault="00362D61" w:rsidP="00022A40">
      <w:pPr>
        <w:pStyle w:val="Style1"/>
        <w:spacing w:line="240" w:lineRule="auto"/>
        <w:rPr>
          <w:lang w:val="en-CA"/>
        </w:rPr>
      </w:pPr>
      <w:r w:rsidRPr="001A6BBA">
        <w:rPr>
          <w:lang w:val="en-CA"/>
        </w:rPr>
        <w:t xml:space="preserve">The </w:t>
      </w:r>
      <w:r w:rsidRPr="00362D61">
        <w:rPr>
          <w:i/>
          <w:iCs/>
          <w:lang w:val="en-CA"/>
        </w:rPr>
        <w:t>amicus</w:t>
      </w:r>
      <w:r w:rsidR="00454E27" w:rsidRPr="001A6BBA">
        <w:rPr>
          <w:i/>
          <w:iCs/>
          <w:lang w:val="en-CA"/>
        </w:rPr>
        <w:t xml:space="preserve"> curiae</w:t>
      </w:r>
      <w:r w:rsidR="00454E27" w:rsidRPr="001A6BBA">
        <w:rPr>
          <w:lang w:val="en-CA"/>
        </w:rPr>
        <w:t xml:space="preserve"> acknowledges that lawyers acting for the plaintiff in a class action generally assume a significant risk that justifies a substantial premium.</w:t>
      </w:r>
      <w:r w:rsidR="00354272" w:rsidRPr="001A6BBA">
        <w:rPr>
          <w:lang w:val="en-CA"/>
        </w:rPr>
        <w:t xml:space="preserve"> </w:t>
      </w:r>
      <w:r w:rsidR="00454E27" w:rsidRPr="001A6BBA">
        <w:rPr>
          <w:lang w:val="en-CA"/>
        </w:rPr>
        <w:t>He also points out that the court</w:t>
      </w:r>
      <w:r w:rsidR="009A4093">
        <w:rPr>
          <w:lang w:val="en-CA"/>
        </w:rPr>
        <w:t>’</w:t>
      </w:r>
      <w:r w:rsidR="00454E27" w:rsidRPr="001A6BBA">
        <w:rPr>
          <w:lang w:val="en-CA"/>
        </w:rPr>
        <w:t xml:space="preserve">s power to </w:t>
      </w:r>
      <w:r>
        <w:rPr>
          <w:lang w:val="en-CA"/>
        </w:rPr>
        <w:t>determine</w:t>
      </w:r>
      <w:r w:rsidR="00454E27" w:rsidRPr="001A6BBA">
        <w:rPr>
          <w:lang w:val="en-CA"/>
        </w:rPr>
        <w:t xml:space="preserve"> professional fees is subject to an important </w:t>
      </w:r>
      <w:r w:rsidR="009A4093">
        <w:rPr>
          <w:lang w:val="en-CA"/>
        </w:rPr>
        <w:t>pre</w:t>
      </w:r>
      <w:r w:rsidR="00454E27" w:rsidRPr="001A6BBA">
        <w:rPr>
          <w:lang w:val="en-CA"/>
        </w:rPr>
        <w:t xml:space="preserve">condition, namely a finding that the professional fees claimed are not reasonable, that is, </w:t>
      </w:r>
      <w:r w:rsidR="004913C3">
        <w:rPr>
          <w:lang w:val="en-CA"/>
        </w:rPr>
        <w:t xml:space="preserve">that </w:t>
      </w:r>
      <w:r w:rsidR="00454E27" w:rsidRPr="001A6BBA">
        <w:rPr>
          <w:lang w:val="en-CA"/>
        </w:rPr>
        <w:t xml:space="preserve">their quantum does not fall within the </w:t>
      </w:r>
      <w:r>
        <w:rPr>
          <w:lang w:val="en-CA"/>
        </w:rPr>
        <w:t>[</w:t>
      </w:r>
      <w:r w:rsidRPr="003E1FF8">
        <w:rPr>
          <w:smallCaps/>
          <w:lang w:val="en-CA"/>
        </w:rPr>
        <w:t>translation</w:t>
      </w:r>
      <w:r>
        <w:rPr>
          <w:smallCaps/>
          <w:lang w:val="en-CA"/>
        </w:rPr>
        <w:t>]</w:t>
      </w:r>
      <w:r w:rsidRPr="001A6BBA">
        <w:rPr>
          <w:lang w:val="en-CA"/>
        </w:rPr>
        <w:t xml:space="preserve"> </w:t>
      </w:r>
      <w:r w:rsidR="004913C3">
        <w:rPr>
          <w:lang w:val="en-CA"/>
        </w:rPr>
        <w:t>“</w:t>
      </w:r>
      <w:r w:rsidR="00454E27" w:rsidRPr="001A6BBA">
        <w:rPr>
          <w:lang w:val="en-CA"/>
        </w:rPr>
        <w:t>acceptable possible outcomes</w:t>
      </w:r>
      <w:r w:rsidR="004913C3">
        <w:rPr>
          <w:lang w:val="en-CA"/>
        </w:rPr>
        <w:t>”</w:t>
      </w:r>
      <w:r w:rsidR="00454E27" w:rsidRPr="001A6BBA">
        <w:rPr>
          <w:lang w:val="en-CA"/>
        </w:rPr>
        <w:t>.</w:t>
      </w:r>
      <w:r w:rsidR="00354272" w:rsidRPr="001A6BBA">
        <w:rPr>
          <w:lang w:val="en-CA"/>
        </w:rPr>
        <w:t xml:space="preserve"> </w:t>
      </w:r>
      <w:r w:rsidR="00454E27" w:rsidRPr="001A6BBA">
        <w:rPr>
          <w:lang w:val="en-CA"/>
        </w:rPr>
        <w:t xml:space="preserve">In this respect, the professional fee agreements that have typically been recognized by the courts can serve as a guide. </w:t>
      </w:r>
      <w:r w:rsidR="00881428" w:rsidRPr="001A6BBA">
        <w:rPr>
          <w:lang w:val="en-CA"/>
        </w:rPr>
        <w:t xml:space="preserve">The </w:t>
      </w:r>
      <w:r w:rsidRPr="001A6BBA">
        <w:rPr>
          <w:lang w:val="en-CA"/>
        </w:rPr>
        <w:t>Court should</w:t>
      </w:r>
      <w:r w:rsidR="00022A40" w:rsidRPr="001A6BBA">
        <w:rPr>
          <w:lang w:val="en-CA"/>
        </w:rPr>
        <w:t xml:space="preserve"> be wary of overturning case law </w:t>
      </w:r>
      <w:r>
        <w:rPr>
          <w:lang w:val="en-CA"/>
        </w:rPr>
        <w:t>[</w:t>
      </w:r>
      <w:r w:rsidRPr="003E1FF8">
        <w:rPr>
          <w:smallCaps/>
          <w:lang w:val="en-CA"/>
        </w:rPr>
        <w:t>translation</w:t>
      </w:r>
      <w:r>
        <w:rPr>
          <w:smallCaps/>
          <w:lang w:val="en-CA"/>
        </w:rPr>
        <w:t>]</w:t>
      </w:r>
      <w:r w:rsidRPr="001A6BBA">
        <w:rPr>
          <w:lang w:val="en-CA"/>
        </w:rPr>
        <w:t xml:space="preserve"> </w:t>
      </w:r>
      <w:r w:rsidR="004913C3">
        <w:rPr>
          <w:lang w:val="en-CA"/>
        </w:rPr>
        <w:t>“</w:t>
      </w:r>
      <w:r w:rsidR="00022A40" w:rsidRPr="001A6BBA">
        <w:rPr>
          <w:lang w:val="en-CA"/>
        </w:rPr>
        <w:t>that has recognized the validity of percentage fee agreements, even when they give rise to compensation that might be deemed excessive by some members of the public</w:t>
      </w:r>
      <w:r w:rsidR="004913C3">
        <w:rPr>
          <w:lang w:val="en-CA"/>
        </w:rPr>
        <w:t>”</w:t>
      </w:r>
      <w:r w:rsidR="00022A40" w:rsidRPr="001A6BBA">
        <w:rPr>
          <w:lang w:val="en-CA"/>
        </w:rPr>
        <w:t xml:space="preserve">. </w:t>
      </w:r>
      <w:r>
        <w:rPr>
          <w:lang w:val="en-CA"/>
        </w:rPr>
        <w:t>The</w:t>
      </w:r>
      <w:r w:rsidR="00022A40" w:rsidRPr="001A6BBA">
        <w:rPr>
          <w:lang w:val="en-CA"/>
        </w:rPr>
        <w:t xml:space="preserve"> application of the multiplier method as a control measure is not a panacea. It may, however, prove useful in determining whether fees are excessive in a given case, provided it does not </w:t>
      </w:r>
      <w:r w:rsidR="00CC3440">
        <w:rPr>
          <w:lang w:val="en-CA"/>
        </w:rPr>
        <w:t>[</w:t>
      </w:r>
      <w:r w:rsidR="00CC3440" w:rsidRPr="004A70D3">
        <w:rPr>
          <w:smallCaps/>
          <w:lang w:val="en-CA"/>
        </w:rPr>
        <w:t>translation</w:t>
      </w:r>
      <w:r w:rsidR="00CC3440">
        <w:rPr>
          <w:lang w:val="en-CA"/>
        </w:rPr>
        <w:t xml:space="preserve">] </w:t>
      </w:r>
      <w:r w:rsidR="004913C3">
        <w:rPr>
          <w:lang w:val="en-CA"/>
        </w:rPr>
        <w:t>“</w:t>
      </w:r>
      <w:r w:rsidR="00022A40" w:rsidRPr="001A6BBA">
        <w:rPr>
          <w:lang w:val="en-CA"/>
        </w:rPr>
        <w:t>turn into an upper limit</w:t>
      </w:r>
      <w:r w:rsidR="004913C3">
        <w:rPr>
          <w:lang w:val="en-CA"/>
        </w:rPr>
        <w:t>”</w:t>
      </w:r>
      <w:r w:rsidR="00022A40" w:rsidRPr="001A6BBA">
        <w:rPr>
          <w:lang w:val="en-CA"/>
        </w:rPr>
        <w:t>. The introduction of an</w:t>
      </w:r>
      <w:r w:rsidR="004913C3">
        <w:rPr>
          <w:lang w:val="en-CA"/>
        </w:rPr>
        <w:t xml:space="preserve"> [</w:t>
      </w:r>
      <w:r w:rsidR="004913C3" w:rsidRPr="004A70D3">
        <w:rPr>
          <w:smallCaps/>
          <w:lang w:val="en-CA"/>
        </w:rPr>
        <w:t>translation</w:t>
      </w:r>
      <w:r w:rsidR="004913C3">
        <w:rPr>
          <w:lang w:val="en-CA"/>
        </w:rPr>
        <w:t>]</w:t>
      </w:r>
      <w:r w:rsidR="00022A40" w:rsidRPr="001A6BBA">
        <w:rPr>
          <w:lang w:val="en-CA"/>
        </w:rPr>
        <w:t xml:space="preserve"> </w:t>
      </w:r>
      <w:r w:rsidR="004913C3">
        <w:rPr>
          <w:lang w:val="en-CA"/>
        </w:rPr>
        <w:t>“</w:t>
      </w:r>
      <w:r w:rsidR="00022A40" w:rsidRPr="001A6BBA">
        <w:rPr>
          <w:lang w:val="en-CA"/>
        </w:rPr>
        <w:t>upper limit multiplier</w:t>
      </w:r>
      <w:r w:rsidR="004913C3">
        <w:rPr>
          <w:lang w:val="en-CA"/>
        </w:rPr>
        <w:t>”</w:t>
      </w:r>
      <w:r w:rsidR="00022A40" w:rsidRPr="001A6BBA">
        <w:rPr>
          <w:lang w:val="en-CA"/>
        </w:rPr>
        <w:t xml:space="preserve"> would have the effect of invalidating percentage fee agreements and replacing them with multiplier agreements. That said, the </w:t>
      </w:r>
      <w:r w:rsidR="00022A40" w:rsidRPr="001A6BBA">
        <w:rPr>
          <w:i/>
          <w:iCs/>
          <w:lang w:val="en-CA"/>
        </w:rPr>
        <w:t>amicus curiae</w:t>
      </w:r>
      <w:r w:rsidR="00022A40" w:rsidRPr="001A6BBA">
        <w:rPr>
          <w:lang w:val="en-CA"/>
        </w:rPr>
        <w:t xml:space="preserve"> believes that a multiplier </w:t>
      </w:r>
      <w:r w:rsidR="00A2184C">
        <w:rPr>
          <w:lang w:val="en-CA"/>
        </w:rPr>
        <w:t>of</w:t>
      </w:r>
      <w:r w:rsidR="00022A40" w:rsidRPr="001A6BBA">
        <w:rPr>
          <w:lang w:val="en-CA"/>
        </w:rPr>
        <w:t xml:space="preserve"> 2 </w:t>
      </w:r>
      <w:r>
        <w:rPr>
          <w:lang w:val="en-CA"/>
        </w:rPr>
        <w:t xml:space="preserve">or less </w:t>
      </w:r>
      <w:r w:rsidR="00022A40" w:rsidRPr="001A6BBA">
        <w:rPr>
          <w:lang w:val="en-CA"/>
        </w:rPr>
        <w:t>should be reserved for cases that are certain to succeed quickly, or where the fees are unnecessary, exaggerated</w:t>
      </w:r>
      <w:r w:rsidR="00C61BD5">
        <w:rPr>
          <w:lang w:val="en-CA"/>
        </w:rPr>
        <w:t>,</w:t>
      </w:r>
      <w:r w:rsidR="00022A40" w:rsidRPr="001A6BBA">
        <w:rPr>
          <w:lang w:val="en-CA"/>
        </w:rPr>
        <w:t xml:space="preserve"> or disproportionate </w:t>
      </w:r>
      <w:r w:rsidR="00A2184C">
        <w:rPr>
          <w:lang w:val="en-CA"/>
        </w:rPr>
        <w:t xml:space="preserve">when compared </w:t>
      </w:r>
      <w:r w:rsidR="00022A40" w:rsidRPr="001A6BBA">
        <w:rPr>
          <w:lang w:val="en-CA"/>
        </w:rPr>
        <w:t xml:space="preserve">to what the </w:t>
      </w:r>
      <w:r w:rsidR="00CA0358" w:rsidRPr="001A6BBA">
        <w:rPr>
          <w:lang w:val="en-CA"/>
        </w:rPr>
        <w:t xml:space="preserve">class </w:t>
      </w:r>
      <w:r w:rsidR="00022A40" w:rsidRPr="001A6BBA">
        <w:rPr>
          <w:lang w:val="en-CA"/>
        </w:rPr>
        <w:t xml:space="preserve">members </w:t>
      </w:r>
      <w:r w:rsidR="00A2184C">
        <w:rPr>
          <w:lang w:val="en-CA"/>
        </w:rPr>
        <w:t xml:space="preserve">will </w:t>
      </w:r>
      <w:r w:rsidR="00022A40" w:rsidRPr="001A6BBA">
        <w:rPr>
          <w:lang w:val="en-CA"/>
        </w:rPr>
        <w:t xml:space="preserve">obtain from the </w:t>
      </w:r>
      <w:r w:rsidR="00CA0358" w:rsidRPr="001A6BBA">
        <w:rPr>
          <w:lang w:val="en-CA"/>
        </w:rPr>
        <w:t>proceeding</w:t>
      </w:r>
      <w:r w:rsidR="00022A40" w:rsidRPr="001A6BBA">
        <w:rPr>
          <w:lang w:val="en-CA"/>
        </w:rPr>
        <w:t xml:space="preserve">. On the other hand, a multiplier </w:t>
      </w:r>
      <w:r w:rsidR="00CC3440">
        <w:rPr>
          <w:lang w:val="en-CA"/>
        </w:rPr>
        <w:t xml:space="preserve">greater </w:t>
      </w:r>
      <w:r w:rsidR="00A2184C">
        <w:rPr>
          <w:lang w:val="en-CA"/>
        </w:rPr>
        <w:t>than</w:t>
      </w:r>
      <w:r w:rsidR="00022A40" w:rsidRPr="001A6BBA">
        <w:rPr>
          <w:lang w:val="en-CA"/>
        </w:rPr>
        <w:t xml:space="preserve"> 2 will generally be needed to create a real incentive to </w:t>
      </w:r>
      <w:r w:rsidR="00CA0358" w:rsidRPr="001A6BBA">
        <w:rPr>
          <w:lang w:val="en-CA"/>
        </w:rPr>
        <w:t>take on a class action</w:t>
      </w:r>
      <w:r w:rsidR="00022A40" w:rsidRPr="001A6BBA">
        <w:rPr>
          <w:lang w:val="en-CA"/>
        </w:rPr>
        <w:t xml:space="preserve">. A multiplier of 2.5 or 3 should therefore be close to the norm or even a </w:t>
      </w:r>
      <w:r w:rsidR="00CA0358" w:rsidRPr="001A6BBA">
        <w:rPr>
          <w:lang w:val="en-CA"/>
        </w:rPr>
        <w:t>lower limit</w:t>
      </w:r>
      <w:r w:rsidR="00022A40" w:rsidRPr="001A6BBA">
        <w:rPr>
          <w:lang w:val="en-CA"/>
        </w:rPr>
        <w:t xml:space="preserve"> in many cases. The </w:t>
      </w:r>
      <w:r w:rsidR="00022A40" w:rsidRPr="001A6BBA">
        <w:rPr>
          <w:i/>
          <w:iCs/>
          <w:lang w:val="en-CA"/>
        </w:rPr>
        <w:t>amicus curiae</w:t>
      </w:r>
      <w:r w:rsidR="00022A40" w:rsidRPr="001A6BBA">
        <w:rPr>
          <w:lang w:val="en-CA"/>
        </w:rPr>
        <w:t xml:space="preserve"> </w:t>
      </w:r>
      <w:r w:rsidR="00022A40" w:rsidRPr="001A6BBA">
        <w:rPr>
          <w:lang w:val="en-CA"/>
        </w:rPr>
        <w:lastRenderedPageBreak/>
        <w:t>also notes that a fee agreement providing for a percentage of 25% is not in itself unreasonable</w:t>
      </w:r>
      <w:r w:rsidR="004913C3">
        <w:rPr>
          <w:lang w:val="en-CA"/>
        </w:rPr>
        <w:t xml:space="preserve"> – o</w:t>
      </w:r>
      <w:r w:rsidR="00022A40" w:rsidRPr="001A6BBA">
        <w:rPr>
          <w:lang w:val="en-CA"/>
        </w:rPr>
        <w:t>n the contrary, this rate corresponds to a well-established norm. However, he rejects the appellant</w:t>
      </w:r>
      <w:r w:rsidR="004913C3">
        <w:rPr>
          <w:lang w:val="en-CA"/>
        </w:rPr>
        <w:t>’</w:t>
      </w:r>
      <w:r w:rsidR="00022A40" w:rsidRPr="001A6BBA">
        <w:rPr>
          <w:lang w:val="en-CA"/>
        </w:rPr>
        <w:t xml:space="preserve">s contention that the reasonableness of the fees should be assessed </w:t>
      </w:r>
      <w:r w:rsidR="00A2184C" w:rsidRPr="001A6BBA">
        <w:rPr>
          <w:lang w:val="en-CA"/>
        </w:rPr>
        <w:t>based on</w:t>
      </w:r>
      <w:r w:rsidR="00022A40" w:rsidRPr="001A6BBA">
        <w:rPr>
          <w:lang w:val="en-CA"/>
        </w:rPr>
        <w:t xml:space="preserve"> the amount of fees each </w:t>
      </w:r>
      <w:r w:rsidR="00CA0358" w:rsidRPr="001A6BBA">
        <w:rPr>
          <w:lang w:val="en-CA"/>
        </w:rPr>
        <w:t xml:space="preserve">class </w:t>
      </w:r>
      <w:r w:rsidR="00022A40" w:rsidRPr="001A6BBA">
        <w:rPr>
          <w:lang w:val="en-CA"/>
        </w:rPr>
        <w:t xml:space="preserve">member is required to pay out of his </w:t>
      </w:r>
      <w:r w:rsidR="00CA0358" w:rsidRPr="001A6BBA">
        <w:rPr>
          <w:lang w:val="en-CA"/>
        </w:rPr>
        <w:t xml:space="preserve">or her </w:t>
      </w:r>
      <w:r w:rsidR="00A2184C">
        <w:rPr>
          <w:lang w:val="en-CA"/>
        </w:rPr>
        <w:t>indemnity</w:t>
      </w:r>
      <w:r w:rsidR="00022A40" w:rsidRPr="001A6BBA">
        <w:rPr>
          <w:lang w:val="en-CA"/>
        </w:rPr>
        <w:t>. What matters, in his view, is the reasonableness of the fees to be paid collectively.</w:t>
      </w:r>
    </w:p>
    <w:p w14:paraId="6CB327BE" w14:textId="57896DCB" w:rsidR="002E7C51" w:rsidRPr="001A6BBA" w:rsidRDefault="00354272" w:rsidP="002E7C51">
      <w:pPr>
        <w:pStyle w:val="Style1"/>
        <w:spacing w:before="120" w:after="120" w:line="280" w:lineRule="exact"/>
        <w:rPr>
          <w:lang w:val="en-CA"/>
        </w:rPr>
      </w:pPr>
      <w:r w:rsidRPr="001A6BBA">
        <w:rPr>
          <w:lang w:val="en-CA"/>
        </w:rPr>
        <w:t xml:space="preserve"> </w:t>
      </w:r>
      <w:r w:rsidR="00454E27" w:rsidRPr="001A6BBA">
        <w:rPr>
          <w:lang w:val="en-CA"/>
        </w:rPr>
        <w:t xml:space="preserve"> In this case, the</w:t>
      </w:r>
      <w:r w:rsidR="00454E27" w:rsidRPr="001A6BBA">
        <w:rPr>
          <w:i/>
          <w:lang w:val="en-CA"/>
        </w:rPr>
        <w:t xml:space="preserve"> amicus curiae </w:t>
      </w:r>
      <w:r w:rsidR="00A2184C">
        <w:rPr>
          <w:lang w:val="en-CA"/>
        </w:rPr>
        <w:t>is</w:t>
      </w:r>
      <w:r w:rsidR="00454E27" w:rsidRPr="001A6BBA">
        <w:rPr>
          <w:lang w:val="en-CA"/>
        </w:rPr>
        <w:t xml:space="preserve"> </w:t>
      </w:r>
      <w:r w:rsidR="00022A40" w:rsidRPr="001A6BBA">
        <w:rPr>
          <w:lang w:val="en-CA"/>
        </w:rPr>
        <w:t xml:space="preserve">of the view that the judge was </w:t>
      </w:r>
      <w:r w:rsidR="00454E27" w:rsidRPr="001A6BBA">
        <w:rPr>
          <w:lang w:val="en-CA"/>
        </w:rPr>
        <w:t>correct in using the multiplier method to control the reasonableness of the professional fees.</w:t>
      </w:r>
      <w:r w:rsidRPr="001A6BBA">
        <w:rPr>
          <w:lang w:val="en-CA"/>
        </w:rPr>
        <w:t xml:space="preserve"> </w:t>
      </w:r>
      <w:r w:rsidR="00454E27" w:rsidRPr="001A6BBA">
        <w:rPr>
          <w:lang w:val="en-CA"/>
        </w:rPr>
        <w:t>In his opinion, however</w:t>
      </w:r>
      <w:r w:rsidR="00A2184C">
        <w:rPr>
          <w:lang w:val="en-CA"/>
        </w:rPr>
        <w:t>,</w:t>
      </w:r>
      <w:r w:rsidR="00454E27" w:rsidRPr="001A6BBA">
        <w:rPr>
          <w:lang w:val="en-CA"/>
        </w:rPr>
        <w:t xml:space="preserve"> </w:t>
      </w:r>
      <w:r w:rsidR="00A2184C" w:rsidRPr="001A6BBA">
        <w:rPr>
          <w:lang w:val="en-CA"/>
        </w:rPr>
        <w:t xml:space="preserve">the judge </w:t>
      </w:r>
      <w:r w:rsidR="00454E27" w:rsidRPr="001A6BBA">
        <w:rPr>
          <w:lang w:val="en-CA"/>
        </w:rPr>
        <w:t xml:space="preserve">erred in </w:t>
      </w:r>
      <w:r w:rsidR="00F26091">
        <w:rPr>
          <w:lang w:val="en-CA"/>
        </w:rPr>
        <w:t>suggest</w:t>
      </w:r>
      <w:r w:rsidR="00454E27" w:rsidRPr="001A6BBA">
        <w:rPr>
          <w:lang w:val="en-CA"/>
        </w:rPr>
        <w:t>ing that a multiplier of 4</w:t>
      </w:r>
      <w:r w:rsidR="00F26091">
        <w:rPr>
          <w:lang w:val="en-CA"/>
        </w:rPr>
        <w:t>.</w:t>
      </w:r>
      <w:r w:rsidR="00454E27" w:rsidRPr="001A6BBA">
        <w:rPr>
          <w:lang w:val="en-CA"/>
        </w:rPr>
        <w:t>64 was in itself excessive.</w:t>
      </w:r>
      <w:r w:rsidRPr="001A6BBA">
        <w:rPr>
          <w:lang w:val="en-CA"/>
        </w:rPr>
        <w:t xml:space="preserve"> </w:t>
      </w:r>
      <w:r w:rsidR="00454E27" w:rsidRPr="001A6BBA">
        <w:rPr>
          <w:lang w:val="en-CA"/>
        </w:rPr>
        <w:t xml:space="preserve">Such a multiplier is not in itself unreasonable, especially in the context of a class action such as </w:t>
      </w:r>
      <w:r w:rsidR="00F26091">
        <w:rPr>
          <w:lang w:val="en-CA"/>
        </w:rPr>
        <w:t>this one</w:t>
      </w:r>
      <w:r w:rsidR="00454E27" w:rsidRPr="001A6BBA">
        <w:rPr>
          <w:lang w:val="en-CA"/>
        </w:rPr>
        <w:t xml:space="preserve">, where the victims will benefit from a generous claims procedure and where the lawyers assumed a tremendous risk, showed great </w:t>
      </w:r>
      <w:r w:rsidR="00A2184C" w:rsidRPr="001A6BBA">
        <w:rPr>
          <w:lang w:val="en-CA"/>
        </w:rPr>
        <w:t>dedication,</w:t>
      </w:r>
      <w:r w:rsidR="00454E27" w:rsidRPr="001A6BBA">
        <w:rPr>
          <w:lang w:val="en-CA"/>
        </w:rPr>
        <w:t xml:space="preserve"> and did remarkable work.</w:t>
      </w:r>
      <w:r w:rsidRPr="001A6BBA">
        <w:rPr>
          <w:lang w:val="en-CA"/>
        </w:rPr>
        <w:t xml:space="preserve"> </w:t>
      </w:r>
      <w:r w:rsidR="00454E27" w:rsidRPr="009F222C">
        <w:rPr>
          <w:lang w:val="en-CA"/>
        </w:rPr>
        <w:t xml:space="preserve">The </w:t>
      </w:r>
      <w:r w:rsidR="00454E27" w:rsidRPr="009F222C">
        <w:rPr>
          <w:i/>
          <w:lang w:val="en-CA"/>
        </w:rPr>
        <w:t xml:space="preserve">amicus curiae, </w:t>
      </w:r>
      <w:r w:rsidR="00454E27" w:rsidRPr="009F222C">
        <w:rPr>
          <w:lang w:val="en-CA"/>
        </w:rPr>
        <w:t xml:space="preserve">however, </w:t>
      </w:r>
      <w:r w:rsidR="00F26091">
        <w:rPr>
          <w:lang w:val="en-CA"/>
        </w:rPr>
        <w:t>i</w:t>
      </w:r>
      <w:r w:rsidR="00454E27" w:rsidRPr="009F222C">
        <w:rPr>
          <w:lang w:val="en-CA"/>
        </w:rPr>
        <w:t>s of the view that the applicable multiplier in this case is not actually 4.64.</w:t>
      </w:r>
      <w:r w:rsidRPr="001A6BBA">
        <w:rPr>
          <w:lang w:val="en-CA"/>
        </w:rPr>
        <w:t xml:space="preserve"> </w:t>
      </w:r>
      <w:r w:rsidR="00454E27" w:rsidRPr="001A6BBA">
        <w:rPr>
          <w:lang w:val="en-CA"/>
        </w:rPr>
        <w:t xml:space="preserve">As the judge noted, the hourly rates </w:t>
      </w:r>
      <w:r w:rsidR="00F26091">
        <w:rPr>
          <w:lang w:val="en-CA"/>
        </w:rPr>
        <w:t>disclosed</w:t>
      </w:r>
      <w:r w:rsidR="00454E27" w:rsidRPr="001A6BBA">
        <w:rPr>
          <w:lang w:val="en-CA"/>
        </w:rPr>
        <w:t xml:space="preserve"> by </w:t>
      </w:r>
      <w:r w:rsidR="0021741F">
        <w:rPr>
          <w:lang w:val="en-CA"/>
        </w:rPr>
        <w:t xml:space="preserve">class members’ </w:t>
      </w:r>
      <w:r w:rsidR="00A2184C">
        <w:rPr>
          <w:lang w:val="en-CA"/>
        </w:rPr>
        <w:t xml:space="preserve">counsel </w:t>
      </w:r>
      <w:r w:rsidR="00A2184C" w:rsidRPr="001A6BBA">
        <w:rPr>
          <w:lang w:val="en-CA"/>
        </w:rPr>
        <w:t>appear</w:t>
      </w:r>
      <w:r w:rsidR="00454E27" w:rsidRPr="001A6BBA">
        <w:rPr>
          <w:lang w:val="en-CA"/>
        </w:rPr>
        <w:t xml:space="preserve"> to have been </w:t>
      </w:r>
      <w:r w:rsidR="00A25E68">
        <w:rPr>
          <w:lang w:val="en-CA"/>
        </w:rPr>
        <w:t xml:space="preserve">established </w:t>
      </w:r>
      <w:r w:rsidR="00454E27" w:rsidRPr="001A6BBA">
        <w:rPr>
          <w:lang w:val="en-CA"/>
        </w:rPr>
        <w:t>based on the file.</w:t>
      </w:r>
      <w:r w:rsidRPr="001A6BBA">
        <w:rPr>
          <w:lang w:val="en-CA"/>
        </w:rPr>
        <w:t xml:space="preserve"> </w:t>
      </w:r>
      <w:r w:rsidR="00454E27" w:rsidRPr="001A6BBA">
        <w:rPr>
          <w:lang w:val="en-CA"/>
        </w:rPr>
        <w:t xml:space="preserve">This is particularly true for Mtre Dufresne-Lemire, who is claiming an hourly rate of $400 in this file, whereas her </w:t>
      </w:r>
      <w:r w:rsidR="00AD172E">
        <w:rPr>
          <w:lang w:val="en-CA"/>
        </w:rPr>
        <w:t>usual</w:t>
      </w:r>
      <w:r w:rsidR="00454E27" w:rsidRPr="001A6BBA">
        <w:rPr>
          <w:lang w:val="en-CA"/>
        </w:rPr>
        <w:t xml:space="preserve"> hourly rate is $200, and the fee agreement provides for an hourly rate of $250 if the mandate is revoked.</w:t>
      </w:r>
      <w:r w:rsidRPr="001A6BBA">
        <w:rPr>
          <w:lang w:val="en-CA"/>
        </w:rPr>
        <w:t xml:space="preserve"> </w:t>
      </w:r>
      <w:r w:rsidR="00454E27" w:rsidRPr="001A6BBA">
        <w:rPr>
          <w:lang w:val="en-CA"/>
        </w:rPr>
        <w:t xml:space="preserve">The </w:t>
      </w:r>
      <w:r w:rsidR="00454E27" w:rsidRPr="00A2184C">
        <w:rPr>
          <w:i/>
          <w:iCs/>
          <w:lang w:val="en-CA"/>
        </w:rPr>
        <w:t>amicus curiae</w:t>
      </w:r>
      <w:r w:rsidR="00454E27" w:rsidRPr="001A6BBA">
        <w:rPr>
          <w:lang w:val="en-CA"/>
        </w:rPr>
        <w:t xml:space="preserve"> shares the judge’s concerns on this matter and considers that the appellant was mistaken in asserting that the hourly rates billed to other clients in different files are irrelevant.</w:t>
      </w:r>
      <w:r w:rsidRPr="001A6BBA">
        <w:rPr>
          <w:lang w:val="en-CA"/>
        </w:rPr>
        <w:t xml:space="preserve"> </w:t>
      </w:r>
      <w:r w:rsidR="00454E27" w:rsidRPr="001A6BBA">
        <w:rPr>
          <w:lang w:val="en-CA"/>
        </w:rPr>
        <w:t xml:space="preserve">According to him, the hourly rate applied using the </w:t>
      </w:r>
      <w:r w:rsidR="00A2184C" w:rsidRPr="001A6BBA">
        <w:rPr>
          <w:lang w:val="en-CA"/>
        </w:rPr>
        <w:t>multiplier</w:t>
      </w:r>
      <w:r w:rsidR="00454E27" w:rsidRPr="001A6BBA">
        <w:rPr>
          <w:lang w:val="en-CA"/>
        </w:rPr>
        <w:t xml:space="preserve"> method should not be reserved for class action files, otherwise the calculation and the very notion of a multiplier </w:t>
      </w:r>
      <w:r w:rsidR="00A2184C">
        <w:rPr>
          <w:lang w:val="en-CA"/>
        </w:rPr>
        <w:t>are</w:t>
      </w:r>
      <w:r w:rsidR="00454E27" w:rsidRPr="001A6BBA">
        <w:rPr>
          <w:lang w:val="en-CA"/>
        </w:rPr>
        <w:t xml:space="preserve"> distorted.</w:t>
      </w:r>
      <w:r w:rsidRPr="001A6BBA">
        <w:rPr>
          <w:lang w:val="en-CA"/>
        </w:rPr>
        <w:t xml:space="preserve"> </w:t>
      </w:r>
      <w:r w:rsidR="00454E27" w:rsidRPr="001A6BBA">
        <w:rPr>
          <w:lang w:val="en-CA"/>
        </w:rPr>
        <w:t xml:space="preserve">Indeed, it would be tantamount to the risk involved being </w:t>
      </w:r>
      <w:r w:rsidR="00A2184C">
        <w:rPr>
          <w:lang w:val="en-CA"/>
        </w:rPr>
        <w:t>recognized</w:t>
      </w:r>
      <w:r w:rsidR="00454E27" w:rsidRPr="001A6BBA">
        <w:rPr>
          <w:lang w:val="en-CA"/>
        </w:rPr>
        <w:t xml:space="preserve"> twice (once in the hourly rate and again in the multiplier).</w:t>
      </w:r>
      <w:r w:rsidRPr="001A6BBA">
        <w:rPr>
          <w:lang w:val="en-CA"/>
        </w:rPr>
        <w:t xml:space="preserve"> </w:t>
      </w:r>
      <w:r w:rsidR="00454E27" w:rsidRPr="001A6BBA">
        <w:rPr>
          <w:lang w:val="en-CA"/>
        </w:rPr>
        <w:t>The “usual” hourly rate of the lawyer should be the basis for the calculation as it allows the lawyer’s actual opportunity cost to be taken into account and is determined by market considerations.</w:t>
      </w:r>
      <w:r w:rsidRPr="001A6BBA">
        <w:rPr>
          <w:lang w:val="en-CA"/>
        </w:rPr>
        <w:t xml:space="preserve"> </w:t>
      </w:r>
      <w:r w:rsidR="00454E27" w:rsidRPr="001A6BBA">
        <w:rPr>
          <w:lang w:val="en-CA"/>
        </w:rPr>
        <w:t xml:space="preserve">In this case, the </w:t>
      </w:r>
      <w:r w:rsidR="00A2184C" w:rsidRPr="001A6BBA">
        <w:rPr>
          <w:lang w:val="en-CA"/>
        </w:rPr>
        <w:t>application</w:t>
      </w:r>
      <w:r w:rsidR="00454E27" w:rsidRPr="001A6BBA">
        <w:rPr>
          <w:lang w:val="en-CA"/>
        </w:rPr>
        <w:t xml:space="preserve"> of a multiplier of 4.64 to Mtre Dufresne-Lemire’s hourly rate of $400 </w:t>
      </w:r>
      <w:r w:rsidR="00A36619">
        <w:rPr>
          <w:lang w:val="en-CA"/>
        </w:rPr>
        <w:t>equates</w:t>
      </w:r>
      <w:r w:rsidR="00454E27" w:rsidRPr="001A6BBA">
        <w:rPr>
          <w:lang w:val="en-CA"/>
        </w:rPr>
        <w:t xml:space="preserve"> to a factor of 7.4 with respect to an hourly rate of $250 and of 9.3 with respect to an hourly rate of $200.</w:t>
      </w:r>
      <w:r w:rsidRPr="001A6BBA">
        <w:rPr>
          <w:lang w:val="en-CA"/>
        </w:rPr>
        <w:t xml:space="preserve"> </w:t>
      </w:r>
      <w:r w:rsidR="00454E27" w:rsidRPr="001A6BBA">
        <w:rPr>
          <w:lang w:val="en-CA"/>
        </w:rPr>
        <w:t xml:space="preserve">If the Court assumes that the hourly rates of the other lawyers were also increased based on the file, </w:t>
      </w:r>
      <w:r w:rsidR="00A36619">
        <w:rPr>
          <w:lang w:val="en-CA"/>
        </w:rPr>
        <w:t>[</w:t>
      </w:r>
      <w:r w:rsidR="00454E27" w:rsidRPr="00A36619">
        <w:rPr>
          <w:smallCaps/>
          <w:lang w:val="en-CA"/>
        </w:rPr>
        <w:t>translation</w:t>
      </w:r>
      <w:r w:rsidR="00A36619">
        <w:rPr>
          <w:smallCaps/>
          <w:lang w:val="en-CA"/>
        </w:rPr>
        <w:t>]</w:t>
      </w:r>
      <w:r w:rsidR="00454E27" w:rsidRPr="001A6BBA">
        <w:rPr>
          <w:lang w:val="en-CA"/>
        </w:rPr>
        <w:t xml:space="preserve"> “i</w:t>
      </w:r>
      <w:r w:rsidR="00A36619">
        <w:rPr>
          <w:lang w:val="en-CA"/>
        </w:rPr>
        <w:t>t</w:t>
      </w:r>
      <w:r w:rsidR="00454E27" w:rsidRPr="001A6BBA">
        <w:rPr>
          <w:lang w:val="en-CA"/>
        </w:rPr>
        <w:t xml:space="preserve"> must conclude that the professional fees claimed on appeal (20% rather than 25%) yield a multiplier</w:t>
      </w:r>
      <w:r w:rsidR="00F26091">
        <w:rPr>
          <w:lang w:val="en-CA"/>
        </w:rPr>
        <w:t xml:space="preserve"> of</w:t>
      </w:r>
      <w:r w:rsidR="00454E27" w:rsidRPr="001A6BBA">
        <w:rPr>
          <w:lang w:val="en-CA"/>
        </w:rPr>
        <w:t xml:space="preserve"> between 5</w:t>
      </w:r>
      <w:r w:rsidR="00A36619">
        <w:rPr>
          <w:lang w:val="en-CA"/>
        </w:rPr>
        <w:t>.</w:t>
      </w:r>
      <w:r w:rsidR="00454E27" w:rsidRPr="001A6BBA">
        <w:rPr>
          <w:lang w:val="en-CA"/>
        </w:rPr>
        <w:t xml:space="preserve">9 </w:t>
      </w:r>
      <w:r w:rsidR="00A36619">
        <w:rPr>
          <w:lang w:val="en-CA"/>
        </w:rPr>
        <w:t>and</w:t>
      </w:r>
      <w:r w:rsidR="00454E27" w:rsidRPr="001A6BBA">
        <w:rPr>
          <w:lang w:val="en-CA"/>
        </w:rPr>
        <w:t xml:space="preserve"> 7.4.”</w:t>
      </w:r>
      <w:r w:rsidRPr="001A6BBA">
        <w:rPr>
          <w:lang w:val="en-CA"/>
        </w:rPr>
        <w:t xml:space="preserve"> </w:t>
      </w:r>
      <w:r w:rsidR="00454E27" w:rsidRPr="001A6BBA">
        <w:rPr>
          <w:lang w:val="en-CA"/>
        </w:rPr>
        <w:t xml:space="preserve">The Court can make that presumption </w:t>
      </w:r>
      <w:r w:rsidR="00DD7F0C">
        <w:rPr>
          <w:lang w:val="en-CA"/>
        </w:rPr>
        <w:t>because</w:t>
      </w:r>
      <w:r w:rsidR="00454E27" w:rsidRPr="001A6BBA">
        <w:rPr>
          <w:lang w:val="en-CA"/>
        </w:rPr>
        <w:t xml:space="preserve"> </w:t>
      </w:r>
      <w:r w:rsidR="0021741F">
        <w:rPr>
          <w:lang w:val="en-CA"/>
        </w:rPr>
        <w:t xml:space="preserve">class members’ </w:t>
      </w:r>
      <w:r w:rsidR="00A36619">
        <w:rPr>
          <w:lang w:val="en-CA"/>
        </w:rPr>
        <w:t xml:space="preserve">counsel </w:t>
      </w:r>
      <w:r w:rsidR="00A36619" w:rsidRPr="001A6BBA">
        <w:rPr>
          <w:lang w:val="en-CA"/>
        </w:rPr>
        <w:t>did</w:t>
      </w:r>
      <w:r w:rsidR="00454E27" w:rsidRPr="001A6BBA">
        <w:rPr>
          <w:lang w:val="en-CA"/>
        </w:rPr>
        <w:t xml:space="preserve"> not indicate if Mtre Dufresne-Lemire’s hourly rate was the only one to have been increased, even though it was </w:t>
      </w:r>
      <w:r w:rsidR="00DD7F0C">
        <w:rPr>
          <w:lang w:val="en-CA"/>
        </w:rPr>
        <w:t>incumbent upon</w:t>
      </w:r>
      <w:r w:rsidR="00454E27" w:rsidRPr="001A6BBA">
        <w:rPr>
          <w:lang w:val="en-CA"/>
        </w:rPr>
        <w:t xml:space="preserve"> them to </w:t>
      </w:r>
      <w:r w:rsidR="00A36619">
        <w:rPr>
          <w:lang w:val="en-CA"/>
        </w:rPr>
        <w:t>[</w:t>
      </w:r>
      <w:r w:rsidR="00A36619" w:rsidRPr="00A36619">
        <w:rPr>
          <w:smallCaps/>
          <w:lang w:val="en-CA"/>
        </w:rPr>
        <w:t>translation</w:t>
      </w:r>
      <w:r w:rsidR="00A36619">
        <w:rPr>
          <w:smallCaps/>
          <w:lang w:val="en-CA"/>
        </w:rPr>
        <w:t>]</w:t>
      </w:r>
      <w:r w:rsidR="00454E27" w:rsidRPr="001A6BBA">
        <w:rPr>
          <w:lang w:val="en-CA"/>
        </w:rPr>
        <w:t xml:space="preserve"> “be transparent on this issue”.</w:t>
      </w:r>
      <w:r w:rsidRPr="001A6BBA">
        <w:rPr>
          <w:lang w:val="en-CA"/>
        </w:rPr>
        <w:t xml:space="preserve"> </w:t>
      </w:r>
      <w:r w:rsidR="00454E27" w:rsidRPr="001A6BBA">
        <w:rPr>
          <w:lang w:val="en-CA"/>
        </w:rPr>
        <w:t xml:space="preserve">In the circumstances, the </w:t>
      </w:r>
      <w:r w:rsidR="00454E27" w:rsidRPr="001A6BBA">
        <w:rPr>
          <w:i/>
          <w:lang w:val="en-CA"/>
        </w:rPr>
        <w:t xml:space="preserve">amicus curiae </w:t>
      </w:r>
      <w:r w:rsidR="00454E27" w:rsidRPr="001A6BBA">
        <w:rPr>
          <w:lang w:val="en-CA"/>
        </w:rPr>
        <w:t>suggests that the Court apply a multiplier of 4.64 to the professional fees of $754,843, for a total amount of $3,502,472.</w:t>
      </w:r>
      <w:r w:rsidRPr="001A6BBA">
        <w:rPr>
          <w:lang w:val="en-CA"/>
        </w:rPr>
        <w:t xml:space="preserve"> </w:t>
      </w:r>
      <w:r w:rsidR="00454E27" w:rsidRPr="001A6BBA">
        <w:rPr>
          <w:lang w:val="en-CA"/>
        </w:rPr>
        <w:t xml:space="preserve">Another option would be to apply that multiplier to an hourly rate </w:t>
      </w:r>
      <w:r w:rsidR="00A36619" w:rsidRPr="001A6BBA">
        <w:rPr>
          <w:lang w:val="en-CA"/>
        </w:rPr>
        <w:t>of</w:t>
      </w:r>
      <w:r w:rsidR="00454E27" w:rsidRPr="001A6BBA">
        <w:rPr>
          <w:lang w:val="en-CA"/>
        </w:rPr>
        <w:t xml:space="preserve"> $250 for each lawyer’s time ($889,991.50) and an hourly rate of $75 for the other employees ($77,049) for a total of $4,129,560.56.</w:t>
      </w:r>
    </w:p>
    <w:p w14:paraId="30089B76" w14:textId="6FDEDEDD" w:rsidR="002E7C51" w:rsidRPr="009F222C" w:rsidRDefault="00454E27" w:rsidP="00534AD6">
      <w:pPr>
        <w:pStyle w:val="Titre3"/>
        <w:rPr>
          <w:lang w:val="en-CA"/>
        </w:rPr>
      </w:pPr>
      <w:r w:rsidRPr="009F222C">
        <w:rPr>
          <w:lang w:val="en-CA"/>
        </w:rPr>
        <w:lastRenderedPageBreak/>
        <w:t>Analysis</w:t>
      </w:r>
    </w:p>
    <w:p w14:paraId="5540C606" w14:textId="347B6A02" w:rsidR="002E7C51" w:rsidRPr="001A6BBA" w:rsidRDefault="00454E27" w:rsidP="002E7C51">
      <w:pPr>
        <w:pStyle w:val="Style1"/>
        <w:spacing w:before="120" w:after="120" w:line="280" w:lineRule="exact"/>
        <w:rPr>
          <w:lang w:val="en-CA"/>
        </w:rPr>
      </w:pPr>
      <w:r w:rsidRPr="009F222C">
        <w:rPr>
          <w:lang w:val="en-CA"/>
        </w:rPr>
        <w:t>The fee agreement reached by the representative binds the members of the class action.</w:t>
      </w:r>
      <w:r w:rsidRPr="001A6BBA">
        <w:rPr>
          <w:lang w:val="en-CA"/>
        </w:rPr>
        <w:t xml:space="preserve"> </w:t>
      </w:r>
      <w:r w:rsidR="00A36619">
        <w:rPr>
          <w:lang w:val="en-CA"/>
        </w:rPr>
        <w:t>I</w:t>
      </w:r>
      <w:r w:rsidRPr="001A6BBA">
        <w:rPr>
          <w:lang w:val="en-CA"/>
        </w:rPr>
        <w:t>ts enforcement, however, remains subject to court approval.</w:t>
      </w:r>
      <w:r w:rsidRPr="001A6BBA">
        <w:rPr>
          <w:rStyle w:val="Appelnotedebasdep"/>
          <w:lang w:val="en-CA"/>
        </w:rPr>
        <w:footnoteReference w:id="32"/>
      </w:r>
      <w:r w:rsidR="00B23311">
        <w:rPr>
          <w:lang w:val="en-CA"/>
        </w:rPr>
        <w:t xml:space="preserve"> </w:t>
      </w:r>
      <w:r w:rsidR="00B966FF" w:rsidRPr="009F222C">
        <w:rPr>
          <w:lang w:val="en-CA"/>
        </w:rPr>
        <w:t>Pursuant to the second paragraph of art.</w:t>
      </w:r>
      <w:r w:rsidR="00354272" w:rsidRPr="001A6BBA">
        <w:rPr>
          <w:lang w:val="en-CA"/>
        </w:rPr>
        <w:t> </w:t>
      </w:r>
      <w:r w:rsidR="00B966FF" w:rsidRPr="001A6BBA">
        <w:rPr>
          <w:lang w:val="en-CA"/>
        </w:rPr>
        <w:t>593 CCP, the judge is indeed entrusted with the role of ensuring that the fee c</w:t>
      </w:r>
      <w:r w:rsidR="00AD172E">
        <w:rPr>
          <w:lang w:val="en-CA"/>
        </w:rPr>
        <w:t>harged</w:t>
      </w:r>
      <w:r w:rsidR="00B966FF" w:rsidRPr="001A6BBA">
        <w:rPr>
          <w:lang w:val="en-CA"/>
        </w:rPr>
        <w:t xml:space="preserve"> is reasonable, and if not, </w:t>
      </w:r>
      <w:r w:rsidR="00C47FE4">
        <w:rPr>
          <w:lang w:val="en-CA"/>
        </w:rPr>
        <w:t>it</w:t>
      </w:r>
      <w:r w:rsidR="00B966FF" w:rsidRPr="001A6BBA">
        <w:rPr>
          <w:lang w:val="en-CA"/>
        </w:rPr>
        <w:t xml:space="preserve"> authorizes the judge to “determine it”</w:t>
      </w:r>
      <w:r w:rsidR="009455F9">
        <w:rPr>
          <w:lang w:val="en-CA"/>
        </w:rPr>
        <w:t>.</w:t>
      </w:r>
    </w:p>
    <w:p w14:paraId="30F9AAF3" w14:textId="6E9707BB" w:rsidR="002E7C51" w:rsidRPr="001A6BBA" w:rsidRDefault="00B966FF" w:rsidP="002E7C51">
      <w:pPr>
        <w:pStyle w:val="Style1"/>
        <w:spacing w:before="120" w:after="120" w:line="280" w:lineRule="exact"/>
        <w:rPr>
          <w:shd w:val="clear" w:color="auto" w:fill="FFFFFF"/>
          <w:lang w:val="en-CA"/>
        </w:rPr>
      </w:pPr>
      <w:r w:rsidRPr="001A6BBA">
        <w:rPr>
          <w:lang w:val="en-CA"/>
        </w:rPr>
        <w:t>The</w:t>
      </w:r>
      <w:r w:rsidR="009455F9">
        <w:rPr>
          <w:lang w:val="en-CA"/>
        </w:rPr>
        <w:t xml:space="preserve"> professional</w:t>
      </w:r>
      <w:r w:rsidRPr="001A6BBA">
        <w:rPr>
          <w:lang w:val="en-CA"/>
        </w:rPr>
        <w:t xml:space="preserve"> fee agreement benefits from a presumption of validity and can be set aside only if </w:t>
      </w:r>
      <w:r w:rsidR="00A65A3E">
        <w:rPr>
          <w:lang w:val="en-CA"/>
        </w:rPr>
        <w:t xml:space="preserve">applying </w:t>
      </w:r>
      <w:r w:rsidRPr="001A6BBA">
        <w:rPr>
          <w:lang w:val="en-CA"/>
        </w:rPr>
        <w:t>it</w:t>
      </w:r>
      <w:r w:rsidR="00A65A3E">
        <w:rPr>
          <w:lang w:val="en-CA"/>
        </w:rPr>
        <w:t xml:space="preserve"> would </w:t>
      </w:r>
      <w:r w:rsidRPr="001A6BBA">
        <w:rPr>
          <w:lang w:val="en-CA"/>
        </w:rPr>
        <w:t xml:space="preserve">not </w:t>
      </w:r>
      <w:r w:rsidR="00A65A3E">
        <w:rPr>
          <w:lang w:val="en-CA"/>
        </w:rPr>
        <w:t xml:space="preserve">be </w:t>
      </w:r>
      <w:r w:rsidRPr="001A6BBA">
        <w:rPr>
          <w:lang w:val="en-CA"/>
        </w:rPr>
        <w:t xml:space="preserve">fair and reasonable for the class members </w:t>
      </w:r>
      <w:r w:rsidR="00A36619">
        <w:rPr>
          <w:lang w:val="en-CA"/>
        </w:rPr>
        <w:t>[</w:t>
      </w:r>
      <w:r w:rsidR="00A36619" w:rsidRPr="00A36619">
        <w:rPr>
          <w:smallCaps/>
          <w:lang w:val="en-CA"/>
        </w:rPr>
        <w:t>translation</w:t>
      </w:r>
      <w:r w:rsidR="00A36619">
        <w:rPr>
          <w:smallCaps/>
          <w:lang w:val="en-CA"/>
        </w:rPr>
        <w:t>]</w:t>
      </w:r>
      <w:r w:rsidR="00A36619" w:rsidRPr="001A6BBA">
        <w:rPr>
          <w:lang w:val="en-CA"/>
        </w:rPr>
        <w:t xml:space="preserve"> </w:t>
      </w:r>
      <w:r w:rsidRPr="001A6BBA">
        <w:rPr>
          <w:lang w:val="en-CA"/>
        </w:rPr>
        <w:t xml:space="preserve">“in the </w:t>
      </w:r>
      <w:r w:rsidR="009455F9">
        <w:rPr>
          <w:lang w:val="en-CA"/>
        </w:rPr>
        <w:t>context</w:t>
      </w:r>
      <w:r w:rsidR="009455F9" w:rsidRPr="001A6BBA">
        <w:rPr>
          <w:lang w:val="en-CA"/>
        </w:rPr>
        <w:t xml:space="preserve"> </w:t>
      </w:r>
      <w:r w:rsidRPr="001A6BBA">
        <w:rPr>
          <w:lang w:val="en-CA"/>
        </w:rPr>
        <w:t xml:space="preserve">of the transaction </w:t>
      </w:r>
      <w:r w:rsidR="009455F9">
        <w:rPr>
          <w:lang w:val="en-CA"/>
        </w:rPr>
        <w:t>being reviewed</w:t>
      </w:r>
      <w:r w:rsidRPr="001A6BBA">
        <w:rPr>
          <w:lang w:val="en-CA"/>
        </w:rPr>
        <w:t>”.</w:t>
      </w:r>
      <w:r w:rsidRPr="001A6BBA">
        <w:rPr>
          <w:rStyle w:val="Appelnotedebasdep"/>
          <w:lang w:val="en-CA"/>
        </w:rPr>
        <w:footnoteReference w:id="33"/>
      </w:r>
      <w:r w:rsidR="00354272" w:rsidRPr="001A6BBA">
        <w:rPr>
          <w:lang w:val="en-CA"/>
        </w:rPr>
        <w:t xml:space="preserve"> </w:t>
      </w:r>
      <w:r w:rsidRPr="009F222C">
        <w:rPr>
          <w:lang w:val="en-CA"/>
        </w:rPr>
        <w:t>However, pursuant to art.</w:t>
      </w:r>
      <w:r w:rsidR="00354272" w:rsidRPr="001A6BBA">
        <w:rPr>
          <w:lang w:val="en-CA"/>
        </w:rPr>
        <w:t> </w:t>
      </w:r>
      <w:r w:rsidRPr="009F222C">
        <w:rPr>
          <w:lang w:val="en-CA"/>
        </w:rPr>
        <w:t>593 CCP, no professional fee agreement binds the judge.</w:t>
      </w:r>
      <w:bookmarkStart w:id="25" w:name="_Ref127800784"/>
      <w:r w:rsidR="00354272" w:rsidRPr="001A6BBA">
        <w:rPr>
          <w:rStyle w:val="Appelnotedebasdep"/>
          <w:lang w:val="en-CA"/>
        </w:rPr>
        <w:footnoteReference w:id="34"/>
      </w:r>
      <w:bookmarkEnd w:id="25"/>
      <w:r w:rsidR="002C2441">
        <w:rPr>
          <w:lang w:val="en-CA"/>
        </w:rPr>
        <w:t xml:space="preserve"> </w:t>
      </w:r>
      <w:r w:rsidRPr="001A6BBA">
        <w:rPr>
          <w:lang w:val="en-CA"/>
        </w:rPr>
        <w:t xml:space="preserve">Thus, although it is true that the judge must give certain weight to the </w:t>
      </w:r>
      <w:r w:rsidRPr="0086574C">
        <w:rPr>
          <w:lang w:val="en-CA"/>
        </w:rPr>
        <w:t>parties</w:t>
      </w:r>
      <w:r w:rsidR="00A65A3E">
        <w:rPr>
          <w:lang w:val="en-CA"/>
        </w:rPr>
        <w:t>’</w:t>
      </w:r>
      <w:r w:rsidRPr="0086574C">
        <w:rPr>
          <w:lang w:val="en-CA"/>
        </w:rPr>
        <w:t xml:space="preserve"> expressed will, he or she must nevertheless ensure that the professional fee</w:t>
      </w:r>
      <w:r w:rsidR="002C2441" w:rsidRPr="0086574C">
        <w:rPr>
          <w:lang w:val="en-CA"/>
        </w:rPr>
        <w:t>s</w:t>
      </w:r>
      <w:r w:rsidRPr="0086574C">
        <w:rPr>
          <w:lang w:val="en-CA"/>
        </w:rPr>
        <w:t xml:space="preserve"> </w:t>
      </w:r>
      <w:r w:rsidR="002C2441" w:rsidRPr="0086574C">
        <w:rPr>
          <w:lang w:val="en-CA"/>
        </w:rPr>
        <w:t>claimed are</w:t>
      </w:r>
      <w:r w:rsidRPr="0086574C">
        <w:rPr>
          <w:lang w:val="en-CA"/>
        </w:rPr>
        <w:t xml:space="preserve"> </w:t>
      </w:r>
      <w:r w:rsidRPr="0086574C">
        <w:rPr>
          <w:i/>
          <w:lang w:val="en-CA"/>
        </w:rPr>
        <w:t>actually</w:t>
      </w:r>
      <w:r w:rsidRPr="0086574C">
        <w:rPr>
          <w:lang w:val="en-CA"/>
        </w:rPr>
        <w:t xml:space="preserve"> fair and reasonable.</w:t>
      </w:r>
      <w:r w:rsidR="00354272" w:rsidRPr="0086574C">
        <w:rPr>
          <w:rStyle w:val="Appelnotedebasdep"/>
          <w:rFonts w:cs="Arial"/>
          <w:color w:val="000000"/>
          <w:lang w:val="en-CA"/>
        </w:rPr>
        <w:footnoteReference w:id="35"/>
      </w:r>
      <w:r w:rsidR="002C2441" w:rsidRPr="0086574C">
        <w:rPr>
          <w:lang w:val="en-CA"/>
        </w:rPr>
        <w:t xml:space="preserve"> </w:t>
      </w:r>
      <w:r w:rsidRPr="0086574C">
        <w:rPr>
          <w:rFonts w:cs="Arial"/>
          <w:lang w:val="en-CA"/>
        </w:rPr>
        <w:t xml:space="preserve">Thus, the </w:t>
      </w:r>
      <w:r w:rsidR="00A65A3E">
        <w:rPr>
          <w:rFonts w:cs="Arial"/>
          <w:lang w:val="en-CA"/>
        </w:rPr>
        <w:t>judge</w:t>
      </w:r>
      <w:r w:rsidRPr="0086574C">
        <w:rPr>
          <w:rFonts w:cs="Arial"/>
          <w:lang w:val="en-CA"/>
        </w:rPr>
        <w:t xml:space="preserve"> must not hesitate</w:t>
      </w:r>
      <w:r w:rsidR="00A65A3E">
        <w:rPr>
          <w:rFonts w:cs="Arial"/>
          <w:lang w:val="en-CA"/>
        </w:rPr>
        <w:t>, if necessary, to</w:t>
      </w:r>
      <w:r w:rsidRPr="0086574C">
        <w:rPr>
          <w:rFonts w:cs="Arial"/>
          <w:lang w:val="en-CA"/>
        </w:rPr>
        <w:t xml:space="preserve"> [</w:t>
      </w:r>
      <w:r w:rsidRPr="0086574C">
        <w:rPr>
          <w:rFonts w:cs="Arial"/>
          <w:smallCaps/>
          <w:lang w:val="en-CA"/>
        </w:rPr>
        <w:t>translation</w:t>
      </w:r>
      <w:r w:rsidRPr="0086574C">
        <w:rPr>
          <w:rFonts w:cs="Arial"/>
          <w:lang w:val="en-CA"/>
        </w:rPr>
        <w:t>] “</w:t>
      </w:r>
      <w:r w:rsidR="002C2441" w:rsidRPr="0086574C">
        <w:rPr>
          <w:rFonts w:cs="Arial"/>
          <w:color w:val="000000"/>
          <w:lang w:val="en-CA"/>
        </w:rPr>
        <w:t>revise the amount of these fees to reflect their true value, arbitrate them, and reduce them when they are pointless, exaggerated, or disproportionate to the gain expected by the group from the action</w:t>
      </w:r>
      <w:r w:rsidRPr="0086574C">
        <w:rPr>
          <w:rFonts w:cs="Arial"/>
          <w:lang w:val="en-CA"/>
        </w:rPr>
        <w:t>”.</w:t>
      </w:r>
      <w:r w:rsidR="00354272" w:rsidRPr="0086574C">
        <w:rPr>
          <w:lang w:val="en-CA"/>
        </w:rPr>
        <w:t xml:space="preserve"> </w:t>
      </w:r>
      <w:r w:rsidRPr="0086574C">
        <w:rPr>
          <w:shd w:val="clear" w:color="auto" w:fill="FFFFFF"/>
          <w:lang w:val="en-CA"/>
        </w:rPr>
        <w:t xml:space="preserve">The judge has a complex task because he or she must </w:t>
      </w:r>
      <w:r w:rsidR="00C05F54" w:rsidRPr="0086574C">
        <w:rPr>
          <w:lang w:val="en-CA"/>
        </w:rPr>
        <w:t>[</w:t>
      </w:r>
      <w:r w:rsidR="00C05F54" w:rsidRPr="0086574C">
        <w:rPr>
          <w:smallCaps/>
          <w:lang w:val="en-CA"/>
        </w:rPr>
        <w:t>translation]</w:t>
      </w:r>
      <w:r w:rsidRPr="0086574C">
        <w:rPr>
          <w:shd w:val="clear" w:color="auto" w:fill="FFFFFF"/>
          <w:lang w:val="en-CA"/>
        </w:rPr>
        <w:t xml:space="preserve"> “find the ideal equilibrium in the remuneration by giving the lawyers the necessary and sufficient amount to encourage them</w:t>
      </w:r>
      <w:r w:rsidRPr="001A6BBA">
        <w:rPr>
          <w:shd w:val="clear" w:color="auto" w:fill="FFFFFF"/>
          <w:lang w:val="en-CA"/>
        </w:rPr>
        <w:t xml:space="preserve"> to take on the next case, while bearing in mind that the class members must be the first to benefit from the amounts paid by the defendants”.</w:t>
      </w:r>
      <w:bookmarkStart w:id="27" w:name="_Ref128128055"/>
      <w:r w:rsidR="00354272" w:rsidRPr="001A6BBA">
        <w:rPr>
          <w:rStyle w:val="Appelnotedebasdep"/>
          <w:shd w:val="clear" w:color="auto" w:fill="FFFFFF"/>
          <w:lang w:val="en-CA"/>
        </w:rPr>
        <w:footnoteReference w:id="36"/>
      </w:r>
      <w:bookmarkEnd w:id="27"/>
    </w:p>
    <w:p w14:paraId="751FECCA" w14:textId="5342F375" w:rsidR="002E7C51" w:rsidRPr="001A6BBA" w:rsidRDefault="00B966FF" w:rsidP="002E7C51">
      <w:pPr>
        <w:pStyle w:val="Style1"/>
        <w:spacing w:before="120" w:after="120" w:line="280" w:lineRule="exact"/>
        <w:rPr>
          <w:lang w:val="en-CA"/>
        </w:rPr>
      </w:pPr>
      <w:r w:rsidRPr="009F222C">
        <w:rPr>
          <w:rFonts w:cs="Arial"/>
          <w:color w:val="000000"/>
          <w:lang w:val="en-CA"/>
        </w:rPr>
        <w:t xml:space="preserve">The </w:t>
      </w:r>
      <w:r w:rsidRPr="009F222C">
        <w:rPr>
          <w:rFonts w:cs="Arial"/>
          <w:i/>
          <w:color w:val="000000"/>
          <w:lang w:val="en-CA"/>
        </w:rPr>
        <w:t>Code of Civil Procedure</w:t>
      </w:r>
      <w:r w:rsidRPr="009F222C">
        <w:rPr>
          <w:rFonts w:cs="Arial"/>
          <w:color w:val="000000"/>
          <w:lang w:val="en-CA"/>
        </w:rPr>
        <w:t xml:space="preserve"> does not </w:t>
      </w:r>
      <w:r w:rsidR="00C05F54" w:rsidRPr="009F222C">
        <w:rPr>
          <w:rFonts w:cs="Arial"/>
          <w:color w:val="000000"/>
          <w:lang w:val="en-CA"/>
        </w:rPr>
        <w:t>identify</w:t>
      </w:r>
      <w:r w:rsidRPr="009F222C">
        <w:rPr>
          <w:rFonts w:cs="Arial"/>
          <w:color w:val="000000"/>
          <w:lang w:val="en-CA"/>
        </w:rPr>
        <w:t xml:space="preserve"> criteria for determining the fairness or reasonableness of </w:t>
      </w:r>
      <w:r w:rsidR="002D20DC">
        <w:rPr>
          <w:rFonts w:cs="Arial"/>
          <w:color w:val="000000"/>
          <w:lang w:val="en-CA"/>
        </w:rPr>
        <w:t>professional fees</w:t>
      </w:r>
      <w:r w:rsidRPr="009F222C">
        <w:rPr>
          <w:rFonts w:cs="Arial"/>
          <w:color w:val="000000"/>
          <w:lang w:val="en-CA"/>
        </w:rPr>
        <w:t>.</w:t>
      </w:r>
      <w:r w:rsidR="00354272" w:rsidRPr="001A6BBA">
        <w:rPr>
          <w:rFonts w:cs="Arial"/>
          <w:color w:val="000000"/>
          <w:lang w:val="en-CA"/>
        </w:rPr>
        <w:t xml:space="preserve"> </w:t>
      </w:r>
      <w:r w:rsidRPr="009F222C">
        <w:rPr>
          <w:rFonts w:cs="Arial"/>
          <w:color w:val="000000"/>
          <w:lang w:val="en-CA"/>
        </w:rPr>
        <w:t>Section</w:t>
      </w:r>
      <w:r w:rsidR="00354272" w:rsidRPr="001A6BBA">
        <w:rPr>
          <w:rFonts w:cs="Arial"/>
          <w:color w:val="000000"/>
          <w:lang w:val="en-CA"/>
        </w:rPr>
        <w:t xml:space="preserve"> </w:t>
      </w:r>
      <w:r w:rsidRPr="001A6BBA">
        <w:rPr>
          <w:rFonts w:cs="Arial"/>
          <w:lang w:val="en-CA"/>
        </w:rPr>
        <w:t xml:space="preserve">102 of the </w:t>
      </w:r>
      <w:r w:rsidRPr="001A6BBA">
        <w:rPr>
          <w:rFonts w:cs="Arial"/>
          <w:i/>
          <w:lang w:val="en-CA"/>
        </w:rPr>
        <w:t>Code of Professional Conduct</w:t>
      </w:r>
      <w:r w:rsidRPr="001A6BBA">
        <w:rPr>
          <w:rFonts w:cs="Arial"/>
          <w:lang w:val="en-CA"/>
        </w:rPr>
        <w:t xml:space="preserve"> provides useful </w:t>
      </w:r>
      <w:r w:rsidR="00AD172E">
        <w:rPr>
          <w:rFonts w:cs="Arial"/>
          <w:lang w:val="en-CA"/>
        </w:rPr>
        <w:t>guidelines</w:t>
      </w:r>
      <w:r w:rsidRPr="001A6BBA">
        <w:rPr>
          <w:rFonts w:cs="Arial"/>
          <w:lang w:val="en-CA"/>
        </w:rPr>
        <w:t xml:space="preserve"> in this respect. It states:</w:t>
      </w:r>
      <w:r w:rsidRPr="001A6BBA">
        <w:rPr>
          <w:rStyle w:val="Appelnotedebasdep"/>
          <w:rFonts w:cs="Arial"/>
          <w:color w:val="000000"/>
          <w:lang w:val="en-CA"/>
        </w:rPr>
        <w:footnoteReference w:id="37"/>
      </w:r>
    </w:p>
    <w:tbl>
      <w:tblPr>
        <w:tblW w:w="0" w:type="auto"/>
        <w:tblCellMar>
          <w:left w:w="70" w:type="dxa"/>
          <w:right w:w="70" w:type="dxa"/>
        </w:tblCellMar>
        <w:tblLook w:val="0000" w:firstRow="0" w:lastRow="0" w:firstColumn="0" w:lastColumn="0" w:noHBand="0" w:noVBand="0"/>
      </w:tblPr>
      <w:tblGrid>
        <w:gridCol w:w="4680"/>
        <w:gridCol w:w="4680"/>
      </w:tblGrid>
      <w:tr w:rsidR="00B966FF" w:rsidRPr="001A6BBA" w14:paraId="045304A0" w14:textId="77777777" w:rsidTr="005741D8">
        <w:tc>
          <w:tcPr>
            <w:tcW w:w="4680" w:type="dxa"/>
          </w:tcPr>
          <w:p w14:paraId="6305ECDD" w14:textId="63A8C7E2" w:rsidR="00B966FF" w:rsidRPr="001A6BBA" w:rsidRDefault="00B966FF" w:rsidP="00B966FF">
            <w:pPr>
              <w:ind w:left="720" w:right="142"/>
              <w:jc w:val="both"/>
              <w:rPr>
                <w:b/>
                <w:bCs/>
                <w:sz w:val="22"/>
                <w:szCs w:val="22"/>
                <w:lang w:val="en-CA"/>
              </w:rPr>
            </w:pPr>
            <w:r w:rsidRPr="001A6BBA">
              <w:rPr>
                <w:b/>
                <w:bCs/>
                <w:sz w:val="22"/>
                <w:szCs w:val="22"/>
                <w:lang w:val="en-CA"/>
              </w:rPr>
              <w:t xml:space="preserve">102. </w:t>
            </w:r>
            <w:r w:rsidRPr="009F222C">
              <w:rPr>
                <w:rFonts w:cs="Arial"/>
                <w:sz w:val="22"/>
                <w:szCs w:val="22"/>
                <w:lang w:val="en-CA" w:eastAsia="fr-CA"/>
              </w:rPr>
              <w:t>The fees are fair and reasonable if they are warranted by the circumstances and proportionate to the professional services rendered.</w:t>
            </w:r>
            <w:r w:rsidRPr="001A6BBA">
              <w:rPr>
                <w:rFonts w:cs="Arial"/>
                <w:sz w:val="22"/>
                <w:szCs w:val="22"/>
                <w:lang w:val="en-CA" w:eastAsia="fr-CA"/>
              </w:rPr>
              <w:t xml:space="preserve"> </w:t>
            </w:r>
            <w:r w:rsidRPr="009F222C">
              <w:rPr>
                <w:rFonts w:cs="Arial"/>
                <w:sz w:val="22"/>
                <w:szCs w:val="22"/>
                <w:lang w:val="en-CA" w:eastAsia="fr-CA"/>
              </w:rPr>
              <w:t>In determining his fees, the lawyer must in particular take the following factors into account:</w:t>
            </w:r>
          </w:p>
        </w:tc>
        <w:tc>
          <w:tcPr>
            <w:tcW w:w="4680" w:type="dxa"/>
          </w:tcPr>
          <w:p w14:paraId="64CBEA48" w14:textId="668616BB" w:rsidR="00B966FF" w:rsidRPr="00680F58" w:rsidRDefault="00B966FF" w:rsidP="00B966FF">
            <w:pPr>
              <w:ind w:left="720" w:right="142"/>
              <w:jc w:val="both"/>
              <w:rPr>
                <w:rFonts w:cs="Arial"/>
                <w:sz w:val="22"/>
                <w:szCs w:val="22"/>
                <w:shd w:val="clear" w:color="auto" w:fill="FFFFFF"/>
                <w:lang w:eastAsia="fr-CA"/>
              </w:rPr>
            </w:pPr>
            <w:r w:rsidRPr="00680F58">
              <w:rPr>
                <w:b/>
                <w:bCs/>
                <w:sz w:val="22"/>
                <w:szCs w:val="22"/>
              </w:rPr>
              <w:t xml:space="preserve">102. </w:t>
            </w:r>
            <w:r w:rsidRPr="00680F58">
              <w:rPr>
                <w:rFonts w:cs="Arial"/>
                <w:sz w:val="22"/>
                <w:szCs w:val="22"/>
                <w:shd w:val="clear" w:color="auto" w:fill="FFFFFF"/>
                <w:lang w:eastAsia="fr-CA"/>
              </w:rPr>
              <w:t xml:space="preserve">Les </w:t>
            </w:r>
            <w:r w:rsidR="00680F58" w:rsidRPr="00680F58">
              <w:rPr>
                <w:rFonts w:cs="Arial"/>
                <w:sz w:val="22"/>
                <w:szCs w:val="22"/>
                <w:shd w:val="clear" w:color="auto" w:fill="FFFFFF"/>
                <w:lang w:eastAsia="fr-CA"/>
              </w:rPr>
              <w:t>honoraires</w:t>
            </w:r>
            <w:r w:rsidRPr="00680F58">
              <w:rPr>
                <w:rFonts w:cs="Arial"/>
                <w:sz w:val="22"/>
                <w:szCs w:val="22"/>
                <w:shd w:val="clear" w:color="auto" w:fill="FFFFFF"/>
                <w:lang w:eastAsia="fr-CA"/>
              </w:rPr>
              <w:t xml:space="preserve"> sont justes et raisonnables s’ils sont justifiés par les circonstances et proportionnés aux services professionnels rendus. </w:t>
            </w:r>
            <w:r w:rsidRPr="00680F58">
              <w:rPr>
                <w:rFonts w:cs="Arial"/>
                <w:color w:val="212529"/>
                <w:sz w:val="22"/>
                <w:szCs w:val="22"/>
                <w:shd w:val="clear" w:color="auto" w:fill="FFFFFF"/>
              </w:rPr>
              <w:t>L’avocat tient notamment compte des facteurs suivants pour la fixation de ses honoraires:</w:t>
            </w:r>
          </w:p>
          <w:p w14:paraId="7DE7B162" w14:textId="77777777" w:rsidR="00B966FF" w:rsidRPr="00680F58" w:rsidRDefault="00B966FF" w:rsidP="00B966FF">
            <w:pPr>
              <w:ind w:left="720" w:right="142"/>
              <w:jc w:val="both"/>
              <w:rPr>
                <w:rFonts w:ascii="Times New Roman" w:hAnsi="Times New Roman"/>
                <w:szCs w:val="24"/>
                <w:lang w:eastAsia="fr-CA"/>
              </w:rPr>
            </w:pPr>
          </w:p>
        </w:tc>
      </w:tr>
      <w:tr w:rsidR="00B966FF" w:rsidRPr="001A6BBA" w14:paraId="4163143C" w14:textId="77777777" w:rsidTr="005741D8">
        <w:tc>
          <w:tcPr>
            <w:tcW w:w="4680" w:type="dxa"/>
          </w:tcPr>
          <w:p w14:paraId="04737364" w14:textId="5D091273" w:rsidR="00B966FF" w:rsidRPr="009F222C" w:rsidRDefault="00B966FF" w:rsidP="00B966FF">
            <w:pPr>
              <w:shd w:val="clear" w:color="auto" w:fill="FFFFFF"/>
              <w:ind w:left="720" w:right="142"/>
              <w:jc w:val="both"/>
              <w:rPr>
                <w:rFonts w:cs="Arial"/>
                <w:sz w:val="22"/>
                <w:szCs w:val="22"/>
                <w:lang w:val="en-CA" w:eastAsia="fr-CA"/>
              </w:rPr>
            </w:pPr>
            <w:r w:rsidRPr="009F222C">
              <w:rPr>
                <w:rFonts w:cs="Arial"/>
                <w:sz w:val="22"/>
                <w:szCs w:val="22"/>
                <w:lang w:val="en-CA" w:eastAsia="fr-CA"/>
              </w:rPr>
              <w:t>(1)  experience;</w:t>
            </w:r>
          </w:p>
        </w:tc>
        <w:tc>
          <w:tcPr>
            <w:tcW w:w="4680" w:type="dxa"/>
          </w:tcPr>
          <w:p w14:paraId="7FE51024" w14:textId="755CCEB9" w:rsidR="00B966FF" w:rsidRPr="00680F58" w:rsidRDefault="00B966FF" w:rsidP="00B966FF">
            <w:pPr>
              <w:shd w:val="clear" w:color="auto" w:fill="FFFFFF"/>
              <w:ind w:left="720" w:right="142"/>
              <w:jc w:val="both"/>
              <w:rPr>
                <w:rFonts w:cs="Arial"/>
                <w:sz w:val="22"/>
                <w:szCs w:val="22"/>
                <w:lang w:eastAsia="fr-CA"/>
              </w:rPr>
            </w:pPr>
            <w:r w:rsidRPr="00680F58">
              <w:rPr>
                <w:rFonts w:cs="Arial"/>
                <w:sz w:val="22"/>
                <w:szCs w:val="22"/>
                <w:lang w:eastAsia="fr-CA"/>
              </w:rPr>
              <w:t>1°  l’expérience;</w:t>
            </w:r>
          </w:p>
          <w:p w14:paraId="11A920C1" w14:textId="77777777" w:rsidR="00B966FF" w:rsidRPr="00680F58" w:rsidRDefault="00B966FF" w:rsidP="00B966FF">
            <w:pPr>
              <w:shd w:val="clear" w:color="auto" w:fill="FFFFFF"/>
              <w:ind w:left="720" w:right="142"/>
              <w:jc w:val="both"/>
              <w:rPr>
                <w:rFonts w:cs="Arial"/>
                <w:sz w:val="22"/>
                <w:szCs w:val="22"/>
                <w:lang w:eastAsia="fr-CA"/>
              </w:rPr>
            </w:pPr>
          </w:p>
        </w:tc>
      </w:tr>
      <w:tr w:rsidR="00B966FF" w:rsidRPr="001A6BBA" w14:paraId="7B3C54DC" w14:textId="77777777" w:rsidTr="005741D8">
        <w:tc>
          <w:tcPr>
            <w:tcW w:w="4680" w:type="dxa"/>
          </w:tcPr>
          <w:p w14:paraId="16EBD815" w14:textId="4015AE74" w:rsidR="00B966FF" w:rsidRPr="009F222C" w:rsidRDefault="00B966FF" w:rsidP="00B966FF">
            <w:pPr>
              <w:shd w:val="clear" w:color="auto" w:fill="FFFFFF"/>
              <w:ind w:left="720" w:right="142"/>
              <w:jc w:val="both"/>
              <w:rPr>
                <w:rFonts w:cs="Arial"/>
                <w:sz w:val="22"/>
                <w:szCs w:val="22"/>
                <w:lang w:val="en-CA" w:eastAsia="fr-CA"/>
              </w:rPr>
            </w:pPr>
            <w:r w:rsidRPr="009F222C">
              <w:rPr>
                <w:rFonts w:cs="Arial"/>
                <w:sz w:val="22"/>
                <w:szCs w:val="22"/>
                <w:lang w:val="en-CA" w:eastAsia="fr-CA"/>
              </w:rPr>
              <w:t>(2)  the time and effort required and devoted to the matter;</w:t>
            </w:r>
          </w:p>
        </w:tc>
        <w:tc>
          <w:tcPr>
            <w:tcW w:w="4680" w:type="dxa"/>
          </w:tcPr>
          <w:p w14:paraId="110C1858" w14:textId="5C1E7142" w:rsidR="00B966FF" w:rsidRPr="00680F58" w:rsidRDefault="00B966FF" w:rsidP="00B966FF">
            <w:pPr>
              <w:shd w:val="clear" w:color="auto" w:fill="FFFFFF"/>
              <w:ind w:left="720" w:right="142"/>
              <w:jc w:val="both"/>
              <w:rPr>
                <w:rFonts w:cs="Arial"/>
                <w:sz w:val="22"/>
                <w:szCs w:val="22"/>
                <w:lang w:eastAsia="fr-CA"/>
              </w:rPr>
            </w:pPr>
            <w:r w:rsidRPr="00680F58">
              <w:rPr>
                <w:rFonts w:cs="Arial"/>
                <w:sz w:val="22"/>
                <w:szCs w:val="22"/>
                <w:lang w:eastAsia="fr-CA"/>
              </w:rPr>
              <w:t>2°  le temps et l’effort requis et consacrés à l’affaire;</w:t>
            </w:r>
          </w:p>
          <w:p w14:paraId="180E9394" w14:textId="77777777" w:rsidR="00B966FF" w:rsidRPr="00680F58" w:rsidRDefault="00B966FF" w:rsidP="00B966FF">
            <w:pPr>
              <w:shd w:val="clear" w:color="auto" w:fill="FFFFFF"/>
              <w:ind w:left="720" w:right="142"/>
              <w:jc w:val="both"/>
              <w:rPr>
                <w:rFonts w:cs="Arial"/>
                <w:sz w:val="22"/>
                <w:szCs w:val="22"/>
                <w:lang w:eastAsia="fr-CA"/>
              </w:rPr>
            </w:pPr>
          </w:p>
        </w:tc>
      </w:tr>
      <w:tr w:rsidR="00B966FF" w:rsidRPr="001A6BBA" w14:paraId="40B50298" w14:textId="77777777" w:rsidTr="005741D8">
        <w:tc>
          <w:tcPr>
            <w:tcW w:w="4680" w:type="dxa"/>
          </w:tcPr>
          <w:p w14:paraId="0F514E9F" w14:textId="1AD26877" w:rsidR="00B966FF" w:rsidRPr="009F222C" w:rsidRDefault="00B966FF" w:rsidP="00B966FF">
            <w:pPr>
              <w:shd w:val="clear" w:color="auto" w:fill="FFFFFF"/>
              <w:ind w:left="720" w:right="142"/>
              <w:jc w:val="both"/>
              <w:rPr>
                <w:rFonts w:cs="Arial"/>
                <w:sz w:val="22"/>
                <w:szCs w:val="22"/>
                <w:lang w:val="en-CA" w:eastAsia="fr-CA"/>
              </w:rPr>
            </w:pPr>
            <w:r w:rsidRPr="009F222C">
              <w:rPr>
                <w:rFonts w:cs="Arial"/>
                <w:sz w:val="22"/>
                <w:szCs w:val="22"/>
                <w:lang w:val="en-CA" w:eastAsia="fr-CA"/>
              </w:rPr>
              <w:t>(3)  the difficulty of the matter;</w:t>
            </w:r>
          </w:p>
        </w:tc>
        <w:tc>
          <w:tcPr>
            <w:tcW w:w="4680" w:type="dxa"/>
          </w:tcPr>
          <w:p w14:paraId="54906F8A" w14:textId="70CD4EB4" w:rsidR="00B966FF" w:rsidRPr="00680F58" w:rsidRDefault="00B966FF" w:rsidP="00B966FF">
            <w:pPr>
              <w:shd w:val="clear" w:color="auto" w:fill="FFFFFF"/>
              <w:ind w:left="720" w:right="142"/>
              <w:jc w:val="both"/>
              <w:rPr>
                <w:rFonts w:cs="Arial"/>
                <w:sz w:val="22"/>
                <w:szCs w:val="22"/>
                <w:lang w:eastAsia="fr-CA"/>
              </w:rPr>
            </w:pPr>
            <w:r w:rsidRPr="00680F58">
              <w:rPr>
                <w:rFonts w:cs="Arial"/>
                <w:sz w:val="22"/>
                <w:szCs w:val="22"/>
                <w:lang w:eastAsia="fr-CA"/>
              </w:rPr>
              <w:t>3°  la difficulté de l’affaire;</w:t>
            </w:r>
          </w:p>
          <w:p w14:paraId="4413D607" w14:textId="77777777" w:rsidR="00B966FF" w:rsidRPr="00680F58" w:rsidRDefault="00B966FF" w:rsidP="00B966FF">
            <w:pPr>
              <w:shd w:val="clear" w:color="auto" w:fill="FFFFFF"/>
              <w:ind w:left="720" w:right="142"/>
              <w:jc w:val="both"/>
              <w:rPr>
                <w:rFonts w:cs="Arial"/>
                <w:sz w:val="22"/>
                <w:szCs w:val="22"/>
                <w:lang w:eastAsia="fr-CA"/>
              </w:rPr>
            </w:pPr>
          </w:p>
        </w:tc>
      </w:tr>
      <w:tr w:rsidR="00B966FF" w:rsidRPr="001A6BBA" w14:paraId="67B4103D" w14:textId="77777777" w:rsidTr="005741D8">
        <w:tc>
          <w:tcPr>
            <w:tcW w:w="4680" w:type="dxa"/>
          </w:tcPr>
          <w:p w14:paraId="2549A262" w14:textId="14FE6C48" w:rsidR="00B966FF" w:rsidRPr="009F222C" w:rsidRDefault="00B966FF" w:rsidP="00B966FF">
            <w:pPr>
              <w:shd w:val="clear" w:color="auto" w:fill="FFFFFF"/>
              <w:ind w:left="720" w:right="142"/>
              <w:jc w:val="both"/>
              <w:rPr>
                <w:rFonts w:cs="Arial"/>
                <w:sz w:val="22"/>
                <w:szCs w:val="22"/>
                <w:lang w:val="en-CA" w:eastAsia="fr-CA"/>
              </w:rPr>
            </w:pPr>
            <w:r w:rsidRPr="009F222C">
              <w:rPr>
                <w:rFonts w:cs="Arial"/>
                <w:sz w:val="22"/>
                <w:szCs w:val="22"/>
                <w:lang w:val="en-CA" w:eastAsia="fr-CA"/>
              </w:rPr>
              <w:lastRenderedPageBreak/>
              <w:t>(4)  the importance of the matter to the client;</w:t>
            </w:r>
          </w:p>
        </w:tc>
        <w:tc>
          <w:tcPr>
            <w:tcW w:w="4680" w:type="dxa"/>
          </w:tcPr>
          <w:p w14:paraId="7B315D14" w14:textId="3D41EDB9" w:rsidR="00B966FF" w:rsidRPr="00680F58" w:rsidRDefault="00B966FF" w:rsidP="00B966FF">
            <w:pPr>
              <w:shd w:val="clear" w:color="auto" w:fill="FFFFFF"/>
              <w:ind w:left="720" w:right="142"/>
              <w:jc w:val="both"/>
              <w:rPr>
                <w:rFonts w:cs="Arial"/>
                <w:sz w:val="22"/>
                <w:szCs w:val="22"/>
                <w:lang w:eastAsia="fr-CA"/>
              </w:rPr>
            </w:pPr>
            <w:r w:rsidRPr="00680F58">
              <w:rPr>
                <w:rFonts w:cs="Arial"/>
                <w:sz w:val="22"/>
                <w:szCs w:val="22"/>
                <w:lang w:eastAsia="fr-CA"/>
              </w:rPr>
              <w:t>4°  l’importance de l’affaire pour le client;</w:t>
            </w:r>
          </w:p>
          <w:p w14:paraId="2FCCBCA1" w14:textId="77777777" w:rsidR="00B966FF" w:rsidRPr="00680F58" w:rsidRDefault="00B966FF" w:rsidP="00B966FF">
            <w:pPr>
              <w:shd w:val="clear" w:color="auto" w:fill="FFFFFF"/>
              <w:ind w:left="720" w:right="142"/>
              <w:jc w:val="both"/>
              <w:rPr>
                <w:rFonts w:cs="Arial"/>
                <w:sz w:val="22"/>
                <w:szCs w:val="22"/>
                <w:lang w:eastAsia="fr-CA"/>
              </w:rPr>
            </w:pPr>
          </w:p>
        </w:tc>
      </w:tr>
      <w:tr w:rsidR="00B966FF" w:rsidRPr="001A6BBA" w14:paraId="51A3DD77" w14:textId="77777777" w:rsidTr="005741D8">
        <w:tc>
          <w:tcPr>
            <w:tcW w:w="4680" w:type="dxa"/>
          </w:tcPr>
          <w:p w14:paraId="082A2267" w14:textId="7F8CD1D5" w:rsidR="00B966FF" w:rsidRPr="009F222C" w:rsidRDefault="00B966FF" w:rsidP="00B966FF">
            <w:pPr>
              <w:shd w:val="clear" w:color="auto" w:fill="FFFFFF"/>
              <w:ind w:left="720" w:right="142"/>
              <w:jc w:val="both"/>
              <w:rPr>
                <w:rFonts w:cs="Arial"/>
                <w:sz w:val="22"/>
                <w:szCs w:val="22"/>
                <w:lang w:val="en-CA" w:eastAsia="fr-CA"/>
              </w:rPr>
            </w:pPr>
            <w:r w:rsidRPr="009F222C">
              <w:rPr>
                <w:rFonts w:cs="Arial"/>
                <w:sz w:val="22"/>
                <w:szCs w:val="22"/>
                <w:lang w:val="en-CA" w:eastAsia="fr-CA"/>
              </w:rPr>
              <w:t>(5)  the responsibility assumed;</w:t>
            </w:r>
          </w:p>
        </w:tc>
        <w:tc>
          <w:tcPr>
            <w:tcW w:w="4680" w:type="dxa"/>
          </w:tcPr>
          <w:p w14:paraId="01DFCFCD" w14:textId="14E74AB8" w:rsidR="00B966FF" w:rsidRPr="00680F58" w:rsidRDefault="00B966FF" w:rsidP="00B966FF">
            <w:pPr>
              <w:shd w:val="clear" w:color="auto" w:fill="FFFFFF"/>
              <w:ind w:left="720" w:right="142"/>
              <w:jc w:val="both"/>
              <w:rPr>
                <w:rFonts w:cs="Arial"/>
                <w:sz w:val="22"/>
                <w:szCs w:val="22"/>
                <w:lang w:eastAsia="fr-CA"/>
              </w:rPr>
            </w:pPr>
            <w:r w:rsidRPr="00680F58">
              <w:rPr>
                <w:rFonts w:cs="Arial"/>
                <w:sz w:val="22"/>
                <w:szCs w:val="22"/>
                <w:lang w:eastAsia="fr-CA"/>
              </w:rPr>
              <w:t>5°  la responsabilité assumée;</w:t>
            </w:r>
          </w:p>
          <w:p w14:paraId="0233A492" w14:textId="77777777" w:rsidR="00B966FF" w:rsidRPr="00680F58" w:rsidRDefault="00B966FF" w:rsidP="00B966FF">
            <w:pPr>
              <w:shd w:val="clear" w:color="auto" w:fill="FFFFFF"/>
              <w:ind w:left="720" w:right="142"/>
              <w:jc w:val="both"/>
              <w:rPr>
                <w:rFonts w:cs="Arial"/>
                <w:sz w:val="22"/>
                <w:szCs w:val="22"/>
                <w:lang w:eastAsia="fr-CA"/>
              </w:rPr>
            </w:pPr>
          </w:p>
        </w:tc>
      </w:tr>
      <w:tr w:rsidR="00B966FF" w:rsidRPr="001A6BBA" w14:paraId="2A71ACFF" w14:textId="77777777" w:rsidTr="005741D8">
        <w:tc>
          <w:tcPr>
            <w:tcW w:w="4680" w:type="dxa"/>
          </w:tcPr>
          <w:p w14:paraId="062611E6" w14:textId="585AC3C0" w:rsidR="00B966FF" w:rsidRPr="001A6BBA" w:rsidRDefault="00B966FF" w:rsidP="00B966FF">
            <w:pPr>
              <w:shd w:val="clear" w:color="auto" w:fill="FFFFFF"/>
              <w:ind w:left="720" w:right="142"/>
              <w:jc w:val="both"/>
              <w:rPr>
                <w:rFonts w:cs="Arial"/>
                <w:sz w:val="22"/>
                <w:szCs w:val="22"/>
                <w:highlight w:val="green"/>
                <w:lang w:val="en-CA" w:eastAsia="fr-CA"/>
              </w:rPr>
            </w:pPr>
            <w:r w:rsidRPr="001A6BBA">
              <w:rPr>
                <w:rFonts w:cs="Arial"/>
                <w:sz w:val="22"/>
                <w:szCs w:val="22"/>
                <w:lang w:val="en-CA" w:eastAsia="fr-CA"/>
              </w:rPr>
              <w:t>(6)  the performance of unusual professional services or professional services requiring special skills or exceptional speed;</w:t>
            </w:r>
          </w:p>
        </w:tc>
        <w:tc>
          <w:tcPr>
            <w:tcW w:w="4680" w:type="dxa"/>
          </w:tcPr>
          <w:p w14:paraId="1673F7DE" w14:textId="53768DAD" w:rsidR="00B966FF" w:rsidRPr="00680F58" w:rsidRDefault="00B966FF" w:rsidP="00B966FF">
            <w:pPr>
              <w:shd w:val="clear" w:color="auto" w:fill="FFFFFF"/>
              <w:ind w:left="720" w:right="142"/>
              <w:jc w:val="both"/>
              <w:rPr>
                <w:rFonts w:cs="Arial"/>
                <w:sz w:val="22"/>
                <w:szCs w:val="22"/>
                <w:lang w:eastAsia="fr-CA"/>
              </w:rPr>
            </w:pPr>
            <w:r w:rsidRPr="00680F58">
              <w:rPr>
                <w:rFonts w:cs="Arial"/>
                <w:sz w:val="22"/>
                <w:szCs w:val="22"/>
                <w:lang w:eastAsia="fr-CA"/>
              </w:rPr>
              <w:t>6°  la prestation de services professionnels inhabituels ou exigeant une compétence particulière ou une célérité exceptionnelle;</w:t>
            </w:r>
          </w:p>
          <w:p w14:paraId="79F8B48B" w14:textId="77777777" w:rsidR="00B966FF" w:rsidRPr="00680F58" w:rsidRDefault="00B966FF" w:rsidP="00B966FF">
            <w:pPr>
              <w:shd w:val="clear" w:color="auto" w:fill="FFFFFF"/>
              <w:ind w:left="720" w:right="142"/>
              <w:jc w:val="both"/>
              <w:rPr>
                <w:rFonts w:cs="Arial"/>
                <w:sz w:val="22"/>
                <w:szCs w:val="22"/>
                <w:lang w:eastAsia="fr-CA"/>
              </w:rPr>
            </w:pPr>
          </w:p>
        </w:tc>
      </w:tr>
      <w:tr w:rsidR="00B966FF" w:rsidRPr="001A6BBA" w14:paraId="5F71A0AC" w14:textId="77777777" w:rsidTr="005741D8">
        <w:tc>
          <w:tcPr>
            <w:tcW w:w="4680" w:type="dxa"/>
          </w:tcPr>
          <w:p w14:paraId="1895C17F" w14:textId="2D1481D4" w:rsidR="00B966FF" w:rsidRPr="009F222C" w:rsidRDefault="00B966FF" w:rsidP="00B966FF">
            <w:pPr>
              <w:shd w:val="clear" w:color="auto" w:fill="FFFFFF"/>
              <w:ind w:left="720" w:right="142"/>
              <w:jc w:val="both"/>
              <w:rPr>
                <w:rFonts w:cs="Arial"/>
                <w:sz w:val="22"/>
                <w:szCs w:val="22"/>
                <w:lang w:val="en-CA" w:eastAsia="fr-CA"/>
              </w:rPr>
            </w:pPr>
            <w:r w:rsidRPr="009F222C">
              <w:rPr>
                <w:rFonts w:cs="Arial"/>
                <w:sz w:val="22"/>
                <w:szCs w:val="22"/>
                <w:lang w:val="en-CA" w:eastAsia="fr-CA"/>
              </w:rPr>
              <w:t>(7)  the result obtained;</w:t>
            </w:r>
          </w:p>
        </w:tc>
        <w:tc>
          <w:tcPr>
            <w:tcW w:w="4680" w:type="dxa"/>
          </w:tcPr>
          <w:p w14:paraId="66068EF2" w14:textId="7D89552E" w:rsidR="00B966FF" w:rsidRPr="00680F58" w:rsidRDefault="00B966FF" w:rsidP="00B966FF">
            <w:pPr>
              <w:shd w:val="clear" w:color="auto" w:fill="FFFFFF"/>
              <w:ind w:left="720" w:right="142"/>
              <w:jc w:val="both"/>
              <w:rPr>
                <w:rFonts w:cs="Arial"/>
                <w:sz w:val="22"/>
                <w:szCs w:val="22"/>
                <w:lang w:eastAsia="fr-CA"/>
              </w:rPr>
            </w:pPr>
            <w:r w:rsidRPr="00680F58">
              <w:rPr>
                <w:rFonts w:cs="Arial"/>
                <w:sz w:val="22"/>
                <w:szCs w:val="22"/>
                <w:lang w:eastAsia="fr-CA"/>
              </w:rPr>
              <w:t>7°  le résultat obtenu;</w:t>
            </w:r>
          </w:p>
          <w:p w14:paraId="24A6D1BA" w14:textId="77777777" w:rsidR="00B966FF" w:rsidRPr="00680F58" w:rsidRDefault="00B966FF" w:rsidP="00B966FF">
            <w:pPr>
              <w:shd w:val="clear" w:color="auto" w:fill="FFFFFF"/>
              <w:ind w:left="720" w:right="142"/>
              <w:jc w:val="both"/>
              <w:rPr>
                <w:rFonts w:cs="Arial"/>
                <w:sz w:val="22"/>
                <w:szCs w:val="22"/>
                <w:lang w:eastAsia="fr-CA"/>
              </w:rPr>
            </w:pPr>
          </w:p>
        </w:tc>
      </w:tr>
      <w:tr w:rsidR="00B966FF" w:rsidRPr="001A6BBA" w14:paraId="31D8A3E1" w14:textId="77777777" w:rsidTr="005741D8">
        <w:tc>
          <w:tcPr>
            <w:tcW w:w="4680" w:type="dxa"/>
          </w:tcPr>
          <w:p w14:paraId="07E64C0E" w14:textId="06C57D22" w:rsidR="00B966FF" w:rsidRPr="001A6BBA" w:rsidRDefault="00B966FF" w:rsidP="00B966FF">
            <w:pPr>
              <w:shd w:val="clear" w:color="auto" w:fill="FFFFFF"/>
              <w:ind w:left="720" w:right="142"/>
              <w:jc w:val="both"/>
              <w:rPr>
                <w:rFonts w:cs="Arial"/>
                <w:sz w:val="22"/>
                <w:szCs w:val="22"/>
                <w:highlight w:val="green"/>
                <w:lang w:val="en-CA" w:eastAsia="fr-CA"/>
              </w:rPr>
            </w:pPr>
            <w:r w:rsidRPr="009F222C">
              <w:rPr>
                <w:rFonts w:cs="Arial"/>
                <w:sz w:val="22"/>
                <w:szCs w:val="22"/>
                <w:lang w:val="en-CA" w:eastAsia="fr-CA"/>
              </w:rPr>
              <w:t>(8)  the fees prescribed by statute or regulation;</w:t>
            </w:r>
            <w:r w:rsidRPr="001A6BBA">
              <w:rPr>
                <w:rFonts w:cs="Arial"/>
                <w:sz w:val="22"/>
                <w:szCs w:val="22"/>
                <w:lang w:val="en-CA" w:eastAsia="fr-CA"/>
              </w:rPr>
              <w:t xml:space="preserve"> </w:t>
            </w:r>
            <w:r w:rsidRPr="009F222C">
              <w:rPr>
                <w:rFonts w:cs="Arial"/>
                <w:sz w:val="22"/>
                <w:szCs w:val="22"/>
                <w:lang w:val="en-CA" w:eastAsia="fr-CA"/>
              </w:rPr>
              <w:t>and</w:t>
            </w:r>
          </w:p>
        </w:tc>
        <w:tc>
          <w:tcPr>
            <w:tcW w:w="4680" w:type="dxa"/>
          </w:tcPr>
          <w:p w14:paraId="252DD77A" w14:textId="4E7B901C" w:rsidR="00B966FF" w:rsidRPr="00680F58" w:rsidRDefault="00B966FF" w:rsidP="00B966FF">
            <w:pPr>
              <w:shd w:val="clear" w:color="auto" w:fill="FFFFFF"/>
              <w:ind w:left="720" w:right="142"/>
              <w:jc w:val="both"/>
              <w:rPr>
                <w:rFonts w:cs="Arial"/>
                <w:sz w:val="22"/>
                <w:szCs w:val="22"/>
                <w:lang w:eastAsia="fr-CA"/>
              </w:rPr>
            </w:pPr>
            <w:r w:rsidRPr="00680F58">
              <w:rPr>
                <w:rFonts w:cs="Arial"/>
                <w:sz w:val="22"/>
                <w:szCs w:val="22"/>
                <w:lang w:eastAsia="fr-CA"/>
              </w:rPr>
              <w:t>8°  les h</w:t>
            </w:r>
            <w:r w:rsidRPr="00680F58">
              <w:rPr>
                <w:sz w:val="22"/>
                <w:szCs w:val="22"/>
                <w:lang w:eastAsia="fr-CA"/>
              </w:rPr>
              <w:t>onoraires</w:t>
            </w:r>
            <w:r w:rsidRPr="00680F58">
              <w:rPr>
                <w:rFonts w:cs="Arial"/>
                <w:sz w:val="22"/>
                <w:szCs w:val="22"/>
                <w:lang w:eastAsia="fr-CA"/>
              </w:rPr>
              <w:t xml:space="preserve"> prévus par la loi ou les règlements;</w:t>
            </w:r>
          </w:p>
          <w:p w14:paraId="6AB039DC" w14:textId="77777777" w:rsidR="00B966FF" w:rsidRPr="00680F58" w:rsidRDefault="00B966FF" w:rsidP="00B966FF">
            <w:pPr>
              <w:shd w:val="clear" w:color="auto" w:fill="FFFFFF"/>
              <w:ind w:left="720" w:right="142"/>
              <w:jc w:val="both"/>
              <w:rPr>
                <w:rFonts w:cs="Arial"/>
                <w:sz w:val="22"/>
                <w:szCs w:val="22"/>
                <w:lang w:eastAsia="fr-CA"/>
              </w:rPr>
            </w:pPr>
          </w:p>
        </w:tc>
      </w:tr>
      <w:tr w:rsidR="00B966FF" w:rsidRPr="001A6BBA" w14:paraId="13764A75" w14:textId="77777777" w:rsidTr="005741D8">
        <w:tc>
          <w:tcPr>
            <w:tcW w:w="4680" w:type="dxa"/>
          </w:tcPr>
          <w:p w14:paraId="615E3008" w14:textId="77777777" w:rsidR="00B966FF" w:rsidRPr="001A6BBA" w:rsidRDefault="00B966FF" w:rsidP="00B966FF">
            <w:pPr>
              <w:shd w:val="clear" w:color="auto" w:fill="FFFFFF"/>
              <w:ind w:left="776" w:right="720"/>
              <w:jc w:val="both"/>
              <w:rPr>
                <w:rFonts w:cs="Arial"/>
                <w:sz w:val="22"/>
                <w:szCs w:val="22"/>
                <w:lang w:val="en-CA" w:eastAsia="fr-CA"/>
              </w:rPr>
            </w:pPr>
            <w:r w:rsidRPr="001A6BBA">
              <w:rPr>
                <w:rFonts w:cs="Arial"/>
                <w:sz w:val="22"/>
                <w:szCs w:val="22"/>
                <w:lang w:val="en-CA" w:eastAsia="fr-CA"/>
              </w:rPr>
              <w:t>(9)  the disbursements, fees, commissions, rebates, costs or other benefits that are or will be paid by a third party with respect to the mandate the client gave him.</w:t>
            </w:r>
          </w:p>
          <w:p w14:paraId="106A65F8" w14:textId="77777777" w:rsidR="00B966FF" w:rsidRPr="001A6BBA" w:rsidRDefault="00B966FF" w:rsidP="00B966FF">
            <w:pPr>
              <w:ind w:left="720" w:right="142"/>
              <w:jc w:val="both"/>
              <w:rPr>
                <w:rFonts w:cs="Arial"/>
                <w:sz w:val="22"/>
                <w:szCs w:val="22"/>
                <w:highlight w:val="green"/>
                <w:lang w:val="en-CA" w:eastAsia="fr-CA"/>
              </w:rPr>
            </w:pPr>
          </w:p>
        </w:tc>
        <w:tc>
          <w:tcPr>
            <w:tcW w:w="4680" w:type="dxa"/>
          </w:tcPr>
          <w:p w14:paraId="5F13AC7A" w14:textId="2113B9C5" w:rsidR="00B966FF" w:rsidRPr="00680F58" w:rsidRDefault="00B966FF" w:rsidP="00B966FF">
            <w:pPr>
              <w:ind w:left="720" w:right="142"/>
              <w:jc w:val="both"/>
              <w:rPr>
                <w:b/>
                <w:bCs/>
                <w:sz w:val="22"/>
                <w:szCs w:val="22"/>
              </w:rPr>
            </w:pPr>
            <w:r w:rsidRPr="00680F58">
              <w:rPr>
                <w:rFonts w:cs="Arial"/>
                <w:sz w:val="22"/>
                <w:szCs w:val="22"/>
                <w:lang w:eastAsia="fr-CA"/>
              </w:rPr>
              <w:t>9°  les débours, h</w:t>
            </w:r>
            <w:r w:rsidRPr="00680F58">
              <w:rPr>
                <w:sz w:val="22"/>
                <w:szCs w:val="22"/>
                <w:lang w:eastAsia="fr-CA"/>
              </w:rPr>
              <w:t>onoraires</w:t>
            </w:r>
            <w:r w:rsidRPr="00680F58">
              <w:rPr>
                <w:rFonts w:cs="Arial"/>
                <w:sz w:val="22"/>
                <w:szCs w:val="22"/>
                <w:lang w:eastAsia="fr-CA"/>
              </w:rPr>
              <w:t>, commissions, ristournes, frais ou autres avantages qui sont ou seront payés par un tiers relativement au mandat que lui a confié le client.</w:t>
            </w:r>
          </w:p>
        </w:tc>
      </w:tr>
    </w:tbl>
    <w:p w14:paraId="3C132027" w14:textId="2AB9DED2" w:rsidR="002E7C51" w:rsidRPr="001A6BBA" w:rsidRDefault="00B966FF" w:rsidP="002E7C51">
      <w:pPr>
        <w:pStyle w:val="Style1"/>
        <w:spacing w:before="120" w:after="120" w:line="280" w:lineRule="exact"/>
        <w:rPr>
          <w:lang w:val="en-CA"/>
        </w:rPr>
      </w:pPr>
      <w:r w:rsidRPr="001A6BBA">
        <w:rPr>
          <w:lang w:val="en-CA"/>
        </w:rPr>
        <w:t>This Court’s case law confirms that these factors are relevant to the analysis required by art.</w:t>
      </w:r>
      <w:r w:rsidR="00354272" w:rsidRPr="001A6BBA">
        <w:rPr>
          <w:lang w:val="en-CA"/>
        </w:rPr>
        <w:t xml:space="preserve"> </w:t>
      </w:r>
      <w:r w:rsidRPr="009F222C">
        <w:rPr>
          <w:lang w:val="en-CA"/>
        </w:rPr>
        <w:t>593 CCP.</w:t>
      </w:r>
      <w:r w:rsidRPr="001A6BBA">
        <w:rPr>
          <w:rStyle w:val="Appelnotedebasdep"/>
          <w:lang w:val="en-CA"/>
        </w:rPr>
        <w:footnoteReference w:id="38"/>
      </w:r>
      <w:r w:rsidR="00354272" w:rsidRPr="001A6BBA">
        <w:rPr>
          <w:lang w:val="en-CA"/>
        </w:rPr>
        <w:t xml:space="preserve"> </w:t>
      </w:r>
      <w:r w:rsidRPr="009F222C">
        <w:rPr>
          <w:lang w:val="en-CA"/>
        </w:rPr>
        <w:t xml:space="preserve">Clearly, the respective weight </w:t>
      </w:r>
      <w:r w:rsidR="005E16F6">
        <w:rPr>
          <w:lang w:val="en-CA"/>
        </w:rPr>
        <w:t xml:space="preserve">given them </w:t>
      </w:r>
      <w:r w:rsidRPr="009F222C">
        <w:rPr>
          <w:lang w:val="en-CA"/>
        </w:rPr>
        <w:t>may vary according to the circumstances.</w:t>
      </w:r>
      <w:r w:rsidR="00354272" w:rsidRPr="001A6BBA">
        <w:rPr>
          <w:lang w:val="en-CA"/>
        </w:rPr>
        <w:t xml:space="preserve"> </w:t>
      </w:r>
      <w:r w:rsidRPr="001A6BBA">
        <w:rPr>
          <w:lang w:val="en-CA"/>
        </w:rPr>
        <w:t>It is also understood that this list of factors is not exhaustive, as indicated by the use of the term “in particular” (</w:t>
      </w:r>
      <w:r w:rsidR="00C05F54">
        <w:rPr>
          <w:lang w:val="en-CA"/>
        </w:rPr>
        <w:t>“</w:t>
      </w:r>
      <w:r w:rsidRPr="004A70D3">
        <w:rPr>
          <w:i/>
          <w:iCs/>
          <w:lang w:val="en-CA"/>
        </w:rPr>
        <w:t>notamment</w:t>
      </w:r>
      <w:r w:rsidRPr="001A6BBA">
        <w:rPr>
          <w:lang w:val="en-CA"/>
        </w:rPr>
        <w:t>”) in s.</w:t>
      </w:r>
      <w:r w:rsidR="00354272" w:rsidRPr="001A6BBA">
        <w:rPr>
          <w:lang w:val="en-CA"/>
        </w:rPr>
        <w:t> </w:t>
      </w:r>
      <w:r w:rsidR="00574820" w:rsidRPr="009F222C">
        <w:rPr>
          <w:lang w:val="en-CA"/>
        </w:rPr>
        <w:t xml:space="preserve">102 of the </w:t>
      </w:r>
      <w:r w:rsidR="00574820" w:rsidRPr="009F222C">
        <w:rPr>
          <w:i/>
          <w:lang w:val="en-CA"/>
        </w:rPr>
        <w:t xml:space="preserve">Code of Professional </w:t>
      </w:r>
      <w:r w:rsidR="00C05F54" w:rsidRPr="009F222C">
        <w:rPr>
          <w:i/>
          <w:lang w:val="en-CA"/>
        </w:rPr>
        <w:t>Conduct</w:t>
      </w:r>
      <w:r w:rsidR="00574820" w:rsidRPr="009F222C">
        <w:rPr>
          <w:i/>
          <w:lang w:val="en-CA"/>
        </w:rPr>
        <w:t>.</w:t>
      </w:r>
    </w:p>
    <w:p w14:paraId="44C5541B" w14:textId="015B47BA" w:rsidR="002E7C51" w:rsidRPr="001A6BBA" w:rsidRDefault="00B966FF" w:rsidP="002E7C51">
      <w:pPr>
        <w:pStyle w:val="Style1"/>
        <w:spacing w:before="120" w:after="120" w:line="280" w:lineRule="exact"/>
        <w:rPr>
          <w:lang w:val="en-CA"/>
        </w:rPr>
      </w:pPr>
      <w:r w:rsidRPr="001A6BBA">
        <w:rPr>
          <w:lang w:val="en-CA"/>
        </w:rPr>
        <w:t xml:space="preserve">It is generally accepted that an assessment of the fairness and reasonableness of the </w:t>
      </w:r>
      <w:r w:rsidR="00637E3A">
        <w:rPr>
          <w:lang w:val="en-CA"/>
        </w:rPr>
        <w:t xml:space="preserve">professional </w:t>
      </w:r>
      <w:r w:rsidRPr="001A6BBA">
        <w:rPr>
          <w:lang w:val="en-CA"/>
        </w:rPr>
        <w:t>fee</w:t>
      </w:r>
      <w:r w:rsidR="00637E3A">
        <w:rPr>
          <w:lang w:val="en-CA"/>
        </w:rPr>
        <w:t>s</w:t>
      </w:r>
      <w:r w:rsidRPr="001A6BBA">
        <w:rPr>
          <w:lang w:val="en-CA"/>
        </w:rPr>
        <w:t xml:space="preserve"> requires the judge to also consider the risk </w:t>
      </w:r>
      <w:r w:rsidR="00DB02D5">
        <w:rPr>
          <w:lang w:val="en-CA"/>
        </w:rPr>
        <w:t>incurred</w:t>
      </w:r>
      <w:r w:rsidRPr="001A6BBA">
        <w:rPr>
          <w:lang w:val="en-CA"/>
        </w:rPr>
        <w:t xml:space="preserve"> by the lawyers.</w:t>
      </w:r>
      <w:r w:rsidR="00354272" w:rsidRPr="001A6BBA">
        <w:rPr>
          <w:lang w:val="en-CA"/>
        </w:rPr>
        <w:t xml:space="preserve"> </w:t>
      </w:r>
      <w:r w:rsidRPr="001A6BBA">
        <w:rPr>
          <w:lang w:val="en-CA"/>
        </w:rPr>
        <w:t>In the context of a</w:t>
      </w:r>
      <w:r w:rsidR="009C15FE">
        <w:rPr>
          <w:lang w:val="en-CA"/>
        </w:rPr>
        <w:t xml:space="preserve"> percentage</w:t>
      </w:r>
      <w:r w:rsidR="00637E3A">
        <w:rPr>
          <w:lang w:val="en-CA"/>
        </w:rPr>
        <w:t xml:space="preserve"> </w:t>
      </w:r>
      <w:r w:rsidRPr="001A6BBA">
        <w:rPr>
          <w:lang w:val="en-CA"/>
        </w:rPr>
        <w:t xml:space="preserve">fee agreement, the Superior Court </w:t>
      </w:r>
      <w:r w:rsidR="00C05F54">
        <w:rPr>
          <w:lang w:val="en-CA"/>
        </w:rPr>
        <w:t xml:space="preserve">has </w:t>
      </w:r>
      <w:r w:rsidRPr="001A6BBA">
        <w:rPr>
          <w:lang w:val="en-CA"/>
        </w:rPr>
        <w:t xml:space="preserve">recognized that this factor could even take precedence over the amount of time </w:t>
      </w:r>
      <w:r w:rsidR="009C15FE">
        <w:rPr>
          <w:lang w:val="en-CA"/>
        </w:rPr>
        <w:t>counsel</w:t>
      </w:r>
      <w:r w:rsidRPr="001A6BBA">
        <w:rPr>
          <w:lang w:val="en-CA"/>
        </w:rPr>
        <w:t xml:space="preserve"> devoted to a file.</w:t>
      </w:r>
      <w:r w:rsidRPr="001A6BBA">
        <w:rPr>
          <w:rStyle w:val="Appelnotedebasdep"/>
          <w:lang w:val="en-CA"/>
        </w:rPr>
        <w:footnoteReference w:id="39"/>
      </w:r>
      <w:r w:rsidR="00354272" w:rsidRPr="001A6BBA">
        <w:rPr>
          <w:lang w:val="en-CA"/>
        </w:rPr>
        <w:t xml:space="preserve"> </w:t>
      </w:r>
      <w:r w:rsidRPr="001A6BBA">
        <w:rPr>
          <w:lang w:val="en-CA"/>
        </w:rPr>
        <w:t xml:space="preserve">In </w:t>
      </w:r>
      <w:r w:rsidR="00637E3A">
        <w:rPr>
          <w:lang w:val="en-CA"/>
        </w:rPr>
        <w:t>every</w:t>
      </w:r>
      <w:r w:rsidR="00637E3A" w:rsidRPr="001A6BBA">
        <w:rPr>
          <w:lang w:val="en-CA"/>
        </w:rPr>
        <w:t xml:space="preserve"> </w:t>
      </w:r>
      <w:r w:rsidRPr="001A6BBA">
        <w:rPr>
          <w:lang w:val="en-CA"/>
        </w:rPr>
        <w:t xml:space="preserve">case, the risk must be assessed at the time </w:t>
      </w:r>
      <w:r w:rsidR="00C05F54">
        <w:rPr>
          <w:lang w:val="en-CA"/>
        </w:rPr>
        <w:t>counsel</w:t>
      </w:r>
      <w:r w:rsidRPr="001A6BBA">
        <w:rPr>
          <w:lang w:val="en-CA"/>
        </w:rPr>
        <w:t xml:space="preserve"> received the mandate from the representative, not at the time of the application for approval.</w:t>
      </w:r>
      <w:r w:rsidRPr="001A6BBA">
        <w:rPr>
          <w:rStyle w:val="Appelnotedebasdep"/>
          <w:lang w:val="en-CA"/>
        </w:rPr>
        <w:footnoteReference w:id="40"/>
      </w:r>
    </w:p>
    <w:p w14:paraId="613864C7" w14:textId="40749A8F" w:rsidR="002E7C51" w:rsidRPr="001A6BBA" w:rsidRDefault="00B966FF" w:rsidP="002E7C51">
      <w:pPr>
        <w:pStyle w:val="Style1"/>
        <w:spacing w:before="120" w:after="120" w:line="280" w:lineRule="exact"/>
        <w:rPr>
          <w:lang w:val="en-CA"/>
        </w:rPr>
      </w:pPr>
      <w:r w:rsidRPr="00F5469D">
        <w:rPr>
          <w:lang w:val="en-CA"/>
        </w:rPr>
        <w:t>The judge ruling</w:t>
      </w:r>
      <w:r w:rsidRPr="001A6BBA">
        <w:rPr>
          <w:lang w:val="en-CA"/>
        </w:rPr>
        <w:t xml:space="preserve"> on an </w:t>
      </w:r>
      <w:r w:rsidR="00C05F54" w:rsidRPr="001A6BBA">
        <w:rPr>
          <w:lang w:val="en-CA"/>
        </w:rPr>
        <w:t>application</w:t>
      </w:r>
      <w:r w:rsidRPr="001A6BBA">
        <w:rPr>
          <w:lang w:val="en-CA"/>
        </w:rPr>
        <w:t xml:space="preserve"> for the approval of professional fees must also consider the effect of the agreement on the image of the profession.</w:t>
      </w:r>
      <w:r w:rsidR="00354272" w:rsidRPr="001A6BBA">
        <w:rPr>
          <w:lang w:val="en-CA"/>
        </w:rPr>
        <w:t xml:space="preserve"> </w:t>
      </w:r>
      <w:r w:rsidRPr="009F222C">
        <w:rPr>
          <w:rFonts w:cs="Arial"/>
          <w:color w:val="000000"/>
          <w:shd w:val="clear" w:color="auto" w:fill="FFFFFF"/>
          <w:lang w:val="en-CA"/>
        </w:rPr>
        <w:t>He or she must ensure tha</w:t>
      </w:r>
      <w:r w:rsidR="00C05F54">
        <w:rPr>
          <w:rFonts w:cs="Arial"/>
          <w:color w:val="000000"/>
          <w:shd w:val="clear" w:color="auto" w:fill="FFFFFF"/>
          <w:lang w:val="en-CA"/>
        </w:rPr>
        <w:t>t</w:t>
      </w:r>
      <w:r w:rsidRPr="009F222C">
        <w:rPr>
          <w:rFonts w:cs="Arial"/>
          <w:color w:val="000000"/>
          <w:shd w:val="clear" w:color="auto" w:fill="FFFFFF"/>
          <w:lang w:val="en-CA"/>
        </w:rPr>
        <w:t xml:space="preserve"> the agreement is not</w:t>
      </w:r>
      <w:r w:rsidR="00C05F54">
        <w:rPr>
          <w:rFonts w:cs="Arial"/>
          <w:color w:val="000000"/>
          <w:shd w:val="clear" w:color="auto" w:fill="FFFFFF"/>
          <w:lang w:val="en-CA"/>
        </w:rPr>
        <w:t xml:space="preserve"> </w:t>
      </w:r>
      <w:r w:rsidRPr="009F222C">
        <w:rPr>
          <w:rFonts w:cs="Arial"/>
          <w:color w:val="000000"/>
          <w:shd w:val="clear" w:color="auto" w:fill="FFFFFF"/>
          <w:lang w:val="en-CA"/>
        </w:rPr>
        <w:t>“likely to give to the profession a profit-seeking or commercial character” (</w:t>
      </w:r>
      <w:r w:rsidRPr="009F222C">
        <w:rPr>
          <w:rFonts w:cs="Arial"/>
          <w:i/>
          <w:color w:val="000000"/>
          <w:shd w:val="clear" w:color="auto" w:fill="FFFFFF"/>
          <w:lang w:val="en-CA"/>
        </w:rPr>
        <w:t>Code of Professional Conduct</w:t>
      </w:r>
      <w:r w:rsidRPr="009F222C">
        <w:rPr>
          <w:rFonts w:cs="Arial"/>
          <w:color w:val="000000"/>
          <w:shd w:val="clear" w:color="auto" w:fill="FFFFFF"/>
          <w:lang w:val="en-CA"/>
        </w:rPr>
        <w:t>, s.</w:t>
      </w:r>
      <w:r w:rsidR="00354272" w:rsidRPr="001A6BBA">
        <w:rPr>
          <w:rFonts w:cs="Arial"/>
          <w:color w:val="000000"/>
          <w:shd w:val="clear" w:color="auto" w:fill="FFFFFF"/>
          <w:lang w:val="en-CA"/>
        </w:rPr>
        <w:t xml:space="preserve"> </w:t>
      </w:r>
      <w:r w:rsidRPr="001A6BBA">
        <w:rPr>
          <w:rFonts w:cs="Arial"/>
          <w:color w:val="000000"/>
          <w:shd w:val="clear" w:color="auto" w:fill="FFFFFF"/>
          <w:lang w:val="en-CA"/>
        </w:rPr>
        <w:t>7).</w:t>
      </w:r>
      <w:r w:rsidRPr="001A6BBA">
        <w:rPr>
          <w:rStyle w:val="Appelnotedebasdep"/>
          <w:rFonts w:cs="Arial"/>
          <w:color w:val="000000"/>
          <w:shd w:val="clear" w:color="auto" w:fill="FFFFFF"/>
          <w:lang w:val="en-CA"/>
        </w:rPr>
        <w:footnoteReference w:id="41"/>
      </w:r>
      <w:r w:rsidR="00354272" w:rsidRPr="001A6BBA">
        <w:rPr>
          <w:rFonts w:cs="Arial"/>
          <w:color w:val="000000"/>
          <w:shd w:val="clear" w:color="auto" w:fill="FFFFFF"/>
          <w:lang w:val="en-CA"/>
        </w:rPr>
        <w:t xml:space="preserve"> </w:t>
      </w:r>
      <w:r w:rsidRPr="009F222C">
        <w:rPr>
          <w:rFonts w:cs="Arial"/>
          <w:color w:val="000000"/>
          <w:shd w:val="clear" w:color="auto" w:fill="FFFFFF"/>
          <w:lang w:val="en-CA"/>
        </w:rPr>
        <w:t>The objectives of the class action must also be taken into account.</w:t>
      </w:r>
      <w:r w:rsidR="00354272" w:rsidRPr="001A6BBA">
        <w:rPr>
          <w:rFonts w:cs="Arial"/>
          <w:color w:val="000000"/>
          <w:shd w:val="clear" w:color="auto" w:fill="FFFFFF"/>
          <w:lang w:val="en-CA"/>
        </w:rPr>
        <w:t xml:space="preserve"> </w:t>
      </w:r>
      <w:r w:rsidRPr="001A6BBA">
        <w:rPr>
          <w:rFonts w:cs="Arial"/>
          <w:color w:val="000000"/>
          <w:shd w:val="clear" w:color="auto" w:fill="FFFFFF"/>
          <w:lang w:val="en-CA"/>
        </w:rPr>
        <w:t xml:space="preserve">As Professor Pierre-Claude Lafond noted, </w:t>
      </w:r>
      <w:r w:rsidR="00C05F54">
        <w:rPr>
          <w:lang w:val="en-CA"/>
        </w:rPr>
        <w:lastRenderedPageBreak/>
        <w:t>[</w:t>
      </w:r>
      <w:r w:rsidR="00C05F54" w:rsidRPr="00A36619">
        <w:rPr>
          <w:smallCaps/>
          <w:lang w:val="en-CA"/>
        </w:rPr>
        <w:t>translation</w:t>
      </w:r>
      <w:r w:rsidR="00C05F54">
        <w:rPr>
          <w:smallCaps/>
          <w:lang w:val="en-CA"/>
        </w:rPr>
        <w:t>]</w:t>
      </w:r>
      <w:r w:rsidR="00C05F54" w:rsidRPr="001A6BBA">
        <w:rPr>
          <w:lang w:val="en-CA"/>
        </w:rPr>
        <w:t xml:space="preserve"> </w:t>
      </w:r>
      <w:r w:rsidR="00F5469D">
        <w:rPr>
          <w:lang w:val="en-CA"/>
        </w:rPr>
        <w:t>“</w:t>
      </w:r>
      <w:r w:rsidRPr="001A6BBA">
        <w:rPr>
          <w:rFonts w:cs="Arial"/>
          <w:color w:val="000000"/>
          <w:shd w:val="clear" w:color="auto" w:fill="FFFFFF"/>
          <w:lang w:val="en-CA"/>
        </w:rPr>
        <w:t>[t]he contribution to access to justice and the deterrence of reprehensible behavio</w:t>
      </w:r>
      <w:r w:rsidR="00F5469D">
        <w:rPr>
          <w:rFonts w:cs="Arial"/>
          <w:color w:val="000000"/>
          <w:shd w:val="clear" w:color="auto" w:fill="FFFFFF"/>
          <w:lang w:val="en-CA"/>
        </w:rPr>
        <w:t>u</w:t>
      </w:r>
      <w:r w:rsidRPr="001A6BBA">
        <w:rPr>
          <w:rFonts w:cs="Arial"/>
          <w:color w:val="000000"/>
          <w:shd w:val="clear" w:color="auto" w:fill="FFFFFF"/>
          <w:lang w:val="en-CA"/>
        </w:rPr>
        <w:t>r can justify substantial fees insofar as this type of action generates benefits for citizens that would otherwise be unattainable</w:t>
      </w:r>
      <w:r w:rsidR="00F5469D">
        <w:rPr>
          <w:rFonts w:cs="Arial"/>
          <w:color w:val="000000"/>
          <w:shd w:val="clear" w:color="auto" w:fill="FFFFFF"/>
          <w:lang w:val="en-CA"/>
        </w:rPr>
        <w:t>”</w:t>
      </w:r>
      <w:r w:rsidRPr="001A6BBA">
        <w:rPr>
          <w:rFonts w:cs="Arial"/>
          <w:color w:val="000000"/>
          <w:shd w:val="clear" w:color="auto" w:fill="FFFFFF"/>
          <w:lang w:val="en-CA"/>
        </w:rPr>
        <w:t>.</w:t>
      </w:r>
      <w:bookmarkStart w:id="28" w:name="_Ref128385038"/>
      <w:r w:rsidRPr="001A6BBA">
        <w:rPr>
          <w:rStyle w:val="Appelnotedebasdep"/>
          <w:rFonts w:cs="Arial"/>
          <w:color w:val="000000"/>
          <w:shd w:val="clear" w:color="auto" w:fill="FFFFFF"/>
          <w:lang w:val="en-CA"/>
        </w:rPr>
        <w:footnoteReference w:id="42"/>
      </w:r>
      <w:bookmarkEnd w:id="28"/>
      <w:r w:rsidR="00354272" w:rsidRPr="001A6BBA">
        <w:rPr>
          <w:rFonts w:cs="Arial"/>
          <w:color w:val="000000"/>
          <w:shd w:val="clear" w:color="auto" w:fill="FFFFFF"/>
          <w:lang w:val="en-CA"/>
        </w:rPr>
        <w:t xml:space="preserve"> </w:t>
      </w:r>
      <w:r w:rsidRPr="009F222C">
        <w:rPr>
          <w:rFonts w:cs="Arial"/>
          <w:color w:val="000000"/>
          <w:shd w:val="clear" w:color="auto" w:fill="FFFFFF"/>
          <w:lang w:val="en-CA"/>
        </w:rPr>
        <w:t>That said, the judge must:</w:t>
      </w:r>
    </w:p>
    <w:p w14:paraId="4A42A19A" w14:textId="77777777" w:rsidR="00B966FF" w:rsidRPr="009F222C" w:rsidRDefault="00B966FF" w:rsidP="00D14C07">
      <w:pPr>
        <w:pStyle w:val="Style1"/>
        <w:numPr>
          <w:ilvl w:val="0"/>
          <w:numId w:val="0"/>
        </w:numPr>
        <w:spacing w:before="120" w:after="0" w:line="240" w:lineRule="auto"/>
        <w:ind w:left="720" w:right="720"/>
        <w:rPr>
          <w:rFonts w:cs="Arial"/>
          <w:color w:val="000000"/>
          <w:sz w:val="22"/>
          <w:szCs w:val="22"/>
          <w:shd w:val="clear" w:color="auto" w:fill="FFFFFF"/>
          <w:lang w:val="en-CA"/>
        </w:rPr>
      </w:pPr>
      <w:r w:rsidRPr="009F222C">
        <w:rPr>
          <w:rFonts w:cs="Arial"/>
          <w:color w:val="000000"/>
          <w:sz w:val="22"/>
          <w:szCs w:val="22"/>
          <w:shd w:val="clear" w:color="auto" w:fill="FFFFFF"/>
          <w:lang w:val="en-CA"/>
        </w:rPr>
        <w:t>[</w:t>
      </w:r>
      <w:r w:rsidRPr="009F222C">
        <w:rPr>
          <w:rFonts w:cs="Arial"/>
          <w:smallCaps/>
          <w:color w:val="000000"/>
          <w:sz w:val="22"/>
          <w:szCs w:val="22"/>
          <w:shd w:val="clear" w:color="auto" w:fill="FFFFFF"/>
          <w:lang w:val="en-CA"/>
        </w:rPr>
        <w:t>translation</w:t>
      </w:r>
      <w:r w:rsidRPr="009F222C">
        <w:rPr>
          <w:rFonts w:cs="Arial"/>
          <w:color w:val="000000"/>
          <w:sz w:val="22"/>
          <w:szCs w:val="22"/>
          <w:shd w:val="clear" w:color="auto" w:fill="FFFFFF"/>
          <w:lang w:val="en-CA"/>
        </w:rPr>
        <w:t>]</w:t>
      </w:r>
    </w:p>
    <w:p w14:paraId="4B7EFF62" w14:textId="55CD3DC0" w:rsidR="002E7C51" w:rsidRPr="001A6BBA" w:rsidRDefault="00F5469D" w:rsidP="00D14C07">
      <w:pPr>
        <w:pStyle w:val="Style1"/>
        <w:numPr>
          <w:ilvl w:val="0"/>
          <w:numId w:val="0"/>
        </w:numPr>
        <w:spacing w:before="120" w:after="0" w:line="240" w:lineRule="auto"/>
        <w:ind w:left="720" w:right="720"/>
        <w:rPr>
          <w:rFonts w:cs="Arial"/>
          <w:color w:val="000000"/>
          <w:sz w:val="22"/>
          <w:szCs w:val="22"/>
          <w:shd w:val="clear" w:color="auto" w:fill="FFFFFF"/>
          <w:lang w:val="en-CA"/>
        </w:rPr>
      </w:pPr>
      <w:r>
        <w:rPr>
          <w:rFonts w:cs="Arial"/>
          <w:color w:val="000000"/>
          <w:sz w:val="22"/>
          <w:szCs w:val="22"/>
          <w:shd w:val="clear" w:color="auto" w:fill="FFFFFF"/>
          <w:lang w:val="en-CA"/>
        </w:rPr>
        <w:t>… “</w:t>
      </w:r>
      <w:r w:rsidR="00B966FF" w:rsidRPr="009F222C">
        <w:rPr>
          <w:rFonts w:cs="Arial"/>
          <w:color w:val="000000"/>
          <w:sz w:val="22"/>
          <w:szCs w:val="22"/>
          <w:shd w:val="clear" w:color="auto" w:fill="FFFFFF"/>
          <w:lang w:val="en-CA"/>
        </w:rPr>
        <w:t>take steps to preserve the integrity and credibility of class action</w:t>
      </w:r>
      <w:r w:rsidR="005E16F6">
        <w:rPr>
          <w:rFonts w:cs="Arial"/>
          <w:color w:val="000000"/>
          <w:sz w:val="22"/>
          <w:szCs w:val="22"/>
          <w:shd w:val="clear" w:color="auto" w:fill="FFFFFF"/>
          <w:lang w:val="en-CA"/>
        </w:rPr>
        <w:t>s</w:t>
      </w:r>
      <w:r w:rsidR="00B966FF" w:rsidRPr="009F222C">
        <w:rPr>
          <w:rFonts w:cs="Arial"/>
          <w:color w:val="000000"/>
          <w:sz w:val="22"/>
          <w:szCs w:val="22"/>
          <w:shd w:val="clear" w:color="auto" w:fill="FFFFFF"/>
          <w:lang w:val="en-CA"/>
        </w:rPr>
        <w:t>, in the eyes of the class members and in the eyes of public observers”</w:t>
      </w:r>
      <w:r w:rsidR="00D26456" w:rsidRPr="009F222C">
        <w:rPr>
          <w:rFonts w:cs="Arial"/>
          <w:color w:val="000000"/>
          <w:sz w:val="22"/>
          <w:szCs w:val="22"/>
          <w:shd w:val="clear" w:color="auto" w:fill="FFFFFF"/>
          <w:lang w:val="en-CA"/>
        </w:rPr>
        <w:t>.</w:t>
      </w:r>
      <w:r w:rsidR="0086574C">
        <w:rPr>
          <w:rFonts w:cs="Arial"/>
          <w:color w:val="000000"/>
          <w:sz w:val="22"/>
          <w:szCs w:val="22"/>
          <w:shd w:val="clear" w:color="auto" w:fill="FFFFFF"/>
          <w:lang w:val="en-CA"/>
        </w:rPr>
        <w:t xml:space="preserve"> …</w:t>
      </w:r>
      <w:r w:rsidR="00B966FF" w:rsidRPr="009F222C">
        <w:rPr>
          <w:rFonts w:cs="Arial"/>
          <w:color w:val="000000"/>
          <w:sz w:val="22"/>
          <w:szCs w:val="22"/>
          <w:shd w:val="clear" w:color="auto" w:fill="FFFFFF"/>
          <w:lang w:val="en-CA"/>
        </w:rPr>
        <w:t>Class actions must not become [</w:t>
      </w:r>
      <w:r w:rsidR="00B966FF" w:rsidRPr="009F222C">
        <w:rPr>
          <w:rFonts w:cs="Arial"/>
          <w:smallCaps/>
          <w:color w:val="000000"/>
          <w:sz w:val="22"/>
          <w:szCs w:val="22"/>
          <w:shd w:val="clear" w:color="auto" w:fill="FFFFFF"/>
          <w:lang w:val="en-CA"/>
        </w:rPr>
        <w:t>translation</w:t>
      </w:r>
      <w:r w:rsidR="00B966FF" w:rsidRPr="009F222C">
        <w:rPr>
          <w:rFonts w:cs="Arial"/>
          <w:color w:val="000000"/>
          <w:sz w:val="22"/>
          <w:szCs w:val="22"/>
          <w:shd w:val="clear" w:color="auto" w:fill="FFFFFF"/>
          <w:lang w:val="en-CA"/>
        </w:rPr>
        <w:t>] “mere</w:t>
      </w:r>
      <w:r w:rsidR="00637E3A">
        <w:rPr>
          <w:rFonts w:cs="Arial"/>
          <w:color w:val="000000"/>
          <w:sz w:val="22"/>
          <w:szCs w:val="22"/>
          <w:shd w:val="clear" w:color="auto" w:fill="FFFFFF"/>
          <w:lang w:val="en-CA"/>
        </w:rPr>
        <w:t>ly a</w:t>
      </w:r>
      <w:r w:rsidR="00B966FF" w:rsidRPr="009F222C">
        <w:rPr>
          <w:rFonts w:cs="Arial"/>
          <w:color w:val="000000"/>
          <w:sz w:val="22"/>
          <w:szCs w:val="22"/>
          <w:shd w:val="clear" w:color="auto" w:fill="FFFFFF"/>
          <w:lang w:val="en-CA"/>
        </w:rPr>
        <w:t xml:space="preserve"> source of enrichment for </w:t>
      </w:r>
      <w:r w:rsidR="00637E3A">
        <w:rPr>
          <w:rFonts w:cs="Arial"/>
          <w:color w:val="000000"/>
          <w:sz w:val="22"/>
          <w:szCs w:val="22"/>
          <w:shd w:val="clear" w:color="auto" w:fill="FFFFFF"/>
          <w:lang w:val="en-CA"/>
        </w:rPr>
        <w:t>class</w:t>
      </w:r>
      <w:r w:rsidR="00637E3A" w:rsidRPr="009F222C">
        <w:rPr>
          <w:rFonts w:cs="Arial"/>
          <w:color w:val="000000"/>
          <w:sz w:val="22"/>
          <w:szCs w:val="22"/>
          <w:shd w:val="clear" w:color="auto" w:fill="FFFFFF"/>
          <w:lang w:val="en-CA"/>
        </w:rPr>
        <w:t xml:space="preserve"> </w:t>
      </w:r>
      <w:r w:rsidR="00B966FF" w:rsidRPr="009F222C">
        <w:rPr>
          <w:rFonts w:cs="Arial"/>
          <w:color w:val="000000"/>
          <w:sz w:val="22"/>
          <w:szCs w:val="22"/>
          <w:shd w:val="clear" w:color="auto" w:fill="FFFFFF"/>
          <w:lang w:val="en-CA"/>
        </w:rPr>
        <w:t>counsel”.</w:t>
      </w:r>
      <w:bookmarkStart w:id="29" w:name="_Ref127801040"/>
      <w:bookmarkStart w:id="30" w:name="_Ref128406498"/>
      <w:r w:rsidR="00D26456" w:rsidRPr="001A6BBA">
        <w:rPr>
          <w:rStyle w:val="Appelnotedebasdep"/>
          <w:rFonts w:cs="Arial"/>
          <w:color w:val="000000"/>
          <w:sz w:val="22"/>
          <w:szCs w:val="22"/>
          <w:shd w:val="clear" w:color="auto" w:fill="FFFFFF"/>
          <w:lang w:val="en-CA"/>
        </w:rPr>
        <w:footnoteReference w:id="43"/>
      </w:r>
      <w:bookmarkEnd w:id="29"/>
      <w:bookmarkEnd w:id="30"/>
      <w:r w:rsidR="00B966FF" w:rsidRPr="009F222C">
        <w:rPr>
          <w:rFonts w:cs="Arial"/>
          <w:color w:val="000000"/>
          <w:sz w:val="22"/>
          <w:szCs w:val="22"/>
          <w:shd w:val="clear" w:color="auto" w:fill="FFFFFF"/>
          <w:lang w:val="en-CA"/>
        </w:rPr>
        <w:t xml:space="preserve"> </w:t>
      </w:r>
    </w:p>
    <w:p w14:paraId="62182B51" w14:textId="7A9AC64A" w:rsidR="002E7C51" w:rsidRPr="009F222C" w:rsidRDefault="00354272" w:rsidP="002E7C51">
      <w:pPr>
        <w:pStyle w:val="Style1"/>
        <w:numPr>
          <w:ilvl w:val="0"/>
          <w:numId w:val="0"/>
        </w:numPr>
        <w:spacing w:before="120" w:after="120" w:line="280" w:lineRule="exact"/>
        <w:ind w:left="720" w:right="720"/>
        <w:jc w:val="right"/>
        <w:rPr>
          <w:rFonts w:cs="Arial"/>
          <w:color w:val="000000"/>
          <w:sz w:val="22"/>
          <w:szCs w:val="18"/>
          <w:shd w:val="clear" w:color="auto" w:fill="FFFFFF"/>
          <w:lang w:val="en-CA"/>
        </w:rPr>
      </w:pPr>
      <w:r w:rsidRPr="009F222C">
        <w:rPr>
          <w:rFonts w:cs="Arial"/>
          <w:color w:val="000000"/>
          <w:sz w:val="22"/>
          <w:szCs w:val="18"/>
          <w:shd w:val="clear" w:color="auto" w:fill="FFFFFF"/>
          <w:lang w:val="en-CA"/>
        </w:rPr>
        <w:t>[</w:t>
      </w:r>
      <w:r w:rsidR="00D26456" w:rsidRPr="009F222C">
        <w:rPr>
          <w:rFonts w:cs="Arial"/>
          <w:color w:val="000000"/>
          <w:sz w:val="22"/>
          <w:szCs w:val="18"/>
          <w:shd w:val="clear" w:color="auto" w:fill="FFFFFF"/>
          <w:lang w:val="en-CA"/>
        </w:rPr>
        <w:t>References</w:t>
      </w:r>
      <w:r w:rsidRPr="009F222C">
        <w:rPr>
          <w:rFonts w:cs="Arial"/>
          <w:color w:val="000000"/>
          <w:sz w:val="22"/>
          <w:szCs w:val="18"/>
          <w:shd w:val="clear" w:color="auto" w:fill="FFFFFF"/>
          <w:lang w:val="en-CA"/>
        </w:rPr>
        <w:t xml:space="preserve"> omitted.]</w:t>
      </w:r>
    </w:p>
    <w:p w14:paraId="54429EA9" w14:textId="5143738A" w:rsidR="002E7C51" w:rsidRPr="001A6BBA" w:rsidRDefault="00D26456" w:rsidP="00D14C07">
      <w:pPr>
        <w:pStyle w:val="Paragraphe"/>
        <w:spacing w:before="300" w:line="280" w:lineRule="exact"/>
        <w:rPr>
          <w:lang w:val="en-CA"/>
        </w:rPr>
      </w:pPr>
      <w:r w:rsidRPr="001A6BBA">
        <w:rPr>
          <w:lang w:val="en-CA"/>
        </w:rPr>
        <w:t>I would add, however, that judges should resist the temptation to always seek to reduce the amount of professional fees provided for in fee agreements, at the risk of provoking a practice among lawyers of asking for more, knowing that the court will certainly reduce the agreed amount.</w:t>
      </w:r>
    </w:p>
    <w:p w14:paraId="1ACDAA3D" w14:textId="72CFECB0" w:rsidR="002E7C51" w:rsidRPr="001A6BBA" w:rsidRDefault="00D26456" w:rsidP="002E7C51">
      <w:pPr>
        <w:pStyle w:val="Paragraphe"/>
        <w:spacing w:line="280" w:lineRule="exact"/>
        <w:rPr>
          <w:lang w:val="en-CA"/>
        </w:rPr>
      </w:pPr>
      <w:r w:rsidRPr="009F222C">
        <w:rPr>
          <w:lang w:val="en-CA"/>
        </w:rPr>
        <w:t>Percentage agreements are very common in class actions.</w:t>
      </w:r>
      <w:r w:rsidR="005E16F6" w:rsidRPr="001A6BBA">
        <w:rPr>
          <w:lang w:val="en-CA"/>
        </w:rPr>
        <w:t xml:space="preserve"> </w:t>
      </w:r>
      <w:r w:rsidRPr="001A6BBA">
        <w:rPr>
          <w:lang w:val="en-CA"/>
        </w:rPr>
        <w:t xml:space="preserve">This type of agreement has considerable advantages, namely in that it promotes </w:t>
      </w:r>
      <w:r w:rsidR="00A52D16">
        <w:rPr>
          <w:lang w:val="en-CA"/>
        </w:rPr>
        <w:t>[</w:t>
      </w:r>
      <w:r w:rsidRPr="001A6BBA">
        <w:rPr>
          <w:smallCaps/>
          <w:lang w:val="en-CA"/>
        </w:rPr>
        <w:t>translation</w:t>
      </w:r>
      <w:r w:rsidR="00A52D16">
        <w:rPr>
          <w:smallCaps/>
          <w:lang w:val="en-CA"/>
        </w:rPr>
        <w:t>]</w:t>
      </w:r>
      <w:r w:rsidRPr="001A6BBA">
        <w:rPr>
          <w:lang w:val="en-CA"/>
        </w:rPr>
        <w:t xml:space="preserve"> “access to justice for citizens who would not otherwise be able to afford it”.</w:t>
      </w:r>
      <w:r w:rsidR="005E16F6" w:rsidRPr="001A6BBA">
        <w:rPr>
          <w:rStyle w:val="Appelnotedebasdep"/>
          <w:lang w:val="en-CA"/>
        </w:rPr>
        <w:footnoteReference w:id="44"/>
      </w:r>
      <w:r w:rsidR="005E16F6">
        <w:rPr>
          <w:lang w:val="en-CA"/>
        </w:rPr>
        <w:t xml:space="preserve"> </w:t>
      </w:r>
      <w:r w:rsidRPr="009F222C">
        <w:rPr>
          <w:lang w:val="en-CA"/>
        </w:rPr>
        <w:t xml:space="preserve">There </w:t>
      </w:r>
      <w:r w:rsidR="00A65D71">
        <w:rPr>
          <w:lang w:val="en-CA"/>
        </w:rPr>
        <w:t>is</w:t>
      </w:r>
      <w:r w:rsidRPr="009F222C">
        <w:rPr>
          <w:lang w:val="en-CA"/>
        </w:rPr>
        <w:t xml:space="preserve"> no question </w:t>
      </w:r>
      <w:r w:rsidR="00A65D71">
        <w:rPr>
          <w:lang w:val="en-CA"/>
        </w:rPr>
        <w:t xml:space="preserve">here </w:t>
      </w:r>
      <w:r w:rsidRPr="009F222C">
        <w:rPr>
          <w:lang w:val="en-CA"/>
        </w:rPr>
        <w:t>of reviewing the validity and usefulness of this method of remuneration.</w:t>
      </w:r>
      <w:r w:rsidR="00354272" w:rsidRPr="001A6BBA">
        <w:rPr>
          <w:lang w:val="en-CA"/>
        </w:rPr>
        <w:t xml:space="preserve"> </w:t>
      </w:r>
      <w:r w:rsidRPr="001A6BBA">
        <w:rPr>
          <w:lang w:val="en-CA"/>
        </w:rPr>
        <w:t>Lawyers must be encouraged to accept class action mandates with the knowledge that any risk they accept will be compensated.</w:t>
      </w:r>
      <w:r w:rsidR="00354272" w:rsidRPr="001A6BBA">
        <w:rPr>
          <w:lang w:val="en-CA"/>
        </w:rPr>
        <w:t xml:space="preserve"> </w:t>
      </w:r>
      <w:r w:rsidRPr="001A6BBA">
        <w:rPr>
          <w:lang w:val="en-CA"/>
        </w:rPr>
        <w:t>In this re</w:t>
      </w:r>
      <w:r w:rsidR="00A65D71">
        <w:rPr>
          <w:lang w:val="en-CA"/>
        </w:rPr>
        <w:t>gard</w:t>
      </w:r>
      <w:r w:rsidRPr="001A6BBA">
        <w:rPr>
          <w:lang w:val="en-CA"/>
        </w:rPr>
        <w:t>, lawyers are entitled to expect that their fee agreements will be respected.</w:t>
      </w:r>
    </w:p>
    <w:p w14:paraId="70829557" w14:textId="4AD7F165" w:rsidR="00D14C07" w:rsidRPr="005E16F6" w:rsidRDefault="00680F58" w:rsidP="005E16F6">
      <w:pPr>
        <w:pStyle w:val="Style1"/>
        <w:spacing w:before="120" w:after="120" w:line="240" w:lineRule="auto"/>
        <w:rPr>
          <w:szCs w:val="24"/>
          <w:lang w:val="en-CA"/>
        </w:rPr>
      </w:pPr>
      <w:r>
        <w:rPr>
          <w:szCs w:val="24"/>
          <w:lang w:val="en-CA"/>
        </w:rPr>
        <w:t>The a</w:t>
      </w:r>
      <w:r w:rsidR="00D26456" w:rsidRPr="005E16F6">
        <w:rPr>
          <w:szCs w:val="24"/>
          <w:lang w:val="en-CA"/>
        </w:rPr>
        <w:t xml:space="preserve">ppellant and the </w:t>
      </w:r>
      <w:r w:rsidR="00D26456" w:rsidRPr="005E16F6">
        <w:rPr>
          <w:i/>
          <w:szCs w:val="24"/>
          <w:lang w:val="en-CA"/>
        </w:rPr>
        <w:t>amicus curiae</w:t>
      </w:r>
      <w:r w:rsidR="00D26456" w:rsidRPr="005E16F6">
        <w:rPr>
          <w:szCs w:val="24"/>
          <w:lang w:val="en-CA"/>
        </w:rPr>
        <w:t xml:space="preserve"> are also correct in asserting that the </w:t>
      </w:r>
      <w:r>
        <w:rPr>
          <w:szCs w:val="24"/>
          <w:lang w:val="en-CA"/>
        </w:rPr>
        <w:t>“</w:t>
      </w:r>
      <w:r w:rsidR="00D26456" w:rsidRPr="005E16F6">
        <w:rPr>
          <w:szCs w:val="24"/>
          <w:lang w:val="en-CA"/>
        </w:rPr>
        <w:t>range</w:t>
      </w:r>
      <w:r>
        <w:rPr>
          <w:szCs w:val="24"/>
          <w:lang w:val="en-CA"/>
        </w:rPr>
        <w:t>”</w:t>
      </w:r>
      <w:r w:rsidR="00D26456" w:rsidRPr="005E16F6">
        <w:rPr>
          <w:szCs w:val="24"/>
          <w:lang w:val="en-CA"/>
        </w:rPr>
        <w:t xml:space="preserve"> of percentages deemed reasonable by the courts is normally between 15% and 33% (or even 20% to 33.33%) of the settlement fund.</w:t>
      </w:r>
      <w:r w:rsidR="00A52D16" w:rsidRPr="001A6BBA">
        <w:rPr>
          <w:rStyle w:val="Appelnotedebasdep"/>
          <w:szCs w:val="24"/>
          <w:lang w:val="en-CA"/>
        </w:rPr>
        <w:footnoteReference w:id="45"/>
      </w:r>
      <w:r w:rsidR="00354272" w:rsidRPr="005E16F6">
        <w:rPr>
          <w:szCs w:val="24"/>
          <w:lang w:val="en-CA"/>
        </w:rPr>
        <w:t xml:space="preserve"> </w:t>
      </w:r>
      <w:r w:rsidR="00D26456" w:rsidRPr="005E16F6">
        <w:rPr>
          <w:szCs w:val="24"/>
          <w:lang w:val="en-CA"/>
        </w:rPr>
        <w:t>However, that is not automatic.</w:t>
      </w:r>
      <w:r w:rsidR="00354272" w:rsidRPr="005E16F6">
        <w:rPr>
          <w:szCs w:val="24"/>
          <w:lang w:val="en-CA"/>
        </w:rPr>
        <w:t xml:space="preserve"> </w:t>
      </w:r>
      <w:r w:rsidR="00D26456" w:rsidRPr="005E16F6">
        <w:rPr>
          <w:rFonts w:cs="Arial"/>
          <w:szCs w:val="24"/>
          <w:lang w:val="en-CA" w:eastAsia="fr-CA"/>
        </w:rPr>
        <w:t xml:space="preserve">As the Court noted in </w:t>
      </w:r>
      <w:r w:rsidR="00D26456" w:rsidRPr="005E16F6">
        <w:rPr>
          <w:rFonts w:cs="Arial"/>
          <w:i/>
          <w:szCs w:val="24"/>
          <w:lang w:val="en-CA" w:eastAsia="fr-CA"/>
        </w:rPr>
        <w:t>Skarstedt</w:t>
      </w:r>
      <w:r w:rsidR="00D26456" w:rsidRPr="005E16F6">
        <w:rPr>
          <w:rFonts w:cs="Arial"/>
          <w:szCs w:val="24"/>
          <w:lang w:val="en-CA" w:eastAsia="fr-CA"/>
        </w:rPr>
        <w:t xml:space="preserve">, </w:t>
      </w:r>
      <w:r w:rsidR="00220C55" w:rsidRPr="005E16F6">
        <w:rPr>
          <w:rFonts w:cs="Arial"/>
          <w:szCs w:val="24"/>
          <w:lang w:val="en-CA" w:eastAsia="fr-CA"/>
        </w:rPr>
        <w:t>[</w:t>
      </w:r>
      <w:r w:rsidR="00220C55" w:rsidRPr="005E16F6">
        <w:rPr>
          <w:rFonts w:cs="Arial"/>
          <w:smallCaps/>
          <w:szCs w:val="24"/>
          <w:lang w:val="en-CA" w:eastAsia="fr-CA"/>
        </w:rPr>
        <w:t>translation</w:t>
      </w:r>
      <w:r w:rsidR="00220C55" w:rsidRPr="005E16F6">
        <w:rPr>
          <w:rFonts w:cs="Arial"/>
          <w:szCs w:val="24"/>
          <w:lang w:val="en-CA" w:eastAsia="fr-CA"/>
        </w:rPr>
        <w:t xml:space="preserve">] </w:t>
      </w:r>
      <w:r w:rsidR="00D26456" w:rsidRPr="005E16F6">
        <w:rPr>
          <w:rFonts w:cs="Arial"/>
          <w:szCs w:val="24"/>
          <w:lang w:val="en-CA" w:eastAsia="fr-CA"/>
        </w:rPr>
        <w:t>“a judge must determine the reasonableness of the fees in each claim in order to approve them”.</w:t>
      </w:r>
      <w:r w:rsidR="00D26456" w:rsidRPr="001A6BBA">
        <w:rPr>
          <w:rStyle w:val="Appelnotedebasdep"/>
          <w:rFonts w:cs="Arial"/>
          <w:szCs w:val="24"/>
          <w:lang w:val="en-CA" w:eastAsia="fr-CA"/>
        </w:rPr>
        <w:footnoteReference w:id="46"/>
      </w:r>
      <w:r w:rsidR="00354272" w:rsidRPr="005E16F6">
        <w:rPr>
          <w:rFonts w:cs="Arial"/>
          <w:szCs w:val="24"/>
          <w:lang w:val="en-CA" w:eastAsia="fr-CA"/>
        </w:rPr>
        <w:t xml:space="preserve"> </w:t>
      </w:r>
      <w:r w:rsidR="00D26456" w:rsidRPr="005E16F6">
        <w:rPr>
          <w:rFonts w:cs="Arial"/>
          <w:szCs w:val="24"/>
          <w:lang w:val="en-CA" w:eastAsia="fr-CA"/>
        </w:rPr>
        <w:t xml:space="preserve">Thus, judges have decreased the percentage set by the parties when it appeared exaggerated in relation to the work performed by the lawyers, the relatively modest settlement </w:t>
      </w:r>
      <w:r w:rsidR="00A52D16" w:rsidRPr="005E16F6">
        <w:rPr>
          <w:rFonts w:cs="Arial"/>
          <w:szCs w:val="24"/>
          <w:lang w:val="en-CA" w:eastAsia="fr-CA"/>
        </w:rPr>
        <w:t xml:space="preserve">amount </w:t>
      </w:r>
      <w:r w:rsidR="00D26456" w:rsidRPr="005E16F6">
        <w:rPr>
          <w:rFonts w:cs="Arial"/>
          <w:szCs w:val="24"/>
          <w:lang w:val="en-CA" w:eastAsia="fr-CA"/>
        </w:rPr>
        <w:t>of the dispute</w:t>
      </w:r>
      <w:r w:rsidR="009B404A" w:rsidRPr="005E16F6">
        <w:rPr>
          <w:rFonts w:cs="Arial"/>
          <w:szCs w:val="24"/>
          <w:lang w:val="en-CA" w:eastAsia="fr-CA"/>
        </w:rPr>
        <w:t>,</w:t>
      </w:r>
      <w:r w:rsidR="00D26456" w:rsidRPr="005E16F6">
        <w:rPr>
          <w:rFonts w:cs="Arial"/>
          <w:szCs w:val="24"/>
          <w:lang w:val="en-CA" w:eastAsia="fr-CA"/>
        </w:rPr>
        <w:t xml:space="preserve"> and the professional fees that would have been </w:t>
      </w:r>
      <w:r w:rsidR="00A52D16" w:rsidRPr="005E16F6">
        <w:rPr>
          <w:rFonts w:cs="Arial"/>
          <w:szCs w:val="24"/>
          <w:lang w:val="en-CA" w:eastAsia="fr-CA"/>
        </w:rPr>
        <w:t>charged</w:t>
      </w:r>
      <w:r w:rsidR="00D26456" w:rsidRPr="005E16F6">
        <w:rPr>
          <w:rFonts w:cs="Arial"/>
          <w:szCs w:val="24"/>
          <w:lang w:val="en-CA" w:eastAsia="fr-CA"/>
        </w:rPr>
        <w:t xml:space="preserve"> under the hourly rate model.</w:t>
      </w:r>
      <w:r w:rsidR="00D26456" w:rsidRPr="001A6BBA">
        <w:rPr>
          <w:rStyle w:val="Appelnotedebasdep"/>
          <w:rFonts w:cs="Arial"/>
          <w:szCs w:val="24"/>
          <w:lang w:val="en-CA" w:eastAsia="fr-CA"/>
        </w:rPr>
        <w:footnoteReference w:id="47"/>
      </w:r>
      <w:r w:rsidR="00354272" w:rsidRPr="005E16F6">
        <w:rPr>
          <w:rFonts w:cs="Arial"/>
          <w:szCs w:val="24"/>
          <w:lang w:val="en-CA" w:eastAsia="fr-CA"/>
        </w:rPr>
        <w:t xml:space="preserve"> </w:t>
      </w:r>
      <w:r w:rsidR="00D26456" w:rsidRPr="005E16F6">
        <w:rPr>
          <w:szCs w:val="24"/>
          <w:lang w:val="en-CA"/>
        </w:rPr>
        <w:t xml:space="preserve">The possibility </w:t>
      </w:r>
      <w:r w:rsidR="00A95F08">
        <w:rPr>
          <w:szCs w:val="24"/>
          <w:lang w:val="en-CA"/>
        </w:rPr>
        <w:t>of</w:t>
      </w:r>
      <w:r w:rsidR="00D26456" w:rsidRPr="005E16F6">
        <w:rPr>
          <w:szCs w:val="24"/>
          <w:lang w:val="en-CA"/>
        </w:rPr>
        <w:t xml:space="preserve"> provid</w:t>
      </w:r>
      <w:r w:rsidR="00A95F08">
        <w:rPr>
          <w:szCs w:val="24"/>
          <w:lang w:val="en-CA"/>
        </w:rPr>
        <w:t>ing</w:t>
      </w:r>
      <w:r w:rsidR="00D26456" w:rsidRPr="005E16F6">
        <w:rPr>
          <w:szCs w:val="24"/>
          <w:lang w:val="en-CA"/>
        </w:rPr>
        <w:t xml:space="preserve"> for progressive percentages that increase as the file progresses may be fair depending on the work devoted to the file.</w:t>
      </w:r>
      <w:r w:rsidR="00354272" w:rsidRPr="005E16F6">
        <w:rPr>
          <w:szCs w:val="24"/>
          <w:lang w:val="en-CA"/>
        </w:rPr>
        <w:t xml:space="preserve"> </w:t>
      </w:r>
      <w:r w:rsidR="00D26456" w:rsidRPr="005E16F6">
        <w:rPr>
          <w:szCs w:val="24"/>
          <w:lang w:val="en-CA"/>
        </w:rPr>
        <w:t xml:space="preserve">However, such a formula can deter lawyers from settling </w:t>
      </w:r>
      <w:r w:rsidR="00A52D16" w:rsidRPr="005E16F6">
        <w:rPr>
          <w:szCs w:val="24"/>
          <w:lang w:val="en-CA"/>
        </w:rPr>
        <w:t>early in the</w:t>
      </w:r>
      <w:r w:rsidR="00D26456" w:rsidRPr="005E16F6">
        <w:rPr>
          <w:szCs w:val="24"/>
          <w:lang w:val="en-CA"/>
        </w:rPr>
        <w:t xml:space="preserve"> process, even when a quick settlement is in the best </w:t>
      </w:r>
      <w:r w:rsidR="00D26456" w:rsidRPr="005E16F6">
        <w:rPr>
          <w:szCs w:val="24"/>
          <w:lang w:val="en-CA"/>
        </w:rPr>
        <w:lastRenderedPageBreak/>
        <w:t>interest</w:t>
      </w:r>
      <w:r w:rsidR="00A52D16" w:rsidRPr="005E16F6">
        <w:rPr>
          <w:szCs w:val="24"/>
          <w:lang w:val="en-CA"/>
        </w:rPr>
        <w:t>s</w:t>
      </w:r>
      <w:r w:rsidR="00D26456" w:rsidRPr="005E16F6">
        <w:rPr>
          <w:szCs w:val="24"/>
          <w:lang w:val="en-CA"/>
        </w:rPr>
        <w:t xml:space="preserve"> of class members.</w:t>
      </w:r>
      <w:r w:rsidR="00354272" w:rsidRPr="005E16F6">
        <w:rPr>
          <w:szCs w:val="24"/>
          <w:lang w:val="en-CA"/>
        </w:rPr>
        <w:t xml:space="preserve"> </w:t>
      </w:r>
      <w:r w:rsidR="00D26456" w:rsidRPr="005E16F6">
        <w:rPr>
          <w:szCs w:val="24"/>
          <w:lang w:val="en-CA"/>
        </w:rPr>
        <w:t xml:space="preserve">Percentages can also be </w:t>
      </w:r>
      <w:r w:rsidR="009B404A" w:rsidRPr="005E16F6">
        <w:rPr>
          <w:szCs w:val="24"/>
          <w:lang w:val="en-CA"/>
        </w:rPr>
        <w:t xml:space="preserve">regressive </w:t>
      </w:r>
      <w:r w:rsidR="00D26456" w:rsidRPr="005E16F6">
        <w:rPr>
          <w:szCs w:val="24"/>
          <w:lang w:val="en-CA"/>
        </w:rPr>
        <w:t xml:space="preserve">once a certain settlement amount has been reached, but this too can </w:t>
      </w:r>
      <w:r w:rsidR="00CF3B59" w:rsidRPr="005E16F6">
        <w:rPr>
          <w:szCs w:val="24"/>
          <w:lang w:val="en-CA"/>
        </w:rPr>
        <w:t>have a</w:t>
      </w:r>
      <w:r w:rsidR="00D26456" w:rsidRPr="005E16F6">
        <w:rPr>
          <w:szCs w:val="24"/>
          <w:lang w:val="en-CA"/>
        </w:rPr>
        <w:t xml:space="preserve"> deterrent </w:t>
      </w:r>
      <w:r w:rsidR="00CF3B59" w:rsidRPr="005E16F6">
        <w:rPr>
          <w:szCs w:val="24"/>
          <w:lang w:val="en-CA"/>
        </w:rPr>
        <w:t>effect on</w:t>
      </w:r>
      <w:r w:rsidR="00D26456" w:rsidRPr="005E16F6">
        <w:rPr>
          <w:szCs w:val="24"/>
          <w:lang w:val="en-CA"/>
        </w:rPr>
        <w:t xml:space="preserve"> lawyers</w:t>
      </w:r>
      <w:r w:rsidR="00A95F08">
        <w:rPr>
          <w:szCs w:val="24"/>
          <w:lang w:val="en-CA"/>
        </w:rPr>
        <w:t>’</w:t>
      </w:r>
      <w:r w:rsidR="00D26456" w:rsidRPr="005E16F6">
        <w:rPr>
          <w:szCs w:val="24"/>
          <w:lang w:val="en-CA"/>
        </w:rPr>
        <w:t xml:space="preserve"> efforts.</w:t>
      </w:r>
      <w:r w:rsidR="00354272" w:rsidRPr="005E16F6">
        <w:rPr>
          <w:szCs w:val="24"/>
          <w:lang w:val="en-CA"/>
        </w:rPr>
        <w:t xml:space="preserve"> </w:t>
      </w:r>
      <w:r w:rsidR="00D26456" w:rsidRPr="005E16F6">
        <w:rPr>
          <w:szCs w:val="24"/>
          <w:lang w:val="en-CA"/>
        </w:rPr>
        <w:t>In short, every case is different.</w:t>
      </w:r>
      <w:r w:rsidR="00354272" w:rsidRPr="005E16F6">
        <w:rPr>
          <w:szCs w:val="24"/>
          <w:lang w:val="en-CA"/>
        </w:rPr>
        <w:t xml:space="preserve"> </w:t>
      </w:r>
      <w:r w:rsidR="00D26456" w:rsidRPr="005E16F6">
        <w:rPr>
          <w:szCs w:val="24"/>
          <w:lang w:val="en-CA"/>
        </w:rPr>
        <w:t xml:space="preserve">There is no magic formula that will guarantee in every situation that the fee will ultimately be reasonable. Above all, the analysis must not be limited to verifying that the </w:t>
      </w:r>
      <w:r w:rsidR="00CF3B59" w:rsidRPr="005E16F6">
        <w:rPr>
          <w:szCs w:val="24"/>
          <w:lang w:val="en-CA"/>
        </w:rPr>
        <w:t xml:space="preserve">professional </w:t>
      </w:r>
      <w:r w:rsidR="00D26456" w:rsidRPr="005E16F6">
        <w:rPr>
          <w:szCs w:val="24"/>
          <w:lang w:val="en-CA"/>
        </w:rPr>
        <w:t>fee agreement provides for a percentage below a generally applied range.</w:t>
      </w:r>
      <w:bookmarkStart w:id="32" w:name="_Ref128128399"/>
      <w:r w:rsidR="00D26456" w:rsidRPr="001A6BBA">
        <w:rPr>
          <w:rStyle w:val="Appelnotedebasdep"/>
          <w:szCs w:val="24"/>
          <w:lang w:val="en-CA"/>
        </w:rPr>
        <w:footnoteReference w:id="48"/>
      </w:r>
      <w:bookmarkEnd w:id="32"/>
      <w:r w:rsidR="00783D9F" w:rsidRPr="005E16F6">
        <w:rPr>
          <w:szCs w:val="24"/>
          <w:lang w:val="en-CA"/>
        </w:rPr>
        <w:t>                                                                         </w:t>
      </w:r>
    </w:p>
    <w:p w14:paraId="6B256F6A" w14:textId="0BF16F62" w:rsidR="002E7C51" w:rsidRPr="001A6BBA" w:rsidRDefault="00D26456" w:rsidP="002E7C51">
      <w:pPr>
        <w:pStyle w:val="Style1"/>
        <w:spacing w:before="120" w:after="120" w:line="280" w:lineRule="exact"/>
        <w:rPr>
          <w:lang w:val="en-CA"/>
        </w:rPr>
      </w:pPr>
      <w:r w:rsidRPr="001A6BBA">
        <w:rPr>
          <w:lang w:val="en-CA"/>
        </w:rPr>
        <w:t xml:space="preserve">The lodestar method or multiplier method consists </w:t>
      </w:r>
      <w:r w:rsidR="00A65D71">
        <w:rPr>
          <w:lang w:val="en-CA"/>
        </w:rPr>
        <w:t>of</w:t>
      </w:r>
      <w:r w:rsidRPr="001A6BBA">
        <w:rPr>
          <w:lang w:val="en-CA"/>
        </w:rPr>
        <w:t xml:space="preserve"> calculating the number of hours worked, multipl</w:t>
      </w:r>
      <w:r w:rsidR="00A52D16">
        <w:rPr>
          <w:lang w:val="en-CA"/>
        </w:rPr>
        <w:t>ying that</w:t>
      </w:r>
      <w:r w:rsidRPr="001A6BBA">
        <w:rPr>
          <w:lang w:val="en-CA"/>
        </w:rPr>
        <w:t xml:space="preserve"> by the hourly rate and a multiplier that takes into account the risk run by the lawyers.</w:t>
      </w:r>
      <w:r w:rsidRPr="001A6BBA">
        <w:rPr>
          <w:rStyle w:val="Appelnotedebasdep"/>
          <w:lang w:val="en-CA"/>
        </w:rPr>
        <w:footnoteReference w:id="49"/>
      </w:r>
      <w:r w:rsidR="00354272" w:rsidRPr="001A6BBA">
        <w:rPr>
          <w:lang w:val="en-CA"/>
        </w:rPr>
        <w:t xml:space="preserve"> </w:t>
      </w:r>
      <w:r w:rsidR="00783D9F" w:rsidRPr="001A6BBA">
        <w:rPr>
          <w:lang w:val="en-CA"/>
        </w:rPr>
        <w:t xml:space="preserve">It is a method of remuneration, but also a means of controlling the reasonableness of the professional fees often </w:t>
      </w:r>
      <w:r w:rsidR="00CF3B59">
        <w:rPr>
          <w:lang w:val="en-CA"/>
        </w:rPr>
        <w:t>applied in</w:t>
      </w:r>
      <w:r w:rsidR="00783D9F" w:rsidRPr="001A6BBA">
        <w:rPr>
          <w:lang w:val="en-CA"/>
        </w:rPr>
        <w:t xml:space="preserve"> class actions.</w:t>
      </w:r>
    </w:p>
    <w:p w14:paraId="16302A06" w14:textId="2E8B77BA" w:rsidR="002E7C51" w:rsidRDefault="00783D9F" w:rsidP="002E7C51">
      <w:pPr>
        <w:pStyle w:val="Style1"/>
        <w:spacing w:before="120" w:after="120" w:line="280" w:lineRule="exact"/>
        <w:rPr>
          <w:lang w:val="en-CA"/>
        </w:rPr>
      </w:pPr>
      <w:r w:rsidRPr="001A6BBA">
        <w:rPr>
          <w:lang w:val="en-CA"/>
        </w:rPr>
        <w:t>The multiplier method has certain inconveniences and its share of detractors.</w:t>
      </w:r>
      <w:r w:rsidR="00354272" w:rsidRPr="001A6BBA">
        <w:rPr>
          <w:lang w:val="en-CA"/>
        </w:rPr>
        <w:t xml:space="preserve"> </w:t>
      </w:r>
      <w:r w:rsidRPr="009F222C">
        <w:rPr>
          <w:lang w:val="en-CA"/>
        </w:rPr>
        <w:t xml:space="preserve">In </w:t>
      </w:r>
      <w:r w:rsidRPr="009F222C">
        <w:rPr>
          <w:i/>
          <w:lang w:val="en-CA"/>
        </w:rPr>
        <w:t>Pellemans</w:t>
      </w:r>
      <w:r w:rsidRPr="009F222C">
        <w:rPr>
          <w:lang w:val="en-CA"/>
        </w:rPr>
        <w:t>, Prévost J.S.C. noted that it:</w:t>
      </w:r>
    </w:p>
    <w:p w14:paraId="377CDE15" w14:textId="3A57F0D2" w:rsidR="007D5E05" w:rsidRPr="001A6BBA" w:rsidRDefault="007D5E05" w:rsidP="00311AAC">
      <w:pPr>
        <w:pStyle w:val="Style1"/>
        <w:numPr>
          <w:ilvl w:val="0"/>
          <w:numId w:val="0"/>
        </w:numPr>
        <w:spacing w:before="120" w:after="120" w:line="280" w:lineRule="exact"/>
        <w:ind w:firstLine="720"/>
        <w:rPr>
          <w:lang w:val="en-CA"/>
        </w:rPr>
      </w:pPr>
      <w:r>
        <w:rPr>
          <w:lang w:val="en-CA"/>
        </w:rPr>
        <w:t>[</w:t>
      </w:r>
      <w:r w:rsidRPr="004A70D3">
        <w:rPr>
          <w:smallCaps/>
          <w:lang w:val="en-CA"/>
        </w:rPr>
        <w:t>translation</w:t>
      </w:r>
      <w:r>
        <w:rPr>
          <w:lang w:val="en-CA"/>
        </w:rPr>
        <w:t>]</w:t>
      </w:r>
    </w:p>
    <w:p w14:paraId="50C8ED0A" w14:textId="76D0559D" w:rsidR="002E7C51" w:rsidRPr="001A6BBA" w:rsidRDefault="00783D9F" w:rsidP="002E7C51">
      <w:pPr>
        <w:pStyle w:val="Style1"/>
        <w:numPr>
          <w:ilvl w:val="0"/>
          <w:numId w:val="0"/>
        </w:numPr>
        <w:spacing w:before="120" w:after="120" w:line="280" w:lineRule="exact"/>
        <w:ind w:left="720" w:right="720"/>
        <w:rPr>
          <w:lang w:val="en-CA"/>
        </w:rPr>
      </w:pPr>
      <w:r w:rsidRPr="009F222C">
        <w:rPr>
          <w:rFonts w:cs="Arial"/>
          <w:color w:val="000000"/>
          <w:sz w:val="22"/>
          <w:szCs w:val="18"/>
          <w:lang w:val="en-CA"/>
        </w:rPr>
        <w:t>does little to promote the efficiency of counsel’s work because the multiplier only increases the value of the time indicated by counsel for the case.</w:t>
      </w:r>
      <w:r w:rsidR="00354272" w:rsidRPr="001A6BBA">
        <w:rPr>
          <w:rFonts w:cs="Arial"/>
          <w:color w:val="000000"/>
          <w:sz w:val="22"/>
          <w:szCs w:val="18"/>
          <w:lang w:val="en-CA"/>
        </w:rPr>
        <w:t xml:space="preserve"> </w:t>
      </w:r>
      <w:r w:rsidRPr="009F222C">
        <w:rPr>
          <w:rFonts w:cs="Arial"/>
          <w:color w:val="000000"/>
          <w:sz w:val="22"/>
          <w:szCs w:val="18"/>
          <w:lang w:val="en-CA"/>
        </w:rPr>
        <w:t>In addition, since the multiplier applicable to a case is assessed at the time of the settlement or judgment, it is more likely to underestimate the “risk” assumed by counsel at the time the mandate is received.</w:t>
      </w:r>
      <w:r w:rsidR="00354272" w:rsidRPr="001A6BBA">
        <w:rPr>
          <w:rStyle w:val="Appelnotedebasdep"/>
          <w:rFonts w:cs="Arial"/>
          <w:color w:val="000000"/>
          <w:sz w:val="22"/>
          <w:szCs w:val="18"/>
          <w:lang w:val="en-CA"/>
        </w:rPr>
        <w:footnoteReference w:id="50"/>
      </w:r>
    </w:p>
    <w:p w14:paraId="473A6FB3" w14:textId="00B89165" w:rsidR="002E7C51" w:rsidRPr="009F222C" w:rsidRDefault="00783D9F" w:rsidP="002E7C51">
      <w:pPr>
        <w:pStyle w:val="Style1"/>
        <w:numPr>
          <w:ilvl w:val="0"/>
          <w:numId w:val="0"/>
        </w:numPr>
        <w:spacing w:before="120" w:after="120" w:line="280" w:lineRule="exact"/>
        <w:rPr>
          <w:lang w:val="en-CA"/>
        </w:rPr>
      </w:pPr>
      <w:r w:rsidRPr="009F222C">
        <w:rPr>
          <w:lang w:val="en-CA"/>
        </w:rPr>
        <w:t>This was also what the appellant argue</w:t>
      </w:r>
      <w:r w:rsidR="002724F2">
        <w:rPr>
          <w:lang w:val="en-CA"/>
        </w:rPr>
        <w:t>s in his written submissions</w:t>
      </w:r>
      <w:r w:rsidRPr="009F222C">
        <w:rPr>
          <w:lang w:val="en-CA"/>
        </w:rPr>
        <w:t>.</w:t>
      </w:r>
    </w:p>
    <w:p w14:paraId="27DC026A" w14:textId="5670CD97" w:rsidR="002E7C51" w:rsidRPr="009F222C" w:rsidRDefault="00783D9F" w:rsidP="002E7C51">
      <w:pPr>
        <w:pStyle w:val="Paragraphe"/>
        <w:spacing w:line="280" w:lineRule="exact"/>
        <w:rPr>
          <w:lang w:val="en-CA"/>
        </w:rPr>
      </w:pPr>
      <w:r w:rsidRPr="009F222C">
        <w:rPr>
          <w:lang w:val="en-CA"/>
        </w:rPr>
        <w:t>The Court had the following to say about the multiplier:</w:t>
      </w:r>
    </w:p>
    <w:p w14:paraId="3FF3B642" w14:textId="77777777" w:rsidR="00CF7552" w:rsidRDefault="00CF7552" w:rsidP="002E7C51">
      <w:pPr>
        <w:pStyle w:val="Citationenretrait"/>
        <w:rPr>
          <w:lang w:val="en-CA"/>
        </w:rPr>
      </w:pPr>
      <w:r>
        <w:rPr>
          <w:lang w:val="en-CA"/>
        </w:rPr>
        <w:t>[</w:t>
      </w:r>
      <w:r w:rsidRPr="001A6BBA">
        <w:rPr>
          <w:smallCaps/>
          <w:lang w:val="en-CA"/>
        </w:rPr>
        <w:t>translation</w:t>
      </w:r>
      <w:r>
        <w:rPr>
          <w:smallCaps/>
          <w:lang w:val="en-CA"/>
        </w:rPr>
        <w:t>]</w:t>
      </w:r>
      <w:r w:rsidRPr="001A6BBA">
        <w:rPr>
          <w:lang w:val="en-CA"/>
        </w:rPr>
        <w:t xml:space="preserve"> </w:t>
      </w:r>
    </w:p>
    <w:p w14:paraId="3E5574EC" w14:textId="0F9697F1" w:rsidR="002E7C51" w:rsidRPr="001A6BBA" w:rsidRDefault="00783D9F" w:rsidP="002E7C51">
      <w:pPr>
        <w:pStyle w:val="Citationenretrait"/>
        <w:rPr>
          <w:lang w:val="en-CA"/>
        </w:rPr>
      </w:pPr>
      <w:r w:rsidRPr="001A6BBA">
        <w:rPr>
          <w:lang w:val="en-CA"/>
        </w:rPr>
        <w:t xml:space="preserve">[66]         </w:t>
      </w:r>
      <w:r w:rsidR="007D5E05" w:rsidRPr="007D5E05">
        <w:rPr>
          <w:lang w:val="en-CA"/>
        </w:rPr>
        <w:t>The general principles and analytical framework relevant to whether professional fees are fair and reasonable flows from the consideration of these factors.</w:t>
      </w:r>
      <w:r w:rsidR="00354272" w:rsidRPr="001A6BBA">
        <w:rPr>
          <w:lang w:val="en-CA"/>
        </w:rPr>
        <w:t xml:space="preserve"> </w:t>
      </w:r>
      <w:r w:rsidR="007D5E05">
        <w:rPr>
          <w:lang w:val="en-CA"/>
        </w:rPr>
        <w:t>I</w:t>
      </w:r>
      <w:r w:rsidR="007D5E05" w:rsidRPr="007D5E05">
        <w:rPr>
          <w:lang w:val="en-CA"/>
        </w:rPr>
        <w:t>n this context, fee agreements enjoy a presumption of validity and will only be set aside if applying them would not be fair and reasonable for the class members in the context of the transaction being reviewed</w:t>
      </w:r>
      <w:r w:rsidR="007D5E05">
        <w:rPr>
          <w:lang w:val="en-CA"/>
        </w:rPr>
        <w:t>.</w:t>
      </w:r>
      <w:r w:rsidR="007D5E05" w:rsidRPr="007D5E05">
        <w:rPr>
          <w:lang w:val="en-CA"/>
        </w:rPr>
        <w:t xml:space="preserve"> As for the multiplier model, it is a tool for evaluating whether fees are reasonable</w:t>
      </w:r>
      <w:r w:rsidR="007D5E05">
        <w:rPr>
          <w:lang w:val="en-CA"/>
        </w:rPr>
        <w:t>.</w:t>
      </w:r>
      <w:r w:rsidR="00354272" w:rsidRPr="001A6BBA">
        <w:rPr>
          <w:rStyle w:val="Appelnotedebasdep"/>
          <w:lang w:val="en-CA"/>
        </w:rPr>
        <w:footnoteReference w:id="51"/>
      </w:r>
    </w:p>
    <w:p w14:paraId="6F736875" w14:textId="090CC716" w:rsidR="002E7C51" w:rsidRPr="009F222C" w:rsidRDefault="00783D9F" w:rsidP="002E7C51">
      <w:pPr>
        <w:pStyle w:val="Citationenretrait"/>
        <w:jc w:val="right"/>
        <w:rPr>
          <w:lang w:val="en-CA"/>
        </w:rPr>
      </w:pPr>
      <w:r w:rsidRPr="009F222C">
        <w:rPr>
          <w:lang w:val="en-CA"/>
        </w:rPr>
        <w:t>[Emphasis added</w:t>
      </w:r>
      <w:r w:rsidR="002724F2">
        <w:rPr>
          <w:lang w:val="en-CA"/>
        </w:rPr>
        <w:t>;</w:t>
      </w:r>
      <w:r w:rsidRPr="009F222C">
        <w:rPr>
          <w:lang w:val="en-CA"/>
        </w:rPr>
        <w:t xml:space="preserve"> references omitted.]</w:t>
      </w:r>
    </w:p>
    <w:p w14:paraId="397B51D5" w14:textId="317A1F3C" w:rsidR="002E7C51" w:rsidRPr="001A6BBA" w:rsidRDefault="00783D9F" w:rsidP="002E7C51">
      <w:pPr>
        <w:pStyle w:val="Paragraphe"/>
        <w:spacing w:line="280" w:lineRule="exact"/>
        <w:rPr>
          <w:lang w:val="en-CA"/>
        </w:rPr>
      </w:pPr>
      <w:r w:rsidRPr="001A6BBA">
        <w:rPr>
          <w:lang w:val="en-CA"/>
        </w:rPr>
        <w:t>The use of the multiplier to a</w:t>
      </w:r>
      <w:r w:rsidR="005E16F6">
        <w:rPr>
          <w:lang w:val="en-CA"/>
        </w:rPr>
        <w:t>nalyze</w:t>
      </w:r>
      <w:r w:rsidRPr="001A6BBA">
        <w:rPr>
          <w:lang w:val="en-CA"/>
        </w:rPr>
        <w:t xml:space="preserve"> the reasonableness of the </w:t>
      </w:r>
      <w:r w:rsidR="00CF7552" w:rsidRPr="001A6BBA">
        <w:rPr>
          <w:lang w:val="en-CA"/>
        </w:rPr>
        <w:t>professional</w:t>
      </w:r>
      <w:r w:rsidRPr="001A6BBA">
        <w:rPr>
          <w:lang w:val="en-CA"/>
        </w:rPr>
        <w:t xml:space="preserve"> fees appears to be well established in the case law of the Superior Court.</w:t>
      </w:r>
      <w:r w:rsidR="00354272" w:rsidRPr="001A6BBA">
        <w:rPr>
          <w:lang w:val="en-CA"/>
        </w:rPr>
        <w:t xml:space="preserve"> </w:t>
      </w:r>
      <w:r w:rsidRPr="001A6BBA">
        <w:rPr>
          <w:lang w:val="en-CA"/>
        </w:rPr>
        <w:t xml:space="preserve">However, I agree with the submissions of the appellant and the </w:t>
      </w:r>
      <w:r w:rsidRPr="001A6BBA">
        <w:rPr>
          <w:i/>
          <w:lang w:val="en-CA"/>
        </w:rPr>
        <w:t>amicus curiae</w:t>
      </w:r>
      <w:r w:rsidRPr="001A6BBA">
        <w:rPr>
          <w:lang w:val="en-CA"/>
        </w:rPr>
        <w:t xml:space="preserve"> that a</w:t>
      </w:r>
      <w:r w:rsidR="000C4C29">
        <w:rPr>
          <w:lang w:val="en-CA"/>
        </w:rPr>
        <w:t xml:space="preserve"> mechani</w:t>
      </w:r>
      <w:r w:rsidR="00064634">
        <w:rPr>
          <w:lang w:val="en-CA"/>
        </w:rPr>
        <w:t>cal</w:t>
      </w:r>
      <w:r w:rsidR="000C4C29">
        <w:rPr>
          <w:lang w:val="en-CA"/>
        </w:rPr>
        <w:t xml:space="preserve"> </w:t>
      </w:r>
      <w:r w:rsidRPr="001A6BBA">
        <w:rPr>
          <w:lang w:val="en-CA"/>
        </w:rPr>
        <w:t xml:space="preserve">application of this method and the use of rigid </w:t>
      </w:r>
      <w:r w:rsidR="00CF7552">
        <w:rPr>
          <w:lang w:val="en-CA"/>
        </w:rPr>
        <w:t>[</w:t>
      </w:r>
      <w:r w:rsidR="00CF7552" w:rsidRPr="001A6BBA">
        <w:rPr>
          <w:smallCaps/>
          <w:lang w:val="en-CA"/>
        </w:rPr>
        <w:t>translation</w:t>
      </w:r>
      <w:r w:rsidR="00CF7552">
        <w:rPr>
          <w:smallCaps/>
          <w:lang w:val="en-CA"/>
        </w:rPr>
        <w:t>]</w:t>
      </w:r>
      <w:r w:rsidRPr="001A6BBA">
        <w:rPr>
          <w:lang w:val="en-CA"/>
        </w:rPr>
        <w:t xml:space="preserve"> “upper limits” should be avoided.</w:t>
      </w:r>
      <w:r w:rsidR="00354272" w:rsidRPr="001A6BBA">
        <w:rPr>
          <w:lang w:val="en-CA"/>
        </w:rPr>
        <w:t xml:space="preserve"> </w:t>
      </w:r>
      <w:r w:rsidRPr="001A6BBA">
        <w:rPr>
          <w:lang w:val="en-CA"/>
        </w:rPr>
        <w:t xml:space="preserve">The </w:t>
      </w:r>
      <w:r w:rsidRPr="001A6BBA">
        <w:rPr>
          <w:lang w:val="en-CA"/>
        </w:rPr>
        <w:lastRenderedPageBreak/>
        <w:t>assessment of the reasonableness of the professional fees should not be reduced to a simple mathematical operation.</w:t>
      </w:r>
      <w:r w:rsidR="00354272" w:rsidRPr="001A6BBA">
        <w:rPr>
          <w:lang w:val="en-CA"/>
        </w:rPr>
        <w:t xml:space="preserve"> </w:t>
      </w:r>
      <w:r w:rsidRPr="001A6BBA">
        <w:rPr>
          <w:lang w:val="en-CA"/>
        </w:rPr>
        <w:t xml:space="preserve">Thus, although the norm adopted by the Superior Court for multipliers varies </w:t>
      </w:r>
      <w:r w:rsidR="00D06CFD">
        <w:rPr>
          <w:lang w:val="en-CA"/>
        </w:rPr>
        <w:t xml:space="preserve">between </w:t>
      </w:r>
      <w:r w:rsidRPr="001A6BBA">
        <w:rPr>
          <w:lang w:val="en-CA"/>
        </w:rPr>
        <w:t xml:space="preserve">2 </w:t>
      </w:r>
      <w:r w:rsidR="00D06CFD">
        <w:rPr>
          <w:lang w:val="en-CA"/>
        </w:rPr>
        <w:t>and</w:t>
      </w:r>
      <w:r w:rsidRPr="001A6BBA">
        <w:rPr>
          <w:lang w:val="en-CA"/>
        </w:rPr>
        <w:t xml:space="preserve"> 3, that does not mean that a multiplier superior to that norm </w:t>
      </w:r>
      <w:r w:rsidR="00CF7552" w:rsidRPr="001A6BBA">
        <w:rPr>
          <w:i/>
          <w:lang w:val="en-CA"/>
        </w:rPr>
        <w:t xml:space="preserve">necessarily </w:t>
      </w:r>
      <w:r w:rsidR="00CF7552" w:rsidRPr="001A6BBA">
        <w:rPr>
          <w:lang w:val="en-CA"/>
        </w:rPr>
        <w:t>requires</w:t>
      </w:r>
      <w:r w:rsidRPr="001A6BBA">
        <w:rPr>
          <w:lang w:val="en-CA"/>
        </w:rPr>
        <w:t xml:space="preserve"> a reduction of the fee.</w:t>
      </w:r>
      <w:r w:rsidR="00354272" w:rsidRPr="001A6BBA">
        <w:rPr>
          <w:rStyle w:val="Appelnotedebasdep"/>
          <w:lang w:val="en-CA"/>
        </w:rPr>
        <w:footnoteReference w:id="52"/>
      </w:r>
      <w:r w:rsidR="00273DF5">
        <w:rPr>
          <w:lang w:val="en-CA"/>
        </w:rPr>
        <w:t xml:space="preserve"> </w:t>
      </w:r>
      <w:r w:rsidRPr="001A6BBA">
        <w:rPr>
          <w:lang w:val="en-CA"/>
        </w:rPr>
        <w:t xml:space="preserve">For example, in </w:t>
      </w:r>
      <w:r w:rsidRPr="001A6BBA">
        <w:rPr>
          <w:i/>
          <w:lang w:val="en-CA"/>
        </w:rPr>
        <w:t>Pellemans</w:t>
      </w:r>
      <w:r w:rsidRPr="001A6BBA">
        <w:rPr>
          <w:lang w:val="en-CA"/>
        </w:rPr>
        <w:t>, Prévost J.S.C. approved a percentage agreement corresponding to a multiplier of 4.58.</w:t>
      </w:r>
    </w:p>
    <w:p w14:paraId="4AFF1FA3" w14:textId="61CD9F51" w:rsidR="002E7C51" w:rsidRPr="001A6BBA" w:rsidRDefault="00783D9F" w:rsidP="002E7C51">
      <w:pPr>
        <w:pStyle w:val="Paragraphe"/>
        <w:spacing w:line="280" w:lineRule="exact"/>
        <w:rPr>
          <w:lang w:val="en-CA"/>
        </w:rPr>
      </w:pPr>
      <w:r w:rsidRPr="001A6BBA">
        <w:rPr>
          <w:lang w:val="en-CA"/>
        </w:rPr>
        <w:t>The way the multiplier is applied must be closely examined.</w:t>
      </w:r>
      <w:r w:rsidR="00354272" w:rsidRPr="001A6BBA">
        <w:rPr>
          <w:lang w:val="en-CA"/>
        </w:rPr>
        <w:t xml:space="preserve"> </w:t>
      </w:r>
      <w:r w:rsidRPr="001A6BBA">
        <w:rPr>
          <w:lang w:val="en-CA"/>
        </w:rPr>
        <w:t xml:space="preserve">In this case, I </w:t>
      </w:r>
      <w:r w:rsidR="00CF7552" w:rsidRPr="001A6BBA">
        <w:rPr>
          <w:lang w:val="en-CA"/>
        </w:rPr>
        <w:t>question</w:t>
      </w:r>
      <w:r w:rsidRPr="001A6BBA">
        <w:rPr>
          <w:lang w:val="en-CA"/>
        </w:rPr>
        <w:t xml:space="preserve"> the wa</w:t>
      </w:r>
      <w:r w:rsidR="00CD36A0" w:rsidRPr="001A6BBA">
        <w:rPr>
          <w:lang w:val="en-CA"/>
        </w:rPr>
        <w:t>y</w:t>
      </w:r>
      <w:r w:rsidRPr="001A6BBA">
        <w:rPr>
          <w:lang w:val="en-CA"/>
        </w:rPr>
        <w:t xml:space="preserve"> the judge applied this method because he seem</w:t>
      </w:r>
      <w:r w:rsidR="00CF7552">
        <w:rPr>
          <w:lang w:val="en-CA"/>
        </w:rPr>
        <w:t>ed</w:t>
      </w:r>
      <w:r w:rsidRPr="001A6BBA">
        <w:rPr>
          <w:lang w:val="en-CA"/>
        </w:rPr>
        <w:t xml:space="preserve"> to place </w:t>
      </w:r>
      <w:r w:rsidR="005D1ACF">
        <w:rPr>
          <w:lang w:val="en-CA"/>
        </w:rPr>
        <w:t>undue</w:t>
      </w:r>
      <w:r w:rsidRPr="001A6BBA">
        <w:rPr>
          <w:lang w:val="en-CA"/>
        </w:rPr>
        <w:t xml:space="preserve"> importance on the time </w:t>
      </w:r>
      <w:r w:rsidR="005D1ACF">
        <w:rPr>
          <w:lang w:val="en-CA"/>
        </w:rPr>
        <w:t xml:space="preserve">the </w:t>
      </w:r>
      <w:r w:rsidRPr="001A6BBA">
        <w:rPr>
          <w:lang w:val="en-CA"/>
        </w:rPr>
        <w:t>lawyers devoted to the case, despite the other factors that come into play when assessing the reasonableness of professional fees.</w:t>
      </w:r>
      <w:r w:rsidR="00354272" w:rsidRPr="001A6BBA">
        <w:rPr>
          <w:lang w:val="en-CA"/>
        </w:rPr>
        <w:t xml:space="preserve"> </w:t>
      </w:r>
      <w:r w:rsidRPr="001A6BBA">
        <w:rPr>
          <w:lang w:val="en-CA"/>
        </w:rPr>
        <w:t>The value of the services rendered is not the same as the time devoted to the file.</w:t>
      </w:r>
    </w:p>
    <w:p w14:paraId="386D8017" w14:textId="589175E2" w:rsidR="002E7C51" w:rsidRPr="001A6BBA" w:rsidRDefault="00783D9F" w:rsidP="002E7C51">
      <w:pPr>
        <w:pStyle w:val="Paragraphe"/>
        <w:spacing w:line="280" w:lineRule="exact"/>
        <w:rPr>
          <w:lang w:val="en-CA"/>
        </w:rPr>
      </w:pPr>
      <w:bookmarkStart w:id="33" w:name="_Hlk128470888"/>
      <w:r w:rsidRPr="009F222C">
        <w:rPr>
          <w:lang w:val="en-CA"/>
        </w:rPr>
        <w:t>As mentioned above, a fee agreement benefits from a presumption of validity.</w:t>
      </w:r>
      <w:r w:rsidR="00354272" w:rsidRPr="001A6BBA">
        <w:rPr>
          <w:lang w:val="en-CA"/>
        </w:rPr>
        <w:t xml:space="preserve"> </w:t>
      </w:r>
      <w:r w:rsidRPr="009F222C">
        <w:rPr>
          <w:lang w:val="en-CA"/>
        </w:rPr>
        <w:t>Such a presumption implies that the analysis of the reasonableness of the fees determined in a percentage agreement</w:t>
      </w:r>
      <w:r w:rsidR="006A5B82">
        <w:rPr>
          <w:lang w:val="en-CA"/>
        </w:rPr>
        <w:t xml:space="preserve"> should</w:t>
      </w:r>
      <w:r w:rsidRPr="009F222C">
        <w:rPr>
          <w:lang w:val="en-CA"/>
        </w:rPr>
        <w:t xml:space="preserve"> start with the application of criteria other than the time devoted to the matter by the lawyers.</w:t>
      </w:r>
      <w:r w:rsidR="00354272" w:rsidRPr="001A6BBA">
        <w:rPr>
          <w:lang w:val="en-CA"/>
        </w:rPr>
        <w:t xml:space="preserve"> </w:t>
      </w:r>
      <w:r w:rsidRPr="001A6BBA">
        <w:rPr>
          <w:lang w:val="en-CA"/>
        </w:rPr>
        <w:t>Experience teaches us that the amount of professional fees payable pursuant to a percentage agreement will often, if not always, exceed th</w:t>
      </w:r>
      <w:r w:rsidR="001F2DF4">
        <w:rPr>
          <w:lang w:val="en-CA"/>
        </w:rPr>
        <w:t>e</w:t>
      </w:r>
      <w:r w:rsidRPr="001A6BBA">
        <w:rPr>
          <w:lang w:val="en-CA"/>
        </w:rPr>
        <w:t xml:space="preserve"> amount of professional fees calculated based on the time spent on the matter multiplied by the applicable hourly rate(s).</w:t>
      </w:r>
      <w:r w:rsidR="00354272" w:rsidRPr="001A6BBA">
        <w:rPr>
          <w:lang w:val="en-CA"/>
        </w:rPr>
        <w:t xml:space="preserve"> </w:t>
      </w:r>
      <w:r w:rsidRPr="001A6BBA">
        <w:rPr>
          <w:lang w:val="en-CA"/>
        </w:rPr>
        <w:t>As a result, if the analysis is based on the hours worked</w:t>
      </w:r>
      <w:r w:rsidR="00AA1BBE">
        <w:rPr>
          <w:lang w:val="en-CA"/>
        </w:rPr>
        <w:t>, t</w:t>
      </w:r>
      <w:r w:rsidRPr="001A6BBA">
        <w:rPr>
          <w:lang w:val="en-CA"/>
        </w:rPr>
        <w:t xml:space="preserve">here is always a risk that the amount of </w:t>
      </w:r>
      <w:r w:rsidR="001F2DF4" w:rsidRPr="001A6BBA">
        <w:rPr>
          <w:lang w:val="en-CA"/>
        </w:rPr>
        <w:t>professional fees</w:t>
      </w:r>
      <w:r w:rsidRPr="001A6BBA">
        <w:rPr>
          <w:lang w:val="en-CA"/>
        </w:rPr>
        <w:t xml:space="preserve"> to be paid will appear excessive or unreasonable.</w:t>
      </w:r>
      <w:r w:rsidR="00354272" w:rsidRPr="001A6BBA">
        <w:rPr>
          <w:lang w:val="en-CA"/>
        </w:rPr>
        <w:t xml:space="preserve"> </w:t>
      </w:r>
      <w:r w:rsidRPr="001A6BBA">
        <w:rPr>
          <w:lang w:val="en-CA"/>
        </w:rPr>
        <w:t xml:space="preserve">Thus, to </w:t>
      </w:r>
      <w:r w:rsidR="001F2DF4">
        <w:rPr>
          <w:lang w:val="en-CA"/>
        </w:rPr>
        <w:t>start</w:t>
      </w:r>
      <w:r w:rsidRPr="001A6BBA">
        <w:rPr>
          <w:lang w:val="en-CA"/>
        </w:rPr>
        <w:t xml:space="preserve"> the analysis by considering the factors of time and hourly rate is circular or tautological reasoning.</w:t>
      </w:r>
      <w:r w:rsidR="00354272" w:rsidRPr="001A6BBA">
        <w:rPr>
          <w:lang w:val="en-CA"/>
        </w:rPr>
        <w:t xml:space="preserve"> </w:t>
      </w:r>
      <w:r w:rsidRPr="001A6BBA">
        <w:rPr>
          <w:lang w:val="en-CA"/>
        </w:rPr>
        <w:t xml:space="preserve">If the agreement to calculate the professional fees on a percentage basis </w:t>
      </w:r>
      <w:r w:rsidR="00956191">
        <w:rPr>
          <w:lang w:val="en-CA"/>
        </w:rPr>
        <w:t>rather than</w:t>
      </w:r>
      <w:r w:rsidRPr="001A6BBA">
        <w:rPr>
          <w:lang w:val="en-CA"/>
        </w:rPr>
        <w:t xml:space="preserve"> according to the time spent on the file is set aside, the conclusion that the professional fees are unreasonable is almost inevitable.</w:t>
      </w:r>
      <w:r w:rsidR="00354272" w:rsidRPr="001A6BBA">
        <w:rPr>
          <w:lang w:val="en-CA"/>
        </w:rPr>
        <w:t xml:space="preserve"> </w:t>
      </w:r>
      <w:r w:rsidRPr="009F222C">
        <w:rPr>
          <w:lang w:val="en-CA"/>
        </w:rPr>
        <w:t xml:space="preserve">To avoid this pitfall, the analysis should start with an assessment of </w:t>
      </w:r>
      <w:r w:rsidR="001F2DF4" w:rsidRPr="009F222C">
        <w:rPr>
          <w:lang w:val="en-CA"/>
        </w:rPr>
        <w:t>all</w:t>
      </w:r>
      <w:r w:rsidRPr="009F222C">
        <w:rPr>
          <w:lang w:val="en-CA"/>
        </w:rPr>
        <w:t xml:space="preserve"> the other criteria set out in the </w:t>
      </w:r>
      <w:r w:rsidRPr="009F222C">
        <w:rPr>
          <w:i/>
          <w:lang w:val="en-CA"/>
        </w:rPr>
        <w:t>Code of Professional Conduct</w:t>
      </w:r>
      <w:r w:rsidRPr="009F222C">
        <w:rPr>
          <w:lang w:val="en-CA"/>
        </w:rPr>
        <w:t xml:space="preserve"> and of the risk assumed by counsel.</w:t>
      </w:r>
      <w:r w:rsidR="00354272" w:rsidRPr="001A6BBA">
        <w:rPr>
          <w:lang w:val="en-CA"/>
        </w:rPr>
        <w:t xml:space="preserve"> </w:t>
      </w:r>
      <w:bookmarkStart w:id="34" w:name="_Hlk128471688"/>
      <w:r w:rsidRPr="009F222C">
        <w:rPr>
          <w:lang w:val="en-CA"/>
        </w:rPr>
        <w:t xml:space="preserve">If the conclusion is reached that the amount (not the percentage) of fees payable is reasonable, the analysis </w:t>
      </w:r>
      <w:r w:rsidR="001F2DF4" w:rsidRPr="009F222C">
        <w:rPr>
          <w:lang w:val="en-CA"/>
        </w:rPr>
        <w:t>can stop</w:t>
      </w:r>
      <w:r w:rsidRPr="009F222C">
        <w:rPr>
          <w:lang w:val="en-CA"/>
        </w:rPr>
        <w:t xml:space="preserve"> at the judge</w:t>
      </w:r>
      <w:r w:rsidR="00956191">
        <w:rPr>
          <w:lang w:val="en-CA"/>
        </w:rPr>
        <w:t>’</w:t>
      </w:r>
      <w:r w:rsidRPr="009F222C">
        <w:rPr>
          <w:lang w:val="en-CA"/>
        </w:rPr>
        <w:t>s discretion.</w:t>
      </w:r>
      <w:r w:rsidR="00354272" w:rsidRPr="001A6BBA">
        <w:rPr>
          <w:lang w:val="en-CA"/>
        </w:rPr>
        <w:t xml:space="preserve"> </w:t>
      </w:r>
      <w:bookmarkEnd w:id="34"/>
      <w:r w:rsidRPr="009F222C">
        <w:rPr>
          <w:lang w:val="en-CA"/>
        </w:rPr>
        <w:t>However, if the amount of professional fees seems unreasonable, it is then appropriate to consider the hours spent on the case and apply a multiplier to adjust it so that it becomes reasonable.</w:t>
      </w:r>
    </w:p>
    <w:bookmarkEnd w:id="33"/>
    <w:p w14:paraId="5BD7BDF5" w14:textId="2E306F8B" w:rsidR="002E7C51" w:rsidRPr="001A6BBA" w:rsidRDefault="00783D9F" w:rsidP="002E7C51">
      <w:pPr>
        <w:pStyle w:val="Paragraphe"/>
        <w:spacing w:line="280" w:lineRule="exact"/>
        <w:rPr>
          <w:lang w:val="en-CA"/>
        </w:rPr>
      </w:pPr>
      <w:r w:rsidRPr="001A6BBA">
        <w:rPr>
          <w:lang w:val="en-CA"/>
        </w:rPr>
        <w:t>Simply counting the number of hours spent on the case multiplied by the applicable hourly rates and applying a multiplier of 2, 3, 4</w:t>
      </w:r>
      <w:r w:rsidR="00FC73F6">
        <w:rPr>
          <w:lang w:val="en-CA"/>
        </w:rPr>
        <w:t>,</w:t>
      </w:r>
      <w:r w:rsidRPr="001A6BBA">
        <w:rPr>
          <w:lang w:val="en-CA"/>
        </w:rPr>
        <w:t xml:space="preserve"> or even 5 is, in my opinion, arbitrary, at least to some degree.</w:t>
      </w:r>
      <w:r w:rsidR="00354272" w:rsidRPr="001A6BBA">
        <w:rPr>
          <w:lang w:val="en-CA"/>
        </w:rPr>
        <w:t xml:space="preserve"> </w:t>
      </w:r>
      <w:r w:rsidRPr="001A6BBA">
        <w:rPr>
          <w:lang w:val="en-CA"/>
        </w:rPr>
        <w:t>The risk assumed at the outset of the case is not neatly translated into a number, namely the multiplier.</w:t>
      </w:r>
      <w:r w:rsidR="00354272" w:rsidRPr="001A6BBA">
        <w:rPr>
          <w:lang w:val="en-CA"/>
        </w:rPr>
        <w:t xml:space="preserve"> </w:t>
      </w:r>
      <w:r w:rsidRPr="001A6BBA">
        <w:rPr>
          <w:lang w:val="en-CA"/>
        </w:rPr>
        <w:t>The factors do not take into account the interest rates a lawyer may have to pay while financing the class action.</w:t>
      </w:r>
      <w:r w:rsidR="00354272" w:rsidRPr="001A6BBA">
        <w:rPr>
          <w:lang w:val="en-CA"/>
        </w:rPr>
        <w:t xml:space="preserve"> </w:t>
      </w:r>
      <w:r w:rsidRPr="001A6BBA">
        <w:rPr>
          <w:lang w:val="en-CA"/>
        </w:rPr>
        <w:t xml:space="preserve">Although the method measures opportunity cost, it </w:t>
      </w:r>
      <w:r w:rsidR="008D29A5">
        <w:rPr>
          <w:lang w:val="en-CA"/>
        </w:rPr>
        <w:t>does not</w:t>
      </w:r>
      <w:r w:rsidR="008D29A5" w:rsidRPr="001A6BBA">
        <w:rPr>
          <w:lang w:val="en-CA"/>
        </w:rPr>
        <w:t xml:space="preserve"> </w:t>
      </w:r>
      <w:r w:rsidRPr="001A6BBA">
        <w:rPr>
          <w:lang w:val="en-CA"/>
        </w:rPr>
        <w:t xml:space="preserve">assess the risk the lawyer accepts in other class actions paid on a percentage </w:t>
      </w:r>
      <w:r w:rsidR="00EE4CE9" w:rsidRPr="001A6BBA">
        <w:rPr>
          <w:lang w:val="en-CA"/>
        </w:rPr>
        <w:t>basis.</w:t>
      </w:r>
      <w:r w:rsidR="00354272" w:rsidRPr="001A6BBA">
        <w:rPr>
          <w:lang w:val="en-CA"/>
        </w:rPr>
        <w:t xml:space="preserve"> </w:t>
      </w:r>
      <w:r w:rsidRPr="001A6BBA">
        <w:rPr>
          <w:lang w:val="en-CA"/>
        </w:rPr>
        <w:t xml:space="preserve">In other words, sound risk management means accepting several mandates </w:t>
      </w:r>
      <w:r w:rsidR="00EE4CE9" w:rsidRPr="001A6BBA">
        <w:rPr>
          <w:lang w:val="en-CA"/>
        </w:rPr>
        <w:t>knowing</w:t>
      </w:r>
      <w:r w:rsidRPr="001A6BBA">
        <w:rPr>
          <w:lang w:val="en-CA"/>
        </w:rPr>
        <w:t xml:space="preserve"> that </w:t>
      </w:r>
      <w:r w:rsidR="00EE4CE9" w:rsidRPr="001A6BBA">
        <w:rPr>
          <w:lang w:val="en-CA"/>
        </w:rPr>
        <w:t>some</w:t>
      </w:r>
      <w:r w:rsidRPr="001A6BBA">
        <w:rPr>
          <w:lang w:val="en-CA"/>
        </w:rPr>
        <w:t xml:space="preserve"> cases will probably be lost, leaving the lawyer without any remuneration. Moreover, the time devoted to the case in these types of matters is often secondary in the analysis of the reasonableness of professional fees.</w:t>
      </w:r>
      <w:r w:rsidRPr="001A6BBA">
        <w:rPr>
          <w:rStyle w:val="Appelnotedebasdep"/>
          <w:lang w:val="en-CA"/>
        </w:rPr>
        <w:footnoteReference w:id="53"/>
      </w:r>
      <w:r w:rsidR="00354272" w:rsidRPr="001A6BBA">
        <w:rPr>
          <w:lang w:val="en-CA"/>
        </w:rPr>
        <w:t xml:space="preserve"> </w:t>
      </w:r>
      <w:r w:rsidRPr="001A6BBA">
        <w:rPr>
          <w:lang w:val="en-CA"/>
        </w:rPr>
        <w:lastRenderedPageBreak/>
        <w:t xml:space="preserve">The risk </w:t>
      </w:r>
      <w:r w:rsidR="000A7024" w:rsidRPr="001A6BBA">
        <w:rPr>
          <w:lang w:val="en-CA"/>
        </w:rPr>
        <w:t>assumed</w:t>
      </w:r>
      <w:r w:rsidRPr="001A6BBA">
        <w:rPr>
          <w:lang w:val="en-CA"/>
        </w:rPr>
        <w:t xml:space="preserve"> and the result obtained should normally take precedence, bearing in mind that the weight to be given to each factor may vary from case to case, depending on the circumstances.</w:t>
      </w:r>
    </w:p>
    <w:p w14:paraId="7E9F4468" w14:textId="15470525" w:rsidR="002E7C51" w:rsidRPr="001A6BBA" w:rsidRDefault="00783D9F" w:rsidP="002E7C51">
      <w:pPr>
        <w:pStyle w:val="Paragraphe"/>
        <w:spacing w:line="280" w:lineRule="exact"/>
        <w:rPr>
          <w:lang w:val="en-CA"/>
        </w:rPr>
      </w:pPr>
      <w:r w:rsidRPr="001A6BBA">
        <w:rPr>
          <w:lang w:val="en-CA"/>
        </w:rPr>
        <w:t xml:space="preserve">My opinion should not be </w:t>
      </w:r>
      <w:r w:rsidR="000A7024" w:rsidRPr="001A6BBA">
        <w:rPr>
          <w:lang w:val="en-CA"/>
        </w:rPr>
        <w:t>interpreted</w:t>
      </w:r>
      <w:r w:rsidRPr="001A6BBA">
        <w:rPr>
          <w:lang w:val="en-CA"/>
        </w:rPr>
        <w:t xml:space="preserve"> as condoning the payment of substantial professional fees resulting from a percentage agreement where the work </w:t>
      </w:r>
      <w:r w:rsidR="000A7024">
        <w:rPr>
          <w:lang w:val="en-CA"/>
        </w:rPr>
        <w:t xml:space="preserve">of counsel </w:t>
      </w:r>
      <w:r w:rsidRPr="001A6BBA">
        <w:rPr>
          <w:lang w:val="en-CA"/>
        </w:rPr>
        <w:t>consisted mainly of copying and pasting a class action instituted in another jurisdiction, filing an application for authorization</w:t>
      </w:r>
      <w:r w:rsidR="008D29A5">
        <w:rPr>
          <w:lang w:val="en-CA"/>
        </w:rPr>
        <w:t>,</w:t>
      </w:r>
      <w:r w:rsidRPr="001A6BBA">
        <w:rPr>
          <w:lang w:val="en-CA"/>
        </w:rPr>
        <w:t xml:space="preserve"> and simply waiting for the outcome of the dispute in the other jurisdiction.</w:t>
      </w:r>
      <w:r w:rsidR="00354272" w:rsidRPr="001A6BBA">
        <w:rPr>
          <w:lang w:val="en-CA"/>
        </w:rPr>
        <w:t xml:space="preserve"> </w:t>
      </w:r>
      <w:r w:rsidRPr="001A6BBA">
        <w:rPr>
          <w:lang w:val="en-CA"/>
        </w:rPr>
        <w:t xml:space="preserve">In such a scenario, the application of the </w:t>
      </w:r>
      <w:r w:rsidRPr="001A6BBA">
        <w:rPr>
          <w:i/>
          <w:lang w:val="en-CA"/>
        </w:rPr>
        <w:t>Code of Professional Conduct</w:t>
      </w:r>
      <w:r w:rsidRPr="001A6BBA">
        <w:rPr>
          <w:lang w:val="en-CA"/>
        </w:rPr>
        <w:t xml:space="preserve"> factors should indicate that a large fee statement is unreasonable. The application of the multiplier thereafter to indicate what can be </w:t>
      </w:r>
      <w:r w:rsidR="00E11CE3">
        <w:rPr>
          <w:lang w:val="en-CA"/>
        </w:rPr>
        <w:t xml:space="preserve">considered </w:t>
      </w:r>
      <w:r w:rsidRPr="001A6BBA">
        <w:rPr>
          <w:lang w:val="en-CA"/>
        </w:rPr>
        <w:t>reasonable in the circumstances would be a proper exercise of the court</w:t>
      </w:r>
      <w:r w:rsidR="00E11CE3">
        <w:rPr>
          <w:lang w:val="en-CA"/>
        </w:rPr>
        <w:t>’</w:t>
      </w:r>
      <w:r w:rsidRPr="001A6BBA">
        <w:rPr>
          <w:lang w:val="en-CA"/>
        </w:rPr>
        <w:t>s discretion.</w:t>
      </w:r>
    </w:p>
    <w:p w14:paraId="3F1032E8" w14:textId="3E99A7B6" w:rsidR="002E7C51" w:rsidRPr="001A6BBA" w:rsidRDefault="00783D9F" w:rsidP="002E7C51">
      <w:pPr>
        <w:pStyle w:val="Paragraphe"/>
        <w:spacing w:line="280" w:lineRule="exact"/>
        <w:rPr>
          <w:lang w:val="en-CA"/>
        </w:rPr>
      </w:pPr>
      <w:r w:rsidRPr="001A6BBA">
        <w:rPr>
          <w:lang w:val="en-CA"/>
        </w:rPr>
        <w:t xml:space="preserve">Furthermore, an analysis based on the multiplier favours </w:t>
      </w:r>
      <w:r w:rsidR="000A7024">
        <w:rPr>
          <w:lang w:val="en-CA"/>
        </w:rPr>
        <w:t>counsel</w:t>
      </w:r>
      <w:r w:rsidRPr="001A6BBA">
        <w:rPr>
          <w:lang w:val="en-CA"/>
        </w:rPr>
        <w:t xml:space="preserve"> who have a relatively high hourly rate and disfavours a lawyer who helps the disadvantaged by charging a lower hourly rate, which seems to be the case for the appellant</w:t>
      </w:r>
      <w:r w:rsidR="0007629D">
        <w:rPr>
          <w:lang w:val="en-CA"/>
        </w:rPr>
        <w:t>’</w:t>
      </w:r>
      <w:r w:rsidRPr="001A6BBA">
        <w:rPr>
          <w:lang w:val="en-CA"/>
        </w:rPr>
        <w:t xml:space="preserve">s </w:t>
      </w:r>
      <w:r w:rsidR="000A7024">
        <w:rPr>
          <w:lang w:val="en-CA"/>
        </w:rPr>
        <w:t>counsel</w:t>
      </w:r>
      <w:r w:rsidRPr="001A6BBA">
        <w:rPr>
          <w:lang w:val="en-CA"/>
        </w:rPr>
        <w:t>.</w:t>
      </w:r>
      <w:r w:rsidR="00354272" w:rsidRPr="001A6BBA">
        <w:rPr>
          <w:lang w:val="en-CA"/>
        </w:rPr>
        <w:t xml:space="preserve"> </w:t>
      </w:r>
      <w:r w:rsidRPr="001A6BBA">
        <w:rPr>
          <w:lang w:val="en-CA"/>
        </w:rPr>
        <w:t xml:space="preserve">As stated by the appellant and </w:t>
      </w:r>
      <w:r w:rsidR="008D29A5">
        <w:rPr>
          <w:lang w:val="en-CA"/>
        </w:rPr>
        <w:t>recognized</w:t>
      </w:r>
      <w:r w:rsidR="008D29A5" w:rsidRPr="001A6BBA">
        <w:rPr>
          <w:lang w:val="en-CA"/>
        </w:rPr>
        <w:t xml:space="preserve"> </w:t>
      </w:r>
      <w:r w:rsidRPr="001A6BBA">
        <w:rPr>
          <w:lang w:val="en-CA"/>
        </w:rPr>
        <w:t xml:space="preserve">by some </w:t>
      </w:r>
      <w:r w:rsidR="000A7024" w:rsidRPr="001A6BBA">
        <w:rPr>
          <w:lang w:val="en-CA"/>
        </w:rPr>
        <w:t>judges:</w:t>
      </w:r>
    </w:p>
    <w:p w14:paraId="34318AA4" w14:textId="0CA01EFC" w:rsidR="005D2906" w:rsidRPr="001A6BBA" w:rsidRDefault="008D29A5" w:rsidP="002E7C51">
      <w:pPr>
        <w:pStyle w:val="Citationenretrait"/>
        <w:rPr>
          <w:lang w:val="en-CA"/>
        </w:rPr>
      </w:pPr>
      <w:r>
        <w:rPr>
          <w:smallCaps/>
          <w:lang w:val="en-CA"/>
        </w:rPr>
        <w:t>[</w:t>
      </w:r>
      <w:r w:rsidR="00783D9F" w:rsidRPr="001A6BBA">
        <w:rPr>
          <w:smallCaps/>
          <w:lang w:val="en-CA"/>
        </w:rPr>
        <w:t>translation</w:t>
      </w:r>
      <w:r>
        <w:rPr>
          <w:smallCaps/>
          <w:lang w:val="en-CA"/>
        </w:rPr>
        <w:t>]</w:t>
      </w:r>
      <w:r w:rsidR="00783D9F" w:rsidRPr="001A6BBA">
        <w:rPr>
          <w:lang w:val="en-CA"/>
        </w:rPr>
        <w:t xml:space="preserve"> </w:t>
      </w:r>
    </w:p>
    <w:p w14:paraId="6B7DC220" w14:textId="0D375844" w:rsidR="002E7C51" w:rsidRPr="001A6BBA" w:rsidRDefault="00783D9F" w:rsidP="002E7C51">
      <w:pPr>
        <w:pStyle w:val="Citationenretrait"/>
        <w:rPr>
          <w:lang w:val="en-CA"/>
        </w:rPr>
      </w:pPr>
      <w:r w:rsidRPr="001A6BBA">
        <w:rPr>
          <w:lang w:val="en-CA"/>
        </w:rPr>
        <w:t>[163]     The multiplier approach to assessing professional fees has its limitations</w:t>
      </w:r>
      <w:r w:rsidR="008D29A5">
        <w:rPr>
          <w:lang w:val="en-CA"/>
        </w:rPr>
        <w:t>,</w:t>
      </w:r>
      <w:r w:rsidRPr="001A6BBA">
        <w:rPr>
          <w:lang w:val="en-CA"/>
        </w:rPr>
        <w:t xml:space="preserve"> however.</w:t>
      </w:r>
    </w:p>
    <w:p w14:paraId="528D2947" w14:textId="66F7D89D" w:rsidR="002E7C51" w:rsidRPr="001A6BBA" w:rsidRDefault="007C5C97" w:rsidP="002E7C51">
      <w:pPr>
        <w:pStyle w:val="Citationenretrait"/>
        <w:rPr>
          <w:lang w:val="en-CA"/>
        </w:rPr>
      </w:pPr>
      <w:r w:rsidRPr="001A6BBA">
        <w:rPr>
          <w:lang w:val="en-CA"/>
        </w:rPr>
        <w:t>...</w:t>
      </w:r>
    </w:p>
    <w:p w14:paraId="0C75791D" w14:textId="2D612049" w:rsidR="002E7C51" w:rsidRPr="001A6BBA" w:rsidRDefault="00783D9F" w:rsidP="002E7C51">
      <w:pPr>
        <w:pStyle w:val="Citationenretrait"/>
        <w:rPr>
          <w:lang w:val="en-CA"/>
        </w:rPr>
      </w:pPr>
      <w:r w:rsidRPr="001A6BBA">
        <w:rPr>
          <w:lang w:val="en-CA"/>
        </w:rPr>
        <w:t xml:space="preserve">[168]     As the Court previously stated in </w:t>
      </w:r>
      <w:r w:rsidRPr="001A6BBA">
        <w:rPr>
          <w:i/>
          <w:lang w:val="en-CA"/>
        </w:rPr>
        <w:t>Servites de Marie</w:t>
      </w:r>
      <w:r w:rsidRPr="001A6BBA">
        <w:rPr>
          <w:lang w:val="en-CA"/>
        </w:rPr>
        <w:t xml:space="preserve">, applied without discernment, </w:t>
      </w:r>
      <w:r w:rsidR="0007629D">
        <w:rPr>
          <w:lang w:val="en-CA"/>
        </w:rPr>
        <w:t xml:space="preserve">an </w:t>
      </w:r>
      <w:r w:rsidRPr="001A6BBA">
        <w:rPr>
          <w:lang w:val="en-CA"/>
        </w:rPr>
        <w:t>analysis using a multiplier can lead to rewarding inefficiency, inexperience or, even worse, incompetence. Poorly drafted procedures, administrative inefficiencies</w:t>
      </w:r>
      <w:r w:rsidR="008D29A5">
        <w:rPr>
          <w:lang w:val="en-CA"/>
        </w:rPr>
        <w:t>,</w:t>
      </w:r>
      <w:r w:rsidRPr="001A6BBA">
        <w:rPr>
          <w:lang w:val="en-CA"/>
        </w:rPr>
        <w:t xml:space="preserve"> or ignorance of the law can in themselves lead to challenges by defendant</w:t>
      </w:r>
      <w:r w:rsidR="008D29A5">
        <w:rPr>
          <w:lang w:val="en-CA"/>
        </w:rPr>
        <w:t>s</w:t>
      </w:r>
      <w:r w:rsidRPr="001A6BBA">
        <w:rPr>
          <w:lang w:val="en-CA"/>
        </w:rPr>
        <w:t xml:space="preserve">. In the case at bar, we need only think of the delays and costs that would have been incurred if the school service centers and the </w:t>
      </w:r>
      <w:r w:rsidR="000A7024" w:rsidRPr="001A6BBA">
        <w:rPr>
          <w:lang w:val="en-CA"/>
        </w:rPr>
        <w:t>AGQ’s actions</w:t>
      </w:r>
      <w:r w:rsidRPr="001A6BBA">
        <w:rPr>
          <w:lang w:val="en-CA"/>
        </w:rPr>
        <w:t xml:space="preserve"> in warranty in the F. case had not been separated, if all class members B to G or #1 to #5 had had to provide all the required medical records, or if more class members had been examined for discovery.</w:t>
      </w:r>
      <w:r w:rsidR="00354272" w:rsidRPr="001A6BBA">
        <w:rPr>
          <w:lang w:val="en-CA"/>
        </w:rPr>
        <w:t xml:space="preserve"> </w:t>
      </w:r>
      <w:r w:rsidRPr="009F222C">
        <w:rPr>
          <w:lang w:val="en-CA"/>
        </w:rPr>
        <w:t>Yet, the higher the number of hours, the lower the multiplier.</w:t>
      </w:r>
    </w:p>
    <w:p w14:paraId="11B40BBB" w14:textId="17033091" w:rsidR="002E7C51" w:rsidRPr="001A6BBA" w:rsidRDefault="00783D9F" w:rsidP="002E7C51">
      <w:pPr>
        <w:pStyle w:val="Citationenretrait"/>
        <w:rPr>
          <w:rFonts w:cs="Arial"/>
          <w:color w:val="000000"/>
          <w:lang w:val="en-CA"/>
        </w:rPr>
      </w:pPr>
      <w:r w:rsidRPr="001A6BBA">
        <w:rPr>
          <w:rFonts w:cs="Arial"/>
          <w:color w:val="000000"/>
          <w:lang w:val="en-CA"/>
        </w:rPr>
        <w:t xml:space="preserve">[169]     In addition, the rapid resolution of a case will benefit class </w:t>
      </w:r>
      <w:r w:rsidR="000A7024" w:rsidRPr="001A6BBA">
        <w:rPr>
          <w:rFonts w:cs="Arial"/>
          <w:color w:val="000000"/>
          <w:lang w:val="en-CA"/>
        </w:rPr>
        <w:t>members but</w:t>
      </w:r>
      <w:r w:rsidRPr="001A6BBA">
        <w:rPr>
          <w:rFonts w:cs="Arial"/>
          <w:color w:val="000000"/>
          <w:lang w:val="en-CA"/>
        </w:rPr>
        <w:t xml:space="preserve"> will necessarily increase the multiplier.</w:t>
      </w:r>
      <w:r w:rsidR="00354272" w:rsidRPr="001A6BBA">
        <w:rPr>
          <w:rFonts w:cs="Arial"/>
          <w:color w:val="000000"/>
          <w:lang w:val="en-CA"/>
        </w:rPr>
        <w:t xml:space="preserve"> </w:t>
      </w:r>
      <w:r w:rsidRPr="001A6BBA">
        <w:rPr>
          <w:rFonts w:cs="Arial"/>
          <w:color w:val="000000"/>
          <w:lang w:val="en-CA"/>
        </w:rPr>
        <w:t>In a c</w:t>
      </w:r>
      <w:r w:rsidR="00715B92">
        <w:rPr>
          <w:rFonts w:cs="Arial"/>
          <w:color w:val="000000"/>
          <w:lang w:val="en-CA"/>
        </w:rPr>
        <w:t>ase</w:t>
      </w:r>
      <w:r w:rsidRPr="001A6BBA">
        <w:rPr>
          <w:rFonts w:cs="Arial"/>
          <w:color w:val="000000"/>
          <w:lang w:val="en-CA"/>
        </w:rPr>
        <w:t xml:space="preserve"> like this one, where many class members are in their sixties, any delay in the settlement is devastating.</w:t>
      </w:r>
      <w:r w:rsidR="00354272" w:rsidRPr="001A6BBA">
        <w:rPr>
          <w:rStyle w:val="Appelnotedebasdep"/>
          <w:lang w:val="en-CA"/>
        </w:rPr>
        <w:footnoteReference w:id="54"/>
      </w:r>
    </w:p>
    <w:p w14:paraId="0A7AB599" w14:textId="729D9F6E" w:rsidR="002E7C51" w:rsidRPr="001A6BBA" w:rsidRDefault="00783D9F" w:rsidP="002E7C51">
      <w:pPr>
        <w:pStyle w:val="Paragraphe"/>
        <w:spacing w:line="280" w:lineRule="exact"/>
        <w:rPr>
          <w:lang w:val="en-CA"/>
        </w:rPr>
      </w:pPr>
      <w:r w:rsidRPr="001A6BBA">
        <w:rPr>
          <w:lang w:val="en-CA"/>
        </w:rPr>
        <w:t xml:space="preserve"> The approach I favour does not contradict what the Court </w:t>
      </w:r>
      <w:r w:rsidR="00171B26">
        <w:rPr>
          <w:lang w:val="en-CA"/>
        </w:rPr>
        <w:t xml:space="preserve">has </w:t>
      </w:r>
      <w:r w:rsidRPr="001A6BBA">
        <w:rPr>
          <w:lang w:val="en-CA"/>
        </w:rPr>
        <w:t xml:space="preserve">said about the multiplier. In </w:t>
      </w:r>
      <w:r w:rsidRPr="001A6BBA">
        <w:rPr>
          <w:i/>
          <w:lang w:val="en-CA"/>
        </w:rPr>
        <w:t>Skarstedt</w:t>
      </w:r>
      <w:r w:rsidRPr="001A6BBA">
        <w:rPr>
          <w:lang w:val="en-CA"/>
        </w:rPr>
        <w:t>,</w:t>
      </w:r>
      <w:r w:rsidRPr="001A6BBA">
        <w:rPr>
          <w:rStyle w:val="Appelnotedebasdep"/>
          <w:lang w:val="en-CA"/>
        </w:rPr>
        <w:footnoteReference w:id="55"/>
      </w:r>
      <w:r w:rsidRPr="001A6BBA">
        <w:rPr>
          <w:lang w:val="en-CA"/>
        </w:rPr>
        <w:t xml:space="preserve"> the Court described the multiplier as a </w:t>
      </w:r>
      <w:r w:rsidR="00B25E4F">
        <w:rPr>
          <w:lang w:val="en-CA"/>
        </w:rPr>
        <w:t>means of</w:t>
      </w:r>
      <w:r w:rsidRPr="001A6BBA">
        <w:rPr>
          <w:lang w:val="en-CA"/>
        </w:rPr>
        <w:t xml:space="preserve"> </w:t>
      </w:r>
      <w:r w:rsidR="00B25E4F">
        <w:rPr>
          <w:lang w:val="en-CA"/>
        </w:rPr>
        <w:t>[</w:t>
      </w:r>
      <w:r w:rsidR="00B25E4F" w:rsidRPr="004A70D3">
        <w:rPr>
          <w:smallCaps/>
          <w:lang w:val="en-CA"/>
        </w:rPr>
        <w:t>translation</w:t>
      </w:r>
      <w:r w:rsidR="00B25E4F">
        <w:rPr>
          <w:lang w:val="en-CA"/>
        </w:rPr>
        <w:t xml:space="preserve">] </w:t>
      </w:r>
      <w:r w:rsidR="00171B26">
        <w:rPr>
          <w:lang w:val="en-CA"/>
        </w:rPr>
        <w:lastRenderedPageBreak/>
        <w:t>“</w:t>
      </w:r>
      <w:r w:rsidR="00B25E4F" w:rsidRPr="001A6BBA">
        <w:rPr>
          <w:lang w:val="en-CA"/>
        </w:rPr>
        <w:t>corroborati</w:t>
      </w:r>
      <w:r w:rsidR="00B25E4F">
        <w:rPr>
          <w:lang w:val="en-CA"/>
        </w:rPr>
        <w:t>n</w:t>
      </w:r>
      <w:r w:rsidR="00171B26">
        <w:rPr>
          <w:lang w:val="en-CA"/>
        </w:rPr>
        <w:t>g”</w:t>
      </w:r>
      <w:r w:rsidRPr="001A6BBA">
        <w:rPr>
          <w:lang w:val="en-CA"/>
        </w:rPr>
        <w:t xml:space="preserve"> the conclusion reached by considering the other criteria.</w:t>
      </w:r>
      <w:r w:rsidR="00354272" w:rsidRPr="001A6BBA">
        <w:rPr>
          <w:lang w:val="en-CA"/>
        </w:rPr>
        <w:t xml:space="preserve"> </w:t>
      </w:r>
      <w:r w:rsidRPr="009F222C">
        <w:rPr>
          <w:lang w:val="en-CA"/>
        </w:rPr>
        <w:t xml:space="preserve">In </w:t>
      </w:r>
      <w:r w:rsidRPr="009F222C">
        <w:rPr>
          <w:i/>
          <w:lang w:val="en-CA"/>
        </w:rPr>
        <w:t>Banque Amex</w:t>
      </w:r>
      <w:r w:rsidRPr="009F222C">
        <w:rPr>
          <w:lang w:val="en-CA"/>
        </w:rPr>
        <w:t xml:space="preserve">, cited above, the Court stated that the multiplier </w:t>
      </w:r>
      <w:r w:rsidR="000A7024">
        <w:rPr>
          <w:lang w:val="en-CA"/>
        </w:rPr>
        <w:t>[</w:t>
      </w:r>
      <w:r w:rsidR="000A7024" w:rsidRPr="000A7024">
        <w:rPr>
          <w:smallCaps/>
          <w:lang w:val="en-CA"/>
        </w:rPr>
        <w:t>translation</w:t>
      </w:r>
      <w:r w:rsidR="000A7024">
        <w:rPr>
          <w:smallCaps/>
          <w:lang w:val="en-CA"/>
        </w:rPr>
        <w:t>]</w:t>
      </w:r>
      <w:r w:rsidRPr="009F222C">
        <w:rPr>
          <w:lang w:val="en-CA"/>
        </w:rPr>
        <w:t xml:space="preserve"> “is a tool </w:t>
      </w:r>
      <w:r w:rsidR="00B25E4F" w:rsidRPr="00B25E4F">
        <w:rPr>
          <w:lang w:val="en-CA"/>
        </w:rPr>
        <w:t>for evaluating whether fees are reasonable</w:t>
      </w:r>
      <w:r w:rsidRPr="009F222C">
        <w:rPr>
          <w:lang w:val="en-CA"/>
        </w:rPr>
        <w:t>”.</w:t>
      </w:r>
      <w:r w:rsidR="00354272" w:rsidRPr="001A6BBA">
        <w:rPr>
          <w:lang w:val="en-CA"/>
        </w:rPr>
        <w:t xml:space="preserve"> </w:t>
      </w:r>
      <w:r w:rsidRPr="001A6BBA">
        <w:rPr>
          <w:lang w:val="en-CA"/>
        </w:rPr>
        <w:t>I am merely proposing a sound and logical way of using that tool.</w:t>
      </w:r>
    </w:p>
    <w:p w14:paraId="209565A8" w14:textId="4FFF6C53" w:rsidR="002E7C51" w:rsidRPr="001A6BBA" w:rsidRDefault="00783D9F" w:rsidP="002E7C51">
      <w:pPr>
        <w:pStyle w:val="Paragraphe"/>
        <w:spacing w:line="280" w:lineRule="exact"/>
        <w:rPr>
          <w:lang w:val="en-CA"/>
        </w:rPr>
      </w:pPr>
      <w:r w:rsidRPr="001A6BBA">
        <w:rPr>
          <w:rFonts w:cs="Arial"/>
          <w:color w:val="000000"/>
          <w:lang w:val="en-CA"/>
        </w:rPr>
        <w:t>In this case, the Agreement provides for professional fees of $7,000,000 (plus disbursements and applicable taxes), which is 25</w:t>
      </w:r>
      <w:r w:rsidR="000A7024">
        <w:rPr>
          <w:rFonts w:cs="Arial"/>
          <w:color w:val="000000"/>
          <w:lang w:val="en-CA"/>
        </w:rPr>
        <w:t>%</w:t>
      </w:r>
      <w:r w:rsidRPr="001A6BBA">
        <w:rPr>
          <w:rFonts w:cs="Arial"/>
          <w:color w:val="000000"/>
          <w:lang w:val="en-CA"/>
        </w:rPr>
        <w:t xml:space="preserve"> of the $28,000,000 settlement fund.</w:t>
      </w:r>
      <w:r w:rsidR="00354272" w:rsidRPr="001A6BBA">
        <w:rPr>
          <w:rFonts w:cs="Arial"/>
          <w:color w:val="000000"/>
          <w:lang w:val="en-CA"/>
        </w:rPr>
        <w:t xml:space="preserve"> </w:t>
      </w:r>
      <w:r w:rsidRPr="009F222C">
        <w:rPr>
          <w:rFonts w:cs="Arial"/>
          <w:color w:val="000000"/>
          <w:lang w:val="en-CA"/>
        </w:rPr>
        <w:t xml:space="preserve">The judge found such professional fees </w:t>
      </w:r>
      <w:r w:rsidR="00586D46">
        <w:rPr>
          <w:rFonts w:cs="Arial"/>
          <w:color w:val="000000"/>
          <w:lang w:val="en-CA"/>
        </w:rPr>
        <w:t xml:space="preserve">to be </w:t>
      </w:r>
      <w:r w:rsidRPr="009F222C">
        <w:rPr>
          <w:rFonts w:cs="Arial"/>
          <w:color w:val="000000"/>
          <w:lang w:val="en-CA"/>
        </w:rPr>
        <w:t>unreasonable.</w:t>
      </w:r>
      <w:r w:rsidR="00354272" w:rsidRPr="001A6BBA">
        <w:rPr>
          <w:rFonts w:cs="Arial"/>
          <w:color w:val="000000"/>
          <w:lang w:val="en-CA"/>
        </w:rPr>
        <w:t xml:space="preserve"> </w:t>
      </w:r>
      <w:r w:rsidRPr="001A6BBA">
        <w:rPr>
          <w:rFonts w:cs="Arial"/>
          <w:color w:val="000000"/>
          <w:lang w:val="en-CA"/>
        </w:rPr>
        <w:t xml:space="preserve">He determined that it was an </w:t>
      </w:r>
      <w:r w:rsidRPr="001A6BBA">
        <w:rPr>
          <w:rFonts w:cs="Arial"/>
          <w:lang w:val="en-CA"/>
        </w:rPr>
        <w:t>insurmountable obstacle to the approval of the Agreement, refused to approve it, and omitted to determine the amount of the professional fees.</w:t>
      </w:r>
    </w:p>
    <w:p w14:paraId="1E69A4EA" w14:textId="12376FBC" w:rsidR="002E7C51" w:rsidRPr="001A6BBA" w:rsidRDefault="00783D9F" w:rsidP="002E7C51">
      <w:pPr>
        <w:pStyle w:val="Style1"/>
        <w:spacing w:before="120" w:after="120" w:line="280" w:lineRule="exact"/>
        <w:rPr>
          <w:lang w:val="en-CA"/>
        </w:rPr>
      </w:pPr>
      <w:r w:rsidRPr="009F222C">
        <w:rPr>
          <w:rFonts w:cs="Arial"/>
          <w:color w:val="000000"/>
          <w:lang w:val="en-CA"/>
        </w:rPr>
        <w:t>Review of the professional fees falls within the trial judge’s discretionary power and accordingly calls for great deference on the part of the Court of Appeal.</w:t>
      </w:r>
      <w:r w:rsidRPr="009F222C">
        <w:rPr>
          <w:rStyle w:val="Appelnotedebasdep"/>
          <w:rFonts w:cs="Arial"/>
          <w:color w:val="000000"/>
          <w:lang w:val="en-CA"/>
        </w:rPr>
        <w:footnoteReference w:id="56"/>
      </w:r>
      <w:r w:rsidR="00354272" w:rsidRPr="001A6BBA">
        <w:rPr>
          <w:rFonts w:cs="Arial"/>
          <w:color w:val="000000"/>
          <w:lang w:val="en-CA"/>
        </w:rPr>
        <w:t xml:space="preserve"> </w:t>
      </w:r>
      <w:r w:rsidRPr="009F222C">
        <w:rPr>
          <w:rFonts w:cs="Arial"/>
          <w:lang w:val="en-CA"/>
        </w:rPr>
        <w:t>The Court may intervene only if the parties establish that the judge exercised that discretion abusively or unreasonably.</w:t>
      </w:r>
      <w:r w:rsidRPr="001A6BBA">
        <w:rPr>
          <w:rStyle w:val="Appelnotedebasdep"/>
          <w:rFonts w:cs="Arial"/>
          <w:color w:val="000000"/>
          <w:lang w:val="en-CA"/>
        </w:rPr>
        <w:footnoteReference w:id="57"/>
      </w:r>
    </w:p>
    <w:p w14:paraId="55E87867" w14:textId="3E15A0AC" w:rsidR="002E7C51" w:rsidRPr="001A6BBA" w:rsidRDefault="00783D9F" w:rsidP="002E7C51">
      <w:pPr>
        <w:pStyle w:val="Paragraphe"/>
        <w:spacing w:line="280" w:lineRule="exact"/>
        <w:rPr>
          <w:lang w:val="en-CA"/>
        </w:rPr>
      </w:pPr>
      <w:r w:rsidRPr="001A6BBA">
        <w:rPr>
          <w:lang w:val="en-CA"/>
        </w:rPr>
        <w:t xml:space="preserve">As explained above, the judge made a palpable and overriding error in refusing to approve the Agreement and determine the amount of the professional fees, particularly in light of the wording of </w:t>
      </w:r>
      <w:r w:rsidR="000A7024">
        <w:rPr>
          <w:lang w:val="en-CA"/>
        </w:rPr>
        <w:t>clause</w:t>
      </w:r>
      <w:r w:rsidRPr="001A6BBA">
        <w:rPr>
          <w:lang w:val="en-CA"/>
        </w:rPr>
        <w:t xml:space="preserve"> 8 of the Agreement and </w:t>
      </w:r>
      <w:r w:rsidR="00357B15" w:rsidRPr="001A6BBA">
        <w:rPr>
          <w:lang w:val="en-CA"/>
        </w:rPr>
        <w:t>art</w:t>
      </w:r>
      <w:r w:rsidR="00757E41">
        <w:rPr>
          <w:lang w:val="en-CA"/>
        </w:rPr>
        <w:t>icle</w:t>
      </w:r>
      <w:r w:rsidR="00357B15" w:rsidRPr="001A6BBA">
        <w:rPr>
          <w:lang w:val="en-CA"/>
        </w:rPr>
        <w:t xml:space="preserve"> </w:t>
      </w:r>
      <w:r w:rsidRPr="001A6BBA">
        <w:rPr>
          <w:lang w:val="en-CA"/>
        </w:rPr>
        <w:t>593 CCP. Although I question the manner in which the judge applied the multiplier method, and thus the exercise of his discretion in concluding that the amount of the fees was unreasonable, it is not necessary to overturn his conclusion in this regard in light of the conclusion I propose below.</w:t>
      </w:r>
      <w:r w:rsidR="00354272" w:rsidRPr="001A6BBA">
        <w:rPr>
          <w:lang w:val="en-CA"/>
        </w:rPr>
        <w:t xml:space="preserve"> </w:t>
      </w:r>
      <w:r w:rsidRPr="009F222C">
        <w:rPr>
          <w:lang w:val="en-CA"/>
        </w:rPr>
        <w:t>The judge did not indicate what amount of professional fees would be reasonable.</w:t>
      </w:r>
      <w:r w:rsidR="00354272" w:rsidRPr="001A6BBA">
        <w:rPr>
          <w:lang w:val="en-CA"/>
        </w:rPr>
        <w:t xml:space="preserve"> </w:t>
      </w:r>
      <w:r w:rsidRPr="009F222C">
        <w:rPr>
          <w:lang w:val="en-CA"/>
        </w:rPr>
        <w:t>He made no such determination.</w:t>
      </w:r>
      <w:r w:rsidR="00354272" w:rsidRPr="001A6BBA">
        <w:rPr>
          <w:lang w:val="en-CA"/>
        </w:rPr>
        <w:t xml:space="preserve"> </w:t>
      </w:r>
      <w:r w:rsidRPr="001A6BBA">
        <w:rPr>
          <w:lang w:val="en-CA"/>
        </w:rPr>
        <w:t xml:space="preserve">No deference is owed to the judge </w:t>
      </w:r>
      <w:r w:rsidR="00193ED3">
        <w:rPr>
          <w:lang w:val="en-CA"/>
        </w:rPr>
        <w:t>for the</w:t>
      </w:r>
      <w:r w:rsidRPr="001A6BBA">
        <w:rPr>
          <w:lang w:val="en-CA"/>
        </w:rPr>
        <w:t xml:space="preserve"> Court’s determination </w:t>
      </w:r>
      <w:r w:rsidR="00193ED3">
        <w:rPr>
          <w:lang w:val="en-CA"/>
        </w:rPr>
        <w:t>of the amount of professional fees under</w:t>
      </w:r>
      <w:r w:rsidR="00193ED3" w:rsidRPr="001A6BBA">
        <w:rPr>
          <w:lang w:val="en-CA"/>
        </w:rPr>
        <w:t xml:space="preserve"> </w:t>
      </w:r>
      <w:r w:rsidRPr="001A6BBA">
        <w:rPr>
          <w:lang w:val="en-CA"/>
        </w:rPr>
        <w:t xml:space="preserve">$7,000,000 </w:t>
      </w:r>
      <w:r w:rsidR="00193ED3">
        <w:rPr>
          <w:lang w:val="en-CA"/>
        </w:rPr>
        <w:t>that</w:t>
      </w:r>
      <w:r w:rsidR="00193ED3" w:rsidRPr="001A6BBA">
        <w:rPr>
          <w:lang w:val="en-CA"/>
        </w:rPr>
        <w:t xml:space="preserve"> </w:t>
      </w:r>
      <w:r w:rsidR="000A7024" w:rsidRPr="001A6BBA">
        <w:rPr>
          <w:lang w:val="en-CA"/>
        </w:rPr>
        <w:t>should</w:t>
      </w:r>
      <w:r w:rsidRPr="001A6BBA">
        <w:rPr>
          <w:lang w:val="en-CA"/>
        </w:rPr>
        <w:t xml:space="preserve"> be paid to the appellant’s counsel.</w:t>
      </w:r>
      <w:r w:rsidR="00354272" w:rsidRPr="001A6BBA">
        <w:rPr>
          <w:lang w:val="en-CA"/>
        </w:rPr>
        <w:t xml:space="preserve"> </w:t>
      </w:r>
      <w:r w:rsidR="00422128" w:rsidRPr="001A6BBA">
        <w:rPr>
          <w:lang w:val="en-CA"/>
        </w:rPr>
        <w:t xml:space="preserve">The Court has </w:t>
      </w:r>
      <w:r w:rsidR="00193ED3">
        <w:rPr>
          <w:lang w:val="en-CA"/>
        </w:rPr>
        <w:t>full</w:t>
      </w:r>
      <w:r w:rsidR="00193ED3" w:rsidRPr="001A6BBA">
        <w:rPr>
          <w:lang w:val="en-CA"/>
        </w:rPr>
        <w:t xml:space="preserve"> </w:t>
      </w:r>
      <w:r w:rsidR="00422128" w:rsidRPr="001A6BBA">
        <w:rPr>
          <w:lang w:val="en-CA"/>
        </w:rPr>
        <w:t xml:space="preserve">latitude to determine </w:t>
      </w:r>
      <w:r w:rsidR="00193ED3">
        <w:rPr>
          <w:lang w:val="en-CA"/>
        </w:rPr>
        <w:t>the</w:t>
      </w:r>
      <w:r w:rsidR="00193ED3" w:rsidRPr="001A6BBA">
        <w:rPr>
          <w:lang w:val="en-CA"/>
        </w:rPr>
        <w:t xml:space="preserve"> </w:t>
      </w:r>
      <w:r w:rsidR="00422128" w:rsidRPr="001A6BBA">
        <w:rPr>
          <w:lang w:val="en-CA"/>
        </w:rPr>
        <w:t xml:space="preserve">amount of reasonable professional fees </w:t>
      </w:r>
      <w:r w:rsidR="00193ED3">
        <w:rPr>
          <w:lang w:val="en-CA"/>
        </w:rPr>
        <w:t>under</w:t>
      </w:r>
      <w:r w:rsidR="00422128" w:rsidRPr="001A6BBA">
        <w:rPr>
          <w:lang w:val="en-CA"/>
        </w:rPr>
        <w:t xml:space="preserve"> $7,000,000.</w:t>
      </w:r>
    </w:p>
    <w:p w14:paraId="525FE7A0" w14:textId="7E5675AD" w:rsidR="002E7C51" w:rsidRPr="001A6BBA" w:rsidRDefault="00422128" w:rsidP="002E7C51">
      <w:pPr>
        <w:pStyle w:val="Paragraphe"/>
        <w:spacing w:line="280" w:lineRule="exact"/>
        <w:rPr>
          <w:lang w:val="en-CA"/>
        </w:rPr>
      </w:pPr>
      <w:bookmarkStart w:id="35" w:name="_Ref128559280"/>
      <w:r w:rsidRPr="001A6BBA">
        <w:rPr>
          <w:lang w:val="en-CA"/>
        </w:rPr>
        <w:t xml:space="preserve">The judge recognized the expertise </w:t>
      </w:r>
      <w:r w:rsidR="00193ED3">
        <w:rPr>
          <w:lang w:val="en-CA"/>
        </w:rPr>
        <w:t xml:space="preserve">of </w:t>
      </w:r>
      <w:r w:rsidR="000A7024">
        <w:rPr>
          <w:lang w:val="en-CA"/>
        </w:rPr>
        <w:t>counsel</w:t>
      </w:r>
      <w:r w:rsidRPr="001A6BBA">
        <w:rPr>
          <w:lang w:val="en-CA"/>
        </w:rPr>
        <w:t xml:space="preserve"> (which was acquired in part during the proceedings)</w:t>
      </w:r>
      <w:r w:rsidRPr="001A6BBA">
        <w:rPr>
          <w:rStyle w:val="Appelnotedebasdep"/>
          <w:lang w:val="en-CA"/>
        </w:rPr>
        <w:footnoteReference w:id="58"/>
      </w:r>
      <w:r w:rsidRPr="001A6BBA">
        <w:rPr>
          <w:lang w:val="en-CA"/>
        </w:rPr>
        <w:t xml:space="preserve"> in the representation of sexual assault victims.</w:t>
      </w:r>
      <w:r w:rsidR="00354272" w:rsidRPr="001A6BBA">
        <w:rPr>
          <w:lang w:val="en-CA"/>
        </w:rPr>
        <w:t xml:space="preserve"> </w:t>
      </w:r>
      <w:r w:rsidRPr="001A6BBA">
        <w:rPr>
          <w:lang w:val="en-CA"/>
        </w:rPr>
        <w:t xml:space="preserve">He also recognized their </w:t>
      </w:r>
      <w:r w:rsidR="000A7024">
        <w:rPr>
          <w:lang w:val="en-CA"/>
        </w:rPr>
        <w:t>[</w:t>
      </w:r>
      <w:r w:rsidRPr="001A6BBA">
        <w:rPr>
          <w:smallCaps/>
          <w:lang w:val="en-CA"/>
        </w:rPr>
        <w:t>translation</w:t>
      </w:r>
      <w:r w:rsidR="000A7024">
        <w:rPr>
          <w:smallCaps/>
          <w:lang w:val="en-CA"/>
        </w:rPr>
        <w:t>]</w:t>
      </w:r>
      <w:r w:rsidRPr="001A6BBA">
        <w:rPr>
          <w:lang w:val="en-CA"/>
        </w:rPr>
        <w:t xml:space="preserve"> “great dedication” to the class members,</w:t>
      </w:r>
      <w:r w:rsidRPr="001A6BBA">
        <w:rPr>
          <w:rStyle w:val="Appelnotedebasdep"/>
          <w:lang w:val="en-CA"/>
        </w:rPr>
        <w:footnoteReference w:id="59"/>
      </w:r>
      <w:r w:rsidRPr="001A6BBA">
        <w:rPr>
          <w:lang w:val="en-CA"/>
        </w:rPr>
        <w:t xml:space="preserve"> that they did </w:t>
      </w:r>
      <w:r w:rsidR="000A7024">
        <w:rPr>
          <w:lang w:val="en-CA"/>
        </w:rPr>
        <w:t>[</w:t>
      </w:r>
      <w:r w:rsidR="000A7024" w:rsidRPr="001A6BBA">
        <w:rPr>
          <w:smallCaps/>
          <w:lang w:val="en-CA"/>
        </w:rPr>
        <w:t>translation</w:t>
      </w:r>
      <w:r w:rsidR="000A7024">
        <w:rPr>
          <w:smallCaps/>
          <w:lang w:val="en-CA"/>
        </w:rPr>
        <w:t>]</w:t>
      </w:r>
      <w:r w:rsidR="000A7024" w:rsidRPr="001A6BBA">
        <w:rPr>
          <w:lang w:val="en-CA"/>
        </w:rPr>
        <w:t xml:space="preserve"> </w:t>
      </w:r>
      <w:r w:rsidRPr="001A6BBA">
        <w:rPr>
          <w:lang w:val="en-CA"/>
        </w:rPr>
        <w:t>“remarkable work”</w:t>
      </w:r>
      <w:r w:rsidR="00F718AF">
        <w:rPr>
          <w:lang w:val="en-CA"/>
        </w:rPr>
        <w:t>,</w:t>
      </w:r>
      <w:r w:rsidRPr="001A6BBA">
        <w:rPr>
          <w:rStyle w:val="Appelnotedebasdep"/>
          <w:lang w:val="en-CA"/>
        </w:rPr>
        <w:footnoteReference w:id="60"/>
      </w:r>
      <w:r w:rsidRPr="001A6BBA">
        <w:rPr>
          <w:lang w:val="en-CA"/>
        </w:rPr>
        <w:t xml:space="preserve"> and</w:t>
      </w:r>
      <w:r w:rsidR="00F718AF">
        <w:rPr>
          <w:lang w:val="en-CA"/>
        </w:rPr>
        <w:t xml:space="preserve"> that they</w:t>
      </w:r>
      <w:r w:rsidRPr="001A6BBA">
        <w:rPr>
          <w:lang w:val="en-CA"/>
        </w:rPr>
        <w:t xml:space="preserve"> obtained a favourable settlement for the class members.</w:t>
      </w:r>
      <w:r w:rsidR="00354272" w:rsidRPr="001A6BBA">
        <w:rPr>
          <w:lang w:val="en-CA"/>
        </w:rPr>
        <w:t xml:space="preserve"> </w:t>
      </w:r>
      <w:r w:rsidRPr="001A6BBA">
        <w:rPr>
          <w:lang w:val="en-CA"/>
        </w:rPr>
        <w:t xml:space="preserve">He found that </w:t>
      </w:r>
      <w:r w:rsidR="000A7024">
        <w:rPr>
          <w:lang w:val="en-CA"/>
        </w:rPr>
        <w:t>counsel</w:t>
      </w:r>
      <w:r w:rsidRPr="001A6BBA">
        <w:rPr>
          <w:lang w:val="en-CA"/>
        </w:rPr>
        <w:t xml:space="preserve"> had devoted a considerable amount of time to the file, that is, 3,479 hours, and that they </w:t>
      </w:r>
      <w:r w:rsidR="00AB3B8F">
        <w:rPr>
          <w:lang w:val="en-CA"/>
        </w:rPr>
        <w:t>would</w:t>
      </w:r>
      <w:r w:rsidRPr="001A6BBA">
        <w:rPr>
          <w:lang w:val="en-CA"/>
        </w:rPr>
        <w:t xml:space="preserve"> </w:t>
      </w:r>
      <w:r w:rsidR="00193ED3">
        <w:rPr>
          <w:lang w:val="en-CA"/>
        </w:rPr>
        <w:t xml:space="preserve">have to devote </w:t>
      </w:r>
      <w:r w:rsidRPr="001A6BBA">
        <w:rPr>
          <w:lang w:val="en-CA"/>
        </w:rPr>
        <w:t xml:space="preserve">at least </w:t>
      </w:r>
      <w:r w:rsidR="00193ED3">
        <w:rPr>
          <w:lang w:val="en-CA"/>
        </w:rPr>
        <w:t>another</w:t>
      </w:r>
      <w:r w:rsidR="00193ED3" w:rsidRPr="001A6BBA">
        <w:rPr>
          <w:lang w:val="en-CA"/>
        </w:rPr>
        <w:t xml:space="preserve"> </w:t>
      </w:r>
      <w:r w:rsidRPr="001A6BBA">
        <w:rPr>
          <w:lang w:val="en-CA"/>
        </w:rPr>
        <w:t>800 hours</w:t>
      </w:r>
      <w:r w:rsidR="00193ED3">
        <w:rPr>
          <w:lang w:val="en-CA"/>
        </w:rPr>
        <w:t xml:space="preserve"> to </w:t>
      </w:r>
      <w:r w:rsidR="00DC5A6D">
        <w:rPr>
          <w:lang w:val="en-CA"/>
        </w:rPr>
        <w:t>it</w:t>
      </w:r>
      <w:r w:rsidRPr="001A6BBA">
        <w:rPr>
          <w:lang w:val="en-CA"/>
        </w:rPr>
        <w:t>.</w:t>
      </w:r>
      <w:r w:rsidRPr="001A6BBA">
        <w:rPr>
          <w:rStyle w:val="Appelnotedebasdep"/>
          <w:lang w:val="en-CA"/>
        </w:rPr>
        <w:footnoteReference w:id="61"/>
      </w:r>
      <w:r w:rsidR="00354272" w:rsidRPr="001A6BBA">
        <w:rPr>
          <w:lang w:val="en-CA"/>
        </w:rPr>
        <w:t xml:space="preserve"> </w:t>
      </w:r>
      <w:r w:rsidR="005D4640" w:rsidRPr="001A6BBA">
        <w:rPr>
          <w:lang w:val="en-CA"/>
        </w:rPr>
        <w:t xml:space="preserve">He took into account the risk assumed by </w:t>
      </w:r>
      <w:r w:rsidR="00AB3B8F">
        <w:rPr>
          <w:lang w:val="en-CA"/>
        </w:rPr>
        <w:t>counsel</w:t>
      </w:r>
      <w:r w:rsidR="005D4640" w:rsidRPr="001A6BBA">
        <w:rPr>
          <w:lang w:val="en-CA"/>
        </w:rPr>
        <w:t xml:space="preserve">, but concluded that the professional fees claimed included a </w:t>
      </w:r>
      <w:r w:rsidR="00DC5A6D" w:rsidRPr="001A6BBA">
        <w:rPr>
          <w:lang w:val="en-CA"/>
        </w:rPr>
        <w:t>[</w:t>
      </w:r>
      <w:r w:rsidR="00DC5A6D" w:rsidRPr="001A6BBA">
        <w:rPr>
          <w:smallCaps/>
          <w:lang w:val="en-CA"/>
        </w:rPr>
        <w:t>translation]</w:t>
      </w:r>
      <w:r w:rsidR="00DC5A6D">
        <w:rPr>
          <w:lang w:val="en-CA"/>
        </w:rPr>
        <w:t xml:space="preserve"> “</w:t>
      </w:r>
      <w:r w:rsidR="005D4640" w:rsidRPr="001A6BBA">
        <w:rPr>
          <w:lang w:val="en-CA"/>
        </w:rPr>
        <w:t>risk premium</w:t>
      </w:r>
      <w:r w:rsidR="00DC5A6D">
        <w:rPr>
          <w:lang w:val="en-CA"/>
        </w:rPr>
        <w:t>”</w:t>
      </w:r>
      <w:r w:rsidR="005D4640" w:rsidRPr="001A6BBA">
        <w:rPr>
          <w:lang w:val="en-CA"/>
        </w:rPr>
        <w:t xml:space="preserve"> that was too high for the level of responsibility and risk applicable in this case, </w:t>
      </w:r>
      <w:r w:rsidR="002A248D">
        <w:rPr>
          <w:lang w:val="en-CA"/>
        </w:rPr>
        <w:t>which was of</w:t>
      </w:r>
      <w:r w:rsidR="005D4640" w:rsidRPr="001A6BBA">
        <w:rPr>
          <w:lang w:val="en-CA"/>
        </w:rPr>
        <w:t xml:space="preserve"> [</w:t>
      </w:r>
      <w:r w:rsidR="005D4640" w:rsidRPr="001A6BBA">
        <w:rPr>
          <w:smallCaps/>
          <w:lang w:val="en-CA"/>
        </w:rPr>
        <w:t>translation</w:t>
      </w:r>
      <w:r w:rsidR="002D1731" w:rsidRPr="001A6BBA">
        <w:rPr>
          <w:smallCaps/>
          <w:lang w:val="en-CA"/>
        </w:rPr>
        <w:t>]</w:t>
      </w:r>
      <w:r w:rsidR="005D4640" w:rsidRPr="001A6BBA">
        <w:rPr>
          <w:lang w:val="en-CA"/>
        </w:rPr>
        <w:t xml:space="preserve"> </w:t>
      </w:r>
      <w:r w:rsidR="00DC5A6D">
        <w:rPr>
          <w:lang w:val="en-CA"/>
        </w:rPr>
        <w:t>“</w:t>
      </w:r>
      <w:r w:rsidR="005D4640" w:rsidRPr="001A6BBA">
        <w:rPr>
          <w:lang w:val="en-CA"/>
        </w:rPr>
        <w:t xml:space="preserve">average </w:t>
      </w:r>
      <w:r w:rsidR="005D4640" w:rsidRPr="001A6BBA">
        <w:rPr>
          <w:lang w:val="en-CA"/>
        </w:rPr>
        <w:lastRenderedPageBreak/>
        <w:t>difficulty and overall risk</w:t>
      </w:r>
      <w:r w:rsidR="00DC5A6D">
        <w:rPr>
          <w:lang w:val="en-CA"/>
        </w:rPr>
        <w:t>”</w:t>
      </w:r>
      <w:r w:rsidR="005D4640" w:rsidRPr="001A6BBA">
        <w:rPr>
          <w:lang w:val="en-CA"/>
        </w:rPr>
        <w:t>.</w:t>
      </w:r>
      <w:r w:rsidR="00354272" w:rsidRPr="001A6BBA">
        <w:rPr>
          <w:rStyle w:val="Appelnotedebasdep"/>
          <w:lang w:val="en-CA"/>
        </w:rPr>
        <w:footnoteReference w:id="62"/>
      </w:r>
      <w:r w:rsidR="00637E3A">
        <w:rPr>
          <w:lang w:val="en-CA"/>
        </w:rPr>
        <w:t xml:space="preserve"> </w:t>
      </w:r>
      <w:r w:rsidR="005D4640" w:rsidRPr="001A6BBA">
        <w:rPr>
          <w:lang w:val="en-CA"/>
        </w:rPr>
        <w:t>The judge</w:t>
      </w:r>
      <w:r w:rsidR="00DC5A6D">
        <w:rPr>
          <w:lang w:val="en-CA"/>
        </w:rPr>
        <w:t>’</w:t>
      </w:r>
      <w:r w:rsidR="005D4640" w:rsidRPr="001A6BBA">
        <w:rPr>
          <w:lang w:val="en-CA"/>
        </w:rPr>
        <w:t xml:space="preserve">s determination that the level of risk assumed was average is surprising, insofar as </w:t>
      </w:r>
      <w:r w:rsidR="00DC5A6D" w:rsidRPr="001A6BBA">
        <w:rPr>
          <w:lang w:val="en-CA"/>
        </w:rPr>
        <w:t xml:space="preserve">he wrote </w:t>
      </w:r>
      <w:r w:rsidR="005D4640" w:rsidRPr="001A6BBA">
        <w:rPr>
          <w:lang w:val="en-CA"/>
        </w:rPr>
        <w:t>at para. 73 of his judgment</w:t>
      </w:r>
      <w:r w:rsidR="002D1731" w:rsidRPr="001A6BBA">
        <w:rPr>
          <w:lang w:val="en-CA"/>
        </w:rPr>
        <w:t xml:space="preserve"> </w:t>
      </w:r>
      <w:r w:rsidR="005D4640" w:rsidRPr="001A6BBA">
        <w:rPr>
          <w:lang w:val="en-CA"/>
        </w:rPr>
        <w:t xml:space="preserve">that </w:t>
      </w:r>
      <w:r w:rsidR="002D1731" w:rsidRPr="001A6BBA">
        <w:rPr>
          <w:lang w:val="en-CA"/>
        </w:rPr>
        <w:t>[</w:t>
      </w:r>
      <w:r w:rsidR="002D1731" w:rsidRPr="001A6BBA">
        <w:rPr>
          <w:smallCaps/>
          <w:lang w:val="en-CA"/>
        </w:rPr>
        <w:t>translation]</w:t>
      </w:r>
      <w:r w:rsidR="002D1731" w:rsidRPr="001A6BBA">
        <w:rPr>
          <w:lang w:val="en-CA"/>
        </w:rPr>
        <w:t xml:space="preserve"> </w:t>
      </w:r>
      <w:r w:rsidR="00DC5A6D">
        <w:rPr>
          <w:lang w:val="en-CA"/>
        </w:rPr>
        <w:t>“counsel</w:t>
      </w:r>
      <w:r w:rsidR="005D4640" w:rsidRPr="001A6BBA">
        <w:rPr>
          <w:lang w:val="en-CA"/>
        </w:rPr>
        <w:t xml:space="preserve"> have assumed an enormous risk in taking this case</w:t>
      </w:r>
      <w:r w:rsidR="00DC5A6D">
        <w:rPr>
          <w:lang w:val="en-CA"/>
        </w:rPr>
        <w:t>”</w:t>
      </w:r>
      <w:r w:rsidR="005D4640" w:rsidRPr="001A6BBA">
        <w:rPr>
          <w:lang w:val="en-CA"/>
        </w:rPr>
        <w:t>.</w:t>
      </w:r>
      <w:r w:rsidR="00354272" w:rsidRPr="001A6BBA">
        <w:rPr>
          <w:rStyle w:val="Appelnotedebasdep"/>
          <w:lang w:val="en-CA"/>
        </w:rPr>
        <w:footnoteReference w:id="63"/>
      </w:r>
      <w:bookmarkEnd w:id="35"/>
    </w:p>
    <w:p w14:paraId="730C0F9B" w14:textId="0D24DFDB" w:rsidR="00E53512" w:rsidRPr="001A6BBA" w:rsidRDefault="002D1731" w:rsidP="002E7C51">
      <w:pPr>
        <w:pStyle w:val="Paragraphe"/>
        <w:spacing w:line="280" w:lineRule="exact"/>
        <w:rPr>
          <w:lang w:val="en-CA"/>
        </w:rPr>
      </w:pPr>
      <w:r w:rsidRPr="001A6BBA">
        <w:rPr>
          <w:lang w:val="en-CA"/>
        </w:rPr>
        <w:t>Given the judge</w:t>
      </w:r>
      <w:r w:rsidR="007C56E5">
        <w:rPr>
          <w:lang w:val="en-CA"/>
        </w:rPr>
        <w:t>’</w:t>
      </w:r>
      <w:r w:rsidRPr="001A6BBA">
        <w:rPr>
          <w:lang w:val="en-CA"/>
        </w:rPr>
        <w:t xml:space="preserve">s findings </w:t>
      </w:r>
      <w:r w:rsidR="007C56E5">
        <w:rPr>
          <w:lang w:val="en-CA"/>
        </w:rPr>
        <w:t>on</w:t>
      </w:r>
      <w:r w:rsidRPr="001A6BBA">
        <w:rPr>
          <w:lang w:val="en-CA"/>
        </w:rPr>
        <w:t xml:space="preserve"> the criteria for assessing professional fees other than the time spent on the file by </w:t>
      </w:r>
      <w:r w:rsidR="00AB3B8F">
        <w:rPr>
          <w:lang w:val="en-CA"/>
        </w:rPr>
        <w:t>counsel</w:t>
      </w:r>
      <w:r w:rsidRPr="001A6BBA">
        <w:rPr>
          <w:lang w:val="en-CA"/>
        </w:rPr>
        <w:t>, the Court concludes that the amount of professional fees now claimed by the class members</w:t>
      </w:r>
      <w:r w:rsidR="007C56E5">
        <w:rPr>
          <w:lang w:val="en-CA"/>
        </w:rPr>
        <w:t>’</w:t>
      </w:r>
      <w:r w:rsidRPr="001A6BBA">
        <w:rPr>
          <w:lang w:val="en-CA"/>
        </w:rPr>
        <w:t xml:space="preserve"> </w:t>
      </w:r>
      <w:r w:rsidR="00AB3B8F">
        <w:rPr>
          <w:lang w:val="en-CA"/>
        </w:rPr>
        <w:t>counsel</w:t>
      </w:r>
      <w:r w:rsidRPr="001A6BBA">
        <w:rPr>
          <w:lang w:val="en-CA"/>
        </w:rPr>
        <w:t>, that is, 20% of the settlement fund, is reasonable.</w:t>
      </w:r>
    </w:p>
    <w:p w14:paraId="44094C67" w14:textId="6852F213" w:rsidR="002E7C51" w:rsidRDefault="002D1731" w:rsidP="002E7C51">
      <w:pPr>
        <w:pStyle w:val="Paragraphe"/>
        <w:spacing w:line="280" w:lineRule="exact"/>
        <w:rPr>
          <w:lang w:val="en-CA"/>
        </w:rPr>
      </w:pPr>
      <w:r w:rsidRPr="001A6BBA">
        <w:rPr>
          <w:lang w:val="en-CA"/>
        </w:rPr>
        <w:t xml:space="preserve"> At trial</w:t>
      </w:r>
      <w:r w:rsidR="00354272" w:rsidRPr="001A6BBA">
        <w:rPr>
          <w:lang w:val="en-CA"/>
        </w:rPr>
        <w:t xml:space="preserve">, </w:t>
      </w:r>
      <w:r w:rsidRPr="001A6BBA">
        <w:rPr>
          <w:lang w:val="en-CA"/>
        </w:rPr>
        <w:t xml:space="preserve">all of the parties agreed </w:t>
      </w:r>
      <w:r w:rsidR="00607747">
        <w:rPr>
          <w:lang w:val="en-CA"/>
        </w:rPr>
        <w:t>to</w:t>
      </w:r>
      <w:r w:rsidR="00607747" w:rsidRPr="001A6BBA">
        <w:rPr>
          <w:lang w:val="en-CA"/>
        </w:rPr>
        <w:t xml:space="preserve"> </w:t>
      </w:r>
      <w:r w:rsidRPr="001A6BBA">
        <w:rPr>
          <w:lang w:val="en-CA"/>
        </w:rPr>
        <w:t xml:space="preserve">the amount of </w:t>
      </w:r>
      <w:r w:rsidR="00D65514" w:rsidRPr="001A6BBA">
        <w:rPr>
          <w:lang w:val="en-CA"/>
        </w:rPr>
        <w:t>professional fees</w:t>
      </w:r>
      <w:r w:rsidR="00354272" w:rsidRPr="001A6BBA">
        <w:rPr>
          <w:lang w:val="en-CA"/>
        </w:rPr>
        <w:t xml:space="preserve"> </w:t>
      </w:r>
      <w:r w:rsidRPr="001A6BBA">
        <w:rPr>
          <w:lang w:val="en-CA"/>
        </w:rPr>
        <w:t xml:space="preserve">set out in the agreement, </w:t>
      </w:r>
      <w:r w:rsidR="00AB3B8F" w:rsidRPr="001A6BBA">
        <w:rPr>
          <w:lang w:val="en-CA"/>
        </w:rPr>
        <w:t>that is, $7,000,000 (25% of the settlement fund)</w:t>
      </w:r>
      <w:r w:rsidR="00AB3B8F">
        <w:rPr>
          <w:lang w:val="en-CA"/>
        </w:rPr>
        <w:t>,</w:t>
      </w:r>
      <w:r w:rsidR="00AB3B8F" w:rsidRPr="001A6BBA">
        <w:rPr>
          <w:lang w:val="en-CA"/>
        </w:rPr>
        <w:t xml:space="preserve"> </w:t>
      </w:r>
      <w:r w:rsidRPr="001A6BBA">
        <w:rPr>
          <w:lang w:val="en-CA"/>
        </w:rPr>
        <w:t>or did not contest it</w:t>
      </w:r>
      <w:r w:rsidR="00AB3B8F">
        <w:rPr>
          <w:lang w:val="en-CA"/>
        </w:rPr>
        <w:t xml:space="preserve">. </w:t>
      </w:r>
      <w:r w:rsidRPr="009F222C">
        <w:rPr>
          <w:rFonts w:cs="Arial"/>
          <w:color w:val="000000"/>
          <w:lang w:val="en-CA"/>
        </w:rPr>
        <w:t>Only the</w:t>
      </w:r>
      <w:r w:rsidR="00354272" w:rsidRPr="009F222C">
        <w:rPr>
          <w:lang w:val="en-CA"/>
        </w:rPr>
        <w:t xml:space="preserve"> </w:t>
      </w:r>
      <w:r w:rsidR="007C5C97" w:rsidRPr="009F222C">
        <w:rPr>
          <w:lang w:val="en-CA"/>
        </w:rPr>
        <w:t>dissenting member</w:t>
      </w:r>
      <w:r w:rsidR="00354272" w:rsidRPr="009F222C">
        <w:rPr>
          <w:lang w:val="en-CA"/>
        </w:rPr>
        <w:t xml:space="preserve"> </w:t>
      </w:r>
      <w:r w:rsidRPr="009F222C">
        <w:rPr>
          <w:lang w:val="en-CA"/>
        </w:rPr>
        <w:t>contested the</w:t>
      </w:r>
      <w:r w:rsidR="00354272" w:rsidRPr="009F222C">
        <w:rPr>
          <w:lang w:val="en-CA"/>
        </w:rPr>
        <w:t xml:space="preserve"> </w:t>
      </w:r>
      <w:r w:rsidR="00D65514" w:rsidRPr="009F222C">
        <w:rPr>
          <w:lang w:val="en-CA"/>
        </w:rPr>
        <w:t>professional fees</w:t>
      </w:r>
      <w:r w:rsidR="00354272" w:rsidRPr="009F222C">
        <w:rPr>
          <w:lang w:val="en-CA"/>
        </w:rPr>
        <w:t xml:space="preserve"> </w:t>
      </w:r>
      <w:r w:rsidR="00465B4E" w:rsidRPr="009F222C">
        <w:rPr>
          <w:lang w:val="en-CA"/>
        </w:rPr>
        <w:t>claimed</w:t>
      </w:r>
      <w:r w:rsidR="00354272" w:rsidRPr="009F222C">
        <w:rPr>
          <w:lang w:val="en-CA"/>
        </w:rPr>
        <w:t>.</w:t>
      </w:r>
      <w:r w:rsidR="00354272" w:rsidRPr="001A6BBA">
        <w:rPr>
          <w:lang w:val="en-CA"/>
        </w:rPr>
        <w:t xml:space="preserve"> </w:t>
      </w:r>
      <w:r w:rsidR="00AB3B8F">
        <w:rPr>
          <w:lang w:val="en-CA"/>
        </w:rPr>
        <w:t>The judge wrote the following about the dissenting member:</w:t>
      </w:r>
    </w:p>
    <w:p w14:paraId="27B455E8" w14:textId="72AE5E5C" w:rsidR="00607747" w:rsidRPr="001A6BBA" w:rsidRDefault="00607747" w:rsidP="004A70D3">
      <w:pPr>
        <w:pStyle w:val="Paragraphe"/>
        <w:numPr>
          <w:ilvl w:val="0"/>
          <w:numId w:val="0"/>
        </w:numPr>
        <w:spacing w:line="280" w:lineRule="exact"/>
        <w:ind w:left="720"/>
        <w:rPr>
          <w:lang w:val="en-CA"/>
        </w:rPr>
      </w:pPr>
      <w:r>
        <w:rPr>
          <w:lang w:val="en-CA"/>
        </w:rPr>
        <w:t>[</w:t>
      </w:r>
      <w:r w:rsidRPr="004A70D3">
        <w:rPr>
          <w:smallCaps/>
          <w:lang w:val="en-CA"/>
        </w:rPr>
        <w:t>translation</w:t>
      </w:r>
      <w:r>
        <w:rPr>
          <w:lang w:val="en-CA"/>
        </w:rPr>
        <w:t>]</w:t>
      </w:r>
    </w:p>
    <w:p w14:paraId="33C4D320" w14:textId="62908E57" w:rsidR="002E7C51" w:rsidRDefault="00354272" w:rsidP="002E7C51">
      <w:pPr>
        <w:pStyle w:val="Citationenretrait"/>
        <w:rPr>
          <w:lang w:val="en-CA"/>
        </w:rPr>
      </w:pPr>
      <w:r w:rsidRPr="001A6BBA">
        <w:rPr>
          <w:lang w:val="en-CA"/>
        </w:rPr>
        <w:t xml:space="preserve">[40]      </w:t>
      </w:r>
      <w:r w:rsidR="00273DF5" w:rsidRPr="001A6BBA">
        <w:rPr>
          <w:lang w:val="en-CA"/>
        </w:rPr>
        <w:t>W</w:t>
      </w:r>
      <w:r w:rsidR="00273DF5">
        <w:rPr>
          <w:lang w:val="en-CA"/>
        </w:rPr>
        <w:t>i</w:t>
      </w:r>
      <w:r w:rsidR="00273DF5" w:rsidRPr="001A6BBA">
        <w:rPr>
          <w:lang w:val="en-CA"/>
        </w:rPr>
        <w:t xml:space="preserve">th </w:t>
      </w:r>
      <w:r w:rsidR="00E53512" w:rsidRPr="001A6BBA">
        <w:rPr>
          <w:lang w:val="en-CA"/>
        </w:rPr>
        <w:t>respect</w:t>
      </w:r>
      <w:r w:rsidRPr="001A6BBA">
        <w:rPr>
          <w:lang w:val="en-CA"/>
        </w:rPr>
        <w:t xml:space="preserve">, </w:t>
      </w:r>
      <w:r w:rsidR="00E53512" w:rsidRPr="001A6BBA">
        <w:rPr>
          <w:lang w:val="en-CA"/>
        </w:rPr>
        <w:t>the</w:t>
      </w:r>
      <w:r w:rsidRPr="001A6BBA">
        <w:rPr>
          <w:lang w:val="en-CA"/>
        </w:rPr>
        <w:t xml:space="preserve"> </w:t>
      </w:r>
      <w:r w:rsidR="007C5C97" w:rsidRPr="001A6BBA">
        <w:rPr>
          <w:lang w:val="en-CA"/>
        </w:rPr>
        <w:t>dissenting member</w:t>
      </w:r>
      <w:r w:rsidRPr="001A6BBA">
        <w:rPr>
          <w:lang w:val="en-CA"/>
        </w:rPr>
        <w:t xml:space="preserve"> </w:t>
      </w:r>
      <w:r w:rsidR="00E53512" w:rsidRPr="001A6BBA">
        <w:rPr>
          <w:lang w:val="en-CA"/>
        </w:rPr>
        <w:t xml:space="preserve">does not understand that it is common practice in class actions to sign professional fee agreements that </w:t>
      </w:r>
      <w:r w:rsidR="00A17C80">
        <w:rPr>
          <w:lang w:val="en-CA"/>
        </w:rPr>
        <w:t xml:space="preserve">must </w:t>
      </w:r>
      <w:r w:rsidR="00A17C80" w:rsidRPr="001A6BBA">
        <w:rPr>
          <w:lang w:val="en-CA"/>
        </w:rPr>
        <w:t xml:space="preserve">ultimately </w:t>
      </w:r>
      <w:r w:rsidR="00E74A4A">
        <w:rPr>
          <w:lang w:val="en-CA"/>
        </w:rPr>
        <w:t xml:space="preserve">be </w:t>
      </w:r>
      <w:r w:rsidR="00E53512" w:rsidRPr="001A6BBA">
        <w:rPr>
          <w:lang w:val="en-CA"/>
        </w:rPr>
        <w:t xml:space="preserve">submitted to the </w:t>
      </w:r>
      <w:r w:rsidR="00A17C80">
        <w:rPr>
          <w:lang w:val="en-CA"/>
        </w:rPr>
        <w:t>C</w:t>
      </w:r>
      <w:r w:rsidR="00E53512" w:rsidRPr="001A6BBA">
        <w:rPr>
          <w:lang w:val="en-CA"/>
        </w:rPr>
        <w:t>ourt</w:t>
      </w:r>
      <w:r w:rsidRPr="001A6BBA">
        <w:rPr>
          <w:lang w:val="en-CA"/>
        </w:rPr>
        <w:t>.</w:t>
      </w:r>
      <w:r w:rsidRPr="001A6BBA">
        <w:rPr>
          <w:rStyle w:val="Appelnotedebasdep"/>
          <w:lang w:val="en-CA"/>
        </w:rPr>
        <w:footnoteReference w:id="64"/>
      </w:r>
    </w:p>
    <w:p w14:paraId="20E445F3" w14:textId="456FCA71" w:rsidR="002E7C51" w:rsidRPr="001A6BBA" w:rsidRDefault="00E53512" w:rsidP="002E7C51">
      <w:pPr>
        <w:pStyle w:val="Paragraphe"/>
        <w:numPr>
          <w:ilvl w:val="0"/>
          <w:numId w:val="0"/>
        </w:numPr>
        <w:spacing w:line="280" w:lineRule="exact"/>
        <w:rPr>
          <w:lang w:val="en-CA"/>
        </w:rPr>
      </w:pPr>
      <w:r w:rsidRPr="001A6BBA">
        <w:rPr>
          <w:lang w:val="en-CA"/>
        </w:rPr>
        <w:t>Since a majority of</w:t>
      </w:r>
      <w:r w:rsidR="00354272" w:rsidRPr="001A6BBA">
        <w:rPr>
          <w:lang w:val="en-CA"/>
        </w:rPr>
        <w:t xml:space="preserve"> </w:t>
      </w:r>
      <w:r w:rsidR="00D65514" w:rsidRPr="001A6BBA">
        <w:rPr>
          <w:lang w:val="en-CA"/>
        </w:rPr>
        <w:t>class members</w:t>
      </w:r>
      <w:r w:rsidR="00354272" w:rsidRPr="001A6BBA">
        <w:rPr>
          <w:lang w:val="en-CA"/>
        </w:rPr>
        <w:t xml:space="preserve"> </w:t>
      </w:r>
      <w:r w:rsidRPr="001A6BBA">
        <w:rPr>
          <w:lang w:val="en-CA"/>
        </w:rPr>
        <w:t xml:space="preserve">agreed at trial with </w:t>
      </w:r>
      <w:r w:rsidR="00D65514" w:rsidRPr="001A6BBA">
        <w:rPr>
          <w:lang w:val="en-CA"/>
        </w:rPr>
        <w:t>professional fees</w:t>
      </w:r>
      <w:r w:rsidR="00354272" w:rsidRPr="001A6BBA">
        <w:rPr>
          <w:lang w:val="en-CA"/>
        </w:rPr>
        <w:t xml:space="preserve"> </w:t>
      </w:r>
      <w:r w:rsidRPr="001A6BBA">
        <w:rPr>
          <w:lang w:val="en-CA"/>
        </w:rPr>
        <w:t>representing</w:t>
      </w:r>
      <w:r w:rsidR="00354272" w:rsidRPr="001A6BBA">
        <w:rPr>
          <w:lang w:val="en-CA"/>
        </w:rPr>
        <w:t xml:space="preserve"> 25% </w:t>
      </w:r>
      <w:r w:rsidRPr="001A6BBA">
        <w:rPr>
          <w:lang w:val="en-CA"/>
        </w:rPr>
        <w:t>of the</w:t>
      </w:r>
      <w:r w:rsidR="00354272" w:rsidRPr="001A6BBA">
        <w:rPr>
          <w:lang w:val="en-CA"/>
        </w:rPr>
        <w:t xml:space="preserve"> </w:t>
      </w:r>
      <w:r w:rsidR="00D65514" w:rsidRPr="001A6BBA">
        <w:rPr>
          <w:lang w:val="en-CA"/>
        </w:rPr>
        <w:t>settlement fund</w:t>
      </w:r>
      <w:r w:rsidR="00354272" w:rsidRPr="001A6BBA">
        <w:rPr>
          <w:lang w:val="en-CA"/>
        </w:rPr>
        <w:t xml:space="preserve">, </w:t>
      </w:r>
      <w:r w:rsidRPr="001A6BBA">
        <w:rPr>
          <w:lang w:val="en-CA"/>
        </w:rPr>
        <w:t xml:space="preserve">it can be assumed that they agree with </w:t>
      </w:r>
      <w:r w:rsidR="00D65514" w:rsidRPr="001A6BBA">
        <w:rPr>
          <w:lang w:val="en-CA"/>
        </w:rPr>
        <w:t>professional fees</w:t>
      </w:r>
      <w:r w:rsidR="00354272" w:rsidRPr="001A6BBA">
        <w:rPr>
          <w:lang w:val="en-CA"/>
        </w:rPr>
        <w:t xml:space="preserve"> correspond</w:t>
      </w:r>
      <w:r w:rsidRPr="001A6BBA">
        <w:rPr>
          <w:lang w:val="en-CA"/>
        </w:rPr>
        <w:t>ing to</w:t>
      </w:r>
      <w:r w:rsidR="00354272" w:rsidRPr="001A6BBA">
        <w:rPr>
          <w:lang w:val="en-CA"/>
        </w:rPr>
        <w:t xml:space="preserve"> 20</w:t>
      </w:r>
      <w:r w:rsidR="00354272" w:rsidRPr="001A6BBA">
        <w:rPr>
          <w:rFonts w:cs="Arial"/>
          <w:color w:val="000000"/>
          <w:lang w:val="en-CA"/>
        </w:rPr>
        <w:t xml:space="preserve">% </w:t>
      </w:r>
      <w:r w:rsidRPr="001A6BBA">
        <w:rPr>
          <w:rFonts w:cs="Arial"/>
          <w:color w:val="000000"/>
          <w:lang w:val="en-CA"/>
        </w:rPr>
        <w:t>of the</w:t>
      </w:r>
      <w:r w:rsidR="00354272" w:rsidRPr="001A6BBA">
        <w:rPr>
          <w:rFonts w:cs="Arial"/>
          <w:color w:val="000000"/>
          <w:lang w:val="en-CA"/>
        </w:rPr>
        <w:t xml:space="preserve"> </w:t>
      </w:r>
      <w:r w:rsidR="00D65514" w:rsidRPr="001A6BBA">
        <w:rPr>
          <w:rFonts w:cs="Arial"/>
          <w:color w:val="000000"/>
          <w:lang w:val="en-CA"/>
        </w:rPr>
        <w:t>settlement fund</w:t>
      </w:r>
      <w:r w:rsidR="00354272" w:rsidRPr="001A6BBA">
        <w:rPr>
          <w:rFonts w:cs="Arial"/>
          <w:color w:val="000000"/>
          <w:lang w:val="en-CA"/>
        </w:rPr>
        <w:t>.</w:t>
      </w:r>
    </w:p>
    <w:p w14:paraId="705C2E27" w14:textId="0B5584F4" w:rsidR="002E7C51" w:rsidRPr="001A6BBA" w:rsidRDefault="00607747" w:rsidP="002E7C51">
      <w:pPr>
        <w:pStyle w:val="Paragraphe"/>
        <w:spacing w:line="280" w:lineRule="exact"/>
        <w:rPr>
          <w:lang w:val="en-CA"/>
        </w:rPr>
      </w:pPr>
      <w:r>
        <w:rPr>
          <w:lang w:val="en-CA"/>
        </w:rPr>
        <w:t>Since t</w:t>
      </w:r>
      <w:r w:rsidR="00117DE9" w:rsidRPr="001A6BBA">
        <w:rPr>
          <w:lang w:val="en-CA"/>
        </w:rPr>
        <w:t>he judge did not determine the amount of the</w:t>
      </w:r>
      <w:r w:rsidR="00354272" w:rsidRPr="001A6BBA">
        <w:rPr>
          <w:lang w:val="en-CA"/>
        </w:rPr>
        <w:t xml:space="preserve"> </w:t>
      </w:r>
      <w:r w:rsidR="00D65514" w:rsidRPr="001A6BBA">
        <w:rPr>
          <w:lang w:val="en-CA"/>
        </w:rPr>
        <w:t>professional fees</w:t>
      </w:r>
      <w:r w:rsidR="00354272" w:rsidRPr="001A6BBA">
        <w:rPr>
          <w:lang w:val="en-CA"/>
        </w:rPr>
        <w:t xml:space="preserve">, </w:t>
      </w:r>
      <w:r w:rsidR="00117DE9" w:rsidRPr="001A6BBA">
        <w:rPr>
          <w:lang w:val="en-CA"/>
        </w:rPr>
        <w:t xml:space="preserve">the Court has no other choice than to </w:t>
      </w:r>
      <w:r w:rsidR="00AB3B8F">
        <w:rPr>
          <w:lang w:val="en-CA"/>
        </w:rPr>
        <w:t>d</w:t>
      </w:r>
      <w:r w:rsidR="00117DE9" w:rsidRPr="001A6BBA">
        <w:rPr>
          <w:lang w:val="en-CA"/>
        </w:rPr>
        <w:t>o so. Returning the file to the Superior Court to rule on this issue whe</w:t>
      </w:r>
      <w:r w:rsidR="00AB3B8F">
        <w:rPr>
          <w:lang w:val="en-CA"/>
        </w:rPr>
        <w:t xml:space="preserve">n </w:t>
      </w:r>
      <w:r w:rsidR="00117DE9" w:rsidRPr="001A6BBA">
        <w:rPr>
          <w:lang w:val="en-CA"/>
        </w:rPr>
        <w:t xml:space="preserve">this Court has the necessary evidence to decide </w:t>
      </w:r>
      <w:r w:rsidR="00224EF6">
        <w:rPr>
          <w:lang w:val="en-CA"/>
        </w:rPr>
        <w:t>it</w:t>
      </w:r>
      <w:r w:rsidR="00117DE9" w:rsidRPr="001A6BBA">
        <w:rPr>
          <w:lang w:val="en-CA"/>
        </w:rPr>
        <w:t xml:space="preserve"> would not be in the best interests of justice.</w:t>
      </w:r>
      <w:r w:rsidR="00354272" w:rsidRPr="001A6BBA">
        <w:rPr>
          <w:rStyle w:val="Appelnotedebasdep"/>
          <w:lang w:val="en-CA"/>
        </w:rPr>
        <w:footnoteReference w:id="65"/>
      </w:r>
      <w:r>
        <w:rPr>
          <w:lang w:val="en-CA"/>
        </w:rPr>
        <w:t xml:space="preserve"> </w:t>
      </w:r>
      <w:r w:rsidR="00117DE9" w:rsidRPr="001A6BBA">
        <w:rPr>
          <w:lang w:val="en-CA"/>
        </w:rPr>
        <w:t xml:space="preserve">Litigants are entitled to expect courts to do what is required for the efficient resolution of disputes. Furthermore, the parties agree that the Court should determine the amount of the </w:t>
      </w:r>
      <w:r w:rsidR="00D65514" w:rsidRPr="009F222C">
        <w:rPr>
          <w:lang w:val="en-CA"/>
        </w:rPr>
        <w:t>professional fees</w:t>
      </w:r>
      <w:r w:rsidR="00354272" w:rsidRPr="009F222C">
        <w:rPr>
          <w:lang w:val="en-CA"/>
        </w:rPr>
        <w:t>.</w:t>
      </w:r>
    </w:p>
    <w:p w14:paraId="1B6374D3" w14:textId="01F209B5" w:rsidR="002E7C51" w:rsidRPr="001A6BBA" w:rsidRDefault="00AB3B8F" w:rsidP="002E7C51">
      <w:pPr>
        <w:pStyle w:val="Paragraphe"/>
        <w:spacing w:line="280" w:lineRule="exact"/>
        <w:rPr>
          <w:lang w:val="en-CA"/>
        </w:rPr>
      </w:pPr>
      <w:r>
        <w:rPr>
          <w:lang w:val="en-CA"/>
        </w:rPr>
        <w:t>P</w:t>
      </w:r>
      <w:r w:rsidR="00D65514" w:rsidRPr="001A6BBA">
        <w:rPr>
          <w:lang w:val="en-CA"/>
        </w:rPr>
        <w:t>rofessional fees</w:t>
      </w:r>
      <w:r w:rsidR="00354272" w:rsidRPr="001A6BBA">
        <w:rPr>
          <w:lang w:val="en-CA"/>
        </w:rPr>
        <w:t xml:space="preserve"> </w:t>
      </w:r>
      <w:r w:rsidR="001A6BBA" w:rsidRPr="001A6BBA">
        <w:rPr>
          <w:lang w:val="en-CA"/>
        </w:rPr>
        <w:t>representing a percentage of</w:t>
      </w:r>
      <w:r w:rsidR="00354272" w:rsidRPr="001A6BBA">
        <w:rPr>
          <w:lang w:val="en-CA"/>
        </w:rPr>
        <w:t xml:space="preserve"> 20</w:t>
      </w:r>
      <w:r w:rsidR="00354272" w:rsidRPr="001A6BBA">
        <w:rPr>
          <w:rFonts w:cs="Arial"/>
          <w:color w:val="000000"/>
          <w:lang w:val="en-CA"/>
        </w:rPr>
        <w:t xml:space="preserve">% </w:t>
      </w:r>
      <w:r w:rsidR="00354272" w:rsidRPr="001A6BBA">
        <w:rPr>
          <w:lang w:val="en-CA"/>
        </w:rPr>
        <w:t>(</w:t>
      </w:r>
      <w:r w:rsidR="00891A29" w:rsidRPr="001A6BBA">
        <w:rPr>
          <w:lang w:val="en-CA"/>
        </w:rPr>
        <w:t>$</w:t>
      </w:r>
      <w:r w:rsidR="00354272" w:rsidRPr="001A6BBA">
        <w:rPr>
          <w:lang w:val="en-CA"/>
        </w:rPr>
        <w:t>5</w:t>
      </w:r>
      <w:r w:rsidR="00891A29" w:rsidRPr="001A6BBA">
        <w:rPr>
          <w:lang w:val="en-CA"/>
        </w:rPr>
        <w:t>,</w:t>
      </w:r>
      <w:r w:rsidR="00354272" w:rsidRPr="001A6BBA">
        <w:rPr>
          <w:lang w:val="en-CA"/>
        </w:rPr>
        <w:t>600</w:t>
      </w:r>
      <w:r w:rsidR="00891A29" w:rsidRPr="001A6BBA">
        <w:rPr>
          <w:lang w:val="en-CA"/>
        </w:rPr>
        <w:t>,</w:t>
      </w:r>
      <w:r w:rsidR="00354272" w:rsidRPr="001A6BBA">
        <w:rPr>
          <w:lang w:val="en-CA"/>
        </w:rPr>
        <w:t xml:space="preserve">000 (plus taxes)) </w:t>
      </w:r>
      <w:r w:rsidR="001A6BBA" w:rsidRPr="001A6BBA">
        <w:rPr>
          <w:lang w:val="en-CA"/>
        </w:rPr>
        <w:t>are reasonable in light of all of the factors noted by the judge himself and listed above.</w:t>
      </w:r>
      <w:r w:rsidR="00354272" w:rsidRPr="001A6BBA">
        <w:rPr>
          <w:lang w:val="en-CA"/>
        </w:rPr>
        <w:t xml:space="preserve"> </w:t>
      </w:r>
    </w:p>
    <w:p w14:paraId="5185706F" w14:textId="10EDE4F8" w:rsidR="002E7C51" w:rsidRPr="001A6BBA" w:rsidRDefault="001A6BBA" w:rsidP="002E7C51">
      <w:pPr>
        <w:pStyle w:val="Paragraphe"/>
        <w:spacing w:line="280" w:lineRule="exact"/>
        <w:rPr>
          <w:lang w:val="en-CA"/>
        </w:rPr>
      </w:pPr>
      <w:r w:rsidRPr="009F222C">
        <w:rPr>
          <w:lang w:val="en-CA"/>
        </w:rPr>
        <w:t xml:space="preserve">The application of the multiplier method confirms the reasonableness of </w:t>
      </w:r>
      <w:r w:rsidR="00224EF6">
        <w:rPr>
          <w:lang w:val="en-CA"/>
        </w:rPr>
        <w:t xml:space="preserve">the </w:t>
      </w:r>
      <w:r w:rsidRPr="009F222C">
        <w:rPr>
          <w:lang w:val="en-CA"/>
        </w:rPr>
        <w:t xml:space="preserve">professional fees now claimed by </w:t>
      </w:r>
      <w:r w:rsidR="0021741F">
        <w:rPr>
          <w:lang w:val="en-CA"/>
        </w:rPr>
        <w:t xml:space="preserve">class members’ </w:t>
      </w:r>
      <w:r w:rsidR="00AB3B8F">
        <w:rPr>
          <w:lang w:val="en-CA"/>
        </w:rPr>
        <w:t>counsel.</w:t>
      </w:r>
      <w:r w:rsidR="00354272" w:rsidRPr="001A6BBA">
        <w:rPr>
          <w:lang w:val="en-CA"/>
        </w:rPr>
        <w:t xml:space="preserve"> </w:t>
      </w:r>
      <w:r w:rsidRPr="001A6BBA">
        <w:rPr>
          <w:lang w:val="en-CA"/>
        </w:rPr>
        <w:t xml:space="preserve">Applying an hourly rate of $250 (which was the rate indicated in the professional fee agreement if the mandate </w:t>
      </w:r>
      <w:r w:rsidR="00AB3B8F">
        <w:rPr>
          <w:lang w:val="en-CA"/>
        </w:rPr>
        <w:t>was</w:t>
      </w:r>
      <w:r w:rsidRPr="001A6BBA">
        <w:rPr>
          <w:lang w:val="en-CA"/>
        </w:rPr>
        <w:t xml:space="preserve"> revoked) to the hours </w:t>
      </w:r>
      <w:r w:rsidR="00872524">
        <w:rPr>
          <w:lang w:val="en-CA"/>
        </w:rPr>
        <w:t>of work completed</w:t>
      </w:r>
      <w:r w:rsidRPr="001A6BBA">
        <w:rPr>
          <w:lang w:val="en-CA"/>
        </w:rPr>
        <w:t xml:space="preserve"> (3,479) and to </w:t>
      </w:r>
      <w:r w:rsidR="00872524">
        <w:rPr>
          <w:lang w:val="en-CA"/>
        </w:rPr>
        <w:t>remaining</w:t>
      </w:r>
      <w:r w:rsidR="00224EF6">
        <w:rPr>
          <w:lang w:val="en-CA"/>
        </w:rPr>
        <w:t xml:space="preserve"> hours</w:t>
      </w:r>
      <w:r w:rsidRPr="001A6BBA">
        <w:rPr>
          <w:lang w:val="en-CA"/>
        </w:rPr>
        <w:t xml:space="preserve"> (800), the amount of professional fees would be $1,069,750.</w:t>
      </w:r>
      <w:r w:rsidR="00354272" w:rsidRPr="001A6BBA">
        <w:rPr>
          <w:lang w:val="en-CA"/>
        </w:rPr>
        <w:t xml:space="preserve"> </w:t>
      </w:r>
      <w:r w:rsidRPr="001A6BBA">
        <w:rPr>
          <w:lang w:val="en-CA"/>
        </w:rPr>
        <w:t>The $5,600,000 of professional fees claimed on appeal is a $4,530,250 premium, which is less than the $5M or $6M the judge considered excessive.</w:t>
      </w:r>
      <w:r w:rsidR="00354272" w:rsidRPr="001A6BBA">
        <w:rPr>
          <w:lang w:val="en-CA"/>
        </w:rPr>
        <w:t xml:space="preserve"> </w:t>
      </w:r>
      <w:r w:rsidRPr="001A6BBA">
        <w:rPr>
          <w:lang w:val="en-CA"/>
        </w:rPr>
        <w:t>The professional fees</w:t>
      </w:r>
      <w:r w:rsidR="00224EF6">
        <w:rPr>
          <w:lang w:val="en-CA"/>
        </w:rPr>
        <w:t xml:space="preserve"> </w:t>
      </w:r>
      <w:r w:rsidR="00224EF6" w:rsidRPr="001A6BBA">
        <w:rPr>
          <w:lang w:val="en-CA"/>
        </w:rPr>
        <w:t>claimed</w:t>
      </w:r>
      <w:r w:rsidRPr="001A6BBA">
        <w:rPr>
          <w:lang w:val="en-CA"/>
        </w:rPr>
        <w:t xml:space="preserve"> ($5,600,000) correspond to a </w:t>
      </w:r>
      <w:r w:rsidRPr="001A6BBA">
        <w:rPr>
          <w:lang w:val="en-CA"/>
        </w:rPr>
        <w:lastRenderedPageBreak/>
        <w:t>multiplier of 5.23 of the estimated fees ($1,069,750) according to the formula</w:t>
      </w:r>
      <w:r w:rsidR="00224EF6">
        <w:rPr>
          <w:lang w:val="en-CA"/>
        </w:rPr>
        <w:t xml:space="preserve"> set out above</w:t>
      </w:r>
      <w:r w:rsidRPr="001A6BBA">
        <w:rPr>
          <w:lang w:val="en-CA"/>
        </w:rPr>
        <w:t>.</w:t>
      </w:r>
      <w:r w:rsidR="00354272" w:rsidRPr="001A6BBA">
        <w:rPr>
          <w:lang w:val="en-CA"/>
        </w:rPr>
        <w:t xml:space="preserve"> </w:t>
      </w:r>
      <w:r w:rsidRPr="001A6BBA">
        <w:rPr>
          <w:lang w:val="en-CA"/>
        </w:rPr>
        <w:t xml:space="preserve">If instead a multiplier of 4.5 is applied to the estimated professional fees, which </w:t>
      </w:r>
      <w:r w:rsidR="00223D8B" w:rsidRPr="001A6BBA">
        <w:rPr>
          <w:i/>
          <w:lang w:val="en-CA"/>
        </w:rPr>
        <w:t>Pellemans</w:t>
      </w:r>
      <w:r w:rsidR="00223D8B" w:rsidRPr="001A6BBA">
        <w:rPr>
          <w:lang w:val="en-CA"/>
        </w:rPr>
        <w:t xml:space="preserve"> </w:t>
      </w:r>
      <w:r w:rsidR="00223D8B">
        <w:rPr>
          <w:lang w:val="en-CA"/>
        </w:rPr>
        <w:t xml:space="preserve">determined was a valid </w:t>
      </w:r>
      <w:r w:rsidRPr="001A6BBA">
        <w:rPr>
          <w:lang w:val="en-CA"/>
        </w:rPr>
        <w:t>multiplier,</w:t>
      </w:r>
      <w:r w:rsidRPr="001A6BBA">
        <w:rPr>
          <w:rStyle w:val="Appelnotedebasdep"/>
          <w:lang w:val="en-CA"/>
        </w:rPr>
        <w:footnoteReference w:id="66"/>
      </w:r>
      <w:r w:rsidRPr="001A6BBA">
        <w:rPr>
          <w:i/>
          <w:lang w:val="en-CA"/>
        </w:rPr>
        <w:t xml:space="preserve"> </w:t>
      </w:r>
      <w:r w:rsidRPr="001A6BBA">
        <w:rPr>
          <w:lang w:val="en-CA"/>
        </w:rPr>
        <w:t xml:space="preserve">the amount of professional fees </w:t>
      </w:r>
      <w:r w:rsidR="0047282D">
        <w:rPr>
          <w:lang w:val="en-CA"/>
        </w:rPr>
        <w:t>would</w:t>
      </w:r>
      <w:r w:rsidR="0047282D" w:rsidRPr="001A6BBA">
        <w:rPr>
          <w:lang w:val="en-CA"/>
        </w:rPr>
        <w:t xml:space="preserve"> </w:t>
      </w:r>
      <w:r w:rsidRPr="001A6BBA">
        <w:rPr>
          <w:lang w:val="en-CA"/>
        </w:rPr>
        <w:t>be $4,813,875.</w:t>
      </w:r>
      <w:r w:rsidR="00354272" w:rsidRPr="001A6BBA">
        <w:rPr>
          <w:lang w:val="en-CA"/>
        </w:rPr>
        <w:t xml:space="preserve"> </w:t>
      </w:r>
      <w:r w:rsidRPr="001A6BBA">
        <w:rPr>
          <w:lang w:val="en-CA"/>
        </w:rPr>
        <w:t xml:space="preserve">If the multiplier of 4.64 suggested by the appellant and the </w:t>
      </w:r>
      <w:r w:rsidRPr="00223D8B">
        <w:rPr>
          <w:i/>
          <w:iCs/>
          <w:lang w:val="en-CA"/>
        </w:rPr>
        <w:t>amicus curiae</w:t>
      </w:r>
      <w:r w:rsidRPr="001A6BBA">
        <w:rPr>
          <w:lang w:val="en-CA"/>
        </w:rPr>
        <w:t xml:space="preserve"> is applied, the professional fees </w:t>
      </w:r>
      <w:r w:rsidR="0047282D">
        <w:rPr>
          <w:lang w:val="en-CA"/>
        </w:rPr>
        <w:t>would</w:t>
      </w:r>
      <w:r w:rsidR="0047282D" w:rsidRPr="001A6BBA">
        <w:rPr>
          <w:lang w:val="en-CA"/>
        </w:rPr>
        <w:t xml:space="preserve"> </w:t>
      </w:r>
      <w:r w:rsidRPr="001A6BBA">
        <w:rPr>
          <w:lang w:val="en-CA"/>
        </w:rPr>
        <w:t>be $4,963,640.</w:t>
      </w:r>
    </w:p>
    <w:p w14:paraId="07372B7E" w14:textId="3CE2A417" w:rsidR="002E7C51" w:rsidRPr="001A6BBA" w:rsidRDefault="001A6BBA" w:rsidP="002E7C51">
      <w:pPr>
        <w:pStyle w:val="Paragraphe"/>
        <w:spacing w:line="280" w:lineRule="exact"/>
        <w:rPr>
          <w:lang w:val="en-CA"/>
        </w:rPr>
      </w:pPr>
      <w:r w:rsidRPr="001A6BBA">
        <w:rPr>
          <w:lang w:val="en-CA"/>
        </w:rPr>
        <w:t xml:space="preserve">However, using an hourly rate of $400, which </w:t>
      </w:r>
      <w:r w:rsidR="00223D8B">
        <w:rPr>
          <w:lang w:val="en-CA"/>
        </w:rPr>
        <w:t>wa</w:t>
      </w:r>
      <w:r w:rsidRPr="001A6BBA">
        <w:rPr>
          <w:lang w:val="en-CA"/>
        </w:rPr>
        <w:t xml:space="preserve">s the hourly rate of the appellant’s </w:t>
      </w:r>
      <w:r w:rsidR="00223D8B">
        <w:rPr>
          <w:lang w:val="en-CA"/>
        </w:rPr>
        <w:t>counsel</w:t>
      </w:r>
      <w:r w:rsidRPr="001A6BBA">
        <w:rPr>
          <w:lang w:val="en-CA"/>
        </w:rPr>
        <w:t xml:space="preserve"> in 2022 accepted by the judge,</w:t>
      </w:r>
      <w:r w:rsidRPr="001A6BBA">
        <w:rPr>
          <w:rStyle w:val="Appelnotedebasdep"/>
          <w:lang w:val="en-CA"/>
        </w:rPr>
        <w:footnoteReference w:id="67"/>
      </w:r>
      <w:r w:rsidRPr="001A6BBA">
        <w:rPr>
          <w:lang w:val="en-CA"/>
        </w:rPr>
        <w:t xml:space="preserve"> the 4279 hours are worth $1,711,600.</w:t>
      </w:r>
      <w:r w:rsidR="00354272" w:rsidRPr="001A6BBA">
        <w:rPr>
          <w:lang w:val="en-CA"/>
        </w:rPr>
        <w:t xml:space="preserve"> </w:t>
      </w:r>
      <w:r w:rsidRPr="009F222C">
        <w:rPr>
          <w:lang w:val="en-CA"/>
        </w:rPr>
        <w:t>For professional fees of $5,600,000, the multiplier would be 3.27.</w:t>
      </w:r>
      <w:r w:rsidR="00354272" w:rsidRPr="001A6BBA">
        <w:rPr>
          <w:lang w:val="en-CA"/>
        </w:rPr>
        <w:t xml:space="preserve"> </w:t>
      </w:r>
      <w:r w:rsidRPr="001A6BBA">
        <w:rPr>
          <w:lang w:val="en-CA"/>
        </w:rPr>
        <w:t>This confirms their reasonableness for the proponents of this method.</w:t>
      </w:r>
    </w:p>
    <w:p w14:paraId="6A8C3A17" w14:textId="45C947D0" w:rsidR="002E7C51" w:rsidRPr="001A6BBA" w:rsidRDefault="001A6BBA" w:rsidP="002E7C51">
      <w:pPr>
        <w:pStyle w:val="Paragraphe"/>
        <w:spacing w:line="280" w:lineRule="exact"/>
        <w:rPr>
          <w:lang w:val="en-CA"/>
        </w:rPr>
      </w:pPr>
      <w:r w:rsidRPr="001A6BBA">
        <w:rPr>
          <w:lang w:val="en-CA"/>
        </w:rPr>
        <w:t xml:space="preserve">I therefore </w:t>
      </w:r>
      <w:r w:rsidR="00224EF6">
        <w:rPr>
          <w:lang w:val="en-CA"/>
        </w:rPr>
        <w:t xml:space="preserve">propose </w:t>
      </w:r>
      <w:r w:rsidRPr="001A6BBA">
        <w:rPr>
          <w:lang w:val="en-CA"/>
        </w:rPr>
        <w:t xml:space="preserve">that the Court </w:t>
      </w:r>
      <w:r w:rsidR="0047282D">
        <w:rPr>
          <w:lang w:val="en-CA"/>
        </w:rPr>
        <w:t>formally recognize</w:t>
      </w:r>
      <w:r w:rsidRPr="001A6BBA">
        <w:rPr>
          <w:lang w:val="en-CA"/>
        </w:rPr>
        <w:t xml:space="preserve"> the offer of counsel for the appellant to reduce their professional fees to 20% of the settlement fund.</w:t>
      </w:r>
      <w:r w:rsidR="00354272" w:rsidRPr="001A6BBA">
        <w:rPr>
          <w:lang w:val="en-CA"/>
        </w:rPr>
        <w:t xml:space="preserve"> </w:t>
      </w:r>
      <w:r w:rsidRPr="009F222C">
        <w:rPr>
          <w:lang w:val="en-CA"/>
        </w:rPr>
        <w:t>Accordingly, the amount of professional fees awarded will be $5,600,000 plus taxes and disbursements.</w:t>
      </w:r>
    </w:p>
    <w:p w14:paraId="209D82D6" w14:textId="41349D67" w:rsidR="002E7C51" w:rsidRPr="001A6BBA" w:rsidRDefault="00223D8B" w:rsidP="002E7C51">
      <w:pPr>
        <w:pStyle w:val="Paragraphe"/>
        <w:spacing w:line="280" w:lineRule="exact"/>
        <w:rPr>
          <w:lang w:val="en-CA"/>
        </w:rPr>
      </w:pPr>
      <w:r>
        <w:rPr>
          <w:lang w:val="en-CA"/>
        </w:rPr>
        <w:t>A</w:t>
      </w:r>
      <w:r w:rsidR="001A6BBA" w:rsidRPr="001A6BBA">
        <w:rPr>
          <w:lang w:val="en-CA"/>
        </w:rPr>
        <w:t xml:space="preserve">ppellant’s </w:t>
      </w:r>
      <w:r>
        <w:rPr>
          <w:lang w:val="en-CA"/>
        </w:rPr>
        <w:t>counsel</w:t>
      </w:r>
      <w:r w:rsidR="001A6BBA" w:rsidRPr="001A6BBA">
        <w:rPr>
          <w:lang w:val="en-CA"/>
        </w:rPr>
        <w:t xml:space="preserve"> will however be required to pay $99,136.09 out of those professional fees to the impleaded </w:t>
      </w:r>
      <w:r w:rsidR="00717923">
        <w:rPr>
          <w:lang w:val="en-CA"/>
        </w:rPr>
        <w:t>party</w:t>
      </w:r>
      <w:r w:rsidR="00225E03">
        <w:rPr>
          <w:lang w:val="en-CA"/>
        </w:rPr>
        <w:t xml:space="preserve"> </w:t>
      </w:r>
      <w:r w:rsidR="001A6BBA" w:rsidRPr="001A6BBA">
        <w:rPr>
          <w:lang w:val="en-CA"/>
        </w:rPr>
        <w:t>FAAC.</w:t>
      </w:r>
    </w:p>
    <w:p w14:paraId="16E710BE" w14:textId="77777777" w:rsidR="00B657DD" w:rsidRPr="00B657DD" w:rsidRDefault="00B657DD" w:rsidP="00A44096">
      <w:pPr>
        <w:pStyle w:val="Paragraphedeliste"/>
        <w:keepNext/>
        <w:numPr>
          <w:ilvl w:val="0"/>
          <w:numId w:val="28"/>
        </w:numPr>
        <w:spacing w:before="240" w:after="60"/>
        <w:ind w:left="709" w:firstLine="0"/>
        <w:contextualSpacing w:val="0"/>
        <w:outlineLvl w:val="1"/>
        <w:rPr>
          <w:b/>
          <w:bCs/>
          <w:iCs/>
          <w:vanish/>
          <w:lang w:val="en-CA"/>
        </w:rPr>
      </w:pPr>
    </w:p>
    <w:p w14:paraId="55B11698" w14:textId="14276CA8" w:rsidR="002E7C51" w:rsidRPr="0047282D" w:rsidRDefault="00B657DD" w:rsidP="00B657DD">
      <w:pPr>
        <w:pStyle w:val="Titre2"/>
        <w:numPr>
          <w:ilvl w:val="0"/>
          <w:numId w:val="0"/>
        </w:numPr>
        <w:ind w:left="709"/>
        <w:rPr>
          <w:bCs/>
          <w:lang w:val="en-CA"/>
        </w:rPr>
      </w:pPr>
      <w:r w:rsidRPr="00B657DD">
        <w:rPr>
          <w:bCs/>
          <w:lang w:val="en-CA"/>
        </w:rPr>
        <w:t xml:space="preserve">(c) </w:t>
      </w:r>
      <w:r w:rsidR="001A6BBA" w:rsidRPr="00B657DD">
        <w:rPr>
          <w:bCs/>
          <w:lang w:val="en-CA"/>
        </w:rPr>
        <w:t xml:space="preserve">The professional fees of the </w:t>
      </w:r>
      <w:r w:rsidR="001A6BBA" w:rsidRPr="00B657DD">
        <w:rPr>
          <w:bCs/>
          <w:i w:val="0"/>
          <w:iCs/>
          <w:lang w:val="en-CA"/>
        </w:rPr>
        <w:t>amicus curiae</w:t>
      </w:r>
      <w:r w:rsidR="001A6BBA" w:rsidRPr="004A70D3">
        <w:rPr>
          <w:bCs/>
          <w:i w:val="0"/>
          <w:iCs/>
          <w:lang w:val="en-CA"/>
        </w:rPr>
        <w:t>.</w:t>
      </w:r>
    </w:p>
    <w:p w14:paraId="05BCB0AB" w14:textId="300022CB" w:rsidR="002E7C51" w:rsidRPr="009F222C" w:rsidRDefault="001A6BBA" w:rsidP="002E7C51">
      <w:pPr>
        <w:pStyle w:val="Paragraphe"/>
        <w:spacing w:line="280" w:lineRule="exact"/>
        <w:rPr>
          <w:lang w:val="en-CA"/>
        </w:rPr>
      </w:pPr>
      <w:r w:rsidRPr="009F222C">
        <w:rPr>
          <w:lang w:val="en-CA"/>
        </w:rPr>
        <w:t xml:space="preserve">I </w:t>
      </w:r>
      <w:r w:rsidR="00B657DD">
        <w:rPr>
          <w:lang w:val="en-CA"/>
        </w:rPr>
        <w:t>propose</w:t>
      </w:r>
      <w:r w:rsidRPr="009F222C">
        <w:rPr>
          <w:lang w:val="en-CA"/>
        </w:rPr>
        <w:t xml:space="preserve"> that the professional fees of the </w:t>
      </w:r>
      <w:r w:rsidRPr="009F222C">
        <w:rPr>
          <w:i/>
          <w:lang w:val="en-CA"/>
        </w:rPr>
        <w:t>amicus curiae</w:t>
      </w:r>
      <w:r w:rsidRPr="009F222C">
        <w:rPr>
          <w:lang w:val="en-CA"/>
        </w:rPr>
        <w:t xml:space="preserve"> be paid by the </w:t>
      </w:r>
      <w:r w:rsidR="00223D8B" w:rsidRPr="009F222C">
        <w:rPr>
          <w:lang w:val="en-CA"/>
        </w:rPr>
        <w:t>class</w:t>
      </w:r>
      <w:r w:rsidRPr="009F222C">
        <w:rPr>
          <w:lang w:val="en-CA"/>
        </w:rPr>
        <w:t xml:space="preserve"> members and therefore deducted from the amount of the settlement fund.</w:t>
      </w:r>
    </w:p>
    <w:p w14:paraId="32D255BB" w14:textId="35027441" w:rsidR="002E7C51" w:rsidRPr="001A6BBA" w:rsidRDefault="001A6BBA" w:rsidP="002E7C51">
      <w:pPr>
        <w:pStyle w:val="Paragraphe"/>
        <w:spacing w:line="280" w:lineRule="exact"/>
        <w:rPr>
          <w:lang w:val="en-CA"/>
        </w:rPr>
      </w:pPr>
      <w:r w:rsidRPr="001A6BBA">
        <w:rPr>
          <w:lang w:val="en-CA"/>
        </w:rPr>
        <w:t xml:space="preserve">The Agreement </w:t>
      </w:r>
      <w:r w:rsidR="0047282D">
        <w:rPr>
          <w:lang w:val="en-CA"/>
        </w:rPr>
        <w:t>strictly limits</w:t>
      </w:r>
      <w:r w:rsidRPr="001A6BBA">
        <w:rPr>
          <w:lang w:val="en-CA"/>
        </w:rPr>
        <w:t xml:space="preserve"> the </w:t>
      </w:r>
      <w:r w:rsidR="0047282D">
        <w:rPr>
          <w:lang w:val="en-CA"/>
        </w:rPr>
        <w:t xml:space="preserve">respondents’ </w:t>
      </w:r>
      <w:r w:rsidRPr="001A6BBA">
        <w:rPr>
          <w:lang w:val="en-CA"/>
        </w:rPr>
        <w:t>financial liability.</w:t>
      </w:r>
      <w:r w:rsidR="00354272" w:rsidRPr="001A6BBA">
        <w:rPr>
          <w:lang w:val="en-CA"/>
        </w:rPr>
        <w:t xml:space="preserve"> </w:t>
      </w:r>
      <w:r w:rsidRPr="001A6BBA">
        <w:rPr>
          <w:lang w:val="en-CA"/>
        </w:rPr>
        <w:t xml:space="preserve">Indeed, it provides that the respondents </w:t>
      </w:r>
      <w:r w:rsidR="00223D8B" w:rsidRPr="001A6BBA">
        <w:rPr>
          <w:lang w:val="en-CA"/>
        </w:rPr>
        <w:t>cannot</w:t>
      </w:r>
      <w:r w:rsidRPr="001A6BBA">
        <w:rPr>
          <w:lang w:val="en-CA"/>
        </w:rPr>
        <w:t xml:space="preserve"> be held liable for the payment of </w:t>
      </w:r>
      <w:r w:rsidRPr="001A6BBA">
        <w:rPr>
          <w:i/>
          <w:lang w:val="en-CA"/>
        </w:rPr>
        <w:t>any amount other</w:t>
      </w:r>
      <w:r w:rsidRPr="001A6BBA">
        <w:rPr>
          <w:lang w:val="en-CA"/>
        </w:rPr>
        <w:t xml:space="preserve"> than $28,000,000 and the amount of the reimbursement of any taxes on </w:t>
      </w:r>
      <w:r w:rsidR="0047282D">
        <w:rPr>
          <w:lang w:val="en-CA"/>
        </w:rPr>
        <w:t>class counsel’s</w:t>
      </w:r>
      <w:r w:rsidR="0047282D" w:rsidRPr="001A6BBA">
        <w:rPr>
          <w:lang w:val="en-CA"/>
        </w:rPr>
        <w:t xml:space="preserve"> </w:t>
      </w:r>
      <w:r w:rsidRPr="001A6BBA">
        <w:rPr>
          <w:lang w:val="en-CA"/>
        </w:rPr>
        <w:t xml:space="preserve">statement of </w:t>
      </w:r>
      <w:r w:rsidR="00245C83">
        <w:rPr>
          <w:lang w:val="en-CA"/>
        </w:rPr>
        <w:t xml:space="preserve">professional </w:t>
      </w:r>
      <w:r w:rsidRPr="001A6BBA">
        <w:rPr>
          <w:lang w:val="en-CA"/>
        </w:rPr>
        <w:t>fees.</w:t>
      </w:r>
      <w:r w:rsidR="00354272" w:rsidRPr="001A6BBA">
        <w:rPr>
          <w:lang w:val="en-CA"/>
        </w:rPr>
        <w:t xml:space="preserve"> </w:t>
      </w:r>
      <w:r w:rsidRPr="001A6BBA">
        <w:rPr>
          <w:lang w:val="en-CA"/>
        </w:rPr>
        <w:t xml:space="preserve">According to the very wording of the Agreement, under no circumstances will the respondents pay the professional fees of the </w:t>
      </w:r>
      <w:r w:rsidRPr="001A6BBA">
        <w:rPr>
          <w:i/>
          <w:lang w:val="en-CA"/>
        </w:rPr>
        <w:t>amicus curiae</w:t>
      </w:r>
      <w:r w:rsidRPr="001A6BBA">
        <w:rPr>
          <w:lang w:val="en-CA"/>
        </w:rPr>
        <w:t>.</w:t>
      </w:r>
      <w:r w:rsidR="00354272" w:rsidRPr="001A6BBA">
        <w:rPr>
          <w:lang w:val="en-CA"/>
        </w:rPr>
        <w:t xml:space="preserve"> </w:t>
      </w:r>
      <w:r w:rsidRPr="001A6BBA">
        <w:rPr>
          <w:lang w:val="en-CA"/>
        </w:rPr>
        <w:t xml:space="preserve">Moreover, since the respondents did not take a position on the quantum of professional fees, they did not benefit from the services rendered by </w:t>
      </w:r>
      <w:r w:rsidR="009F222C" w:rsidRPr="001A6BBA">
        <w:rPr>
          <w:lang w:val="en-CA"/>
        </w:rPr>
        <w:t>the</w:t>
      </w:r>
      <w:r w:rsidRPr="001A6BBA">
        <w:rPr>
          <w:lang w:val="en-CA"/>
        </w:rPr>
        <w:t xml:space="preserve"> </w:t>
      </w:r>
      <w:r w:rsidRPr="001A6BBA">
        <w:rPr>
          <w:i/>
          <w:lang w:val="en-CA"/>
        </w:rPr>
        <w:t>amicus curiae</w:t>
      </w:r>
      <w:r w:rsidRPr="001A6BBA">
        <w:rPr>
          <w:lang w:val="en-CA"/>
        </w:rPr>
        <w:t>.</w:t>
      </w:r>
    </w:p>
    <w:p w14:paraId="4A2FB6F5" w14:textId="1E52EBC1" w:rsidR="002E7C51" w:rsidRPr="001A6BBA" w:rsidRDefault="0047282D" w:rsidP="002E7C51">
      <w:pPr>
        <w:pStyle w:val="Paragraphe"/>
        <w:spacing w:line="280" w:lineRule="exact"/>
        <w:rPr>
          <w:lang w:val="en-CA"/>
        </w:rPr>
      </w:pPr>
      <w:r>
        <w:rPr>
          <w:lang w:val="en-CA"/>
        </w:rPr>
        <w:t>Moreover, i</w:t>
      </w:r>
      <w:r w:rsidR="001A6BBA" w:rsidRPr="001A6BBA">
        <w:rPr>
          <w:lang w:val="en-CA"/>
        </w:rPr>
        <w:t xml:space="preserve">t would be illusory to condemn the </w:t>
      </w:r>
      <w:r w:rsidRPr="001A6BBA">
        <w:rPr>
          <w:lang w:val="en-CA"/>
        </w:rPr>
        <w:t>diss</w:t>
      </w:r>
      <w:r>
        <w:rPr>
          <w:lang w:val="en-CA"/>
        </w:rPr>
        <w:t xml:space="preserve">enting </w:t>
      </w:r>
      <w:r w:rsidR="001A6BBA" w:rsidRPr="001A6BBA">
        <w:rPr>
          <w:lang w:val="en-CA"/>
        </w:rPr>
        <w:t xml:space="preserve">class member to pay the professional fees of the </w:t>
      </w:r>
      <w:r w:rsidR="001A6BBA" w:rsidRPr="001A6BBA">
        <w:rPr>
          <w:i/>
          <w:lang w:val="en-CA"/>
        </w:rPr>
        <w:t>amicus curiae</w:t>
      </w:r>
      <w:r w:rsidR="0036460A">
        <w:rPr>
          <w:iCs/>
          <w:lang w:val="en-CA"/>
        </w:rPr>
        <w:t>,</w:t>
      </w:r>
      <w:r w:rsidR="001A6BBA" w:rsidRPr="001A6BBA">
        <w:rPr>
          <w:lang w:val="en-CA"/>
        </w:rPr>
        <w:t xml:space="preserve"> and there is no reason that the FAAC should pay those costs.</w:t>
      </w:r>
    </w:p>
    <w:p w14:paraId="238AAE8C" w14:textId="0E519E72" w:rsidR="002E7C51" w:rsidRPr="001A6BBA" w:rsidRDefault="001A6BBA" w:rsidP="002E7C51">
      <w:pPr>
        <w:pStyle w:val="Paragraphe"/>
        <w:spacing w:line="280" w:lineRule="exact"/>
        <w:rPr>
          <w:lang w:val="en-CA"/>
        </w:rPr>
      </w:pPr>
      <w:r w:rsidRPr="009F222C">
        <w:rPr>
          <w:lang w:val="en-CA"/>
        </w:rPr>
        <w:t>In addition, legal costs do not include professional fees (art.</w:t>
      </w:r>
      <w:r w:rsidR="00354272" w:rsidRPr="001A6BBA">
        <w:rPr>
          <w:lang w:val="en-CA"/>
        </w:rPr>
        <w:t xml:space="preserve"> </w:t>
      </w:r>
      <w:r w:rsidRPr="009F222C">
        <w:rPr>
          <w:lang w:val="en-CA"/>
        </w:rPr>
        <w:t>339 CCP).</w:t>
      </w:r>
      <w:r w:rsidR="00354272" w:rsidRPr="001A6BBA">
        <w:rPr>
          <w:lang w:val="en-CA"/>
        </w:rPr>
        <w:t xml:space="preserve"> </w:t>
      </w:r>
      <w:r w:rsidRPr="009F222C">
        <w:rPr>
          <w:lang w:val="en-CA"/>
        </w:rPr>
        <w:t xml:space="preserve">Therefore, the </w:t>
      </w:r>
      <w:r w:rsidRPr="009F222C">
        <w:rPr>
          <w:i/>
          <w:lang w:val="en-CA"/>
        </w:rPr>
        <w:t>amicus curiae</w:t>
      </w:r>
      <w:r w:rsidRPr="009F222C">
        <w:rPr>
          <w:lang w:val="en-CA"/>
        </w:rPr>
        <w:t>’s claim in this regard cannot succeed.</w:t>
      </w:r>
    </w:p>
    <w:p w14:paraId="1A56E6A9" w14:textId="548AAA27" w:rsidR="002E7C51" w:rsidRPr="001A6BBA" w:rsidRDefault="001A6BBA" w:rsidP="002E7C51">
      <w:pPr>
        <w:pStyle w:val="Paragraphe"/>
        <w:spacing w:line="280" w:lineRule="exact"/>
        <w:rPr>
          <w:lang w:val="en-CA"/>
        </w:rPr>
      </w:pPr>
      <w:r w:rsidRPr="001A6BBA">
        <w:rPr>
          <w:lang w:val="en-CA"/>
        </w:rPr>
        <w:t xml:space="preserve">At trial, the class members (other than the </w:t>
      </w:r>
      <w:r w:rsidR="0047282D" w:rsidRPr="001A6BBA">
        <w:rPr>
          <w:lang w:val="en-CA"/>
        </w:rPr>
        <w:t>diss</w:t>
      </w:r>
      <w:r w:rsidR="0047282D">
        <w:rPr>
          <w:lang w:val="en-CA"/>
        </w:rPr>
        <w:t>enting</w:t>
      </w:r>
      <w:r w:rsidR="0047282D" w:rsidRPr="001A6BBA">
        <w:rPr>
          <w:lang w:val="en-CA"/>
        </w:rPr>
        <w:t xml:space="preserve"> </w:t>
      </w:r>
      <w:r w:rsidRPr="001A6BBA">
        <w:rPr>
          <w:lang w:val="en-CA"/>
        </w:rPr>
        <w:t xml:space="preserve">class member) agreed with </w:t>
      </w:r>
      <w:r w:rsidR="0047282D">
        <w:rPr>
          <w:lang w:val="en-CA"/>
        </w:rPr>
        <w:t>the</w:t>
      </w:r>
      <w:r w:rsidR="0047282D" w:rsidRPr="001A6BBA">
        <w:rPr>
          <w:lang w:val="en-CA"/>
        </w:rPr>
        <w:t xml:space="preserve"> </w:t>
      </w:r>
      <w:r w:rsidRPr="001A6BBA">
        <w:rPr>
          <w:lang w:val="en-CA"/>
        </w:rPr>
        <w:t>amount of professional fees set at 25% of the settlement fund provided in the Agreement.</w:t>
      </w:r>
      <w:r w:rsidR="00354272" w:rsidRPr="001A6BBA">
        <w:rPr>
          <w:lang w:val="en-CA"/>
        </w:rPr>
        <w:t xml:space="preserve"> </w:t>
      </w:r>
      <w:r w:rsidRPr="009F222C">
        <w:rPr>
          <w:lang w:val="en-CA"/>
        </w:rPr>
        <w:t xml:space="preserve">On appeal, </w:t>
      </w:r>
      <w:r w:rsidR="0021741F">
        <w:rPr>
          <w:lang w:val="en-CA"/>
        </w:rPr>
        <w:t xml:space="preserve">class members’ </w:t>
      </w:r>
      <w:r w:rsidR="00223D8B">
        <w:rPr>
          <w:lang w:val="en-CA"/>
        </w:rPr>
        <w:t xml:space="preserve">counsel </w:t>
      </w:r>
      <w:r w:rsidR="00223D8B" w:rsidRPr="009F222C">
        <w:rPr>
          <w:lang w:val="en-CA"/>
        </w:rPr>
        <w:t>accepted</w:t>
      </w:r>
      <w:r w:rsidRPr="009F222C">
        <w:rPr>
          <w:lang w:val="en-CA"/>
        </w:rPr>
        <w:t xml:space="preserve"> to reduce their professional </w:t>
      </w:r>
      <w:r w:rsidRPr="009F222C">
        <w:rPr>
          <w:lang w:val="en-CA"/>
        </w:rPr>
        <w:lastRenderedPageBreak/>
        <w:t>fees to 20% of the settlement fund.</w:t>
      </w:r>
      <w:r w:rsidR="00354272" w:rsidRPr="001A6BBA">
        <w:rPr>
          <w:lang w:val="en-CA"/>
        </w:rPr>
        <w:t xml:space="preserve"> </w:t>
      </w:r>
      <w:r w:rsidRPr="001A6BBA">
        <w:rPr>
          <w:lang w:val="en-CA"/>
        </w:rPr>
        <w:t>I suggest that the revised quantum of professional fees be approved.</w:t>
      </w:r>
      <w:r w:rsidR="00354272" w:rsidRPr="001A6BBA">
        <w:rPr>
          <w:lang w:val="en-CA"/>
        </w:rPr>
        <w:t xml:space="preserve"> </w:t>
      </w:r>
      <w:r w:rsidRPr="001A6BBA">
        <w:rPr>
          <w:lang w:val="en-CA"/>
        </w:rPr>
        <w:t>The reduction of the percentage of professional fees from 25% to 20% of the settlement fund represents savings of $1,400.000 for the class members.</w:t>
      </w:r>
      <w:r w:rsidR="00354272" w:rsidRPr="001A6BBA">
        <w:rPr>
          <w:lang w:val="en-CA"/>
        </w:rPr>
        <w:t xml:space="preserve"> </w:t>
      </w:r>
      <w:r w:rsidRPr="001A6BBA">
        <w:rPr>
          <w:lang w:val="en-CA"/>
        </w:rPr>
        <w:t xml:space="preserve">In the circumstances of this case, it is fair that the </w:t>
      </w:r>
      <w:r w:rsidR="00223D8B">
        <w:rPr>
          <w:lang w:val="en-CA"/>
        </w:rPr>
        <w:t xml:space="preserve">class </w:t>
      </w:r>
      <w:r w:rsidRPr="001A6BBA">
        <w:rPr>
          <w:lang w:val="en-CA"/>
        </w:rPr>
        <w:t xml:space="preserve">members pay the professional fees of the </w:t>
      </w:r>
      <w:r w:rsidRPr="001A6BBA">
        <w:rPr>
          <w:i/>
          <w:lang w:val="en-CA"/>
        </w:rPr>
        <w:t>amicus curiae</w:t>
      </w:r>
      <w:r w:rsidRPr="001A6BBA">
        <w:rPr>
          <w:lang w:val="en-CA"/>
        </w:rPr>
        <w:t>.</w:t>
      </w:r>
      <w:r w:rsidRPr="001A6BBA">
        <w:rPr>
          <w:rStyle w:val="Appelnotedebasdep"/>
          <w:lang w:val="en-CA"/>
        </w:rPr>
        <w:footnoteReference w:id="68"/>
      </w:r>
      <w:r w:rsidR="00354272" w:rsidRPr="001A6BBA">
        <w:rPr>
          <w:lang w:val="en-CA"/>
        </w:rPr>
        <w:t xml:space="preserve"> </w:t>
      </w:r>
      <w:r w:rsidRPr="001A6BBA">
        <w:rPr>
          <w:lang w:val="en-CA"/>
        </w:rPr>
        <w:t>In any event, and in principle, lawyers’ statement</w:t>
      </w:r>
      <w:r w:rsidR="0036460A">
        <w:rPr>
          <w:lang w:val="en-CA"/>
        </w:rPr>
        <w:t>s</w:t>
      </w:r>
      <w:r w:rsidRPr="001A6BBA">
        <w:rPr>
          <w:lang w:val="en-CA"/>
        </w:rPr>
        <w:t xml:space="preserve"> of </w:t>
      </w:r>
      <w:r w:rsidR="00245C83">
        <w:rPr>
          <w:lang w:val="en-CA"/>
        </w:rPr>
        <w:t xml:space="preserve">professional </w:t>
      </w:r>
      <w:r w:rsidRPr="001A6BBA">
        <w:rPr>
          <w:lang w:val="en-CA"/>
        </w:rPr>
        <w:t xml:space="preserve">fees </w:t>
      </w:r>
      <w:r w:rsidR="0036460A">
        <w:rPr>
          <w:lang w:val="en-CA"/>
        </w:rPr>
        <w:t>are</w:t>
      </w:r>
      <w:r w:rsidRPr="001A6BBA">
        <w:rPr>
          <w:lang w:val="en-CA"/>
        </w:rPr>
        <w:t xml:space="preserve"> paid out of the settlement fund, but I am not proposing any rigid rule that an </w:t>
      </w:r>
      <w:r w:rsidRPr="001A6BBA">
        <w:rPr>
          <w:i/>
          <w:lang w:val="en-CA"/>
        </w:rPr>
        <w:t>amicus curiae</w:t>
      </w:r>
      <w:r w:rsidRPr="001A6BBA">
        <w:rPr>
          <w:lang w:val="en-CA"/>
        </w:rPr>
        <w:t xml:space="preserve"> should always be paid out of the fund, as one can imagine cases where it would be appropriate for these costs to be shared by all parties involved.</w:t>
      </w:r>
    </w:p>
    <w:p w14:paraId="12DBA4E8" w14:textId="77777777" w:rsidR="002E7C51" w:rsidRPr="001A6BBA" w:rsidRDefault="00354272" w:rsidP="002E7C51">
      <w:pPr>
        <w:pStyle w:val="Paragraphe"/>
        <w:numPr>
          <w:ilvl w:val="0"/>
          <w:numId w:val="0"/>
        </w:numPr>
        <w:spacing w:line="280" w:lineRule="exact"/>
        <w:jc w:val="center"/>
        <w:rPr>
          <w:lang w:val="en-CA"/>
        </w:rPr>
      </w:pPr>
      <w:r w:rsidRPr="001A6BBA">
        <w:rPr>
          <w:lang w:val="en-CA"/>
        </w:rPr>
        <w:t>* * *</w:t>
      </w:r>
    </w:p>
    <w:p w14:paraId="0F522503" w14:textId="0D8D8CC2" w:rsidR="002E7C51" w:rsidRPr="001A6BBA" w:rsidRDefault="001A6BBA" w:rsidP="002E7C51">
      <w:pPr>
        <w:pStyle w:val="Paragraphe"/>
        <w:spacing w:line="280" w:lineRule="exact"/>
        <w:rPr>
          <w:lang w:val="en-CA"/>
        </w:rPr>
      </w:pPr>
      <w:r w:rsidRPr="001A6BBA">
        <w:rPr>
          <w:lang w:val="en-CA"/>
        </w:rPr>
        <w:t>In the exceptional circumstances of th</w:t>
      </w:r>
      <w:r w:rsidR="0036460A">
        <w:rPr>
          <w:lang w:val="en-CA"/>
        </w:rPr>
        <w:t>is</w:t>
      </w:r>
      <w:r w:rsidRPr="001A6BBA">
        <w:rPr>
          <w:lang w:val="en-CA"/>
        </w:rPr>
        <w:t xml:space="preserve"> case, where none of the parties disputes the professional fees of the appellant</w:t>
      </w:r>
      <w:r w:rsidR="0036460A">
        <w:rPr>
          <w:lang w:val="en-CA"/>
        </w:rPr>
        <w:t>’</w:t>
      </w:r>
      <w:r w:rsidRPr="001A6BBA">
        <w:rPr>
          <w:lang w:val="en-CA"/>
        </w:rPr>
        <w:t xml:space="preserve">s </w:t>
      </w:r>
      <w:r w:rsidR="0036460A">
        <w:rPr>
          <w:lang w:val="en-CA"/>
        </w:rPr>
        <w:t>counsel</w:t>
      </w:r>
      <w:r w:rsidRPr="001A6BBA">
        <w:rPr>
          <w:lang w:val="en-CA"/>
        </w:rPr>
        <w:t xml:space="preserve">, each party, other than the </w:t>
      </w:r>
      <w:r w:rsidRPr="001A6BBA">
        <w:rPr>
          <w:i/>
          <w:lang w:val="en-CA"/>
        </w:rPr>
        <w:t>amicus curiae</w:t>
      </w:r>
      <w:r w:rsidRPr="001A6BBA">
        <w:rPr>
          <w:lang w:val="en-CA"/>
        </w:rPr>
        <w:t>, must bear its own costs.</w:t>
      </w:r>
      <w:r w:rsidR="00B309CB">
        <w:rPr>
          <w:lang w:val="en-CA"/>
        </w:rPr>
        <w:t xml:space="preserve"> The </w:t>
      </w:r>
      <w:r w:rsidR="00B309CB" w:rsidRPr="001A6BBA">
        <w:rPr>
          <w:i/>
          <w:lang w:val="en-CA"/>
        </w:rPr>
        <w:t>amicus curiae</w:t>
      </w:r>
      <w:r w:rsidR="00B309CB">
        <w:rPr>
          <w:iCs/>
          <w:lang w:val="en-CA"/>
        </w:rPr>
        <w:t>’s</w:t>
      </w:r>
      <w:r w:rsidRPr="009F222C">
        <w:rPr>
          <w:lang w:val="en-CA"/>
        </w:rPr>
        <w:t xml:space="preserve"> disbursements will be paid by the class members, as will his professional fees.</w:t>
      </w:r>
    </w:p>
    <w:p w14:paraId="5D629790" w14:textId="1018A5FD" w:rsidR="002E7C51" w:rsidRPr="00223D8B" w:rsidRDefault="001A6BBA" w:rsidP="00223D8B">
      <w:pPr>
        <w:pStyle w:val="Paragraphe"/>
        <w:spacing w:line="280" w:lineRule="exact"/>
        <w:rPr>
          <w:szCs w:val="24"/>
          <w:lang w:val="en-CA"/>
        </w:rPr>
      </w:pPr>
      <w:r w:rsidRPr="009F222C">
        <w:rPr>
          <w:lang w:val="en-CA"/>
        </w:rPr>
        <w:t xml:space="preserve">For all these reasons, I would </w:t>
      </w:r>
      <w:r w:rsidR="0021094E">
        <w:rPr>
          <w:lang w:val="en-CA"/>
        </w:rPr>
        <w:t>reverse</w:t>
      </w:r>
      <w:r w:rsidRPr="009F222C">
        <w:rPr>
          <w:lang w:val="en-CA"/>
        </w:rPr>
        <w:t xml:space="preserve"> the trial judgment and allow the appeal with the following conclusions:</w:t>
      </w:r>
      <w:r w:rsidR="00354272" w:rsidRPr="001A6BBA">
        <w:rPr>
          <w:lang w:val="en-CA"/>
        </w:rPr>
        <w:t xml:space="preserve"> </w:t>
      </w:r>
      <w:r w:rsidRPr="001A6BBA">
        <w:rPr>
          <w:lang w:val="en-CA"/>
        </w:rPr>
        <w:t>grant the application for approval of the Agreement and appro</w:t>
      </w:r>
      <w:r w:rsidR="009F222C">
        <w:rPr>
          <w:lang w:val="en-CA"/>
        </w:rPr>
        <w:t>v</w:t>
      </w:r>
      <w:r w:rsidRPr="001A6BBA">
        <w:rPr>
          <w:lang w:val="en-CA"/>
        </w:rPr>
        <w:t xml:space="preserve">e the Agreement, including the schedules in their entirety, with the exception of </w:t>
      </w:r>
      <w:r w:rsidR="0021094E">
        <w:rPr>
          <w:lang w:val="en-CA"/>
        </w:rPr>
        <w:t>counsel</w:t>
      </w:r>
      <w:r w:rsidRPr="001A6BBA">
        <w:rPr>
          <w:lang w:val="en-CA"/>
        </w:rPr>
        <w:t>’</w:t>
      </w:r>
      <w:r w:rsidR="0021094E">
        <w:rPr>
          <w:lang w:val="en-CA"/>
        </w:rPr>
        <w:t>s</w:t>
      </w:r>
      <w:r w:rsidR="00357B15">
        <w:rPr>
          <w:lang w:val="en-CA"/>
        </w:rPr>
        <w:t xml:space="preserve"> professional</w:t>
      </w:r>
      <w:r w:rsidRPr="001A6BBA">
        <w:rPr>
          <w:lang w:val="en-CA"/>
        </w:rPr>
        <w:t xml:space="preserve"> fees </w:t>
      </w:r>
      <w:r w:rsidR="00357B15">
        <w:rPr>
          <w:lang w:val="en-CA"/>
        </w:rPr>
        <w:t xml:space="preserve">determined </w:t>
      </w:r>
      <w:r w:rsidR="00C03B69">
        <w:rPr>
          <w:lang w:val="en-CA"/>
        </w:rPr>
        <w:t xml:space="preserve">on the </w:t>
      </w:r>
      <w:r w:rsidR="00357B15">
        <w:rPr>
          <w:lang w:val="en-CA"/>
        </w:rPr>
        <w:t>bas</w:t>
      </w:r>
      <w:r w:rsidR="00C03B69">
        <w:rPr>
          <w:lang w:val="en-CA"/>
        </w:rPr>
        <w:t>is of</w:t>
      </w:r>
      <w:r w:rsidR="00357B15">
        <w:rPr>
          <w:lang w:val="en-CA"/>
        </w:rPr>
        <w:t xml:space="preserve"> </w:t>
      </w:r>
      <w:r w:rsidRPr="001A6BBA">
        <w:rPr>
          <w:lang w:val="en-CA"/>
        </w:rPr>
        <w:t xml:space="preserve">25% of the settlement fund set out in </w:t>
      </w:r>
      <w:r w:rsidR="00223D8B">
        <w:rPr>
          <w:lang w:val="en-CA"/>
        </w:rPr>
        <w:t>clause</w:t>
      </w:r>
      <w:r w:rsidRPr="00223D8B">
        <w:rPr>
          <w:lang w:val="en-CA"/>
        </w:rPr>
        <w:t xml:space="preserve"> 8 of the Agreement;</w:t>
      </w:r>
      <w:r w:rsidR="00354272" w:rsidRPr="00223D8B">
        <w:rPr>
          <w:lang w:val="en-CA"/>
        </w:rPr>
        <w:t xml:space="preserve"> </w:t>
      </w:r>
      <w:r w:rsidR="00357B15">
        <w:rPr>
          <w:lang w:val="en-CA"/>
        </w:rPr>
        <w:t>formally recognize</w:t>
      </w:r>
      <w:r w:rsidRPr="00223D8B">
        <w:rPr>
          <w:lang w:val="en-CA"/>
        </w:rPr>
        <w:t xml:space="preserve"> </w:t>
      </w:r>
      <w:r w:rsidR="00357B15">
        <w:rPr>
          <w:lang w:val="en-CA"/>
        </w:rPr>
        <w:t>class counsel’s</w:t>
      </w:r>
      <w:r w:rsidR="00357B15" w:rsidRPr="00223D8B">
        <w:rPr>
          <w:lang w:val="en-CA"/>
        </w:rPr>
        <w:t xml:space="preserve"> </w:t>
      </w:r>
      <w:r w:rsidRPr="00223D8B">
        <w:rPr>
          <w:lang w:val="en-CA"/>
        </w:rPr>
        <w:t>offer to reduce their professional fees to 20% of the settlement fund amount</w:t>
      </w:r>
      <w:r w:rsidR="00C03B69">
        <w:rPr>
          <w:lang w:val="en-CA"/>
        </w:rPr>
        <w:t>, and</w:t>
      </w:r>
      <w:r w:rsidRPr="00223D8B">
        <w:rPr>
          <w:lang w:val="en-CA"/>
        </w:rPr>
        <w:t xml:space="preserve"> pursuant to the second paragraph of art</w:t>
      </w:r>
      <w:r w:rsidR="0021094E">
        <w:rPr>
          <w:lang w:val="en-CA"/>
        </w:rPr>
        <w:t>icle</w:t>
      </w:r>
      <w:r w:rsidRPr="00223D8B">
        <w:rPr>
          <w:lang w:val="en-CA"/>
        </w:rPr>
        <w:t xml:space="preserve"> 593 CCP </w:t>
      </w:r>
      <w:r w:rsidR="00357B15">
        <w:rPr>
          <w:lang w:val="en-CA"/>
        </w:rPr>
        <w:t xml:space="preserve">and clause 8 </w:t>
      </w:r>
      <w:r w:rsidR="00834EF1">
        <w:rPr>
          <w:lang w:val="en-CA"/>
        </w:rPr>
        <w:t>o</w:t>
      </w:r>
      <w:r w:rsidR="00357B15">
        <w:rPr>
          <w:lang w:val="en-CA"/>
        </w:rPr>
        <w:t>f the Agreement</w:t>
      </w:r>
      <w:r w:rsidR="0021094E">
        <w:rPr>
          <w:lang w:val="en-CA"/>
        </w:rPr>
        <w:t>,</w:t>
      </w:r>
      <w:r w:rsidR="00357B15">
        <w:rPr>
          <w:lang w:val="en-CA"/>
        </w:rPr>
        <w:t xml:space="preserve"> determine</w:t>
      </w:r>
      <w:r w:rsidR="00357B15" w:rsidRPr="00223D8B">
        <w:rPr>
          <w:lang w:val="en-CA"/>
        </w:rPr>
        <w:t xml:space="preserve"> </w:t>
      </w:r>
      <w:r w:rsidRPr="00223D8B">
        <w:rPr>
          <w:lang w:val="en-CA"/>
        </w:rPr>
        <w:t>the amount of professional fees at $5,600,000 (plus disbursements of $8,661.10 and applicable taxes);</w:t>
      </w:r>
      <w:r w:rsidR="00354272" w:rsidRPr="00223D8B">
        <w:rPr>
          <w:lang w:val="en-CA"/>
        </w:rPr>
        <w:t xml:space="preserve"> </w:t>
      </w:r>
      <w:r w:rsidR="00357B15">
        <w:rPr>
          <w:lang w:val="en-CA"/>
        </w:rPr>
        <w:t>formally recognize</w:t>
      </w:r>
      <w:r w:rsidRPr="00223D8B">
        <w:rPr>
          <w:lang w:val="en-CA"/>
        </w:rPr>
        <w:t xml:space="preserve"> counsel</w:t>
      </w:r>
      <w:r w:rsidR="00717923">
        <w:rPr>
          <w:lang w:val="en-CA"/>
        </w:rPr>
        <w:t>’s undertaking</w:t>
      </w:r>
      <w:r w:rsidRPr="00223D8B">
        <w:rPr>
          <w:lang w:val="en-CA"/>
        </w:rPr>
        <w:t xml:space="preserve"> to reimburse $99,136.09 to the impleaded </w:t>
      </w:r>
      <w:r w:rsidR="00717923">
        <w:rPr>
          <w:lang w:val="en-CA"/>
        </w:rPr>
        <w:t xml:space="preserve">party </w:t>
      </w:r>
      <w:r w:rsidRPr="00223D8B">
        <w:rPr>
          <w:lang w:val="en-CA"/>
        </w:rPr>
        <w:t>FAAC;</w:t>
      </w:r>
      <w:r w:rsidR="00354272" w:rsidRPr="00223D8B">
        <w:rPr>
          <w:lang w:val="en-CA"/>
        </w:rPr>
        <w:t xml:space="preserve"> </w:t>
      </w:r>
      <w:r w:rsidRPr="00223D8B">
        <w:rPr>
          <w:lang w:val="en-CA"/>
        </w:rPr>
        <w:t xml:space="preserve">declare that the fees and </w:t>
      </w:r>
      <w:r w:rsidR="00357B15">
        <w:rPr>
          <w:lang w:val="en-CA"/>
        </w:rPr>
        <w:t>disbursements</w:t>
      </w:r>
      <w:r w:rsidR="00357B15" w:rsidRPr="00223D8B">
        <w:rPr>
          <w:lang w:val="en-CA"/>
        </w:rPr>
        <w:t xml:space="preserve"> </w:t>
      </w:r>
      <w:r w:rsidRPr="00223D8B">
        <w:rPr>
          <w:lang w:val="en-CA"/>
        </w:rPr>
        <w:t xml:space="preserve">of the </w:t>
      </w:r>
      <w:r w:rsidRPr="00223D8B">
        <w:rPr>
          <w:i/>
          <w:lang w:val="en-CA"/>
        </w:rPr>
        <w:t>amicus curiae</w:t>
      </w:r>
      <w:r w:rsidRPr="00223D8B">
        <w:rPr>
          <w:lang w:val="en-CA"/>
        </w:rPr>
        <w:t xml:space="preserve"> </w:t>
      </w:r>
      <w:r w:rsidR="00717923">
        <w:rPr>
          <w:lang w:val="en-CA"/>
        </w:rPr>
        <w:t>will</w:t>
      </w:r>
      <w:r w:rsidRPr="00223D8B">
        <w:rPr>
          <w:lang w:val="en-CA"/>
        </w:rPr>
        <w:t xml:space="preserve"> be paid by the </w:t>
      </w:r>
      <w:r w:rsidR="00357B15">
        <w:rPr>
          <w:lang w:val="en-CA"/>
        </w:rPr>
        <w:t xml:space="preserve">class </w:t>
      </w:r>
      <w:r w:rsidRPr="00223D8B">
        <w:rPr>
          <w:lang w:val="en-CA"/>
        </w:rPr>
        <w:t>members out of the settlement fund;</w:t>
      </w:r>
      <w:r w:rsidR="00354272" w:rsidRPr="00223D8B">
        <w:rPr>
          <w:szCs w:val="24"/>
          <w:lang w:val="en-CA"/>
        </w:rPr>
        <w:t xml:space="preserve"> </w:t>
      </w:r>
      <w:r w:rsidR="00C03B69">
        <w:rPr>
          <w:szCs w:val="24"/>
          <w:lang w:val="en-CA"/>
        </w:rPr>
        <w:t xml:space="preserve">and </w:t>
      </w:r>
      <w:r w:rsidRPr="00223D8B">
        <w:rPr>
          <w:szCs w:val="24"/>
          <w:lang w:val="en-CA"/>
        </w:rPr>
        <w:t xml:space="preserve">declare that that the Superior Court retains jurisdiction over all other </w:t>
      </w:r>
      <w:r w:rsidR="00357B15">
        <w:rPr>
          <w:szCs w:val="24"/>
          <w:lang w:val="en-CA"/>
        </w:rPr>
        <w:t xml:space="preserve">future </w:t>
      </w:r>
      <w:r w:rsidRPr="00223D8B">
        <w:rPr>
          <w:szCs w:val="24"/>
          <w:lang w:val="en-CA"/>
        </w:rPr>
        <w:t>aspects of the file;</w:t>
      </w:r>
      <w:r w:rsidR="00354272" w:rsidRPr="00223D8B">
        <w:rPr>
          <w:szCs w:val="24"/>
          <w:lang w:val="en-CA"/>
        </w:rPr>
        <w:t xml:space="preserve"> </w:t>
      </w:r>
      <w:r w:rsidRPr="00223D8B">
        <w:rPr>
          <w:szCs w:val="24"/>
          <w:lang w:val="en-CA"/>
        </w:rPr>
        <w:t>the whole without legal costs.</w:t>
      </w:r>
    </w:p>
    <w:tbl>
      <w:tblPr>
        <w:tblW w:w="0" w:type="auto"/>
        <w:tblInd w:w="70" w:type="dxa"/>
        <w:tblLayout w:type="fixed"/>
        <w:tblCellMar>
          <w:left w:w="70" w:type="dxa"/>
          <w:right w:w="70" w:type="dxa"/>
        </w:tblCellMar>
        <w:tblLook w:val="0000" w:firstRow="0" w:lastRow="0" w:firstColumn="0" w:lastColumn="0" w:noHBand="0" w:noVBand="0"/>
      </w:tblPr>
      <w:tblGrid>
        <w:gridCol w:w="4735"/>
        <w:gridCol w:w="4625"/>
      </w:tblGrid>
      <w:tr w:rsidR="00C233D9" w:rsidRPr="00F5469D" w14:paraId="5C529AB8" w14:textId="77777777" w:rsidTr="00E024A4">
        <w:trPr>
          <w:cantSplit/>
          <w:trHeight w:val="513"/>
        </w:trPr>
        <w:tc>
          <w:tcPr>
            <w:tcW w:w="9360" w:type="dxa"/>
            <w:gridSpan w:val="2"/>
          </w:tcPr>
          <w:p w14:paraId="2A5D6759" w14:textId="77777777" w:rsidR="002E7C51" w:rsidRPr="001A6BBA" w:rsidRDefault="002E7C51" w:rsidP="00E024A4">
            <w:pPr>
              <w:rPr>
                <w:lang w:val="en-CA"/>
              </w:rPr>
            </w:pPr>
          </w:p>
        </w:tc>
      </w:tr>
      <w:tr w:rsidR="00C233D9" w:rsidRPr="00F5469D" w14:paraId="0E7EC23F" w14:textId="77777777" w:rsidTr="00E024A4">
        <w:tblPrEx>
          <w:tblCellMar>
            <w:left w:w="0" w:type="dxa"/>
            <w:right w:w="0" w:type="dxa"/>
          </w:tblCellMar>
        </w:tblPrEx>
        <w:trPr>
          <w:cantSplit/>
          <w:trHeight w:val="277"/>
        </w:trPr>
        <w:tc>
          <w:tcPr>
            <w:tcW w:w="4735" w:type="dxa"/>
            <w:vMerge w:val="restart"/>
          </w:tcPr>
          <w:p w14:paraId="6806796E" w14:textId="77777777" w:rsidR="002E7C51" w:rsidRPr="001A6BBA" w:rsidRDefault="002E7C51" w:rsidP="00E024A4">
            <w:pPr>
              <w:rPr>
                <w:lang w:val="en-CA"/>
              </w:rPr>
            </w:pPr>
          </w:p>
        </w:tc>
        <w:tc>
          <w:tcPr>
            <w:tcW w:w="4625" w:type="dxa"/>
            <w:tcBorders>
              <w:bottom w:val="single" w:sz="8" w:space="0" w:color="auto"/>
            </w:tcBorders>
          </w:tcPr>
          <w:p w14:paraId="5B6D6313" w14:textId="77777777" w:rsidR="002E7C51" w:rsidRPr="001A6BBA" w:rsidRDefault="002E7C51" w:rsidP="00E024A4">
            <w:pPr>
              <w:rPr>
                <w:lang w:val="en-CA"/>
              </w:rPr>
            </w:pPr>
          </w:p>
        </w:tc>
      </w:tr>
      <w:tr w:rsidR="00C233D9" w:rsidRPr="001A6BBA" w14:paraId="19576E9E" w14:textId="77777777" w:rsidTr="00E024A4">
        <w:tblPrEx>
          <w:tblCellMar>
            <w:left w:w="0" w:type="dxa"/>
            <w:right w:w="0" w:type="dxa"/>
          </w:tblCellMar>
        </w:tblPrEx>
        <w:trPr>
          <w:cantSplit/>
          <w:trHeight w:val="276"/>
        </w:trPr>
        <w:tc>
          <w:tcPr>
            <w:tcW w:w="4735" w:type="dxa"/>
            <w:vMerge/>
          </w:tcPr>
          <w:p w14:paraId="2FEEA568" w14:textId="77777777" w:rsidR="002E7C51" w:rsidRPr="001A6BBA" w:rsidRDefault="002E7C51" w:rsidP="00E024A4">
            <w:pPr>
              <w:rPr>
                <w:lang w:val="en-CA"/>
              </w:rPr>
            </w:pPr>
          </w:p>
        </w:tc>
        <w:tc>
          <w:tcPr>
            <w:tcW w:w="4625" w:type="dxa"/>
          </w:tcPr>
          <w:p w14:paraId="714C5B4C" w14:textId="4C473FA5" w:rsidR="002E7C51" w:rsidRPr="009F222C" w:rsidRDefault="00354272" w:rsidP="00E024A4">
            <w:pPr>
              <w:rPr>
                <w:lang w:val="en-CA"/>
              </w:rPr>
            </w:pPr>
            <w:r w:rsidRPr="009F222C">
              <w:rPr>
                <w:lang w:val="en-CA"/>
              </w:rPr>
              <w:t>MARK SCHRAGER, J.A.</w:t>
            </w:r>
          </w:p>
        </w:tc>
      </w:tr>
      <w:bookmarkEnd w:id="9"/>
    </w:tbl>
    <w:p w14:paraId="37314999" w14:textId="7D1F32DE" w:rsidR="00740A17" w:rsidRDefault="00740A17" w:rsidP="00687DAA">
      <w:pPr>
        <w:rPr>
          <w:lang w:val="en-CA"/>
        </w:rPr>
      </w:pPr>
    </w:p>
    <w:sectPr w:rsidR="00740A17" w:rsidSect="002E7C51">
      <w:headerReference w:type="default" r:id="rId9"/>
      <w:pgSz w:w="12242" w:h="15842" w:code="1"/>
      <w:pgMar w:top="1440" w:right="1008" w:bottom="1440" w:left="1872" w:header="1440" w:footer="79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74839" w14:textId="77777777" w:rsidR="00ED4AEC" w:rsidRDefault="00ED4AEC">
      <w:pPr>
        <w:spacing w:line="240" w:lineRule="auto"/>
      </w:pPr>
      <w:r>
        <w:separator/>
      </w:r>
    </w:p>
  </w:endnote>
  <w:endnote w:type="continuationSeparator" w:id="0">
    <w:p w14:paraId="2839F05A" w14:textId="77777777" w:rsidR="00ED4AEC" w:rsidRDefault="00ED4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C84C" w14:textId="77777777" w:rsidR="00ED4AEC" w:rsidRDefault="00ED4AEC">
      <w:r>
        <w:separator/>
      </w:r>
    </w:p>
  </w:footnote>
  <w:footnote w:type="continuationSeparator" w:id="0">
    <w:p w14:paraId="538BAA1B" w14:textId="77777777" w:rsidR="00ED4AEC" w:rsidRDefault="00ED4AEC">
      <w:r>
        <w:continuationSeparator/>
      </w:r>
    </w:p>
  </w:footnote>
  <w:footnote w:id="1">
    <w:p w14:paraId="5F5FC14E" w14:textId="2835466F" w:rsidR="00354272" w:rsidRPr="00E32C3F" w:rsidRDefault="00354272" w:rsidP="00354272">
      <w:pPr>
        <w:pStyle w:val="Notedebasdepage"/>
      </w:pPr>
      <w:r w:rsidRPr="00E32C3F">
        <w:rPr>
          <w:rStyle w:val="Appelnotedebasdep"/>
        </w:rPr>
        <w:footnoteRef/>
      </w:r>
      <w:r w:rsidRPr="00E32C3F">
        <w:t xml:space="preserve"> </w:t>
      </w:r>
      <w:r w:rsidRPr="00E32C3F">
        <w:tab/>
      </w:r>
      <w:r w:rsidR="00952D27" w:rsidRPr="001A6BBA">
        <w:rPr>
          <w:i/>
          <w:iCs/>
        </w:rPr>
        <w:t>A.B. c. Clercs de Saint-Viateur du Canada</w:t>
      </w:r>
      <w:r w:rsidR="00952D27" w:rsidRPr="001A6BBA">
        <w:rPr>
          <w:iCs/>
        </w:rPr>
        <w:t>, 2022 QCCA 1224</w:t>
      </w:r>
      <w:r w:rsidR="006E144D">
        <w:rPr>
          <w:iCs/>
        </w:rPr>
        <w:t>,</w:t>
      </w:r>
      <w:r w:rsidR="00952D27" w:rsidRPr="001A6BBA">
        <w:rPr>
          <w:iCs/>
        </w:rPr>
        <w:t xml:space="preserve"> Mainville, J.A.</w:t>
      </w:r>
    </w:p>
  </w:footnote>
  <w:footnote w:id="2">
    <w:p w14:paraId="314E21B8" w14:textId="00A93202" w:rsidR="00354272" w:rsidRPr="00E32C3F" w:rsidRDefault="00354272" w:rsidP="00354272">
      <w:pPr>
        <w:pStyle w:val="Notedebasdepage"/>
      </w:pPr>
      <w:r w:rsidRPr="00E32C3F">
        <w:rPr>
          <w:rStyle w:val="Appelnotedebasdep"/>
        </w:rPr>
        <w:footnoteRef/>
      </w:r>
      <w:r w:rsidRPr="00E32C3F">
        <w:t xml:space="preserve"> </w:t>
      </w:r>
      <w:r w:rsidRPr="00E32C3F">
        <w:tab/>
      </w:r>
      <w:r w:rsidR="001A6BBA" w:rsidRPr="001A6BBA">
        <w:rPr>
          <w:i/>
          <w:iCs/>
        </w:rPr>
        <w:t>A.B. c. Clercs de Saint-Viateur du Canada</w:t>
      </w:r>
      <w:r w:rsidR="001A6BBA" w:rsidRPr="001A6BBA">
        <w:rPr>
          <w:iCs/>
        </w:rPr>
        <w:t>, 2022 QCCS 2484 [ju</w:t>
      </w:r>
      <w:r w:rsidR="006E144D">
        <w:rPr>
          <w:iCs/>
        </w:rPr>
        <w:t>d</w:t>
      </w:r>
      <w:r w:rsidR="001A6BBA" w:rsidRPr="001A6BBA">
        <w:rPr>
          <w:iCs/>
        </w:rPr>
        <w:t>gment</w:t>
      </w:r>
      <w:r w:rsidR="004E66E0">
        <w:rPr>
          <w:iCs/>
        </w:rPr>
        <w:t xml:space="preserve"> </w:t>
      </w:r>
      <w:r w:rsidR="004E66E0" w:rsidRPr="004E66E0">
        <w:t>under appeal</w:t>
      </w:r>
      <w:r w:rsidR="001A6BBA" w:rsidRPr="001A6BBA">
        <w:rPr>
          <w:iCs/>
        </w:rPr>
        <w:t>].</w:t>
      </w:r>
    </w:p>
  </w:footnote>
  <w:footnote w:id="3">
    <w:p w14:paraId="18C30424" w14:textId="77777777" w:rsidR="00354272" w:rsidRPr="00E32C3F" w:rsidRDefault="00354272" w:rsidP="00354272">
      <w:pPr>
        <w:pStyle w:val="Notedebasdepage"/>
      </w:pPr>
      <w:r w:rsidRPr="00E32C3F">
        <w:rPr>
          <w:rStyle w:val="Appelnotedebasdep"/>
        </w:rPr>
        <w:footnoteRef/>
      </w:r>
      <w:r w:rsidRPr="00E32C3F">
        <w:t xml:space="preserve"> </w:t>
      </w:r>
      <w:r w:rsidRPr="00E32C3F">
        <w:tab/>
      </w:r>
      <w:r w:rsidRPr="009F222C">
        <w:rPr>
          <w:i/>
          <w:iCs/>
        </w:rPr>
        <w:t>A.B. c. Clercs de Saint-Viateur du Canada</w:t>
      </w:r>
      <w:r w:rsidRPr="009F222C">
        <w:t>, 2019 QCCS 1521.</w:t>
      </w:r>
    </w:p>
  </w:footnote>
  <w:footnote w:id="4">
    <w:p w14:paraId="19AB3604" w14:textId="28E08DF6" w:rsidR="00354272" w:rsidRPr="008778A3" w:rsidRDefault="00354272" w:rsidP="00354272">
      <w:pPr>
        <w:pStyle w:val="Notedebasdepage"/>
        <w:rPr>
          <w:lang w:val="en-CA"/>
        </w:rPr>
      </w:pPr>
      <w:r w:rsidRPr="00E32C3F">
        <w:rPr>
          <w:rStyle w:val="Appelnotedebasdep"/>
        </w:rPr>
        <w:footnoteRef/>
      </w:r>
      <w:r w:rsidRPr="008778A3">
        <w:rPr>
          <w:lang w:val="en-CA"/>
        </w:rPr>
        <w:t xml:space="preserve"> </w:t>
      </w:r>
      <w:r w:rsidRPr="008778A3">
        <w:rPr>
          <w:lang w:val="en-CA"/>
        </w:rPr>
        <w:tab/>
      </w:r>
      <w:r w:rsidR="001A6BBA" w:rsidRPr="008778A3">
        <w:rPr>
          <w:lang w:val="en-CA"/>
        </w:rPr>
        <w:t>The share of the CIUSSS de la Capitale-Nationale is limited to the amount set out in Schedule 4 of the Agreement.</w:t>
      </w:r>
    </w:p>
  </w:footnote>
  <w:footnote w:id="5">
    <w:p w14:paraId="21812BB1" w14:textId="77777777" w:rsidR="007C5C97" w:rsidRPr="00E32C3F" w:rsidRDefault="007C5C97" w:rsidP="007C5C97">
      <w:pPr>
        <w:pStyle w:val="Notedebasdepage"/>
      </w:pPr>
      <w:r w:rsidRPr="00E32C3F">
        <w:rPr>
          <w:rStyle w:val="Appelnotedebasdep"/>
        </w:rPr>
        <w:footnoteRef/>
      </w:r>
      <w:r w:rsidRPr="00E32C3F">
        <w:t xml:space="preserve"> </w:t>
      </w:r>
      <w:r w:rsidRPr="00E32C3F">
        <w:tab/>
      </w:r>
      <w:r w:rsidRPr="00E32C3F">
        <w:rPr>
          <w:i/>
          <w:iCs/>
        </w:rPr>
        <w:t>A.B. c. Clercs de Saint-Viateur du Canada</w:t>
      </w:r>
      <w:r w:rsidRPr="00E32C3F">
        <w:t>, 2022 QCCA 1224.</w:t>
      </w:r>
    </w:p>
  </w:footnote>
  <w:footnote w:id="6">
    <w:p w14:paraId="0D417026" w14:textId="77777777" w:rsidR="007C5C97" w:rsidRPr="00E32C3F" w:rsidRDefault="007C5C97" w:rsidP="007C5C97">
      <w:pPr>
        <w:pStyle w:val="Notedebasdepage"/>
      </w:pPr>
      <w:r w:rsidRPr="00E32C3F">
        <w:rPr>
          <w:rStyle w:val="Appelnotedebasdep"/>
        </w:rPr>
        <w:footnoteRef/>
      </w:r>
      <w:r w:rsidRPr="00E32C3F">
        <w:t xml:space="preserve">  </w:t>
      </w:r>
      <w:r w:rsidRPr="00E32C3F">
        <w:tab/>
      </w:r>
      <w:r w:rsidRPr="00E32C3F">
        <w:rPr>
          <w:i/>
          <w:iCs/>
        </w:rPr>
        <w:t>A.B. c. Clercs de Saint-Viateur du Canada</w:t>
      </w:r>
      <w:r w:rsidRPr="00E32C3F">
        <w:t>, 2022 QCCA 1300.</w:t>
      </w:r>
    </w:p>
  </w:footnote>
  <w:footnote w:id="7">
    <w:p w14:paraId="45988865" w14:textId="171A5AE4" w:rsidR="007C5C97" w:rsidRPr="00F5469D" w:rsidRDefault="007C5C97" w:rsidP="007C5C97">
      <w:pPr>
        <w:pStyle w:val="Notedebasdepage"/>
      </w:pPr>
      <w:r w:rsidRPr="00E32C3F">
        <w:rPr>
          <w:rStyle w:val="Appelnotedebasdep"/>
        </w:rPr>
        <w:footnoteRef/>
      </w:r>
      <w:r w:rsidRPr="008778A3">
        <w:rPr>
          <w:lang w:val="en-CA"/>
        </w:rPr>
        <w:t xml:space="preserve"> </w:t>
      </w:r>
      <w:r w:rsidRPr="008778A3">
        <w:rPr>
          <w:lang w:val="en-CA"/>
        </w:rPr>
        <w:tab/>
      </w:r>
      <w:bookmarkStart w:id="11" w:name="_Hlk128130668"/>
      <w:r w:rsidR="001A6BBA" w:rsidRPr="008778A3">
        <w:rPr>
          <w:lang w:val="en-CA"/>
        </w:rPr>
        <w:t xml:space="preserve">Judgment </w:t>
      </w:r>
      <w:r w:rsidR="004E66E0">
        <w:rPr>
          <w:lang w:val="en-CA"/>
        </w:rPr>
        <w:t>under appeal</w:t>
      </w:r>
      <w:r w:rsidR="001A6BBA" w:rsidRPr="008778A3">
        <w:rPr>
          <w:lang w:val="en-CA"/>
        </w:rPr>
        <w:t xml:space="preserve">, </w:t>
      </w:r>
      <w:r w:rsidR="001A6BBA" w:rsidRPr="008778A3">
        <w:rPr>
          <w:i/>
          <w:lang w:val="en-CA"/>
        </w:rPr>
        <w:t>supra</w:t>
      </w:r>
      <w:r w:rsidR="001A6BBA" w:rsidRPr="008778A3">
        <w:rPr>
          <w:lang w:val="en-CA"/>
        </w:rPr>
        <w:t xml:space="preserve"> note</w:t>
      </w:r>
      <w:r w:rsidRPr="008778A3">
        <w:rPr>
          <w:lang w:val="en-CA"/>
        </w:rPr>
        <w:t xml:space="preserve"> </w:t>
      </w:r>
      <w:r w:rsidRPr="00E32C3F">
        <w:fldChar w:fldCharType="begin"/>
      </w:r>
      <w:r w:rsidRPr="008778A3">
        <w:rPr>
          <w:lang w:val="en-CA"/>
        </w:rPr>
        <w:instrText xml:space="preserve"> NOTEREF _Ref128033726 \h  \* MERGEFORMAT </w:instrText>
      </w:r>
      <w:r w:rsidRPr="00E32C3F">
        <w:fldChar w:fldCharType="separate"/>
      </w:r>
      <w:r w:rsidRPr="008778A3">
        <w:rPr>
          <w:lang w:val="en-CA"/>
        </w:rPr>
        <w:t>2</w:t>
      </w:r>
      <w:r w:rsidRPr="00E32C3F">
        <w:fldChar w:fldCharType="end"/>
      </w:r>
      <w:bookmarkEnd w:id="11"/>
      <w:r w:rsidR="00D65514" w:rsidRPr="008778A3">
        <w:rPr>
          <w:lang w:val="en-CA"/>
        </w:rPr>
        <w:t xml:space="preserve"> at para.</w:t>
      </w:r>
      <w:r w:rsidR="0042435C" w:rsidRPr="008778A3">
        <w:rPr>
          <w:lang w:val="en-CA"/>
        </w:rPr>
        <w:t xml:space="preserve"> </w:t>
      </w:r>
      <w:r w:rsidRPr="00F5469D">
        <w:t>40.</w:t>
      </w:r>
    </w:p>
  </w:footnote>
  <w:footnote w:id="8">
    <w:p w14:paraId="2FEF2737" w14:textId="376E3053" w:rsidR="007C5C97" w:rsidRPr="00E32C3F" w:rsidRDefault="007C5C97" w:rsidP="007C5C97">
      <w:pPr>
        <w:pStyle w:val="Notedebasdepage"/>
      </w:pPr>
      <w:r w:rsidRPr="00E32C3F">
        <w:rPr>
          <w:rStyle w:val="Appelnotedebasdep"/>
        </w:rPr>
        <w:footnoteRef/>
      </w:r>
      <w:r w:rsidRPr="00F5469D">
        <w:t xml:space="preserve"> </w:t>
      </w:r>
      <w:r w:rsidRPr="00F5469D">
        <w:tab/>
      </w:r>
      <w:r w:rsidRPr="00F5469D">
        <w:rPr>
          <w:i/>
          <w:iCs/>
        </w:rPr>
        <w:t xml:space="preserve">Ibid. </w:t>
      </w:r>
      <w:r w:rsidRPr="00F5469D">
        <w:t xml:space="preserve">at para. </w:t>
      </w:r>
      <w:r w:rsidRPr="00E32C3F">
        <w:t>42.</w:t>
      </w:r>
    </w:p>
  </w:footnote>
  <w:footnote w:id="9">
    <w:p w14:paraId="21072141" w14:textId="77777777" w:rsidR="007C5C97" w:rsidRPr="00E32C3F" w:rsidRDefault="007C5C97" w:rsidP="007C5C97">
      <w:pPr>
        <w:pStyle w:val="Notedebasdepage"/>
      </w:pPr>
      <w:r w:rsidRPr="00E32C3F">
        <w:rPr>
          <w:rStyle w:val="Appelnotedebasdep"/>
        </w:rPr>
        <w:footnoteRef/>
      </w:r>
      <w:r w:rsidRPr="00E32C3F">
        <w:t xml:space="preserve"> </w:t>
      </w:r>
      <w:r w:rsidRPr="00E32C3F">
        <w:tab/>
      </w:r>
      <w:r w:rsidRPr="00E32C3F">
        <w:rPr>
          <w:i/>
          <w:iCs/>
        </w:rPr>
        <w:t>Y. c. Servites de Marie de Québec</w:t>
      </w:r>
      <w:r w:rsidRPr="00E32C3F">
        <w:t>, 2021 QCCS 2712 [</w:t>
      </w:r>
      <w:r w:rsidRPr="00E32C3F">
        <w:rPr>
          <w:i/>
          <w:iCs/>
        </w:rPr>
        <w:t>Servites de Marie</w:t>
      </w:r>
      <w:r w:rsidRPr="00E32C3F">
        <w:t>].</w:t>
      </w:r>
    </w:p>
  </w:footnote>
  <w:footnote w:id="10">
    <w:p w14:paraId="064DC530" w14:textId="2D279E2A" w:rsidR="007C5C97" w:rsidRPr="008778A3" w:rsidRDefault="007C5C97" w:rsidP="007C5C97">
      <w:pPr>
        <w:pStyle w:val="Notedebasdepage"/>
        <w:rPr>
          <w:lang w:val="en-CA"/>
        </w:rPr>
      </w:pPr>
      <w:r w:rsidRPr="00E32C3F">
        <w:rPr>
          <w:rStyle w:val="Appelnotedebasdep"/>
        </w:rPr>
        <w:footnoteRef/>
      </w:r>
      <w:r w:rsidRPr="008778A3">
        <w:rPr>
          <w:lang w:val="en-CA"/>
        </w:rPr>
        <w:t xml:space="preserve"> </w:t>
      </w:r>
      <w:r w:rsidRPr="008778A3">
        <w:rPr>
          <w:lang w:val="en-CA"/>
        </w:rPr>
        <w:tab/>
      </w:r>
      <w:r w:rsidR="001A6BBA" w:rsidRPr="008778A3">
        <w:rPr>
          <w:lang w:val="en-CA"/>
        </w:rPr>
        <w:t xml:space="preserve">Judgment </w:t>
      </w:r>
      <w:r w:rsidR="004E66E0">
        <w:rPr>
          <w:lang w:val="en-CA"/>
        </w:rPr>
        <w:t>under appeal</w:t>
      </w:r>
      <w:r w:rsidR="001A6BBA" w:rsidRPr="008778A3">
        <w:rPr>
          <w:lang w:val="en-CA"/>
        </w:rPr>
        <w:t xml:space="preserve">, </w:t>
      </w:r>
      <w:r w:rsidR="001A6BBA" w:rsidRPr="008778A3">
        <w:rPr>
          <w:i/>
          <w:lang w:val="en-CA"/>
        </w:rPr>
        <w:t>supra</w:t>
      </w:r>
      <w:r w:rsidR="001A6BBA" w:rsidRPr="008778A3">
        <w:rPr>
          <w:lang w:val="en-CA"/>
        </w:rPr>
        <w:t xml:space="preserve"> note</w:t>
      </w:r>
      <w:r w:rsidRPr="008778A3">
        <w:rPr>
          <w:lang w:val="en-CA"/>
        </w:rPr>
        <w:t xml:space="preserve"> </w:t>
      </w:r>
      <w:r w:rsidRPr="00E32C3F">
        <w:fldChar w:fldCharType="begin"/>
      </w:r>
      <w:r w:rsidRPr="008778A3">
        <w:rPr>
          <w:lang w:val="en-CA"/>
        </w:rPr>
        <w:instrText xml:space="preserve"> NOTEREF _Ref128033726 \h  \* MERGEFORMAT </w:instrText>
      </w:r>
      <w:r w:rsidRPr="00E32C3F">
        <w:fldChar w:fldCharType="separate"/>
      </w:r>
      <w:r w:rsidRPr="008778A3">
        <w:rPr>
          <w:lang w:val="en-CA"/>
        </w:rPr>
        <w:t>2</w:t>
      </w:r>
      <w:r w:rsidRPr="00E32C3F">
        <w:fldChar w:fldCharType="end"/>
      </w:r>
      <w:r w:rsidR="00D65514" w:rsidRPr="008778A3">
        <w:rPr>
          <w:lang w:val="en-CA"/>
        </w:rPr>
        <w:t xml:space="preserve"> at para.</w:t>
      </w:r>
      <w:r w:rsidR="0042435C" w:rsidRPr="008778A3">
        <w:rPr>
          <w:lang w:val="en-CA"/>
        </w:rPr>
        <w:t xml:space="preserve"> </w:t>
      </w:r>
      <w:r w:rsidRPr="008778A3">
        <w:rPr>
          <w:lang w:val="en-CA"/>
        </w:rPr>
        <w:t>46.</w:t>
      </w:r>
    </w:p>
  </w:footnote>
  <w:footnote w:id="11">
    <w:p w14:paraId="627FD505" w14:textId="5EC28A10" w:rsidR="007C5C97" w:rsidRPr="008778A3" w:rsidRDefault="007C5C97" w:rsidP="007C5C97">
      <w:pPr>
        <w:pStyle w:val="Notedebasdepage"/>
        <w:rPr>
          <w:lang w:val="en-CA"/>
        </w:rPr>
      </w:pPr>
      <w:r w:rsidRPr="00E32C3F">
        <w:rPr>
          <w:rStyle w:val="Appelnotedebasdep"/>
        </w:rPr>
        <w:footnoteRef/>
      </w:r>
      <w:r w:rsidRPr="008778A3">
        <w:rPr>
          <w:lang w:val="en-CA"/>
        </w:rPr>
        <w:t xml:space="preserve"> </w:t>
      </w:r>
      <w:r w:rsidRPr="008778A3">
        <w:rPr>
          <w:lang w:val="en-CA"/>
        </w:rPr>
        <w:tab/>
      </w:r>
      <w:r w:rsidR="001A6BBA" w:rsidRPr="008778A3">
        <w:rPr>
          <w:lang w:val="en-CA"/>
        </w:rPr>
        <w:t xml:space="preserve">Judgment </w:t>
      </w:r>
      <w:r w:rsidR="004E66E0">
        <w:rPr>
          <w:lang w:val="en-CA"/>
        </w:rPr>
        <w:t>under appeal</w:t>
      </w:r>
      <w:r w:rsidR="001A6BBA" w:rsidRPr="008778A3">
        <w:rPr>
          <w:lang w:val="en-CA"/>
        </w:rPr>
        <w:t xml:space="preserve">, </w:t>
      </w:r>
      <w:r w:rsidR="001A6BBA" w:rsidRPr="008778A3">
        <w:rPr>
          <w:i/>
          <w:lang w:val="en-CA"/>
        </w:rPr>
        <w:t>supra</w:t>
      </w:r>
      <w:r w:rsidR="001A6BBA" w:rsidRPr="008778A3">
        <w:rPr>
          <w:lang w:val="en-CA"/>
        </w:rPr>
        <w:t xml:space="preserve"> note</w:t>
      </w:r>
      <w:r w:rsidRPr="008778A3">
        <w:rPr>
          <w:lang w:val="en-CA"/>
        </w:rPr>
        <w:t xml:space="preserve"> </w:t>
      </w:r>
      <w:r w:rsidRPr="00E32C3F">
        <w:fldChar w:fldCharType="begin"/>
      </w:r>
      <w:r w:rsidRPr="008778A3">
        <w:rPr>
          <w:lang w:val="en-CA"/>
        </w:rPr>
        <w:instrText xml:space="preserve"> NOTEREF _Ref128033726 \h  \* MERGEFORMAT </w:instrText>
      </w:r>
      <w:r w:rsidRPr="00E32C3F">
        <w:fldChar w:fldCharType="separate"/>
      </w:r>
      <w:r w:rsidRPr="008778A3">
        <w:rPr>
          <w:lang w:val="en-CA"/>
        </w:rPr>
        <w:t>2</w:t>
      </w:r>
      <w:r w:rsidRPr="00E32C3F">
        <w:fldChar w:fldCharType="end"/>
      </w:r>
      <w:r w:rsidR="00D65514" w:rsidRPr="008778A3">
        <w:rPr>
          <w:lang w:val="en-CA"/>
        </w:rPr>
        <w:t xml:space="preserve"> at para.</w:t>
      </w:r>
      <w:r w:rsidR="0042435C" w:rsidRPr="008778A3">
        <w:rPr>
          <w:lang w:val="en-CA"/>
        </w:rPr>
        <w:t xml:space="preserve"> </w:t>
      </w:r>
      <w:r w:rsidRPr="008778A3">
        <w:rPr>
          <w:lang w:val="en-CA"/>
        </w:rPr>
        <w:t>49.</w:t>
      </w:r>
    </w:p>
  </w:footnote>
  <w:footnote w:id="12">
    <w:p w14:paraId="4C7448FD" w14:textId="77777777" w:rsidR="004E6A6C" w:rsidRPr="008778A3" w:rsidRDefault="004E6A6C" w:rsidP="004E6A6C">
      <w:pPr>
        <w:pStyle w:val="Notedebasdepage"/>
        <w:rPr>
          <w:lang w:val="en-CA"/>
        </w:rPr>
      </w:pPr>
      <w:r w:rsidRPr="00E32C3F">
        <w:rPr>
          <w:rStyle w:val="Appelnotedebasdep"/>
        </w:rPr>
        <w:footnoteRef/>
      </w:r>
      <w:r w:rsidRPr="008778A3">
        <w:rPr>
          <w:lang w:val="en-CA"/>
        </w:rPr>
        <w:t xml:space="preserve"> </w:t>
      </w:r>
      <w:r w:rsidRPr="008778A3">
        <w:rPr>
          <w:lang w:val="en-CA"/>
        </w:rPr>
        <w:tab/>
      </w:r>
      <w:r w:rsidRPr="008778A3">
        <w:rPr>
          <w:i/>
          <w:iCs/>
          <w:lang w:val="en-CA"/>
        </w:rPr>
        <w:t xml:space="preserve">Ibid. </w:t>
      </w:r>
      <w:r w:rsidRPr="008778A3">
        <w:rPr>
          <w:lang w:val="en-CA"/>
        </w:rPr>
        <w:t>at para</w:t>
      </w:r>
      <w:r w:rsidRPr="008778A3">
        <w:rPr>
          <w:i/>
          <w:iCs/>
          <w:lang w:val="en-CA"/>
        </w:rPr>
        <w:t>.</w:t>
      </w:r>
      <w:r w:rsidRPr="008778A3">
        <w:rPr>
          <w:lang w:val="en-CA"/>
        </w:rPr>
        <w:t xml:space="preserve"> 51.</w:t>
      </w:r>
    </w:p>
  </w:footnote>
  <w:footnote w:id="13">
    <w:p w14:paraId="774247E9" w14:textId="62FEA359" w:rsidR="007C5C97" w:rsidRPr="008778A3" w:rsidRDefault="007C5C97" w:rsidP="007C5C97">
      <w:pPr>
        <w:pStyle w:val="Notedebasdepage"/>
        <w:rPr>
          <w:lang w:val="en-CA"/>
        </w:rPr>
      </w:pPr>
      <w:r w:rsidRPr="00E32C3F">
        <w:rPr>
          <w:rStyle w:val="Appelnotedebasdep"/>
        </w:rPr>
        <w:footnoteRef/>
      </w:r>
      <w:r w:rsidRPr="008778A3">
        <w:rPr>
          <w:lang w:val="en-CA"/>
        </w:rPr>
        <w:t xml:space="preserve"> </w:t>
      </w:r>
      <w:r w:rsidRPr="008778A3">
        <w:rPr>
          <w:lang w:val="en-CA"/>
        </w:rPr>
        <w:tab/>
      </w:r>
      <w:r w:rsidRPr="008778A3">
        <w:rPr>
          <w:i/>
          <w:iCs/>
          <w:lang w:val="en-CA"/>
        </w:rPr>
        <w:t xml:space="preserve">Ibid. </w:t>
      </w:r>
      <w:r w:rsidRPr="008778A3">
        <w:rPr>
          <w:lang w:val="en-CA"/>
        </w:rPr>
        <w:t>at para. 57.</w:t>
      </w:r>
    </w:p>
  </w:footnote>
  <w:footnote w:id="14">
    <w:p w14:paraId="40B0C199" w14:textId="2D4F0566" w:rsidR="007C5C97" w:rsidRPr="008778A3" w:rsidRDefault="007C5C97" w:rsidP="007C5C97">
      <w:pPr>
        <w:pStyle w:val="Notedebasdepage"/>
        <w:rPr>
          <w:lang w:val="en-CA"/>
        </w:rPr>
      </w:pPr>
      <w:r w:rsidRPr="00E32C3F">
        <w:rPr>
          <w:rStyle w:val="Appelnotedebasdep"/>
        </w:rPr>
        <w:footnoteRef/>
      </w:r>
      <w:r w:rsidRPr="008778A3">
        <w:rPr>
          <w:lang w:val="en-CA"/>
        </w:rPr>
        <w:t xml:space="preserve"> </w:t>
      </w:r>
      <w:r w:rsidRPr="008778A3">
        <w:rPr>
          <w:lang w:val="en-CA"/>
        </w:rPr>
        <w:tab/>
      </w:r>
      <w:r w:rsidRPr="008778A3">
        <w:rPr>
          <w:i/>
          <w:iCs/>
          <w:lang w:val="en-CA"/>
        </w:rPr>
        <w:t xml:space="preserve">Ibid. </w:t>
      </w:r>
      <w:r w:rsidRPr="008778A3">
        <w:rPr>
          <w:lang w:val="en-CA"/>
        </w:rPr>
        <w:t>at para. 58.</w:t>
      </w:r>
    </w:p>
  </w:footnote>
  <w:footnote w:id="15">
    <w:p w14:paraId="3ADE33B8" w14:textId="423B9763" w:rsidR="002E7C51" w:rsidRPr="008778A3" w:rsidRDefault="00354272" w:rsidP="002E7C51">
      <w:pPr>
        <w:pStyle w:val="Notedebasdepage"/>
        <w:rPr>
          <w:lang w:val="en-CA"/>
        </w:rPr>
      </w:pPr>
      <w:r w:rsidRPr="00E32C3F">
        <w:rPr>
          <w:rStyle w:val="Appelnotedebasdep"/>
        </w:rPr>
        <w:footnoteRef/>
      </w:r>
      <w:r w:rsidRPr="008778A3">
        <w:rPr>
          <w:lang w:val="en-CA"/>
        </w:rPr>
        <w:t xml:space="preserve"> </w:t>
      </w:r>
      <w:r w:rsidRPr="008778A3">
        <w:rPr>
          <w:lang w:val="en-CA"/>
        </w:rPr>
        <w:tab/>
      </w:r>
      <w:r w:rsidR="007C5C97" w:rsidRPr="008778A3">
        <w:rPr>
          <w:i/>
          <w:iCs/>
          <w:lang w:val="en-CA"/>
        </w:rPr>
        <w:t xml:space="preserve">Ibid. </w:t>
      </w:r>
      <w:r w:rsidR="007C5C97" w:rsidRPr="008778A3">
        <w:rPr>
          <w:lang w:val="en-CA"/>
        </w:rPr>
        <w:t>at</w:t>
      </w:r>
      <w:r w:rsidRPr="008778A3">
        <w:rPr>
          <w:lang w:val="en-CA"/>
        </w:rPr>
        <w:t xml:space="preserve"> para. 60.</w:t>
      </w:r>
    </w:p>
  </w:footnote>
  <w:footnote w:id="16">
    <w:p w14:paraId="042AD667" w14:textId="1FE647B9" w:rsidR="00574820" w:rsidRPr="008778A3" w:rsidRDefault="00574820" w:rsidP="00574820">
      <w:pPr>
        <w:pStyle w:val="Notedebasdepage"/>
        <w:rPr>
          <w:lang w:val="en-CA"/>
        </w:rPr>
      </w:pPr>
      <w:r w:rsidRPr="00E32C3F">
        <w:rPr>
          <w:rStyle w:val="Appelnotedebasdep"/>
        </w:rPr>
        <w:footnoteRef/>
      </w:r>
      <w:r w:rsidRPr="008778A3">
        <w:rPr>
          <w:lang w:val="en-CA"/>
        </w:rPr>
        <w:t xml:space="preserve"> </w:t>
      </w:r>
      <w:r w:rsidRPr="008778A3">
        <w:rPr>
          <w:lang w:val="en-CA"/>
        </w:rPr>
        <w:tab/>
      </w:r>
      <w:r w:rsidR="001A6BBA" w:rsidRPr="008778A3">
        <w:rPr>
          <w:i/>
          <w:iCs/>
          <w:lang w:val="en-CA"/>
        </w:rPr>
        <w:t>Code of Professional Conduct of Lawyers</w:t>
      </w:r>
      <w:r w:rsidRPr="008778A3">
        <w:rPr>
          <w:lang w:val="en-CA"/>
        </w:rPr>
        <w:t xml:space="preserve">, </w:t>
      </w:r>
      <w:r w:rsidR="001A6BBA" w:rsidRPr="008778A3">
        <w:rPr>
          <w:lang w:val="en-CA"/>
        </w:rPr>
        <w:t>CQLR</w:t>
      </w:r>
      <w:r w:rsidRPr="008778A3">
        <w:rPr>
          <w:lang w:val="en-CA"/>
        </w:rPr>
        <w:t>, c. B-1, r. 3.1.</w:t>
      </w:r>
    </w:p>
  </w:footnote>
  <w:footnote w:id="17">
    <w:p w14:paraId="67C0B11C" w14:textId="7FC8680A" w:rsidR="006530AE" w:rsidRPr="00DE1103" w:rsidRDefault="006530AE">
      <w:pPr>
        <w:pStyle w:val="Notedebasdepage"/>
      </w:pPr>
      <w:r>
        <w:rPr>
          <w:rStyle w:val="Appelnotedebasdep"/>
        </w:rPr>
        <w:footnoteRef/>
      </w:r>
      <w:r w:rsidRPr="00DE1103">
        <w:t xml:space="preserve"> </w:t>
      </w:r>
      <w:r w:rsidR="00DE1103" w:rsidRPr="00DE1103">
        <w:t xml:space="preserve">   </w:t>
      </w:r>
      <w:bookmarkStart w:id="12" w:name="_Hlk127799177"/>
      <w:r w:rsidR="00DE1103" w:rsidRPr="00E32C3F">
        <w:rPr>
          <w:i/>
          <w:iCs/>
        </w:rPr>
        <w:t>L’Oratoire Saint-Joseph du Mont-Royal c. J.J.</w:t>
      </w:r>
      <w:r w:rsidR="00DE1103" w:rsidRPr="00E32C3F">
        <w:t xml:space="preserve">, </w:t>
      </w:r>
      <w:r w:rsidR="00DE1103" w:rsidRPr="00D33110">
        <w:t>2019 S</w:t>
      </w:r>
      <w:r w:rsidR="00DE1103">
        <w:t>C</w:t>
      </w:r>
      <w:r w:rsidR="00DE1103" w:rsidRPr="00D33110">
        <w:t>C 35</w:t>
      </w:r>
      <w:r w:rsidR="00DE1103" w:rsidRPr="00E32C3F">
        <w:t xml:space="preserve"> [</w:t>
      </w:r>
      <w:r w:rsidR="00DE1103" w:rsidRPr="00E32C3F">
        <w:rPr>
          <w:i/>
          <w:iCs/>
        </w:rPr>
        <w:t>J.J.</w:t>
      </w:r>
      <w:r w:rsidR="00DE1103" w:rsidRPr="00E32C3F">
        <w:t>].</w:t>
      </w:r>
      <w:bookmarkEnd w:id="12"/>
    </w:p>
  </w:footnote>
  <w:footnote w:id="18">
    <w:p w14:paraId="1F9338E7" w14:textId="312B4403" w:rsidR="00574820" w:rsidRPr="008778A3" w:rsidRDefault="00574820" w:rsidP="00574820">
      <w:pPr>
        <w:pStyle w:val="Notedebasdepage"/>
        <w:rPr>
          <w:lang w:val="en-CA"/>
        </w:rPr>
      </w:pPr>
      <w:r w:rsidRPr="00E32C3F">
        <w:rPr>
          <w:rStyle w:val="Appelnotedebasdep"/>
        </w:rPr>
        <w:footnoteRef/>
      </w:r>
      <w:r w:rsidRPr="008778A3">
        <w:rPr>
          <w:lang w:val="en-CA"/>
        </w:rPr>
        <w:t xml:space="preserve"> </w:t>
      </w:r>
      <w:r w:rsidRPr="008778A3">
        <w:rPr>
          <w:lang w:val="en-CA"/>
        </w:rPr>
        <w:tab/>
      </w:r>
      <w:r w:rsidR="001A6BBA" w:rsidRPr="008778A3">
        <w:rPr>
          <w:lang w:val="en-CA"/>
        </w:rPr>
        <w:t xml:space="preserve">Judgment </w:t>
      </w:r>
      <w:r w:rsidR="004E66E0">
        <w:rPr>
          <w:lang w:val="en-CA"/>
        </w:rPr>
        <w:t>under appeal</w:t>
      </w:r>
      <w:r w:rsidR="001A6BBA" w:rsidRPr="008778A3">
        <w:rPr>
          <w:lang w:val="en-CA"/>
        </w:rPr>
        <w:t xml:space="preserve">, </w:t>
      </w:r>
      <w:r w:rsidR="001A6BBA" w:rsidRPr="008778A3">
        <w:rPr>
          <w:i/>
          <w:lang w:val="en-CA"/>
        </w:rPr>
        <w:t>supra</w:t>
      </w:r>
      <w:r w:rsidR="001A6BBA" w:rsidRPr="008778A3">
        <w:rPr>
          <w:lang w:val="en-CA"/>
        </w:rPr>
        <w:t xml:space="preserve"> note</w:t>
      </w:r>
      <w:r w:rsidRPr="008778A3">
        <w:rPr>
          <w:lang w:val="en-CA"/>
        </w:rPr>
        <w:t xml:space="preserve"> </w:t>
      </w:r>
      <w:r w:rsidRPr="00E32C3F">
        <w:fldChar w:fldCharType="begin"/>
      </w:r>
      <w:r w:rsidRPr="008778A3">
        <w:rPr>
          <w:lang w:val="en-CA"/>
        </w:rPr>
        <w:instrText xml:space="preserve"> NOTEREF _Ref128033726 \h  \* MERGEFORMAT </w:instrText>
      </w:r>
      <w:r w:rsidRPr="00E32C3F">
        <w:fldChar w:fldCharType="separate"/>
      </w:r>
      <w:r w:rsidRPr="008778A3">
        <w:rPr>
          <w:lang w:val="en-CA"/>
        </w:rPr>
        <w:t>2</w:t>
      </w:r>
      <w:r w:rsidRPr="00E32C3F">
        <w:fldChar w:fldCharType="end"/>
      </w:r>
      <w:r w:rsidRPr="008778A3">
        <w:rPr>
          <w:lang w:val="en-CA"/>
        </w:rPr>
        <w:t xml:space="preserve"> at para.</w:t>
      </w:r>
      <w:r w:rsidR="00FC30EF" w:rsidRPr="008778A3">
        <w:rPr>
          <w:lang w:val="en-CA"/>
        </w:rPr>
        <w:t xml:space="preserve"> </w:t>
      </w:r>
      <w:r w:rsidRPr="008778A3">
        <w:rPr>
          <w:lang w:val="en-CA"/>
        </w:rPr>
        <w:t>72.</w:t>
      </w:r>
    </w:p>
  </w:footnote>
  <w:footnote w:id="19">
    <w:p w14:paraId="01C33AE7" w14:textId="77777777" w:rsidR="00574820" w:rsidRPr="008778A3" w:rsidRDefault="00574820" w:rsidP="00574820">
      <w:pPr>
        <w:pStyle w:val="Notedebasdepage"/>
        <w:rPr>
          <w:lang w:val="en-CA"/>
        </w:rPr>
      </w:pPr>
      <w:r w:rsidRPr="00E32C3F">
        <w:rPr>
          <w:rStyle w:val="Appelnotedebasdep"/>
        </w:rPr>
        <w:footnoteRef/>
      </w:r>
      <w:r w:rsidRPr="008778A3">
        <w:rPr>
          <w:lang w:val="en-CA"/>
        </w:rPr>
        <w:t xml:space="preserve"> </w:t>
      </w:r>
      <w:r w:rsidRPr="008778A3">
        <w:rPr>
          <w:lang w:val="en-CA"/>
        </w:rPr>
        <w:tab/>
      </w:r>
      <w:r w:rsidRPr="008778A3">
        <w:rPr>
          <w:i/>
          <w:iCs/>
          <w:lang w:val="en-CA"/>
        </w:rPr>
        <w:t xml:space="preserve">Ibid. </w:t>
      </w:r>
      <w:r w:rsidRPr="008778A3">
        <w:rPr>
          <w:lang w:val="en-CA"/>
        </w:rPr>
        <w:t>at para. 75.</w:t>
      </w:r>
    </w:p>
  </w:footnote>
  <w:footnote w:id="20">
    <w:p w14:paraId="33205A27" w14:textId="77777777" w:rsidR="00574820" w:rsidRPr="008778A3" w:rsidRDefault="00574820" w:rsidP="00574820">
      <w:pPr>
        <w:pStyle w:val="Notedebasdepage"/>
        <w:rPr>
          <w:lang w:val="en-CA"/>
        </w:rPr>
      </w:pPr>
      <w:r w:rsidRPr="00E32C3F">
        <w:rPr>
          <w:rStyle w:val="Appelnotedebasdep"/>
        </w:rPr>
        <w:footnoteRef/>
      </w:r>
      <w:r w:rsidRPr="008778A3">
        <w:rPr>
          <w:lang w:val="en-CA"/>
        </w:rPr>
        <w:t xml:space="preserve"> </w:t>
      </w:r>
      <w:r w:rsidRPr="008778A3">
        <w:rPr>
          <w:lang w:val="en-CA"/>
        </w:rPr>
        <w:tab/>
      </w:r>
      <w:r w:rsidRPr="008778A3">
        <w:rPr>
          <w:i/>
          <w:iCs/>
          <w:lang w:val="en-CA"/>
        </w:rPr>
        <w:t xml:space="preserve">Ibid. </w:t>
      </w:r>
      <w:r w:rsidRPr="008778A3">
        <w:rPr>
          <w:lang w:val="en-CA"/>
        </w:rPr>
        <w:t>at para. 76.</w:t>
      </w:r>
    </w:p>
  </w:footnote>
  <w:footnote w:id="21">
    <w:p w14:paraId="1115BF62" w14:textId="77777777" w:rsidR="00574820" w:rsidRPr="008778A3" w:rsidRDefault="00574820" w:rsidP="00574820">
      <w:pPr>
        <w:pStyle w:val="Notedebasdepage"/>
        <w:rPr>
          <w:lang w:val="en-CA"/>
        </w:rPr>
      </w:pPr>
      <w:r w:rsidRPr="00E32C3F">
        <w:rPr>
          <w:rStyle w:val="Appelnotedebasdep"/>
        </w:rPr>
        <w:footnoteRef/>
      </w:r>
      <w:r w:rsidRPr="008778A3">
        <w:rPr>
          <w:lang w:val="en-CA"/>
        </w:rPr>
        <w:t xml:space="preserve"> </w:t>
      </w:r>
      <w:r w:rsidRPr="008778A3">
        <w:rPr>
          <w:lang w:val="en-CA"/>
        </w:rPr>
        <w:tab/>
      </w:r>
      <w:r w:rsidRPr="008778A3">
        <w:rPr>
          <w:i/>
          <w:iCs/>
          <w:lang w:val="en-CA"/>
        </w:rPr>
        <w:t xml:space="preserve">Ibid. </w:t>
      </w:r>
      <w:r w:rsidRPr="008778A3">
        <w:rPr>
          <w:lang w:val="en-CA"/>
        </w:rPr>
        <w:t>at para. 78.</w:t>
      </w:r>
    </w:p>
  </w:footnote>
  <w:footnote w:id="22">
    <w:p w14:paraId="58BCFCBA" w14:textId="77777777" w:rsidR="00574820" w:rsidRPr="008778A3" w:rsidRDefault="00574820" w:rsidP="00574820">
      <w:pPr>
        <w:pStyle w:val="Notedebasdepage"/>
        <w:rPr>
          <w:lang w:val="en-CA"/>
        </w:rPr>
      </w:pPr>
      <w:r w:rsidRPr="00E32C3F">
        <w:rPr>
          <w:rStyle w:val="Appelnotedebasdep"/>
        </w:rPr>
        <w:footnoteRef/>
      </w:r>
      <w:r w:rsidRPr="008778A3">
        <w:rPr>
          <w:lang w:val="en-CA"/>
        </w:rPr>
        <w:t xml:space="preserve"> </w:t>
      </w:r>
      <w:r w:rsidRPr="008778A3">
        <w:rPr>
          <w:lang w:val="en-CA"/>
        </w:rPr>
        <w:tab/>
      </w:r>
      <w:r w:rsidRPr="008778A3">
        <w:rPr>
          <w:i/>
          <w:iCs/>
          <w:lang w:val="en-CA"/>
        </w:rPr>
        <w:t xml:space="preserve">Ibid. </w:t>
      </w:r>
      <w:r w:rsidRPr="008778A3">
        <w:rPr>
          <w:lang w:val="en-CA"/>
        </w:rPr>
        <w:t>at para. 80.</w:t>
      </w:r>
    </w:p>
  </w:footnote>
  <w:footnote w:id="23">
    <w:p w14:paraId="0B3D1E73" w14:textId="2E239709" w:rsidR="00574820" w:rsidRPr="00F5469D" w:rsidRDefault="00574820" w:rsidP="00574820">
      <w:pPr>
        <w:pStyle w:val="Notedebasdepage"/>
      </w:pPr>
      <w:r w:rsidRPr="00E32C3F">
        <w:rPr>
          <w:rStyle w:val="Appelnotedebasdep"/>
        </w:rPr>
        <w:footnoteRef/>
      </w:r>
      <w:r w:rsidRPr="008778A3">
        <w:rPr>
          <w:lang w:val="en-CA"/>
        </w:rPr>
        <w:t xml:space="preserve"> </w:t>
      </w:r>
      <w:r w:rsidRPr="008778A3">
        <w:rPr>
          <w:lang w:val="en-CA"/>
        </w:rPr>
        <w:tab/>
      </w:r>
      <w:r w:rsidR="001A6BBA" w:rsidRPr="008778A3">
        <w:rPr>
          <w:lang w:val="en-CA"/>
        </w:rPr>
        <w:t xml:space="preserve">Judgment </w:t>
      </w:r>
      <w:r w:rsidR="004E66E0">
        <w:rPr>
          <w:lang w:val="en-CA"/>
        </w:rPr>
        <w:t>under appeal</w:t>
      </w:r>
      <w:r w:rsidR="001A6BBA" w:rsidRPr="008778A3">
        <w:rPr>
          <w:lang w:val="en-CA"/>
        </w:rPr>
        <w:t xml:space="preserve">, </w:t>
      </w:r>
      <w:r w:rsidR="001A6BBA" w:rsidRPr="008778A3">
        <w:rPr>
          <w:i/>
          <w:lang w:val="en-CA"/>
        </w:rPr>
        <w:t>supra</w:t>
      </w:r>
      <w:r w:rsidR="001A6BBA" w:rsidRPr="008778A3">
        <w:rPr>
          <w:lang w:val="en-CA"/>
        </w:rPr>
        <w:t xml:space="preserve"> note</w:t>
      </w:r>
      <w:r w:rsidRPr="008778A3">
        <w:rPr>
          <w:lang w:val="en-CA"/>
        </w:rPr>
        <w:t xml:space="preserve"> </w:t>
      </w:r>
      <w:r w:rsidRPr="00E32C3F">
        <w:fldChar w:fldCharType="begin"/>
      </w:r>
      <w:r w:rsidRPr="008778A3">
        <w:rPr>
          <w:lang w:val="en-CA"/>
        </w:rPr>
        <w:instrText xml:space="preserve"> NOTEREF _Ref128033726 \h  \* MERGEFORMAT </w:instrText>
      </w:r>
      <w:r w:rsidRPr="00E32C3F">
        <w:fldChar w:fldCharType="separate"/>
      </w:r>
      <w:r w:rsidRPr="008778A3">
        <w:rPr>
          <w:lang w:val="en-CA"/>
        </w:rPr>
        <w:t>2</w:t>
      </w:r>
      <w:r w:rsidRPr="00E32C3F">
        <w:fldChar w:fldCharType="end"/>
      </w:r>
      <w:r w:rsidRPr="008778A3">
        <w:rPr>
          <w:lang w:val="en-CA"/>
        </w:rPr>
        <w:t xml:space="preserve"> at para.</w:t>
      </w:r>
      <w:r w:rsidR="0042435C" w:rsidRPr="008778A3">
        <w:rPr>
          <w:lang w:val="en-CA"/>
        </w:rPr>
        <w:t xml:space="preserve"> </w:t>
      </w:r>
      <w:r w:rsidRPr="00F5469D">
        <w:t>81.</w:t>
      </w:r>
    </w:p>
  </w:footnote>
  <w:footnote w:id="24">
    <w:p w14:paraId="10E09B9A" w14:textId="49F30055" w:rsidR="00574820" w:rsidRPr="00E32C3F" w:rsidRDefault="00574820" w:rsidP="00574820">
      <w:pPr>
        <w:pStyle w:val="Notedebasdepage"/>
      </w:pPr>
      <w:r w:rsidRPr="00E32C3F">
        <w:rPr>
          <w:rStyle w:val="Appelnotedebasdep"/>
        </w:rPr>
        <w:footnoteRef/>
      </w:r>
      <w:r w:rsidRPr="00F5469D">
        <w:t xml:space="preserve"> </w:t>
      </w:r>
      <w:r w:rsidRPr="00F5469D">
        <w:tab/>
      </w:r>
      <w:r w:rsidRPr="00F5469D">
        <w:rPr>
          <w:i/>
          <w:iCs/>
        </w:rPr>
        <w:t>Option Consommateurs c. Banque Amex du Canada</w:t>
      </w:r>
      <w:r w:rsidRPr="00F5469D">
        <w:t>, 2018 QCCA 305 at para.</w:t>
      </w:r>
      <w:r w:rsidR="0042435C" w:rsidRPr="00F5469D">
        <w:t xml:space="preserve"> </w:t>
      </w:r>
      <w:r w:rsidRPr="009F222C">
        <w:t>83 [</w:t>
      </w:r>
      <w:r w:rsidRPr="009F222C">
        <w:rPr>
          <w:i/>
          <w:iCs/>
        </w:rPr>
        <w:t>Banque Amex</w:t>
      </w:r>
      <w:r w:rsidRPr="009F222C">
        <w:t>].</w:t>
      </w:r>
    </w:p>
  </w:footnote>
  <w:footnote w:id="25">
    <w:p w14:paraId="167DA35A" w14:textId="25B3C029" w:rsidR="00574820" w:rsidRPr="008778A3" w:rsidRDefault="00574820" w:rsidP="00574820">
      <w:pPr>
        <w:pStyle w:val="Notedebasdepage"/>
        <w:rPr>
          <w:lang w:val="en-CA"/>
        </w:rPr>
      </w:pPr>
      <w:r w:rsidRPr="00E32C3F">
        <w:rPr>
          <w:rStyle w:val="Appelnotedebasdep"/>
        </w:rPr>
        <w:footnoteRef/>
      </w:r>
      <w:r w:rsidRPr="00E32C3F">
        <w:t xml:space="preserve"> </w:t>
      </w:r>
      <w:r w:rsidRPr="00E32C3F">
        <w:tab/>
      </w:r>
      <w:bookmarkStart w:id="15" w:name="_Hlk127799499"/>
      <w:r w:rsidRPr="009F222C">
        <w:rPr>
          <w:i/>
          <w:iCs/>
        </w:rPr>
        <w:t>Association québécoise de lutte contre la pollution atmosphérique c. Groupe Volkswagen du Canada inc.</w:t>
      </w:r>
      <w:r w:rsidRPr="009F222C">
        <w:t>, 2022 QCCS 2186 at para.</w:t>
      </w:r>
      <w:bookmarkEnd w:id="15"/>
      <w:r w:rsidR="0042435C">
        <w:t xml:space="preserve"> </w:t>
      </w:r>
      <w:r w:rsidR="001A6BBA" w:rsidRPr="008778A3">
        <w:rPr>
          <w:lang w:val="en-CA"/>
        </w:rPr>
        <w:t xml:space="preserve">43, </w:t>
      </w:r>
      <w:r w:rsidR="001A6BBA" w:rsidRPr="004A70D3">
        <w:rPr>
          <w:lang w:val="en-CA"/>
        </w:rPr>
        <w:t xml:space="preserve">leave to appeal </w:t>
      </w:r>
      <w:r w:rsidR="001A6BBA" w:rsidRPr="004A70D3">
        <w:rPr>
          <w:i/>
          <w:lang w:val="en-CA"/>
        </w:rPr>
        <w:t>de bene esse</w:t>
      </w:r>
      <w:r w:rsidR="001A6BBA" w:rsidRPr="004A70D3">
        <w:rPr>
          <w:lang w:val="en-CA"/>
        </w:rPr>
        <w:t xml:space="preserve"> </w:t>
      </w:r>
      <w:r w:rsidR="0042435C" w:rsidRPr="004A70D3">
        <w:rPr>
          <w:lang w:val="en-CA"/>
        </w:rPr>
        <w:t>refused</w:t>
      </w:r>
      <w:r w:rsidR="001A6BBA" w:rsidRPr="008778A3">
        <w:rPr>
          <w:lang w:val="en-CA"/>
        </w:rPr>
        <w:t xml:space="preserve">, 2022 QCCA 1305 </w:t>
      </w:r>
      <w:r w:rsidR="009C5F34" w:rsidRPr="008778A3">
        <w:rPr>
          <w:lang w:val="en-CA"/>
        </w:rPr>
        <w:t xml:space="preserve">(11 October 2022) </w:t>
      </w:r>
      <w:r w:rsidR="001A6BBA" w:rsidRPr="008778A3">
        <w:rPr>
          <w:lang w:val="en-CA"/>
        </w:rPr>
        <w:t>[</w:t>
      </w:r>
      <w:r w:rsidR="001A6BBA" w:rsidRPr="008778A3">
        <w:rPr>
          <w:i/>
          <w:lang w:val="en-CA"/>
        </w:rPr>
        <w:t>Volkswagen</w:t>
      </w:r>
      <w:r w:rsidR="001A6BBA" w:rsidRPr="008778A3">
        <w:rPr>
          <w:lang w:val="en-CA"/>
        </w:rPr>
        <w:t>].</w:t>
      </w:r>
    </w:p>
  </w:footnote>
  <w:footnote w:id="26">
    <w:p w14:paraId="40E592B2" w14:textId="259AF204" w:rsidR="002E7C51" w:rsidRPr="00E32C3F" w:rsidRDefault="00354272" w:rsidP="002E7C51">
      <w:pPr>
        <w:pStyle w:val="Notedebasdepage"/>
      </w:pPr>
      <w:r w:rsidRPr="00E32C3F">
        <w:rPr>
          <w:rStyle w:val="Appelnotedebasdep"/>
        </w:rPr>
        <w:footnoteRef/>
      </w:r>
      <w:r w:rsidRPr="00E32C3F">
        <w:t xml:space="preserve"> </w:t>
      </w:r>
      <w:r w:rsidRPr="00E32C3F">
        <w:tab/>
      </w:r>
      <w:r w:rsidRPr="009F222C">
        <w:rPr>
          <w:i/>
          <w:iCs/>
        </w:rPr>
        <w:t>Option Consommateurs c. Banque Amex du Canada</w:t>
      </w:r>
      <w:r w:rsidRPr="009F222C">
        <w:t>, 2017 QCCS 200</w:t>
      </w:r>
      <w:r w:rsidR="00D65514" w:rsidRPr="009F222C">
        <w:t xml:space="preserve"> at para.</w:t>
      </w:r>
      <w:r w:rsidR="00035713">
        <w:t xml:space="preserve"> </w:t>
      </w:r>
      <w:r w:rsidR="001A6BBA" w:rsidRPr="009F222C">
        <w:t xml:space="preserve">43, aff’d </w:t>
      </w:r>
      <w:r w:rsidR="001A6BBA" w:rsidRPr="009F222C">
        <w:rPr>
          <w:i/>
        </w:rPr>
        <w:t>Banque Amex, supra</w:t>
      </w:r>
      <w:r w:rsidR="001A6BBA" w:rsidRPr="009F222C">
        <w:t xml:space="preserve"> note</w:t>
      </w:r>
      <w:r w:rsidRPr="00E32C3F">
        <w:t xml:space="preserve"> </w:t>
      </w:r>
      <w:r w:rsidRPr="00E32C3F">
        <w:fldChar w:fldCharType="begin"/>
      </w:r>
      <w:r w:rsidRPr="00E32C3F">
        <w:instrText xml:space="preserve"> NOTEREF _Ref128402085 \h  \* MERGEFORMAT </w:instrText>
      </w:r>
      <w:r w:rsidRPr="00E32C3F">
        <w:fldChar w:fldCharType="separate"/>
      </w:r>
      <w:r w:rsidR="00F141C2">
        <w:t>24</w:t>
      </w:r>
      <w:r w:rsidRPr="00E32C3F">
        <w:fldChar w:fldCharType="end"/>
      </w:r>
      <w:r w:rsidRPr="00E32C3F">
        <w:t xml:space="preserve">; </w:t>
      </w:r>
      <w:r w:rsidR="001A6BBA" w:rsidRPr="009F222C">
        <w:rPr>
          <w:i/>
          <w:iCs/>
        </w:rPr>
        <w:t xml:space="preserve">Pellemans c. Lacroix, </w:t>
      </w:r>
      <w:r w:rsidR="001A6BBA" w:rsidRPr="00244D4F">
        <w:t>2011 QCCS 1345</w:t>
      </w:r>
      <w:r w:rsidR="001A6BBA" w:rsidRPr="009F222C">
        <w:rPr>
          <w:i/>
          <w:iCs/>
        </w:rPr>
        <w:t xml:space="preserve"> </w:t>
      </w:r>
      <w:r w:rsidR="00D65514" w:rsidRPr="009F222C">
        <w:t>at para.</w:t>
      </w:r>
      <w:r w:rsidR="00035713">
        <w:t xml:space="preserve"> </w:t>
      </w:r>
      <w:r w:rsidRPr="00E32C3F">
        <w:t>20</w:t>
      </w:r>
      <w:bookmarkStart w:id="17" w:name="_Hlk127799569"/>
      <w:r w:rsidR="00BA5E77">
        <w:t xml:space="preserve"> [</w:t>
      </w:r>
      <w:r w:rsidR="00BA5E77" w:rsidRPr="009F222C">
        <w:rPr>
          <w:i/>
          <w:iCs/>
        </w:rPr>
        <w:t>Pellemans</w:t>
      </w:r>
      <w:r w:rsidR="00BA5E77">
        <w:t>]</w:t>
      </w:r>
      <w:r w:rsidRPr="00E32C3F">
        <w:t>.</w:t>
      </w:r>
      <w:bookmarkEnd w:id="17"/>
    </w:p>
  </w:footnote>
  <w:footnote w:id="27">
    <w:p w14:paraId="6AAD9924" w14:textId="2F098745" w:rsidR="00574820" w:rsidRPr="008778A3" w:rsidRDefault="00574820" w:rsidP="00574820">
      <w:pPr>
        <w:pStyle w:val="Notedebasdepage"/>
        <w:rPr>
          <w:lang w:val="en-CA"/>
        </w:rPr>
      </w:pPr>
      <w:r w:rsidRPr="00E32C3F">
        <w:rPr>
          <w:rStyle w:val="Appelnotedebasdep"/>
        </w:rPr>
        <w:footnoteRef/>
      </w:r>
      <w:r w:rsidRPr="00E32C3F">
        <w:t xml:space="preserve"> </w:t>
      </w:r>
      <w:r w:rsidRPr="00E32C3F">
        <w:tab/>
      </w:r>
      <w:r w:rsidRPr="009F222C">
        <w:rPr>
          <w:i/>
          <w:iCs/>
        </w:rPr>
        <w:t xml:space="preserve">Banque Amex, supra </w:t>
      </w:r>
      <w:r w:rsidRPr="009F222C">
        <w:t>note</w:t>
      </w:r>
      <w:r w:rsidRPr="00E32C3F">
        <w:t xml:space="preserve"> </w:t>
      </w:r>
      <w:r w:rsidRPr="00E32C3F">
        <w:fldChar w:fldCharType="begin"/>
      </w:r>
      <w:r w:rsidRPr="00E32C3F">
        <w:instrText xml:space="preserve"> NOTEREF _Ref128402085 \h  \* MERGEFORMAT </w:instrText>
      </w:r>
      <w:r w:rsidRPr="00E32C3F">
        <w:fldChar w:fldCharType="separate"/>
      </w:r>
      <w:r>
        <w:t>24</w:t>
      </w:r>
      <w:r w:rsidRPr="00E32C3F">
        <w:fldChar w:fldCharType="end"/>
      </w:r>
      <w:r>
        <w:t xml:space="preserve"> at para.</w:t>
      </w:r>
      <w:r w:rsidRPr="00E32C3F">
        <w:t xml:space="preserve"> 76; </w:t>
      </w:r>
      <w:r w:rsidRPr="009F222C">
        <w:rPr>
          <w:i/>
          <w:iCs/>
        </w:rPr>
        <w:t>Options Consommateurs c. Merck Frosst Canada ltée</w:t>
      </w:r>
      <w:r w:rsidRPr="009F222C">
        <w:t>, 2016 QCCS 5075 at para.</w:t>
      </w:r>
      <w:r w:rsidR="00FC30EF">
        <w:t xml:space="preserve"> </w:t>
      </w:r>
      <w:r w:rsidRPr="00E32C3F">
        <w:t xml:space="preserve">30; </w:t>
      </w:r>
      <w:r w:rsidRPr="009F222C">
        <w:rPr>
          <w:i/>
          <w:iCs/>
        </w:rPr>
        <w:t>Option Consommateurs c. Infineon Technologie, a.g.</w:t>
      </w:r>
      <w:r w:rsidRPr="009F222C">
        <w:t>, 2014 QCCS 4949 at para.</w:t>
      </w:r>
      <w:r w:rsidRPr="00E32C3F">
        <w:t xml:space="preserve"> </w:t>
      </w:r>
      <w:r w:rsidRPr="008778A3">
        <w:rPr>
          <w:lang w:val="en-CA"/>
        </w:rPr>
        <w:t xml:space="preserve">48; </w:t>
      </w:r>
      <w:r w:rsidRPr="008778A3">
        <w:rPr>
          <w:i/>
          <w:iCs/>
          <w:lang w:val="en-CA"/>
        </w:rPr>
        <w:t>Johnson c. Bayer inc</w:t>
      </w:r>
      <w:r w:rsidRPr="008778A3">
        <w:rPr>
          <w:lang w:val="en-CA"/>
        </w:rPr>
        <w:t>., 2008 QCCS 4957 at para. 5.</w:t>
      </w:r>
    </w:p>
  </w:footnote>
  <w:footnote w:id="28">
    <w:p w14:paraId="32821E09" w14:textId="77777777" w:rsidR="00574820" w:rsidRPr="008778A3" w:rsidRDefault="00574820" w:rsidP="00574820">
      <w:pPr>
        <w:pStyle w:val="Notedebasdepage"/>
        <w:rPr>
          <w:lang w:val="en-CA"/>
        </w:rPr>
      </w:pPr>
      <w:r w:rsidRPr="00E32C3F">
        <w:rPr>
          <w:rStyle w:val="Appelnotedebasdep"/>
        </w:rPr>
        <w:footnoteRef/>
      </w:r>
      <w:r w:rsidRPr="008778A3">
        <w:rPr>
          <w:lang w:val="en-CA"/>
        </w:rPr>
        <w:t xml:space="preserve"> </w:t>
      </w:r>
      <w:r w:rsidRPr="008778A3">
        <w:rPr>
          <w:lang w:val="en-CA"/>
        </w:rPr>
        <w:tab/>
      </w:r>
      <w:r w:rsidRPr="008778A3">
        <w:rPr>
          <w:i/>
          <w:iCs/>
          <w:lang w:val="en-CA"/>
        </w:rPr>
        <w:t>Banque Amex</w:t>
      </w:r>
      <w:r w:rsidRPr="008778A3">
        <w:rPr>
          <w:lang w:val="en-CA"/>
        </w:rPr>
        <w:t>,</w:t>
      </w:r>
      <w:r w:rsidRPr="008778A3">
        <w:rPr>
          <w:i/>
          <w:iCs/>
          <w:lang w:val="en-CA"/>
        </w:rPr>
        <w:t xml:space="preserve"> supra </w:t>
      </w:r>
      <w:r w:rsidRPr="008778A3">
        <w:rPr>
          <w:lang w:val="en-CA"/>
        </w:rPr>
        <w:t xml:space="preserve">note </w:t>
      </w:r>
      <w:r w:rsidRPr="00E32C3F">
        <w:fldChar w:fldCharType="begin"/>
      </w:r>
      <w:r w:rsidRPr="008778A3">
        <w:rPr>
          <w:lang w:val="en-CA"/>
        </w:rPr>
        <w:instrText xml:space="preserve"> NOTEREF _Ref128402085 \h  \* MERGEFORMAT </w:instrText>
      </w:r>
      <w:r w:rsidRPr="00E32C3F">
        <w:fldChar w:fldCharType="separate"/>
      </w:r>
      <w:r w:rsidRPr="008778A3">
        <w:rPr>
          <w:lang w:val="en-CA"/>
        </w:rPr>
        <w:t>24</w:t>
      </w:r>
      <w:r w:rsidRPr="00E32C3F">
        <w:fldChar w:fldCharType="end"/>
      </w:r>
      <w:r w:rsidRPr="008778A3">
        <w:rPr>
          <w:lang w:val="en-CA"/>
        </w:rPr>
        <w:t xml:space="preserve"> at para. 61.</w:t>
      </w:r>
    </w:p>
  </w:footnote>
  <w:footnote w:id="29">
    <w:p w14:paraId="7B238649" w14:textId="77777777" w:rsidR="00EB145C" w:rsidRPr="007206D4" w:rsidRDefault="00EB145C" w:rsidP="00EB145C">
      <w:pPr>
        <w:pStyle w:val="Notedebasdepage"/>
        <w:rPr>
          <w:lang w:val="en-CA"/>
        </w:rPr>
      </w:pPr>
      <w:r w:rsidRPr="00E32C3F">
        <w:rPr>
          <w:rStyle w:val="Appelnotedebasdep"/>
        </w:rPr>
        <w:footnoteRef/>
      </w:r>
      <w:r w:rsidRPr="008778A3">
        <w:rPr>
          <w:lang w:val="en-CA"/>
        </w:rPr>
        <w:t xml:space="preserve"> </w:t>
      </w:r>
      <w:bookmarkStart w:id="19" w:name="_Hlk127799860"/>
      <w:r w:rsidRPr="008778A3">
        <w:rPr>
          <w:lang w:val="en-CA"/>
        </w:rPr>
        <w:tab/>
      </w:r>
      <w:bookmarkEnd w:id="19"/>
      <w:r w:rsidRPr="008778A3">
        <w:rPr>
          <w:i/>
          <w:iCs/>
          <w:lang w:val="en-CA"/>
        </w:rPr>
        <w:t>Ibid</w:t>
      </w:r>
      <w:r w:rsidRPr="008778A3">
        <w:rPr>
          <w:lang w:val="en-CA"/>
        </w:rPr>
        <w:t>. at para. 74</w:t>
      </w:r>
      <w:r w:rsidRPr="007206D4">
        <w:rPr>
          <w:lang w:val="en-CA"/>
        </w:rPr>
        <w:t>.</w:t>
      </w:r>
    </w:p>
  </w:footnote>
  <w:footnote w:id="30">
    <w:p w14:paraId="54AC9368" w14:textId="5ED0DA68" w:rsidR="00574820" w:rsidRPr="008778A3" w:rsidRDefault="00574820" w:rsidP="00574820">
      <w:pPr>
        <w:pStyle w:val="Notedebasdepage"/>
      </w:pPr>
      <w:r w:rsidRPr="007206D4">
        <w:rPr>
          <w:rStyle w:val="Appelnotedebasdep"/>
          <w:lang w:val="en-CA"/>
        </w:rPr>
        <w:footnoteRef/>
      </w:r>
      <w:r w:rsidRPr="007206D4">
        <w:rPr>
          <w:lang w:val="en-CA"/>
        </w:rPr>
        <w:t xml:space="preserve"> </w:t>
      </w:r>
      <w:r w:rsidRPr="007206D4">
        <w:rPr>
          <w:lang w:val="en-CA"/>
        </w:rPr>
        <w:tab/>
      </w:r>
      <w:r w:rsidR="001A6BBA" w:rsidRPr="007206D4">
        <w:rPr>
          <w:lang w:val="en-CA"/>
        </w:rPr>
        <w:t>The practice of including lawyers</w:t>
      </w:r>
      <w:r w:rsidR="00361CA0">
        <w:rPr>
          <w:lang w:val="en-CA"/>
        </w:rPr>
        <w:t>’</w:t>
      </w:r>
      <w:r w:rsidR="001A6BBA" w:rsidRPr="007206D4">
        <w:rPr>
          <w:lang w:val="en-CA"/>
        </w:rPr>
        <w:t xml:space="preserve"> professional fees in the settlement agreement also raises ethical issues.</w:t>
      </w:r>
      <w:r w:rsidRPr="007206D4">
        <w:rPr>
          <w:lang w:val="en-CA"/>
        </w:rPr>
        <w:t xml:space="preserve"> </w:t>
      </w:r>
      <w:r w:rsidR="001A6BBA" w:rsidRPr="007206D4">
        <w:rPr>
          <w:lang w:val="en-CA"/>
        </w:rPr>
        <w:t>Th</w:t>
      </w:r>
      <w:r w:rsidR="00361CA0">
        <w:rPr>
          <w:lang w:val="en-CA"/>
        </w:rPr>
        <w:t xml:space="preserve">is </w:t>
      </w:r>
      <w:r w:rsidR="001A6BBA" w:rsidRPr="007206D4">
        <w:rPr>
          <w:lang w:val="en-CA"/>
        </w:rPr>
        <w:t xml:space="preserve">practice </w:t>
      </w:r>
      <w:r w:rsidR="00361CA0">
        <w:rPr>
          <w:lang w:val="en-CA"/>
        </w:rPr>
        <w:t xml:space="preserve">should therefore </w:t>
      </w:r>
      <w:r w:rsidR="001A6BBA" w:rsidRPr="007206D4">
        <w:rPr>
          <w:lang w:val="en-CA"/>
        </w:rPr>
        <w:t>be avoided.</w:t>
      </w:r>
      <w:r w:rsidRPr="007206D4">
        <w:rPr>
          <w:lang w:val="en-CA"/>
        </w:rPr>
        <w:t xml:space="preserve"> </w:t>
      </w:r>
      <w:bookmarkStart w:id="20" w:name="_Hlk127799463"/>
      <w:r w:rsidR="00361CA0">
        <w:rPr>
          <w:lang w:val="en-CA"/>
        </w:rPr>
        <w:t>O</w:t>
      </w:r>
      <w:r w:rsidR="001A6BBA" w:rsidRPr="007206D4">
        <w:rPr>
          <w:lang w:val="en-CA"/>
        </w:rPr>
        <w:t>n that subject</w:t>
      </w:r>
      <w:r w:rsidR="00361CA0">
        <w:rPr>
          <w:lang w:val="en-CA"/>
        </w:rPr>
        <w:t>, see</w:t>
      </w:r>
      <w:r w:rsidR="001A6BBA" w:rsidRPr="007206D4">
        <w:rPr>
          <w:lang w:val="en-CA"/>
        </w:rPr>
        <w:t xml:space="preserve"> the comments of St-Pierre J., for </w:t>
      </w:r>
      <w:r w:rsidR="0095225B">
        <w:rPr>
          <w:lang w:val="en-CA"/>
        </w:rPr>
        <w:t>a unanimous court</w:t>
      </w:r>
      <w:r w:rsidR="001A6BBA" w:rsidRPr="007206D4">
        <w:rPr>
          <w:lang w:val="en-CA"/>
        </w:rPr>
        <w:t xml:space="preserve">, in </w:t>
      </w:r>
      <w:r w:rsidR="001A6BBA" w:rsidRPr="007206D4">
        <w:rPr>
          <w:i/>
          <w:lang w:val="en-CA"/>
        </w:rPr>
        <w:t>Banque Amex</w:t>
      </w:r>
      <w:r w:rsidR="001A6BBA" w:rsidRPr="007206D4">
        <w:rPr>
          <w:lang w:val="en-CA"/>
        </w:rPr>
        <w:t xml:space="preserve">, </w:t>
      </w:r>
      <w:r w:rsidR="001A6BBA" w:rsidRPr="007206D4">
        <w:rPr>
          <w:i/>
          <w:lang w:val="en-CA"/>
        </w:rPr>
        <w:t>supra</w:t>
      </w:r>
      <w:r w:rsidR="001A6BBA" w:rsidRPr="007206D4">
        <w:rPr>
          <w:lang w:val="en-CA"/>
        </w:rPr>
        <w:t xml:space="preserve"> note</w:t>
      </w:r>
      <w:r w:rsidRPr="007206D4">
        <w:rPr>
          <w:lang w:val="en-CA"/>
        </w:rPr>
        <w:t xml:space="preserve"> </w:t>
      </w:r>
      <w:r w:rsidRPr="007206D4">
        <w:rPr>
          <w:lang w:val="en-CA"/>
        </w:rPr>
        <w:fldChar w:fldCharType="begin"/>
      </w:r>
      <w:r w:rsidRPr="007206D4">
        <w:rPr>
          <w:lang w:val="en-CA"/>
        </w:rPr>
        <w:instrText xml:space="preserve"> NOTEREF _Ref128402085 \h  \* MERGEFORMAT </w:instrText>
      </w:r>
      <w:r w:rsidRPr="007206D4">
        <w:rPr>
          <w:lang w:val="en-CA"/>
        </w:rPr>
      </w:r>
      <w:r w:rsidRPr="007206D4">
        <w:rPr>
          <w:lang w:val="en-CA"/>
        </w:rPr>
        <w:fldChar w:fldCharType="separate"/>
      </w:r>
      <w:r w:rsidRPr="007206D4">
        <w:rPr>
          <w:lang w:val="en-CA"/>
        </w:rPr>
        <w:t>24</w:t>
      </w:r>
      <w:r w:rsidRPr="007206D4">
        <w:rPr>
          <w:lang w:val="en-CA"/>
        </w:rPr>
        <w:fldChar w:fldCharType="end"/>
      </w:r>
      <w:r w:rsidRPr="007206D4">
        <w:rPr>
          <w:lang w:val="en-CA"/>
        </w:rPr>
        <w:t xml:space="preserve"> at para.</w:t>
      </w:r>
      <w:r w:rsidR="005A73DA">
        <w:rPr>
          <w:lang w:val="en-CA"/>
        </w:rPr>
        <w:t xml:space="preserve"> </w:t>
      </w:r>
      <w:r w:rsidRPr="008778A3">
        <w:t>74.</w:t>
      </w:r>
      <w:bookmarkEnd w:id="20"/>
    </w:p>
  </w:footnote>
  <w:footnote w:id="31">
    <w:p w14:paraId="51CA6E10" w14:textId="5C01E9A5" w:rsidR="00574820" w:rsidRPr="008778A3" w:rsidRDefault="00574820" w:rsidP="00574820">
      <w:pPr>
        <w:pStyle w:val="Notedebasdepage"/>
        <w:rPr>
          <w:lang w:val="en-CA"/>
        </w:rPr>
      </w:pPr>
      <w:r w:rsidRPr="007206D4">
        <w:rPr>
          <w:rStyle w:val="Appelnotedebasdep"/>
          <w:lang w:val="en-CA"/>
        </w:rPr>
        <w:footnoteRef/>
      </w:r>
      <w:r w:rsidRPr="008778A3">
        <w:t xml:space="preserve"> </w:t>
      </w:r>
      <w:r w:rsidRPr="008778A3">
        <w:tab/>
      </w:r>
      <w:r w:rsidR="001A6BBA" w:rsidRPr="008778A3">
        <w:t xml:space="preserve">See </w:t>
      </w:r>
      <w:r w:rsidR="00C61BD5">
        <w:t>e.g.,</w:t>
      </w:r>
      <w:r w:rsidRPr="008778A3">
        <w:t xml:space="preserve"> </w:t>
      </w:r>
      <w:r w:rsidRPr="008778A3">
        <w:rPr>
          <w:i/>
          <w:iCs/>
        </w:rPr>
        <w:t>Allen c. Centre intégré universitaire de santé et de services sociaux de la Capitale-Nationale</w:t>
      </w:r>
      <w:r w:rsidRPr="008778A3">
        <w:t>, 2018 QCCS 5313 at para</w:t>
      </w:r>
      <w:r w:rsidR="001A6BBA" w:rsidRPr="008778A3">
        <w:t>s</w:t>
      </w:r>
      <w:r w:rsidRPr="008778A3">
        <w:t>.</w:t>
      </w:r>
      <w:r w:rsidR="005A73DA" w:rsidRPr="008778A3">
        <w:t xml:space="preserve"> </w:t>
      </w:r>
      <w:r w:rsidRPr="007206D4">
        <w:rPr>
          <w:lang w:val="en-CA"/>
        </w:rPr>
        <w:t>116</w:t>
      </w:r>
      <w:r w:rsidR="00207C31">
        <w:rPr>
          <w:lang w:val="en-CA"/>
        </w:rPr>
        <w:t>–</w:t>
      </w:r>
      <w:r w:rsidRPr="007206D4">
        <w:rPr>
          <w:lang w:val="en-CA"/>
        </w:rPr>
        <w:t xml:space="preserve">118. </w:t>
      </w:r>
      <w:r w:rsidR="001A6BBA" w:rsidRPr="007206D4">
        <w:rPr>
          <w:lang w:val="en-CA"/>
        </w:rPr>
        <w:t>See also</w:t>
      </w:r>
      <w:r w:rsidRPr="007206D4">
        <w:rPr>
          <w:lang w:val="en-CA"/>
        </w:rPr>
        <w:t xml:space="preserve"> </w:t>
      </w:r>
      <w:r w:rsidRPr="007206D4">
        <w:rPr>
          <w:i/>
          <w:iCs/>
          <w:lang w:val="en-CA"/>
        </w:rPr>
        <w:t>Abicidan c. Ikea Canada</w:t>
      </w:r>
      <w:r w:rsidRPr="007206D4">
        <w:rPr>
          <w:lang w:val="en-CA"/>
        </w:rPr>
        <w:t>, 2021 QCCS 3258 at para</w:t>
      </w:r>
      <w:r w:rsidR="001A6BBA" w:rsidRPr="007206D4">
        <w:rPr>
          <w:lang w:val="en-CA"/>
        </w:rPr>
        <w:t>s</w:t>
      </w:r>
      <w:r w:rsidRPr="007206D4">
        <w:rPr>
          <w:lang w:val="en-CA"/>
        </w:rPr>
        <w:t>.</w:t>
      </w:r>
      <w:r w:rsidR="00207C31">
        <w:rPr>
          <w:lang w:val="en-CA"/>
        </w:rPr>
        <w:t xml:space="preserve"> 23, 56, and</w:t>
      </w:r>
      <w:r w:rsidR="005A73DA">
        <w:rPr>
          <w:lang w:val="en-CA"/>
        </w:rPr>
        <w:t xml:space="preserve"> </w:t>
      </w:r>
      <w:r w:rsidR="001A6BBA" w:rsidRPr="007206D4">
        <w:rPr>
          <w:lang w:val="en-CA"/>
        </w:rPr>
        <w:t>66 (the judge deferred his decision on fees while allowing the agreement).</w:t>
      </w:r>
    </w:p>
  </w:footnote>
  <w:footnote w:id="32">
    <w:p w14:paraId="0ACC2C4B" w14:textId="0B89C1D5" w:rsidR="00454E27" w:rsidRPr="008778A3" w:rsidRDefault="00454E27" w:rsidP="00454E27">
      <w:pPr>
        <w:pStyle w:val="Notedebasdepage"/>
        <w:rPr>
          <w:lang w:val="en-CA"/>
        </w:rPr>
      </w:pPr>
      <w:r w:rsidRPr="00E32C3F">
        <w:rPr>
          <w:rStyle w:val="Appelnotedebasdep"/>
        </w:rPr>
        <w:footnoteRef/>
      </w:r>
      <w:r w:rsidRPr="00D951B2">
        <w:rPr>
          <w:lang w:val="en-CA"/>
        </w:rPr>
        <w:t xml:space="preserve"> </w:t>
      </w:r>
      <w:r w:rsidRPr="00D951B2">
        <w:rPr>
          <w:lang w:val="en-CA"/>
        </w:rPr>
        <w:tab/>
      </w:r>
      <w:r w:rsidRPr="00D951B2">
        <w:rPr>
          <w:i/>
          <w:iCs/>
          <w:lang w:val="en-CA"/>
        </w:rPr>
        <w:t>Pellemans</w:t>
      </w:r>
      <w:r w:rsidRPr="00D951B2">
        <w:rPr>
          <w:lang w:val="en-CA"/>
        </w:rPr>
        <w:t>,</w:t>
      </w:r>
      <w:r w:rsidRPr="00D951B2">
        <w:rPr>
          <w:i/>
          <w:iCs/>
          <w:lang w:val="en-CA"/>
        </w:rPr>
        <w:t xml:space="preserve"> supra</w:t>
      </w:r>
      <w:r w:rsidRPr="00D951B2">
        <w:rPr>
          <w:lang w:val="en-CA"/>
        </w:rPr>
        <w:t xml:space="preserve"> note </w:t>
      </w:r>
      <w:r w:rsidRPr="00E32C3F">
        <w:fldChar w:fldCharType="begin"/>
      </w:r>
      <w:r w:rsidRPr="00D951B2">
        <w:rPr>
          <w:lang w:val="en-CA"/>
        </w:rPr>
        <w:instrText xml:space="preserve"> NOTEREF _Ref127799635 \h  \* MERGEFORMAT </w:instrText>
      </w:r>
      <w:r w:rsidRPr="00E32C3F">
        <w:fldChar w:fldCharType="separate"/>
      </w:r>
      <w:r w:rsidRPr="00D951B2">
        <w:rPr>
          <w:lang w:val="en-CA"/>
        </w:rPr>
        <w:t>26</w:t>
      </w:r>
      <w:r w:rsidRPr="00E32C3F">
        <w:fldChar w:fldCharType="end"/>
      </w:r>
      <w:r w:rsidRPr="00D951B2">
        <w:rPr>
          <w:lang w:val="en-CA"/>
        </w:rPr>
        <w:t xml:space="preserve"> at para.</w:t>
      </w:r>
      <w:r w:rsidR="002D20DC" w:rsidRPr="00D951B2">
        <w:rPr>
          <w:lang w:val="en-CA"/>
        </w:rPr>
        <w:t xml:space="preserve"> </w:t>
      </w:r>
      <w:r w:rsidRPr="008778A3">
        <w:rPr>
          <w:lang w:val="en-CA"/>
        </w:rPr>
        <w:t>48.</w:t>
      </w:r>
    </w:p>
  </w:footnote>
  <w:footnote w:id="33">
    <w:p w14:paraId="50028031" w14:textId="265A09B5" w:rsidR="00B966FF" w:rsidRPr="008778A3" w:rsidRDefault="00B966FF" w:rsidP="00B966FF">
      <w:pPr>
        <w:pStyle w:val="Notedebasdepage"/>
        <w:rPr>
          <w:lang w:val="en-CA"/>
        </w:rPr>
      </w:pPr>
      <w:r w:rsidRPr="00E32C3F">
        <w:rPr>
          <w:rStyle w:val="Appelnotedebasdep"/>
        </w:rPr>
        <w:footnoteRef/>
      </w:r>
      <w:r w:rsidRPr="008778A3">
        <w:rPr>
          <w:lang w:val="en-CA"/>
        </w:rPr>
        <w:t xml:space="preserve"> </w:t>
      </w:r>
      <w:r w:rsidRPr="008778A3">
        <w:rPr>
          <w:lang w:val="en-CA"/>
        </w:rPr>
        <w:tab/>
      </w:r>
      <w:r w:rsidRPr="008778A3">
        <w:rPr>
          <w:i/>
          <w:iCs/>
          <w:lang w:val="en-CA"/>
        </w:rPr>
        <w:t>Banque Amex</w:t>
      </w:r>
      <w:r w:rsidRPr="008778A3">
        <w:rPr>
          <w:lang w:val="en-CA"/>
        </w:rPr>
        <w:t>,</w:t>
      </w:r>
      <w:r w:rsidRPr="008778A3">
        <w:rPr>
          <w:i/>
          <w:iCs/>
          <w:lang w:val="en-CA"/>
        </w:rPr>
        <w:t xml:space="preserve"> supra</w:t>
      </w:r>
      <w:r w:rsidRPr="008778A3">
        <w:rPr>
          <w:lang w:val="en-CA"/>
        </w:rPr>
        <w:t xml:space="preserve"> note </w:t>
      </w:r>
      <w:r w:rsidRPr="00E32C3F">
        <w:fldChar w:fldCharType="begin"/>
      </w:r>
      <w:r w:rsidRPr="008778A3">
        <w:rPr>
          <w:lang w:val="en-CA"/>
        </w:rPr>
        <w:instrText xml:space="preserve"> NOTEREF _Ref128402085 \h  \* MERGEFORMAT </w:instrText>
      </w:r>
      <w:r w:rsidRPr="00E32C3F">
        <w:fldChar w:fldCharType="separate"/>
      </w:r>
      <w:r w:rsidRPr="008778A3">
        <w:rPr>
          <w:lang w:val="en-CA"/>
        </w:rPr>
        <w:t>24</w:t>
      </w:r>
      <w:r w:rsidRPr="00E32C3F">
        <w:fldChar w:fldCharType="end"/>
      </w:r>
      <w:r w:rsidRPr="008778A3">
        <w:rPr>
          <w:lang w:val="en-CA"/>
        </w:rPr>
        <w:t xml:space="preserve"> at para.</w:t>
      </w:r>
      <w:r w:rsidR="002D20DC" w:rsidRPr="008778A3">
        <w:rPr>
          <w:lang w:val="en-CA"/>
        </w:rPr>
        <w:t xml:space="preserve"> </w:t>
      </w:r>
      <w:r w:rsidRPr="008778A3">
        <w:rPr>
          <w:lang w:val="en-CA"/>
        </w:rPr>
        <w:t>66.</w:t>
      </w:r>
    </w:p>
  </w:footnote>
  <w:footnote w:id="34">
    <w:p w14:paraId="4F2DFA0E" w14:textId="4600A711" w:rsidR="002E7C51" w:rsidRPr="008778A3" w:rsidRDefault="00354272" w:rsidP="002E7C51">
      <w:pPr>
        <w:pStyle w:val="Notedebasdepage"/>
        <w:rPr>
          <w:lang w:val="en-CA"/>
        </w:rPr>
      </w:pPr>
      <w:r w:rsidRPr="00E32C3F">
        <w:rPr>
          <w:rStyle w:val="Appelnotedebasdep"/>
        </w:rPr>
        <w:footnoteRef/>
      </w:r>
      <w:r w:rsidRPr="008778A3">
        <w:rPr>
          <w:lang w:val="en-CA"/>
        </w:rPr>
        <w:t xml:space="preserve"> </w:t>
      </w:r>
      <w:r w:rsidRPr="008778A3">
        <w:rPr>
          <w:lang w:val="en-CA"/>
        </w:rPr>
        <w:tab/>
      </w:r>
      <w:r w:rsidR="007C5C97" w:rsidRPr="008778A3">
        <w:rPr>
          <w:i/>
          <w:iCs/>
          <w:lang w:val="en-CA"/>
        </w:rPr>
        <w:t xml:space="preserve">Ibid. </w:t>
      </w:r>
      <w:r w:rsidR="007C5C97" w:rsidRPr="008778A3">
        <w:rPr>
          <w:lang w:val="en-CA"/>
        </w:rPr>
        <w:t>at</w:t>
      </w:r>
      <w:r w:rsidRPr="008778A3">
        <w:rPr>
          <w:lang w:val="en-CA"/>
        </w:rPr>
        <w:t xml:space="preserve"> para. 67, </w:t>
      </w:r>
      <w:bookmarkStart w:id="26" w:name="_Hlk127800295"/>
      <w:r w:rsidR="00DB02D5">
        <w:rPr>
          <w:lang w:val="en-CA"/>
        </w:rPr>
        <w:t>citing</w:t>
      </w:r>
      <w:r w:rsidRPr="008778A3">
        <w:rPr>
          <w:lang w:val="en-CA"/>
        </w:rPr>
        <w:t xml:space="preserve"> </w:t>
      </w:r>
      <w:r w:rsidRPr="008778A3">
        <w:rPr>
          <w:i/>
          <w:iCs/>
          <w:lang w:val="en-CA"/>
        </w:rPr>
        <w:t>Skarstedt c. Corporation Nortel Networks</w:t>
      </w:r>
      <w:r w:rsidRPr="008778A3">
        <w:rPr>
          <w:lang w:val="en-CA"/>
        </w:rPr>
        <w:t>, 2011 QCCA 767 [</w:t>
      </w:r>
      <w:r w:rsidRPr="008778A3">
        <w:rPr>
          <w:i/>
          <w:iCs/>
          <w:lang w:val="en-CA"/>
        </w:rPr>
        <w:t>Skarstedt</w:t>
      </w:r>
      <w:r w:rsidRPr="008778A3">
        <w:rPr>
          <w:lang w:val="en-CA"/>
        </w:rPr>
        <w:t>].</w:t>
      </w:r>
    </w:p>
    <w:bookmarkEnd w:id="26"/>
  </w:footnote>
  <w:footnote w:id="35">
    <w:p w14:paraId="31DEDD94" w14:textId="10F7C584" w:rsidR="002E7C51" w:rsidRPr="00E32C3F" w:rsidRDefault="00354272" w:rsidP="002E7C51">
      <w:pPr>
        <w:pStyle w:val="Notedebasdepage"/>
      </w:pPr>
      <w:r w:rsidRPr="00E32C3F">
        <w:rPr>
          <w:rStyle w:val="Appelnotedebasdep"/>
        </w:rPr>
        <w:footnoteRef/>
      </w:r>
      <w:r w:rsidRPr="008778A3">
        <w:rPr>
          <w:lang w:val="en-CA"/>
        </w:rPr>
        <w:t xml:space="preserve"> </w:t>
      </w:r>
      <w:r w:rsidRPr="008778A3">
        <w:rPr>
          <w:lang w:val="en-CA"/>
        </w:rPr>
        <w:tab/>
      </w:r>
      <w:r w:rsidR="007C5C97" w:rsidRPr="008778A3">
        <w:rPr>
          <w:i/>
          <w:iCs/>
          <w:lang w:val="en-CA"/>
        </w:rPr>
        <w:t xml:space="preserve">Ibid. </w:t>
      </w:r>
      <w:r w:rsidR="007C5C97" w:rsidRPr="008778A3">
        <w:rPr>
          <w:lang w:val="en-CA"/>
        </w:rPr>
        <w:t>at</w:t>
      </w:r>
      <w:r w:rsidRPr="008778A3">
        <w:rPr>
          <w:lang w:val="en-CA"/>
        </w:rPr>
        <w:t xml:space="preserve"> para</w:t>
      </w:r>
      <w:r w:rsidRPr="008778A3">
        <w:rPr>
          <w:i/>
          <w:iCs/>
          <w:lang w:val="en-CA"/>
        </w:rPr>
        <w:t>.</w:t>
      </w:r>
      <w:r w:rsidRPr="008778A3">
        <w:rPr>
          <w:lang w:val="en-CA"/>
        </w:rPr>
        <w:t xml:space="preserve"> 62, </w:t>
      </w:r>
      <w:r w:rsidR="001A6BBA" w:rsidRPr="008778A3">
        <w:rPr>
          <w:lang w:val="en-CA"/>
        </w:rPr>
        <w:t>citing</w:t>
      </w:r>
      <w:r w:rsidRPr="008778A3">
        <w:rPr>
          <w:lang w:val="en-CA"/>
        </w:rPr>
        <w:t xml:space="preserve"> </w:t>
      </w:r>
      <w:r w:rsidRPr="008778A3">
        <w:rPr>
          <w:i/>
          <w:iCs/>
          <w:lang w:val="en-CA"/>
        </w:rPr>
        <w:t>Apple Canada Inc. c. St-Germain</w:t>
      </w:r>
      <w:r w:rsidRPr="008778A3">
        <w:rPr>
          <w:lang w:val="en-CA"/>
        </w:rPr>
        <w:t>, 2010 QCCA 1376</w:t>
      </w:r>
      <w:r w:rsidR="00D65514" w:rsidRPr="008778A3">
        <w:rPr>
          <w:lang w:val="en-CA"/>
        </w:rPr>
        <w:t xml:space="preserve"> at para.</w:t>
      </w:r>
      <w:r w:rsidR="002D20DC" w:rsidRPr="008778A3">
        <w:rPr>
          <w:lang w:val="en-CA"/>
        </w:rPr>
        <w:t xml:space="preserve"> </w:t>
      </w:r>
      <w:r w:rsidRPr="00E32C3F">
        <w:t>36.</w:t>
      </w:r>
    </w:p>
  </w:footnote>
  <w:footnote w:id="36">
    <w:p w14:paraId="4DE73F39" w14:textId="7E66E653" w:rsidR="002E7C51" w:rsidRPr="00E32C3F" w:rsidRDefault="00354272" w:rsidP="002E7C51">
      <w:pPr>
        <w:pStyle w:val="Notedebasdepage"/>
      </w:pPr>
      <w:r w:rsidRPr="00E32C3F">
        <w:rPr>
          <w:rStyle w:val="Appelnotedebasdep"/>
        </w:rPr>
        <w:footnoteRef/>
      </w:r>
      <w:r w:rsidRPr="00E32C3F">
        <w:t xml:space="preserve"> </w:t>
      </w:r>
      <w:r w:rsidRPr="00E32C3F">
        <w:tab/>
      </w:r>
      <w:r w:rsidRPr="009F222C">
        <w:t xml:space="preserve">Catherine Piché, </w:t>
      </w:r>
      <w:r w:rsidRPr="009F222C">
        <w:rPr>
          <w:i/>
          <w:iCs/>
        </w:rPr>
        <w:t>L’action collective</w:t>
      </w:r>
      <w:r w:rsidR="002D20DC">
        <w:rPr>
          <w:i/>
          <w:iCs/>
        </w:rPr>
        <w:t> </w:t>
      </w:r>
      <w:r w:rsidRPr="009F222C">
        <w:rPr>
          <w:i/>
          <w:iCs/>
        </w:rPr>
        <w:t>:</w:t>
      </w:r>
      <w:r w:rsidRPr="00E32C3F">
        <w:rPr>
          <w:i/>
          <w:iCs/>
        </w:rPr>
        <w:t xml:space="preserve"> </w:t>
      </w:r>
      <w:r w:rsidRPr="009F222C">
        <w:rPr>
          <w:i/>
          <w:iCs/>
        </w:rPr>
        <w:t>ses succès et ses défis</w:t>
      </w:r>
      <w:r w:rsidRPr="009F222C">
        <w:t xml:space="preserve">, </w:t>
      </w:r>
      <w:r w:rsidR="002D20DC">
        <w:t>(</w:t>
      </w:r>
      <w:r w:rsidRPr="009F222C">
        <w:t>Montr</w:t>
      </w:r>
      <w:r w:rsidR="00DB02D5">
        <w:t>e</w:t>
      </w:r>
      <w:r w:rsidRPr="009F222C">
        <w:t>al</w:t>
      </w:r>
      <w:r w:rsidR="002D20DC">
        <w:t>:</w:t>
      </w:r>
      <w:r w:rsidRPr="009F222C">
        <w:t xml:space="preserve"> Thémis, 2019</w:t>
      </w:r>
      <w:r w:rsidR="002D20DC">
        <w:t>)</w:t>
      </w:r>
      <w:r w:rsidR="001A6BBA" w:rsidRPr="009F222C">
        <w:t xml:space="preserve"> at</w:t>
      </w:r>
      <w:r w:rsidRPr="009F222C">
        <w:t xml:space="preserve"> 227.</w:t>
      </w:r>
    </w:p>
  </w:footnote>
  <w:footnote w:id="37">
    <w:p w14:paraId="791C4899" w14:textId="7139CBEF" w:rsidR="00B966FF" w:rsidRPr="008778A3" w:rsidRDefault="00B966FF" w:rsidP="00B966FF">
      <w:pPr>
        <w:pStyle w:val="Notedebasdepage"/>
        <w:rPr>
          <w:lang w:val="en-CA"/>
        </w:rPr>
      </w:pPr>
      <w:r w:rsidRPr="00E32C3F">
        <w:rPr>
          <w:rStyle w:val="Appelnotedebasdep"/>
        </w:rPr>
        <w:footnoteRef/>
      </w:r>
      <w:r w:rsidRPr="008778A3">
        <w:rPr>
          <w:lang w:val="en-CA"/>
        </w:rPr>
        <w:t xml:space="preserve"> </w:t>
      </w:r>
      <w:r w:rsidRPr="008778A3">
        <w:rPr>
          <w:lang w:val="en-CA"/>
        </w:rPr>
        <w:tab/>
      </w:r>
      <w:r w:rsidR="001A6BBA" w:rsidRPr="008778A3">
        <w:rPr>
          <w:lang w:val="en-CA"/>
        </w:rPr>
        <w:t xml:space="preserve">See also </w:t>
      </w:r>
      <w:r w:rsidRPr="008778A3">
        <w:rPr>
          <w:lang w:val="en-CA"/>
        </w:rPr>
        <w:t xml:space="preserve">art. 2134 </w:t>
      </w:r>
      <w:r w:rsidR="001A6BBA" w:rsidRPr="008778A3">
        <w:rPr>
          <w:lang w:val="en-CA"/>
        </w:rPr>
        <w:t>CCQ</w:t>
      </w:r>
      <w:r w:rsidR="00834EF1">
        <w:rPr>
          <w:lang w:val="en-CA"/>
        </w:rPr>
        <w:t>;</w:t>
      </w:r>
      <w:r w:rsidRPr="008778A3">
        <w:rPr>
          <w:lang w:val="en-CA"/>
        </w:rPr>
        <w:t xml:space="preserve"> </w:t>
      </w:r>
      <w:r w:rsidR="001A6BBA" w:rsidRPr="008778A3">
        <w:rPr>
          <w:i/>
          <w:iCs/>
          <w:lang w:val="en-CA"/>
        </w:rPr>
        <w:t>Act respecting the Barreau du Québec</w:t>
      </w:r>
      <w:r w:rsidR="001A6BBA" w:rsidRPr="008778A3">
        <w:rPr>
          <w:lang w:val="en-CA"/>
        </w:rPr>
        <w:t xml:space="preserve">, CQLR </w:t>
      </w:r>
      <w:r w:rsidRPr="008778A3">
        <w:rPr>
          <w:lang w:val="en-CA"/>
        </w:rPr>
        <w:t xml:space="preserve">c. B-1, </w:t>
      </w:r>
      <w:r w:rsidR="001A6BBA" w:rsidRPr="008778A3">
        <w:rPr>
          <w:lang w:val="en-CA"/>
        </w:rPr>
        <w:t>s</w:t>
      </w:r>
      <w:r w:rsidRPr="008778A3">
        <w:rPr>
          <w:lang w:val="en-CA"/>
        </w:rPr>
        <w:t>. 126.</w:t>
      </w:r>
    </w:p>
  </w:footnote>
  <w:footnote w:id="38">
    <w:p w14:paraId="0DB1F0D9" w14:textId="5697C49D" w:rsidR="00B966FF" w:rsidRPr="00D951B2" w:rsidRDefault="00B966FF" w:rsidP="00B966FF">
      <w:pPr>
        <w:pStyle w:val="Notedebasdepage"/>
        <w:rPr>
          <w:lang w:val="es-CL"/>
        </w:rPr>
      </w:pPr>
      <w:r w:rsidRPr="00E32C3F">
        <w:rPr>
          <w:rStyle w:val="Appelnotedebasdep"/>
        </w:rPr>
        <w:footnoteRef/>
      </w:r>
      <w:r w:rsidRPr="00D951B2">
        <w:rPr>
          <w:lang w:val="es-CL"/>
        </w:rPr>
        <w:t xml:space="preserve"> </w:t>
      </w:r>
      <w:r w:rsidRPr="00D951B2">
        <w:rPr>
          <w:lang w:val="es-CL"/>
        </w:rPr>
        <w:tab/>
      </w:r>
      <w:r w:rsidRPr="00D951B2">
        <w:rPr>
          <w:i/>
          <w:iCs/>
          <w:lang w:val="es-CL"/>
        </w:rPr>
        <w:t>Banque Amex</w:t>
      </w:r>
      <w:r w:rsidRPr="00D951B2">
        <w:rPr>
          <w:lang w:val="es-CL"/>
        </w:rPr>
        <w:t>,</w:t>
      </w:r>
      <w:r w:rsidRPr="00D951B2">
        <w:rPr>
          <w:i/>
          <w:iCs/>
          <w:lang w:val="es-CL"/>
        </w:rPr>
        <w:t xml:space="preserve"> supra </w:t>
      </w:r>
      <w:r w:rsidRPr="00D951B2">
        <w:rPr>
          <w:lang w:val="es-CL"/>
        </w:rPr>
        <w:t xml:space="preserve">note </w:t>
      </w:r>
      <w:r w:rsidRPr="00E32C3F">
        <w:fldChar w:fldCharType="begin"/>
      </w:r>
      <w:r w:rsidRPr="00D951B2">
        <w:rPr>
          <w:lang w:val="es-CL"/>
        </w:rPr>
        <w:instrText xml:space="preserve"> NOTEREF _Ref128402085 \h  \* MERGEFORMAT </w:instrText>
      </w:r>
      <w:r w:rsidRPr="00E32C3F">
        <w:fldChar w:fldCharType="separate"/>
      </w:r>
      <w:r w:rsidRPr="00D951B2">
        <w:rPr>
          <w:lang w:val="es-CL"/>
        </w:rPr>
        <w:t>24</w:t>
      </w:r>
      <w:r w:rsidRPr="00E32C3F">
        <w:fldChar w:fldCharType="end"/>
      </w:r>
      <w:r w:rsidRPr="00D951B2">
        <w:rPr>
          <w:lang w:val="es-CL"/>
        </w:rPr>
        <w:t xml:space="preserve"> at para.</w:t>
      </w:r>
      <w:r w:rsidR="00637E3A" w:rsidRPr="00D951B2">
        <w:rPr>
          <w:lang w:val="es-CL"/>
        </w:rPr>
        <w:t xml:space="preserve"> </w:t>
      </w:r>
      <w:r w:rsidRPr="00D951B2">
        <w:rPr>
          <w:lang w:val="es-CL"/>
        </w:rPr>
        <w:t>66.</w:t>
      </w:r>
    </w:p>
  </w:footnote>
  <w:footnote w:id="39">
    <w:p w14:paraId="34262715" w14:textId="3267A651" w:rsidR="00B966FF" w:rsidRPr="00D951B2" w:rsidRDefault="00B966FF" w:rsidP="00B966FF">
      <w:pPr>
        <w:pStyle w:val="Notedebasdepage"/>
        <w:rPr>
          <w:lang w:val="es-CL"/>
        </w:rPr>
      </w:pPr>
      <w:r w:rsidRPr="00E32C3F">
        <w:rPr>
          <w:rStyle w:val="Appelnotedebasdep"/>
        </w:rPr>
        <w:footnoteRef/>
      </w:r>
      <w:r w:rsidRPr="00D951B2">
        <w:rPr>
          <w:lang w:val="es-CL"/>
        </w:rPr>
        <w:t xml:space="preserve"> </w:t>
      </w:r>
      <w:r w:rsidRPr="00D951B2">
        <w:rPr>
          <w:lang w:val="es-CL"/>
        </w:rPr>
        <w:tab/>
      </w:r>
      <w:r w:rsidRPr="00D951B2">
        <w:rPr>
          <w:i/>
          <w:iCs/>
          <w:lang w:val="es-CL"/>
        </w:rPr>
        <w:t>Pellemans</w:t>
      </w:r>
      <w:r w:rsidRPr="00D951B2">
        <w:rPr>
          <w:lang w:val="es-CL"/>
        </w:rPr>
        <w:t>,</w:t>
      </w:r>
      <w:r w:rsidRPr="00D951B2">
        <w:rPr>
          <w:i/>
          <w:iCs/>
          <w:lang w:val="es-CL"/>
        </w:rPr>
        <w:t xml:space="preserve"> supra </w:t>
      </w:r>
      <w:r w:rsidRPr="00D951B2">
        <w:rPr>
          <w:lang w:val="es-CL"/>
        </w:rPr>
        <w:t xml:space="preserve">note </w:t>
      </w:r>
      <w:r w:rsidRPr="00E32C3F">
        <w:fldChar w:fldCharType="begin"/>
      </w:r>
      <w:r w:rsidRPr="00D951B2">
        <w:rPr>
          <w:lang w:val="es-CL"/>
        </w:rPr>
        <w:instrText xml:space="preserve"> NOTEREF _Ref127799635 \h  \* MERGEFORMAT </w:instrText>
      </w:r>
      <w:r w:rsidRPr="00E32C3F">
        <w:fldChar w:fldCharType="separate"/>
      </w:r>
      <w:r w:rsidRPr="00D951B2">
        <w:rPr>
          <w:lang w:val="es-CL"/>
        </w:rPr>
        <w:t>26</w:t>
      </w:r>
      <w:r w:rsidRPr="00E32C3F">
        <w:fldChar w:fldCharType="end"/>
      </w:r>
      <w:r w:rsidRPr="00D951B2">
        <w:rPr>
          <w:lang w:val="es-CL"/>
        </w:rPr>
        <w:t xml:space="preserve"> at para.</w:t>
      </w:r>
      <w:r w:rsidR="00637E3A" w:rsidRPr="00D951B2">
        <w:rPr>
          <w:lang w:val="es-CL"/>
        </w:rPr>
        <w:t xml:space="preserve"> </w:t>
      </w:r>
      <w:r w:rsidRPr="00D951B2">
        <w:rPr>
          <w:lang w:val="es-CL"/>
        </w:rPr>
        <w:t>76.</w:t>
      </w:r>
    </w:p>
  </w:footnote>
  <w:footnote w:id="40">
    <w:p w14:paraId="194AFB15" w14:textId="329FD740" w:rsidR="00B966FF" w:rsidRPr="00D951B2" w:rsidRDefault="00B966FF" w:rsidP="00B966FF">
      <w:pPr>
        <w:pStyle w:val="Notedebasdepage"/>
        <w:rPr>
          <w:lang w:val="es-CL"/>
        </w:rPr>
      </w:pPr>
      <w:r w:rsidRPr="00E32C3F">
        <w:rPr>
          <w:rStyle w:val="Appelnotedebasdep"/>
        </w:rPr>
        <w:footnoteRef/>
      </w:r>
      <w:r w:rsidRPr="00D951B2">
        <w:rPr>
          <w:lang w:val="es-CL"/>
        </w:rPr>
        <w:t xml:space="preserve"> </w:t>
      </w:r>
      <w:r w:rsidRPr="00D951B2">
        <w:rPr>
          <w:lang w:val="es-CL"/>
        </w:rPr>
        <w:tab/>
      </w:r>
      <w:r w:rsidRPr="00D951B2">
        <w:rPr>
          <w:i/>
          <w:iCs/>
          <w:lang w:val="es-CL"/>
        </w:rPr>
        <w:t>Skarstedt</w:t>
      </w:r>
      <w:r w:rsidRPr="00D951B2">
        <w:rPr>
          <w:lang w:val="es-CL"/>
        </w:rPr>
        <w:t>,</w:t>
      </w:r>
      <w:r w:rsidRPr="00D951B2">
        <w:rPr>
          <w:i/>
          <w:iCs/>
          <w:lang w:val="es-CL"/>
        </w:rPr>
        <w:t xml:space="preserve"> supra </w:t>
      </w:r>
      <w:r w:rsidRPr="00D951B2">
        <w:rPr>
          <w:lang w:val="es-CL"/>
        </w:rPr>
        <w:t xml:space="preserve">note </w:t>
      </w:r>
      <w:r w:rsidRPr="00E32C3F">
        <w:fldChar w:fldCharType="begin"/>
      </w:r>
      <w:r w:rsidRPr="00D951B2">
        <w:rPr>
          <w:lang w:val="es-CL"/>
        </w:rPr>
        <w:instrText xml:space="preserve"> NOTEREF _Ref127800784 \h  \* MERGEFORMAT </w:instrText>
      </w:r>
      <w:r w:rsidRPr="00E32C3F">
        <w:fldChar w:fldCharType="separate"/>
      </w:r>
      <w:r w:rsidRPr="00D951B2">
        <w:rPr>
          <w:lang w:val="es-CL"/>
        </w:rPr>
        <w:t>34</w:t>
      </w:r>
      <w:r w:rsidRPr="00E32C3F">
        <w:fldChar w:fldCharType="end"/>
      </w:r>
      <w:r w:rsidRPr="00D951B2">
        <w:rPr>
          <w:lang w:val="es-CL"/>
        </w:rPr>
        <w:t xml:space="preserve"> at para.</w:t>
      </w:r>
      <w:r w:rsidR="00637E3A" w:rsidRPr="00D951B2">
        <w:rPr>
          <w:lang w:val="es-CL"/>
        </w:rPr>
        <w:t xml:space="preserve"> </w:t>
      </w:r>
      <w:r w:rsidRPr="00D951B2">
        <w:rPr>
          <w:lang w:val="es-CL"/>
        </w:rPr>
        <w:t xml:space="preserve">16; </w:t>
      </w:r>
      <w:r w:rsidRPr="00D951B2">
        <w:rPr>
          <w:i/>
          <w:iCs/>
          <w:lang w:val="es-CL"/>
        </w:rPr>
        <w:t>Pellemans</w:t>
      </w:r>
      <w:r w:rsidRPr="00D951B2">
        <w:rPr>
          <w:lang w:val="es-CL"/>
        </w:rPr>
        <w:t>,</w:t>
      </w:r>
      <w:r w:rsidRPr="00D951B2">
        <w:rPr>
          <w:i/>
          <w:iCs/>
          <w:lang w:val="es-CL"/>
        </w:rPr>
        <w:t xml:space="preserve"> supra </w:t>
      </w:r>
      <w:r w:rsidRPr="00D951B2">
        <w:rPr>
          <w:lang w:val="es-CL"/>
        </w:rPr>
        <w:t xml:space="preserve">note </w:t>
      </w:r>
      <w:r w:rsidRPr="00E32C3F">
        <w:fldChar w:fldCharType="begin"/>
      </w:r>
      <w:r w:rsidRPr="00D951B2">
        <w:rPr>
          <w:lang w:val="es-CL"/>
        </w:rPr>
        <w:instrText xml:space="preserve"> NOTEREF _Ref127799635 \h  \* MERGEFORMAT </w:instrText>
      </w:r>
      <w:r w:rsidRPr="00E32C3F">
        <w:fldChar w:fldCharType="separate"/>
      </w:r>
      <w:r w:rsidRPr="00D951B2">
        <w:rPr>
          <w:lang w:val="es-CL"/>
        </w:rPr>
        <w:t>26</w:t>
      </w:r>
      <w:r w:rsidRPr="00E32C3F">
        <w:fldChar w:fldCharType="end"/>
      </w:r>
      <w:r w:rsidRPr="00D951B2">
        <w:rPr>
          <w:lang w:val="es-CL"/>
        </w:rPr>
        <w:t xml:space="preserve"> at para.</w:t>
      </w:r>
      <w:r w:rsidR="00637E3A" w:rsidRPr="00D951B2">
        <w:rPr>
          <w:lang w:val="es-CL"/>
        </w:rPr>
        <w:t xml:space="preserve"> </w:t>
      </w:r>
      <w:r w:rsidRPr="00D951B2">
        <w:rPr>
          <w:lang w:val="es-CL"/>
        </w:rPr>
        <w:t>52.</w:t>
      </w:r>
    </w:p>
  </w:footnote>
  <w:footnote w:id="41">
    <w:p w14:paraId="18E095E5" w14:textId="6D2E8B82" w:rsidR="00B966FF" w:rsidRPr="00E32C3F" w:rsidRDefault="00B966FF" w:rsidP="00B966FF">
      <w:pPr>
        <w:pStyle w:val="Notedebasdepage"/>
      </w:pPr>
      <w:r w:rsidRPr="00E32C3F">
        <w:rPr>
          <w:rStyle w:val="Appelnotedebasdep"/>
        </w:rPr>
        <w:footnoteRef/>
      </w:r>
      <w:r w:rsidRPr="00D951B2">
        <w:rPr>
          <w:lang w:val="es-CL"/>
        </w:rPr>
        <w:t xml:space="preserve"> </w:t>
      </w:r>
      <w:r w:rsidRPr="00D951B2">
        <w:rPr>
          <w:lang w:val="es-CL"/>
        </w:rPr>
        <w:tab/>
      </w:r>
      <w:r w:rsidRPr="00D951B2">
        <w:rPr>
          <w:i/>
          <w:iCs/>
          <w:lang w:val="es-CL"/>
        </w:rPr>
        <w:t>Francoeur c. Belzil</w:t>
      </w:r>
      <w:r w:rsidRPr="00D951B2">
        <w:rPr>
          <w:lang w:val="es-CL"/>
        </w:rPr>
        <w:t>, 2004 CanLII 76585 at para.</w:t>
      </w:r>
      <w:r w:rsidR="00637E3A" w:rsidRPr="00D951B2">
        <w:rPr>
          <w:lang w:val="es-CL"/>
        </w:rPr>
        <w:t xml:space="preserve"> </w:t>
      </w:r>
      <w:r w:rsidRPr="009F222C">
        <w:t>33 (C.A.).</w:t>
      </w:r>
    </w:p>
  </w:footnote>
  <w:footnote w:id="42">
    <w:p w14:paraId="3DECFA4F" w14:textId="33875C12" w:rsidR="00B966FF" w:rsidRPr="00E32C3F" w:rsidRDefault="00B966FF" w:rsidP="00B966FF">
      <w:pPr>
        <w:pStyle w:val="Notedebasdepage"/>
      </w:pPr>
      <w:r w:rsidRPr="00E32C3F">
        <w:rPr>
          <w:rStyle w:val="Appelnotedebasdep"/>
        </w:rPr>
        <w:footnoteRef/>
      </w:r>
      <w:r w:rsidRPr="00E32C3F">
        <w:t xml:space="preserve"> </w:t>
      </w:r>
      <w:r w:rsidRPr="00E32C3F">
        <w:tab/>
        <w:t>Pierre-Claude Lafond,</w:t>
      </w:r>
      <w:r w:rsidRPr="00E32C3F">
        <w:rPr>
          <w:i/>
          <w:iCs/>
        </w:rPr>
        <w:t xml:space="preserve"> Libres propos sur la pratique de l’action collective, </w:t>
      </w:r>
      <w:r w:rsidR="00637E3A" w:rsidRPr="004A70D3">
        <w:t>(</w:t>
      </w:r>
      <w:r w:rsidRPr="00E32C3F">
        <w:t>Montr</w:t>
      </w:r>
      <w:r w:rsidR="00F5469D">
        <w:t>e</w:t>
      </w:r>
      <w:r w:rsidRPr="00E32C3F">
        <w:t>al</w:t>
      </w:r>
      <w:r w:rsidR="00637E3A">
        <w:t>:</w:t>
      </w:r>
      <w:r w:rsidR="00637E3A" w:rsidRPr="00E32C3F">
        <w:t xml:space="preserve"> </w:t>
      </w:r>
      <w:r w:rsidRPr="00E32C3F">
        <w:t>Yvon Blais, 2020</w:t>
      </w:r>
      <w:r w:rsidR="00637E3A">
        <w:t>)</w:t>
      </w:r>
      <w:r w:rsidRPr="00E32C3F">
        <w:t xml:space="preserve"> </w:t>
      </w:r>
      <w:r w:rsidR="00687DAA">
        <w:t>at</w:t>
      </w:r>
      <w:r w:rsidRPr="00E32C3F">
        <w:t xml:space="preserve"> 274.</w:t>
      </w:r>
    </w:p>
  </w:footnote>
  <w:footnote w:id="43">
    <w:p w14:paraId="34CA5161" w14:textId="24EA7F7C" w:rsidR="00D26456" w:rsidRPr="00E32C3F" w:rsidRDefault="00D26456" w:rsidP="00D26456">
      <w:pPr>
        <w:pStyle w:val="Notedebasdepage"/>
      </w:pPr>
      <w:r w:rsidRPr="00E32C3F">
        <w:rPr>
          <w:rStyle w:val="Appelnotedebasdep"/>
        </w:rPr>
        <w:footnoteRef/>
      </w:r>
      <w:r w:rsidRPr="00E32C3F">
        <w:t xml:space="preserve"> </w:t>
      </w:r>
      <w:r w:rsidRPr="00E32C3F">
        <w:tab/>
      </w:r>
      <w:bookmarkStart w:id="31" w:name="_Hlk127800933"/>
      <w:r w:rsidRPr="009F222C">
        <w:rPr>
          <w:i/>
          <w:iCs/>
        </w:rPr>
        <w:t>Option Consommateurs c. Meubles Léon ltée</w:t>
      </w:r>
      <w:r w:rsidRPr="009F222C">
        <w:t>, 2022 QCCS 193 at para.</w:t>
      </w:r>
      <w:r w:rsidR="00637E3A">
        <w:t xml:space="preserve"> </w:t>
      </w:r>
      <w:r w:rsidRPr="009F222C">
        <w:t>88 [</w:t>
      </w:r>
      <w:r w:rsidRPr="009F222C">
        <w:rPr>
          <w:i/>
          <w:iCs/>
        </w:rPr>
        <w:t>Meubles Léon</w:t>
      </w:r>
      <w:r w:rsidRPr="009F222C">
        <w:t>].</w:t>
      </w:r>
      <w:bookmarkEnd w:id="31"/>
    </w:p>
  </w:footnote>
  <w:footnote w:id="44">
    <w:p w14:paraId="34F11486" w14:textId="77777777" w:rsidR="005E16F6" w:rsidRPr="00E32C3F" w:rsidRDefault="005E16F6" w:rsidP="005E16F6">
      <w:pPr>
        <w:pStyle w:val="Notedebasdepage"/>
      </w:pPr>
      <w:r w:rsidRPr="00E32C3F">
        <w:rPr>
          <w:rStyle w:val="Appelnotedebasdep"/>
        </w:rPr>
        <w:footnoteRef/>
      </w:r>
      <w:r w:rsidRPr="00E32C3F">
        <w:t xml:space="preserve"> </w:t>
      </w:r>
      <w:r w:rsidRPr="00E32C3F">
        <w:tab/>
      </w:r>
      <w:r w:rsidRPr="009F222C">
        <w:rPr>
          <w:i/>
          <w:iCs/>
        </w:rPr>
        <w:t>Marcotte c. Banque de Montréal</w:t>
      </w:r>
      <w:r w:rsidRPr="009F222C">
        <w:t>, 2015 QCCS 1915 at para.</w:t>
      </w:r>
      <w:r>
        <w:t xml:space="preserve"> </w:t>
      </w:r>
      <w:r w:rsidRPr="00E32C3F">
        <w:t>5.</w:t>
      </w:r>
    </w:p>
  </w:footnote>
  <w:footnote w:id="45">
    <w:p w14:paraId="2BBC2E85" w14:textId="1644AD42" w:rsidR="00A52D16" w:rsidRPr="008778A3" w:rsidRDefault="00A52D16" w:rsidP="00A52D16">
      <w:pPr>
        <w:pStyle w:val="Notedebasdepage"/>
        <w:rPr>
          <w:lang w:val="en-CA"/>
        </w:rPr>
      </w:pPr>
      <w:r w:rsidRPr="00E32C3F">
        <w:rPr>
          <w:rStyle w:val="Appelnotedebasdep"/>
        </w:rPr>
        <w:footnoteRef/>
      </w:r>
      <w:r w:rsidRPr="00626A76">
        <w:t xml:space="preserve"> </w:t>
      </w:r>
      <w:r w:rsidRPr="00626A76">
        <w:tab/>
        <w:t xml:space="preserve">See </w:t>
      </w:r>
      <w:r w:rsidR="00C61BD5" w:rsidRPr="00626A76">
        <w:t>e.g.,</w:t>
      </w:r>
      <w:r w:rsidRPr="00626A76">
        <w:t xml:space="preserve"> </w:t>
      </w:r>
      <w:r w:rsidRPr="00626A76">
        <w:rPr>
          <w:i/>
          <w:iCs/>
        </w:rPr>
        <w:t>Normandin c. Bureau en Gros (Staples Canada)</w:t>
      </w:r>
      <w:r w:rsidRPr="00626A76">
        <w:t>, 2022 QCCS 3367 at para.</w:t>
      </w:r>
      <w:r w:rsidR="00637E3A" w:rsidRPr="00626A76">
        <w:t xml:space="preserve"> </w:t>
      </w:r>
      <w:r w:rsidRPr="00E32C3F">
        <w:t xml:space="preserve">35; </w:t>
      </w:r>
      <w:r w:rsidRPr="00E32C3F">
        <w:rPr>
          <w:i/>
          <w:iCs/>
        </w:rPr>
        <w:t>Association des jeunes victimes de l’église c. Harvey</w:t>
      </w:r>
      <w:r w:rsidRPr="00E32C3F">
        <w:t>, 2022 QCCS 1956</w:t>
      </w:r>
      <w:r>
        <w:t xml:space="preserve"> at para.</w:t>
      </w:r>
      <w:r w:rsidR="00273DF5">
        <w:t xml:space="preserve"> </w:t>
      </w:r>
      <w:r w:rsidRPr="00D951B2">
        <w:rPr>
          <w:lang w:val="es-CL"/>
        </w:rPr>
        <w:t xml:space="preserve">56; </w:t>
      </w:r>
      <w:r w:rsidRPr="00D951B2">
        <w:rPr>
          <w:i/>
          <w:iCs/>
          <w:lang w:val="es-CL"/>
        </w:rPr>
        <w:t>Meubles Léon</w:t>
      </w:r>
      <w:r w:rsidRPr="00D951B2">
        <w:rPr>
          <w:lang w:val="es-CL"/>
        </w:rPr>
        <w:t>,</w:t>
      </w:r>
      <w:r w:rsidRPr="00D951B2">
        <w:rPr>
          <w:i/>
          <w:iCs/>
          <w:lang w:val="es-CL"/>
        </w:rPr>
        <w:t xml:space="preserve"> supra </w:t>
      </w:r>
      <w:r w:rsidRPr="00D951B2">
        <w:rPr>
          <w:lang w:val="es-CL"/>
        </w:rPr>
        <w:t xml:space="preserve">note </w:t>
      </w:r>
      <w:r w:rsidRPr="00E32C3F">
        <w:fldChar w:fldCharType="begin"/>
      </w:r>
      <w:r w:rsidRPr="00D951B2">
        <w:rPr>
          <w:lang w:val="es-CL"/>
        </w:rPr>
        <w:instrText xml:space="preserve"> NOTEREF _Ref128406498 \h  \* MERGEFORMAT </w:instrText>
      </w:r>
      <w:r w:rsidRPr="00E32C3F">
        <w:fldChar w:fldCharType="separate"/>
      </w:r>
      <w:r w:rsidRPr="00D951B2">
        <w:rPr>
          <w:lang w:val="es-CL"/>
        </w:rPr>
        <w:t>43</w:t>
      </w:r>
      <w:r w:rsidRPr="00E32C3F">
        <w:fldChar w:fldCharType="end"/>
      </w:r>
      <w:r w:rsidRPr="00D951B2">
        <w:rPr>
          <w:lang w:val="es-CL"/>
        </w:rPr>
        <w:t xml:space="preserve"> at para.</w:t>
      </w:r>
      <w:r w:rsidR="00273DF5" w:rsidRPr="00D951B2">
        <w:rPr>
          <w:lang w:val="es-CL"/>
        </w:rPr>
        <w:t xml:space="preserve"> </w:t>
      </w:r>
      <w:r w:rsidRPr="00D951B2">
        <w:rPr>
          <w:lang w:val="es-CL"/>
        </w:rPr>
        <w:t xml:space="preserve">93; </w:t>
      </w:r>
      <w:r w:rsidRPr="00D951B2">
        <w:rPr>
          <w:i/>
          <w:iCs/>
          <w:lang w:val="es-CL"/>
        </w:rPr>
        <w:t>Bouchard c. Audi Canada inc</w:t>
      </w:r>
      <w:r w:rsidRPr="00D951B2">
        <w:rPr>
          <w:lang w:val="es-CL"/>
        </w:rPr>
        <w:t>., 2021 QCCS 10 at para.</w:t>
      </w:r>
      <w:r w:rsidR="00CF3B59" w:rsidRPr="00D951B2">
        <w:rPr>
          <w:lang w:val="es-CL"/>
        </w:rPr>
        <w:t xml:space="preserve"> </w:t>
      </w:r>
      <w:r w:rsidRPr="00D951B2">
        <w:rPr>
          <w:lang w:val="es-CL"/>
        </w:rPr>
        <w:t xml:space="preserve">44; </w:t>
      </w:r>
      <w:r w:rsidRPr="00D951B2">
        <w:rPr>
          <w:i/>
          <w:iCs/>
          <w:lang w:val="es-CL"/>
        </w:rPr>
        <w:t>Salazar Pasaje c. BMW Canada inc</w:t>
      </w:r>
      <w:r w:rsidRPr="00D951B2">
        <w:rPr>
          <w:lang w:val="es-CL"/>
        </w:rPr>
        <w:t>., 2021 QCCS 2512 at para.</w:t>
      </w:r>
      <w:r w:rsidR="00CF3B59" w:rsidRPr="00D951B2">
        <w:rPr>
          <w:lang w:val="es-CL"/>
        </w:rPr>
        <w:t xml:space="preserve"> </w:t>
      </w:r>
      <w:r w:rsidRPr="008778A3">
        <w:rPr>
          <w:lang w:val="en-CA"/>
        </w:rPr>
        <w:t xml:space="preserve">58, leave to appeal </w:t>
      </w:r>
      <w:r w:rsidR="0086574C" w:rsidRPr="008778A3">
        <w:rPr>
          <w:lang w:val="en-CA"/>
        </w:rPr>
        <w:t>refused, 2021</w:t>
      </w:r>
      <w:r w:rsidRPr="008778A3">
        <w:rPr>
          <w:lang w:val="en-CA"/>
        </w:rPr>
        <w:t xml:space="preserve"> QCCA 1107</w:t>
      </w:r>
      <w:r w:rsidR="00CF3B59" w:rsidRPr="008778A3">
        <w:rPr>
          <w:lang w:val="en-CA"/>
        </w:rPr>
        <w:t xml:space="preserve"> (8 July 2021)</w:t>
      </w:r>
      <w:r w:rsidRPr="008778A3">
        <w:rPr>
          <w:lang w:val="en-CA"/>
        </w:rPr>
        <w:t xml:space="preserve">; </w:t>
      </w:r>
      <w:r w:rsidRPr="008778A3">
        <w:rPr>
          <w:i/>
          <w:iCs/>
          <w:lang w:val="en-CA"/>
        </w:rPr>
        <w:t>Pellemans</w:t>
      </w:r>
      <w:r w:rsidRPr="008778A3">
        <w:rPr>
          <w:lang w:val="en-CA"/>
        </w:rPr>
        <w:t>,</w:t>
      </w:r>
      <w:r w:rsidRPr="008778A3">
        <w:rPr>
          <w:i/>
          <w:iCs/>
          <w:lang w:val="en-CA"/>
        </w:rPr>
        <w:t xml:space="preserve"> supra </w:t>
      </w:r>
      <w:r w:rsidRPr="008778A3">
        <w:rPr>
          <w:lang w:val="en-CA"/>
        </w:rPr>
        <w:t xml:space="preserve">note </w:t>
      </w:r>
      <w:r w:rsidRPr="00E32C3F">
        <w:fldChar w:fldCharType="begin"/>
      </w:r>
      <w:r w:rsidRPr="008778A3">
        <w:rPr>
          <w:lang w:val="en-CA"/>
        </w:rPr>
        <w:instrText xml:space="preserve"> NOTEREF _Ref127799635 \h  \* MERGEFORMAT </w:instrText>
      </w:r>
      <w:r w:rsidRPr="00E32C3F">
        <w:fldChar w:fldCharType="separate"/>
      </w:r>
      <w:r w:rsidRPr="008778A3">
        <w:rPr>
          <w:lang w:val="en-CA"/>
        </w:rPr>
        <w:t>26</w:t>
      </w:r>
      <w:r w:rsidRPr="00E32C3F">
        <w:fldChar w:fldCharType="end"/>
      </w:r>
      <w:r w:rsidRPr="008778A3">
        <w:rPr>
          <w:lang w:val="en-CA"/>
        </w:rPr>
        <w:t xml:space="preserve"> at para</w:t>
      </w:r>
      <w:r w:rsidR="00C61BD5">
        <w:rPr>
          <w:lang w:val="en-CA"/>
        </w:rPr>
        <w:t>s</w:t>
      </w:r>
      <w:r w:rsidRPr="008778A3">
        <w:rPr>
          <w:lang w:val="en-CA"/>
        </w:rPr>
        <w:t>.</w:t>
      </w:r>
      <w:r w:rsidR="00273DF5" w:rsidRPr="008778A3">
        <w:rPr>
          <w:lang w:val="en-CA"/>
        </w:rPr>
        <w:t xml:space="preserve"> </w:t>
      </w:r>
      <w:r w:rsidRPr="008778A3">
        <w:rPr>
          <w:lang w:val="en-CA"/>
        </w:rPr>
        <w:t>53</w:t>
      </w:r>
      <w:r w:rsidR="00A65D71">
        <w:rPr>
          <w:lang w:val="en-CA"/>
        </w:rPr>
        <w:t xml:space="preserve"> and </w:t>
      </w:r>
      <w:r w:rsidRPr="008778A3">
        <w:rPr>
          <w:lang w:val="en-CA"/>
        </w:rPr>
        <w:t>57.</w:t>
      </w:r>
    </w:p>
  </w:footnote>
  <w:footnote w:id="46">
    <w:p w14:paraId="3C4D523A" w14:textId="604E7A85" w:rsidR="00D26456" w:rsidRPr="008778A3" w:rsidRDefault="00D26456" w:rsidP="00D26456">
      <w:pPr>
        <w:pStyle w:val="Notedebasdepage"/>
        <w:rPr>
          <w:lang w:val="en-CA"/>
        </w:rPr>
      </w:pPr>
      <w:r w:rsidRPr="00E32C3F">
        <w:rPr>
          <w:rStyle w:val="Appelnotedebasdep"/>
        </w:rPr>
        <w:footnoteRef/>
      </w:r>
      <w:r w:rsidRPr="008778A3">
        <w:rPr>
          <w:lang w:val="en-CA"/>
        </w:rPr>
        <w:t xml:space="preserve"> </w:t>
      </w:r>
      <w:r w:rsidRPr="008778A3">
        <w:rPr>
          <w:lang w:val="en-CA"/>
        </w:rPr>
        <w:tab/>
      </w:r>
      <w:r w:rsidRPr="008778A3">
        <w:rPr>
          <w:i/>
          <w:iCs/>
          <w:lang w:val="en-CA"/>
        </w:rPr>
        <w:t>Skarstedt</w:t>
      </w:r>
      <w:r w:rsidRPr="008778A3">
        <w:rPr>
          <w:lang w:val="en-CA"/>
        </w:rPr>
        <w:t>,</w:t>
      </w:r>
      <w:r w:rsidRPr="008778A3">
        <w:rPr>
          <w:i/>
          <w:iCs/>
          <w:lang w:val="en-CA"/>
        </w:rPr>
        <w:t xml:space="preserve"> supra </w:t>
      </w:r>
      <w:r w:rsidRPr="008778A3">
        <w:rPr>
          <w:lang w:val="en-CA"/>
        </w:rPr>
        <w:t xml:space="preserve">note </w:t>
      </w:r>
      <w:r w:rsidRPr="00E32C3F">
        <w:fldChar w:fldCharType="begin"/>
      </w:r>
      <w:r w:rsidRPr="008778A3">
        <w:rPr>
          <w:lang w:val="en-CA"/>
        </w:rPr>
        <w:instrText xml:space="preserve"> NOTEREF _Ref127800784 \h  \* MERGEFORMAT </w:instrText>
      </w:r>
      <w:r w:rsidRPr="00E32C3F">
        <w:fldChar w:fldCharType="separate"/>
      </w:r>
      <w:r w:rsidRPr="008778A3">
        <w:rPr>
          <w:lang w:val="en-CA"/>
        </w:rPr>
        <w:t>34</w:t>
      </w:r>
      <w:r w:rsidRPr="00E32C3F">
        <w:fldChar w:fldCharType="end"/>
      </w:r>
      <w:r w:rsidRPr="008778A3">
        <w:rPr>
          <w:lang w:val="en-CA"/>
        </w:rPr>
        <w:t xml:space="preserve"> at para.</w:t>
      </w:r>
      <w:r w:rsidR="00273DF5" w:rsidRPr="008778A3">
        <w:rPr>
          <w:lang w:val="en-CA"/>
        </w:rPr>
        <w:t xml:space="preserve"> </w:t>
      </w:r>
      <w:r w:rsidRPr="008778A3">
        <w:rPr>
          <w:lang w:val="en-CA"/>
        </w:rPr>
        <w:t>31.</w:t>
      </w:r>
    </w:p>
  </w:footnote>
  <w:footnote w:id="47">
    <w:p w14:paraId="312C97EB" w14:textId="46D41435" w:rsidR="00D26456" w:rsidRPr="00D951B2" w:rsidRDefault="00D26456" w:rsidP="00D26456">
      <w:pPr>
        <w:pStyle w:val="Notedebasdepage"/>
        <w:rPr>
          <w:lang w:val="en-CA"/>
        </w:rPr>
      </w:pPr>
      <w:r w:rsidRPr="00E32C3F">
        <w:rPr>
          <w:rStyle w:val="Appelnotedebasdep"/>
        </w:rPr>
        <w:footnoteRef/>
      </w:r>
      <w:r w:rsidRPr="008778A3">
        <w:rPr>
          <w:lang w:val="en-CA"/>
        </w:rPr>
        <w:t xml:space="preserve"> </w:t>
      </w:r>
      <w:r w:rsidRPr="008778A3">
        <w:rPr>
          <w:lang w:val="en-CA"/>
        </w:rPr>
        <w:tab/>
      </w:r>
      <w:r w:rsidRPr="008778A3">
        <w:rPr>
          <w:i/>
          <w:iCs/>
          <w:lang w:val="en-CA"/>
        </w:rPr>
        <w:t>Volkswagen</w:t>
      </w:r>
      <w:r w:rsidRPr="008778A3">
        <w:rPr>
          <w:lang w:val="en-CA"/>
        </w:rPr>
        <w:t>,</w:t>
      </w:r>
      <w:r w:rsidRPr="008778A3">
        <w:rPr>
          <w:i/>
          <w:iCs/>
          <w:lang w:val="en-CA"/>
        </w:rPr>
        <w:t xml:space="preserve"> supra</w:t>
      </w:r>
      <w:r w:rsidR="00273DF5" w:rsidRPr="008778A3">
        <w:rPr>
          <w:i/>
          <w:iCs/>
          <w:lang w:val="en-CA"/>
        </w:rPr>
        <w:t xml:space="preserve"> </w:t>
      </w:r>
      <w:r w:rsidRPr="008778A3">
        <w:rPr>
          <w:lang w:val="en-CA"/>
        </w:rPr>
        <w:t xml:space="preserve">note </w:t>
      </w:r>
      <w:r w:rsidRPr="00E32C3F">
        <w:fldChar w:fldCharType="begin"/>
      </w:r>
      <w:r w:rsidRPr="008778A3">
        <w:rPr>
          <w:lang w:val="en-CA"/>
        </w:rPr>
        <w:instrText xml:space="preserve"> NOTEREF _Ref127801212 \h  \* MERGEFORMAT </w:instrText>
      </w:r>
      <w:r w:rsidRPr="00E32C3F">
        <w:fldChar w:fldCharType="separate"/>
      </w:r>
      <w:r w:rsidRPr="008778A3">
        <w:rPr>
          <w:lang w:val="en-CA"/>
        </w:rPr>
        <w:t>25</w:t>
      </w:r>
      <w:r w:rsidRPr="00E32C3F">
        <w:fldChar w:fldCharType="end"/>
      </w:r>
      <w:r w:rsidRPr="008778A3">
        <w:rPr>
          <w:lang w:val="en-CA"/>
        </w:rPr>
        <w:t xml:space="preserve"> at para</w:t>
      </w:r>
      <w:r w:rsidR="00C61BD5">
        <w:rPr>
          <w:lang w:val="en-CA"/>
        </w:rPr>
        <w:t>s</w:t>
      </w:r>
      <w:r w:rsidRPr="008778A3">
        <w:rPr>
          <w:lang w:val="en-CA"/>
        </w:rPr>
        <w:t>.</w:t>
      </w:r>
      <w:r w:rsidR="00273DF5" w:rsidRPr="008778A3">
        <w:rPr>
          <w:lang w:val="en-CA"/>
        </w:rPr>
        <w:t xml:space="preserve"> </w:t>
      </w:r>
      <w:r w:rsidRPr="00D951B2">
        <w:rPr>
          <w:lang w:val="en-CA"/>
        </w:rPr>
        <w:t>95</w:t>
      </w:r>
      <w:r w:rsidR="00687DAA" w:rsidRPr="00D951B2">
        <w:rPr>
          <w:lang w:val="en-CA"/>
        </w:rPr>
        <w:t>–</w:t>
      </w:r>
      <w:r w:rsidRPr="00D951B2">
        <w:rPr>
          <w:lang w:val="en-CA"/>
        </w:rPr>
        <w:t>101.</w:t>
      </w:r>
    </w:p>
  </w:footnote>
  <w:footnote w:id="48">
    <w:p w14:paraId="401DD7DA" w14:textId="2299D8A5" w:rsidR="00D26456" w:rsidRPr="00D951B2" w:rsidRDefault="00D26456" w:rsidP="00D26456">
      <w:pPr>
        <w:pStyle w:val="Notedebasdepage"/>
        <w:rPr>
          <w:lang w:val="en-CA"/>
        </w:rPr>
      </w:pPr>
      <w:r w:rsidRPr="00E32C3F">
        <w:rPr>
          <w:rStyle w:val="Appelnotedebasdep"/>
        </w:rPr>
        <w:footnoteRef/>
      </w:r>
      <w:r w:rsidRPr="00D951B2">
        <w:rPr>
          <w:lang w:val="en-CA"/>
        </w:rPr>
        <w:t xml:space="preserve"> </w:t>
      </w:r>
      <w:r w:rsidRPr="00D951B2">
        <w:rPr>
          <w:lang w:val="en-CA"/>
        </w:rPr>
        <w:tab/>
      </w:r>
      <w:r w:rsidRPr="00D951B2">
        <w:rPr>
          <w:i/>
          <w:iCs/>
          <w:lang w:val="en-CA"/>
        </w:rPr>
        <w:t>Rahmani c. Groupe Adonis inc</w:t>
      </w:r>
      <w:r w:rsidRPr="00D951B2">
        <w:rPr>
          <w:lang w:val="en-CA"/>
        </w:rPr>
        <w:t>., 2021 QCCS 2616 at para</w:t>
      </w:r>
      <w:r w:rsidR="00687DAA" w:rsidRPr="00D951B2">
        <w:rPr>
          <w:lang w:val="en-CA"/>
        </w:rPr>
        <w:t>s</w:t>
      </w:r>
      <w:r w:rsidRPr="00D951B2">
        <w:rPr>
          <w:lang w:val="en-CA"/>
        </w:rPr>
        <w:t>.</w:t>
      </w:r>
      <w:r w:rsidR="00273DF5" w:rsidRPr="00D951B2">
        <w:rPr>
          <w:lang w:val="en-CA"/>
        </w:rPr>
        <w:t xml:space="preserve"> </w:t>
      </w:r>
      <w:r w:rsidRPr="00D951B2">
        <w:rPr>
          <w:lang w:val="en-CA"/>
        </w:rPr>
        <w:t>60</w:t>
      </w:r>
      <w:r w:rsidR="00687DAA" w:rsidRPr="00D951B2">
        <w:rPr>
          <w:lang w:val="en-CA"/>
        </w:rPr>
        <w:t>–</w:t>
      </w:r>
      <w:r w:rsidRPr="00D951B2">
        <w:rPr>
          <w:lang w:val="en-CA"/>
        </w:rPr>
        <w:t>61.</w:t>
      </w:r>
    </w:p>
  </w:footnote>
  <w:footnote w:id="49">
    <w:p w14:paraId="3CD08565" w14:textId="3A73C268" w:rsidR="00D26456" w:rsidRPr="00D951B2" w:rsidRDefault="00D26456" w:rsidP="00D26456">
      <w:pPr>
        <w:pStyle w:val="Notedebasdepage"/>
        <w:rPr>
          <w:lang w:val="en-CA"/>
        </w:rPr>
      </w:pPr>
      <w:r w:rsidRPr="00E32C3F">
        <w:rPr>
          <w:rStyle w:val="Appelnotedebasdep"/>
        </w:rPr>
        <w:footnoteRef/>
      </w:r>
      <w:r w:rsidRPr="00D951B2">
        <w:rPr>
          <w:lang w:val="en-CA"/>
        </w:rPr>
        <w:t xml:space="preserve"> </w:t>
      </w:r>
      <w:r w:rsidRPr="00D951B2">
        <w:rPr>
          <w:lang w:val="en-CA"/>
        </w:rPr>
        <w:tab/>
        <w:t xml:space="preserve">Piché, </w:t>
      </w:r>
      <w:r w:rsidRPr="00D951B2">
        <w:rPr>
          <w:i/>
          <w:iCs/>
          <w:lang w:val="en-CA"/>
        </w:rPr>
        <w:t>supra</w:t>
      </w:r>
      <w:r w:rsidRPr="00D951B2">
        <w:rPr>
          <w:lang w:val="en-CA"/>
        </w:rPr>
        <w:t xml:space="preserve"> note </w:t>
      </w:r>
      <w:r w:rsidRPr="00E32C3F">
        <w:fldChar w:fldCharType="begin"/>
      </w:r>
      <w:r w:rsidRPr="00D951B2">
        <w:rPr>
          <w:lang w:val="en-CA"/>
        </w:rPr>
        <w:instrText xml:space="preserve"> NOTEREF _Ref128128055 \h  \* MERGEFORMAT </w:instrText>
      </w:r>
      <w:r w:rsidRPr="00E32C3F">
        <w:fldChar w:fldCharType="separate"/>
      </w:r>
      <w:r w:rsidRPr="00D951B2">
        <w:rPr>
          <w:lang w:val="en-CA"/>
        </w:rPr>
        <w:t>36</w:t>
      </w:r>
      <w:r w:rsidRPr="00E32C3F">
        <w:fldChar w:fldCharType="end"/>
      </w:r>
      <w:r w:rsidR="00CF7552" w:rsidRPr="00D951B2">
        <w:rPr>
          <w:lang w:val="en-CA"/>
        </w:rPr>
        <w:t xml:space="preserve"> at</w:t>
      </w:r>
      <w:r w:rsidRPr="00D951B2">
        <w:rPr>
          <w:lang w:val="en-CA"/>
        </w:rPr>
        <w:t xml:space="preserve"> 236.</w:t>
      </w:r>
    </w:p>
  </w:footnote>
  <w:footnote w:id="50">
    <w:p w14:paraId="0FC45BA7" w14:textId="028EEFC7" w:rsidR="002E7C51" w:rsidRPr="008778A3" w:rsidRDefault="00354272" w:rsidP="002E7C51">
      <w:pPr>
        <w:pStyle w:val="Notedebasdepage"/>
        <w:rPr>
          <w:lang w:val="en-CA"/>
        </w:rPr>
      </w:pPr>
      <w:r w:rsidRPr="00E32C3F">
        <w:rPr>
          <w:rStyle w:val="Appelnotedebasdep"/>
        </w:rPr>
        <w:footnoteRef/>
      </w:r>
      <w:r w:rsidRPr="00D951B2">
        <w:rPr>
          <w:lang w:val="en-CA"/>
        </w:rPr>
        <w:t xml:space="preserve"> </w:t>
      </w:r>
      <w:r w:rsidRPr="00D951B2">
        <w:rPr>
          <w:lang w:val="en-CA"/>
        </w:rPr>
        <w:tab/>
      </w:r>
      <w:r w:rsidRPr="00D951B2">
        <w:rPr>
          <w:i/>
          <w:iCs/>
          <w:lang w:val="en-CA"/>
        </w:rPr>
        <w:t>Pellemans</w:t>
      </w:r>
      <w:r w:rsidRPr="00D951B2">
        <w:rPr>
          <w:lang w:val="en-CA"/>
        </w:rPr>
        <w:t>,</w:t>
      </w:r>
      <w:r w:rsidRPr="00D951B2">
        <w:rPr>
          <w:i/>
          <w:iCs/>
          <w:lang w:val="en-CA"/>
        </w:rPr>
        <w:t xml:space="preserve"> supra </w:t>
      </w:r>
      <w:r w:rsidRPr="00D951B2">
        <w:rPr>
          <w:lang w:val="en-CA"/>
        </w:rPr>
        <w:t xml:space="preserve">note </w:t>
      </w:r>
      <w:r w:rsidRPr="00E32C3F">
        <w:fldChar w:fldCharType="begin"/>
      </w:r>
      <w:r w:rsidRPr="00D951B2">
        <w:rPr>
          <w:lang w:val="en-CA"/>
        </w:rPr>
        <w:instrText xml:space="preserve"> NOTEREF _Ref127799635 \h  \* MERGEFORMAT </w:instrText>
      </w:r>
      <w:r w:rsidRPr="00E32C3F">
        <w:fldChar w:fldCharType="separate"/>
      </w:r>
      <w:r w:rsidR="00F141C2" w:rsidRPr="00D951B2">
        <w:rPr>
          <w:lang w:val="en-CA"/>
        </w:rPr>
        <w:t>26</w:t>
      </w:r>
      <w:r w:rsidRPr="00E32C3F">
        <w:fldChar w:fldCharType="end"/>
      </w:r>
      <w:r w:rsidR="00D65514" w:rsidRPr="00D951B2">
        <w:rPr>
          <w:lang w:val="en-CA"/>
        </w:rPr>
        <w:t xml:space="preserve"> at para.</w:t>
      </w:r>
      <w:r w:rsidR="00CF3B59" w:rsidRPr="00D951B2">
        <w:rPr>
          <w:lang w:val="en-CA"/>
        </w:rPr>
        <w:t xml:space="preserve"> </w:t>
      </w:r>
      <w:r w:rsidRPr="008778A3">
        <w:rPr>
          <w:lang w:val="en-CA"/>
        </w:rPr>
        <w:t xml:space="preserve">65. </w:t>
      </w:r>
      <w:r w:rsidR="00687DAA" w:rsidRPr="008778A3">
        <w:rPr>
          <w:lang w:val="en-CA"/>
        </w:rPr>
        <w:t xml:space="preserve">See also </w:t>
      </w:r>
      <w:r w:rsidRPr="008778A3">
        <w:rPr>
          <w:lang w:val="en-CA"/>
        </w:rPr>
        <w:t xml:space="preserve">Lafond, </w:t>
      </w:r>
      <w:r w:rsidRPr="008778A3">
        <w:rPr>
          <w:i/>
          <w:iCs/>
          <w:lang w:val="en-CA"/>
        </w:rPr>
        <w:t xml:space="preserve">supra </w:t>
      </w:r>
      <w:r w:rsidRPr="008778A3">
        <w:rPr>
          <w:lang w:val="en-CA"/>
        </w:rPr>
        <w:t xml:space="preserve">note </w:t>
      </w:r>
      <w:r w:rsidRPr="00E32C3F">
        <w:fldChar w:fldCharType="begin"/>
      </w:r>
      <w:r w:rsidRPr="008778A3">
        <w:rPr>
          <w:lang w:val="en-CA"/>
        </w:rPr>
        <w:instrText xml:space="preserve"> NOTEREF _Ref128385038 \h  \* MERGEFORMAT </w:instrText>
      </w:r>
      <w:r w:rsidRPr="00E32C3F">
        <w:fldChar w:fldCharType="separate"/>
      </w:r>
      <w:r w:rsidR="00F141C2" w:rsidRPr="008778A3">
        <w:rPr>
          <w:lang w:val="en-CA"/>
        </w:rPr>
        <w:t>42</w:t>
      </w:r>
      <w:r w:rsidRPr="00E32C3F">
        <w:fldChar w:fldCharType="end"/>
      </w:r>
      <w:r w:rsidR="00687DAA" w:rsidRPr="008778A3">
        <w:rPr>
          <w:lang w:val="en-CA"/>
        </w:rPr>
        <w:t xml:space="preserve"> at</w:t>
      </w:r>
      <w:r w:rsidRPr="008778A3">
        <w:rPr>
          <w:lang w:val="en-CA"/>
        </w:rPr>
        <w:t> 288</w:t>
      </w:r>
      <w:r w:rsidR="00687DAA" w:rsidRPr="008778A3">
        <w:rPr>
          <w:lang w:val="en-CA"/>
        </w:rPr>
        <w:t>–</w:t>
      </w:r>
      <w:r w:rsidRPr="008778A3">
        <w:rPr>
          <w:lang w:val="en-CA"/>
        </w:rPr>
        <w:t>289.</w:t>
      </w:r>
    </w:p>
  </w:footnote>
  <w:footnote w:id="51">
    <w:p w14:paraId="7AFCC625" w14:textId="7388DF22" w:rsidR="002E7C51" w:rsidRPr="008778A3" w:rsidRDefault="00354272" w:rsidP="002E7C51">
      <w:pPr>
        <w:pStyle w:val="Notedebasdepage"/>
        <w:rPr>
          <w:lang w:val="en-CA"/>
        </w:rPr>
      </w:pPr>
      <w:r w:rsidRPr="00E32C3F">
        <w:rPr>
          <w:rStyle w:val="Appelnotedebasdep"/>
        </w:rPr>
        <w:footnoteRef/>
      </w:r>
      <w:r w:rsidRPr="00626A76">
        <w:rPr>
          <w:lang w:val="es-CL"/>
        </w:rPr>
        <w:t xml:space="preserve">  </w:t>
      </w:r>
      <w:r w:rsidRPr="00626A76">
        <w:rPr>
          <w:lang w:val="es-CL"/>
        </w:rPr>
        <w:tab/>
      </w:r>
      <w:r w:rsidRPr="00626A76">
        <w:rPr>
          <w:i/>
          <w:iCs/>
          <w:lang w:val="es-CL"/>
        </w:rPr>
        <w:t>Banque Amex</w:t>
      </w:r>
      <w:r w:rsidRPr="00626A76">
        <w:rPr>
          <w:lang w:val="es-CL"/>
        </w:rPr>
        <w:t>,</w:t>
      </w:r>
      <w:r w:rsidRPr="00626A76">
        <w:rPr>
          <w:i/>
          <w:iCs/>
          <w:lang w:val="es-CL"/>
        </w:rPr>
        <w:t xml:space="preserve"> supra</w:t>
      </w:r>
      <w:r w:rsidR="00687DAA" w:rsidRPr="00626A76">
        <w:rPr>
          <w:lang w:val="es-CL"/>
        </w:rPr>
        <w:t xml:space="preserve"> </w:t>
      </w:r>
      <w:r w:rsidRPr="00626A76">
        <w:rPr>
          <w:lang w:val="es-CL"/>
        </w:rPr>
        <w:t>note</w:t>
      </w:r>
      <w:r w:rsidRPr="00626A76">
        <w:rPr>
          <w:i/>
          <w:iCs/>
          <w:lang w:val="es-CL"/>
        </w:rPr>
        <w:t xml:space="preserve"> </w:t>
      </w:r>
      <w:r w:rsidRPr="00E32C3F">
        <w:fldChar w:fldCharType="begin"/>
      </w:r>
      <w:r w:rsidRPr="00626A76">
        <w:rPr>
          <w:lang w:val="es-CL"/>
        </w:rPr>
        <w:instrText xml:space="preserve"> NOTEREF _Ref128402085 \h  \* MERGEFORMAT </w:instrText>
      </w:r>
      <w:r w:rsidRPr="00E32C3F">
        <w:fldChar w:fldCharType="separate"/>
      </w:r>
      <w:r w:rsidR="00F141C2" w:rsidRPr="00626A76">
        <w:rPr>
          <w:lang w:val="es-CL"/>
        </w:rPr>
        <w:t>24</w:t>
      </w:r>
      <w:r w:rsidRPr="00E32C3F">
        <w:fldChar w:fldCharType="end"/>
      </w:r>
      <w:r w:rsidR="00D65514" w:rsidRPr="00626A76">
        <w:rPr>
          <w:lang w:val="es-CL"/>
        </w:rPr>
        <w:t xml:space="preserve"> at para.</w:t>
      </w:r>
      <w:r w:rsidR="00CF3B59" w:rsidRPr="00626A76">
        <w:rPr>
          <w:lang w:val="es-CL"/>
        </w:rPr>
        <w:t xml:space="preserve"> </w:t>
      </w:r>
      <w:r w:rsidRPr="008778A3">
        <w:rPr>
          <w:lang w:val="en-CA"/>
        </w:rPr>
        <w:t>66.</w:t>
      </w:r>
    </w:p>
  </w:footnote>
  <w:footnote w:id="52">
    <w:p w14:paraId="4E4A6749" w14:textId="05E05804" w:rsidR="002E7C51" w:rsidRPr="008778A3" w:rsidRDefault="00354272" w:rsidP="002E7C51">
      <w:pPr>
        <w:pStyle w:val="Notedebasdepage"/>
        <w:rPr>
          <w:lang w:val="en-CA"/>
        </w:rPr>
      </w:pPr>
      <w:r w:rsidRPr="00E32C3F">
        <w:rPr>
          <w:rStyle w:val="Appelnotedebasdep"/>
        </w:rPr>
        <w:footnoteRef/>
      </w:r>
      <w:r w:rsidRPr="008778A3">
        <w:rPr>
          <w:lang w:val="en-CA"/>
        </w:rPr>
        <w:t xml:space="preserve"> </w:t>
      </w:r>
      <w:r w:rsidRPr="008778A3">
        <w:rPr>
          <w:lang w:val="en-CA"/>
        </w:rPr>
        <w:tab/>
      </w:r>
      <w:r w:rsidRPr="004A70D3">
        <w:rPr>
          <w:i/>
          <w:iCs/>
          <w:lang w:val="en-CA"/>
        </w:rPr>
        <w:t>Pellemans</w:t>
      </w:r>
      <w:r w:rsidRPr="004A70D3">
        <w:rPr>
          <w:lang w:val="en-CA"/>
        </w:rPr>
        <w:t>,</w:t>
      </w:r>
      <w:r w:rsidRPr="004A70D3">
        <w:rPr>
          <w:i/>
          <w:iCs/>
          <w:lang w:val="en-CA"/>
        </w:rPr>
        <w:t xml:space="preserve"> supra</w:t>
      </w:r>
      <w:r w:rsidR="00687DAA" w:rsidRPr="004A70D3">
        <w:rPr>
          <w:i/>
          <w:iCs/>
          <w:lang w:val="en-CA"/>
        </w:rPr>
        <w:t xml:space="preserve"> </w:t>
      </w:r>
      <w:r w:rsidRPr="004A70D3">
        <w:rPr>
          <w:lang w:val="en-CA"/>
        </w:rPr>
        <w:t xml:space="preserve">note </w:t>
      </w:r>
      <w:r w:rsidRPr="004A70D3">
        <w:rPr>
          <w:lang w:val="en-CA"/>
        </w:rPr>
        <w:fldChar w:fldCharType="begin"/>
      </w:r>
      <w:r w:rsidRPr="004A70D3">
        <w:rPr>
          <w:lang w:val="en-CA"/>
        </w:rPr>
        <w:instrText xml:space="preserve"> NOTEREF _Ref127799635 \h  \* MERGEFORMAT </w:instrText>
      </w:r>
      <w:r w:rsidRPr="004A70D3">
        <w:rPr>
          <w:lang w:val="en-CA"/>
        </w:rPr>
      </w:r>
      <w:r w:rsidRPr="004A70D3">
        <w:rPr>
          <w:lang w:val="en-CA"/>
        </w:rPr>
        <w:fldChar w:fldCharType="separate"/>
      </w:r>
      <w:r w:rsidR="00F141C2" w:rsidRPr="004A70D3">
        <w:rPr>
          <w:lang w:val="en-CA"/>
        </w:rPr>
        <w:t>26</w:t>
      </w:r>
      <w:r w:rsidRPr="004A70D3">
        <w:rPr>
          <w:lang w:val="en-CA"/>
        </w:rPr>
        <w:fldChar w:fldCharType="end"/>
      </w:r>
      <w:r w:rsidRPr="004A70D3">
        <w:rPr>
          <w:lang w:val="en-CA"/>
        </w:rPr>
        <w:t xml:space="preserve"> (</w:t>
      </w:r>
      <w:r w:rsidR="00EE4CE9" w:rsidRPr="004A70D3">
        <w:rPr>
          <w:lang w:val="en-CA"/>
        </w:rPr>
        <w:t>professional fees of $11,000,000 approved</w:t>
      </w:r>
      <w:r w:rsidRPr="004A70D3">
        <w:rPr>
          <w:lang w:val="en-CA"/>
        </w:rPr>
        <w:t xml:space="preserve"> </w:t>
      </w:r>
      <w:r w:rsidR="00EE4CE9" w:rsidRPr="004A70D3">
        <w:rPr>
          <w:lang w:val="en-CA"/>
        </w:rPr>
        <w:t>versus</w:t>
      </w:r>
      <w:r w:rsidRPr="004A70D3">
        <w:rPr>
          <w:lang w:val="en-CA"/>
        </w:rPr>
        <w:t xml:space="preserve"> </w:t>
      </w:r>
      <w:r w:rsidR="00EE4CE9" w:rsidRPr="004A70D3">
        <w:rPr>
          <w:lang w:val="en-CA"/>
        </w:rPr>
        <w:t>professional fees of</w:t>
      </w:r>
      <w:r w:rsidRPr="004A70D3">
        <w:rPr>
          <w:lang w:val="en-CA"/>
        </w:rPr>
        <w:t xml:space="preserve"> </w:t>
      </w:r>
      <w:r w:rsidR="00EE4CE9" w:rsidRPr="004A70D3">
        <w:rPr>
          <w:lang w:val="en-CA"/>
        </w:rPr>
        <w:t>$</w:t>
      </w:r>
      <w:r w:rsidRPr="004A70D3">
        <w:rPr>
          <w:lang w:val="en-CA"/>
        </w:rPr>
        <w:t>2</w:t>
      </w:r>
      <w:r w:rsidR="00EE4CE9" w:rsidRPr="004A70D3">
        <w:rPr>
          <w:lang w:val="en-CA"/>
        </w:rPr>
        <w:t>,</w:t>
      </w:r>
      <w:r w:rsidRPr="004A70D3">
        <w:rPr>
          <w:lang w:val="en-CA"/>
        </w:rPr>
        <w:t>400</w:t>
      </w:r>
      <w:r w:rsidR="00EE4CE9" w:rsidRPr="004A70D3">
        <w:rPr>
          <w:lang w:val="en-CA"/>
        </w:rPr>
        <w:t>,</w:t>
      </w:r>
      <w:r w:rsidRPr="004A70D3">
        <w:rPr>
          <w:lang w:val="en-CA"/>
        </w:rPr>
        <w:t>000 </w:t>
      </w:r>
      <w:r w:rsidR="000C4C29" w:rsidRPr="000C4C29">
        <w:rPr>
          <w:lang w:val="en-CA"/>
        </w:rPr>
        <w:t>using</w:t>
      </w:r>
      <w:r w:rsidR="00891A29" w:rsidRPr="004A70D3">
        <w:rPr>
          <w:lang w:val="en-CA"/>
        </w:rPr>
        <w:t xml:space="preserve"> the hourly rate formula</w:t>
      </w:r>
      <w:r w:rsidRPr="004A70D3">
        <w:rPr>
          <w:lang w:val="en-CA"/>
        </w:rPr>
        <w:t>).</w:t>
      </w:r>
    </w:p>
  </w:footnote>
  <w:footnote w:id="53">
    <w:p w14:paraId="4BC6784C" w14:textId="6B60FF61" w:rsidR="00783D9F" w:rsidRPr="00D951B2" w:rsidRDefault="00783D9F" w:rsidP="00783D9F">
      <w:pPr>
        <w:pStyle w:val="Notedebasdepage"/>
        <w:rPr>
          <w:lang w:val="en-CA"/>
        </w:rPr>
      </w:pPr>
      <w:r w:rsidRPr="00E32C3F">
        <w:rPr>
          <w:rStyle w:val="Appelnotedebasdep"/>
        </w:rPr>
        <w:footnoteRef/>
      </w:r>
      <w:r w:rsidRPr="00D951B2">
        <w:rPr>
          <w:lang w:val="en-CA"/>
        </w:rPr>
        <w:t xml:space="preserve">  </w:t>
      </w:r>
      <w:r w:rsidRPr="00D951B2">
        <w:rPr>
          <w:lang w:val="en-CA"/>
        </w:rPr>
        <w:tab/>
      </w:r>
      <w:r w:rsidRPr="00D951B2">
        <w:rPr>
          <w:i/>
          <w:iCs/>
          <w:lang w:val="en-CA"/>
        </w:rPr>
        <w:t>Pellemans</w:t>
      </w:r>
      <w:r w:rsidRPr="00D951B2">
        <w:rPr>
          <w:lang w:val="en-CA"/>
        </w:rPr>
        <w:t xml:space="preserve">, </w:t>
      </w:r>
      <w:r w:rsidR="00687DAA" w:rsidRPr="00D951B2">
        <w:rPr>
          <w:i/>
          <w:iCs/>
          <w:lang w:val="en-CA"/>
        </w:rPr>
        <w:t xml:space="preserve">supra </w:t>
      </w:r>
      <w:r w:rsidR="00687DAA" w:rsidRPr="00D951B2">
        <w:rPr>
          <w:lang w:val="en-CA"/>
        </w:rPr>
        <w:t>note</w:t>
      </w:r>
      <w:r w:rsidRPr="00D951B2">
        <w:rPr>
          <w:lang w:val="en-CA"/>
        </w:rPr>
        <w:t xml:space="preserve"> </w:t>
      </w:r>
      <w:r w:rsidRPr="00E32C3F">
        <w:fldChar w:fldCharType="begin"/>
      </w:r>
      <w:r w:rsidRPr="00D951B2">
        <w:rPr>
          <w:lang w:val="en-CA"/>
        </w:rPr>
        <w:instrText xml:space="preserve"> NOTEREF _Ref127799635 \h  \* MERGEFORMAT </w:instrText>
      </w:r>
      <w:r w:rsidRPr="00E32C3F">
        <w:fldChar w:fldCharType="separate"/>
      </w:r>
      <w:r w:rsidRPr="00D951B2">
        <w:rPr>
          <w:lang w:val="en-CA"/>
        </w:rPr>
        <w:t>26</w:t>
      </w:r>
      <w:r w:rsidRPr="00E32C3F">
        <w:fldChar w:fldCharType="end"/>
      </w:r>
      <w:r w:rsidRPr="00D951B2">
        <w:rPr>
          <w:lang w:val="en-CA"/>
        </w:rPr>
        <w:t xml:space="preserve"> at para.</w:t>
      </w:r>
      <w:r w:rsidR="00637E3A" w:rsidRPr="00D951B2">
        <w:rPr>
          <w:lang w:val="en-CA"/>
        </w:rPr>
        <w:t xml:space="preserve"> </w:t>
      </w:r>
      <w:r w:rsidRPr="00D951B2">
        <w:rPr>
          <w:lang w:val="en-CA"/>
        </w:rPr>
        <w:t>76.</w:t>
      </w:r>
    </w:p>
  </w:footnote>
  <w:footnote w:id="54">
    <w:p w14:paraId="3BDA48F4" w14:textId="4A9CC7D8" w:rsidR="002E7C51" w:rsidRPr="00D951B2" w:rsidRDefault="00354272" w:rsidP="002E7C51">
      <w:pPr>
        <w:pStyle w:val="Notedebasdepage"/>
        <w:rPr>
          <w:lang w:val="en-CA"/>
        </w:rPr>
      </w:pPr>
      <w:r w:rsidRPr="00E32C3F">
        <w:rPr>
          <w:rStyle w:val="Appelnotedebasdep"/>
        </w:rPr>
        <w:footnoteRef/>
      </w:r>
      <w:r w:rsidRPr="00D951B2">
        <w:rPr>
          <w:lang w:val="en-CA"/>
        </w:rPr>
        <w:t xml:space="preserve">  </w:t>
      </w:r>
      <w:r w:rsidRPr="00D951B2">
        <w:rPr>
          <w:lang w:val="en-CA"/>
        </w:rPr>
        <w:tab/>
      </w:r>
      <w:r w:rsidRPr="00D951B2">
        <w:rPr>
          <w:i/>
          <w:iCs/>
          <w:lang w:val="en-CA"/>
        </w:rPr>
        <w:t>F. c. Frères du Sacré-Coeur</w:t>
      </w:r>
      <w:r w:rsidRPr="00D951B2">
        <w:rPr>
          <w:lang w:val="en-CA"/>
        </w:rPr>
        <w:t>, 2021 QCCS 3621</w:t>
      </w:r>
      <w:r w:rsidR="00D65514" w:rsidRPr="00D951B2">
        <w:rPr>
          <w:lang w:val="en-CA"/>
        </w:rPr>
        <w:t xml:space="preserve"> at para</w:t>
      </w:r>
      <w:r w:rsidR="00891A29" w:rsidRPr="00D951B2">
        <w:rPr>
          <w:lang w:val="en-CA"/>
        </w:rPr>
        <w:t>s</w:t>
      </w:r>
      <w:r w:rsidR="00D65514" w:rsidRPr="00D951B2">
        <w:rPr>
          <w:lang w:val="en-CA"/>
        </w:rPr>
        <w:t>.</w:t>
      </w:r>
      <w:r w:rsidRPr="00D951B2">
        <w:rPr>
          <w:lang w:val="en-CA"/>
        </w:rPr>
        <w:t xml:space="preserve">163, 168 </w:t>
      </w:r>
      <w:r w:rsidR="00891A29" w:rsidRPr="00D951B2">
        <w:rPr>
          <w:lang w:val="en-CA"/>
        </w:rPr>
        <w:t>and</w:t>
      </w:r>
      <w:r w:rsidRPr="00D951B2">
        <w:rPr>
          <w:lang w:val="en-CA"/>
        </w:rPr>
        <w:t xml:space="preserve"> 169; </w:t>
      </w:r>
      <w:r w:rsidR="00891A29" w:rsidRPr="00D951B2">
        <w:rPr>
          <w:lang w:val="en-CA"/>
        </w:rPr>
        <w:t>see also</w:t>
      </w:r>
      <w:r w:rsidRPr="00D951B2">
        <w:rPr>
          <w:lang w:val="en-CA"/>
        </w:rPr>
        <w:t xml:space="preserve"> </w:t>
      </w:r>
      <w:r w:rsidRPr="00D951B2">
        <w:rPr>
          <w:i/>
          <w:iCs/>
          <w:lang w:val="en-CA"/>
        </w:rPr>
        <w:t>Pellemans</w:t>
      </w:r>
      <w:r w:rsidRPr="00D951B2">
        <w:rPr>
          <w:lang w:val="en-CA"/>
        </w:rPr>
        <w:t xml:space="preserve">, </w:t>
      </w:r>
      <w:r w:rsidRPr="00D951B2">
        <w:rPr>
          <w:i/>
          <w:iCs/>
          <w:lang w:val="en-CA"/>
        </w:rPr>
        <w:t>supra</w:t>
      </w:r>
      <w:r w:rsidRPr="00D951B2">
        <w:rPr>
          <w:lang w:val="en-CA"/>
        </w:rPr>
        <w:t xml:space="preserve"> note </w:t>
      </w:r>
      <w:r w:rsidRPr="00E32C3F">
        <w:fldChar w:fldCharType="begin"/>
      </w:r>
      <w:r w:rsidRPr="00D951B2">
        <w:rPr>
          <w:lang w:val="en-CA"/>
        </w:rPr>
        <w:instrText xml:space="preserve"> NOTEREF _Ref127799635 \h  \* MERGEFORMAT </w:instrText>
      </w:r>
      <w:r w:rsidRPr="00E32C3F">
        <w:fldChar w:fldCharType="separate"/>
      </w:r>
      <w:r w:rsidR="00F141C2" w:rsidRPr="00D951B2">
        <w:rPr>
          <w:lang w:val="en-CA"/>
        </w:rPr>
        <w:t>26</w:t>
      </w:r>
      <w:r w:rsidRPr="00E32C3F">
        <w:fldChar w:fldCharType="end"/>
      </w:r>
      <w:r w:rsidR="00D65514" w:rsidRPr="00D951B2">
        <w:rPr>
          <w:lang w:val="en-CA"/>
        </w:rPr>
        <w:t xml:space="preserve"> at para.</w:t>
      </w:r>
      <w:r w:rsidR="00B606BA" w:rsidRPr="00D951B2">
        <w:rPr>
          <w:lang w:val="en-CA"/>
        </w:rPr>
        <w:t xml:space="preserve"> </w:t>
      </w:r>
      <w:r w:rsidRPr="00D951B2">
        <w:rPr>
          <w:lang w:val="en-CA"/>
        </w:rPr>
        <w:t>65.</w:t>
      </w:r>
    </w:p>
  </w:footnote>
  <w:footnote w:id="55">
    <w:p w14:paraId="1620013B" w14:textId="706AE378" w:rsidR="00783D9F" w:rsidRPr="00D951B2" w:rsidRDefault="00783D9F" w:rsidP="00783D9F">
      <w:pPr>
        <w:pStyle w:val="Notedebasdepage"/>
        <w:rPr>
          <w:lang w:val="en-CA"/>
        </w:rPr>
      </w:pPr>
      <w:r w:rsidRPr="00E32C3F">
        <w:rPr>
          <w:rStyle w:val="Appelnotedebasdep"/>
        </w:rPr>
        <w:footnoteRef/>
      </w:r>
      <w:r w:rsidRPr="00D951B2">
        <w:rPr>
          <w:lang w:val="en-CA"/>
        </w:rPr>
        <w:t xml:space="preserve">   </w:t>
      </w:r>
      <w:r w:rsidRPr="00D951B2">
        <w:rPr>
          <w:lang w:val="en-CA"/>
        </w:rPr>
        <w:tab/>
      </w:r>
      <w:r w:rsidRPr="00D951B2">
        <w:rPr>
          <w:i/>
          <w:iCs/>
          <w:lang w:val="en-CA"/>
        </w:rPr>
        <w:t>Skarstedt</w:t>
      </w:r>
      <w:r w:rsidRPr="00D951B2">
        <w:rPr>
          <w:lang w:val="en-CA"/>
        </w:rPr>
        <w:t xml:space="preserve">, </w:t>
      </w:r>
      <w:r w:rsidRPr="00D951B2">
        <w:rPr>
          <w:i/>
          <w:iCs/>
          <w:lang w:val="en-CA"/>
        </w:rPr>
        <w:t>supra</w:t>
      </w:r>
      <w:r w:rsidRPr="00D951B2">
        <w:rPr>
          <w:lang w:val="en-CA"/>
        </w:rPr>
        <w:t xml:space="preserve"> note </w:t>
      </w:r>
      <w:r>
        <w:fldChar w:fldCharType="begin"/>
      </w:r>
      <w:r w:rsidRPr="00D951B2">
        <w:rPr>
          <w:lang w:val="en-CA"/>
        </w:rPr>
        <w:instrText xml:space="preserve"> NOTEREF _Ref127800784 \h </w:instrText>
      </w:r>
      <w:r>
        <w:fldChar w:fldCharType="separate"/>
      </w:r>
      <w:r w:rsidRPr="00D951B2">
        <w:rPr>
          <w:lang w:val="en-CA"/>
        </w:rPr>
        <w:t>34</w:t>
      </w:r>
      <w:r>
        <w:fldChar w:fldCharType="end"/>
      </w:r>
      <w:r w:rsidRPr="00D951B2">
        <w:rPr>
          <w:lang w:val="en-CA"/>
        </w:rPr>
        <w:t xml:space="preserve"> at para.</w:t>
      </w:r>
      <w:r w:rsidR="00B25E4F" w:rsidRPr="00D951B2">
        <w:rPr>
          <w:lang w:val="en-CA"/>
        </w:rPr>
        <w:t xml:space="preserve"> </w:t>
      </w:r>
      <w:r w:rsidRPr="00D951B2">
        <w:rPr>
          <w:lang w:val="en-CA"/>
        </w:rPr>
        <w:t>35.</w:t>
      </w:r>
    </w:p>
  </w:footnote>
  <w:footnote w:id="56">
    <w:p w14:paraId="5684F234" w14:textId="23B5D692" w:rsidR="00783D9F" w:rsidRPr="008778A3" w:rsidRDefault="00783D9F" w:rsidP="00783D9F">
      <w:pPr>
        <w:pStyle w:val="Notedebasdepage"/>
        <w:rPr>
          <w:lang w:val="en-CA"/>
        </w:rPr>
      </w:pPr>
      <w:r w:rsidRPr="00E32C3F">
        <w:rPr>
          <w:rStyle w:val="Appelnotedebasdep"/>
        </w:rPr>
        <w:footnoteRef/>
      </w:r>
      <w:r w:rsidRPr="00D951B2">
        <w:rPr>
          <w:lang w:val="en-CA"/>
        </w:rPr>
        <w:t xml:space="preserve"> </w:t>
      </w:r>
      <w:r w:rsidRPr="00D951B2">
        <w:rPr>
          <w:lang w:val="en-CA"/>
        </w:rPr>
        <w:tab/>
      </w:r>
      <w:r w:rsidRPr="00D951B2">
        <w:rPr>
          <w:i/>
          <w:iCs/>
          <w:lang w:val="en-CA"/>
        </w:rPr>
        <w:t>BGA inc. c. Banque de Montréal</w:t>
      </w:r>
      <w:r w:rsidRPr="00D951B2">
        <w:rPr>
          <w:lang w:val="en-CA"/>
        </w:rPr>
        <w:t>, 2022 QCCA 140 at para</w:t>
      </w:r>
      <w:r w:rsidR="00422128" w:rsidRPr="00D951B2">
        <w:rPr>
          <w:lang w:val="en-CA"/>
        </w:rPr>
        <w:t>s</w:t>
      </w:r>
      <w:r w:rsidRPr="00D951B2">
        <w:rPr>
          <w:lang w:val="en-CA"/>
        </w:rPr>
        <w:t>.</w:t>
      </w:r>
      <w:r w:rsidR="00637E3A" w:rsidRPr="00D951B2">
        <w:rPr>
          <w:lang w:val="en-CA"/>
        </w:rPr>
        <w:t xml:space="preserve"> </w:t>
      </w:r>
      <w:r w:rsidRPr="00D951B2">
        <w:rPr>
          <w:lang w:val="en-CA"/>
        </w:rPr>
        <w:t>4</w:t>
      </w:r>
      <w:r w:rsidR="00E3546D">
        <w:rPr>
          <w:lang w:val="en-CA"/>
        </w:rPr>
        <w:t>–</w:t>
      </w:r>
      <w:r w:rsidRPr="00D951B2">
        <w:rPr>
          <w:lang w:val="en-CA"/>
        </w:rPr>
        <w:t xml:space="preserve">5; </w:t>
      </w:r>
      <w:r w:rsidRPr="00D951B2">
        <w:rPr>
          <w:i/>
          <w:iCs/>
          <w:lang w:val="en-CA"/>
        </w:rPr>
        <w:t>Banque Amex</w:t>
      </w:r>
      <w:r w:rsidRPr="00D951B2">
        <w:rPr>
          <w:lang w:val="en-CA"/>
        </w:rPr>
        <w:t>,</w:t>
      </w:r>
      <w:r w:rsidRPr="00D951B2">
        <w:rPr>
          <w:i/>
          <w:iCs/>
          <w:lang w:val="en-CA"/>
        </w:rPr>
        <w:t xml:space="preserve"> supra </w:t>
      </w:r>
      <w:r w:rsidRPr="00D951B2">
        <w:rPr>
          <w:lang w:val="en-CA"/>
        </w:rPr>
        <w:t xml:space="preserve">note </w:t>
      </w:r>
      <w:r w:rsidRPr="00E32C3F">
        <w:fldChar w:fldCharType="begin"/>
      </w:r>
      <w:r w:rsidRPr="00D951B2">
        <w:rPr>
          <w:lang w:val="en-CA"/>
        </w:rPr>
        <w:instrText xml:space="preserve"> NOTEREF _Ref128402085 \h  \* MERGEFORMAT </w:instrText>
      </w:r>
      <w:r w:rsidRPr="00E32C3F">
        <w:fldChar w:fldCharType="separate"/>
      </w:r>
      <w:r w:rsidRPr="00D951B2">
        <w:rPr>
          <w:lang w:val="en-CA"/>
        </w:rPr>
        <w:t>24</w:t>
      </w:r>
      <w:r w:rsidRPr="00E32C3F">
        <w:fldChar w:fldCharType="end"/>
      </w:r>
      <w:r w:rsidRPr="00D951B2">
        <w:rPr>
          <w:lang w:val="en-CA"/>
        </w:rPr>
        <w:t xml:space="preserve"> at para</w:t>
      </w:r>
      <w:r w:rsidR="00422128" w:rsidRPr="00D951B2">
        <w:rPr>
          <w:lang w:val="en-CA"/>
        </w:rPr>
        <w:t>s</w:t>
      </w:r>
      <w:r w:rsidRPr="00D951B2">
        <w:rPr>
          <w:lang w:val="en-CA"/>
        </w:rPr>
        <w:t>.</w:t>
      </w:r>
      <w:r w:rsidR="00637E3A" w:rsidRPr="00D951B2">
        <w:rPr>
          <w:lang w:val="en-CA"/>
        </w:rPr>
        <w:t xml:space="preserve"> </w:t>
      </w:r>
      <w:r w:rsidRPr="008778A3">
        <w:rPr>
          <w:lang w:val="en-CA"/>
        </w:rPr>
        <w:t>8</w:t>
      </w:r>
      <w:r w:rsidR="00687DAA" w:rsidRPr="008778A3">
        <w:rPr>
          <w:lang w:val="en-CA"/>
        </w:rPr>
        <w:t>–</w:t>
      </w:r>
      <w:r w:rsidRPr="008778A3">
        <w:rPr>
          <w:lang w:val="en-CA"/>
        </w:rPr>
        <w:t>9</w:t>
      </w:r>
      <w:r w:rsidR="00E3546D">
        <w:rPr>
          <w:lang w:val="en-CA"/>
        </w:rPr>
        <w:t xml:space="preserve"> and</w:t>
      </w:r>
      <w:r w:rsidRPr="008778A3">
        <w:rPr>
          <w:lang w:val="en-CA"/>
        </w:rPr>
        <w:t xml:space="preserve"> 63; </w:t>
      </w:r>
      <w:r w:rsidRPr="008778A3">
        <w:rPr>
          <w:i/>
          <w:iCs/>
          <w:lang w:val="en-CA"/>
        </w:rPr>
        <w:t>Skarstedt</w:t>
      </w:r>
      <w:r w:rsidRPr="008778A3">
        <w:rPr>
          <w:lang w:val="en-CA"/>
        </w:rPr>
        <w:t>,</w:t>
      </w:r>
      <w:r w:rsidRPr="008778A3">
        <w:rPr>
          <w:i/>
          <w:iCs/>
          <w:lang w:val="en-CA"/>
        </w:rPr>
        <w:t xml:space="preserve"> supra </w:t>
      </w:r>
      <w:r w:rsidRPr="008778A3">
        <w:rPr>
          <w:lang w:val="en-CA"/>
        </w:rPr>
        <w:t xml:space="preserve">note </w:t>
      </w:r>
      <w:r w:rsidRPr="00E32C3F">
        <w:fldChar w:fldCharType="begin"/>
      </w:r>
      <w:r w:rsidRPr="008778A3">
        <w:rPr>
          <w:lang w:val="en-CA"/>
        </w:rPr>
        <w:instrText xml:space="preserve"> NOTEREF _Ref127800784 \h  \* MERGEFORMAT </w:instrText>
      </w:r>
      <w:r w:rsidRPr="00E32C3F">
        <w:fldChar w:fldCharType="separate"/>
      </w:r>
      <w:r w:rsidRPr="008778A3">
        <w:rPr>
          <w:lang w:val="en-CA"/>
        </w:rPr>
        <w:t>34</w:t>
      </w:r>
      <w:r w:rsidRPr="00E32C3F">
        <w:fldChar w:fldCharType="end"/>
      </w:r>
      <w:r w:rsidRPr="008778A3">
        <w:rPr>
          <w:lang w:val="en-CA"/>
        </w:rPr>
        <w:t xml:space="preserve"> at para.</w:t>
      </w:r>
      <w:r w:rsidR="00637E3A" w:rsidRPr="008778A3">
        <w:rPr>
          <w:lang w:val="en-CA"/>
        </w:rPr>
        <w:t xml:space="preserve"> </w:t>
      </w:r>
      <w:r w:rsidRPr="008778A3">
        <w:rPr>
          <w:lang w:val="en-CA"/>
        </w:rPr>
        <w:t>34.</w:t>
      </w:r>
    </w:p>
  </w:footnote>
  <w:footnote w:id="57">
    <w:p w14:paraId="77CB0B90" w14:textId="1532D641" w:rsidR="00783D9F" w:rsidRPr="008778A3" w:rsidRDefault="00783D9F" w:rsidP="00783D9F">
      <w:pPr>
        <w:pStyle w:val="Notedebasdepage"/>
        <w:rPr>
          <w:lang w:val="en-CA"/>
        </w:rPr>
      </w:pPr>
      <w:r w:rsidRPr="00E32C3F">
        <w:rPr>
          <w:rStyle w:val="Appelnotedebasdep"/>
        </w:rPr>
        <w:footnoteRef/>
      </w:r>
      <w:r w:rsidRPr="00F5469D">
        <w:rPr>
          <w:lang w:val="en-CA"/>
        </w:rPr>
        <w:t xml:space="preserve"> </w:t>
      </w:r>
      <w:r w:rsidRPr="00F5469D">
        <w:rPr>
          <w:lang w:val="en-CA"/>
        </w:rPr>
        <w:tab/>
      </w:r>
      <w:r w:rsidRPr="00F5469D">
        <w:rPr>
          <w:i/>
          <w:iCs/>
          <w:lang w:val="en-CA"/>
        </w:rPr>
        <w:t>Banque Amex</w:t>
      </w:r>
      <w:r w:rsidRPr="00F5469D">
        <w:rPr>
          <w:lang w:val="en-CA"/>
        </w:rPr>
        <w:t>,</w:t>
      </w:r>
      <w:r w:rsidRPr="00F5469D">
        <w:rPr>
          <w:i/>
          <w:iCs/>
          <w:lang w:val="en-CA"/>
        </w:rPr>
        <w:t xml:space="preserve"> supra </w:t>
      </w:r>
      <w:r w:rsidRPr="00F5469D">
        <w:rPr>
          <w:lang w:val="en-CA"/>
        </w:rPr>
        <w:t xml:space="preserve">note </w:t>
      </w:r>
      <w:r w:rsidRPr="00E32C3F">
        <w:fldChar w:fldCharType="begin"/>
      </w:r>
      <w:r w:rsidRPr="00F5469D">
        <w:rPr>
          <w:lang w:val="en-CA"/>
        </w:rPr>
        <w:instrText xml:space="preserve"> NOTEREF _Ref128402085 \h  \* MERGEFORMAT </w:instrText>
      </w:r>
      <w:r w:rsidRPr="00E32C3F">
        <w:fldChar w:fldCharType="separate"/>
      </w:r>
      <w:r w:rsidRPr="00F5469D">
        <w:rPr>
          <w:lang w:val="en-CA"/>
        </w:rPr>
        <w:t>24</w:t>
      </w:r>
      <w:r w:rsidRPr="00E32C3F">
        <w:fldChar w:fldCharType="end"/>
      </w:r>
      <w:r w:rsidRPr="00F5469D">
        <w:rPr>
          <w:lang w:val="en-CA"/>
        </w:rPr>
        <w:t xml:space="preserve"> at para.</w:t>
      </w:r>
      <w:r w:rsidR="00637E3A" w:rsidRPr="00F5469D">
        <w:rPr>
          <w:lang w:val="en-CA"/>
        </w:rPr>
        <w:t xml:space="preserve"> </w:t>
      </w:r>
      <w:r w:rsidRPr="008778A3">
        <w:rPr>
          <w:lang w:val="en-CA"/>
        </w:rPr>
        <w:t>86.</w:t>
      </w:r>
    </w:p>
  </w:footnote>
  <w:footnote w:id="58">
    <w:p w14:paraId="7A723178" w14:textId="30610613" w:rsidR="00422128" w:rsidRPr="008778A3" w:rsidRDefault="00422128" w:rsidP="00422128">
      <w:pPr>
        <w:pStyle w:val="Notedebasdepage"/>
        <w:rPr>
          <w:lang w:val="en-CA"/>
        </w:rPr>
      </w:pPr>
      <w:r w:rsidRPr="00E32C3F">
        <w:rPr>
          <w:rStyle w:val="Appelnotedebasdep"/>
        </w:rPr>
        <w:footnoteRef/>
      </w:r>
      <w:r w:rsidRPr="008778A3">
        <w:rPr>
          <w:lang w:val="en-CA"/>
        </w:rPr>
        <w:t xml:space="preserve"> </w:t>
      </w:r>
      <w:r w:rsidRPr="008778A3">
        <w:rPr>
          <w:lang w:val="en-CA"/>
        </w:rPr>
        <w:tab/>
      </w:r>
      <w:r w:rsidR="001A6BBA" w:rsidRPr="008778A3">
        <w:rPr>
          <w:lang w:val="en-CA"/>
        </w:rPr>
        <w:t xml:space="preserve">Judgment </w:t>
      </w:r>
      <w:r w:rsidR="004E66E0">
        <w:rPr>
          <w:lang w:val="en-CA"/>
        </w:rPr>
        <w:t>under appeal</w:t>
      </w:r>
      <w:r w:rsidR="001A6BBA" w:rsidRPr="008778A3">
        <w:rPr>
          <w:lang w:val="en-CA"/>
        </w:rPr>
        <w:t xml:space="preserve">, </w:t>
      </w:r>
      <w:r w:rsidR="001A6BBA" w:rsidRPr="008778A3">
        <w:rPr>
          <w:i/>
          <w:lang w:val="en-CA"/>
        </w:rPr>
        <w:t>supra</w:t>
      </w:r>
      <w:r w:rsidR="001A6BBA" w:rsidRPr="008778A3">
        <w:rPr>
          <w:lang w:val="en-CA"/>
        </w:rPr>
        <w:t xml:space="preserve"> note</w:t>
      </w:r>
      <w:r w:rsidRPr="008778A3">
        <w:rPr>
          <w:lang w:val="en-CA"/>
        </w:rPr>
        <w:t xml:space="preserve"> </w:t>
      </w:r>
      <w:r w:rsidRPr="00E32C3F">
        <w:fldChar w:fldCharType="begin"/>
      </w:r>
      <w:r w:rsidRPr="008778A3">
        <w:rPr>
          <w:lang w:val="en-CA"/>
        </w:rPr>
        <w:instrText xml:space="preserve"> NOTEREF _Ref128033726 \h  \* MERGEFORMAT </w:instrText>
      </w:r>
      <w:r w:rsidRPr="00E32C3F">
        <w:fldChar w:fldCharType="separate"/>
      </w:r>
      <w:r w:rsidRPr="008778A3">
        <w:rPr>
          <w:lang w:val="en-CA"/>
        </w:rPr>
        <w:t>2</w:t>
      </w:r>
      <w:r w:rsidRPr="00E32C3F">
        <w:fldChar w:fldCharType="end"/>
      </w:r>
      <w:r w:rsidRPr="008778A3">
        <w:rPr>
          <w:lang w:val="en-CA"/>
        </w:rPr>
        <w:t xml:space="preserve"> at para</w:t>
      </w:r>
      <w:r w:rsidR="00687DAA" w:rsidRPr="008778A3">
        <w:rPr>
          <w:lang w:val="en-CA"/>
        </w:rPr>
        <w:t>s</w:t>
      </w:r>
      <w:r w:rsidRPr="008778A3">
        <w:rPr>
          <w:lang w:val="en-CA"/>
        </w:rPr>
        <w:t>.</w:t>
      </w:r>
      <w:r w:rsidR="00637E3A" w:rsidRPr="008778A3">
        <w:rPr>
          <w:lang w:val="en-CA"/>
        </w:rPr>
        <w:t xml:space="preserve"> </w:t>
      </w:r>
      <w:r w:rsidRPr="008778A3">
        <w:rPr>
          <w:lang w:val="en-CA"/>
        </w:rPr>
        <w:t xml:space="preserve">36 </w:t>
      </w:r>
      <w:r w:rsidR="00687DAA" w:rsidRPr="008778A3">
        <w:rPr>
          <w:lang w:val="en-CA"/>
        </w:rPr>
        <w:t>and</w:t>
      </w:r>
      <w:r w:rsidRPr="008778A3">
        <w:rPr>
          <w:lang w:val="en-CA"/>
        </w:rPr>
        <w:t xml:space="preserve"> 77.</w:t>
      </w:r>
    </w:p>
  </w:footnote>
  <w:footnote w:id="59">
    <w:p w14:paraId="3BC1D627" w14:textId="77777777" w:rsidR="00422128" w:rsidRPr="008778A3" w:rsidRDefault="00422128" w:rsidP="00422128">
      <w:pPr>
        <w:pStyle w:val="Notedebasdepage"/>
        <w:rPr>
          <w:lang w:val="en-CA"/>
        </w:rPr>
      </w:pPr>
      <w:r w:rsidRPr="00E32C3F">
        <w:rPr>
          <w:rStyle w:val="Appelnotedebasdep"/>
        </w:rPr>
        <w:footnoteRef/>
      </w:r>
      <w:r w:rsidRPr="008778A3">
        <w:rPr>
          <w:lang w:val="en-CA"/>
        </w:rPr>
        <w:t xml:space="preserve"> </w:t>
      </w:r>
      <w:r w:rsidRPr="008778A3">
        <w:rPr>
          <w:lang w:val="en-CA"/>
        </w:rPr>
        <w:tab/>
      </w:r>
      <w:r w:rsidRPr="008778A3">
        <w:rPr>
          <w:i/>
          <w:iCs/>
          <w:lang w:val="en-CA"/>
        </w:rPr>
        <w:t xml:space="preserve">Ibid. </w:t>
      </w:r>
      <w:r w:rsidRPr="008778A3">
        <w:rPr>
          <w:lang w:val="en-CA"/>
        </w:rPr>
        <w:t>at para. 36.</w:t>
      </w:r>
    </w:p>
  </w:footnote>
  <w:footnote w:id="60">
    <w:p w14:paraId="15783C47" w14:textId="77777777" w:rsidR="00422128" w:rsidRPr="00BA1D19" w:rsidRDefault="00422128" w:rsidP="00422128">
      <w:pPr>
        <w:pStyle w:val="Notedebasdepage"/>
        <w:rPr>
          <w:lang w:val="en-CA"/>
        </w:rPr>
      </w:pPr>
      <w:r w:rsidRPr="00E32C3F">
        <w:rPr>
          <w:rStyle w:val="Appelnotedebasdep"/>
        </w:rPr>
        <w:footnoteRef/>
      </w:r>
      <w:r w:rsidRPr="008778A3">
        <w:rPr>
          <w:lang w:val="en-CA"/>
        </w:rPr>
        <w:t xml:space="preserve"> </w:t>
      </w:r>
      <w:r w:rsidRPr="008778A3">
        <w:rPr>
          <w:lang w:val="en-CA"/>
        </w:rPr>
        <w:tab/>
      </w:r>
      <w:r w:rsidRPr="008778A3">
        <w:rPr>
          <w:i/>
          <w:iCs/>
          <w:lang w:val="en-CA"/>
        </w:rPr>
        <w:t xml:space="preserve">Ibid. </w:t>
      </w:r>
      <w:r w:rsidRPr="008778A3">
        <w:rPr>
          <w:lang w:val="en-CA"/>
        </w:rPr>
        <w:t>at para</w:t>
      </w:r>
      <w:r w:rsidRPr="008778A3">
        <w:rPr>
          <w:i/>
          <w:iCs/>
          <w:lang w:val="en-CA"/>
        </w:rPr>
        <w:t>.</w:t>
      </w:r>
      <w:r w:rsidRPr="008778A3">
        <w:rPr>
          <w:lang w:val="en-CA"/>
        </w:rPr>
        <w:t xml:space="preserve"> </w:t>
      </w:r>
      <w:r w:rsidRPr="00BA1D19">
        <w:rPr>
          <w:lang w:val="en-CA"/>
        </w:rPr>
        <w:t>77.</w:t>
      </w:r>
    </w:p>
  </w:footnote>
  <w:footnote w:id="61">
    <w:p w14:paraId="595BE75F" w14:textId="11F568EC" w:rsidR="00422128" w:rsidRPr="00E32C3F" w:rsidRDefault="00422128" w:rsidP="00422128">
      <w:pPr>
        <w:pStyle w:val="Notedebasdepage"/>
        <w:rPr>
          <w:lang w:val="en-CA"/>
        </w:rPr>
      </w:pPr>
      <w:r w:rsidRPr="00E32C3F">
        <w:rPr>
          <w:rStyle w:val="Appelnotedebasdep"/>
        </w:rPr>
        <w:footnoteRef/>
      </w:r>
      <w:r w:rsidRPr="00E32C3F">
        <w:rPr>
          <w:lang w:val="en-CA"/>
        </w:rPr>
        <w:t xml:space="preserve"> </w:t>
      </w:r>
      <w:r w:rsidRPr="00E32C3F">
        <w:rPr>
          <w:lang w:val="en-CA"/>
        </w:rPr>
        <w:tab/>
      </w:r>
      <w:r w:rsidRPr="009F222C">
        <w:rPr>
          <w:i/>
          <w:iCs/>
          <w:lang w:val="en-CA"/>
        </w:rPr>
        <w:t xml:space="preserve">Ibid. </w:t>
      </w:r>
      <w:r w:rsidRPr="004A70D3">
        <w:rPr>
          <w:lang w:val="en-CA"/>
        </w:rPr>
        <w:t>at para</w:t>
      </w:r>
      <w:r w:rsidR="00E3546D">
        <w:rPr>
          <w:lang w:val="en-CA"/>
        </w:rPr>
        <w:t>s</w:t>
      </w:r>
      <w:r w:rsidRPr="009F222C">
        <w:rPr>
          <w:i/>
          <w:iCs/>
          <w:lang w:val="en-CA"/>
        </w:rPr>
        <w:t>.</w:t>
      </w:r>
      <w:r w:rsidRPr="00E32C3F">
        <w:rPr>
          <w:lang w:val="en-CA"/>
        </w:rPr>
        <w:t xml:space="preserve"> 50</w:t>
      </w:r>
      <w:r w:rsidR="00687DAA" w:rsidRPr="008778A3">
        <w:rPr>
          <w:lang w:val="en-CA"/>
        </w:rPr>
        <w:t>–</w:t>
      </w:r>
      <w:r w:rsidRPr="00E32C3F">
        <w:rPr>
          <w:lang w:val="en-CA"/>
        </w:rPr>
        <w:t>51.</w:t>
      </w:r>
    </w:p>
  </w:footnote>
  <w:footnote w:id="62">
    <w:p w14:paraId="1B3238F6" w14:textId="17E3C4CE" w:rsidR="002E7C51" w:rsidRPr="00E32C3F" w:rsidRDefault="00354272" w:rsidP="002E7C51">
      <w:pPr>
        <w:pStyle w:val="Notedebasdepage"/>
        <w:rPr>
          <w:lang w:val="en-CA"/>
        </w:rPr>
      </w:pPr>
      <w:r w:rsidRPr="00E32C3F">
        <w:rPr>
          <w:rStyle w:val="Appelnotedebasdep"/>
        </w:rPr>
        <w:footnoteRef/>
      </w:r>
      <w:r w:rsidRPr="00E32C3F">
        <w:rPr>
          <w:lang w:val="en-CA"/>
        </w:rPr>
        <w:t xml:space="preserve"> </w:t>
      </w:r>
      <w:r w:rsidRPr="00E32C3F">
        <w:rPr>
          <w:lang w:val="en-CA"/>
        </w:rPr>
        <w:tab/>
      </w:r>
      <w:r w:rsidR="007C5C97" w:rsidRPr="009F222C">
        <w:rPr>
          <w:i/>
          <w:iCs/>
          <w:lang w:val="en-CA"/>
        </w:rPr>
        <w:t xml:space="preserve">Ibid. </w:t>
      </w:r>
      <w:r w:rsidR="007C5C97" w:rsidRPr="004A70D3">
        <w:rPr>
          <w:lang w:val="en-CA"/>
        </w:rPr>
        <w:t>at</w:t>
      </w:r>
      <w:r w:rsidRPr="004A70D3">
        <w:rPr>
          <w:lang w:val="en-CA"/>
        </w:rPr>
        <w:t xml:space="preserve"> para</w:t>
      </w:r>
      <w:r w:rsidRPr="009F222C">
        <w:rPr>
          <w:i/>
          <w:iCs/>
          <w:lang w:val="en-CA"/>
        </w:rPr>
        <w:t>.</w:t>
      </w:r>
      <w:r w:rsidRPr="00E32C3F">
        <w:rPr>
          <w:lang w:val="en-CA"/>
        </w:rPr>
        <w:t xml:space="preserve"> 75.</w:t>
      </w:r>
    </w:p>
  </w:footnote>
  <w:footnote w:id="63">
    <w:p w14:paraId="70BFF67A" w14:textId="1794B790" w:rsidR="002E7C51" w:rsidRPr="008778A3" w:rsidRDefault="00354272" w:rsidP="002E7C51">
      <w:pPr>
        <w:pStyle w:val="Notedebasdepage"/>
        <w:rPr>
          <w:lang w:val="en-CA"/>
        </w:rPr>
      </w:pPr>
      <w:r w:rsidRPr="00E32C3F">
        <w:rPr>
          <w:rStyle w:val="Appelnotedebasdep"/>
        </w:rPr>
        <w:footnoteRef/>
      </w:r>
      <w:r w:rsidRPr="00E32C3F">
        <w:rPr>
          <w:lang w:val="en-CA"/>
        </w:rPr>
        <w:t xml:space="preserve"> </w:t>
      </w:r>
      <w:r w:rsidRPr="00E32C3F">
        <w:rPr>
          <w:lang w:val="en-CA"/>
        </w:rPr>
        <w:tab/>
      </w:r>
      <w:r w:rsidR="007C5C97" w:rsidRPr="009F222C">
        <w:rPr>
          <w:i/>
          <w:iCs/>
          <w:lang w:val="en-CA"/>
        </w:rPr>
        <w:t xml:space="preserve">Ibid. </w:t>
      </w:r>
      <w:r w:rsidR="007C5C97" w:rsidRPr="004A70D3">
        <w:rPr>
          <w:lang w:val="en-CA"/>
        </w:rPr>
        <w:t>at</w:t>
      </w:r>
      <w:r w:rsidRPr="004A70D3">
        <w:rPr>
          <w:lang w:val="en-CA"/>
        </w:rPr>
        <w:t xml:space="preserve"> para.</w:t>
      </w:r>
      <w:r w:rsidRPr="00E32C3F">
        <w:rPr>
          <w:lang w:val="en-CA"/>
        </w:rPr>
        <w:t xml:space="preserve"> </w:t>
      </w:r>
      <w:r w:rsidRPr="008778A3">
        <w:rPr>
          <w:lang w:val="en-CA"/>
        </w:rPr>
        <w:t>73.</w:t>
      </w:r>
    </w:p>
  </w:footnote>
  <w:footnote w:id="64">
    <w:p w14:paraId="0F5FA09B" w14:textId="1FF35F5D" w:rsidR="002E7C51" w:rsidRPr="008778A3" w:rsidRDefault="00354272" w:rsidP="002E7C51">
      <w:pPr>
        <w:pStyle w:val="Notedebasdepage"/>
        <w:rPr>
          <w:lang w:val="en-CA"/>
        </w:rPr>
      </w:pPr>
      <w:r w:rsidRPr="00E32C3F">
        <w:rPr>
          <w:rStyle w:val="Appelnotedebasdep"/>
        </w:rPr>
        <w:footnoteRef/>
      </w:r>
      <w:r w:rsidRPr="008778A3">
        <w:rPr>
          <w:lang w:val="en-CA"/>
        </w:rPr>
        <w:t xml:space="preserve">  </w:t>
      </w:r>
      <w:r w:rsidRPr="008778A3">
        <w:rPr>
          <w:lang w:val="en-CA"/>
        </w:rPr>
        <w:tab/>
      </w:r>
      <w:r w:rsidR="001A6BBA" w:rsidRPr="008778A3">
        <w:rPr>
          <w:lang w:val="en-CA"/>
        </w:rPr>
        <w:t xml:space="preserve">Judgment </w:t>
      </w:r>
      <w:r w:rsidR="004E66E0">
        <w:rPr>
          <w:lang w:val="en-CA"/>
        </w:rPr>
        <w:t>under appeal</w:t>
      </w:r>
      <w:r w:rsidR="001A6BBA" w:rsidRPr="008778A3">
        <w:rPr>
          <w:lang w:val="en-CA"/>
        </w:rPr>
        <w:t xml:space="preserve">, </w:t>
      </w:r>
      <w:r w:rsidR="001A6BBA" w:rsidRPr="008778A3">
        <w:rPr>
          <w:i/>
          <w:lang w:val="en-CA"/>
        </w:rPr>
        <w:t>supra</w:t>
      </w:r>
      <w:r w:rsidR="001A6BBA" w:rsidRPr="008778A3">
        <w:rPr>
          <w:lang w:val="en-CA"/>
        </w:rPr>
        <w:t xml:space="preserve"> note</w:t>
      </w:r>
      <w:r w:rsidRPr="008778A3">
        <w:rPr>
          <w:lang w:val="en-CA"/>
        </w:rPr>
        <w:t xml:space="preserve"> </w:t>
      </w:r>
      <w:r w:rsidRPr="00E32C3F">
        <w:fldChar w:fldCharType="begin"/>
      </w:r>
      <w:r w:rsidRPr="008778A3">
        <w:rPr>
          <w:lang w:val="en-CA"/>
        </w:rPr>
        <w:instrText xml:space="preserve"> NOTEREF _Ref128033726 \h  \* MERGEFORMAT </w:instrText>
      </w:r>
      <w:r w:rsidRPr="00E32C3F">
        <w:fldChar w:fldCharType="separate"/>
      </w:r>
      <w:r w:rsidR="00F141C2" w:rsidRPr="008778A3">
        <w:rPr>
          <w:lang w:val="en-CA"/>
        </w:rPr>
        <w:t>2</w:t>
      </w:r>
      <w:r w:rsidRPr="00E32C3F">
        <w:fldChar w:fldCharType="end"/>
      </w:r>
      <w:r w:rsidR="00D65514" w:rsidRPr="008778A3">
        <w:rPr>
          <w:lang w:val="en-CA"/>
        </w:rPr>
        <w:t xml:space="preserve"> at para.</w:t>
      </w:r>
      <w:r w:rsidR="00273DF5" w:rsidRPr="008778A3">
        <w:rPr>
          <w:lang w:val="en-CA"/>
        </w:rPr>
        <w:t xml:space="preserve"> </w:t>
      </w:r>
      <w:r w:rsidRPr="008778A3">
        <w:rPr>
          <w:lang w:val="en-CA"/>
        </w:rPr>
        <w:t>40.</w:t>
      </w:r>
    </w:p>
  </w:footnote>
  <w:footnote w:id="65">
    <w:p w14:paraId="62A11E91" w14:textId="0FBC4ECC" w:rsidR="002E7C51" w:rsidRPr="008778A3" w:rsidRDefault="00354272" w:rsidP="002E7C51">
      <w:pPr>
        <w:pStyle w:val="Notedebasdepage"/>
        <w:rPr>
          <w:lang w:val="en-CA"/>
        </w:rPr>
      </w:pPr>
      <w:r w:rsidRPr="00E32C3F">
        <w:rPr>
          <w:rStyle w:val="Appelnotedebasdep"/>
        </w:rPr>
        <w:footnoteRef/>
      </w:r>
      <w:r w:rsidRPr="008778A3">
        <w:rPr>
          <w:lang w:val="en-CA"/>
        </w:rPr>
        <w:t xml:space="preserve">  </w:t>
      </w:r>
      <w:r w:rsidRPr="008778A3">
        <w:rPr>
          <w:lang w:val="en-CA"/>
        </w:rPr>
        <w:tab/>
        <w:t>Art</w:t>
      </w:r>
      <w:r w:rsidR="00224EF6">
        <w:rPr>
          <w:lang w:val="en-CA"/>
        </w:rPr>
        <w:t>icle</w:t>
      </w:r>
      <w:r w:rsidRPr="008778A3">
        <w:rPr>
          <w:lang w:val="en-CA"/>
        </w:rPr>
        <w:t xml:space="preserve"> 9 </w:t>
      </w:r>
      <w:r w:rsidR="00891A29" w:rsidRPr="008778A3">
        <w:rPr>
          <w:lang w:val="en-CA"/>
        </w:rPr>
        <w:t>CCP.</w:t>
      </w:r>
    </w:p>
  </w:footnote>
  <w:footnote w:id="66">
    <w:p w14:paraId="47390B2D" w14:textId="4C22AA63" w:rsidR="001A6BBA" w:rsidRPr="008778A3" w:rsidRDefault="001A6BBA" w:rsidP="001A6BBA">
      <w:pPr>
        <w:pStyle w:val="Notedebasdepage"/>
        <w:rPr>
          <w:lang w:val="en-CA"/>
        </w:rPr>
      </w:pPr>
      <w:r w:rsidRPr="00E32C3F">
        <w:rPr>
          <w:rStyle w:val="Appelnotedebasdep"/>
        </w:rPr>
        <w:footnoteRef/>
      </w:r>
      <w:r w:rsidRPr="008778A3">
        <w:rPr>
          <w:lang w:val="en-CA"/>
        </w:rPr>
        <w:t xml:space="preserve">  </w:t>
      </w:r>
      <w:r w:rsidRPr="008778A3">
        <w:rPr>
          <w:lang w:val="en-CA"/>
        </w:rPr>
        <w:tab/>
      </w:r>
      <w:r w:rsidRPr="008778A3">
        <w:rPr>
          <w:i/>
          <w:iCs/>
          <w:lang w:val="en-CA"/>
        </w:rPr>
        <w:t>Pellemans</w:t>
      </w:r>
      <w:r w:rsidRPr="008778A3">
        <w:rPr>
          <w:lang w:val="en-CA"/>
        </w:rPr>
        <w:t xml:space="preserve">, </w:t>
      </w:r>
      <w:r w:rsidRPr="008778A3">
        <w:rPr>
          <w:i/>
          <w:iCs/>
          <w:lang w:val="en-CA"/>
        </w:rPr>
        <w:t>supra</w:t>
      </w:r>
      <w:r w:rsidRPr="008778A3">
        <w:rPr>
          <w:lang w:val="en-CA"/>
        </w:rPr>
        <w:t xml:space="preserve"> note </w:t>
      </w:r>
      <w:r w:rsidRPr="00E32C3F">
        <w:fldChar w:fldCharType="begin"/>
      </w:r>
      <w:r w:rsidRPr="008778A3">
        <w:rPr>
          <w:lang w:val="en-CA"/>
        </w:rPr>
        <w:instrText xml:space="preserve"> NOTEREF _Ref127799635 \h  \* MERGEFORMAT </w:instrText>
      </w:r>
      <w:r w:rsidRPr="00E32C3F">
        <w:fldChar w:fldCharType="separate"/>
      </w:r>
      <w:r w:rsidRPr="008778A3">
        <w:rPr>
          <w:lang w:val="en-CA"/>
        </w:rPr>
        <w:t>26</w:t>
      </w:r>
      <w:r w:rsidRPr="00E32C3F">
        <w:fldChar w:fldCharType="end"/>
      </w:r>
      <w:r w:rsidRPr="008778A3">
        <w:rPr>
          <w:lang w:val="en-CA"/>
        </w:rPr>
        <w:t xml:space="preserve"> at para.</w:t>
      </w:r>
      <w:r w:rsidR="00273DF5" w:rsidRPr="008778A3">
        <w:rPr>
          <w:lang w:val="en-CA"/>
        </w:rPr>
        <w:t xml:space="preserve"> </w:t>
      </w:r>
      <w:r w:rsidRPr="008778A3">
        <w:rPr>
          <w:lang w:val="en-CA"/>
        </w:rPr>
        <w:t>121.</w:t>
      </w:r>
    </w:p>
  </w:footnote>
  <w:footnote w:id="67">
    <w:p w14:paraId="1EE0EF42" w14:textId="0E147429" w:rsidR="001A6BBA" w:rsidRPr="008778A3" w:rsidRDefault="001A6BBA" w:rsidP="001A6BBA">
      <w:pPr>
        <w:pStyle w:val="Notedebasdepage"/>
        <w:rPr>
          <w:lang w:val="en-CA"/>
        </w:rPr>
      </w:pPr>
      <w:r w:rsidRPr="00E32C3F">
        <w:rPr>
          <w:rStyle w:val="Appelnotedebasdep"/>
        </w:rPr>
        <w:footnoteRef/>
      </w:r>
      <w:r w:rsidRPr="008778A3">
        <w:rPr>
          <w:lang w:val="en-CA"/>
        </w:rPr>
        <w:t xml:space="preserve">  </w:t>
      </w:r>
      <w:r w:rsidRPr="008778A3">
        <w:rPr>
          <w:lang w:val="en-CA"/>
        </w:rPr>
        <w:tab/>
        <w:t xml:space="preserve">Judgment </w:t>
      </w:r>
      <w:r w:rsidR="004E66E0">
        <w:rPr>
          <w:lang w:val="en-CA"/>
        </w:rPr>
        <w:t>under appeal</w:t>
      </w:r>
      <w:r w:rsidRPr="008778A3">
        <w:rPr>
          <w:lang w:val="en-CA"/>
        </w:rPr>
        <w:t xml:space="preserve">, </w:t>
      </w:r>
      <w:r w:rsidRPr="008778A3">
        <w:rPr>
          <w:i/>
          <w:lang w:val="en-CA"/>
        </w:rPr>
        <w:t>supra</w:t>
      </w:r>
      <w:r w:rsidRPr="008778A3">
        <w:rPr>
          <w:lang w:val="en-CA"/>
        </w:rPr>
        <w:t xml:space="preserve"> note </w:t>
      </w:r>
      <w:r w:rsidRPr="00E32C3F">
        <w:fldChar w:fldCharType="begin"/>
      </w:r>
      <w:r w:rsidRPr="008778A3">
        <w:rPr>
          <w:lang w:val="en-CA"/>
        </w:rPr>
        <w:instrText xml:space="preserve"> NOTEREF _Ref128033726 \h  \* MERGEFORMAT </w:instrText>
      </w:r>
      <w:r w:rsidRPr="00E32C3F">
        <w:fldChar w:fldCharType="separate"/>
      </w:r>
      <w:r w:rsidRPr="008778A3">
        <w:rPr>
          <w:lang w:val="en-CA"/>
        </w:rPr>
        <w:t>2</w:t>
      </w:r>
      <w:r w:rsidRPr="00E32C3F">
        <w:fldChar w:fldCharType="end"/>
      </w:r>
      <w:r w:rsidRPr="008778A3">
        <w:rPr>
          <w:lang w:val="en-CA"/>
        </w:rPr>
        <w:t xml:space="preserve"> at para.</w:t>
      </w:r>
      <w:r w:rsidR="00273DF5" w:rsidRPr="008778A3">
        <w:rPr>
          <w:lang w:val="en-CA"/>
        </w:rPr>
        <w:t xml:space="preserve"> </w:t>
      </w:r>
      <w:r w:rsidRPr="008778A3">
        <w:rPr>
          <w:lang w:val="en-CA"/>
        </w:rPr>
        <w:t>77.</w:t>
      </w:r>
    </w:p>
  </w:footnote>
  <w:footnote w:id="68">
    <w:p w14:paraId="4A827A46" w14:textId="5CE67738" w:rsidR="00687DAA" w:rsidRPr="008778A3" w:rsidRDefault="001A6BBA" w:rsidP="001A6BBA">
      <w:pPr>
        <w:pStyle w:val="Notedebasdepage"/>
        <w:rPr>
          <w:lang w:val="en-CA"/>
        </w:rPr>
      </w:pPr>
      <w:r w:rsidRPr="00E32C3F">
        <w:rPr>
          <w:rStyle w:val="Appelnotedebasdep"/>
        </w:rPr>
        <w:footnoteRef/>
      </w:r>
      <w:r w:rsidRPr="008778A3">
        <w:rPr>
          <w:lang w:val="en-CA"/>
        </w:rPr>
        <w:t xml:space="preserve">  </w:t>
      </w:r>
      <w:r w:rsidRPr="008778A3">
        <w:rPr>
          <w:lang w:val="en-CA"/>
        </w:rPr>
        <w:tab/>
      </w:r>
      <w:r w:rsidR="00687DAA" w:rsidRPr="00223D8B">
        <w:rPr>
          <w:lang w:val="en-CA"/>
        </w:rPr>
        <w:t xml:space="preserve">At the hearing, the </w:t>
      </w:r>
      <w:r w:rsidRPr="00223D8B">
        <w:rPr>
          <w:i/>
          <w:iCs/>
          <w:lang w:val="en-CA"/>
        </w:rPr>
        <w:t>amicus curiae</w:t>
      </w:r>
      <w:r w:rsidRPr="00223D8B">
        <w:rPr>
          <w:lang w:val="en-CA"/>
        </w:rPr>
        <w:t xml:space="preserve"> </w:t>
      </w:r>
      <w:r w:rsidR="00687DAA" w:rsidRPr="00223D8B">
        <w:rPr>
          <w:lang w:val="en-CA"/>
        </w:rPr>
        <w:t>told that Court that as at February</w:t>
      </w:r>
      <w:r w:rsidRPr="00223D8B">
        <w:rPr>
          <w:lang w:val="en-CA"/>
        </w:rPr>
        <w:t xml:space="preserve"> 28</w:t>
      </w:r>
      <w:r w:rsidR="00687DAA" w:rsidRPr="00223D8B">
        <w:rPr>
          <w:lang w:val="en-CA"/>
        </w:rPr>
        <w:t xml:space="preserve">, </w:t>
      </w:r>
      <w:r w:rsidRPr="00223D8B">
        <w:rPr>
          <w:lang w:val="en-CA"/>
        </w:rPr>
        <w:t xml:space="preserve">2023, </w:t>
      </w:r>
      <w:r w:rsidR="00687DAA" w:rsidRPr="00223D8B">
        <w:rPr>
          <w:lang w:val="en-CA"/>
        </w:rPr>
        <w:t xml:space="preserve">the time spent on the </w:t>
      </w:r>
      <w:r w:rsidR="009F222C" w:rsidRPr="00223D8B">
        <w:rPr>
          <w:lang w:val="en-CA"/>
        </w:rPr>
        <w:t>file amounted</w:t>
      </w:r>
      <w:r w:rsidR="00687DAA" w:rsidRPr="00223D8B">
        <w:rPr>
          <w:lang w:val="en-CA"/>
        </w:rPr>
        <w:t xml:space="preserve"> to a bill of approximately</w:t>
      </w:r>
      <w:r w:rsidRPr="00223D8B">
        <w:rPr>
          <w:lang w:val="en-CA"/>
        </w:rPr>
        <w:t xml:space="preserve"> </w:t>
      </w:r>
      <w:r w:rsidR="00687DAA" w:rsidRPr="00223D8B">
        <w:rPr>
          <w:lang w:val="en-CA"/>
        </w:rPr>
        <w:t>$</w:t>
      </w:r>
      <w:r w:rsidRPr="00223D8B">
        <w:rPr>
          <w:lang w:val="en-CA"/>
        </w:rPr>
        <w:t>60</w:t>
      </w:r>
      <w:r w:rsidR="00687DAA" w:rsidRPr="00223D8B">
        <w:rPr>
          <w:lang w:val="en-CA"/>
        </w:rPr>
        <w:t>,</w:t>
      </w:r>
      <w:r w:rsidRPr="00223D8B">
        <w:rPr>
          <w:lang w:val="en-CA"/>
        </w:rPr>
        <w:t>000</w:t>
      </w:r>
    </w:p>
    <w:p w14:paraId="70E2B738" w14:textId="2E780A54" w:rsidR="001A6BBA" w:rsidRPr="008778A3" w:rsidRDefault="001A6BBA" w:rsidP="001A6BBA">
      <w:pPr>
        <w:pStyle w:val="Notedebasdepage"/>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D379" w14:textId="614FCA7E" w:rsidR="002E7C51" w:rsidRDefault="00354272" w:rsidP="00456ED7">
    <w:pPr>
      <w:tabs>
        <w:tab w:val="center" w:pos="4709"/>
        <w:tab w:val="right" w:pos="9360"/>
      </w:tabs>
      <w:spacing w:line="360" w:lineRule="auto"/>
      <w:ind w:right="524"/>
    </w:pPr>
    <w:r>
      <w:t xml:space="preserve">500-09-030160-220 </w:t>
    </w:r>
    <w:r>
      <w:tab/>
    </w:r>
    <w:r>
      <w:tab/>
    </w:r>
    <w:r w:rsidRPr="009F222C">
      <w:t>PAGE:</w:t>
    </w:r>
    <w:r>
      <w:t xml:space="preserve"> </w:t>
    </w:r>
    <w:r>
      <w:fldChar w:fldCharType="begin"/>
    </w:r>
    <w:r>
      <w:instrText xml:space="preserve"> PAGE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AA8E" w14:textId="58891A56" w:rsidR="007E33E4" w:rsidRDefault="00354272" w:rsidP="00DB2119">
    <w:pPr>
      <w:tabs>
        <w:tab w:val="center" w:pos="4709"/>
        <w:tab w:val="right" w:pos="9360"/>
      </w:tabs>
      <w:spacing w:line="360" w:lineRule="auto"/>
      <w:ind w:right="524"/>
    </w:pPr>
    <w:bookmarkStart w:id="36" w:name="EntDossier"/>
    <w:r>
      <w:t>500-09-030160-220</w:t>
    </w:r>
    <w:bookmarkEnd w:id="36"/>
    <w:r>
      <w:t xml:space="preserve"> </w:t>
    </w:r>
    <w:r>
      <w:tab/>
    </w:r>
    <w:r>
      <w:tab/>
    </w:r>
    <w:r w:rsidRPr="009F222C">
      <w:t>PAGE:</w:t>
    </w:r>
    <w:r>
      <w:t xml:space="preserve"> </w:t>
    </w:r>
    <w:r>
      <w:fldChar w:fldCharType="begin"/>
    </w:r>
    <w:r>
      <w:instrText xml:space="preserve"> PAGE </w:instrText>
    </w:r>
    <w:r>
      <w:fldChar w:fldCharType="separate"/>
    </w:r>
    <w:r w:rsidR="008D18FC">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F0662"/>
    <w:multiLevelType w:val="hybridMultilevel"/>
    <w:tmpl w:val="2E0CC8BE"/>
    <w:lvl w:ilvl="0" w:tplc="5DD4E0C2">
      <w:start w:val="1"/>
      <w:numFmt w:val="bullet"/>
      <w:lvlText w:val="-"/>
      <w:lvlJc w:val="left"/>
      <w:pPr>
        <w:ind w:left="720" w:hanging="360"/>
      </w:pPr>
      <w:rPr>
        <w:rFonts w:ascii="Arial" w:eastAsia="Times New Roman" w:hAnsi="Arial" w:cs="Arial" w:hint="default"/>
        <w:i/>
        <w:color w:val="212529"/>
      </w:rPr>
    </w:lvl>
    <w:lvl w:ilvl="1" w:tplc="30F8206C" w:tentative="1">
      <w:start w:val="1"/>
      <w:numFmt w:val="bullet"/>
      <w:lvlText w:val="o"/>
      <w:lvlJc w:val="left"/>
      <w:pPr>
        <w:ind w:left="1440" w:hanging="360"/>
      </w:pPr>
      <w:rPr>
        <w:rFonts w:ascii="Courier New" w:hAnsi="Courier New" w:cs="Courier New" w:hint="default"/>
      </w:rPr>
    </w:lvl>
    <w:lvl w:ilvl="2" w:tplc="529E0412" w:tentative="1">
      <w:start w:val="1"/>
      <w:numFmt w:val="bullet"/>
      <w:lvlText w:val=""/>
      <w:lvlJc w:val="left"/>
      <w:pPr>
        <w:ind w:left="2160" w:hanging="360"/>
      </w:pPr>
      <w:rPr>
        <w:rFonts w:ascii="Wingdings" w:hAnsi="Wingdings" w:hint="default"/>
      </w:rPr>
    </w:lvl>
    <w:lvl w:ilvl="3" w:tplc="6F6AA044" w:tentative="1">
      <w:start w:val="1"/>
      <w:numFmt w:val="bullet"/>
      <w:lvlText w:val=""/>
      <w:lvlJc w:val="left"/>
      <w:pPr>
        <w:ind w:left="2880" w:hanging="360"/>
      </w:pPr>
      <w:rPr>
        <w:rFonts w:ascii="Symbol" w:hAnsi="Symbol" w:hint="default"/>
      </w:rPr>
    </w:lvl>
    <w:lvl w:ilvl="4" w:tplc="BF4EA746" w:tentative="1">
      <w:start w:val="1"/>
      <w:numFmt w:val="bullet"/>
      <w:lvlText w:val="o"/>
      <w:lvlJc w:val="left"/>
      <w:pPr>
        <w:ind w:left="3600" w:hanging="360"/>
      </w:pPr>
      <w:rPr>
        <w:rFonts w:ascii="Courier New" w:hAnsi="Courier New" w:cs="Courier New" w:hint="default"/>
      </w:rPr>
    </w:lvl>
    <w:lvl w:ilvl="5" w:tplc="C6623170" w:tentative="1">
      <w:start w:val="1"/>
      <w:numFmt w:val="bullet"/>
      <w:lvlText w:val=""/>
      <w:lvlJc w:val="left"/>
      <w:pPr>
        <w:ind w:left="4320" w:hanging="360"/>
      </w:pPr>
      <w:rPr>
        <w:rFonts w:ascii="Wingdings" w:hAnsi="Wingdings" w:hint="default"/>
      </w:rPr>
    </w:lvl>
    <w:lvl w:ilvl="6" w:tplc="0CE285D0" w:tentative="1">
      <w:start w:val="1"/>
      <w:numFmt w:val="bullet"/>
      <w:lvlText w:val=""/>
      <w:lvlJc w:val="left"/>
      <w:pPr>
        <w:ind w:left="5040" w:hanging="360"/>
      </w:pPr>
      <w:rPr>
        <w:rFonts w:ascii="Symbol" w:hAnsi="Symbol" w:hint="default"/>
      </w:rPr>
    </w:lvl>
    <w:lvl w:ilvl="7" w:tplc="F6745E8E" w:tentative="1">
      <w:start w:val="1"/>
      <w:numFmt w:val="bullet"/>
      <w:lvlText w:val="o"/>
      <w:lvlJc w:val="left"/>
      <w:pPr>
        <w:ind w:left="5760" w:hanging="360"/>
      </w:pPr>
      <w:rPr>
        <w:rFonts w:ascii="Courier New" w:hAnsi="Courier New" w:cs="Courier New" w:hint="default"/>
      </w:rPr>
    </w:lvl>
    <w:lvl w:ilvl="8" w:tplc="07CA52FA" w:tentative="1">
      <w:start w:val="1"/>
      <w:numFmt w:val="bullet"/>
      <w:lvlText w:val=""/>
      <w:lvlJc w:val="left"/>
      <w:pPr>
        <w:ind w:left="6480" w:hanging="360"/>
      </w:pPr>
      <w:rPr>
        <w:rFonts w:ascii="Wingdings" w:hAnsi="Wingdings" w:hint="default"/>
      </w:rPr>
    </w:lvl>
  </w:abstractNum>
  <w:abstractNum w:abstractNumId="11" w15:restartNumberingAfterBreak="0">
    <w:nsid w:val="1BA77EB2"/>
    <w:multiLevelType w:val="hybridMultilevel"/>
    <w:tmpl w:val="78AE279A"/>
    <w:lvl w:ilvl="0" w:tplc="8646B2FA">
      <w:start w:val="1"/>
      <w:numFmt w:val="upperRoman"/>
      <w:lvlText w:val="%1."/>
      <w:lvlJc w:val="left"/>
      <w:pPr>
        <w:ind w:left="1080" w:hanging="720"/>
      </w:pPr>
      <w:rPr>
        <w:rFonts w:hint="default"/>
        <w:b/>
        <w:bCs/>
      </w:rPr>
    </w:lvl>
    <w:lvl w:ilvl="1" w:tplc="B17C60FA" w:tentative="1">
      <w:start w:val="1"/>
      <w:numFmt w:val="lowerLetter"/>
      <w:lvlText w:val="%2."/>
      <w:lvlJc w:val="left"/>
      <w:pPr>
        <w:ind w:left="1440" w:hanging="360"/>
      </w:pPr>
    </w:lvl>
    <w:lvl w:ilvl="2" w:tplc="EBCC90B4" w:tentative="1">
      <w:start w:val="1"/>
      <w:numFmt w:val="lowerRoman"/>
      <w:lvlText w:val="%3."/>
      <w:lvlJc w:val="right"/>
      <w:pPr>
        <w:ind w:left="2160" w:hanging="180"/>
      </w:pPr>
    </w:lvl>
    <w:lvl w:ilvl="3" w:tplc="F2C294C6" w:tentative="1">
      <w:start w:val="1"/>
      <w:numFmt w:val="decimal"/>
      <w:lvlText w:val="%4."/>
      <w:lvlJc w:val="left"/>
      <w:pPr>
        <w:ind w:left="2880" w:hanging="360"/>
      </w:pPr>
    </w:lvl>
    <w:lvl w:ilvl="4" w:tplc="1E6464D0" w:tentative="1">
      <w:start w:val="1"/>
      <w:numFmt w:val="lowerLetter"/>
      <w:lvlText w:val="%5."/>
      <w:lvlJc w:val="left"/>
      <w:pPr>
        <w:ind w:left="3600" w:hanging="360"/>
      </w:pPr>
    </w:lvl>
    <w:lvl w:ilvl="5" w:tplc="128CC208" w:tentative="1">
      <w:start w:val="1"/>
      <w:numFmt w:val="lowerRoman"/>
      <w:lvlText w:val="%6."/>
      <w:lvlJc w:val="right"/>
      <w:pPr>
        <w:ind w:left="4320" w:hanging="180"/>
      </w:pPr>
    </w:lvl>
    <w:lvl w:ilvl="6" w:tplc="23DE5856" w:tentative="1">
      <w:start w:val="1"/>
      <w:numFmt w:val="decimal"/>
      <w:lvlText w:val="%7."/>
      <w:lvlJc w:val="left"/>
      <w:pPr>
        <w:ind w:left="5040" w:hanging="360"/>
      </w:pPr>
    </w:lvl>
    <w:lvl w:ilvl="7" w:tplc="607C0C52" w:tentative="1">
      <w:start w:val="1"/>
      <w:numFmt w:val="lowerLetter"/>
      <w:lvlText w:val="%8."/>
      <w:lvlJc w:val="left"/>
      <w:pPr>
        <w:ind w:left="5760" w:hanging="360"/>
      </w:pPr>
    </w:lvl>
    <w:lvl w:ilvl="8" w:tplc="F64E8E60" w:tentative="1">
      <w:start w:val="1"/>
      <w:numFmt w:val="lowerRoman"/>
      <w:lvlText w:val="%9."/>
      <w:lvlJc w:val="right"/>
      <w:pPr>
        <w:ind w:left="6480" w:hanging="180"/>
      </w:pPr>
    </w:lvl>
  </w:abstractNum>
  <w:abstractNum w:abstractNumId="12" w15:restartNumberingAfterBreak="0">
    <w:nsid w:val="28BB52DE"/>
    <w:multiLevelType w:val="multilevel"/>
    <w:tmpl w:val="79E601F0"/>
    <w:lvl w:ilvl="0">
      <w:start w:val="1"/>
      <w:numFmt w:val="decimal"/>
      <w:pStyle w:val="Paragraphe"/>
      <w:lvlText w:val="[%1]"/>
      <w:lvlJc w:val="left"/>
      <w:pPr>
        <w:tabs>
          <w:tab w:val="num" w:pos="720"/>
        </w:tabs>
        <w:ind w:left="0" w:firstLine="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B411452"/>
    <w:multiLevelType w:val="hybridMultilevel"/>
    <w:tmpl w:val="06880036"/>
    <w:lvl w:ilvl="0" w:tplc="C728052A">
      <w:start w:val="1"/>
      <w:numFmt w:val="upperRoman"/>
      <w:lvlText w:val="%1."/>
      <w:lvlJc w:val="left"/>
      <w:pPr>
        <w:ind w:left="720" w:hanging="36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686089AE" w:tentative="1">
      <w:start w:val="1"/>
      <w:numFmt w:val="lowerLetter"/>
      <w:lvlText w:val="%2."/>
      <w:lvlJc w:val="left"/>
      <w:pPr>
        <w:ind w:left="1440" w:hanging="360"/>
      </w:pPr>
    </w:lvl>
    <w:lvl w:ilvl="2" w:tplc="621C62B4" w:tentative="1">
      <w:start w:val="1"/>
      <w:numFmt w:val="lowerRoman"/>
      <w:lvlText w:val="%3."/>
      <w:lvlJc w:val="right"/>
      <w:pPr>
        <w:ind w:left="2160" w:hanging="180"/>
      </w:pPr>
    </w:lvl>
    <w:lvl w:ilvl="3" w:tplc="197E5B22" w:tentative="1">
      <w:start w:val="1"/>
      <w:numFmt w:val="decimal"/>
      <w:lvlText w:val="%4."/>
      <w:lvlJc w:val="left"/>
      <w:pPr>
        <w:ind w:left="2880" w:hanging="360"/>
      </w:pPr>
    </w:lvl>
    <w:lvl w:ilvl="4" w:tplc="97621C1A" w:tentative="1">
      <w:start w:val="1"/>
      <w:numFmt w:val="lowerLetter"/>
      <w:lvlText w:val="%5."/>
      <w:lvlJc w:val="left"/>
      <w:pPr>
        <w:ind w:left="3600" w:hanging="360"/>
      </w:pPr>
    </w:lvl>
    <w:lvl w:ilvl="5" w:tplc="68446516" w:tentative="1">
      <w:start w:val="1"/>
      <w:numFmt w:val="lowerRoman"/>
      <w:lvlText w:val="%6."/>
      <w:lvlJc w:val="right"/>
      <w:pPr>
        <w:ind w:left="4320" w:hanging="180"/>
      </w:pPr>
    </w:lvl>
    <w:lvl w:ilvl="6" w:tplc="70561792" w:tentative="1">
      <w:start w:val="1"/>
      <w:numFmt w:val="decimal"/>
      <w:lvlText w:val="%7."/>
      <w:lvlJc w:val="left"/>
      <w:pPr>
        <w:ind w:left="5040" w:hanging="360"/>
      </w:pPr>
    </w:lvl>
    <w:lvl w:ilvl="7" w:tplc="90E2C668" w:tentative="1">
      <w:start w:val="1"/>
      <w:numFmt w:val="lowerLetter"/>
      <w:lvlText w:val="%8."/>
      <w:lvlJc w:val="left"/>
      <w:pPr>
        <w:ind w:left="5760" w:hanging="360"/>
      </w:pPr>
    </w:lvl>
    <w:lvl w:ilvl="8" w:tplc="059C997E" w:tentative="1">
      <w:start w:val="1"/>
      <w:numFmt w:val="lowerRoman"/>
      <w:lvlText w:val="%9."/>
      <w:lvlJc w:val="right"/>
      <w:pPr>
        <w:ind w:left="6480" w:hanging="180"/>
      </w:pPr>
    </w:lvl>
  </w:abstractNum>
  <w:abstractNum w:abstractNumId="14" w15:restartNumberingAfterBreak="0">
    <w:nsid w:val="2CC83918"/>
    <w:multiLevelType w:val="hybridMultilevel"/>
    <w:tmpl w:val="5C8486E0"/>
    <w:lvl w:ilvl="0" w:tplc="CC52F894">
      <w:numFmt w:val="bullet"/>
      <w:lvlText w:val="-"/>
      <w:lvlJc w:val="left"/>
      <w:pPr>
        <w:ind w:left="720" w:hanging="360"/>
      </w:pPr>
      <w:rPr>
        <w:rFonts w:ascii="Arial" w:eastAsia="Times New Roman" w:hAnsi="Arial" w:cs="Arial" w:hint="default"/>
      </w:rPr>
    </w:lvl>
    <w:lvl w:ilvl="1" w:tplc="C9181096" w:tentative="1">
      <w:start w:val="1"/>
      <w:numFmt w:val="bullet"/>
      <w:lvlText w:val="o"/>
      <w:lvlJc w:val="left"/>
      <w:pPr>
        <w:ind w:left="1440" w:hanging="360"/>
      </w:pPr>
      <w:rPr>
        <w:rFonts w:ascii="Courier New" w:hAnsi="Courier New" w:cs="Courier New" w:hint="default"/>
      </w:rPr>
    </w:lvl>
    <w:lvl w:ilvl="2" w:tplc="CFCA37C8" w:tentative="1">
      <w:start w:val="1"/>
      <w:numFmt w:val="bullet"/>
      <w:lvlText w:val=""/>
      <w:lvlJc w:val="left"/>
      <w:pPr>
        <w:ind w:left="2160" w:hanging="360"/>
      </w:pPr>
      <w:rPr>
        <w:rFonts w:ascii="Wingdings" w:hAnsi="Wingdings" w:hint="default"/>
      </w:rPr>
    </w:lvl>
    <w:lvl w:ilvl="3" w:tplc="4EF200B2" w:tentative="1">
      <w:start w:val="1"/>
      <w:numFmt w:val="bullet"/>
      <w:lvlText w:val=""/>
      <w:lvlJc w:val="left"/>
      <w:pPr>
        <w:ind w:left="2880" w:hanging="360"/>
      </w:pPr>
      <w:rPr>
        <w:rFonts w:ascii="Symbol" w:hAnsi="Symbol" w:hint="default"/>
      </w:rPr>
    </w:lvl>
    <w:lvl w:ilvl="4" w:tplc="28326C26" w:tentative="1">
      <w:start w:val="1"/>
      <w:numFmt w:val="bullet"/>
      <w:lvlText w:val="o"/>
      <w:lvlJc w:val="left"/>
      <w:pPr>
        <w:ind w:left="3600" w:hanging="360"/>
      </w:pPr>
      <w:rPr>
        <w:rFonts w:ascii="Courier New" w:hAnsi="Courier New" w:cs="Courier New" w:hint="default"/>
      </w:rPr>
    </w:lvl>
    <w:lvl w:ilvl="5" w:tplc="4984DEEC" w:tentative="1">
      <w:start w:val="1"/>
      <w:numFmt w:val="bullet"/>
      <w:lvlText w:val=""/>
      <w:lvlJc w:val="left"/>
      <w:pPr>
        <w:ind w:left="4320" w:hanging="360"/>
      </w:pPr>
      <w:rPr>
        <w:rFonts w:ascii="Wingdings" w:hAnsi="Wingdings" w:hint="default"/>
      </w:rPr>
    </w:lvl>
    <w:lvl w:ilvl="6" w:tplc="ADC05388" w:tentative="1">
      <w:start w:val="1"/>
      <w:numFmt w:val="bullet"/>
      <w:lvlText w:val=""/>
      <w:lvlJc w:val="left"/>
      <w:pPr>
        <w:ind w:left="5040" w:hanging="360"/>
      </w:pPr>
      <w:rPr>
        <w:rFonts w:ascii="Symbol" w:hAnsi="Symbol" w:hint="default"/>
      </w:rPr>
    </w:lvl>
    <w:lvl w:ilvl="7" w:tplc="0528198A" w:tentative="1">
      <w:start w:val="1"/>
      <w:numFmt w:val="bullet"/>
      <w:lvlText w:val="o"/>
      <w:lvlJc w:val="left"/>
      <w:pPr>
        <w:ind w:left="5760" w:hanging="360"/>
      </w:pPr>
      <w:rPr>
        <w:rFonts w:ascii="Courier New" w:hAnsi="Courier New" w:cs="Courier New" w:hint="default"/>
      </w:rPr>
    </w:lvl>
    <w:lvl w:ilvl="8" w:tplc="3B8CB5D2" w:tentative="1">
      <w:start w:val="1"/>
      <w:numFmt w:val="bullet"/>
      <w:lvlText w:val=""/>
      <w:lvlJc w:val="left"/>
      <w:pPr>
        <w:ind w:left="6480" w:hanging="360"/>
      </w:pPr>
      <w:rPr>
        <w:rFonts w:ascii="Wingdings" w:hAnsi="Wingdings" w:hint="default"/>
      </w:rPr>
    </w:lvl>
  </w:abstractNum>
  <w:abstractNum w:abstractNumId="15" w15:restartNumberingAfterBreak="0">
    <w:nsid w:val="30403584"/>
    <w:multiLevelType w:val="multilevel"/>
    <w:tmpl w:val="2BB4F5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4E001C"/>
    <w:multiLevelType w:val="hybridMultilevel"/>
    <w:tmpl w:val="06B82882"/>
    <w:lvl w:ilvl="0" w:tplc="02E67EAE">
      <w:numFmt w:val="bullet"/>
      <w:lvlText w:val="-"/>
      <w:lvlJc w:val="left"/>
      <w:pPr>
        <w:ind w:left="720" w:hanging="360"/>
      </w:pPr>
      <w:rPr>
        <w:rFonts w:ascii="Arial" w:eastAsia="Times New Roman" w:hAnsi="Arial" w:cs="Arial" w:hint="default"/>
      </w:rPr>
    </w:lvl>
    <w:lvl w:ilvl="1" w:tplc="434E71FC" w:tentative="1">
      <w:start w:val="1"/>
      <w:numFmt w:val="bullet"/>
      <w:lvlText w:val="o"/>
      <w:lvlJc w:val="left"/>
      <w:pPr>
        <w:ind w:left="1440" w:hanging="360"/>
      </w:pPr>
      <w:rPr>
        <w:rFonts w:ascii="Courier New" w:hAnsi="Courier New" w:cs="Courier New" w:hint="default"/>
      </w:rPr>
    </w:lvl>
    <w:lvl w:ilvl="2" w:tplc="6E588AEA" w:tentative="1">
      <w:start w:val="1"/>
      <w:numFmt w:val="bullet"/>
      <w:lvlText w:val=""/>
      <w:lvlJc w:val="left"/>
      <w:pPr>
        <w:ind w:left="2160" w:hanging="360"/>
      </w:pPr>
      <w:rPr>
        <w:rFonts w:ascii="Wingdings" w:hAnsi="Wingdings" w:hint="default"/>
      </w:rPr>
    </w:lvl>
    <w:lvl w:ilvl="3" w:tplc="AFEEC62A" w:tentative="1">
      <w:start w:val="1"/>
      <w:numFmt w:val="bullet"/>
      <w:lvlText w:val=""/>
      <w:lvlJc w:val="left"/>
      <w:pPr>
        <w:ind w:left="2880" w:hanging="360"/>
      </w:pPr>
      <w:rPr>
        <w:rFonts w:ascii="Symbol" w:hAnsi="Symbol" w:hint="default"/>
      </w:rPr>
    </w:lvl>
    <w:lvl w:ilvl="4" w:tplc="B11C069C" w:tentative="1">
      <w:start w:val="1"/>
      <w:numFmt w:val="bullet"/>
      <w:lvlText w:val="o"/>
      <w:lvlJc w:val="left"/>
      <w:pPr>
        <w:ind w:left="3600" w:hanging="360"/>
      </w:pPr>
      <w:rPr>
        <w:rFonts w:ascii="Courier New" w:hAnsi="Courier New" w:cs="Courier New" w:hint="default"/>
      </w:rPr>
    </w:lvl>
    <w:lvl w:ilvl="5" w:tplc="02A6F76C" w:tentative="1">
      <w:start w:val="1"/>
      <w:numFmt w:val="bullet"/>
      <w:lvlText w:val=""/>
      <w:lvlJc w:val="left"/>
      <w:pPr>
        <w:ind w:left="4320" w:hanging="360"/>
      </w:pPr>
      <w:rPr>
        <w:rFonts w:ascii="Wingdings" w:hAnsi="Wingdings" w:hint="default"/>
      </w:rPr>
    </w:lvl>
    <w:lvl w:ilvl="6" w:tplc="9B405170" w:tentative="1">
      <w:start w:val="1"/>
      <w:numFmt w:val="bullet"/>
      <w:lvlText w:val=""/>
      <w:lvlJc w:val="left"/>
      <w:pPr>
        <w:ind w:left="5040" w:hanging="360"/>
      </w:pPr>
      <w:rPr>
        <w:rFonts w:ascii="Symbol" w:hAnsi="Symbol" w:hint="default"/>
      </w:rPr>
    </w:lvl>
    <w:lvl w:ilvl="7" w:tplc="CA886090" w:tentative="1">
      <w:start w:val="1"/>
      <w:numFmt w:val="bullet"/>
      <w:lvlText w:val="o"/>
      <w:lvlJc w:val="left"/>
      <w:pPr>
        <w:ind w:left="5760" w:hanging="360"/>
      </w:pPr>
      <w:rPr>
        <w:rFonts w:ascii="Courier New" w:hAnsi="Courier New" w:cs="Courier New" w:hint="default"/>
      </w:rPr>
    </w:lvl>
    <w:lvl w:ilvl="8" w:tplc="E5D0FFC6" w:tentative="1">
      <w:start w:val="1"/>
      <w:numFmt w:val="bullet"/>
      <w:lvlText w:val=""/>
      <w:lvlJc w:val="left"/>
      <w:pPr>
        <w:ind w:left="6480" w:hanging="360"/>
      </w:pPr>
      <w:rPr>
        <w:rFonts w:ascii="Wingdings" w:hAnsi="Wingdings" w:hint="default"/>
      </w:rPr>
    </w:lvl>
  </w:abstractNum>
  <w:abstractNum w:abstractNumId="17" w15:restartNumberingAfterBreak="0">
    <w:nsid w:val="3FE91D6F"/>
    <w:multiLevelType w:val="hybridMultilevel"/>
    <w:tmpl w:val="31365508"/>
    <w:lvl w:ilvl="0" w:tplc="CDF488EA">
      <w:start w:val="1"/>
      <w:numFmt w:val="lowerLetter"/>
      <w:pStyle w:val="Titre2"/>
      <w:lvlText w:val="%1)"/>
      <w:lvlJc w:val="left"/>
      <w:pPr>
        <w:ind w:left="6840" w:hanging="360"/>
      </w:pPr>
    </w:lvl>
    <w:lvl w:ilvl="1" w:tplc="DCA4FBFA">
      <w:start w:val="1"/>
      <w:numFmt w:val="lowerLetter"/>
      <w:lvlText w:val="%2."/>
      <w:lvlJc w:val="left"/>
      <w:pPr>
        <w:ind w:left="7560" w:hanging="360"/>
      </w:pPr>
    </w:lvl>
    <w:lvl w:ilvl="2" w:tplc="5344E7C0" w:tentative="1">
      <w:start w:val="1"/>
      <w:numFmt w:val="lowerRoman"/>
      <w:lvlText w:val="%3."/>
      <w:lvlJc w:val="right"/>
      <w:pPr>
        <w:ind w:left="8280" w:hanging="180"/>
      </w:pPr>
    </w:lvl>
    <w:lvl w:ilvl="3" w:tplc="5CA00236" w:tentative="1">
      <w:start w:val="1"/>
      <w:numFmt w:val="decimal"/>
      <w:lvlText w:val="%4."/>
      <w:lvlJc w:val="left"/>
      <w:pPr>
        <w:ind w:left="9000" w:hanging="360"/>
      </w:pPr>
    </w:lvl>
    <w:lvl w:ilvl="4" w:tplc="1FD45EEC" w:tentative="1">
      <w:start w:val="1"/>
      <w:numFmt w:val="lowerLetter"/>
      <w:lvlText w:val="%5."/>
      <w:lvlJc w:val="left"/>
      <w:pPr>
        <w:ind w:left="9720" w:hanging="360"/>
      </w:pPr>
    </w:lvl>
    <w:lvl w:ilvl="5" w:tplc="E632B1EC" w:tentative="1">
      <w:start w:val="1"/>
      <w:numFmt w:val="lowerRoman"/>
      <w:lvlText w:val="%6."/>
      <w:lvlJc w:val="right"/>
      <w:pPr>
        <w:ind w:left="10440" w:hanging="180"/>
      </w:pPr>
    </w:lvl>
    <w:lvl w:ilvl="6" w:tplc="343C5AFE" w:tentative="1">
      <w:start w:val="1"/>
      <w:numFmt w:val="decimal"/>
      <w:lvlText w:val="%7."/>
      <w:lvlJc w:val="left"/>
      <w:pPr>
        <w:ind w:left="11160" w:hanging="360"/>
      </w:pPr>
    </w:lvl>
    <w:lvl w:ilvl="7" w:tplc="39DAC978" w:tentative="1">
      <w:start w:val="1"/>
      <w:numFmt w:val="lowerLetter"/>
      <w:lvlText w:val="%8."/>
      <w:lvlJc w:val="left"/>
      <w:pPr>
        <w:ind w:left="11880" w:hanging="360"/>
      </w:pPr>
    </w:lvl>
    <w:lvl w:ilvl="8" w:tplc="A1B4FDE8" w:tentative="1">
      <w:start w:val="1"/>
      <w:numFmt w:val="lowerRoman"/>
      <w:lvlText w:val="%9."/>
      <w:lvlJc w:val="right"/>
      <w:pPr>
        <w:ind w:left="12600" w:hanging="180"/>
      </w:pPr>
    </w:lvl>
  </w:abstractNum>
  <w:abstractNum w:abstractNumId="18"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1BA19DA"/>
    <w:multiLevelType w:val="hybridMultilevel"/>
    <w:tmpl w:val="0748CC34"/>
    <w:lvl w:ilvl="0" w:tplc="AB78A8D2">
      <w:start w:val="1"/>
      <w:numFmt w:val="bullet"/>
      <w:lvlText w:val=""/>
      <w:lvlJc w:val="left"/>
      <w:pPr>
        <w:ind w:left="1434" w:hanging="360"/>
      </w:pPr>
      <w:rPr>
        <w:rFonts w:ascii="Symbol" w:hAnsi="Symbol" w:hint="default"/>
      </w:rPr>
    </w:lvl>
    <w:lvl w:ilvl="1" w:tplc="099609DC" w:tentative="1">
      <w:start w:val="1"/>
      <w:numFmt w:val="bullet"/>
      <w:lvlText w:val="o"/>
      <w:lvlJc w:val="left"/>
      <w:pPr>
        <w:ind w:left="2154" w:hanging="360"/>
      </w:pPr>
      <w:rPr>
        <w:rFonts w:ascii="Courier New" w:hAnsi="Courier New" w:cs="Courier New" w:hint="default"/>
      </w:rPr>
    </w:lvl>
    <w:lvl w:ilvl="2" w:tplc="924E4AC0" w:tentative="1">
      <w:start w:val="1"/>
      <w:numFmt w:val="bullet"/>
      <w:lvlText w:val=""/>
      <w:lvlJc w:val="left"/>
      <w:pPr>
        <w:ind w:left="2874" w:hanging="360"/>
      </w:pPr>
      <w:rPr>
        <w:rFonts w:ascii="Wingdings" w:hAnsi="Wingdings" w:hint="default"/>
      </w:rPr>
    </w:lvl>
    <w:lvl w:ilvl="3" w:tplc="1CD46F40" w:tentative="1">
      <w:start w:val="1"/>
      <w:numFmt w:val="bullet"/>
      <w:lvlText w:val=""/>
      <w:lvlJc w:val="left"/>
      <w:pPr>
        <w:ind w:left="3594" w:hanging="360"/>
      </w:pPr>
      <w:rPr>
        <w:rFonts w:ascii="Symbol" w:hAnsi="Symbol" w:hint="default"/>
      </w:rPr>
    </w:lvl>
    <w:lvl w:ilvl="4" w:tplc="4FAE1D90" w:tentative="1">
      <w:start w:val="1"/>
      <w:numFmt w:val="bullet"/>
      <w:lvlText w:val="o"/>
      <w:lvlJc w:val="left"/>
      <w:pPr>
        <w:ind w:left="4314" w:hanging="360"/>
      </w:pPr>
      <w:rPr>
        <w:rFonts w:ascii="Courier New" w:hAnsi="Courier New" w:cs="Courier New" w:hint="default"/>
      </w:rPr>
    </w:lvl>
    <w:lvl w:ilvl="5" w:tplc="72E2BD04" w:tentative="1">
      <w:start w:val="1"/>
      <w:numFmt w:val="bullet"/>
      <w:lvlText w:val=""/>
      <w:lvlJc w:val="left"/>
      <w:pPr>
        <w:ind w:left="5034" w:hanging="360"/>
      </w:pPr>
      <w:rPr>
        <w:rFonts w:ascii="Wingdings" w:hAnsi="Wingdings" w:hint="default"/>
      </w:rPr>
    </w:lvl>
    <w:lvl w:ilvl="6" w:tplc="D9A63278" w:tentative="1">
      <w:start w:val="1"/>
      <w:numFmt w:val="bullet"/>
      <w:lvlText w:val=""/>
      <w:lvlJc w:val="left"/>
      <w:pPr>
        <w:ind w:left="5754" w:hanging="360"/>
      </w:pPr>
      <w:rPr>
        <w:rFonts w:ascii="Symbol" w:hAnsi="Symbol" w:hint="default"/>
      </w:rPr>
    </w:lvl>
    <w:lvl w:ilvl="7" w:tplc="7FB4BDDE" w:tentative="1">
      <w:start w:val="1"/>
      <w:numFmt w:val="bullet"/>
      <w:lvlText w:val="o"/>
      <w:lvlJc w:val="left"/>
      <w:pPr>
        <w:ind w:left="6474" w:hanging="360"/>
      </w:pPr>
      <w:rPr>
        <w:rFonts w:ascii="Courier New" w:hAnsi="Courier New" w:cs="Courier New" w:hint="default"/>
      </w:rPr>
    </w:lvl>
    <w:lvl w:ilvl="8" w:tplc="63CE2FC8" w:tentative="1">
      <w:start w:val="1"/>
      <w:numFmt w:val="bullet"/>
      <w:lvlText w:val=""/>
      <w:lvlJc w:val="left"/>
      <w:pPr>
        <w:ind w:left="7194" w:hanging="360"/>
      </w:pPr>
      <w:rPr>
        <w:rFonts w:ascii="Wingdings" w:hAnsi="Wingdings" w:hint="default"/>
      </w:rPr>
    </w:lvl>
  </w:abstractNum>
  <w:abstractNum w:abstractNumId="20" w15:restartNumberingAfterBreak="0">
    <w:nsid w:val="5C992B75"/>
    <w:multiLevelType w:val="multilevel"/>
    <w:tmpl w:val="462C8E88"/>
    <w:lvl w:ilvl="0">
      <w:start w:val="1"/>
      <w:numFmt w:val="bullet"/>
      <w:pStyle w:val="Tiret"/>
      <w:lvlText w:val="-"/>
      <w:lvlJc w:val="left"/>
      <w:pPr>
        <w:tabs>
          <w:tab w:val="num" w:pos="1080"/>
        </w:tabs>
        <w:ind w:left="720" w:firstLine="0"/>
      </w:pPr>
      <w:rPr>
        <w:rFonts w:hint="default"/>
      </w:rPr>
    </w:lvl>
    <w:lvl w:ilvl="1">
      <w:start w:val="1"/>
      <w:numFmt w:val="bullet"/>
      <w:lvlText w:val=""/>
      <w:lvlJc w:val="left"/>
      <w:pPr>
        <w:tabs>
          <w:tab w:val="num" w:pos="1512"/>
        </w:tabs>
        <w:ind w:left="1512" w:hanging="432"/>
      </w:pPr>
      <w:rPr>
        <w:rFonts w:ascii="Symbol" w:hAnsi="Symbol"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1"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786F1EAF"/>
    <w:multiLevelType w:val="hybridMultilevel"/>
    <w:tmpl w:val="B38EFE1A"/>
    <w:lvl w:ilvl="0" w:tplc="FA949C82">
      <w:start w:val="1"/>
      <w:numFmt w:val="bullet"/>
      <w:lvlText w:val=""/>
      <w:lvlJc w:val="left"/>
      <w:pPr>
        <w:ind w:left="1440" w:hanging="360"/>
      </w:pPr>
      <w:rPr>
        <w:rFonts w:ascii="Symbol" w:hAnsi="Symbol" w:hint="default"/>
      </w:rPr>
    </w:lvl>
    <w:lvl w:ilvl="1" w:tplc="BBB0F748" w:tentative="1">
      <w:start w:val="1"/>
      <w:numFmt w:val="bullet"/>
      <w:lvlText w:val="o"/>
      <w:lvlJc w:val="left"/>
      <w:pPr>
        <w:ind w:left="2160" w:hanging="360"/>
      </w:pPr>
      <w:rPr>
        <w:rFonts w:ascii="Courier New" w:hAnsi="Courier New" w:cs="Courier New" w:hint="default"/>
      </w:rPr>
    </w:lvl>
    <w:lvl w:ilvl="2" w:tplc="2C24BB26" w:tentative="1">
      <w:start w:val="1"/>
      <w:numFmt w:val="bullet"/>
      <w:lvlText w:val=""/>
      <w:lvlJc w:val="left"/>
      <w:pPr>
        <w:ind w:left="2880" w:hanging="360"/>
      </w:pPr>
      <w:rPr>
        <w:rFonts w:ascii="Wingdings" w:hAnsi="Wingdings" w:hint="default"/>
      </w:rPr>
    </w:lvl>
    <w:lvl w:ilvl="3" w:tplc="554EF0A0" w:tentative="1">
      <w:start w:val="1"/>
      <w:numFmt w:val="bullet"/>
      <w:lvlText w:val=""/>
      <w:lvlJc w:val="left"/>
      <w:pPr>
        <w:ind w:left="3600" w:hanging="360"/>
      </w:pPr>
      <w:rPr>
        <w:rFonts w:ascii="Symbol" w:hAnsi="Symbol" w:hint="default"/>
      </w:rPr>
    </w:lvl>
    <w:lvl w:ilvl="4" w:tplc="E1563718" w:tentative="1">
      <w:start w:val="1"/>
      <w:numFmt w:val="bullet"/>
      <w:lvlText w:val="o"/>
      <w:lvlJc w:val="left"/>
      <w:pPr>
        <w:ind w:left="4320" w:hanging="360"/>
      </w:pPr>
      <w:rPr>
        <w:rFonts w:ascii="Courier New" w:hAnsi="Courier New" w:cs="Courier New" w:hint="default"/>
      </w:rPr>
    </w:lvl>
    <w:lvl w:ilvl="5" w:tplc="DE0609D4" w:tentative="1">
      <w:start w:val="1"/>
      <w:numFmt w:val="bullet"/>
      <w:lvlText w:val=""/>
      <w:lvlJc w:val="left"/>
      <w:pPr>
        <w:ind w:left="5040" w:hanging="360"/>
      </w:pPr>
      <w:rPr>
        <w:rFonts w:ascii="Wingdings" w:hAnsi="Wingdings" w:hint="default"/>
      </w:rPr>
    </w:lvl>
    <w:lvl w:ilvl="6" w:tplc="6C927F1E" w:tentative="1">
      <w:start w:val="1"/>
      <w:numFmt w:val="bullet"/>
      <w:lvlText w:val=""/>
      <w:lvlJc w:val="left"/>
      <w:pPr>
        <w:ind w:left="5760" w:hanging="360"/>
      </w:pPr>
      <w:rPr>
        <w:rFonts w:ascii="Symbol" w:hAnsi="Symbol" w:hint="default"/>
      </w:rPr>
    </w:lvl>
    <w:lvl w:ilvl="7" w:tplc="34D67A3A" w:tentative="1">
      <w:start w:val="1"/>
      <w:numFmt w:val="bullet"/>
      <w:lvlText w:val="o"/>
      <w:lvlJc w:val="left"/>
      <w:pPr>
        <w:ind w:left="6480" w:hanging="360"/>
      </w:pPr>
      <w:rPr>
        <w:rFonts w:ascii="Courier New" w:hAnsi="Courier New" w:cs="Courier New" w:hint="default"/>
      </w:rPr>
    </w:lvl>
    <w:lvl w:ilvl="8" w:tplc="8D58D37C" w:tentative="1">
      <w:start w:val="1"/>
      <w:numFmt w:val="bullet"/>
      <w:lvlText w:val=""/>
      <w:lvlJc w:val="left"/>
      <w:pPr>
        <w:ind w:left="7200" w:hanging="360"/>
      </w:pPr>
      <w:rPr>
        <w:rFonts w:ascii="Wingdings" w:hAnsi="Wingdings" w:hint="default"/>
      </w:rPr>
    </w:lvl>
  </w:abstractNum>
  <w:num w:numId="1" w16cid:durableId="140581133">
    <w:abstractNumId w:val="21"/>
  </w:num>
  <w:num w:numId="2" w16cid:durableId="508447524">
    <w:abstractNumId w:val="21"/>
  </w:num>
  <w:num w:numId="3" w16cid:durableId="960913943">
    <w:abstractNumId w:val="21"/>
  </w:num>
  <w:num w:numId="4" w16cid:durableId="125778644">
    <w:abstractNumId w:val="8"/>
  </w:num>
  <w:num w:numId="5" w16cid:durableId="643656399">
    <w:abstractNumId w:val="3"/>
  </w:num>
  <w:num w:numId="6" w16cid:durableId="29844511">
    <w:abstractNumId w:val="2"/>
  </w:num>
  <w:num w:numId="7" w16cid:durableId="2124962326">
    <w:abstractNumId w:val="1"/>
  </w:num>
  <w:num w:numId="8" w16cid:durableId="959796818">
    <w:abstractNumId w:val="0"/>
  </w:num>
  <w:num w:numId="9" w16cid:durableId="1763574252">
    <w:abstractNumId w:val="9"/>
  </w:num>
  <w:num w:numId="10" w16cid:durableId="1264607309">
    <w:abstractNumId w:val="7"/>
  </w:num>
  <w:num w:numId="11" w16cid:durableId="676613624">
    <w:abstractNumId w:val="6"/>
  </w:num>
  <w:num w:numId="12" w16cid:durableId="1685128602">
    <w:abstractNumId w:val="5"/>
  </w:num>
  <w:num w:numId="13" w16cid:durableId="273947591">
    <w:abstractNumId w:val="4"/>
  </w:num>
  <w:num w:numId="14" w16cid:durableId="791827939">
    <w:abstractNumId w:val="21"/>
  </w:num>
  <w:num w:numId="15" w16cid:durableId="425811243">
    <w:abstractNumId w:val="21"/>
  </w:num>
  <w:num w:numId="16" w16cid:durableId="1408960602">
    <w:abstractNumId w:val="21"/>
  </w:num>
  <w:num w:numId="17" w16cid:durableId="1813057878">
    <w:abstractNumId w:val="18"/>
  </w:num>
  <w:num w:numId="18" w16cid:durableId="1728335987">
    <w:abstractNumId w:val="12"/>
  </w:num>
  <w:num w:numId="19" w16cid:durableId="270746579">
    <w:abstractNumId w:val="16"/>
  </w:num>
  <w:num w:numId="20" w16cid:durableId="2046834448">
    <w:abstractNumId w:val="14"/>
  </w:num>
  <w:num w:numId="21" w16cid:durableId="1661084220">
    <w:abstractNumId w:val="19"/>
  </w:num>
  <w:num w:numId="22" w16cid:durableId="189800991">
    <w:abstractNumId w:val="11"/>
  </w:num>
  <w:num w:numId="23" w16cid:durableId="880046570">
    <w:abstractNumId w:val="13"/>
  </w:num>
  <w:num w:numId="24" w16cid:durableId="1839420609">
    <w:abstractNumId w:val="15"/>
  </w:num>
  <w:num w:numId="25" w16cid:durableId="1741948815">
    <w:abstractNumId w:val="20"/>
  </w:num>
  <w:num w:numId="26" w16cid:durableId="57364437">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lowerLetter"/>
        <w:lvlText w:val="%3)"/>
        <w:lvlJc w:val="left"/>
        <w:pPr>
          <w:ind w:left="1224" w:hanging="504"/>
        </w:pPr>
        <w:rPr>
          <w:rFonts w:hint="default"/>
        </w:rPr>
      </w:lvl>
    </w:lvlOverride>
    <w:lvlOverride w:ilvl="3">
      <w:lvl w:ilvl="3">
        <w:start w:val="1"/>
        <w:numFmt w:val="lowerRoman"/>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16cid:durableId="1071737034">
    <w:abstractNumId w:val="22"/>
  </w:num>
  <w:num w:numId="28" w16cid:durableId="1382899906">
    <w:abstractNumId w:val="17"/>
  </w:num>
  <w:num w:numId="29" w16cid:durableId="17274116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NBChoix" w:val="3"/>
    <w:docVar w:name="MotifJuge1" w:val="MOTIFS DU JUGE"/>
    <w:docVar w:name="MotifJuge2" w:val="MOTIFS DU JUGE"/>
    <w:docVar w:name="MotifJuge3" w:val="MOTIFS DE LA JUGE"/>
    <w:docVar w:name="NomFamJuge1" w:val="SCHRAGER"/>
    <w:docVar w:name="NomFamJuge2" w:val="HEALY"/>
    <w:docVar w:name="NomFamJuge3" w:val="BAUDOUIN"/>
    <w:docVar w:name="NomFamJuge4" w:val="MAILHOT"/>
    <w:docVar w:name="NomFamJuge5" w:val="BAUDOUIN"/>
    <w:docVar w:name="QteJuge1" w:val=", J.C.A."/>
    <w:docVar w:name="QteJuge2" w:val=", J.C.A."/>
    <w:docVar w:name="QteJuge3" w:val=", J.C.A."/>
    <w:docVar w:name="stPremiereFois" w:val="Non"/>
  </w:docVars>
  <w:rsids>
    <w:rsidRoot w:val="00180223"/>
    <w:rsid w:val="0000265C"/>
    <w:rsid w:val="000131E1"/>
    <w:rsid w:val="00022A40"/>
    <w:rsid w:val="00022B2F"/>
    <w:rsid w:val="00022B93"/>
    <w:rsid w:val="00033486"/>
    <w:rsid w:val="00035713"/>
    <w:rsid w:val="000363A1"/>
    <w:rsid w:val="000429A4"/>
    <w:rsid w:val="0004394C"/>
    <w:rsid w:val="000453D6"/>
    <w:rsid w:val="00050131"/>
    <w:rsid w:val="00053691"/>
    <w:rsid w:val="000622FA"/>
    <w:rsid w:val="00062CA3"/>
    <w:rsid w:val="00064634"/>
    <w:rsid w:val="00075735"/>
    <w:rsid w:val="0007629D"/>
    <w:rsid w:val="000A7024"/>
    <w:rsid w:val="000A7516"/>
    <w:rsid w:val="000B42AF"/>
    <w:rsid w:val="000C4C29"/>
    <w:rsid w:val="000C578D"/>
    <w:rsid w:val="000D7464"/>
    <w:rsid w:val="000E14D0"/>
    <w:rsid w:val="00100195"/>
    <w:rsid w:val="00107067"/>
    <w:rsid w:val="00110B53"/>
    <w:rsid w:val="00112321"/>
    <w:rsid w:val="00117914"/>
    <w:rsid w:val="00117DE9"/>
    <w:rsid w:val="0013028C"/>
    <w:rsid w:val="00136571"/>
    <w:rsid w:val="00140AFE"/>
    <w:rsid w:val="0015610F"/>
    <w:rsid w:val="00160B31"/>
    <w:rsid w:val="00171B26"/>
    <w:rsid w:val="00171C13"/>
    <w:rsid w:val="00180223"/>
    <w:rsid w:val="00181F56"/>
    <w:rsid w:val="001905DE"/>
    <w:rsid w:val="00190FA7"/>
    <w:rsid w:val="00193ED3"/>
    <w:rsid w:val="001972F2"/>
    <w:rsid w:val="001A6BBA"/>
    <w:rsid w:val="001A7E74"/>
    <w:rsid w:val="001B035B"/>
    <w:rsid w:val="001C5D32"/>
    <w:rsid w:val="001D5A5F"/>
    <w:rsid w:val="001D7B4D"/>
    <w:rsid w:val="001E6405"/>
    <w:rsid w:val="001F2DF4"/>
    <w:rsid w:val="00205DC4"/>
    <w:rsid w:val="00207C31"/>
    <w:rsid w:val="0021094E"/>
    <w:rsid w:val="0021548E"/>
    <w:rsid w:val="0021741F"/>
    <w:rsid w:val="00220C55"/>
    <w:rsid w:val="00223D8B"/>
    <w:rsid w:val="00224EF6"/>
    <w:rsid w:val="00225E03"/>
    <w:rsid w:val="002273F5"/>
    <w:rsid w:val="0023716C"/>
    <w:rsid w:val="00244D4F"/>
    <w:rsid w:val="00245C83"/>
    <w:rsid w:val="002724F2"/>
    <w:rsid w:val="00273DF5"/>
    <w:rsid w:val="00287689"/>
    <w:rsid w:val="00295AA7"/>
    <w:rsid w:val="002A226C"/>
    <w:rsid w:val="002A248D"/>
    <w:rsid w:val="002B4A07"/>
    <w:rsid w:val="002C0652"/>
    <w:rsid w:val="002C2441"/>
    <w:rsid w:val="002C4107"/>
    <w:rsid w:val="002D1731"/>
    <w:rsid w:val="002D20DC"/>
    <w:rsid w:val="002D4CC8"/>
    <w:rsid w:val="002E15A1"/>
    <w:rsid w:val="002E1F0E"/>
    <w:rsid w:val="002E229C"/>
    <w:rsid w:val="002E51F1"/>
    <w:rsid w:val="002E7C51"/>
    <w:rsid w:val="002F1350"/>
    <w:rsid w:val="002F6136"/>
    <w:rsid w:val="00306360"/>
    <w:rsid w:val="00311AAC"/>
    <w:rsid w:val="00316C54"/>
    <w:rsid w:val="00322DE0"/>
    <w:rsid w:val="0032363D"/>
    <w:rsid w:val="00330193"/>
    <w:rsid w:val="0033190E"/>
    <w:rsid w:val="0035179A"/>
    <w:rsid w:val="00354272"/>
    <w:rsid w:val="00357B15"/>
    <w:rsid w:val="00360B1C"/>
    <w:rsid w:val="00361325"/>
    <w:rsid w:val="00361CA0"/>
    <w:rsid w:val="00362D61"/>
    <w:rsid w:val="0036460A"/>
    <w:rsid w:val="003669E6"/>
    <w:rsid w:val="00374888"/>
    <w:rsid w:val="00374E40"/>
    <w:rsid w:val="00383DD1"/>
    <w:rsid w:val="003B3F39"/>
    <w:rsid w:val="003C31C7"/>
    <w:rsid w:val="003C3E3C"/>
    <w:rsid w:val="003C6693"/>
    <w:rsid w:val="003D4404"/>
    <w:rsid w:val="003D487D"/>
    <w:rsid w:val="003E1FF8"/>
    <w:rsid w:val="003E3239"/>
    <w:rsid w:val="003E3E3C"/>
    <w:rsid w:val="003E4CD7"/>
    <w:rsid w:val="003E6BCE"/>
    <w:rsid w:val="003F70D7"/>
    <w:rsid w:val="004002DD"/>
    <w:rsid w:val="00406279"/>
    <w:rsid w:val="00417108"/>
    <w:rsid w:val="00417805"/>
    <w:rsid w:val="00422128"/>
    <w:rsid w:val="00423DF1"/>
    <w:rsid w:val="0042435C"/>
    <w:rsid w:val="00430C58"/>
    <w:rsid w:val="004331C4"/>
    <w:rsid w:val="0043564D"/>
    <w:rsid w:val="00441C25"/>
    <w:rsid w:val="00444793"/>
    <w:rsid w:val="004455E2"/>
    <w:rsid w:val="00446452"/>
    <w:rsid w:val="00454E27"/>
    <w:rsid w:val="00456ED7"/>
    <w:rsid w:val="0046223E"/>
    <w:rsid w:val="0046336F"/>
    <w:rsid w:val="00465B4E"/>
    <w:rsid w:val="0047282D"/>
    <w:rsid w:val="00472DC8"/>
    <w:rsid w:val="004802EC"/>
    <w:rsid w:val="00480658"/>
    <w:rsid w:val="00482B3E"/>
    <w:rsid w:val="004913C3"/>
    <w:rsid w:val="004A29F1"/>
    <w:rsid w:val="004A6641"/>
    <w:rsid w:val="004A69CE"/>
    <w:rsid w:val="004A70D3"/>
    <w:rsid w:val="004B1E94"/>
    <w:rsid w:val="004B33FF"/>
    <w:rsid w:val="004B4498"/>
    <w:rsid w:val="004C4B24"/>
    <w:rsid w:val="004D2F69"/>
    <w:rsid w:val="004D68FF"/>
    <w:rsid w:val="004E4FBA"/>
    <w:rsid w:val="004E66E0"/>
    <w:rsid w:val="004E6A6C"/>
    <w:rsid w:val="004F208D"/>
    <w:rsid w:val="004F529B"/>
    <w:rsid w:val="005131F1"/>
    <w:rsid w:val="0051484F"/>
    <w:rsid w:val="00516B3E"/>
    <w:rsid w:val="005262C9"/>
    <w:rsid w:val="005311A3"/>
    <w:rsid w:val="00531D70"/>
    <w:rsid w:val="00534AD6"/>
    <w:rsid w:val="00541FF5"/>
    <w:rsid w:val="00552924"/>
    <w:rsid w:val="00554F67"/>
    <w:rsid w:val="00566BF6"/>
    <w:rsid w:val="0057099C"/>
    <w:rsid w:val="00574820"/>
    <w:rsid w:val="005825A5"/>
    <w:rsid w:val="00583434"/>
    <w:rsid w:val="0058349F"/>
    <w:rsid w:val="00586D46"/>
    <w:rsid w:val="005A73DA"/>
    <w:rsid w:val="005A78BF"/>
    <w:rsid w:val="005B6B4C"/>
    <w:rsid w:val="005C7516"/>
    <w:rsid w:val="005D1522"/>
    <w:rsid w:val="005D1ACF"/>
    <w:rsid w:val="005D2906"/>
    <w:rsid w:val="005D4640"/>
    <w:rsid w:val="005E02C5"/>
    <w:rsid w:val="005E16F6"/>
    <w:rsid w:val="005E50FC"/>
    <w:rsid w:val="005F24AB"/>
    <w:rsid w:val="005F5F5F"/>
    <w:rsid w:val="00603CBA"/>
    <w:rsid w:val="00607747"/>
    <w:rsid w:val="00620491"/>
    <w:rsid w:val="00622EDE"/>
    <w:rsid w:val="00624770"/>
    <w:rsid w:val="00626A76"/>
    <w:rsid w:val="0063241B"/>
    <w:rsid w:val="00632AFF"/>
    <w:rsid w:val="00637E3A"/>
    <w:rsid w:val="0064250B"/>
    <w:rsid w:val="00646D4E"/>
    <w:rsid w:val="006530AE"/>
    <w:rsid w:val="006613E6"/>
    <w:rsid w:val="00662350"/>
    <w:rsid w:val="00666D28"/>
    <w:rsid w:val="00674C37"/>
    <w:rsid w:val="00674DA6"/>
    <w:rsid w:val="00680F58"/>
    <w:rsid w:val="006826AA"/>
    <w:rsid w:val="0068356A"/>
    <w:rsid w:val="00684A40"/>
    <w:rsid w:val="00687DAA"/>
    <w:rsid w:val="006A0DB0"/>
    <w:rsid w:val="006A117D"/>
    <w:rsid w:val="006A434F"/>
    <w:rsid w:val="006A46F0"/>
    <w:rsid w:val="006A5B82"/>
    <w:rsid w:val="006A6449"/>
    <w:rsid w:val="006A6629"/>
    <w:rsid w:val="006C0613"/>
    <w:rsid w:val="006C2C3C"/>
    <w:rsid w:val="006D0DA6"/>
    <w:rsid w:val="006E144D"/>
    <w:rsid w:val="006E25D8"/>
    <w:rsid w:val="006E33B5"/>
    <w:rsid w:val="00707EA1"/>
    <w:rsid w:val="00715B92"/>
    <w:rsid w:val="00717923"/>
    <w:rsid w:val="007206D4"/>
    <w:rsid w:val="0073347B"/>
    <w:rsid w:val="007367CF"/>
    <w:rsid w:val="00740A17"/>
    <w:rsid w:val="007462D6"/>
    <w:rsid w:val="0074738B"/>
    <w:rsid w:val="00755F78"/>
    <w:rsid w:val="007561E0"/>
    <w:rsid w:val="00757E41"/>
    <w:rsid w:val="0076062E"/>
    <w:rsid w:val="00761351"/>
    <w:rsid w:val="00767D10"/>
    <w:rsid w:val="00770E01"/>
    <w:rsid w:val="00783D9F"/>
    <w:rsid w:val="007953F3"/>
    <w:rsid w:val="00795B94"/>
    <w:rsid w:val="007A69F7"/>
    <w:rsid w:val="007A7803"/>
    <w:rsid w:val="007B061E"/>
    <w:rsid w:val="007B3470"/>
    <w:rsid w:val="007B48D5"/>
    <w:rsid w:val="007B6CAF"/>
    <w:rsid w:val="007C56E5"/>
    <w:rsid w:val="007C5C97"/>
    <w:rsid w:val="007D087C"/>
    <w:rsid w:val="007D5E05"/>
    <w:rsid w:val="007D60CA"/>
    <w:rsid w:val="007E338A"/>
    <w:rsid w:val="007E33E4"/>
    <w:rsid w:val="007E4CC9"/>
    <w:rsid w:val="00800D23"/>
    <w:rsid w:val="008049F7"/>
    <w:rsid w:val="008065AB"/>
    <w:rsid w:val="00814A7A"/>
    <w:rsid w:val="00816273"/>
    <w:rsid w:val="0082717B"/>
    <w:rsid w:val="00827B04"/>
    <w:rsid w:val="0083032E"/>
    <w:rsid w:val="00834EF1"/>
    <w:rsid w:val="00841907"/>
    <w:rsid w:val="0086036A"/>
    <w:rsid w:val="0086376C"/>
    <w:rsid w:val="00865101"/>
    <w:rsid w:val="008653A3"/>
    <w:rsid w:val="0086574C"/>
    <w:rsid w:val="008657A2"/>
    <w:rsid w:val="00866645"/>
    <w:rsid w:val="00867B96"/>
    <w:rsid w:val="00872524"/>
    <w:rsid w:val="008778A3"/>
    <w:rsid w:val="00881428"/>
    <w:rsid w:val="00882210"/>
    <w:rsid w:val="00891A29"/>
    <w:rsid w:val="008A5ABF"/>
    <w:rsid w:val="008A6185"/>
    <w:rsid w:val="008B3DC6"/>
    <w:rsid w:val="008C1FE9"/>
    <w:rsid w:val="008C7DCE"/>
    <w:rsid w:val="008D18FC"/>
    <w:rsid w:val="008D29A5"/>
    <w:rsid w:val="008D398B"/>
    <w:rsid w:val="008D7E49"/>
    <w:rsid w:val="008F364A"/>
    <w:rsid w:val="008F3F53"/>
    <w:rsid w:val="008F6944"/>
    <w:rsid w:val="008F6BF9"/>
    <w:rsid w:val="0090632C"/>
    <w:rsid w:val="00913E03"/>
    <w:rsid w:val="009229E9"/>
    <w:rsid w:val="00926953"/>
    <w:rsid w:val="00932703"/>
    <w:rsid w:val="00935C8F"/>
    <w:rsid w:val="00936469"/>
    <w:rsid w:val="009400B7"/>
    <w:rsid w:val="00943421"/>
    <w:rsid w:val="009455F9"/>
    <w:rsid w:val="0095225B"/>
    <w:rsid w:val="00952D27"/>
    <w:rsid w:val="00954DC2"/>
    <w:rsid w:val="00956191"/>
    <w:rsid w:val="00957B92"/>
    <w:rsid w:val="0096767C"/>
    <w:rsid w:val="00970966"/>
    <w:rsid w:val="009712D6"/>
    <w:rsid w:val="00974442"/>
    <w:rsid w:val="00975395"/>
    <w:rsid w:val="009A4093"/>
    <w:rsid w:val="009A7153"/>
    <w:rsid w:val="009B404A"/>
    <w:rsid w:val="009C15FE"/>
    <w:rsid w:val="009C5F34"/>
    <w:rsid w:val="009E17D5"/>
    <w:rsid w:val="009E2945"/>
    <w:rsid w:val="009E4A7A"/>
    <w:rsid w:val="009E6BD9"/>
    <w:rsid w:val="009F1F69"/>
    <w:rsid w:val="009F222C"/>
    <w:rsid w:val="009F4073"/>
    <w:rsid w:val="009F65B1"/>
    <w:rsid w:val="00A0642B"/>
    <w:rsid w:val="00A13816"/>
    <w:rsid w:val="00A17C80"/>
    <w:rsid w:val="00A20E03"/>
    <w:rsid w:val="00A2184C"/>
    <w:rsid w:val="00A23BF4"/>
    <w:rsid w:val="00A2593B"/>
    <w:rsid w:val="00A25E68"/>
    <w:rsid w:val="00A34E05"/>
    <w:rsid w:val="00A36619"/>
    <w:rsid w:val="00A43D8B"/>
    <w:rsid w:val="00A44096"/>
    <w:rsid w:val="00A454F1"/>
    <w:rsid w:val="00A51DC6"/>
    <w:rsid w:val="00A52D16"/>
    <w:rsid w:val="00A52ECB"/>
    <w:rsid w:val="00A543CC"/>
    <w:rsid w:val="00A65A3E"/>
    <w:rsid w:val="00A65D71"/>
    <w:rsid w:val="00A93CFF"/>
    <w:rsid w:val="00A95F08"/>
    <w:rsid w:val="00AA1BBE"/>
    <w:rsid w:val="00AB3B8F"/>
    <w:rsid w:val="00AB7DD2"/>
    <w:rsid w:val="00AC134D"/>
    <w:rsid w:val="00AD172E"/>
    <w:rsid w:val="00AD25F7"/>
    <w:rsid w:val="00AE0D62"/>
    <w:rsid w:val="00AF0C7C"/>
    <w:rsid w:val="00AF2419"/>
    <w:rsid w:val="00AF5D40"/>
    <w:rsid w:val="00B01D86"/>
    <w:rsid w:val="00B01F15"/>
    <w:rsid w:val="00B07E4E"/>
    <w:rsid w:val="00B11FD1"/>
    <w:rsid w:val="00B137E9"/>
    <w:rsid w:val="00B16E7D"/>
    <w:rsid w:val="00B23311"/>
    <w:rsid w:val="00B25E4F"/>
    <w:rsid w:val="00B309CB"/>
    <w:rsid w:val="00B30EA2"/>
    <w:rsid w:val="00B315B5"/>
    <w:rsid w:val="00B36ED3"/>
    <w:rsid w:val="00B513C9"/>
    <w:rsid w:val="00B51CD9"/>
    <w:rsid w:val="00B5302F"/>
    <w:rsid w:val="00B56EF4"/>
    <w:rsid w:val="00B606BA"/>
    <w:rsid w:val="00B6402C"/>
    <w:rsid w:val="00B657DD"/>
    <w:rsid w:val="00B678A9"/>
    <w:rsid w:val="00B70485"/>
    <w:rsid w:val="00B73334"/>
    <w:rsid w:val="00B77F06"/>
    <w:rsid w:val="00B82A13"/>
    <w:rsid w:val="00B849C8"/>
    <w:rsid w:val="00B86015"/>
    <w:rsid w:val="00B94D27"/>
    <w:rsid w:val="00B966FF"/>
    <w:rsid w:val="00BA1D19"/>
    <w:rsid w:val="00BA5E77"/>
    <w:rsid w:val="00BB6450"/>
    <w:rsid w:val="00BB7D66"/>
    <w:rsid w:val="00BC10C5"/>
    <w:rsid w:val="00BC3C66"/>
    <w:rsid w:val="00BD1C64"/>
    <w:rsid w:val="00BE21AE"/>
    <w:rsid w:val="00BF700A"/>
    <w:rsid w:val="00C02AF8"/>
    <w:rsid w:val="00C03B69"/>
    <w:rsid w:val="00C042AC"/>
    <w:rsid w:val="00C05F54"/>
    <w:rsid w:val="00C17E01"/>
    <w:rsid w:val="00C233D9"/>
    <w:rsid w:val="00C31AC4"/>
    <w:rsid w:val="00C409BE"/>
    <w:rsid w:val="00C423CA"/>
    <w:rsid w:val="00C47FE4"/>
    <w:rsid w:val="00C61BD5"/>
    <w:rsid w:val="00C636CF"/>
    <w:rsid w:val="00C652ED"/>
    <w:rsid w:val="00C7793C"/>
    <w:rsid w:val="00C939A8"/>
    <w:rsid w:val="00C97145"/>
    <w:rsid w:val="00CA0358"/>
    <w:rsid w:val="00CA03F9"/>
    <w:rsid w:val="00CA4E64"/>
    <w:rsid w:val="00CB5BA4"/>
    <w:rsid w:val="00CB7391"/>
    <w:rsid w:val="00CC0EC6"/>
    <w:rsid w:val="00CC3440"/>
    <w:rsid w:val="00CD36A0"/>
    <w:rsid w:val="00CD4BB7"/>
    <w:rsid w:val="00CE7B87"/>
    <w:rsid w:val="00CF04A0"/>
    <w:rsid w:val="00CF3B59"/>
    <w:rsid w:val="00CF7552"/>
    <w:rsid w:val="00D010FD"/>
    <w:rsid w:val="00D023DE"/>
    <w:rsid w:val="00D02812"/>
    <w:rsid w:val="00D0470F"/>
    <w:rsid w:val="00D06CFD"/>
    <w:rsid w:val="00D14C07"/>
    <w:rsid w:val="00D20056"/>
    <w:rsid w:val="00D21102"/>
    <w:rsid w:val="00D230D1"/>
    <w:rsid w:val="00D26456"/>
    <w:rsid w:val="00D33110"/>
    <w:rsid w:val="00D43039"/>
    <w:rsid w:val="00D4319B"/>
    <w:rsid w:val="00D54C6F"/>
    <w:rsid w:val="00D65514"/>
    <w:rsid w:val="00D67CEB"/>
    <w:rsid w:val="00D951B2"/>
    <w:rsid w:val="00DA48CB"/>
    <w:rsid w:val="00DB02D5"/>
    <w:rsid w:val="00DB2119"/>
    <w:rsid w:val="00DC05BC"/>
    <w:rsid w:val="00DC3324"/>
    <w:rsid w:val="00DC5A6D"/>
    <w:rsid w:val="00DD1838"/>
    <w:rsid w:val="00DD1AC4"/>
    <w:rsid w:val="00DD3A24"/>
    <w:rsid w:val="00DD78E1"/>
    <w:rsid w:val="00DD7F0C"/>
    <w:rsid w:val="00DE1103"/>
    <w:rsid w:val="00DF3516"/>
    <w:rsid w:val="00E024A4"/>
    <w:rsid w:val="00E03C07"/>
    <w:rsid w:val="00E11CE3"/>
    <w:rsid w:val="00E13EB8"/>
    <w:rsid w:val="00E20E3C"/>
    <w:rsid w:val="00E224C2"/>
    <w:rsid w:val="00E23DF8"/>
    <w:rsid w:val="00E265EB"/>
    <w:rsid w:val="00E3095B"/>
    <w:rsid w:val="00E32C3F"/>
    <w:rsid w:val="00E3546D"/>
    <w:rsid w:val="00E36290"/>
    <w:rsid w:val="00E53512"/>
    <w:rsid w:val="00E721DD"/>
    <w:rsid w:val="00E74A4A"/>
    <w:rsid w:val="00E80542"/>
    <w:rsid w:val="00E81E61"/>
    <w:rsid w:val="00E848B4"/>
    <w:rsid w:val="00E91417"/>
    <w:rsid w:val="00E94329"/>
    <w:rsid w:val="00E969E3"/>
    <w:rsid w:val="00E97C91"/>
    <w:rsid w:val="00EA3C34"/>
    <w:rsid w:val="00EB1377"/>
    <w:rsid w:val="00EB145C"/>
    <w:rsid w:val="00EC1E33"/>
    <w:rsid w:val="00ED4AEC"/>
    <w:rsid w:val="00ED74C3"/>
    <w:rsid w:val="00EE4CE9"/>
    <w:rsid w:val="00EF2CE6"/>
    <w:rsid w:val="00EF6786"/>
    <w:rsid w:val="00F00BF3"/>
    <w:rsid w:val="00F02466"/>
    <w:rsid w:val="00F07022"/>
    <w:rsid w:val="00F100F1"/>
    <w:rsid w:val="00F1119E"/>
    <w:rsid w:val="00F141C2"/>
    <w:rsid w:val="00F1790E"/>
    <w:rsid w:val="00F26091"/>
    <w:rsid w:val="00F27551"/>
    <w:rsid w:val="00F33E30"/>
    <w:rsid w:val="00F35A34"/>
    <w:rsid w:val="00F40882"/>
    <w:rsid w:val="00F43559"/>
    <w:rsid w:val="00F44558"/>
    <w:rsid w:val="00F5469D"/>
    <w:rsid w:val="00F5789B"/>
    <w:rsid w:val="00F66E41"/>
    <w:rsid w:val="00F718AF"/>
    <w:rsid w:val="00F75AAB"/>
    <w:rsid w:val="00F75C76"/>
    <w:rsid w:val="00FA50DB"/>
    <w:rsid w:val="00FB1FBA"/>
    <w:rsid w:val="00FB2277"/>
    <w:rsid w:val="00FB328F"/>
    <w:rsid w:val="00FB7B90"/>
    <w:rsid w:val="00FC30EF"/>
    <w:rsid w:val="00FC720B"/>
    <w:rsid w:val="00FC73F6"/>
    <w:rsid w:val="00FE3FE9"/>
    <w:rsid w:val="00FE6A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1CB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exact"/>
    </w:pPr>
    <w:rPr>
      <w:rFonts w:ascii="Arial" w:hAnsi="Arial"/>
      <w:sz w:val="24"/>
      <w:lang w:eastAsia="fr-FR"/>
    </w:rPr>
  </w:style>
  <w:style w:type="paragraph" w:styleId="Titre1">
    <w:name w:val="heading 1"/>
    <w:basedOn w:val="Normal"/>
    <w:next w:val="Normal"/>
    <w:qFormat/>
    <w:pPr>
      <w:keepNext/>
      <w:spacing w:before="240" w:after="60" w:line="500" w:lineRule="exact"/>
      <w:outlineLvl w:val="0"/>
    </w:pPr>
    <w:rPr>
      <w:b/>
      <w:kern w:val="28"/>
      <w:sz w:val="28"/>
    </w:rPr>
  </w:style>
  <w:style w:type="paragraph" w:styleId="Titre2">
    <w:name w:val="heading 2"/>
    <w:basedOn w:val="Normal"/>
    <w:next w:val="Normal"/>
    <w:qFormat/>
    <w:rsid w:val="00A44096"/>
    <w:pPr>
      <w:keepNext/>
      <w:numPr>
        <w:numId w:val="28"/>
      </w:numPr>
      <w:spacing w:before="240" w:after="60"/>
      <w:ind w:left="709" w:firstLine="0"/>
      <w:outlineLvl w:val="1"/>
    </w:pPr>
    <w:rPr>
      <w:b/>
      <w:i/>
    </w:rPr>
  </w:style>
  <w:style w:type="paragraph" w:styleId="Titre3">
    <w:name w:val="heading 3"/>
    <w:basedOn w:val="Normal"/>
    <w:next w:val="Normal"/>
    <w:qFormat/>
    <w:rsid w:val="00534AD6"/>
    <w:pPr>
      <w:keepNext/>
      <w:spacing w:before="240" w:after="60"/>
      <w:ind w:firstLine="709"/>
      <w:outlineLvl w:val="2"/>
    </w:pPr>
    <w:rPr>
      <w:u w:val="single"/>
    </w:r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pPr>
      <w:numPr>
        <w:numId w:val="18"/>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basedOn w:val="Normal"/>
    <w:link w:val="NotedebasdepageCar"/>
    <w:semiHidden/>
    <w:pPr>
      <w:spacing w:line="240" w:lineRule="auto"/>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pPr>
      <w:widowControl w:val="0"/>
      <w:numPr>
        <w:ilvl w:val="1"/>
        <w:numId w:val="18"/>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uiPriority w:val="99"/>
    <w:semiHidden/>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character" w:customStyle="1" w:styleId="ParagrapheCar">
    <w:name w:val="Paragraphe Car"/>
    <w:link w:val="Paragraphe"/>
    <w:rsid w:val="007B3470"/>
    <w:rPr>
      <w:rFonts w:ascii="Arial" w:hAnsi="Arial"/>
      <w:kern w:val="28"/>
      <w:sz w:val="24"/>
      <w:lang w:eastAsia="fr-FR"/>
    </w:rPr>
  </w:style>
  <w:style w:type="paragraph" w:customStyle="1" w:styleId="Style1">
    <w:name w:val="Style1"/>
    <w:basedOn w:val="Paragraphe"/>
    <w:link w:val="Style1Car"/>
    <w:qFormat/>
    <w:rsid w:val="007B3470"/>
    <w:pPr>
      <w:spacing w:before="60" w:after="60" w:line="360" w:lineRule="auto"/>
    </w:pPr>
  </w:style>
  <w:style w:type="character" w:customStyle="1" w:styleId="Style1Car">
    <w:name w:val="Style1 Car"/>
    <w:basedOn w:val="Policepardfaut"/>
    <w:link w:val="Style1"/>
    <w:rsid w:val="007B3470"/>
    <w:rPr>
      <w:rFonts w:ascii="Arial" w:hAnsi="Arial"/>
      <w:kern w:val="28"/>
      <w:sz w:val="24"/>
      <w:lang w:eastAsia="fr-FR"/>
    </w:rPr>
  </w:style>
  <w:style w:type="character" w:customStyle="1" w:styleId="NotedebasdepageCar">
    <w:name w:val="Note de bas de page Car"/>
    <w:basedOn w:val="Policepardfaut"/>
    <w:link w:val="Notedebasdepage"/>
    <w:semiHidden/>
    <w:rsid w:val="007B3470"/>
    <w:rPr>
      <w:rFonts w:ascii="Arial" w:hAnsi="Arial"/>
      <w:lang w:eastAsia="fr-FR"/>
    </w:rPr>
  </w:style>
  <w:style w:type="character" w:styleId="Hyperlien">
    <w:name w:val="Hyperlink"/>
    <w:uiPriority w:val="99"/>
    <w:rsid w:val="002E7C51"/>
    <w:rPr>
      <w:noProof w:val="0"/>
      <w:color w:val="0000FF"/>
      <w:u w:val="single"/>
      <w:lang w:val="fr-CA"/>
    </w:rPr>
  </w:style>
  <w:style w:type="paragraph" w:customStyle="1" w:styleId="Tiret">
    <w:name w:val="Tiret"/>
    <w:basedOn w:val="Paragraphe"/>
    <w:rsid w:val="002E7C51"/>
    <w:pPr>
      <w:numPr>
        <w:numId w:val="25"/>
      </w:numPr>
      <w:tabs>
        <w:tab w:val="clear" w:pos="1080"/>
      </w:tabs>
      <w:spacing w:before="60" w:after="60" w:line="360" w:lineRule="auto"/>
      <w:ind w:left="1134" w:hanging="414"/>
    </w:pPr>
  </w:style>
  <w:style w:type="character" w:styleId="Lienvisit">
    <w:name w:val="FollowedHyperlink"/>
    <w:basedOn w:val="Policepardfaut"/>
    <w:uiPriority w:val="99"/>
    <w:semiHidden/>
    <w:unhideWhenUsed/>
    <w:rsid w:val="002E7C51"/>
    <w:rPr>
      <w:color w:val="954F72" w:themeColor="followedHyperlink"/>
      <w:u w:val="single"/>
    </w:rPr>
  </w:style>
  <w:style w:type="character" w:customStyle="1" w:styleId="Mentionnonrsolue1">
    <w:name w:val="Mention non résolue1"/>
    <w:basedOn w:val="Policepardfaut"/>
    <w:uiPriority w:val="99"/>
    <w:semiHidden/>
    <w:unhideWhenUsed/>
    <w:rsid w:val="002E7C51"/>
    <w:rPr>
      <w:color w:val="605E5C"/>
      <w:shd w:val="clear" w:color="auto" w:fill="E1DFDD"/>
    </w:rPr>
  </w:style>
  <w:style w:type="character" w:styleId="Marquedecommentaire">
    <w:name w:val="annotation reference"/>
    <w:basedOn w:val="Policepardfaut"/>
    <w:uiPriority w:val="99"/>
    <w:semiHidden/>
    <w:unhideWhenUsed/>
    <w:rsid w:val="002E7C51"/>
    <w:rPr>
      <w:sz w:val="16"/>
      <w:szCs w:val="16"/>
    </w:rPr>
  </w:style>
  <w:style w:type="paragraph" w:styleId="Commentaire">
    <w:name w:val="annotation text"/>
    <w:basedOn w:val="Normal"/>
    <w:link w:val="CommentaireCar"/>
    <w:uiPriority w:val="99"/>
    <w:unhideWhenUsed/>
    <w:rsid w:val="002E7C51"/>
    <w:pPr>
      <w:spacing w:line="240" w:lineRule="auto"/>
    </w:pPr>
    <w:rPr>
      <w:sz w:val="20"/>
    </w:rPr>
  </w:style>
  <w:style w:type="character" w:customStyle="1" w:styleId="CommentaireCar">
    <w:name w:val="Commentaire Car"/>
    <w:basedOn w:val="Policepardfaut"/>
    <w:link w:val="Commentaire"/>
    <w:uiPriority w:val="99"/>
    <w:rsid w:val="002E7C51"/>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2E7C51"/>
    <w:rPr>
      <w:b/>
      <w:bCs/>
    </w:rPr>
  </w:style>
  <w:style w:type="character" w:customStyle="1" w:styleId="ObjetducommentaireCar">
    <w:name w:val="Objet du commentaire Car"/>
    <w:basedOn w:val="CommentaireCar"/>
    <w:link w:val="Objetducommentaire"/>
    <w:uiPriority w:val="99"/>
    <w:semiHidden/>
    <w:rsid w:val="002E7C51"/>
    <w:rPr>
      <w:rFonts w:ascii="Arial" w:hAnsi="Arial"/>
      <w:b/>
      <w:bCs/>
      <w:lang w:eastAsia="fr-FR"/>
    </w:rPr>
  </w:style>
  <w:style w:type="paragraph" w:styleId="Rvision">
    <w:name w:val="Revision"/>
    <w:hidden/>
    <w:uiPriority w:val="99"/>
    <w:semiHidden/>
    <w:rsid w:val="008049F7"/>
    <w:rPr>
      <w:rFonts w:ascii="Arial" w:hAnsi="Arial"/>
      <w:sz w:val="24"/>
      <w:lang w:eastAsia="fr-FR"/>
    </w:rPr>
  </w:style>
  <w:style w:type="character" w:customStyle="1" w:styleId="--l">
    <w:name w:val="--l"/>
    <w:basedOn w:val="Policepardfaut"/>
    <w:rsid w:val="00022A40"/>
  </w:style>
  <w:style w:type="character" w:customStyle="1" w:styleId="label-section">
    <w:name w:val="label-section"/>
    <w:basedOn w:val="Policepardfaut"/>
    <w:rsid w:val="003E1FF8"/>
  </w:style>
  <w:style w:type="character" w:customStyle="1" w:styleId="subsection">
    <w:name w:val="subsection"/>
    <w:basedOn w:val="Policepardfaut"/>
    <w:rsid w:val="003E1FF8"/>
  </w:style>
  <w:style w:type="character" w:customStyle="1" w:styleId="solexhl">
    <w:name w:val="solexhl"/>
    <w:basedOn w:val="Policepardfaut"/>
    <w:rsid w:val="00107067"/>
  </w:style>
  <w:style w:type="character" w:customStyle="1" w:styleId="canliisection">
    <w:name w:val="canlii_section"/>
    <w:basedOn w:val="Policepardfaut"/>
    <w:rsid w:val="00F100F1"/>
  </w:style>
  <w:style w:type="character" w:styleId="Mentionnonrsolue">
    <w:name w:val="Unresolved Mention"/>
    <w:basedOn w:val="Policepardfaut"/>
    <w:uiPriority w:val="99"/>
    <w:semiHidden/>
    <w:unhideWhenUsed/>
    <w:rsid w:val="00D21102"/>
    <w:rPr>
      <w:color w:val="605E5C"/>
      <w:shd w:val="clear" w:color="auto" w:fill="E1DFDD"/>
    </w:rPr>
  </w:style>
  <w:style w:type="paragraph" w:styleId="Paragraphedeliste">
    <w:name w:val="List Paragraph"/>
    <w:basedOn w:val="Normal"/>
    <w:uiPriority w:val="34"/>
    <w:qFormat/>
    <w:rsid w:val="00A52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6D9F6-8B34-4ABD-97E9-79C45AE1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9580</Words>
  <Characters>52691</Characters>
  <Application>Microsoft Office Word</Application>
  <DocSecurity>0</DocSecurity>
  <Lines>439</Lines>
  <Paragraphs>124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2024-03-19T13:30:00Z</dcterms:created>
  <dcterms:modified xsi:type="dcterms:W3CDTF">2024-03-21T14:22:00Z</dcterms:modified>
</cp:coreProperties>
</file>