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D04B" w14:textId="24669B4E" w:rsidR="008E1D79" w:rsidRPr="00515AA2" w:rsidRDefault="008E1D79">
      <w:pPr>
        <w:rPr>
          <w:color w:val="000000"/>
          <w:lang w:val="en-CA"/>
        </w:rPr>
      </w:pPr>
      <w:r w:rsidRPr="00515AA2">
        <w:rPr>
          <w:color w:val="000000"/>
          <w:lang w:val="en-CA"/>
        </w:rPr>
        <w:t>Official English Version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3F0C15" w:rsidRPr="00C83535" w14:paraId="6BC5C1CC" w14:textId="77777777" w:rsidTr="008D18FC">
        <w:trPr>
          <w:trHeight w:val="248"/>
        </w:trPr>
        <w:tc>
          <w:tcPr>
            <w:tcW w:w="7372" w:type="dxa"/>
            <w:gridSpan w:val="5"/>
          </w:tcPr>
          <w:p w14:paraId="433459A8" w14:textId="53D9B45E" w:rsidR="003F0C15" w:rsidRPr="00515AA2" w:rsidRDefault="003F0C15" w:rsidP="003F0C15">
            <w:pPr>
              <w:pStyle w:val="zSoquijdatRepertorie"/>
              <w:rPr>
                <w:color w:val="000000"/>
                <w:lang w:val="en-CA"/>
              </w:rPr>
            </w:pPr>
            <w:r>
              <w:rPr>
                <w:rFonts w:cs="Arial"/>
              </w:rPr>
              <w:t>Procureur général du Québec c. Centre de lutte contre l'oppression des genres</w:t>
            </w:r>
          </w:p>
        </w:tc>
        <w:tc>
          <w:tcPr>
            <w:tcW w:w="1988" w:type="dxa"/>
          </w:tcPr>
          <w:p w14:paraId="4A604F0F" w14:textId="61E96D03" w:rsidR="003F0C15" w:rsidRPr="00515AA2" w:rsidRDefault="003F0C15" w:rsidP="003F0C15">
            <w:pPr>
              <w:pStyle w:val="zSoquijdatRefNeutre"/>
              <w:jc w:val="right"/>
              <w:rPr>
                <w:color w:val="000000"/>
                <w:lang w:val="en-CA"/>
              </w:rPr>
            </w:pPr>
            <w:r w:rsidRPr="00913EDF">
              <w:rPr>
                <w:rFonts w:cs="Arial"/>
              </w:rPr>
              <w:t>2024 QCCA 348</w:t>
            </w:r>
            <w:r>
              <w:rPr>
                <w:rFonts w:ascii="r_ansi" w:hAnsi="r_ansi" w:cs="r_ansi"/>
                <w:sz w:val="20"/>
                <w:u w:val="single"/>
                <w:lang w:eastAsia="fr-CA"/>
              </w:rPr>
              <w:t xml:space="preserve">  </w:t>
            </w:r>
          </w:p>
        </w:tc>
      </w:tr>
      <w:tr w:rsidR="00515AA2" w:rsidRPr="00515AA2" w14:paraId="0AA8AC70" w14:textId="77777777" w:rsidTr="008D18FC">
        <w:trPr>
          <w:trHeight w:val="247"/>
        </w:trPr>
        <w:tc>
          <w:tcPr>
            <w:tcW w:w="9360" w:type="dxa"/>
            <w:gridSpan w:val="6"/>
          </w:tcPr>
          <w:p w14:paraId="1CA896AA" w14:textId="5E642F82" w:rsidR="008F364A" w:rsidRPr="00515AA2" w:rsidRDefault="00740A17">
            <w:pPr>
              <w:pStyle w:val="zSoquijlblCour"/>
              <w:rPr>
                <w:color w:val="000000"/>
                <w:lang w:val="en-CA"/>
              </w:rPr>
            </w:pPr>
            <w:r w:rsidRPr="00515AA2">
              <w:rPr>
                <w:color w:val="000000"/>
                <w:lang w:val="en-CA"/>
              </w:rPr>
              <w:t>COUR</w:t>
            </w:r>
            <w:r w:rsidR="001B5381" w:rsidRPr="00515AA2">
              <w:rPr>
                <w:color w:val="000000"/>
                <w:lang w:val="en-CA"/>
              </w:rPr>
              <w:t xml:space="preserve">T OF </w:t>
            </w:r>
            <w:r w:rsidRPr="00515AA2">
              <w:rPr>
                <w:color w:val="000000"/>
                <w:lang w:val="en-CA"/>
              </w:rPr>
              <w:t>APPE</w:t>
            </w:r>
            <w:r w:rsidR="001B5381" w:rsidRPr="00515AA2">
              <w:rPr>
                <w:color w:val="000000"/>
                <w:lang w:val="en-CA"/>
              </w:rPr>
              <w:t>A</w:t>
            </w:r>
            <w:r w:rsidRPr="00515AA2">
              <w:rPr>
                <w:color w:val="000000"/>
                <w:lang w:val="en-CA"/>
              </w:rPr>
              <w:t>L</w:t>
            </w:r>
          </w:p>
        </w:tc>
      </w:tr>
      <w:tr w:rsidR="00515AA2" w:rsidRPr="00515AA2" w14:paraId="0CD8E93D" w14:textId="77777777" w:rsidTr="008D18FC">
        <w:trPr>
          <w:trHeight w:val="540"/>
        </w:trPr>
        <w:tc>
          <w:tcPr>
            <w:tcW w:w="9360" w:type="dxa"/>
            <w:gridSpan w:val="6"/>
          </w:tcPr>
          <w:p w14:paraId="03EBEC67" w14:textId="77777777" w:rsidR="008F364A" w:rsidRPr="00515AA2" w:rsidRDefault="008F364A">
            <w:pPr>
              <w:pStyle w:val="zSoquijdatDivision"/>
              <w:rPr>
                <w:color w:val="000000"/>
                <w:lang w:val="en-CA"/>
              </w:rPr>
            </w:pPr>
          </w:p>
        </w:tc>
      </w:tr>
      <w:tr w:rsidR="00515AA2" w:rsidRPr="00515AA2" w14:paraId="407AB496" w14:textId="77777777" w:rsidTr="008D18FC">
        <w:tc>
          <w:tcPr>
            <w:tcW w:w="9360" w:type="dxa"/>
            <w:gridSpan w:val="6"/>
          </w:tcPr>
          <w:p w14:paraId="78787703" w14:textId="77777777" w:rsidR="008F364A" w:rsidRPr="00515AA2" w:rsidRDefault="00740A17">
            <w:pPr>
              <w:pStyle w:val="zSoquijlblPays"/>
              <w:rPr>
                <w:color w:val="000000"/>
                <w:lang w:val="en-CA"/>
              </w:rPr>
            </w:pPr>
            <w:r w:rsidRPr="00515AA2">
              <w:rPr>
                <w:color w:val="000000"/>
                <w:lang w:val="en-CA"/>
              </w:rPr>
              <w:t>CANADA</w:t>
            </w:r>
          </w:p>
        </w:tc>
      </w:tr>
      <w:tr w:rsidR="00515AA2" w:rsidRPr="00515AA2" w14:paraId="38E76373" w14:textId="77777777" w:rsidTr="008D18FC">
        <w:tc>
          <w:tcPr>
            <w:tcW w:w="9360" w:type="dxa"/>
            <w:gridSpan w:val="6"/>
          </w:tcPr>
          <w:p w14:paraId="3E6EBA21" w14:textId="35E2B2E0" w:rsidR="008F364A" w:rsidRPr="00515AA2" w:rsidRDefault="00740A17">
            <w:pPr>
              <w:pStyle w:val="zSoquijlblProvince"/>
              <w:rPr>
                <w:color w:val="000000"/>
                <w:lang w:val="en-CA"/>
              </w:rPr>
            </w:pPr>
            <w:r w:rsidRPr="00515AA2">
              <w:rPr>
                <w:color w:val="000000"/>
                <w:lang w:val="en-CA"/>
              </w:rPr>
              <w:t xml:space="preserve">PROVINCE </w:t>
            </w:r>
            <w:r w:rsidR="001B5381" w:rsidRPr="00515AA2">
              <w:rPr>
                <w:color w:val="000000"/>
                <w:lang w:val="en-CA"/>
              </w:rPr>
              <w:t>OF</w:t>
            </w:r>
            <w:r w:rsidRPr="00515AA2">
              <w:rPr>
                <w:color w:val="000000"/>
                <w:lang w:val="en-CA"/>
              </w:rPr>
              <w:t xml:space="preserve"> QU</w:t>
            </w:r>
            <w:r w:rsidR="001B5381" w:rsidRPr="00515AA2">
              <w:rPr>
                <w:color w:val="000000"/>
                <w:lang w:val="en-CA"/>
              </w:rPr>
              <w:t>E</w:t>
            </w:r>
            <w:r w:rsidRPr="00515AA2">
              <w:rPr>
                <w:color w:val="000000"/>
                <w:lang w:val="en-CA"/>
              </w:rPr>
              <w:t>BEC</w:t>
            </w:r>
          </w:p>
        </w:tc>
      </w:tr>
      <w:tr w:rsidR="00515AA2" w:rsidRPr="00515AA2" w14:paraId="21974D74" w14:textId="77777777" w:rsidTr="001B5381">
        <w:tc>
          <w:tcPr>
            <w:tcW w:w="1701" w:type="dxa"/>
            <w:gridSpan w:val="3"/>
          </w:tcPr>
          <w:p w14:paraId="1FDEF5FE" w14:textId="5C62EA31" w:rsidR="008F364A" w:rsidRPr="00515AA2" w:rsidRDefault="001B5381">
            <w:pPr>
              <w:pStyle w:val="zSoquijlblGreffe"/>
              <w:rPr>
                <w:color w:val="000000"/>
                <w:lang w:val="en-CA"/>
              </w:rPr>
            </w:pPr>
            <w:r w:rsidRPr="00515AA2">
              <w:rPr>
                <w:color w:val="000000"/>
                <w:lang w:val="en-CA"/>
              </w:rPr>
              <w:t>REG</w:t>
            </w:r>
            <w:r w:rsidR="007746DA" w:rsidRPr="00515AA2">
              <w:rPr>
                <w:color w:val="000000"/>
                <w:lang w:val="en-CA"/>
              </w:rPr>
              <w:t>IS</w:t>
            </w:r>
            <w:r w:rsidRPr="00515AA2">
              <w:rPr>
                <w:color w:val="000000"/>
                <w:lang w:val="en-CA"/>
              </w:rPr>
              <w:t>TRY OF</w:t>
            </w:r>
          </w:p>
          <w:p w14:paraId="478FC220" w14:textId="77777777" w:rsidR="008F364A" w:rsidRPr="00515AA2" w:rsidRDefault="008F364A">
            <w:pPr>
              <w:pStyle w:val="zSoquijlblGreffe"/>
              <w:rPr>
                <w:color w:val="000000"/>
                <w:lang w:val="en-CA"/>
              </w:rPr>
            </w:pPr>
          </w:p>
        </w:tc>
        <w:tc>
          <w:tcPr>
            <w:tcW w:w="7659" w:type="dxa"/>
            <w:gridSpan w:val="3"/>
          </w:tcPr>
          <w:p w14:paraId="71172FF2" w14:textId="3AA37B8B" w:rsidR="008F364A" w:rsidRPr="00515AA2" w:rsidRDefault="0074653A">
            <w:pPr>
              <w:pStyle w:val="zSoquijdatGreffe"/>
              <w:rPr>
                <w:color w:val="000000"/>
                <w:lang w:val="en-CA"/>
              </w:rPr>
            </w:pPr>
            <w:bookmarkStart w:id="0" w:name="NomGreffe"/>
            <w:r w:rsidRPr="00515AA2">
              <w:rPr>
                <w:color w:val="000000"/>
                <w:lang w:val="en-CA"/>
              </w:rPr>
              <w:t>MONTR</w:t>
            </w:r>
            <w:r w:rsidR="001B5381" w:rsidRPr="00515AA2">
              <w:rPr>
                <w:color w:val="000000"/>
                <w:lang w:val="en-CA"/>
              </w:rPr>
              <w:t>E</w:t>
            </w:r>
            <w:r w:rsidRPr="00515AA2">
              <w:rPr>
                <w:color w:val="000000"/>
                <w:lang w:val="en-CA"/>
              </w:rPr>
              <w:t>AL</w:t>
            </w:r>
            <w:bookmarkEnd w:id="0"/>
          </w:p>
        </w:tc>
      </w:tr>
      <w:tr w:rsidR="00515AA2" w:rsidRPr="00515AA2" w14:paraId="2303C8D0" w14:textId="77777777" w:rsidTr="008D18FC">
        <w:tc>
          <w:tcPr>
            <w:tcW w:w="1030" w:type="dxa"/>
          </w:tcPr>
          <w:p w14:paraId="44831C67" w14:textId="6A46B04A" w:rsidR="008F364A" w:rsidRPr="00515AA2" w:rsidRDefault="001B5381">
            <w:pPr>
              <w:pStyle w:val="zSoquijlblNoDossier"/>
              <w:rPr>
                <w:color w:val="000000"/>
                <w:lang w:val="en-CA"/>
              </w:rPr>
            </w:pPr>
            <w:r w:rsidRPr="00515AA2">
              <w:rPr>
                <w:color w:val="000000"/>
                <w:lang w:val="en-CA"/>
              </w:rPr>
              <w:t>No:</w:t>
            </w:r>
          </w:p>
        </w:tc>
        <w:tc>
          <w:tcPr>
            <w:tcW w:w="8330" w:type="dxa"/>
            <w:gridSpan w:val="5"/>
          </w:tcPr>
          <w:p w14:paraId="74E57D45" w14:textId="77777777" w:rsidR="008F364A" w:rsidRPr="00515AA2" w:rsidRDefault="0074653A">
            <w:pPr>
              <w:pStyle w:val="zSoquijdatNoDossier"/>
              <w:rPr>
                <w:color w:val="000000"/>
                <w:lang w:val="en-CA"/>
              </w:rPr>
            </w:pPr>
            <w:bookmarkStart w:id="1" w:name="NoDossier"/>
            <w:r w:rsidRPr="00515AA2">
              <w:rPr>
                <w:color w:val="000000"/>
                <w:lang w:val="en-CA"/>
              </w:rPr>
              <w:t>500-09-029391-216</w:t>
            </w:r>
            <w:bookmarkEnd w:id="1"/>
          </w:p>
        </w:tc>
      </w:tr>
      <w:tr w:rsidR="00515AA2" w:rsidRPr="00515AA2" w14:paraId="00927B76" w14:textId="77777777" w:rsidTr="008D18FC">
        <w:tc>
          <w:tcPr>
            <w:tcW w:w="9360" w:type="dxa"/>
            <w:gridSpan w:val="6"/>
          </w:tcPr>
          <w:p w14:paraId="633B9A11" w14:textId="77777777" w:rsidR="0074653A" w:rsidRPr="00515AA2" w:rsidRDefault="0074653A" w:rsidP="0074653A">
            <w:pPr>
              <w:pStyle w:val="zSoquijdatNoDossierAnt"/>
              <w:rPr>
                <w:color w:val="000000"/>
                <w:lang w:val="en-CA"/>
              </w:rPr>
            </w:pPr>
            <w:r w:rsidRPr="00515AA2">
              <w:rPr>
                <w:color w:val="000000"/>
                <w:lang w:val="en-CA"/>
              </w:rPr>
              <w:t>(500-17-082257-141)</w:t>
            </w:r>
          </w:p>
        </w:tc>
      </w:tr>
      <w:tr w:rsidR="00515AA2" w:rsidRPr="00515AA2" w14:paraId="52CC424C" w14:textId="77777777" w:rsidTr="00ED0F2E">
        <w:trPr>
          <w:trHeight w:val="306"/>
        </w:trPr>
        <w:tc>
          <w:tcPr>
            <w:tcW w:w="9360" w:type="dxa"/>
            <w:gridSpan w:val="6"/>
          </w:tcPr>
          <w:p w14:paraId="0E9705F5" w14:textId="2C166C3B" w:rsidR="008F364A" w:rsidRPr="00515AA2" w:rsidRDefault="00AA62DD">
            <w:pPr>
              <w:rPr>
                <w:color w:val="000000"/>
                <w:lang w:val="en-CA"/>
              </w:rPr>
            </w:pPr>
            <w:r w:rsidRPr="00515AA2">
              <w:rPr>
                <w:color w:val="000000"/>
                <w:lang w:val="en-CA"/>
              </w:rPr>
              <w:t xml:space="preserve"> </w:t>
            </w:r>
          </w:p>
        </w:tc>
      </w:tr>
      <w:tr w:rsidR="00515AA2" w:rsidRPr="00515AA2" w14:paraId="185DED9C" w14:textId="77777777" w:rsidTr="008D18FC">
        <w:tc>
          <w:tcPr>
            <w:tcW w:w="1030" w:type="dxa"/>
          </w:tcPr>
          <w:p w14:paraId="01184F18" w14:textId="34E5FAB9" w:rsidR="008F364A" w:rsidRPr="00515AA2" w:rsidRDefault="00740A17">
            <w:pPr>
              <w:pStyle w:val="zSoquijlblDateJugement"/>
              <w:rPr>
                <w:color w:val="000000"/>
                <w:lang w:val="en-CA"/>
              </w:rPr>
            </w:pPr>
            <w:r w:rsidRPr="00515AA2">
              <w:rPr>
                <w:color w:val="000000"/>
                <w:lang w:val="en-CA"/>
              </w:rPr>
              <w:t>DATE:</w:t>
            </w:r>
          </w:p>
        </w:tc>
        <w:tc>
          <w:tcPr>
            <w:tcW w:w="8330" w:type="dxa"/>
            <w:gridSpan w:val="5"/>
          </w:tcPr>
          <w:p w14:paraId="1AB0D5B2" w14:textId="3811655C" w:rsidR="008F364A" w:rsidRPr="00515AA2" w:rsidRDefault="009A51C4">
            <w:pPr>
              <w:pStyle w:val="zSoquijdatDateJugement"/>
              <w:rPr>
                <w:color w:val="000000"/>
                <w:lang w:val="en-CA"/>
              </w:rPr>
            </w:pPr>
            <w:r w:rsidRPr="00515AA2">
              <w:rPr>
                <w:color w:val="000000"/>
                <w:lang w:val="en-CA"/>
              </w:rPr>
              <w:t xml:space="preserve">March </w:t>
            </w:r>
            <w:r w:rsidR="00433D44">
              <w:rPr>
                <w:color w:val="000000"/>
                <w:lang w:val="en-CA"/>
              </w:rPr>
              <w:t>2</w:t>
            </w:r>
            <w:r w:rsidR="00C83535">
              <w:rPr>
                <w:color w:val="000000"/>
                <w:lang w:val="en-CA"/>
              </w:rPr>
              <w:t>1</w:t>
            </w:r>
            <w:r w:rsidRPr="00515AA2">
              <w:rPr>
                <w:color w:val="000000"/>
                <w:lang w:val="en-CA"/>
              </w:rPr>
              <w:t>, 2024</w:t>
            </w:r>
          </w:p>
          <w:p w14:paraId="1C9EEFB0" w14:textId="451D9383" w:rsidR="00AA62DD" w:rsidRPr="00515AA2" w:rsidRDefault="00AA62DD">
            <w:pPr>
              <w:pStyle w:val="zSoquijdatDateJugement"/>
              <w:rPr>
                <w:color w:val="000000"/>
                <w:lang w:val="en-CA"/>
              </w:rPr>
            </w:pPr>
          </w:p>
        </w:tc>
      </w:tr>
      <w:tr w:rsidR="00515AA2" w:rsidRPr="00515AA2" w14:paraId="21E1A9C1" w14:textId="77777777" w:rsidTr="008D18FC">
        <w:tc>
          <w:tcPr>
            <w:tcW w:w="9360" w:type="dxa"/>
            <w:gridSpan w:val="6"/>
            <w:tcBorders>
              <w:bottom w:val="single" w:sz="8" w:space="0" w:color="auto"/>
            </w:tcBorders>
          </w:tcPr>
          <w:p w14:paraId="66714144" w14:textId="77777777" w:rsidR="008F364A" w:rsidRPr="00515AA2" w:rsidRDefault="008F364A">
            <w:pPr>
              <w:rPr>
                <w:color w:val="000000"/>
                <w:lang w:val="en-CA"/>
              </w:rPr>
            </w:pPr>
          </w:p>
        </w:tc>
      </w:tr>
      <w:tr w:rsidR="00515AA2" w:rsidRPr="00515AA2" w14:paraId="75865BB8" w14:textId="77777777" w:rsidTr="008D18FC">
        <w:tc>
          <w:tcPr>
            <w:tcW w:w="9360" w:type="dxa"/>
            <w:gridSpan w:val="6"/>
            <w:tcBorders>
              <w:top w:val="single" w:sz="8" w:space="0" w:color="auto"/>
            </w:tcBorders>
          </w:tcPr>
          <w:p w14:paraId="693A1D63" w14:textId="77777777" w:rsidR="008F364A" w:rsidRPr="00515AA2" w:rsidRDefault="008F364A">
            <w:pPr>
              <w:rPr>
                <w:color w:val="000000"/>
                <w:lang w:val="en-CA"/>
              </w:rPr>
            </w:pPr>
          </w:p>
        </w:tc>
      </w:tr>
      <w:tr w:rsidR="00515AA2" w:rsidRPr="00C83535" w14:paraId="6AE49C48" w14:textId="77777777" w:rsidTr="008D18FC">
        <w:tc>
          <w:tcPr>
            <w:tcW w:w="1620" w:type="dxa"/>
            <w:gridSpan w:val="2"/>
          </w:tcPr>
          <w:p w14:paraId="3E798C3E" w14:textId="485C7683" w:rsidR="008F364A" w:rsidRPr="00515AA2" w:rsidRDefault="001B5381" w:rsidP="00423DF1">
            <w:pPr>
              <w:pStyle w:val="zSoquijlblJuge"/>
              <w:ind w:right="-142"/>
              <w:rPr>
                <w:color w:val="000000"/>
                <w:lang w:val="en-CA"/>
              </w:rPr>
            </w:pPr>
            <w:bookmarkStart w:id="2" w:name="FORMATION"/>
            <w:r w:rsidRPr="00515AA2">
              <w:rPr>
                <w:color w:val="000000"/>
                <w:lang w:val="en-CA"/>
              </w:rPr>
              <w:t>CORAM</w:t>
            </w:r>
            <w:r w:rsidR="00740A17" w:rsidRPr="00515AA2">
              <w:rPr>
                <w:color w:val="000000"/>
                <w:lang w:val="en-CA"/>
              </w:rPr>
              <w:t>:</w:t>
            </w:r>
            <w:bookmarkEnd w:id="2"/>
          </w:p>
        </w:tc>
        <w:tc>
          <w:tcPr>
            <w:tcW w:w="2350" w:type="dxa"/>
            <w:gridSpan w:val="2"/>
          </w:tcPr>
          <w:p w14:paraId="5805FDAA" w14:textId="7A246085" w:rsidR="008F364A" w:rsidRPr="00515AA2" w:rsidRDefault="001B5381">
            <w:pPr>
              <w:pStyle w:val="zSoquijdatQteJuge"/>
              <w:rPr>
                <w:color w:val="000000"/>
                <w:lang w:val="en-CA"/>
              </w:rPr>
            </w:pPr>
            <w:r w:rsidRPr="00515AA2">
              <w:rPr>
                <w:color w:val="000000"/>
                <w:lang w:val="en-CA"/>
              </w:rPr>
              <w:t>THE HONOURABLE</w:t>
            </w:r>
          </w:p>
        </w:tc>
        <w:tc>
          <w:tcPr>
            <w:tcW w:w="5390" w:type="dxa"/>
            <w:gridSpan w:val="2"/>
          </w:tcPr>
          <w:p w14:paraId="78E1461C" w14:textId="3C5BC4BC" w:rsidR="008F364A" w:rsidRPr="00515AA2" w:rsidRDefault="0074653A">
            <w:pPr>
              <w:pStyle w:val="zSoquijdatJuge"/>
              <w:rPr>
                <w:color w:val="000000"/>
              </w:rPr>
            </w:pPr>
            <w:bookmarkStart w:id="3" w:name="NomJuge1"/>
            <w:r w:rsidRPr="00515AA2">
              <w:rPr>
                <w:color w:val="000000"/>
              </w:rPr>
              <w:t>GENEVIÈVE MARCOTTE, J.A.</w:t>
            </w:r>
            <w:bookmarkEnd w:id="3"/>
          </w:p>
          <w:p w14:paraId="754B9AD4" w14:textId="6E539142" w:rsidR="008F364A" w:rsidRPr="00515AA2" w:rsidRDefault="0074653A">
            <w:pPr>
              <w:pStyle w:val="zSoquijdatJuge"/>
              <w:rPr>
                <w:color w:val="000000"/>
              </w:rPr>
            </w:pPr>
            <w:bookmarkStart w:id="4" w:name="NomJuge2"/>
            <w:r w:rsidRPr="00515AA2">
              <w:rPr>
                <w:color w:val="000000"/>
              </w:rPr>
              <w:t>MARIE-JOSÉE HOGUE, J.A.</w:t>
            </w:r>
            <w:bookmarkEnd w:id="4"/>
          </w:p>
          <w:p w14:paraId="707F9E30" w14:textId="551DAF1D" w:rsidR="005A78BF" w:rsidRPr="00515AA2" w:rsidRDefault="0074653A" w:rsidP="0074653A">
            <w:pPr>
              <w:pStyle w:val="zSoquijdatJuge"/>
              <w:rPr>
                <w:color w:val="000000"/>
                <w:lang w:val="en-CA"/>
              </w:rPr>
            </w:pPr>
            <w:bookmarkStart w:id="5" w:name="_Hlt520513784"/>
            <w:bookmarkStart w:id="6" w:name="NomJuge3"/>
            <w:bookmarkEnd w:id="5"/>
            <w:r w:rsidRPr="00515AA2">
              <w:rPr>
                <w:color w:val="000000"/>
                <w:lang w:val="en-CA"/>
              </w:rPr>
              <w:t>STEPHEN W. HAMILTON, J.A.</w:t>
            </w:r>
            <w:bookmarkEnd w:id="6"/>
          </w:p>
        </w:tc>
      </w:tr>
      <w:tr w:rsidR="00515AA2" w:rsidRPr="00C83535" w14:paraId="13B035CF" w14:textId="77777777" w:rsidTr="008D18FC">
        <w:tc>
          <w:tcPr>
            <w:tcW w:w="9360" w:type="dxa"/>
            <w:gridSpan w:val="6"/>
            <w:tcBorders>
              <w:bottom w:val="single" w:sz="8" w:space="0" w:color="auto"/>
            </w:tcBorders>
          </w:tcPr>
          <w:p w14:paraId="5F4C784E" w14:textId="77777777" w:rsidR="008F364A" w:rsidRPr="00515AA2" w:rsidRDefault="008F364A">
            <w:pPr>
              <w:rPr>
                <w:color w:val="000000"/>
                <w:lang w:val="en-CA"/>
              </w:rPr>
            </w:pPr>
          </w:p>
        </w:tc>
      </w:tr>
      <w:tr w:rsidR="00515AA2" w:rsidRPr="00C83535" w14:paraId="10FDFA90" w14:textId="77777777" w:rsidTr="008D18FC">
        <w:tc>
          <w:tcPr>
            <w:tcW w:w="9360" w:type="dxa"/>
            <w:gridSpan w:val="6"/>
          </w:tcPr>
          <w:p w14:paraId="6A0D0822" w14:textId="77777777" w:rsidR="008F364A" w:rsidRPr="00515AA2" w:rsidRDefault="008F364A">
            <w:pPr>
              <w:pStyle w:val="zSoquijlblTitrePartie"/>
              <w:rPr>
                <w:color w:val="000000"/>
                <w:lang w:val="en-CA"/>
              </w:rPr>
            </w:pPr>
          </w:p>
        </w:tc>
      </w:tr>
      <w:tr w:rsidR="00515AA2" w:rsidRPr="00515AA2" w14:paraId="6D9CBB1C" w14:textId="77777777" w:rsidTr="008D18FC">
        <w:tc>
          <w:tcPr>
            <w:tcW w:w="9360" w:type="dxa"/>
            <w:gridSpan w:val="6"/>
          </w:tcPr>
          <w:p w14:paraId="7A82239A" w14:textId="07230AF4" w:rsidR="008F364A" w:rsidRPr="00515AA2" w:rsidRDefault="001B5381">
            <w:pPr>
              <w:pStyle w:val="zSoquijdatNomPartieDem"/>
              <w:rPr>
                <w:color w:val="000000"/>
                <w:lang w:val="en-CA"/>
              </w:rPr>
            </w:pPr>
            <w:r w:rsidRPr="00515AA2">
              <w:rPr>
                <w:color w:val="000000"/>
                <w:lang w:val="en-CA"/>
              </w:rPr>
              <w:t>ATTORNEY GENERAL OF</w:t>
            </w:r>
            <w:r w:rsidR="0074653A" w:rsidRPr="00515AA2">
              <w:rPr>
                <w:color w:val="000000"/>
                <w:lang w:val="en-CA"/>
              </w:rPr>
              <w:t xml:space="preserve"> QU</w:t>
            </w:r>
            <w:r w:rsidRPr="00515AA2">
              <w:rPr>
                <w:color w:val="000000"/>
                <w:lang w:val="en-CA"/>
              </w:rPr>
              <w:t>E</w:t>
            </w:r>
            <w:r w:rsidR="0074653A" w:rsidRPr="00515AA2">
              <w:rPr>
                <w:color w:val="000000"/>
                <w:lang w:val="en-CA"/>
              </w:rPr>
              <w:t>BEC</w:t>
            </w:r>
          </w:p>
        </w:tc>
      </w:tr>
      <w:tr w:rsidR="00515AA2" w:rsidRPr="00515AA2" w14:paraId="486B770E" w14:textId="77777777" w:rsidTr="008D18FC">
        <w:tc>
          <w:tcPr>
            <w:tcW w:w="9360" w:type="dxa"/>
            <w:gridSpan w:val="6"/>
          </w:tcPr>
          <w:p w14:paraId="30C31E3A" w14:textId="75347D60" w:rsidR="008F364A" w:rsidRPr="00515AA2" w:rsidRDefault="0074653A">
            <w:pPr>
              <w:pStyle w:val="zSoquijdatQtePartieDem"/>
              <w:rPr>
                <w:color w:val="000000"/>
                <w:lang w:val="en-CA"/>
              </w:rPr>
            </w:pPr>
            <w:r w:rsidRPr="00515AA2">
              <w:rPr>
                <w:color w:val="000000"/>
                <w:lang w:val="en-CA"/>
              </w:rPr>
              <w:t>APPEL</w:t>
            </w:r>
            <w:r w:rsidR="001B5381" w:rsidRPr="00515AA2">
              <w:rPr>
                <w:color w:val="000000"/>
                <w:lang w:val="en-CA"/>
              </w:rPr>
              <w:t>L</w:t>
            </w:r>
            <w:r w:rsidRPr="00515AA2">
              <w:rPr>
                <w:color w:val="000000"/>
                <w:lang w:val="en-CA"/>
              </w:rPr>
              <w:t>ANT/</w:t>
            </w:r>
            <w:r w:rsidR="001B5381" w:rsidRPr="00515AA2">
              <w:rPr>
                <w:color w:val="000000"/>
                <w:lang w:val="en-CA"/>
              </w:rPr>
              <w:t>INCIDENTAL RESPONDENT</w:t>
            </w:r>
            <w:r w:rsidRPr="00515AA2">
              <w:rPr>
                <w:color w:val="000000"/>
                <w:lang w:val="en-CA"/>
              </w:rPr>
              <w:t xml:space="preserve"> – </w:t>
            </w:r>
            <w:r w:rsidR="001B5381" w:rsidRPr="00515AA2">
              <w:rPr>
                <w:color w:val="000000"/>
                <w:lang w:val="en-CA"/>
              </w:rPr>
              <w:t>Defendant</w:t>
            </w:r>
          </w:p>
        </w:tc>
      </w:tr>
      <w:tr w:rsidR="00515AA2" w:rsidRPr="00515AA2" w14:paraId="21F123DA" w14:textId="77777777" w:rsidTr="008D18FC">
        <w:tc>
          <w:tcPr>
            <w:tcW w:w="9360" w:type="dxa"/>
            <w:gridSpan w:val="6"/>
          </w:tcPr>
          <w:p w14:paraId="5DC321B6" w14:textId="02855959" w:rsidR="008F364A" w:rsidRPr="00515AA2" w:rsidRDefault="001B5381">
            <w:pPr>
              <w:pStyle w:val="zSoquijlblLienParties"/>
              <w:rPr>
                <w:color w:val="000000"/>
                <w:lang w:val="en-CA"/>
              </w:rPr>
            </w:pPr>
            <w:r w:rsidRPr="00515AA2">
              <w:rPr>
                <w:color w:val="000000"/>
                <w:lang w:val="en-CA"/>
              </w:rPr>
              <w:t>v</w:t>
            </w:r>
            <w:r w:rsidR="00740A17" w:rsidRPr="00515AA2">
              <w:rPr>
                <w:color w:val="000000"/>
                <w:lang w:val="en-CA"/>
              </w:rPr>
              <w:t>.</w:t>
            </w:r>
          </w:p>
        </w:tc>
      </w:tr>
      <w:tr w:rsidR="00515AA2" w:rsidRPr="00515AA2" w14:paraId="039E382F" w14:textId="77777777" w:rsidTr="008D18FC">
        <w:tc>
          <w:tcPr>
            <w:tcW w:w="9360" w:type="dxa"/>
            <w:gridSpan w:val="6"/>
          </w:tcPr>
          <w:p w14:paraId="3AF928C7" w14:textId="77777777" w:rsidR="008F364A" w:rsidRPr="00515AA2" w:rsidRDefault="008F364A">
            <w:pPr>
              <w:rPr>
                <w:color w:val="000000"/>
                <w:lang w:val="en-CA"/>
              </w:rPr>
            </w:pPr>
          </w:p>
        </w:tc>
      </w:tr>
      <w:tr w:rsidR="00515AA2" w:rsidRPr="00515AA2" w14:paraId="4BC0EBAA" w14:textId="77777777" w:rsidTr="008D18FC">
        <w:tc>
          <w:tcPr>
            <w:tcW w:w="9360" w:type="dxa"/>
            <w:gridSpan w:val="6"/>
          </w:tcPr>
          <w:p w14:paraId="67DE070A" w14:textId="78E52844" w:rsidR="008F364A" w:rsidRPr="00515AA2" w:rsidRDefault="001B5381" w:rsidP="00E20491">
            <w:pPr>
              <w:pStyle w:val="zSoquijdatNomPartieDef"/>
              <w:rPr>
                <w:color w:val="000000"/>
                <w:lang w:val="en-CA"/>
              </w:rPr>
            </w:pPr>
            <w:r w:rsidRPr="00515AA2">
              <w:rPr>
                <w:color w:val="000000"/>
                <w:lang w:val="en-CA"/>
              </w:rPr>
              <w:t>CENTRE FOR GENDER ADVOCA</w:t>
            </w:r>
            <w:r w:rsidR="00501C6A" w:rsidRPr="00515AA2">
              <w:rPr>
                <w:color w:val="000000"/>
                <w:lang w:val="en-CA"/>
              </w:rPr>
              <w:t>C</w:t>
            </w:r>
            <w:r w:rsidRPr="00515AA2">
              <w:rPr>
                <w:color w:val="000000"/>
                <w:lang w:val="en-CA"/>
              </w:rPr>
              <w:t>Y</w:t>
            </w:r>
          </w:p>
        </w:tc>
      </w:tr>
      <w:tr w:rsidR="00515AA2" w:rsidRPr="00515AA2" w14:paraId="66A3FA61" w14:textId="77777777" w:rsidTr="008D18FC">
        <w:tc>
          <w:tcPr>
            <w:tcW w:w="9360" w:type="dxa"/>
            <w:gridSpan w:val="6"/>
          </w:tcPr>
          <w:p w14:paraId="431DBB37" w14:textId="064B3BCD" w:rsidR="008F364A" w:rsidRPr="00515AA2" w:rsidRDefault="001B5381" w:rsidP="0074653A">
            <w:pPr>
              <w:pStyle w:val="zSoquijdatQtePartieDef"/>
              <w:rPr>
                <w:color w:val="000000"/>
                <w:lang w:val="en-CA"/>
              </w:rPr>
            </w:pPr>
            <w:r w:rsidRPr="00515AA2">
              <w:rPr>
                <w:color w:val="000000"/>
                <w:lang w:val="en-CA"/>
              </w:rPr>
              <w:t>RESPONDENT</w:t>
            </w:r>
            <w:r w:rsidR="0074653A" w:rsidRPr="00515AA2">
              <w:rPr>
                <w:color w:val="000000"/>
                <w:lang w:val="en-CA"/>
              </w:rPr>
              <w:t>/</w:t>
            </w:r>
            <w:r w:rsidRPr="00515AA2">
              <w:rPr>
                <w:color w:val="000000"/>
                <w:lang w:val="en-CA"/>
              </w:rPr>
              <w:t>INCIDENTAL APPELLANT</w:t>
            </w:r>
            <w:r w:rsidR="0074653A" w:rsidRPr="00515AA2">
              <w:rPr>
                <w:color w:val="000000"/>
                <w:lang w:val="en-CA"/>
              </w:rPr>
              <w:t xml:space="preserve"> – </w:t>
            </w:r>
            <w:r w:rsidRPr="00515AA2">
              <w:rPr>
                <w:color w:val="000000"/>
                <w:lang w:val="en-CA"/>
              </w:rPr>
              <w:t>Plaintiff</w:t>
            </w:r>
          </w:p>
        </w:tc>
      </w:tr>
      <w:tr w:rsidR="00515AA2" w:rsidRPr="00515AA2" w14:paraId="34AC47E8" w14:textId="77777777" w:rsidTr="00273192">
        <w:tc>
          <w:tcPr>
            <w:tcW w:w="9360" w:type="dxa"/>
            <w:gridSpan w:val="6"/>
          </w:tcPr>
          <w:p w14:paraId="3BC94D6E" w14:textId="10C3C520" w:rsidR="0074653A" w:rsidRPr="00515AA2" w:rsidRDefault="001B5381" w:rsidP="00273192">
            <w:pPr>
              <w:pStyle w:val="zSoquijlblLienParties"/>
              <w:rPr>
                <w:color w:val="000000"/>
                <w:lang w:val="en-CA"/>
              </w:rPr>
            </w:pPr>
            <w:r w:rsidRPr="00515AA2">
              <w:rPr>
                <w:color w:val="000000"/>
                <w:lang w:val="en-CA"/>
              </w:rPr>
              <w:t>and</w:t>
            </w:r>
          </w:p>
        </w:tc>
      </w:tr>
      <w:tr w:rsidR="00515AA2" w:rsidRPr="00515AA2" w14:paraId="11F0B6E5" w14:textId="77777777" w:rsidTr="00273192">
        <w:tc>
          <w:tcPr>
            <w:tcW w:w="9360" w:type="dxa"/>
            <w:gridSpan w:val="6"/>
          </w:tcPr>
          <w:p w14:paraId="504F6C0B" w14:textId="77777777" w:rsidR="007B4061" w:rsidRPr="00515AA2" w:rsidRDefault="007B4061" w:rsidP="007B4061">
            <w:pPr>
              <w:pStyle w:val="zSoquijdatNomPartieDef"/>
              <w:rPr>
                <w:color w:val="000000"/>
                <w:lang w:val="en-CA"/>
              </w:rPr>
            </w:pPr>
          </w:p>
        </w:tc>
      </w:tr>
      <w:tr w:rsidR="00515AA2" w:rsidRPr="00515AA2" w14:paraId="0B07B91E" w14:textId="77777777" w:rsidTr="00273192">
        <w:tc>
          <w:tcPr>
            <w:tcW w:w="9360" w:type="dxa"/>
            <w:gridSpan w:val="6"/>
          </w:tcPr>
          <w:p w14:paraId="5AA51AF3" w14:textId="77777777" w:rsidR="007B4061" w:rsidRPr="00515AA2" w:rsidRDefault="007B4061" w:rsidP="007B4061">
            <w:pPr>
              <w:pStyle w:val="zSoquijdatNomPartieDef"/>
              <w:rPr>
                <w:color w:val="000000"/>
                <w:lang w:val="en-CA"/>
              </w:rPr>
            </w:pPr>
            <w:r w:rsidRPr="00515AA2">
              <w:rPr>
                <w:color w:val="000000"/>
                <w:lang w:val="en-CA"/>
              </w:rPr>
              <w:t>SAMUEL SINGER</w:t>
            </w:r>
          </w:p>
        </w:tc>
      </w:tr>
      <w:tr w:rsidR="00515AA2" w:rsidRPr="00515AA2" w14:paraId="61B93C0E" w14:textId="77777777" w:rsidTr="00273192">
        <w:tc>
          <w:tcPr>
            <w:tcW w:w="9360" w:type="dxa"/>
            <w:gridSpan w:val="6"/>
          </w:tcPr>
          <w:p w14:paraId="42556966" w14:textId="77777777" w:rsidR="007B4061" w:rsidRPr="00515AA2" w:rsidRDefault="007B4061" w:rsidP="007B4061">
            <w:pPr>
              <w:pStyle w:val="zSoquijdatNomPartieDef"/>
              <w:rPr>
                <w:color w:val="000000"/>
                <w:lang w:val="en-CA"/>
              </w:rPr>
            </w:pPr>
            <w:r w:rsidRPr="00515AA2">
              <w:rPr>
                <w:color w:val="000000"/>
                <w:lang w:val="en-CA"/>
              </w:rPr>
              <w:t>SARAH BLUMEL</w:t>
            </w:r>
          </w:p>
        </w:tc>
      </w:tr>
      <w:tr w:rsidR="00515AA2" w:rsidRPr="00515AA2" w14:paraId="67C7B5F3" w14:textId="77777777" w:rsidTr="00273192">
        <w:tc>
          <w:tcPr>
            <w:tcW w:w="9360" w:type="dxa"/>
            <w:gridSpan w:val="6"/>
          </w:tcPr>
          <w:p w14:paraId="1A41C24D" w14:textId="77777777" w:rsidR="007B4061" w:rsidRPr="00515AA2" w:rsidRDefault="007B4061" w:rsidP="007B4061">
            <w:pPr>
              <w:pStyle w:val="zSoquijdatNomPartieDef"/>
              <w:rPr>
                <w:color w:val="000000"/>
                <w:lang w:val="en-CA"/>
              </w:rPr>
            </w:pPr>
            <w:r w:rsidRPr="00515AA2">
              <w:rPr>
                <w:color w:val="000000"/>
                <w:lang w:val="en-CA"/>
              </w:rPr>
              <w:t>ELIZABETH HELLER</w:t>
            </w:r>
          </w:p>
        </w:tc>
      </w:tr>
      <w:tr w:rsidR="00515AA2" w:rsidRPr="00515AA2" w14:paraId="4460375B" w14:textId="77777777" w:rsidTr="00273192">
        <w:tc>
          <w:tcPr>
            <w:tcW w:w="9360" w:type="dxa"/>
            <w:gridSpan w:val="6"/>
          </w:tcPr>
          <w:p w14:paraId="739C0B08" w14:textId="77777777" w:rsidR="007B4061" w:rsidRPr="00515AA2" w:rsidRDefault="007B4061" w:rsidP="007B4061">
            <w:pPr>
              <w:pStyle w:val="zSoquijdatNomPartieDef"/>
              <w:rPr>
                <w:color w:val="000000"/>
                <w:lang w:val="en-CA"/>
              </w:rPr>
            </w:pPr>
            <w:r w:rsidRPr="00515AA2">
              <w:rPr>
                <w:color w:val="000000"/>
                <w:lang w:val="en-CA"/>
              </w:rPr>
              <w:t>JENNA MICHELLE JACOBS</w:t>
            </w:r>
          </w:p>
        </w:tc>
      </w:tr>
      <w:tr w:rsidR="00515AA2" w:rsidRPr="00515AA2" w14:paraId="20826514" w14:textId="77777777" w:rsidTr="00273192">
        <w:tc>
          <w:tcPr>
            <w:tcW w:w="9360" w:type="dxa"/>
            <w:gridSpan w:val="6"/>
          </w:tcPr>
          <w:p w14:paraId="3A3864DE" w14:textId="4E5389D3" w:rsidR="007B4061" w:rsidRPr="00515AA2" w:rsidRDefault="001B5381" w:rsidP="007B4061">
            <w:pPr>
              <w:pStyle w:val="zSoquijdatQtePartieDef"/>
              <w:rPr>
                <w:color w:val="000000"/>
                <w:lang w:val="en-CA"/>
              </w:rPr>
            </w:pPr>
            <w:r w:rsidRPr="00515AA2">
              <w:rPr>
                <w:color w:val="000000"/>
                <w:lang w:val="en-CA"/>
              </w:rPr>
              <w:t>RESPONDENT</w:t>
            </w:r>
            <w:r w:rsidR="007B4061" w:rsidRPr="00515AA2">
              <w:rPr>
                <w:color w:val="000000"/>
                <w:lang w:val="en-CA"/>
              </w:rPr>
              <w:t xml:space="preserve">S – </w:t>
            </w:r>
            <w:r w:rsidRPr="00515AA2">
              <w:rPr>
                <w:color w:val="000000"/>
                <w:lang w:val="en-CA"/>
              </w:rPr>
              <w:t>Plaintiffs</w:t>
            </w:r>
          </w:p>
        </w:tc>
      </w:tr>
      <w:tr w:rsidR="00515AA2" w:rsidRPr="00515AA2" w14:paraId="6BCDAF96" w14:textId="77777777" w:rsidTr="00273192">
        <w:tc>
          <w:tcPr>
            <w:tcW w:w="9360" w:type="dxa"/>
            <w:gridSpan w:val="6"/>
          </w:tcPr>
          <w:p w14:paraId="456C6E3B" w14:textId="0D10000F" w:rsidR="007B4061" w:rsidRPr="00515AA2" w:rsidRDefault="001B5381" w:rsidP="00273192">
            <w:pPr>
              <w:pStyle w:val="zSoquijlblLienParties"/>
              <w:rPr>
                <w:color w:val="000000"/>
                <w:lang w:val="en-CA"/>
              </w:rPr>
            </w:pPr>
            <w:r w:rsidRPr="00515AA2">
              <w:rPr>
                <w:color w:val="000000"/>
                <w:lang w:val="en-CA"/>
              </w:rPr>
              <w:t>and</w:t>
            </w:r>
          </w:p>
        </w:tc>
      </w:tr>
      <w:tr w:rsidR="00515AA2" w:rsidRPr="00515AA2" w14:paraId="4A8D7AC6" w14:textId="77777777" w:rsidTr="00273192">
        <w:tc>
          <w:tcPr>
            <w:tcW w:w="9360" w:type="dxa"/>
            <w:gridSpan w:val="6"/>
          </w:tcPr>
          <w:p w14:paraId="4CD60BBF" w14:textId="77777777" w:rsidR="0074653A" w:rsidRPr="00515AA2" w:rsidRDefault="0074653A" w:rsidP="00273192">
            <w:pPr>
              <w:rPr>
                <w:color w:val="000000"/>
                <w:lang w:val="en-CA"/>
              </w:rPr>
            </w:pPr>
          </w:p>
        </w:tc>
      </w:tr>
      <w:tr w:rsidR="00515AA2" w:rsidRPr="00515AA2" w14:paraId="4B4AD4B2" w14:textId="77777777" w:rsidTr="00273192">
        <w:tc>
          <w:tcPr>
            <w:tcW w:w="9360" w:type="dxa"/>
            <w:gridSpan w:val="6"/>
          </w:tcPr>
          <w:p w14:paraId="30ABD659" w14:textId="77777777" w:rsidR="0074653A" w:rsidRPr="00515AA2" w:rsidRDefault="0074653A" w:rsidP="007B4061">
            <w:pPr>
              <w:pStyle w:val="zSoquijdatNomPartieDef"/>
              <w:rPr>
                <w:color w:val="000000"/>
              </w:rPr>
            </w:pPr>
            <w:r w:rsidRPr="00515AA2">
              <w:rPr>
                <w:color w:val="000000"/>
              </w:rPr>
              <w:t xml:space="preserve">COALITION DES </w:t>
            </w:r>
            <w:r w:rsidR="007B4061" w:rsidRPr="00515AA2">
              <w:rPr>
                <w:color w:val="000000"/>
              </w:rPr>
              <w:t>PROFESSIONNELS EN SANTÉ TRANS/</w:t>
            </w:r>
            <w:r w:rsidRPr="00515AA2">
              <w:rPr>
                <w:color w:val="000000"/>
              </w:rPr>
              <w:t>NON-BINAIRE</w:t>
            </w:r>
          </w:p>
        </w:tc>
      </w:tr>
      <w:tr w:rsidR="00515AA2" w:rsidRPr="00515AA2" w14:paraId="5ECF6698" w14:textId="77777777" w:rsidTr="00273192">
        <w:tc>
          <w:tcPr>
            <w:tcW w:w="9360" w:type="dxa"/>
            <w:gridSpan w:val="6"/>
          </w:tcPr>
          <w:p w14:paraId="10CE8BA1" w14:textId="26E45104" w:rsidR="0074653A" w:rsidRPr="00515AA2" w:rsidRDefault="007B4061" w:rsidP="00273192">
            <w:pPr>
              <w:pStyle w:val="zSoquijdatQtePartieDef"/>
              <w:rPr>
                <w:color w:val="000000"/>
                <w:lang w:val="en-CA"/>
              </w:rPr>
            </w:pPr>
            <w:r w:rsidRPr="00515AA2">
              <w:rPr>
                <w:color w:val="000000"/>
                <w:lang w:val="en-CA"/>
              </w:rPr>
              <w:t>INTERVEN</w:t>
            </w:r>
            <w:r w:rsidR="001B5381" w:rsidRPr="00515AA2">
              <w:rPr>
                <w:color w:val="000000"/>
                <w:lang w:val="en-CA"/>
              </w:rPr>
              <w:t>ER</w:t>
            </w:r>
          </w:p>
        </w:tc>
      </w:tr>
      <w:tr w:rsidR="00515AA2" w:rsidRPr="00515AA2" w14:paraId="6C366B29" w14:textId="77777777" w:rsidTr="00273192">
        <w:tc>
          <w:tcPr>
            <w:tcW w:w="9360" w:type="dxa"/>
            <w:gridSpan w:val="6"/>
          </w:tcPr>
          <w:p w14:paraId="559FBD85" w14:textId="190ABD2E" w:rsidR="0074653A" w:rsidRPr="00515AA2" w:rsidRDefault="001B5381" w:rsidP="00273192">
            <w:pPr>
              <w:pStyle w:val="zSoquijlblLienParties"/>
              <w:rPr>
                <w:color w:val="000000"/>
                <w:lang w:val="en-CA"/>
              </w:rPr>
            </w:pPr>
            <w:r w:rsidRPr="00515AA2">
              <w:rPr>
                <w:color w:val="000000"/>
                <w:lang w:val="en-CA"/>
              </w:rPr>
              <w:t>and</w:t>
            </w:r>
          </w:p>
        </w:tc>
      </w:tr>
      <w:tr w:rsidR="00515AA2" w:rsidRPr="00515AA2" w14:paraId="3CF4D62D" w14:textId="77777777" w:rsidTr="00273192">
        <w:tc>
          <w:tcPr>
            <w:tcW w:w="9360" w:type="dxa"/>
            <w:gridSpan w:val="6"/>
          </w:tcPr>
          <w:p w14:paraId="7EB9E78C" w14:textId="77777777" w:rsidR="0074653A" w:rsidRPr="00515AA2" w:rsidRDefault="0074653A" w:rsidP="00273192">
            <w:pPr>
              <w:rPr>
                <w:color w:val="000000"/>
                <w:lang w:val="en-CA"/>
              </w:rPr>
            </w:pPr>
          </w:p>
        </w:tc>
      </w:tr>
      <w:tr w:rsidR="00515AA2" w:rsidRPr="00C83535" w14:paraId="239A2E7D" w14:textId="77777777" w:rsidTr="00273192">
        <w:tc>
          <w:tcPr>
            <w:tcW w:w="9360" w:type="dxa"/>
            <w:gridSpan w:val="6"/>
          </w:tcPr>
          <w:p w14:paraId="17C960FB" w14:textId="37209DB3" w:rsidR="0074653A" w:rsidRPr="00515AA2" w:rsidRDefault="00DC06D5" w:rsidP="00211700">
            <w:pPr>
              <w:pStyle w:val="zSoquijdatNomPartieDef"/>
              <w:rPr>
                <w:color w:val="000000"/>
                <w:lang w:val="en-CA"/>
              </w:rPr>
            </w:pPr>
            <w:r w:rsidRPr="00515AA2">
              <w:rPr>
                <w:color w:val="000000"/>
                <w:lang w:val="en-CA"/>
              </w:rPr>
              <w:t xml:space="preserve">EGALE CANADA (formerly known as </w:t>
            </w:r>
            <w:r w:rsidR="00211700" w:rsidRPr="00515AA2">
              <w:rPr>
                <w:color w:val="000000"/>
                <w:lang w:val="en-CA"/>
              </w:rPr>
              <w:t xml:space="preserve">EGALE CANADA </w:t>
            </w:r>
            <w:r w:rsidR="001B5381" w:rsidRPr="00515AA2">
              <w:rPr>
                <w:color w:val="000000"/>
                <w:lang w:val="en-CA"/>
              </w:rPr>
              <w:t>HUMAN RIGHTS TRUST</w:t>
            </w:r>
            <w:r w:rsidRPr="00515AA2">
              <w:rPr>
                <w:color w:val="000000"/>
                <w:lang w:val="en-CA"/>
              </w:rPr>
              <w:t>)</w:t>
            </w:r>
          </w:p>
        </w:tc>
      </w:tr>
      <w:tr w:rsidR="00515AA2" w:rsidRPr="00515AA2" w14:paraId="3CEE87BD" w14:textId="77777777" w:rsidTr="00273192">
        <w:tc>
          <w:tcPr>
            <w:tcW w:w="9360" w:type="dxa"/>
            <w:gridSpan w:val="6"/>
          </w:tcPr>
          <w:p w14:paraId="6CF638D0" w14:textId="4CE0AA48" w:rsidR="00211700" w:rsidRPr="00515AA2" w:rsidRDefault="00315449" w:rsidP="00211700">
            <w:pPr>
              <w:pStyle w:val="zSoquijdatNomPartieDef"/>
              <w:rPr>
                <w:color w:val="000000"/>
                <w:lang w:val="en-CA"/>
              </w:rPr>
            </w:pPr>
            <w:r>
              <w:rPr>
                <w:color w:val="000000"/>
                <w:lang w:val="en-CA"/>
              </w:rPr>
              <w:t>GENDER CREATIVE KIDS</w:t>
            </w:r>
          </w:p>
        </w:tc>
      </w:tr>
      <w:tr w:rsidR="00515AA2" w:rsidRPr="00515AA2" w14:paraId="3C31A1F8" w14:textId="77777777" w:rsidTr="00996935">
        <w:tc>
          <w:tcPr>
            <w:tcW w:w="9360" w:type="dxa"/>
            <w:gridSpan w:val="6"/>
          </w:tcPr>
          <w:p w14:paraId="25DA2106" w14:textId="66618E94" w:rsidR="0074653A" w:rsidRPr="00515AA2" w:rsidRDefault="001B5381" w:rsidP="00273192">
            <w:pPr>
              <w:pStyle w:val="zSoquijdatQtePartieDef"/>
              <w:rPr>
                <w:color w:val="000000"/>
                <w:lang w:val="en-CA"/>
              </w:rPr>
            </w:pPr>
            <w:r w:rsidRPr="00515AA2">
              <w:rPr>
                <w:color w:val="000000"/>
                <w:lang w:val="en-CA"/>
              </w:rPr>
              <w:t>IMPLEADED PARTIES</w:t>
            </w:r>
            <w:r w:rsidR="00211700" w:rsidRPr="00515AA2">
              <w:rPr>
                <w:color w:val="000000"/>
                <w:lang w:val="en-CA"/>
              </w:rPr>
              <w:t xml:space="preserve"> – </w:t>
            </w:r>
            <w:r w:rsidRPr="00515AA2">
              <w:rPr>
                <w:color w:val="000000"/>
                <w:lang w:val="en-CA"/>
              </w:rPr>
              <w:t>I</w:t>
            </w:r>
            <w:r w:rsidR="00211700" w:rsidRPr="00515AA2">
              <w:rPr>
                <w:color w:val="000000"/>
                <w:lang w:val="en-CA"/>
              </w:rPr>
              <w:t>nterven</w:t>
            </w:r>
            <w:r w:rsidRPr="00515AA2">
              <w:rPr>
                <w:color w:val="000000"/>
                <w:lang w:val="en-CA"/>
              </w:rPr>
              <w:t>er</w:t>
            </w:r>
            <w:r w:rsidR="00AC6629" w:rsidRPr="00515AA2">
              <w:rPr>
                <w:color w:val="000000"/>
                <w:lang w:val="en-CA"/>
              </w:rPr>
              <w:t>s</w:t>
            </w:r>
          </w:p>
        </w:tc>
      </w:tr>
      <w:tr w:rsidR="00515AA2" w:rsidRPr="00515AA2" w14:paraId="64E6D8DF" w14:textId="77777777" w:rsidTr="00996935">
        <w:tc>
          <w:tcPr>
            <w:tcW w:w="9360" w:type="dxa"/>
            <w:gridSpan w:val="6"/>
            <w:tcBorders>
              <w:bottom w:val="single" w:sz="4" w:space="0" w:color="auto"/>
            </w:tcBorders>
          </w:tcPr>
          <w:p w14:paraId="01F9BD7B" w14:textId="77777777" w:rsidR="00996935" w:rsidRPr="00515AA2" w:rsidRDefault="00996935" w:rsidP="00996935">
            <w:pPr>
              <w:pStyle w:val="zSoquijdatQtePartieDef"/>
              <w:ind w:left="0"/>
              <w:rPr>
                <w:color w:val="000000"/>
                <w:lang w:val="en-CA"/>
              </w:rPr>
            </w:pPr>
          </w:p>
        </w:tc>
      </w:tr>
    </w:tbl>
    <w:p w14:paraId="202D287B" w14:textId="77777777" w:rsidR="00996935" w:rsidRPr="00515AA2" w:rsidRDefault="00996935">
      <w:pPr>
        <w:rPr>
          <w:color w:val="000000"/>
        </w:rPr>
      </w:pPr>
      <w:r w:rsidRPr="00515AA2">
        <w:rPr>
          <w:color w:val="000000"/>
        </w:rPr>
        <w:br w:type="page"/>
      </w:r>
    </w:p>
    <w:tbl>
      <w:tblPr>
        <w:tblW w:w="9360" w:type="dxa"/>
        <w:tblLayout w:type="fixed"/>
        <w:tblCellMar>
          <w:left w:w="0" w:type="dxa"/>
          <w:right w:w="0" w:type="dxa"/>
        </w:tblCellMar>
        <w:tblLook w:val="0000" w:firstRow="0" w:lastRow="0" w:firstColumn="0" w:lastColumn="0" w:noHBand="0" w:noVBand="0"/>
      </w:tblPr>
      <w:tblGrid>
        <w:gridCol w:w="9360"/>
      </w:tblGrid>
      <w:tr w:rsidR="00515AA2" w:rsidRPr="00515AA2" w14:paraId="0F6F51BE" w14:textId="77777777" w:rsidTr="009D5805">
        <w:tc>
          <w:tcPr>
            <w:tcW w:w="9360" w:type="dxa"/>
            <w:tcBorders>
              <w:bottom w:val="single" w:sz="8" w:space="0" w:color="auto"/>
            </w:tcBorders>
          </w:tcPr>
          <w:p w14:paraId="486CC285" w14:textId="7F76B6E5" w:rsidR="00612E62" w:rsidRPr="00515AA2" w:rsidRDefault="00612E62" w:rsidP="009D5805">
            <w:pPr>
              <w:rPr>
                <w:color w:val="000000"/>
              </w:rPr>
            </w:pPr>
          </w:p>
        </w:tc>
      </w:tr>
      <w:tr w:rsidR="00515AA2" w:rsidRPr="00515AA2" w14:paraId="55150F89" w14:textId="77777777" w:rsidTr="009D5805">
        <w:tc>
          <w:tcPr>
            <w:tcW w:w="9360" w:type="dxa"/>
            <w:tcBorders>
              <w:top w:val="single" w:sz="8" w:space="0" w:color="auto"/>
            </w:tcBorders>
          </w:tcPr>
          <w:p w14:paraId="3C9FAF4E" w14:textId="732E2BFA" w:rsidR="00612E62" w:rsidRPr="00515AA2" w:rsidRDefault="00612E62" w:rsidP="009D5805">
            <w:pPr>
              <w:rPr>
                <w:color w:val="000000"/>
                <w:lang w:val="en-CA"/>
              </w:rPr>
            </w:pPr>
          </w:p>
        </w:tc>
      </w:tr>
      <w:tr w:rsidR="00515AA2" w:rsidRPr="00515AA2" w14:paraId="7976661A" w14:textId="77777777" w:rsidTr="009D5805">
        <w:tc>
          <w:tcPr>
            <w:tcW w:w="9360" w:type="dxa"/>
          </w:tcPr>
          <w:p w14:paraId="2401F08F" w14:textId="3A59DB96" w:rsidR="00612E62" w:rsidRPr="00515AA2" w:rsidRDefault="00EF13A0" w:rsidP="009D5805">
            <w:pPr>
              <w:pStyle w:val="zSoquijlblTypeDocument"/>
              <w:rPr>
                <w:color w:val="000000"/>
              </w:rPr>
            </w:pPr>
            <w:r w:rsidRPr="00515AA2">
              <w:rPr>
                <w:color w:val="000000"/>
              </w:rPr>
              <w:t>JUDGMENT</w:t>
            </w:r>
          </w:p>
        </w:tc>
      </w:tr>
      <w:tr w:rsidR="00515AA2" w:rsidRPr="00515AA2" w14:paraId="53151E6E" w14:textId="77777777" w:rsidTr="009D5805">
        <w:tc>
          <w:tcPr>
            <w:tcW w:w="9360" w:type="dxa"/>
            <w:tcBorders>
              <w:bottom w:val="single" w:sz="8" w:space="0" w:color="auto"/>
            </w:tcBorders>
          </w:tcPr>
          <w:p w14:paraId="4E37F093" w14:textId="77777777" w:rsidR="00612E62" w:rsidRPr="00515AA2" w:rsidRDefault="00612E62" w:rsidP="009D5805">
            <w:pPr>
              <w:rPr>
                <w:color w:val="000000"/>
              </w:rPr>
            </w:pPr>
          </w:p>
        </w:tc>
      </w:tr>
      <w:tr w:rsidR="00515AA2" w:rsidRPr="00515AA2" w14:paraId="02C4A950" w14:textId="77777777" w:rsidTr="009D5805">
        <w:tc>
          <w:tcPr>
            <w:tcW w:w="9360" w:type="dxa"/>
            <w:tcBorders>
              <w:top w:val="single" w:sz="8" w:space="0" w:color="auto"/>
            </w:tcBorders>
          </w:tcPr>
          <w:p w14:paraId="6C3D326E" w14:textId="77777777" w:rsidR="00612E62" w:rsidRPr="00515AA2" w:rsidRDefault="00612E62" w:rsidP="009D5805">
            <w:pPr>
              <w:rPr>
                <w:color w:val="000000"/>
              </w:rPr>
            </w:pPr>
          </w:p>
        </w:tc>
      </w:tr>
    </w:tbl>
    <w:p w14:paraId="0360E09E" w14:textId="0FE63444" w:rsidR="00EF13A0" w:rsidRPr="00515AA2" w:rsidRDefault="00EF13A0" w:rsidP="00F846E3">
      <w:pPr>
        <w:pStyle w:val="Paragraphe"/>
        <w:tabs>
          <w:tab w:val="clear" w:pos="360"/>
        </w:tabs>
        <w:spacing w:line="280" w:lineRule="exact"/>
        <w:rPr>
          <w:color w:val="000000"/>
          <w:lang w:val="en-CA"/>
        </w:rPr>
      </w:pPr>
      <w:bookmarkStart w:id="7" w:name="_Ref99569450"/>
      <w:r w:rsidRPr="00515AA2">
        <w:rPr>
          <w:color w:val="000000"/>
          <w:lang w:val="en-CA"/>
        </w:rPr>
        <w:t xml:space="preserve">The Attorney General of Quebec </w:t>
      </w:r>
      <w:r w:rsidR="00996935" w:rsidRPr="00515AA2">
        <w:rPr>
          <w:color w:val="000000"/>
          <w:lang w:val="en-CA"/>
        </w:rPr>
        <w:t>(“</w:t>
      </w:r>
      <w:r w:rsidR="00996935" w:rsidRPr="00515AA2">
        <w:rPr>
          <w:b/>
          <w:bCs/>
          <w:color w:val="000000"/>
          <w:lang w:val="en-CA"/>
        </w:rPr>
        <w:t>AGQ</w:t>
      </w:r>
      <w:r w:rsidR="00996935" w:rsidRPr="00515AA2">
        <w:rPr>
          <w:color w:val="000000"/>
          <w:lang w:val="en-CA"/>
        </w:rPr>
        <w:t xml:space="preserve">”) </w:t>
      </w:r>
      <w:r w:rsidRPr="00515AA2">
        <w:rPr>
          <w:color w:val="000000"/>
          <w:lang w:val="en-CA"/>
        </w:rPr>
        <w:t xml:space="preserve">appeals </w:t>
      </w:r>
      <w:r w:rsidR="007746DA" w:rsidRPr="00515AA2">
        <w:rPr>
          <w:color w:val="000000"/>
          <w:lang w:val="en-CA"/>
        </w:rPr>
        <w:t>a</w:t>
      </w:r>
      <w:r w:rsidRPr="00515AA2">
        <w:rPr>
          <w:color w:val="000000"/>
          <w:lang w:val="en-CA"/>
        </w:rPr>
        <w:t xml:space="preserve"> judgment of the Superior Court, District of Montreal (the Honourable Gregory Moore), rendered on January 28, 2021 </w:t>
      </w:r>
      <w:r w:rsidR="007746DA" w:rsidRPr="00515AA2">
        <w:rPr>
          <w:color w:val="000000"/>
          <w:lang w:val="en-CA"/>
        </w:rPr>
        <w:t>and</w:t>
      </w:r>
      <w:r w:rsidRPr="00515AA2">
        <w:rPr>
          <w:color w:val="000000"/>
          <w:lang w:val="en-CA"/>
        </w:rPr>
        <w:t xml:space="preserve"> corrected on February 9, 2021, granting in part the respondents’ application for a declaratory judgment and declaring several provisions of the </w:t>
      </w:r>
      <w:r w:rsidRPr="00515AA2">
        <w:rPr>
          <w:i/>
          <w:iCs/>
          <w:color w:val="000000"/>
          <w:lang w:val="en-CA"/>
        </w:rPr>
        <w:t>Civil Code of Québec</w:t>
      </w:r>
      <w:r w:rsidRPr="00515AA2">
        <w:rPr>
          <w:color w:val="000000"/>
          <w:lang w:val="en-CA"/>
        </w:rPr>
        <w:t xml:space="preserve"> </w:t>
      </w:r>
      <w:r w:rsidR="00996935" w:rsidRPr="00515AA2">
        <w:rPr>
          <w:color w:val="000000"/>
          <w:lang w:val="en-CA"/>
        </w:rPr>
        <w:t>(“</w:t>
      </w:r>
      <w:r w:rsidR="00996935" w:rsidRPr="00515AA2">
        <w:rPr>
          <w:b/>
          <w:bCs/>
          <w:i/>
          <w:iCs/>
          <w:color w:val="000000"/>
          <w:lang w:val="en-CA"/>
        </w:rPr>
        <w:t>C.C.Q.</w:t>
      </w:r>
      <w:r w:rsidR="00996935" w:rsidRPr="00515AA2">
        <w:rPr>
          <w:color w:val="000000"/>
          <w:lang w:val="en-CA"/>
        </w:rPr>
        <w:t>”)</w:t>
      </w:r>
      <w:r w:rsidR="004669FB" w:rsidRPr="00515AA2">
        <w:rPr>
          <w:color w:val="000000"/>
          <w:lang w:val="en-CA"/>
        </w:rPr>
        <w:t xml:space="preserve"> </w:t>
      </w:r>
      <w:r w:rsidRPr="00515AA2">
        <w:rPr>
          <w:color w:val="000000"/>
          <w:lang w:val="en-CA"/>
        </w:rPr>
        <w:t xml:space="preserve">and of the </w:t>
      </w:r>
      <w:r w:rsidRPr="00515AA2">
        <w:rPr>
          <w:i/>
          <w:iCs/>
          <w:color w:val="000000"/>
          <w:lang w:val="en-CA"/>
        </w:rPr>
        <w:t>Regulation respecting change of name and of other particulars of civil status</w:t>
      </w:r>
      <w:r w:rsidRPr="00515AA2">
        <w:rPr>
          <w:color w:val="000000"/>
          <w:lang w:val="en-CA"/>
        </w:rPr>
        <w:t xml:space="preserve"> </w:t>
      </w:r>
      <w:bookmarkStart w:id="8" w:name="_Ref110506972"/>
      <w:r w:rsidR="00996935" w:rsidRPr="00515AA2">
        <w:rPr>
          <w:color w:val="000000"/>
          <w:lang w:val="en-CA"/>
        </w:rPr>
        <w:t>(“</w:t>
      </w:r>
      <w:r w:rsidR="00996935" w:rsidRPr="00515AA2">
        <w:rPr>
          <w:b/>
          <w:bCs/>
          <w:i/>
          <w:iCs/>
          <w:color w:val="000000"/>
          <w:lang w:val="en-CA"/>
        </w:rPr>
        <w:t>Regulation</w:t>
      </w:r>
      <w:r w:rsidR="00996935" w:rsidRPr="00515AA2">
        <w:rPr>
          <w:color w:val="000000"/>
          <w:lang w:val="en-CA"/>
        </w:rPr>
        <w:t xml:space="preserve">”) </w:t>
      </w:r>
      <w:r w:rsidRPr="00515AA2">
        <w:rPr>
          <w:color w:val="000000"/>
          <w:lang w:val="en-CA"/>
        </w:rPr>
        <w:t>invalid and of no force or effect on the ground that they violate the dignity and equality rights of transgender and non-binary</w:t>
      </w:r>
      <w:r w:rsidR="002B70D7" w:rsidRPr="00515AA2">
        <w:rPr>
          <w:color w:val="000000"/>
          <w:lang w:val="en-CA"/>
        </w:rPr>
        <w:t xml:space="preserve"> persons</w:t>
      </w:r>
      <w:r w:rsidRPr="00515AA2">
        <w:rPr>
          <w:color w:val="000000"/>
          <w:lang w:val="en-CA"/>
        </w:rPr>
        <w:t>.</w:t>
      </w:r>
      <w:bookmarkEnd w:id="7"/>
      <w:bookmarkEnd w:id="8"/>
    </w:p>
    <w:p w14:paraId="3695C4FF" w14:textId="132ACD48"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color w:val="000000"/>
          <w:lang w:val="en-CA"/>
        </w:rPr>
        <w:t>Whereas several legislative provisions were in dispute at trial, this appeal only concerns two of them</w:t>
      </w:r>
      <w:r w:rsidR="00076B31" w:rsidRPr="00515AA2">
        <w:rPr>
          <w:color w:val="000000"/>
          <w:lang w:val="en-CA"/>
        </w:rPr>
        <w:t xml:space="preserve">, </w:t>
      </w:r>
      <w:r w:rsidR="005A0B0E" w:rsidRPr="00515AA2">
        <w:rPr>
          <w:color w:val="000000"/>
          <w:lang w:val="en-CA"/>
        </w:rPr>
        <w:t>which</w:t>
      </w:r>
      <w:r w:rsidRPr="00515AA2">
        <w:rPr>
          <w:color w:val="000000"/>
          <w:lang w:val="en-CA"/>
        </w:rPr>
        <w:t xml:space="preserve"> impose specific requirements on minors </w:t>
      </w:r>
      <w:r w:rsidR="007746DA" w:rsidRPr="00515AA2">
        <w:rPr>
          <w:color w:val="000000"/>
          <w:lang w:val="en-CA"/>
        </w:rPr>
        <w:t>who</w:t>
      </w:r>
      <w:r w:rsidRPr="00515AA2">
        <w:rPr>
          <w:color w:val="000000"/>
          <w:lang w:val="en-CA"/>
        </w:rPr>
        <w:t xml:space="preserve"> wish to change the designation of their sex or one or more of their given names </w:t>
      </w:r>
      <w:r w:rsidR="007746DA" w:rsidRPr="00515AA2">
        <w:rPr>
          <w:color w:val="000000"/>
          <w:lang w:val="en-CA"/>
        </w:rPr>
        <w:t>o</w:t>
      </w:r>
      <w:r w:rsidRPr="00515AA2">
        <w:rPr>
          <w:color w:val="000000"/>
          <w:lang w:val="en-CA"/>
        </w:rPr>
        <w:t>n their acts of civil status.</w:t>
      </w:r>
    </w:p>
    <w:p w14:paraId="2AB33BEF" w14:textId="61F171E8"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color w:val="000000"/>
          <w:lang w:val="en-CA"/>
        </w:rPr>
        <w:t>In the principal appeal, the A</w:t>
      </w:r>
      <w:r w:rsidR="002A0C93" w:rsidRPr="00515AA2">
        <w:rPr>
          <w:color w:val="000000"/>
          <w:lang w:val="en-CA"/>
        </w:rPr>
        <w:t xml:space="preserve">ttorney General of Quebec </w:t>
      </w:r>
      <w:r w:rsidR="007746DA" w:rsidRPr="00515AA2">
        <w:rPr>
          <w:color w:val="000000"/>
          <w:lang w:val="en-CA"/>
        </w:rPr>
        <w:t>challenge</w:t>
      </w:r>
      <w:r w:rsidRPr="00515AA2">
        <w:rPr>
          <w:color w:val="000000"/>
          <w:lang w:val="en-CA"/>
        </w:rPr>
        <w:t xml:space="preserve">s the judgment’s conclusion </w:t>
      </w:r>
      <w:r w:rsidR="007746DA" w:rsidRPr="00515AA2">
        <w:rPr>
          <w:color w:val="000000"/>
          <w:lang w:val="en-CA"/>
        </w:rPr>
        <w:t>that</w:t>
      </w:r>
      <w:r w:rsidRPr="00515AA2">
        <w:rPr>
          <w:color w:val="000000"/>
          <w:lang w:val="en-CA"/>
        </w:rPr>
        <w:t xml:space="preserve"> invalidate</w:t>
      </w:r>
      <w:r w:rsidR="007746DA" w:rsidRPr="00515AA2">
        <w:rPr>
          <w:color w:val="000000"/>
          <w:lang w:val="en-CA"/>
        </w:rPr>
        <w:t>d</w:t>
      </w:r>
      <w:r w:rsidRPr="00515AA2">
        <w:rPr>
          <w:color w:val="000000"/>
          <w:lang w:val="en-CA"/>
        </w:rPr>
        <w:t xml:space="preserve"> the second paragraph of section 23.2 of the </w:t>
      </w:r>
      <w:r w:rsidRPr="00515AA2">
        <w:rPr>
          <w:i/>
          <w:iCs/>
          <w:color w:val="000000"/>
          <w:lang w:val="en-CA"/>
        </w:rPr>
        <w:t>Regulation</w:t>
      </w:r>
      <w:r w:rsidRPr="00515AA2">
        <w:rPr>
          <w:color w:val="000000"/>
          <w:lang w:val="en-CA"/>
        </w:rPr>
        <w:t xml:space="preserve"> that requires that an application for a change of the designation of sex on the act of birth of a minor child be accompanied by a letter of a professional declaring that the requested change is appropriate. </w:t>
      </w:r>
      <w:r w:rsidR="007746DA" w:rsidRPr="00515AA2">
        <w:rPr>
          <w:color w:val="000000"/>
          <w:lang w:val="en-CA"/>
        </w:rPr>
        <w:t>For its part, b</w:t>
      </w:r>
      <w:r w:rsidRPr="00515AA2">
        <w:rPr>
          <w:color w:val="000000"/>
          <w:lang w:val="en-CA"/>
        </w:rPr>
        <w:t xml:space="preserve">y way of incidental appeal, the Centre for Gender Advocacy </w:t>
      </w:r>
      <w:r w:rsidR="007746DA" w:rsidRPr="00515AA2">
        <w:rPr>
          <w:color w:val="000000"/>
          <w:lang w:val="en-CA"/>
        </w:rPr>
        <w:t>complains</w:t>
      </w:r>
      <w:r w:rsidRPr="00515AA2">
        <w:rPr>
          <w:color w:val="000000"/>
          <w:lang w:val="en-CA"/>
        </w:rPr>
        <w:t xml:space="preserve"> that the judge </w:t>
      </w:r>
      <w:r w:rsidR="007746DA" w:rsidRPr="00515AA2">
        <w:rPr>
          <w:color w:val="000000"/>
          <w:lang w:val="en-CA"/>
        </w:rPr>
        <w:t>refused</w:t>
      </w:r>
      <w:r w:rsidRPr="00515AA2">
        <w:rPr>
          <w:color w:val="000000"/>
          <w:lang w:val="en-CA"/>
        </w:rPr>
        <w:t xml:space="preserve"> to declare article 62 </w:t>
      </w:r>
      <w:r w:rsidRPr="00515AA2">
        <w:rPr>
          <w:i/>
          <w:iCs/>
          <w:color w:val="000000"/>
          <w:lang w:val="en-CA"/>
        </w:rPr>
        <w:t>C.C.Q.</w:t>
      </w:r>
      <w:r w:rsidRPr="00515AA2">
        <w:rPr>
          <w:color w:val="000000"/>
          <w:lang w:val="en-CA"/>
        </w:rPr>
        <w:t xml:space="preserve"> invalid and of no force or effect, whereas that provision appears to require that minors </w:t>
      </w:r>
      <w:r w:rsidR="007746DA" w:rsidRPr="00515AA2">
        <w:rPr>
          <w:color w:val="000000"/>
          <w:lang w:val="en-CA"/>
        </w:rPr>
        <w:t>14 years of</w:t>
      </w:r>
      <w:r w:rsidRPr="00515AA2">
        <w:rPr>
          <w:color w:val="000000"/>
          <w:lang w:val="en-CA"/>
        </w:rPr>
        <w:t xml:space="preserve"> age </w:t>
      </w:r>
      <w:r w:rsidR="002C7FEF" w:rsidRPr="00515AA2">
        <w:rPr>
          <w:color w:val="000000"/>
          <w:lang w:val="en-CA"/>
        </w:rPr>
        <w:t>or over</w:t>
      </w:r>
      <w:r w:rsidRPr="00515AA2">
        <w:rPr>
          <w:color w:val="000000"/>
          <w:lang w:val="en-CA"/>
        </w:rPr>
        <w:t xml:space="preserve"> notify their parents if they wish to have the given names appearing on their act of birth changed and to allow </w:t>
      </w:r>
      <w:r w:rsidR="00B83208" w:rsidRPr="00515AA2">
        <w:rPr>
          <w:color w:val="000000"/>
          <w:lang w:val="en-CA"/>
        </w:rPr>
        <w:t>their</w:t>
      </w:r>
      <w:r w:rsidRPr="00515AA2">
        <w:rPr>
          <w:color w:val="000000"/>
          <w:lang w:val="en-CA"/>
        </w:rPr>
        <w:t xml:space="preserve"> parents to oppose that request.</w:t>
      </w:r>
    </w:p>
    <w:p w14:paraId="390F1CBC" w14:textId="77777777"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color w:val="000000"/>
          <w:lang w:val="en-CA"/>
        </w:rPr>
        <w:t xml:space="preserve">For the reasons of Marcotte et Hogue, JJ.A. and the concurring reasons of Hamilton, J.A., </w:t>
      </w:r>
      <w:r w:rsidRPr="00515AA2">
        <w:rPr>
          <w:b/>
          <w:bCs/>
          <w:color w:val="000000"/>
          <w:lang w:val="en-CA"/>
        </w:rPr>
        <w:t>THE COURT:</w:t>
      </w:r>
    </w:p>
    <w:p w14:paraId="13CE3B21" w14:textId="77777777"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b/>
          <w:bCs/>
          <w:color w:val="000000"/>
          <w:lang w:val="en-CA"/>
        </w:rPr>
        <w:t>ALLOWS</w:t>
      </w:r>
      <w:r w:rsidRPr="00515AA2">
        <w:rPr>
          <w:color w:val="000000"/>
          <w:lang w:val="en-CA"/>
        </w:rPr>
        <w:t xml:space="preserve"> the principal appeal;</w:t>
      </w:r>
    </w:p>
    <w:p w14:paraId="69BF2ADE" w14:textId="77777777"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b/>
          <w:bCs/>
          <w:color w:val="000000"/>
          <w:lang w:val="en-CA"/>
        </w:rPr>
        <w:t>ALLOWS</w:t>
      </w:r>
      <w:r w:rsidRPr="00515AA2">
        <w:rPr>
          <w:color w:val="000000"/>
          <w:lang w:val="en-CA"/>
        </w:rPr>
        <w:t xml:space="preserve"> in part the incidental appeal;</w:t>
      </w:r>
    </w:p>
    <w:p w14:paraId="65DC643B" w14:textId="77777777"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b/>
          <w:bCs/>
          <w:color w:val="000000"/>
          <w:lang w:val="en-CA"/>
        </w:rPr>
        <w:t>QUASHES</w:t>
      </w:r>
      <w:r w:rsidRPr="00515AA2">
        <w:rPr>
          <w:color w:val="000000"/>
          <w:lang w:val="en-CA"/>
        </w:rPr>
        <w:t xml:space="preserve"> in part the judgment in first instance as follows:</w:t>
      </w:r>
    </w:p>
    <w:p w14:paraId="52FE269D" w14:textId="77777777"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b/>
          <w:bCs/>
          <w:color w:val="000000"/>
          <w:lang w:val="en-CA"/>
        </w:rPr>
        <w:t>STRIKES OUT</w:t>
      </w:r>
      <w:r w:rsidRPr="00515AA2">
        <w:rPr>
          <w:color w:val="000000"/>
          <w:lang w:val="en-CA"/>
        </w:rPr>
        <w:t xml:space="preserve"> paragraph 341 of the judgment in first instance that declares invalid section 23.2 of the </w:t>
      </w:r>
      <w:r w:rsidRPr="00515AA2">
        <w:rPr>
          <w:i/>
          <w:iCs/>
          <w:color w:val="000000"/>
          <w:lang w:val="en-CA"/>
        </w:rPr>
        <w:t>Regulation respecting change of name and of other particulars of civil status</w:t>
      </w:r>
      <w:r w:rsidRPr="00515AA2">
        <w:rPr>
          <w:color w:val="000000"/>
          <w:lang w:val="en-CA"/>
        </w:rPr>
        <w:t>;</w:t>
      </w:r>
    </w:p>
    <w:p w14:paraId="7B1C468C" w14:textId="77777777" w:rsidR="00EF13A0" w:rsidRPr="00515AA2" w:rsidRDefault="00EF13A0" w:rsidP="00D84C5B">
      <w:pPr>
        <w:pStyle w:val="Paragraphe"/>
        <w:numPr>
          <w:ilvl w:val="0"/>
          <w:numId w:val="12"/>
        </w:numPr>
        <w:tabs>
          <w:tab w:val="clear" w:pos="360"/>
        </w:tabs>
        <w:spacing w:line="280" w:lineRule="exact"/>
        <w:rPr>
          <w:color w:val="000000"/>
          <w:lang w:val="en-CA"/>
        </w:rPr>
      </w:pPr>
      <w:r w:rsidRPr="00515AA2">
        <w:rPr>
          <w:b/>
          <w:bCs/>
          <w:color w:val="000000"/>
          <w:lang w:val="en-CA"/>
        </w:rPr>
        <w:t>ADDS</w:t>
      </w:r>
      <w:r w:rsidRPr="00515AA2">
        <w:rPr>
          <w:color w:val="000000"/>
          <w:lang w:val="en-CA"/>
        </w:rPr>
        <w:t xml:space="preserve"> the following conclusion:</w:t>
      </w:r>
    </w:p>
    <w:p w14:paraId="06CB702F" w14:textId="7FED4E66" w:rsidR="00EF13A0" w:rsidRPr="00515AA2" w:rsidRDefault="00EF13A0" w:rsidP="00F846E3">
      <w:pPr>
        <w:pStyle w:val="Paragraphe"/>
        <w:numPr>
          <w:ilvl w:val="0"/>
          <w:numId w:val="0"/>
        </w:numPr>
        <w:spacing w:line="280" w:lineRule="exact"/>
        <w:ind w:left="720"/>
        <w:rPr>
          <w:color w:val="000000"/>
          <w:lang w:val="en-CA"/>
        </w:rPr>
      </w:pPr>
      <w:r w:rsidRPr="00515AA2">
        <w:rPr>
          <w:color w:val="000000"/>
          <w:lang w:val="en-CA"/>
        </w:rPr>
        <w:t>[344 A]</w:t>
      </w:r>
      <w:r w:rsidRPr="00515AA2">
        <w:rPr>
          <w:color w:val="000000"/>
          <w:lang w:val="en-CA"/>
        </w:rPr>
        <w:tab/>
      </w:r>
      <w:r w:rsidRPr="00515AA2">
        <w:rPr>
          <w:b/>
          <w:bCs/>
          <w:color w:val="000000"/>
          <w:lang w:val="en-CA"/>
        </w:rPr>
        <w:t>DECLARES</w:t>
      </w:r>
      <w:r w:rsidRPr="00515AA2">
        <w:rPr>
          <w:color w:val="000000"/>
          <w:lang w:val="en-CA"/>
        </w:rPr>
        <w:t xml:space="preserve"> that article 62 </w:t>
      </w:r>
      <w:r w:rsidRPr="00515AA2">
        <w:rPr>
          <w:i/>
          <w:iCs/>
          <w:color w:val="000000"/>
          <w:lang w:val="en-CA"/>
        </w:rPr>
        <w:t>C.C.Q.</w:t>
      </w:r>
      <w:r w:rsidRPr="00515AA2">
        <w:rPr>
          <w:color w:val="000000"/>
          <w:lang w:val="en-CA"/>
        </w:rPr>
        <w:t xml:space="preserve"> must be read and interpreted </w:t>
      </w:r>
      <w:r w:rsidR="001C4A81" w:rsidRPr="00515AA2">
        <w:rPr>
          <w:color w:val="000000"/>
          <w:lang w:val="en-CA"/>
        </w:rPr>
        <w:t xml:space="preserve">such </w:t>
      </w:r>
      <w:r w:rsidRPr="00515AA2">
        <w:rPr>
          <w:color w:val="000000"/>
          <w:lang w:val="en-CA"/>
        </w:rPr>
        <w:t xml:space="preserve">that the application for a change of given name made by a minor 14 years of age </w:t>
      </w:r>
      <w:r w:rsidR="00E82E6B" w:rsidRPr="00515AA2">
        <w:rPr>
          <w:color w:val="000000"/>
          <w:lang w:val="en-CA"/>
        </w:rPr>
        <w:lastRenderedPageBreak/>
        <w:t>or over</w:t>
      </w:r>
      <w:r w:rsidRPr="00515AA2">
        <w:rPr>
          <w:color w:val="000000"/>
          <w:lang w:val="en-CA"/>
        </w:rPr>
        <w:t xml:space="preserve"> and</w:t>
      </w:r>
      <w:r w:rsidR="002C7FEF" w:rsidRPr="00515AA2">
        <w:rPr>
          <w:color w:val="000000"/>
          <w:lang w:val="en-CA"/>
        </w:rPr>
        <w:t xml:space="preserve"> motivated by a</w:t>
      </w:r>
      <w:r w:rsidRPr="00515AA2">
        <w:rPr>
          <w:color w:val="000000"/>
          <w:lang w:val="en-CA"/>
        </w:rPr>
        <w:t xml:space="preserve"> gender identity</w:t>
      </w:r>
      <w:r w:rsidR="002C7FEF" w:rsidRPr="00515AA2">
        <w:rPr>
          <w:color w:val="000000"/>
          <w:lang w:val="en-CA"/>
        </w:rPr>
        <w:t xml:space="preserve"> issue</w:t>
      </w:r>
      <w:r w:rsidRPr="00515AA2">
        <w:rPr>
          <w:color w:val="000000"/>
          <w:lang w:val="en-CA"/>
        </w:rPr>
        <w:t xml:space="preserve"> constitutes a </w:t>
      </w:r>
      <w:r w:rsidRPr="00515AA2">
        <w:rPr>
          <w:i/>
          <w:iCs/>
          <w:color w:val="000000"/>
          <w:lang w:val="en-CA"/>
        </w:rPr>
        <w:t>compelling reason</w:t>
      </w:r>
      <w:r w:rsidRPr="00515AA2">
        <w:rPr>
          <w:color w:val="000000"/>
          <w:lang w:val="en-CA"/>
        </w:rPr>
        <w:t xml:space="preserve"> within the meaning of that article.</w:t>
      </w:r>
    </w:p>
    <w:p w14:paraId="459B7059" w14:textId="083AF603" w:rsidR="00EF13A0" w:rsidRPr="00515AA2" w:rsidRDefault="00EF13A0" w:rsidP="00D84C5B">
      <w:pPr>
        <w:pStyle w:val="Paragraphe"/>
        <w:numPr>
          <w:ilvl w:val="0"/>
          <w:numId w:val="12"/>
        </w:numPr>
        <w:spacing w:line="280" w:lineRule="exact"/>
        <w:rPr>
          <w:color w:val="000000"/>
          <w:lang w:val="en-CA"/>
        </w:rPr>
      </w:pPr>
      <w:r w:rsidRPr="00515AA2">
        <w:rPr>
          <w:b/>
          <w:bCs/>
          <w:color w:val="000000"/>
          <w:lang w:val="en-CA"/>
        </w:rPr>
        <w:t>THE WHOLE</w:t>
      </w:r>
      <w:r w:rsidRPr="00515AA2">
        <w:rPr>
          <w:color w:val="000000"/>
          <w:lang w:val="en-CA"/>
        </w:rPr>
        <w:t>, without legal costs, given the outcome of the appeal.</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515AA2" w:rsidRPr="00C83535" w14:paraId="50495FF5" w14:textId="77777777" w:rsidTr="009D5805">
        <w:trPr>
          <w:trHeight w:val="576"/>
        </w:trPr>
        <w:tc>
          <w:tcPr>
            <w:tcW w:w="9362" w:type="dxa"/>
            <w:gridSpan w:val="3"/>
            <w:tcBorders>
              <w:top w:val="nil"/>
              <w:bottom w:val="nil"/>
            </w:tcBorders>
          </w:tcPr>
          <w:p w14:paraId="7731E5CA" w14:textId="77777777" w:rsidR="00EF13A0" w:rsidRPr="00515AA2" w:rsidRDefault="00EF13A0" w:rsidP="009D5805">
            <w:pPr>
              <w:keepNext/>
              <w:rPr>
                <w:color w:val="000000"/>
                <w:lang w:val="en-CA"/>
              </w:rPr>
            </w:pPr>
          </w:p>
        </w:tc>
      </w:tr>
      <w:tr w:rsidR="00515AA2" w:rsidRPr="00C83535" w14:paraId="1C238930" w14:textId="77777777" w:rsidTr="009D5805">
        <w:trPr>
          <w:trHeight w:val="283"/>
        </w:trPr>
        <w:tc>
          <w:tcPr>
            <w:tcW w:w="4682" w:type="dxa"/>
            <w:gridSpan w:val="2"/>
            <w:tcBorders>
              <w:top w:val="nil"/>
              <w:bottom w:val="nil"/>
            </w:tcBorders>
          </w:tcPr>
          <w:p w14:paraId="29F3114C" w14:textId="77777777" w:rsidR="00EF13A0" w:rsidRPr="00515AA2" w:rsidRDefault="00EF13A0" w:rsidP="009D5805">
            <w:pPr>
              <w:keepNext/>
              <w:rPr>
                <w:color w:val="000000"/>
                <w:lang w:val="en-CA"/>
              </w:rPr>
            </w:pPr>
          </w:p>
        </w:tc>
        <w:tc>
          <w:tcPr>
            <w:tcW w:w="4680" w:type="dxa"/>
            <w:tcBorders>
              <w:top w:val="nil"/>
              <w:bottom w:val="single" w:sz="8" w:space="0" w:color="auto"/>
            </w:tcBorders>
          </w:tcPr>
          <w:p w14:paraId="6CEB5B89" w14:textId="77777777" w:rsidR="00EF13A0" w:rsidRPr="00515AA2" w:rsidRDefault="00EF13A0" w:rsidP="009D5805">
            <w:pPr>
              <w:keepNext/>
              <w:rPr>
                <w:color w:val="000000"/>
                <w:lang w:val="en-CA"/>
              </w:rPr>
            </w:pPr>
          </w:p>
        </w:tc>
      </w:tr>
      <w:tr w:rsidR="00515AA2" w:rsidRPr="00515AA2" w14:paraId="5B797B0B" w14:textId="77777777" w:rsidTr="009D5805">
        <w:trPr>
          <w:trHeight w:val="283"/>
        </w:trPr>
        <w:tc>
          <w:tcPr>
            <w:tcW w:w="4682" w:type="dxa"/>
            <w:gridSpan w:val="2"/>
            <w:tcBorders>
              <w:top w:val="nil"/>
            </w:tcBorders>
          </w:tcPr>
          <w:p w14:paraId="1A52B801" w14:textId="77777777" w:rsidR="00EF13A0" w:rsidRPr="00515AA2" w:rsidRDefault="00EF13A0" w:rsidP="009D5805">
            <w:pPr>
              <w:keepNext/>
              <w:rPr>
                <w:color w:val="000000"/>
                <w:lang w:val="en-CA"/>
              </w:rPr>
            </w:pPr>
          </w:p>
        </w:tc>
        <w:tc>
          <w:tcPr>
            <w:tcW w:w="4680" w:type="dxa"/>
            <w:tcBorders>
              <w:top w:val="single" w:sz="8" w:space="0" w:color="auto"/>
            </w:tcBorders>
          </w:tcPr>
          <w:p w14:paraId="7269AF5D" w14:textId="42449FE3" w:rsidR="00EF13A0" w:rsidRPr="00515AA2" w:rsidRDefault="00EF13A0" w:rsidP="009D5805">
            <w:pPr>
              <w:rPr>
                <w:color w:val="000000"/>
                <w:lang w:val="en-CA"/>
              </w:rPr>
            </w:pPr>
            <w:r w:rsidRPr="00515AA2">
              <w:rPr>
                <w:color w:val="000000"/>
                <w:lang w:val="en-CA"/>
              </w:rPr>
              <w:fldChar w:fldCharType="begin"/>
            </w:r>
            <w:r w:rsidRPr="00515AA2">
              <w:rPr>
                <w:color w:val="000000"/>
                <w:lang w:val="en-CA"/>
              </w:rPr>
              <w:instrText xml:space="preserve"> REF NomJuge1 </w:instrText>
            </w:r>
            <w:r w:rsidR="00FB3810" w:rsidRPr="00515AA2">
              <w:rPr>
                <w:color w:val="000000"/>
                <w:lang w:val="en-CA"/>
              </w:rPr>
              <w:instrText xml:space="preserve"> \* MERGEFORMAT </w:instrText>
            </w:r>
            <w:r w:rsidRPr="00515AA2">
              <w:rPr>
                <w:color w:val="000000"/>
                <w:lang w:val="en-CA"/>
              </w:rPr>
              <w:fldChar w:fldCharType="separate"/>
            </w:r>
            <w:r w:rsidR="00C83535" w:rsidRPr="00515AA2">
              <w:rPr>
                <w:color w:val="000000"/>
              </w:rPr>
              <w:t>GENEVIÈVE MARCOTTE, J.A.</w:t>
            </w:r>
            <w:r w:rsidRPr="00515AA2">
              <w:rPr>
                <w:color w:val="000000"/>
                <w:lang w:val="en-CA"/>
              </w:rPr>
              <w:fldChar w:fldCharType="end"/>
            </w:r>
          </w:p>
        </w:tc>
      </w:tr>
      <w:tr w:rsidR="00515AA2" w:rsidRPr="00515AA2" w14:paraId="7116A6F0" w14:textId="77777777" w:rsidTr="009D5805">
        <w:trPr>
          <w:trHeight w:val="283"/>
        </w:trPr>
        <w:tc>
          <w:tcPr>
            <w:tcW w:w="4682" w:type="dxa"/>
            <w:gridSpan w:val="2"/>
            <w:tcBorders>
              <w:top w:val="nil"/>
            </w:tcBorders>
          </w:tcPr>
          <w:p w14:paraId="5E72435D" w14:textId="77777777" w:rsidR="00EF13A0" w:rsidRPr="00515AA2" w:rsidRDefault="00EF13A0" w:rsidP="009D5805">
            <w:pPr>
              <w:keepNext/>
              <w:rPr>
                <w:color w:val="000000"/>
                <w:lang w:val="en-CA"/>
              </w:rPr>
            </w:pPr>
            <w:bookmarkStart w:id="9" w:name="Signature2"/>
          </w:p>
        </w:tc>
        <w:tc>
          <w:tcPr>
            <w:tcW w:w="4680" w:type="dxa"/>
            <w:tcBorders>
              <w:top w:val="nil"/>
            </w:tcBorders>
          </w:tcPr>
          <w:p w14:paraId="608F35FA" w14:textId="77777777" w:rsidR="00EF13A0" w:rsidRPr="00515AA2" w:rsidRDefault="00EF13A0" w:rsidP="009D5805">
            <w:pPr>
              <w:keepNext/>
              <w:rPr>
                <w:color w:val="000000"/>
                <w:lang w:val="en-CA"/>
              </w:rPr>
            </w:pPr>
          </w:p>
        </w:tc>
      </w:tr>
      <w:tr w:rsidR="00515AA2" w:rsidRPr="00515AA2" w14:paraId="5063D53A" w14:textId="77777777" w:rsidTr="009D5805">
        <w:trPr>
          <w:trHeight w:val="283"/>
        </w:trPr>
        <w:tc>
          <w:tcPr>
            <w:tcW w:w="4682" w:type="dxa"/>
            <w:gridSpan w:val="2"/>
            <w:tcBorders>
              <w:top w:val="nil"/>
              <w:bottom w:val="nil"/>
            </w:tcBorders>
          </w:tcPr>
          <w:p w14:paraId="0D0F2D57" w14:textId="77777777" w:rsidR="00EF13A0" w:rsidRPr="00515AA2" w:rsidRDefault="00EF13A0" w:rsidP="009D5805">
            <w:pPr>
              <w:keepNext/>
              <w:rPr>
                <w:color w:val="000000"/>
                <w:lang w:val="en-CA"/>
              </w:rPr>
            </w:pPr>
          </w:p>
        </w:tc>
        <w:tc>
          <w:tcPr>
            <w:tcW w:w="4680" w:type="dxa"/>
            <w:tcBorders>
              <w:top w:val="nil"/>
              <w:bottom w:val="single" w:sz="8" w:space="0" w:color="auto"/>
            </w:tcBorders>
          </w:tcPr>
          <w:p w14:paraId="1A4B28AB" w14:textId="77777777" w:rsidR="00EF13A0" w:rsidRPr="00515AA2" w:rsidRDefault="00EF13A0" w:rsidP="009D5805">
            <w:pPr>
              <w:keepNext/>
              <w:rPr>
                <w:color w:val="000000"/>
                <w:lang w:val="en-CA"/>
              </w:rPr>
            </w:pPr>
          </w:p>
        </w:tc>
      </w:tr>
      <w:tr w:rsidR="00515AA2" w:rsidRPr="00515AA2" w14:paraId="7E746C5A" w14:textId="77777777" w:rsidTr="009D5805">
        <w:trPr>
          <w:trHeight w:val="283"/>
        </w:trPr>
        <w:tc>
          <w:tcPr>
            <w:tcW w:w="4682" w:type="dxa"/>
            <w:gridSpan w:val="2"/>
            <w:tcBorders>
              <w:top w:val="nil"/>
            </w:tcBorders>
          </w:tcPr>
          <w:p w14:paraId="20F7F940" w14:textId="77777777" w:rsidR="00EF13A0" w:rsidRPr="00515AA2" w:rsidRDefault="00EF13A0" w:rsidP="009D5805">
            <w:pPr>
              <w:keepNext/>
              <w:rPr>
                <w:color w:val="000000"/>
                <w:lang w:val="en-CA"/>
              </w:rPr>
            </w:pPr>
          </w:p>
        </w:tc>
        <w:tc>
          <w:tcPr>
            <w:tcW w:w="4680" w:type="dxa"/>
            <w:tcBorders>
              <w:top w:val="single" w:sz="8" w:space="0" w:color="auto"/>
            </w:tcBorders>
          </w:tcPr>
          <w:p w14:paraId="6421C44B" w14:textId="63648872" w:rsidR="00EF13A0" w:rsidRPr="00515AA2" w:rsidRDefault="00EF13A0" w:rsidP="009D5805">
            <w:pPr>
              <w:keepNext/>
              <w:rPr>
                <w:color w:val="000000"/>
              </w:rPr>
            </w:pPr>
            <w:r w:rsidRPr="00515AA2">
              <w:rPr>
                <w:color w:val="000000"/>
                <w:lang w:val="en-CA"/>
              </w:rPr>
              <w:fldChar w:fldCharType="begin"/>
            </w:r>
            <w:r w:rsidRPr="00515AA2">
              <w:rPr>
                <w:color w:val="000000"/>
              </w:rPr>
              <w:instrText xml:space="preserve"> REF NomJuge2 </w:instrText>
            </w:r>
            <w:r w:rsidR="00FB3810" w:rsidRPr="00515AA2">
              <w:rPr>
                <w:color w:val="000000"/>
              </w:rPr>
              <w:instrText xml:space="preserve"> \* MERGEFORMAT </w:instrText>
            </w:r>
            <w:r w:rsidRPr="00515AA2">
              <w:rPr>
                <w:color w:val="000000"/>
                <w:lang w:val="en-CA"/>
              </w:rPr>
              <w:fldChar w:fldCharType="separate"/>
            </w:r>
            <w:r w:rsidR="00C83535" w:rsidRPr="00515AA2">
              <w:rPr>
                <w:color w:val="000000"/>
              </w:rPr>
              <w:t>MARIE-JOSÉE HOGUE, J.A.</w:t>
            </w:r>
            <w:r w:rsidRPr="00515AA2">
              <w:rPr>
                <w:color w:val="000000"/>
                <w:lang w:val="en-CA"/>
              </w:rPr>
              <w:fldChar w:fldCharType="end"/>
            </w:r>
          </w:p>
        </w:tc>
      </w:tr>
      <w:tr w:rsidR="00515AA2" w:rsidRPr="00515AA2" w14:paraId="4C9EBCCD" w14:textId="77777777" w:rsidTr="009D5805">
        <w:trPr>
          <w:trHeight w:val="283"/>
        </w:trPr>
        <w:tc>
          <w:tcPr>
            <w:tcW w:w="4682" w:type="dxa"/>
            <w:gridSpan w:val="2"/>
            <w:tcBorders>
              <w:top w:val="nil"/>
            </w:tcBorders>
          </w:tcPr>
          <w:p w14:paraId="536DA33E" w14:textId="77777777" w:rsidR="00EF13A0" w:rsidRPr="00515AA2" w:rsidRDefault="00EF13A0" w:rsidP="009D5805">
            <w:pPr>
              <w:keepNext/>
              <w:rPr>
                <w:color w:val="000000"/>
              </w:rPr>
            </w:pPr>
            <w:bookmarkStart w:id="10" w:name="Signature3"/>
            <w:bookmarkEnd w:id="9"/>
          </w:p>
        </w:tc>
        <w:tc>
          <w:tcPr>
            <w:tcW w:w="4680" w:type="dxa"/>
            <w:tcBorders>
              <w:top w:val="nil"/>
            </w:tcBorders>
          </w:tcPr>
          <w:p w14:paraId="301C66C1" w14:textId="77777777" w:rsidR="00EF13A0" w:rsidRPr="00515AA2" w:rsidRDefault="00EF13A0" w:rsidP="009D5805">
            <w:pPr>
              <w:keepNext/>
              <w:rPr>
                <w:color w:val="000000"/>
              </w:rPr>
            </w:pPr>
          </w:p>
        </w:tc>
      </w:tr>
      <w:tr w:rsidR="00515AA2" w:rsidRPr="00515AA2" w14:paraId="11DD30B7" w14:textId="77777777" w:rsidTr="009D5805">
        <w:trPr>
          <w:trHeight w:val="283"/>
        </w:trPr>
        <w:tc>
          <w:tcPr>
            <w:tcW w:w="4682" w:type="dxa"/>
            <w:gridSpan w:val="2"/>
            <w:tcBorders>
              <w:top w:val="nil"/>
              <w:bottom w:val="nil"/>
            </w:tcBorders>
          </w:tcPr>
          <w:p w14:paraId="00BDD147" w14:textId="77777777" w:rsidR="00EF13A0" w:rsidRPr="00515AA2" w:rsidRDefault="00EF13A0" w:rsidP="009D5805">
            <w:pPr>
              <w:keepNext/>
              <w:rPr>
                <w:color w:val="000000"/>
              </w:rPr>
            </w:pPr>
          </w:p>
        </w:tc>
        <w:tc>
          <w:tcPr>
            <w:tcW w:w="4680" w:type="dxa"/>
            <w:tcBorders>
              <w:top w:val="nil"/>
              <w:bottom w:val="single" w:sz="8" w:space="0" w:color="auto"/>
            </w:tcBorders>
          </w:tcPr>
          <w:p w14:paraId="0D124B3E" w14:textId="77777777" w:rsidR="00EF13A0" w:rsidRPr="00515AA2" w:rsidRDefault="00EF13A0" w:rsidP="009D5805">
            <w:pPr>
              <w:keepNext/>
              <w:rPr>
                <w:color w:val="000000"/>
              </w:rPr>
            </w:pPr>
          </w:p>
        </w:tc>
      </w:tr>
      <w:tr w:rsidR="00515AA2" w:rsidRPr="00C83535" w14:paraId="507C89AD" w14:textId="77777777" w:rsidTr="009D5805">
        <w:trPr>
          <w:trHeight w:val="283"/>
        </w:trPr>
        <w:tc>
          <w:tcPr>
            <w:tcW w:w="4682" w:type="dxa"/>
            <w:gridSpan w:val="2"/>
            <w:tcBorders>
              <w:top w:val="nil"/>
            </w:tcBorders>
          </w:tcPr>
          <w:p w14:paraId="6DA29B61" w14:textId="77777777" w:rsidR="00EF13A0" w:rsidRPr="00515AA2" w:rsidRDefault="00EF13A0" w:rsidP="009D5805">
            <w:pPr>
              <w:keepNext/>
              <w:rPr>
                <w:color w:val="000000"/>
              </w:rPr>
            </w:pPr>
          </w:p>
        </w:tc>
        <w:tc>
          <w:tcPr>
            <w:tcW w:w="4680" w:type="dxa"/>
            <w:tcBorders>
              <w:top w:val="single" w:sz="8" w:space="0" w:color="auto"/>
            </w:tcBorders>
          </w:tcPr>
          <w:p w14:paraId="122FD7F5" w14:textId="75452545" w:rsidR="00EF13A0" w:rsidRPr="00515AA2" w:rsidRDefault="00EF13A0" w:rsidP="009D5805">
            <w:pPr>
              <w:keepNext/>
              <w:rPr>
                <w:color w:val="000000"/>
                <w:lang w:val="en-CA"/>
              </w:rPr>
            </w:pPr>
            <w:r w:rsidRPr="00515AA2">
              <w:rPr>
                <w:color w:val="000000"/>
                <w:lang w:val="en-CA"/>
              </w:rPr>
              <w:fldChar w:fldCharType="begin"/>
            </w:r>
            <w:r w:rsidRPr="00515AA2">
              <w:rPr>
                <w:color w:val="000000"/>
                <w:lang w:val="en-CA"/>
              </w:rPr>
              <w:instrText xml:space="preserve"> REF NomJuge3 </w:instrText>
            </w:r>
            <w:r w:rsidR="00FB3810" w:rsidRPr="00515AA2">
              <w:rPr>
                <w:color w:val="000000"/>
                <w:lang w:val="en-CA"/>
              </w:rPr>
              <w:instrText xml:space="preserve"> \* MERGEFORMAT </w:instrText>
            </w:r>
            <w:r w:rsidRPr="00515AA2">
              <w:rPr>
                <w:color w:val="000000"/>
                <w:lang w:val="en-CA"/>
              </w:rPr>
              <w:fldChar w:fldCharType="separate"/>
            </w:r>
            <w:r w:rsidR="00C83535" w:rsidRPr="00515AA2">
              <w:rPr>
                <w:color w:val="000000"/>
                <w:lang w:val="en-CA"/>
              </w:rPr>
              <w:t>STEPHEN W. HAMILTON, J.A.</w:t>
            </w:r>
            <w:r w:rsidRPr="00515AA2">
              <w:rPr>
                <w:color w:val="000000"/>
                <w:lang w:val="en-CA"/>
              </w:rPr>
              <w:fldChar w:fldCharType="end"/>
            </w:r>
          </w:p>
        </w:tc>
      </w:tr>
      <w:bookmarkEnd w:id="10"/>
      <w:tr w:rsidR="00515AA2" w:rsidRPr="00C83535" w14:paraId="13515354" w14:textId="77777777" w:rsidTr="009D5805">
        <w:tc>
          <w:tcPr>
            <w:tcW w:w="9362" w:type="dxa"/>
            <w:gridSpan w:val="3"/>
          </w:tcPr>
          <w:p w14:paraId="54BA8A1D" w14:textId="77777777" w:rsidR="00EF13A0" w:rsidRPr="00515AA2" w:rsidRDefault="00EF13A0" w:rsidP="009D5805">
            <w:pPr>
              <w:rPr>
                <w:color w:val="000000"/>
                <w:lang w:val="en-CA"/>
              </w:rPr>
            </w:pPr>
          </w:p>
        </w:tc>
      </w:tr>
      <w:tr w:rsidR="00515AA2" w:rsidRPr="00C83535" w14:paraId="57C0E1C7" w14:textId="77777777" w:rsidTr="009D5805">
        <w:tc>
          <w:tcPr>
            <w:tcW w:w="9362" w:type="dxa"/>
            <w:gridSpan w:val="3"/>
            <w:shd w:val="clear" w:color="auto" w:fill="auto"/>
          </w:tcPr>
          <w:p w14:paraId="31F67A5C" w14:textId="77777777" w:rsidR="00EF13A0" w:rsidRPr="00515AA2" w:rsidRDefault="00EF13A0" w:rsidP="009D5805">
            <w:pPr>
              <w:rPr>
                <w:color w:val="000000"/>
                <w:lang w:val="en-CA"/>
              </w:rPr>
            </w:pPr>
          </w:p>
        </w:tc>
      </w:tr>
      <w:tr w:rsidR="00515AA2" w:rsidRPr="00515AA2" w14:paraId="7DE109E7" w14:textId="77777777" w:rsidTr="009D5805">
        <w:tc>
          <w:tcPr>
            <w:tcW w:w="9362" w:type="dxa"/>
            <w:gridSpan w:val="3"/>
            <w:tcBorders>
              <w:bottom w:val="nil"/>
            </w:tcBorders>
            <w:shd w:val="clear" w:color="auto" w:fill="auto"/>
          </w:tcPr>
          <w:p w14:paraId="1DA27EA4" w14:textId="77777777" w:rsidR="00EF13A0" w:rsidRPr="00515AA2" w:rsidRDefault="00EF13A0" w:rsidP="009D5805">
            <w:pPr>
              <w:rPr>
                <w:color w:val="000000"/>
              </w:rPr>
            </w:pPr>
            <w:r w:rsidRPr="00515AA2">
              <w:rPr>
                <w:color w:val="000000"/>
              </w:rPr>
              <w:t>Mtre Marie-France Le Bel</w:t>
            </w:r>
          </w:p>
        </w:tc>
      </w:tr>
      <w:tr w:rsidR="00515AA2" w:rsidRPr="00515AA2" w14:paraId="3E0FC375" w14:textId="77777777" w:rsidTr="009D5805">
        <w:tc>
          <w:tcPr>
            <w:tcW w:w="9362" w:type="dxa"/>
            <w:gridSpan w:val="3"/>
            <w:tcBorders>
              <w:top w:val="nil"/>
            </w:tcBorders>
            <w:shd w:val="clear" w:color="auto" w:fill="auto"/>
          </w:tcPr>
          <w:p w14:paraId="3D45E931" w14:textId="77777777" w:rsidR="00EF13A0" w:rsidRPr="00515AA2" w:rsidRDefault="00EF13A0" w:rsidP="009D5805">
            <w:pPr>
              <w:rPr>
                <w:color w:val="000000"/>
                <w:lang w:val="en-CA"/>
              </w:rPr>
            </w:pPr>
            <w:r w:rsidRPr="00515AA2">
              <w:rPr>
                <w:color w:val="000000"/>
                <w:lang w:val="en-CA"/>
              </w:rPr>
              <w:t>Mtre Stephanie Lisa Roberts</w:t>
            </w:r>
          </w:p>
        </w:tc>
      </w:tr>
      <w:tr w:rsidR="00515AA2" w:rsidRPr="00515AA2" w14:paraId="53AD43A1" w14:textId="77777777" w:rsidTr="009D5805">
        <w:tc>
          <w:tcPr>
            <w:tcW w:w="9362" w:type="dxa"/>
            <w:gridSpan w:val="3"/>
            <w:tcBorders>
              <w:top w:val="nil"/>
            </w:tcBorders>
            <w:shd w:val="clear" w:color="auto" w:fill="auto"/>
          </w:tcPr>
          <w:p w14:paraId="7DCA445B" w14:textId="77777777" w:rsidR="00EF13A0" w:rsidRPr="00515AA2" w:rsidRDefault="00EF13A0" w:rsidP="009D5805">
            <w:pPr>
              <w:rPr>
                <w:color w:val="000000"/>
                <w:lang w:val="en-CA"/>
              </w:rPr>
            </w:pPr>
            <w:r w:rsidRPr="00515AA2">
              <w:rPr>
                <w:color w:val="000000"/>
                <w:lang w:val="en-CA"/>
              </w:rPr>
              <w:t>BERNARD ROY (JUSTICE-QUÉBEC)</w:t>
            </w:r>
          </w:p>
        </w:tc>
      </w:tr>
      <w:tr w:rsidR="00515AA2" w:rsidRPr="00515AA2" w14:paraId="104A0800" w14:textId="77777777" w:rsidTr="009D5805">
        <w:tc>
          <w:tcPr>
            <w:tcW w:w="9362" w:type="dxa"/>
            <w:gridSpan w:val="3"/>
            <w:tcBorders>
              <w:top w:val="nil"/>
            </w:tcBorders>
            <w:shd w:val="clear" w:color="auto" w:fill="auto"/>
          </w:tcPr>
          <w:p w14:paraId="390858F9" w14:textId="77777777" w:rsidR="00EF13A0" w:rsidRPr="00515AA2" w:rsidRDefault="00EF13A0" w:rsidP="009D5805">
            <w:pPr>
              <w:rPr>
                <w:color w:val="000000"/>
                <w:lang w:val="en-CA"/>
              </w:rPr>
            </w:pPr>
            <w:r w:rsidRPr="00515AA2">
              <w:rPr>
                <w:color w:val="000000"/>
                <w:lang w:val="en-CA"/>
              </w:rPr>
              <w:t>Mtre Amélie Pelletier-Desrosiers</w:t>
            </w:r>
          </w:p>
        </w:tc>
      </w:tr>
      <w:tr w:rsidR="00515AA2" w:rsidRPr="00515AA2" w14:paraId="3B8466EC" w14:textId="77777777" w:rsidTr="009D5805">
        <w:tc>
          <w:tcPr>
            <w:tcW w:w="9362" w:type="dxa"/>
            <w:gridSpan w:val="3"/>
            <w:tcBorders>
              <w:top w:val="nil"/>
            </w:tcBorders>
            <w:shd w:val="clear" w:color="auto" w:fill="auto"/>
          </w:tcPr>
          <w:p w14:paraId="03219CAE" w14:textId="1824B3D0" w:rsidR="00EF13A0" w:rsidRPr="00515AA2" w:rsidRDefault="00EF13A0" w:rsidP="009D5805">
            <w:pPr>
              <w:rPr>
                <w:color w:val="000000"/>
              </w:rPr>
            </w:pPr>
            <w:r w:rsidRPr="00515AA2">
              <w:rPr>
                <w:color w:val="000000"/>
              </w:rPr>
              <w:t>Mtre Gabrielle Saint-</w:t>
            </w:r>
            <w:r w:rsidR="00501C6A" w:rsidRPr="00515AA2">
              <w:rPr>
                <w:color w:val="000000"/>
              </w:rPr>
              <w:t>Martin-</w:t>
            </w:r>
            <w:r w:rsidRPr="00515AA2">
              <w:rPr>
                <w:color w:val="000000"/>
              </w:rPr>
              <w:t>Deaudelin</w:t>
            </w:r>
          </w:p>
        </w:tc>
      </w:tr>
      <w:tr w:rsidR="00515AA2" w:rsidRPr="00515AA2" w14:paraId="399FAF3B" w14:textId="77777777" w:rsidTr="009D5805">
        <w:tc>
          <w:tcPr>
            <w:tcW w:w="9362" w:type="dxa"/>
            <w:gridSpan w:val="3"/>
            <w:tcBorders>
              <w:top w:val="nil"/>
              <w:bottom w:val="nil"/>
            </w:tcBorders>
            <w:shd w:val="clear" w:color="auto" w:fill="auto"/>
          </w:tcPr>
          <w:p w14:paraId="616D4FEA" w14:textId="77777777" w:rsidR="00EF13A0" w:rsidRPr="00515AA2" w:rsidRDefault="00EF13A0" w:rsidP="009D5805">
            <w:pPr>
              <w:rPr>
                <w:color w:val="000000"/>
              </w:rPr>
            </w:pPr>
            <w:r w:rsidRPr="00515AA2">
              <w:rPr>
                <w:color w:val="000000"/>
              </w:rPr>
              <w:t>SOUS-MINISTÉRIAT DES AFFAIRES JURIDIQUES (SMAJ)</w:t>
            </w:r>
          </w:p>
        </w:tc>
      </w:tr>
      <w:tr w:rsidR="00515AA2" w:rsidRPr="00C83535" w14:paraId="5D67A7E3" w14:textId="77777777" w:rsidTr="009D5805">
        <w:tc>
          <w:tcPr>
            <w:tcW w:w="9362" w:type="dxa"/>
            <w:gridSpan w:val="3"/>
            <w:tcBorders>
              <w:top w:val="nil"/>
            </w:tcBorders>
            <w:shd w:val="clear" w:color="auto" w:fill="auto"/>
          </w:tcPr>
          <w:p w14:paraId="3E124180" w14:textId="77777777" w:rsidR="00EF13A0" w:rsidRPr="00515AA2" w:rsidRDefault="00EF13A0" w:rsidP="009D5805">
            <w:pPr>
              <w:rPr>
                <w:color w:val="000000"/>
                <w:lang w:val="en-CA"/>
              </w:rPr>
            </w:pPr>
            <w:r w:rsidRPr="00515AA2">
              <w:rPr>
                <w:color w:val="000000"/>
                <w:lang w:val="en-CA"/>
              </w:rPr>
              <w:t>For the Attorney General of Quebec</w:t>
            </w:r>
          </w:p>
        </w:tc>
      </w:tr>
      <w:tr w:rsidR="00515AA2" w:rsidRPr="00C83535" w14:paraId="6589A977" w14:textId="77777777" w:rsidTr="009D5805">
        <w:tc>
          <w:tcPr>
            <w:tcW w:w="9362" w:type="dxa"/>
            <w:gridSpan w:val="3"/>
            <w:shd w:val="clear" w:color="auto" w:fill="auto"/>
          </w:tcPr>
          <w:p w14:paraId="6CA087E1" w14:textId="77777777" w:rsidR="00EF13A0" w:rsidRPr="00515AA2" w:rsidRDefault="00EF13A0" w:rsidP="009D5805">
            <w:pPr>
              <w:rPr>
                <w:color w:val="000000"/>
                <w:lang w:val="en-CA"/>
              </w:rPr>
            </w:pPr>
          </w:p>
        </w:tc>
      </w:tr>
      <w:tr w:rsidR="00515AA2" w:rsidRPr="00515AA2" w14:paraId="7537C624" w14:textId="77777777" w:rsidTr="009D5805">
        <w:tc>
          <w:tcPr>
            <w:tcW w:w="9362" w:type="dxa"/>
            <w:gridSpan w:val="3"/>
          </w:tcPr>
          <w:p w14:paraId="6D371544" w14:textId="77777777" w:rsidR="00EF13A0" w:rsidRPr="00515AA2" w:rsidRDefault="00EF13A0" w:rsidP="009D5805">
            <w:pPr>
              <w:rPr>
                <w:color w:val="000000"/>
                <w:lang w:val="en-CA"/>
              </w:rPr>
            </w:pPr>
            <w:r w:rsidRPr="00515AA2">
              <w:rPr>
                <w:color w:val="000000"/>
                <w:lang w:val="en-CA"/>
              </w:rPr>
              <w:t>Mtre Audrey Boctor</w:t>
            </w:r>
          </w:p>
        </w:tc>
      </w:tr>
      <w:tr w:rsidR="00515AA2" w:rsidRPr="00515AA2" w14:paraId="178F7304" w14:textId="77777777" w:rsidTr="009D5805">
        <w:tc>
          <w:tcPr>
            <w:tcW w:w="9362" w:type="dxa"/>
            <w:gridSpan w:val="3"/>
          </w:tcPr>
          <w:p w14:paraId="77B93767" w14:textId="77777777" w:rsidR="00EF13A0" w:rsidRPr="00515AA2" w:rsidRDefault="00EF13A0" w:rsidP="009D5805">
            <w:pPr>
              <w:rPr>
                <w:color w:val="000000"/>
                <w:lang w:val="en-CA"/>
              </w:rPr>
            </w:pPr>
            <w:r w:rsidRPr="00515AA2">
              <w:rPr>
                <w:color w:val="000000"/>
                <w:lang w:val="en-CA"/>
              </w:rPr>
              <w:t>Mtre François Goyer</w:t>
            </w:r>
          </w:p>
        </w:tc>
      </w:tr>
      <w:tr w:rsidR="00515AA2" w:rsidRPr="00515AA2" w14:paraId="1D98DA57" w14:textId="77777777" w:rsidTr="009D5805">
        <w:tc>
          <w:tcPr>
            <w:tcW w:w="9362" w:type="dxa"/>
            <w:gridSpan w:val="3"/>
            <w:tcBorders>
              <w:bottom w:val="nil"/>
            </w:tcBorders>
          </w:tcPr>
          <w:p w14:paraId="753C1905" w14:textId="77777777" w:rsidR="00EF13A0" w:rsidRPr="00515AA2" w:rsidRDefault="00EF13A0" w:rsidP="009D5805">
            <w:pPr>
              <w:rPr>
                <w:color w:val="000000"/>
                <w:lang w:val="en-CA"/>
              </w:rPr>
            </w:pPr>
            <w:r w:rsidRPr="00515AA2">
              <w:rPr>
                <w:color w:val="000000"/>
                <w:lang w:val="en-CA"/>
              </w:rPr>
              <w:t>IMK</w:t>
            </w:r>
          </w:p>
        </w:tc>
      </w:tr>
      <w:tr w:rsidR="00515AA2" w:rsidRPr="00C83535" w14:paraId="05609CC8" w14:textId="77777777" w:rsidTr="009D5805">
        <w:tc>
          <w:tcPr>
            <w:tcW w:w="9362" w:type="dxa"/>
            <w:gridSpan w:val="3"/>
            <w:tcBorders>
              <w:top w:val="nil"/>
            </w:tcBorders>
          </w:tcPr>
          <w:p w14:paraId="0BFD0976" w14:textId="77777777" w:rsidR="00EF13A0" w:rsidRPr="00515AA2" w:rsidRDefault="00EF13A0" w:rsidP="00D07714">
            <w:pPr>
              <w:jc w:val="both"/>
              <w:rPr>
                <w:color w:val="000000"/>
                <w:lang w:val="en-CA"/>
              </w:rPr>
            </w:pPr>
            <w:r w:rsidRPr="00515AA2">
              <w:rPr>
                <w:color w:val="000000"/>
                <w:lang w:val="en-CA"/>
              </w:rPr>
              <w:t>For the Centre for Gender Advocacy, Samuel Singer, Sarah Blumel, Elizabeth Heller and Jenna Michelle Jacobs</w:t>
            </w:r>
          </w:p>
        </w:tc>
      </w:tr>
      <w:tr w:rsidR="00515AA2" w:rsidRPr="00C83535" w14:paraId="40239662" w14:textId="77777777" w:rsidTr="009D5805">
        <w:tc>
          <w:tcPr>
            <w:tcW w:w="9362" w:type="dxa"/>
            <w:gridSpan w:val="3"/>
          </w:tcPr>
          <w:p w14:paraId="666B5EE0" w14:textId="77777777" w:rsidR="00EF13A0" w:rsidRPr="00515AA2" w:rsidRDefault="00EF13A0" w:rsidP="009D5805">
            <w:pPr>
              <w:rPr>
                <w:color w:val="000000"/>
                <w:lang w:val="en-CA"/>
              </w:rPr>
            </w:pPr>
          </w:p>
        </w:tc>
      </w:tr>
      <w:tr w:rsidR="00515AA2" w:rsidRPr="00515AA2" w14:paraId="17FAB684" w14:textId="77777777" w:rsidTr="009D5805">
        <w:tc>
          <w:tcPr>
            <w:tcW w:w="9362" w:type="dxa"/>
            <w:gridSpan w:val="3"/>
          </w:tcPr>
          <w:p w14:paraId="304D13BB" w14:textId="5BE133FC" w:rsidR="00EF13A0" w:rsidRPr="00515AA2" w:rsidRDefault="00EF13A0" w:rsidP="009D5805">
            <w:pPr>
              <w:rPr>
                <w:color w:val="000000"/>
                <w:lang w:val="en-CA"/>
              </w:rPr>
            </w:pPr>
            <w:r w:rsidRPr="00515AA2">
              <w:rPr>
                <w:color w:val="000000"/>
                <w:lang w:val="en-CA"/>
              </w:rPr>
              <w:t>Mtre Michael Lubetsky</w:t>
            </w:r>
          </w:p>
        </w:tc>
      </w:tr>
      <w:tr w:rsidR="00515AA2" w:rsidRPr="00515AA2" w14:paraId="00850A11" w14:textId="77777777" w:rsidTr="009D5805">
        <w:tc>
          <w:tcPr>
            <w:tcW w:w="9362" w:type="dxa"/>
            <w:gridSpan w:val="3"/>
          </w:tcPr>
          <w:p w14:paraId="0838A7AB" w14:textId="77777777" w:rsidR="00EF13A0" w:rsidRPr="00515AA2" w:rsidRDefault="00EF13A0" w:rsidP="009D5805">
            <w:pPr>
              <w:rPr>
                <w:color w:val="000000"/>
                <w:lang w:val="en-CA"/>
              </w:rPr>
            </w:pPr>
            <w:r w:rsidRPr="00515AA2">
              <w:rPr>
                <w:color w:val="000000"/>
                <w:lang w:val="en-CA"/>
              </w:rPr>
              <w:t>Mtre Joseph-Anaël Lemieux</w:t>
            </w:r>
          </w:p>
        </w:tc>
      </w:tr>
      <w:tr w:rsidR="00515AA2" w:rsidRPr="00515AA2" w14:paraId="4773B146" w14:textId="77777777" w:rsidTr="009D5805">
        <w:tc>
          <w:tcPr>
            <w:tcW w:w="9362" w:type="dxa"/>
            <w:gridSpan w:val="3"/>
          </w:tcPr>
          <w:p w14:paraId="0ADFD178" w14:textId="01D5CA1C" w:rsidR="00EF13A0" w:rsidRPr="00515AA2" w:rsidRDefault="00EF13A0" w:rsidP="009D5805">
            <w:pPr>
              <w:rPr>
                <w:color w:val="000000"/>
                <w:lang w:val="en-CA"/>
              </w:rPr>
            </w:pPr>
            <w:r w:rsidRPr="00515AA2">
              <w:rPr>
                <w:color w:val="000000"/>
                <w:lang w:val="en-CA"/>
              </w:rPr>
              <w:t xml:space="preserve">Mtre Faiz </w:t>
            </w:r>
            <w:r w:rsidR="0096687A" w:rsidRPr="00515AA2">
              <w:rPr>
                <w:color w:val="000000"/>
                <w:lang w:val="en-CA"/>
              </w:rPr>
              <w:t xml:space="preserve">Munir </w:t>
            </w:r>
            <w:r w:rsidRPr="00515AA2">
              <w:rPr>
                <w:color w:val="000000"/>
                <w:lang w:val="en-CA"/>
              </w:rPr>
              <w:t>Lalani</w:t>
            </w:r>
          </w:p>
        </w:tc>
      </w:tr>
      <w:tr w:rsidR="00515AA2" w:rsidRPr="00515AA2" w14:paraId="7ED1AC3F" w14:textId="77777777" w:rsidTr="009D5805">
        <w:tc>
          <w:tcPr>
            <w:tcW w:w="9362" w:type="dxa"/>
            <w:gridSpan w:val="3"/>
          </w:tcPr>
          <w:p w14:paraId="3C64B71D" w14:textId="77777777" w:rsidR="00EF13A0" w:rsidRPr="00515AA2" w:rsidRDefault="00EF13A0" w:rsidP="009D5805">
            <w:pPr>
              <w:rPr>
                <w:color w:val="000000"/>
                <w:lang w:val="en-CA"/>
              </w:rPr>
            </w:pPr>
            <w:r w:rsidRPr="00515AA2">
              <w:rPr>
                <w:color w:val="000000"/>
                <w:lang w:val="en-CA"/>
              </w:rPr>
              <w:t>DAVIES WARD PHILLIPS &amp; VINEBERG</w:t>
            </w:r>
          </w:p>
        </w:tc>
      </w:tr>
      <w:tr w:rsidR="00515AA2" w:rsidRPr="00C83535" w14:paraId="6D1E4593" w14:textId="77777777" w:rsidTr="009D5805">
        <w:tc>
          <w:tcPr>
            <w:tcW w:w="9362" w:type="dxa"/>
            <w:gridSpan w:val="3"/>
          </w:tcPr>
          <w:p w14:paraId="5462CB4E" w14:textId="13A763A4" w:rsidR="00EF13A0" w:rsidRPr="00515AA2" w:rsidRDefault="00EF13A0" w:rsidP="009D5805">
            <w:pPr>
              <w:rPr>
                <w:color w:val="000000"/>
                <w:lang w:val="en-CA"/>
              </w:rPr>
            </w:pPr>
            <w:r w:rsidRPr="00515AA2">
              <w:rPr>
                <w:color w:val="000000"/>
                <w:lang w:val="en-CA"/>
              </w:rPr>
              <w:t xml:space="preserve">For </w:t>
            </w:r>
            <w:r w:rsidR="004669FB" w:rsidRPr="00515AA2">
              <w:rPr>
                <w:color w:val="000000"/>
                <w:lang w:val="en-CA"/>
              </w:rPr>
              <w:t xml:space="preserve">Egale Canada (formerly known as </w:t>
            </w:r>
            <w:r w:rsidRPr="00515AA2">
              <w:rPr>
                <w:color w:val="000000"/>
                <w:lang w:val="en-CA"/>
              </w:rPr>
              <w:t>Egale Canada Human Rights Trust</w:t>
            </w:r>
            <w:r w:rsidR="004669FB" w:rsidRPr="00515AA2">
              <w:rPr>
                <w:color w:val="000000"/>
                <w:lang w:val="en-CA"/>
              </w:rPr>
              <w:t>)</w:t>
            </w:r>
          </w:p>
        </w:tc>
      </w:tr>
      <w:tr w:rsidR="00515AA2" w:rsidRPr="00C83535" w14:paraId="2B015F9B" w14:textId="77777777" w:rsidTr="009D5805">
        <w:tc>
          <w:tcPr>
            <w:tcW w:w="9362" w:type="dxa"/>
            <w:gridSpan w:val="3"/>
          </w:tcPr>
          <w:p w14:paraId="3D601B3A" w14:textId="77777777" w:rsidR="00EF13A0" w:rsidRPr="00515AA2" w:rsidRDefault="00EF13A0" w:rsidP="009D5805">
            <w:pPr>
              <w:rPr>
                <w:color w:val="000000"/>
                <w:lang w:val="en-CA"/>
              </w:rPr>
            </w:pPr>
          </w:p>
        </w:tc>
      </w:tr>
      <w:tr w:rsidR="00515AA2" w:rsidRPr="00515AA2" w14:paraId="3D24D4A3" w14:textId="77777777" w:rsidTr="00F846E3">
        <w:tc>
          <w:tcPr>
            <w:tcW w:w="9362" w:type="dxa"/>
            <w:gridSpan w:val="3"/>
            <w:tcBorders>
              <w:bottom w:val="nil"/>
            </w:tcBorders>
          </w:tcPr>
          <w:p w14:paraId="78039981" w14:textId="77804D9B" w:rsidR="00EF13A0" w:rsidRPr="00515AA2" w:rsidRDefault="00EF13A0" w:rsidP="009D5805">
            <w:pPr>
              <w:rPr>
                <w:color w:val="000000"/>
              </w:rPr>
            </w:pPr>
            <w:r w:rsidRPr="00515AA2">
              <w:rPr>
                <w:color w:val="000000"/>
              </w:rPr>
              <w:t>Mtre Michel Bélanger-Roy</w:t>
            </w:r>
          </w:p>
        </w:tc>
      </w:tr>
      <w:tr w:rsidR="00515AA2" w:rsidRPr="00515AA2" w14:paraId="7444157C" w14:textId="77777777" w:rsidTr="00F846E3">
        <w:tc>
          <w:tcPr>
            <w:tcW w:w="9362" w:type="dxa"/>
            <w:gridSpan w:val="3"/>
            <w:tcBorders>
              <w:bottom w:val="nil"/>
            </w:tcBorders>
          </w:tcPr>
          <w:p w14:paraId="6010817A" w14:textId="2D694267" w:rsidR="00760C91" w:rsidRPr="00515AA2" w:rsidRDefault="00760C91" w:rsidP="009D5805">
            <w:pPr>
              <w:rPr>
                <w:color w:val="000000"/>
              </w:rPr>
            </w:pPr>
            <w:r w:rsidRPr="00515AA2">
              <w:rPr>
                <w:color w:val="000000"/>
              </w:rPr>
              <w:t>Mtre Jérémy Boulanger-Bonnelly</w:t>
            </w:r>
          </w:p>
        </w:tc>
      </w:tr>
      <w:tr w:rsidR="00515AA2" w:rsidRPr="00515AA2" w14:paraId="5DA6745C" w14:textId="77777777" w:rsidTr="00F846E3">
        <w:tc>
          <w:tcPr>
            <w:tcW w:w="9362" w:type="dxa"/>
            <w:gridSpan w:val="3"/>
            <w:tcBorders>
              <w:top w:val="nil"/>
            </w:tcBorders>
          </w:tcPr>
          <w:p w14:paraId="48FE44E9" w14:textId="77777777" w:rsidR="00EF13A0" w:rsidRPr="00515AA2" w:rsidRDefault="00EF13A0" w:rsidP="009D5805">
            <w:pPr>
              <w:rPr>
                <w:color w:val="000000"/>
                <w:lang w:val="en-CA"/>
              </w:rPr>
            </w:pPr>
            <w:r w:rsidRPr="00515AA2">
              <w:rPr>
                <w:color w:val="000000"/>
                <w:lang w:val="en-CA"/>
              </w:rPr>
              <w:t>NORTON ROSE FULBRIGHT CANADA</w:t>
            </w:r>
          </w:p>
        </w:tc>
      </w:tr>
      <w:tr w:rsidR="00515AA2" w:rsidRPr="00515AA2" w14:paraId="63DFF23F" w14:textId="77777777" w:rsidTr="00F846E3">
        <w:tc>
          <w:tcPr>
            <w:tcW w:w="9362" w:type="dxa"/>
            <w:gridSpan w:val="3"/>
            <w:tcBorders>
              <w:top w:val="nil"/>
            </w:tcBorders>
            <w:shd w:val="clear" w:color="auto" w:fill="auto"/>
          </w:tcPr>
          <w:p w14:paraId="55CAE5D5" w14:textId="3AAA5A7B" w:rsidR="00EF13A0" w:rsidRPr="00515AA2" w:rsidRDefault="00EF13A0" w:rsidP="009D5805">
            <w:pPr>
              <w:rPr>
                <w:color w:val="000000"/>
              </w:rPr>
            </w:pPr>
            <w:r w:rsidRPr="00515AA2">
              <w:rPr>
                <w:color w:val="000000"/>
              </w:rPr>
              <w:t>For</w:t>
            </w:r>
            <w:r w:rsidR="003A546C" w:rsidRPr="00515AA2">
              <w:rPr>
                <w:color w:val="000000"/>
              </w:rPr>
              <w:t xml:space="preserve"> </w:t>
            </w:r>
            <w:r w:rsidR="00760C91" w:rsidRPr="00515AA2">
              <w:rPr>
                <w:color w:val="000000"/>
              </w:rPr>
              <w:t>Gender Creative Kids</w:t>
            </w:r>
          </w:p>
        </w:tc>
      </w:tr>
      <w:tr w:rsidR="00515AA2" w:rsidRPr="00515AA2" w14:paraId="10A84AA4" w14:textId="77777777" w:rsidTr="00F846E3">
        <w:tc>
          <w:tcPr>
            <w:tcW w:w="9362" w:type="dxa"/>
            <w:gridSpan w:val="3"/>
            <w:tcBorders>
              <w:top w:val="nil"/>
              <w:bottom w:val="nil"/>
            </w:tcBorders>
            <w:shd w:val="clear" w:color="auto" w:fill="auto"/>
          </w:tcPr>
          <w:p w14:paraId="215D3ADF" w14:textId="77777777" w:rsidR="00EF13A0" w:rsidRPr="00515AA2" w:rsidRDefault="00EF13A0" w:rsidP="009D5805">
            <w:pPr>
              <w:rPr>
                <w:color w:val="000000"/>
              </w:rPr>
            </w:pPr>
          </w:p>
        </w:tc>
      </w:tr>
      <w:tr w:rsidR="00515AA2" w:rsidRPr="00515AA2" w14:paraId="61682CCE" w14:textId="77777777" w:rsidTr="009D5805">
        <w:tc>
          <w:tcPr>
            <w:tcW w:w="9362" w:type="dxa"/>
            <w:gridSpan w:val="3"/>
            <w:tcBorders>
              <w:top w:val="nil"/>
            </w:tcBorders>
            <w:shd w:val="clear" w:color="auto" w:fill="auto"/>
          </w:tcPr>
          <w:p w14:paraId="09F043DD" w14:textId="6570BD82" w:rsidR="00EF13A0" w:rsidRPr="00515AA2" w:rsidRDefault="00EF13A0" w:rsidP="001A01C9">
            <w:pPr>
              <w:rPr>
                <w:color w:val="000000"/>
                <w:lang w:val="en-CA"/>
              </w:rPr>
            </w:pPr>
            <w:r w:rsidRPr="00515AA2">
              <w:rPr>
                <w:color w:val="000000"/>
                <w:lang w:val="en-CA"/>
              </w:rPr>
              <w:t>Mtre Molly Krishtalka</w:t>
            </w:r>
          </w:p>
        </w:tc>
      </w:tr>
      <w:tr w:rsidR="00515AA2" w:rsidRPr="00515AA2" w14:paraId="0036C1A5" w14:textId="77777777" w:rsidTr="009D5805">
        <w:tc>
          <w:tcPr>
            <w:tcW w:w="9362" w:type="dxa"/>
            <w:gridSpan w:val="3"/>
            <w:tcBorders>
              <w:top w:val="nil"/>
            </w:tcBorders>
            <w:shd w:val="clear" w:color="auto" w:fill="auto"/>
          </w:tcPr>
          <w:p w14:paraId="7F1FC0DC" w14:textId="21481595" w:rsidR="001A01C9" w:rsidRPr="00515AA2" w:rsidRDefault="001A01C9" w:rsidP="009D5805">
            <w:pPr>
              <w:rPr>
                <w:color w:val="000000"/>
                <w:lang w:val="en-CA"/>
              </w:rPr>
            </w:pPr>
            <w:r w:rsidRPr="00515AA2">
              <w:rPr>
                <w:color w:val="000000"/>
                <w:lang w:val="en-CA"/>
              </w:rPr>
              <w:t>Mtre Alexandra Belley-McKinnon</w:t>
            </w:r>
          </w:p>
        </w:tc>
      </w:tr>
      <w:tr w:rsidR="00515AA2" w:rsidRPr="00515AA2" w14:paraId="22FD87D3" w14:textId="77777777" w:rsidTr="009D5805">
        <w:tc>
          <w:tcPr>
            <w:tcW w:w="9362" w:type="dxa"/>
            <w:gridSpan w:val="3"/>
            <w:tcBorders>
              <w:top w:val="nil"/>
            </w:tcBorders>
            <w:shd w:val="clear" w:color="auto" w:fill="auto"/>
          </w:tcPr>
          <w:p w14:paraId="705FB707" w14:textId="2A4198E4" w:rsidR="00501C6A" w:rsidRPr="00515AA2" w:rsidRDefault="00501C6A" w:rsidP="009D5805">
            <w:pPr>
              <w:rPr>
                <w:color w:val="000000"/>
                <w:lang w:val="en-CA"/>
              </w:rPr>
            </w:pPr>
            <w:r w:rsidRPr="00515AA2">
              <w:rPr>
                <w:color w:val="000000"/>
                <w:lang w:val="en-CA"/>
              </w:rPr>
              <w:lastRenderedPageBreak/>
              <w:t>Mtre Kariane Lebel</w:t>
            </w:r>
          </w:p>
        </w:tc>
      </w:tr>
      <w:tr w:rsidR="00515AA2" w:rsidRPr="00515AA2" w14:paraId="320BDB14" w14:textId="77777777" w:rsidTr="00F846E3">
        <w:tc>
          <w:tcPr>
            <w:tcW w:w="9362" w:type="dxa"/>
            <w:gridSpan w:val="3"/>
            <w:tcBorders>
              <w:top w:val="nil"/>
            </w:tcBorders>
            <w:shd w:val="clear" w:color="auto" w:fill="auto"/>
          </w:tcPr>
          <w:p w14:paraId="748BCB86" w14:textId="77777777" w:rsidR="00EF13A0" w:rsidRPr="00515AA2" w:rsidRDefault="00EF13A0" w:rsidP="009D5805">
            <w:pPr>
              <w:rPr>
                <w:color w:val="000000"/>
                <w:lang w:val="en-CA"/>
              </w:rPr>
            </w:pPr>
            <w:r w:rsidRPr="00515AA2">
              <w:rPr>
                <w:color w:val="000000"/>
                <w:lang w:val="en-CA"/>
              </w:rPr>
              <w:t>CABINET D’AVOCATS NOVALEX</w:t>
            </w:r>
          </w:p>
        </w:tc>
      </w:tr>
      <w:tr w:rsidR="00515AA2" w:rsidRPr="00515AA2" w14:paraId="5B194BD5" w14:textId="77777777" w:rsidTr="00F846E3">
        <w:tc>
          <w:tcPr>
            <w:tcW w:w="9362" w:type="dxa"/>
            <w:gridSpan w:val="3"/>
            <w:tcBorders>
              <w:top w:val="nil"/>
              <w:bottom w:val="nil"/>
            </w:tcBorders>
            <w:shd w:val="clear" w:color="auto" w:fill="auto"/>
          </w:tcPr>
          <w:p w14:paraId="741B6C5E" w14:textId="77777777" w:rsidR="00EF13A0" w:rsidRPr="00515AA2" w:rsidRDefault="00EF13A0" w:rsidP="009D5805">
            <w:pPr>
              <w:rPr>
                <w:color w:val="000000"/>
              </w:rPr>
            </w:pPr>
            <w:r w:rsidRPr="00515AA2">
              <w:rPr>
                <w:color w:val="000000"/>
              </w:rPr>
              <w:t>For the Coalition des professionnels en santé trans/non-binaire</w:t>
            </w:r>
          </w:p>
        </w:tc>
      </w:tr>
      <w:tr w:rsidR="00515AA2" w:rsidRPr="00515AA2" w14:paraId="47BAAB0D" w14:textId="77777777" w:rsidTr="00C27EBC">
        <w:tc>
          <w:tcPr>
            <w:tcW w:w="9362" w:type="dxa"/>
            <w:gridSpan w:val="3"/>
            <w:tcBorders>
              <w:top w:val="nil"/>
            </w:tcBorders>
            <w:shd w:val="clear" w:color="auto" w:fill="auto"/>
          </w:tcPr>
          <w:p w14:paraId="747F039E" w14:textId="77777777" w:rsidR="00EF13A0" w:rsidRPr="00515AA2" w:rsidRDefault="00EF13A0" w:rsidP="009D5805">
            <w:pPr>
              <w:rPr>
                <w:color w:val="000000"/>
              </w:rPr>
            </w:pPr>
          </w:p>
        </w:tc>
      </w:tr>
      <w:tr w:rsidR="00EF13A0" w:rsidRPr="00515AA2" w14:paraId="613F613F" w14:textId="77777777" w:rsidTr="00C27EBC">
        <w:tc>
          <w:tcPr>
            <w:tcW w:w="1997" w:type="dxa"/>
            <w:tcBorders>
              <w:top w:val="nil"/>
            </w:tcBorders>
          </w:tcPr>
          <w:p w14:paraId="5F40E5DE" w14:textId="77777777" w:rsidR="00EF13A0" w:rsidRPr="00515AA2" w:rsidRDefault="00EF13A0" w:rsidP="009D5805">
            <w:pPr>
              <w:pStyle w:val="zSoquijlblDateAudience"/>
              <w:rPr>
                <w:color w:val="000000"/>
                <w:lang w:val="en-CA"/>
              </w:rPr>
            </w:pPr>
            <w:r w:rsidRPr="00515AA2">
              <w:rPr>
                <w:color w:val="000000"/>
                <w:lang w:val="en-CA"/>
              </w:rPr>
              <w:t>Hearing dates:</w:t>
            </w:r>
          </w:p>
        </w:tc>
        <w:tc>
          <w:tcPr>
            <w:tcW w:w="7365" w:type="dxa"/>
            <w:gridSpan w:val="2"/>
          </w:tcPr>
          <w:p w14:paraId="57BF4ED0" w14:textId="77777777" w:rsidR="00EF13A0" w:rsidRPr="00515AA2" w:rsidRDefault="00EF13A0" w:rsidP="009D5805">
            <w:pPr>
              <w:pStyle w:val="zSoquijdatDateAudience"/>
              <w:rPr>
                <w:color w:val="000000"/>
                <w:lang w:val="en-CA"/>
              </w:rPr>
            </w:pPr>
            <w:r w:rsidRPr="00515AA2">
              <w:rPr>
                <w:color w:val="000000"/>
                <w:lang w:val="en-CA"/>
              </w:rPr>
              <w:t xml:space="preserve"> April 5 and 6, 2022</w:t>
            </w:r>
          </w:p>
        </w:tc>
      </w:tr>
    </w:tbl>
    <w:p w14:paraId="586F425C" w14:textId="77777777" w:rsidR="0088498D" w:rsidRPr="00515AA2" w:rsidRDefault="0088498D" w:rsidP="00EF13A0">
      <w:pPr>
        <w:pStyle w:val="Paragraphe"/>
        <w:numPr>
          <w:ilvl w:val="0"/>
          <w:numId w:val="0"/>
        </w:numPr>
        <w:rPr>
          <w:color w:val="000000"/>
          <w:lang w:val="en-CA"/>
        </w:rPr>
      </w:pPr>
    </w:p>
    <w:p w14:paraId="3BE5042A" w14:textId="77777777" w:rsidR="0088498D" w:rsidRPr="00515AA2" w:rsidRDefault="0088498D">
      <w:pPr>
        <w:spacing w:line="240" w:lineRule="auto"/>
        <w:rPr>
          <w:color w:val="000000"/>
          <w:kern w:val="28"/>
          <w:lang w:val="en-CA"/>
        </w:rPr>
      </w:pPr>
      <w:r w:rsidRPr="00515AA2">
        <w:rPr>
          <w:color w:val="000000"/>
          <w:lang w:val="en-CA"/>
        </w:rPr>
        <w:br w:type="page"/>
      </w:r>
    </w:p>
    <w:p w14:paraId="57828600" w14:textId="5BDD8DB5" w:rsidR="00EF13A0" w:rsidRPr="00515AA2" w:rsidRDefault="00EF13A0" w:rsidP="00EF13A0">
      <w:pPr>
        <w:pStyle w:val="Paragraphe"/>
        <w:numPr>
          <w:ilvl w:val="0"/>
          <w:numId w:val="0"/>
        </w:numPr>
        <w:rPr>
          <w:color w:val="000000"/>
          <w:lang w:val="en-CA"/>
        </w:rPr>
        <w:sectPr w:rsidR="00EF13A0" w:rsidRPr="00515AA2" w:rsidSect="003F0C15">
          <w:headerReference w:type="default" r:id="rId8"/>
          <w:pgSz w:w="12242" w:h="15842" w:code="1"/>
          <w:pgMar w:top="1276" w:right="1008" w:bottom="1440" w:left="1872" w:header="1440" w:footer="792" w:gutter="0"/>
          <w:cols w:space="720"/>
          <w:formProt w:val="0"/>
          <w:titlePg/>
        </w:sectPr>
      </w:pPr>
    </w:p>
    <w:p w14:paraId="5747F920" w14:textId="77777777" w:rsidR="009A51C4" w:rsidRPr="00515AA2" w:rsidRDefault="009A51C4" w:rsidP="009A51C4">
      <w:pPr>
        <w:spacing w:line="240" w:lineRule="auto"/>
        <w:jc w:val="center"/>
        <w:rPr>
          <w:b/>
          <w:bCs/>
          <w:color w:val="000000"/>
          <w:u w:val="single"/>
        </w:rPr>
      </w:pPr>
      <w:r w:rsidRPr="00515AA2">
        <w:rPr>
          <w:b/>
          <w:bCs/>
          <w:color w:val="000000"/>
          <w:u w:val="single"/>
        </w:rPr>
        <w:lastRenderedPageBreak/>
        <w:t>TABLE OF CONTENTS</w:t>
      </w:r>
    </w:p>
    <w:p w14:paraId="03E9700A" w14:textId="77777777" w:rsidR="009A51C4" w:rsidRPr="00515AA2" w:rsidRDefault="009A51C4">
      <w:pPr>
        <w:spacing w:line="240" w:lineRule="auto"/>
        <w:rPr>
          <w:color w:val="000000"/>
        </w:rPr>
      </w:pPr>
    </w:p>
    <w:p w14:paraId="1957F9F7" w14:textId="3B2E7708" w:rsidR="00C83535" w:rsidRDefault="002B2EC3">
      <w:pPr>
        <w:pStyle w:val="TM1"/>
        <w:tabs>
          <w:tab w:val="left" w:pos="480"/>
          <w:tab w:val="right" w:leader="dot" w:pos="9352"/>
        </w:tabs>
        <w:rPr>
          <w:rFonts w:asciiTheme="minorHAnsi" w:eastAsiaTheme="minorEastAsia" w:hAnsiTheme="minorHAnsi" w:cstheme="minorBidi"/>
          <w:noProof/>
          <w:kern w:val="2"/>
          <w:sz w:val="22"/>
          <w:szCs w:val="22"/>
          <w:lang w:eastAsia="fr-CA"/>
          <w14:ligatures w14:val="standardContextual"/>
        </w:rPr>
      </w:pPr>
      <w:r w:rsidRPr="00515AA2">
        <w:rPr>
          <w:color w:val="000000"/>
        </w:rPr>
        <w:fldChar w:fldCharType="begin"/>
      </w:r>
      <w:r w:rsidRPr="00515AA2">
        <w:rPr>
          <w:color w:val="000000"/>
        </w:rPr>
        <w:instrText xml:space="preserve"> TOC \o \h \z \u </w:instrText>
      </w:r>
      <w:r w:rsidRPr="00515AA2">
        <w:rPr>
          <w:color w:val="000000"/>
        </w:rPr>
        <w:fldChar w:fldCharType="separate"/>
      </w:r>
      <w:hyperlink w:anchor="_Toc161830098" w:history="1">
        <w:r w:rsidR="00C83535" w:rsidRPr="00756369">
          <w:rPr>
            <w:rStyle w:val="Hyperlien"/>
            <w:noProof/>
          </w:rPr>
          <w:t>I.</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BACKGROUND</w:t>
        </w:r>
        <w:r w:rsidR="00C83535">
          <w:rPr>
            <w:noProof/>
            <w:webHidden/>
          </w:rPr>
          <w:tab/>
        </w:r>
        <w:r w:rsidR="00C83535">
          <w:rPr>
            <w:noProof/>
            <w:webHidden/>
          </w:rPr>
          <w:fldChar w:fldCharType="begin"/>
        </w:r>
        <w:r w:rsidR="00C83535">
          <w:rPr>
            <w:noProof/>
            <w:webHidden/>
          </w:rPr>
          <w:instrText xml:space="preserve"> PAGEREF _Toc161830098 \h </w:instrText>
        </w:r>
        <w:r w:rsidR="00C83535">
          <w:rPr>
            <w:noProof/>
            <w:webHidden/>
          </w:rPr>
        </w:r>
        <w:r w:rsidR="00C83535">
          <w:rPr>
            <w:noProof/>
            <w:webHidden/>
          </w:rPr>
          <w:fldChar w:fldCharType="separate"/>
        </w:r>
        <w:r w:rsidR="00C83535">
          <w:rPr>
            <w:noProof/>
            <w:webHidden/>
          </w:rPr>
          <w:t>7</w:t>
        </w:r>
        <w:r w:rsidR="00C83535">
          <w:rPr>
            <w:noProof/>
            <w:webHidden/>
          </w:rPr>
          <w:fldChar w:fldCharType="end"/>
        </w:r>
      </w:hyperlink>
    </w:p>
    <w:p w14:paraId="5F1D25C3" w14:textId="42BEE986" w:rsidR="00C83535" w:rsidRDefault="00000000">
      <w:pPr>
        <w:pStyle w:val="TM2"/>
        <w:rPr>
          <w:rFonts w:asciiTheme="minorHAnsi" w:eastAsiaTheme="minorEastAsia" w:hAnsiTheme="minorHAnsi" w:cstheme="minorBidi"/>
          <w:noProof/>
          <w:kern w:val="2"/>
          <w:sz w:val="22"/>
          <w:szCs w:val="22"/>
          <w:lang w:eastAsia="fr-CA"/>
          <w14:ligatures w14:val="standardContextual"/>
        </w:rPr>
      </w:pPr>
      <w:hyperlink w:anchor="_Toc161830099" w:history="1">
        <w:r w:rsidR="00C83535" w:rsidRPr="00756369">
          <w:rPr>
            <w:rStyle w:val="Hyperlien"/>
            <w:noProof/>
          </w:rPr>
          <w:t>Description of the Parties</w:t>
        </w:r>
        <w:r w:rsidR="00C83535">
          <w:rPr>
            <w:noProof/>
            <w:webHidden/>
          </w:rPr>
          <w:tab/>
        </w:r>
        <w:r w:rsidR="00C83535">
          <w:rPr>
            <w:noProof/>
            <w:webHidden/>
          </w:rPr>
          <w:fldChar w:fldCharType="begin"/>
        </w:r>
        <w:r w:rsidR="00C83535">
          <w:rPr>
            <w:noProof/>
            <w:webHidden/>
          </w:rPr>
          <w:instrText xml:space="preserve"> PAGEREF _Toc161830099 \h </w:instrText>
        </w:r>
        <w:r w:rsidR="00C83535">
          <w:rPr>
            <w:noProof/>
            <w:webHidden/>
          </w:rPr>
        </w:r>
        <w:r w:rsidR="00C83535">
          <w:rPr>
            <w:noProof/>
            <w:webHidden/>
          </w:rPr>
          <w:fldChar w:fldCharType="separate"/>
        </w:r>
        <w:r w:rsidR="00C83535">
          <w:rPr>
            <w:noProof/>
            <w:webHidden/>
          </w:rPr>
          <w:t>7</w:t>
        </w:r>
        <w:r w:rsidR="00C83535">
          <w:rPr>
            <w:noProof/>
            <w:webHidden/>
          </w:rPr>
          <w:fldChar w:fldCharType="end"/>
        </w:r>
      </w:hyperlink>
    </w:p>
    <w:p w14:paraId="7C3E8A0B" w14:textId="0FA661F7" w:rsidR="00C83535" w:rsidRDefault="00000000">
      <w:pPr>
        <w:pStyle w:val="TM2"/>
        <w:rPr>
          <w:rFonts w:asciiTheme="minorHAnsi" w:eastAsiaTheme="minorEastAsia" w:hAnsiTheme="minorHAnsi" w:cstheme="minorBidi"/>
          <w:noProof/>
          <w:kern w:val="2"/>
          <w:sz w:val="22"/>
          <w:szCs w:val="22"/>
          <w:lang w:eastAsia="fr-CA"/>
          <w14:ligatures w14:val="standardContextual"/>
        </w:rPr>
      </w:pPr>
      <w:hyperlink w:anchor="_Toc161830100" w:history="1">
        <w:r w:rsidR="00C83535" w:rsidRPr="00756369">
          <w:rPr>
            <w:rStyle w:val="Hyperlien"/>
            <w:noProof/>
          </w:rPr>
          <w:t>Procedural History</w:t>
        </w:r>
        <w:r w:rsidR="00C83535">
          <w:rPr>
            <w:noProof/>
            <w:webHidden/>
          </w:rPr>
          <w:tab/>
        </w:r>
        <w:r w:rsidR="00C83535">
          <w:rPr>
            <w:noProof/>
            <w:webHidden/>
          </w:rPr>
          <w:fldChar w:fldCharType="begin"/>
        </w:r>
        <w:r w:rsidR="00C83535">
          <w:rPr>
            <w:noProof/>
            <w:webHidden/>
          </w:rPr>
          <w:instrText xml:space="preserve"> PAGEREF _Toc161830100 \h </w:instrText>
        </w:r>
        <w:r w:rsidR="00C83535">
          <w:rPr>
            <w:noProof/>
            <w:webHidden/>
          </w:rPr>
        </w:r>
        <w:r w:rsidR="00C83535">
          <w:rPr>
            <w:noProof/>
            <w:webHidden/>
          </w:rPr>
          <w:fldChar w:fldCharType="separate"/>
        </w:r>
        <w:r w:rsidR="00C83535">
          <w:rPr>
            <w:noProof/>
            <w:webHidden/>
          </w:rPr>
          <w:t>7</w:t>
        </w:r>
        <w:r w:rsidR="00C83535">
          <w:rPr>
            <w:noProof/>
            <w:webHidden/>
          </w:rPr>
          <w:fldChar w:fldCharType="end"/>
        </w:r>
      </w:hyperlink>
    </w:p>
    <w:p w14:paraId="0642D0E5" w14:textId="11499D88" w:rsidR="00C83535" w:rsidRDefault="00000000">
      <w:pPr>
        <w:pStyle w:val="TM2"/>
        <w:rPr>
          <w:rFonts w:asciiTheme="minorHAnsi" w:eastAsiaTheme="minorEastAsia" w:hAnsiTheme="minorHAnsi" w:cstheme="minorBidi"/>
          <w:noProof/>
          <w:kern w:val="2"/>
          <w:sz w:val="22"/>
          <w:szCs w:val="22"/>
          <w:lang w:eastAsia="fr-CA"/>
          <w14:ligatures w14:val="standardContextual"/>
        </w:rPr>
      </w:pPr>
      <w:hyperlink w:anchor="_Toc161830101" w:history="1">
        <w:r w:rsidR="00C83535" w:rsidRPr="00756369">
          <w:rPr>
            <w:rStyle w:val="Hyperlien"/>
            <w:noProof/>
          </w:rPr>
          <w:t>Conclusions of the Judgment under Appeal</w:t>
        </w:r>
        <w:r w:rsidR="00C83535">
          <w:rPr>
            <w:noProof/>
            <w:webHidden/>
          </w:rPr>
          <w:tab/>
        </w:r>
        <w:r w:rsidR="00C83535">
          <w:rPr>
            <w:noProof/>
            <w:webHidden/>
          </w:rPr>
          <w:fldChar w:fldCharType="begin"/>
        </w:r>
        <w:r w:rsidR="00C83535">
          <w:rPr>
            <w:noProof/>
            <w:webHidden/>
          </w:rPr>
          <w:instrText xml:space="preserve"> PAGEREF _Toc161830101 \h </w:instrText>
        </w:r>
        <w:r w:rsidR="00C83535">
          <w:rPr>
            <w:noProof/>
            <w:webHidden/>
          </w:rPr>
        </w:r>
        <w:r w:rsidR="00C83535">
          <w:rPr>
            <w:noProof/>
            <w:webHidden/>
          </w:rPr>
          <w:fldChar w:fldCharType="separate"/>
        </w:r>
        <w:r w:rsidR="00C83535">
          <w:rPr>
            <w:noProof/>
            <w:webHidden/>
          </w:rPr>
          <w:t>9</w:t>
        </w:r>
        <w:r w:rsidR="00C83535">
          <w:rPr>
            <w:noProof/>
            <w:webHidden/>
          </w:rPr>
          <w:fldChar w:fldCharType="end"/>
        </w:r>
      </w:hyperlink>
    </w:p>
    <w:p w14:paraId="4C548F46" w14:textId="0359D9DD" w:rsidR="00C83535" w:rsidRDefault="00000000">
      <w:pPr>
        <w:pStyle w:val="TM2"/>
        <w:rPr>
          <w:rFonts w:asciiTheme="minorHAnsi" w:eastAsiaTheme="minorEastAsia" w:hAnsiTheme="minorHAnsi" w:cstheme="minorBidi"/>
          <w:noProof/>
          <w:kern w:val="2"/>
          <w:sz w:val="22"/>
          <w:szCs w:val="22"/>
          <w:lang w:eastAsia="fr-CA"/>
          <w14:ligatures w14:val="standardContextual"/>
        </w:rPr>
      </w:pPr>
      <w:hyperlink w:anchor="_Toc161830102" w:history="1">
        <w:r w:rsidR="00C83535" w:rsidRPr="00756369">
          <w:rPr>
            <w:rStyle w:val="Hyperlien"/>
            <w:noProof/>
          </w:rPr>
          <w:t>Overview of the Legislative Background and its Evolution in Quebec</w:t>
        </w:r>
        <w:r w:rsidR="00C83535">
          <w:rPr>
            <w:noProof/>
            <w:webHidden/>
          </w:rPr>
          <w:tab/>
        </w:r>
        <w:r w:rsidR="00C83535">
          <w:rPr>
            <w:noProof/>
            <w:webHidden/>
          </w:rPr>
          <w:fldChar w:fldCharType="begin"/>
        </w:r>
        <w:r w:rsidR="00C83535">
          <w:rPr>
            <w:noProof/>
            <w:webHidden/>
          </w:rPr>
          <w:instrText xml:space="preserve"> PAGEREF _Toc161830102 \h </w:instrText>
        </w:r>
        <w:r w:rsidR="00C83535">
          <w:rPr>
            <w:noProof/>
            <w:webHidden/>
          </w:rPr>
        </w:r>
        <w:r w:rsidR="00C83535">
          <w:rPr>
            <w:noProof/>
            <w:webHidden/>
          </w:rPr>
          <w:fldChar w:fldCharType="separate"/>
        </w:r>
        <w:r w:rsidR="00C83535">
          <w:rPr>
            <w:noProof/>
            <w:webHidden/>
          </w:rPr>
          <w:t>11</w:t>
        </w:r>
        <w:r w:rsidR="00C83535">
          <w:rPr>
            <w:noProof/>
            <w:webHidden/>
          </w:rPr>
          <w:fldChar w:fldCharType="end"/>
        </w:r>
      </w:hyperlink>
    </w:p>
    <w:p w14:paraId="63093F1A" w14:textId="4D8DD4AD" w:rsidR="00C83535" w:rsidRDefault="00000000">
      <w:pPr>
        <w:pStyle w:val="TM1"/>
        <w:tabs>
          <w:tab w:val="left" w:pos="48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03" w:history="1">
        <w:r w:rsidR="00C83535" w:rsidRPr="00756369">
          <w:rPr>
            <w:rStyle w:val="Hyperlien"/>
            <w:noProof/>
          </w:rPr>
          <w:t>II.</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JUDGMENT UNDER APPEAL</w:t>
        </w:r>
        <w:r w:rsidR="00C83535">
          <w:rPr>
            <w:noProof/>
            <w:webHidden/>
          </w:rPr>
          <w:tab/>
        </w:r>
        <w:r w:rsidR="00C83535">
          <w:rPr>
            <w:noProof/>
            <w:webHidden/>
          </w:rPr>
          <w:fldChar w:fldCharType="begin"/>
        </w:r>
        <w:r w:rsidR="00C83535">
          <w:rPr>
            <w:noProof/>
            <w:webHidden/>
          </w:rPr>
          <w:instrText xml:space="preserve"> PAGEREF _Toc161830103 \h </w:instrText>
        </w:r>
        <w:r w:rsidR="00C83535">
          <w:rPr>
            <w:noProof/>
            <w:webHidden/>
          </w:rPr>
        </w:r>
        <w:r w:rsidR="00C83535">
          <w:rPr>
            <w:noProof/>
            <w:webHidden/>
          </w:rPr>
          <w:fldChar w:fldCharType="separate"/>
        </w:r>
        <w:r w:rsidR="00C83535">
          <w:rPr>
            <w:noProof/>
            <w:webHidden/>
          </w:rPr>
          <w:t>21</w:t>
        </w:r>
        <w:r w:rsidR="00C83535">
          <w:rPr>
            <w:noProof/>
            <w:webHidden/>
          </w:rPr>
          <w:fldChar w:fldCharType="end"/>
        </w:r>
      </w:hyperlink>
    </w:p>
    <w:p w14:paraId="74C6BE01" w14:textId="04EFDC73" w:rsidR="00C83535" w:rsidRDefault="00000000">
      <w:pPr>
        <w:pStyle w:val="TM3"/>
        <w:rPr>
          <w:rFonts w:asciiTheme="minorHAnsi" w:eastAsiaTheme="minorEastAsia" w:hAnsiTheme="minorHAnsi" w:cstheme="minorBidi"/>
          <w:noProof/>
          <w:kern w:val="2"/>
          <w:sz w:val="22"/>
          <w:szCs w:val="22"/>
          <w:lang w:eastAsia="fr-CA"/>
          <w14:ligatures w14:val="standardContextual"/>
        </w:rPr>
      </w:pPr>
      <w:hyperlink w:anchor="_Toc161830104" w:history="1">
        <w:r w:rsidR="00C83535" w:rsidRPr="00756369">
          <w:rPr>
            <w:rStyle w:val="Hyperlien"/>
            <w:noProof/>
            <w:lang w:val="en-CA"/>
          </w:rPr>
          <w:t xml:space="preserve">1.  </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lang w:val="en-CA"/>
          </w:rPr>
          <w:t>On the Requirement to Provide a Declaration from a Health Professional (s. 23.2 of the Regulation)</w:t>
        </w:r>
        <w:r w:rsidR="00C83535">
          <w:rPr>
            <w:noProof/>
            <w:webHidden/>
          </w:rPr>
          <w:tab/>
        </w:r>
        <w:r w:rsidR="00C83535">
          <w:rPr>
            <w:noProof/>
            <w:webHidden/>
          </w:rPr>
          <w:fldChar w:fldCharType="begin"/>
        </w:r>
        <w:r w:rsidR="00C83535">
          <w:rPr>
            <w:noProof/>
            <w:webHidden/>
          </w:rPr>
          <w:instrText xml:space="preserve"> PAGEREF _Toc161830104 \h </w:instrText>
        </w:r>
        <w:r w:rsidR="00C83535">
          <w:rPr>
            <w:noProof/>
            <w:webHidden/>
          </w:rPr>
        </w:r>
        <w:r w:rsidR="00C83535">
          <w:rPr>
            <w:noProof/>
            <w:webHidden/>
          </w:rPr>
          <w:fldChar w:fldCharType="separate"/>
        </w:r>
        <w:r w:rsidR="00C83535">
          <w:rPr>
            <w:noProof/>
            <w:webHidden/>
          </w:rPr>
          <w:t>21</w:t>
        </w:r>
        <w:r w:rsidR="00C83535">
          <w:rPr>
            <w:noProof/>
            <w:webHidden/>
          </w:rPr>
          <w:fldChar w:fldCharType="end"/>
        </w:r>
      </w:hyperlink>
    </w:p>
    <w:p w14:paraId="07742C58" w14:textId="0DEE1F9B" w:rsidR="00C83535" w:rsidRDefault="00000000">
      <w:pPr>
        <w:pStyle w:val="TM3"/>
        <w:rPr>
          <w:rFonts w:asciiTheme="minorHAnsi" w:eastAsiaTheme="minorEastAsia" w:hAnsiTheme="minorHAnsi" w:cstheme="minorBidi"/>
          <w:noProof/>
          <w:kern w:val="2"/>
          <w:sz w:val="22"/>
          <w:szCs w:val="22"/>
          <w:lang w:eastAsia="fr-CA"/>
          <w14:ligatures w14:val="standardContextual"/>
        </w:rPr>
      </w:pPr>
      <w:hyperlink w:anchor="_Toc161830105" w:history="1">
        <w:r w:rsidR="00C83535" w:rsidRPr="00756369">
          <w:rPr>
            <w:rStyle w:val="Hyperlien"/>
            <w:noProof/>
            <w:lang w:val="en-CA"/>
          </w:rPr>
          <w:t>2.</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lang w:val="en-CA"/>
          </w:rPr>
          <w:t>On Parental Objection to the Change of Name (article 62 C.C.Q.)</w:t>
        </w:r>
        <w:r w:rsidR="00C83535">
          <w:rPr>
            <w:noProof/>
            <w:webHidden/>
          </w:rPr>
          <w:tab/>
        </w:r>
        <w:r w:rsidR="00C83535">
          <w:rPr>
            <w:noProof/>
            <w:webHidden/>
          </w:rPr>
          <w:fldChar w:fldCharType="begin"/>
        </w:r>
        <w:r w:rsidR="00C83535">
          <w:rPr>
            <w:noProof/>
            <w:webHidden/>
          </w:rPr>
          <w:instrText xml:space="preserve"> PAGEREF _Toc161830105 \h </w:instrText>
        </w:r>
        <w:r w:rsidR="00C83535">
          <w:rPr>
            <w:noProof/>
            <w:webHidden/>
          </w:rPr>
        </w:r>
        <w:r w:rsidR="00C83535">
          <w:rPr>
            <w:noProof/>
            <w:webHidden/>
          </w:rPr>
          <w:fldChar w:fldCharType="separate"/>
        </w:r>
        <w:r w:rsidR="00C83535">
          <w:rPr>
            <w:noProof/>
            <w:webHidden/>
          </w:rPr>
          <w:t>23</w:t>
        </w:r>
        <w:r w:rsidR="00C83535">
          <w:rPr>
            <w:noProof/>
            <w:webHidden/>
          </w:rPr>
          <w:fldChar w:fldCharType="end"/>
        </w:r>
      </w:hyperlink>
    </w:p>
    <w:p w14:paraId="0ED5E8BD" w14:textId="57428EFE" w:rsidR="00C83535" w:rsidRDefault="00000000">
      <w:pPr>
        <w:pStyle w:val="TM1"/>
        <w:tabs>
          <w:tab w:val="left" w:pos="7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06" w:history="1">
        <w:r w:rsidR="00C83535" w:rsidRPr="00756369">
          <w:rPr>
            <w:rStyle w:val="Hyperlien"/>
            <w:noProof/>
          </w:rPr>
          <w:t>III.</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ISSUES IN DISPUTE</w:t>
        </w:r>
        <w:r w:rsidR="00C83535">
          <w:rPr>
            <w:noProof/>
            <w:webHidden/>
          </w:rPr>
          <w:tab/>
        </w:r>
        <w:r w:rsidR="00C83535">
          <w:rPr>
            <w:noProof/>
            <w:webHidden/>
          </w:rPr>
          <w:fldChar w:fldCharType="begin"/>
        </w:r>
        <w:r w:rsidR="00C83535">
          <w:rPr>
            <w:noProof/>
            <w:webHidden/>
          </w:rPr>
          <w:instrText xml:space="preserve"> PAGEREF _Toc161830106 \h </w:instrText>
        </w:r>
        <w:r w:rsidR="00C83535">
          <w:rPr>
            <w:noProof/>
            <w:webHidden/>
          </w:rPr>
        </w:r>
        <w:r w:rsidR="00C83535">
          <w:rPr>
            <w:noProof/>
            <w:webHidden/>
          </w:rPr>
          <w:fldChar w:fldCharType="separate"/>
        </w:r>
        <w:r w:rsidR="00C83535">
          <w:rPr>
            <w:noProof/>
            <w:webHidden/>
          </w:rPr>
          <w:t>24</w:t>
        </w:r>
        <w:r w:rsidR="00C83535">
          <w:rPr>
            <w:noProof/>
            <w:webHidden/>
          </w:rPr>
          <w:fldChar w:fldCharType="end"/>
        </w:r>
      </w:hyperlink>
    </w:p>
    <w:p w14:paraId="3F4E5A0D" w14:textId="0289FD2B" w:rsidR="00C83535" w:rsidRDefault="00000000">
      <w:pPr>
        <w:pStyle w:val="TM4"/>
        <w:tabs>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07" w:history="1">
        <w:r w:rsidR="00C83535" w:rsidRPr="00756369">
          <w:rPr>
            <w:rStyle w:val="Hyperlien"/>
            <w:noProof/>
          </w:rPr>
          <w:t>A.  Principal Appeal</w:t>
        </w:r>
        <w:r w:rsidR="00C83535">
          <w:rPr>
            <w:noProof/>
            <w:webHidden/>
          </w:rPr>
          <w:tab/>
        </w:r>
        <w:r w:rsidR="00C83535">
          <w:rPr>
            <w:noProof/>
            <w:webHidden/>
          </w:rPr>
          <w:fldChar w:fldCharType="begin"/>
        </w:r>
        <w:r w:rsidR="00C83535">
          <w:rPr>
            <w:noProof/>
            <w:webHidden/>
          </w:rPr>
          <w:instrText xml:space="preserve"> PAGEREF _Toc161830107 \h </w:instrText>
        </w:r>
        <w:r w:rsidR="00C83535">
          <w:rPr>
            <w:noProof/>
            <w:webHidden/>
          </w:rPr>
        </w:r>
        <w:r w:rsidR="00C83535">
          <w:rPr>
            <w:noProof/>
            <w:webHidden/>
          </w:rPr>
          <w:fldChar w:fldCharType="separate"/>
        </w:r>
        <w:r w:rsidR="00C83535">
          <w:rPr>
            <w:noProof/>
            <w:webHidden/>
          </w:rPr>
          <w:t>24</w:t>
        </w:r>
        <w:r w:rsidR="00C83535">
          <w:rPr>
            <w:noProof/>
            <w:webHidden/>
          </w:rPr>
          <w:fldChar w:fldCharType="end"/>
        </w:r>
      </w:hyperlink>
    </w:p>
    <w:p w14:paraId="3BE171D3" w14:textId="34879465" w:rsidR="00C83535" w:rsidRDefault="00000000">
      <w:pPr>
        <w:pStyle w:val="TM4"/>
        <w:tabs>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08" w:history="1">
        <w:r w:rsidR="00C83535" w:rsidRPr="00756369">
          <w:rPr>
            <w:rStyle w:val="Hyperlien"/>
            <w:noProof/>
          </w:rPr>
          <w:t>B.  Incidental Appeal</w:t>
        </w:r>
        <w:r w:rsidR="00C83535">
          <w:rPr>
            <w:noProof/>
            <w:webHidden/>
          </w:rPr>
          <w:tab/>
        </w:r>
        <w:r w:rsidR="00C83535">
          <w:rPr>
            <w:noProof/>
            <w:webHidden/>
          </w:rPr>
          <w:fldChar w:fldCharType="begin"/>
        </w:r>
        <w:r w:rsidR="00C83535">
          <w:rPr>
            <w:noProof/>
            <w:webHidden/>
          </w:rPr>
          <w:instrText xml:space="preserve"> PAGEREF _Toc161830108 \h </w:instrText>
        </w:r>
        <w:r w:rsidR="00C83535">
          <w:rPr>
            <w:noProof/>
            <w:webHidden/>
          </w:rPr>
        </w:r>
        <w:r w:rsidR="00C83535">
          <w:rPr>
            <w:noProof/>
            <w:webHidden/>
          </w:rPr>
          <w:fldChar w:fldCharType="separate"/>
        </w:r>
        <w:r w:rsidR="00C83535">
          <w:rPr>
            <w:noProof/>
            <w:webHidden/>
          </w:rPr>
          <w:t>25</w:t>
        </w:r>
        <w:r w:rsidR="00C83535">
          <w:rPr>
            <w:noProof/>
            <w:webHidden/>
          </w:rPr>
          <w:fldChar w:fldCharType="end"/>
        </w:r>
      </w:hyperlink>
    </w:p>
    <w:p w14:paraId="52D881F8" w14:textId="1B63D671" w:rsidR="00C83535" w:rsidRDefault="00000000">
      <w:pPr>
        <w:pStyle w:val="TM4"/>
        <w:tabs>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09" w:history="1">
        <w:r w:rsidR="00C83535" w:rsidRPr="00756369">
          <w:rPr>
            <w:rStyle w:val="Hyperlien"/>
            <w:noProof/>
          </w:rPr>
          <w:t>C. Intervention</w:t>
        </w:r>
        <w:r w:rsidR="00C83535">
          <w:rPr>
            <w:noProof/>
            <w:webHidden/>
          </w:rPr>
          <w:tab/>
        </w:r>
        <w:r w:rsidR="00C83535">
          <w:rPr>
            <w:noProof/>
            <w:webHidden/>
          </w:rPr>
          <w:fldChar w:fldCharType="begin"/>
        </w:r>
        <w:r w:rsidR="00C83535">
          <w:rPr>
            <w:noProof/>
            <w:webHidden/>
          </w:rPr>
          <w:instrText xml:space="preserve"> PAGEREF _Toc161830109 \h </w:instrText>
        </w:r>
        <w:r w:rsidR="00C83535">
          <w:rPr>
            <w:noProof/>
            <w:webHidden/>
          </w:rPr>
        </w:r>
        <w:r w:rsidR="00C83535">
          <w:rPr>
            <w:noProof/>
            <w:webHidden/>
          </w:rPr>
          <w:fldChar w:fldCharType="separate"/>
        </w:r>
        <w:r w:rsidR="00C83535">
          <w:rPr>
            <w:noProof/>
            <w:webHidden/>
          </w:rPr>
          <w:t>25</w:t>
        </w:r>
        <w:r w:rsidR="00C83535">
          <w:rPr>
            <w:noProof/>
            <w:webHidden/>
          </w:rPr>
          <w:fldChar w:fldCharType="end"/>
        </w:r>
      </w:hyperlink>
    </w:p>
    <w:p w14:paraId="56FEEA86" w14:textId="60A696CF" w:rsidR="00C83535" w:rsidRDefault="00000000">
      <w:pPr>
        <w:pStyle w:val="TM1"/>
        <w:tabs>
          <w:tab w:val="left" w:pos="7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0" w:history="1">
        <w:r w:rsidR="00C83535" w:rsidRPr="00756369">
          <w:rPr>
            <w:rStyle w:val="Hyperlien"/>
            <w:noProof/>
          </w:rPr>
          <w:t>IV.</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ANALYSIS</w:t>
        </w:r>
        <w:r w:rsidR="00C83535">
          <w:rPr>
            <w:noProof/>
            <w:webHidden/>
          </w:rPr>
          <w:tab/>
        </w:r>
        <w:r w:rsidR="00C83535">
          <w:rPr>
            <w:noProof/>
            <w:webHidden/>
          </w:rPr>
          <w:fldChar w:fldCharType="begin"/>
        </w:r>
        <w:r w:rsidR="00C83535">
          <w:rPr>
            <w:noProof/>
            <w:webHidden/>
          </w:rPr>
          <w:instrText xml:space="preserve"> PAGEREF _Toc161830110 \h </w:instrText>
        </w:r>
        <w:r w:rsidR="00C83535">
          <w:rPr>
            <w:noProof/>
            <w:webHidden/>
          </w:rPr>
        </w:r>
        <w:r w:rsidR="00C83535">
          <w:rPr>
            <w:noProof/>
            <w:webHidden/>
          </w:rPr>
          <w:fldChar w:fldCharType="separate"/>
        </w:r>
        <w:r w:rsidR="00C83535">
          <w:rPr>
            <w:noProof/>
            <w:webHidden/>
          </w:rPr>
          <w:t>25</w:t>
        </w:r>
        <w:r w:rsidR="00C83535">
          <w:rPr>
            <w:noProof/>
            <w:webHidden/>
          </w:rPr>
          <w:fldChar w:fldCharType="end"/>
        </w:r>
      </w:hyperlink>
    </w:p>
    <w:p w14:paraId="0C77F1F2" w14:textId="5DB7C770" w:rsidR="00C83535" w:rsidRDefault="00000000">
      <w:pPr>
        <w:pStyle w:val="TM4"/>
        <w:tabs>
          <w:tab w:val="left" w:pos="120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1" w:history="1">
        <w:r w:rsidR="00C83535" w:rsidRPr="00756369">
          <w:rPr>
            <w:rStyle w:val="Hyperlien"/>
            <w:noProof/>
          </w:rPr>
          <w:t>A.</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Principal Appeal</w:t>
        </w:r>
        <w:r w:rsidR="00C83535">
          <w:rPr>
            <w:noProof/>
            <w:webHidden/>
          </w:rPr>
          <w:tab/>
        </w:r>
        <w:r w:rsidR="00C83535">
          <w:rPr>
            <w:noProof/>
            <w:webHidden/>
          </w:rPr>
          <w:fldChar w:fldCharType="begin"/>
        </w:r>
        <w:r w:rsidR="00C83535">
          <w:rPr>
            <w:noProof/>
            <w:webHidden/>
          </w:rPr>
          <w:instrText xml:space="preserve"> PAGEREF _Toc161830111 \h </w:instrText>
        </w:r>
        <w:r w:rsidR="00C83535">
          <w:rPr>
            <w:noProof/>
            <w:webHidden/>
          </w:rPr>
        </w:r>
        <w:r w:rsidR="00C83535">
          <w:rPr>
            <w:noProof/>
            <w:webHidden/>
          </w:rPr>
          <w:fldChar w:fldCharType="separate"/>
        </w:r>
        <w:r w:rsidR="00C83535">
          <w:rPr>
            <w:noProof/>
            <w:webHidden/>
          </w:rPr>
          <w:t>25</w:t>
        </w:r>
        <w:r w:rsidR="00C83535">
          <w:rPr>
            <w:noProof/>
            <w:webHidden/>
          </w:rPr>
          <w:fldChar w:fldCharType="end"/>
        </w:r>
      </w:hyperlink>
    </w:p>
    <w:p w14:paraId="70898D87" w14:textId="5D03D3F1" w:rsidR="00C83535" w:rsidRDefault="00000000">
      <w:pPr>
        <w:pStyle w:val="TM5"/>
        <w:tabs>
          <w:tab w:val="left" w:pos="1440"/>
        </w:tabs>
        <w:rPr>
          <w:rFonts w:asciiTheme="minorHAnsi" w:eastAsiaTheme="minorEastAsia" w:hAnsiTheme="minorHAnsi" w:cstheme="minorBidi"/>
          <w:noProof/>
          <w:kern w:val="2"/>
          <w:sz w:val="22"/>
          <w:szCs w:val="22"/>
          <w:lang w:eastAsia="fr-CA"/>
          <w14:ligatures w14:val="standardContextual"/>
        </w:rPr>
      </w:pPr>
      <w:hyperlink w:anchor="_Toc161830112" w:history="1">
        <w:r w:rsidR="00C83535" w:rsidRPr="00756369">
          <w:rPr>
            <w:rStyle w:val="Hyperlien"/>
            <w:noProof/>
          </w:rPr>
          <w:t>1.</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Did the trial judge err in his interpretation of section 23.2 of the Regulation?</w:t>
        </w:r>
        <w:r w:rsidR="00C83535">
          <w:rPr>
            <w:noProof/>
            <w:webHidden/>
          </w:rPr>
          <w:tab/>
        </w:r>
        <w:r w:rsidR="00C83535">
          <w:rPr>
            <w:noProof/>
            <w:webHidden/>
          </w:rPr>
          <w:fldChar w:fldCharType="begin"/>
        </w:r>
        <w:r w:rsidR="00C83535">
          <w:rPr>
            <w:noProof/>
            <w:webHidden/>
          </w:rPr>
          <w:instrText xml:space="preserve"> PAGEREF _Toc161830112 \h </w:instrText>
        </w:r>
        <w:r w:rsidR="00C83535">
          <w:rPr>
            <w:noProof/>
            <w:webHidden/>
          </w:rPr>
        </w:r>
        <w:r w:rsidR="00C83535">
          <w:rPr>
            <w:noProof/>
            <w:webHidden/>
          </w:rPr>
          <w:fldChar w:fldCharType="separate"/>
        </w:r>
        <w:r w:rsidR="00C83535">
          <w:rPr>
            <w:noProof/>
            <w:webHidden/>
          </w:rPr>
          <w:t>25</w:t>
        </w:r>
        <w:r w:rsidR="00C83535">
          <w:rPr>
            <w:noProof/>
            <w:webHidden/>
          </w:rPr>
          <w:fldChar w:fldCharType="end"/>
        </w:r>
      </w:hyperlink>
    </w:p>
    <w:p w14:paraId="68077238" w14:textId="66A3512D" w:rsidR="00C83535" w:rsidRDefault="00000000">
      <w:pPr>
        <w:pStyle w:val="TM6"/>
        <w:tabs>
          <w:tab w:val="left" w:pos="19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3" w:history="1">
        <w:r w:rsidR="00C83535" w:rsidRPr="00756369">
          <w:rPr>
            <w:rStyle w:val="Hyperlien"/>
            <w:i/>
            <w:iCs/>
            <w:noProof/>
            <w:lang w:val="en-CA"/>
          </w:rPr>
          <w:t>1.1</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i/>
            <w:iCs/>
            <w:noProof/>
            <w:lang w:val="en-CA"/>
          </w:rPr>
          <w:t>Did the trial judge err in failing to read section 23.1 and paragraph 2 of section 23.2 of the Regulation together?</w:t>
        </w:r>
        <w:r w:rsidR="00C83535">
          <w:rPr>
            <w:noProof/>
            <w:webHidden/>
          </w:rPr>
          <w:tab/>
        </w:r>
        <w:r w:rsidR="00C83535">
          <w:rPr>
            <w:noProof/>
            <w:webHidden/>
          </w:rPr>
          <w:fldChar w:fldCharType="begin"/>
        </w:r>
        <w:r w:rsidR="00C83535">
          <w:rPr>
            <w:noProof/>
            <w:webHidden/>
          </w:rPr>
          <w:instrText xml:space="preserve"> PAGEREF _Toc161830113 \h </w:instrText>
        </w:r>
        <w:r w:rsidR="00C83535">
          <w:rPr>
            <w:noProof/>
            <w:webHidden/>
          </w:rPr>
        </w:r>
        <w:r w:rsidR="00C83535">
          <w:rPr>
            <w:noProof/>
            <w:webHidden/>
          </w:rPr>
          <w:fldChar w:fldCharType="separate"/>
        </w:r>
        <w:r w:rsidR="00C83535">
          <w:rPr>
            <w:noProof/>
            <w:webHidden/>
          </w:rPr>
          <w:t>27</w:t>
        </w:r>
        <w:r w:rsidR="00C83535">
          <w:rPr>
            <w:noProof/>
            <w:webHidden/>
          </w:rPr>
          <w:fldChar w:fldCharType="end"/>
        </w:r>
      </w:hyperlink>
    </w:p>
    <w:p w14:paraId="00B5CA0E" w14:textId="3318BCDF" w:rsidR="00C83535" w:rsidRDefault="00000000">
      <w:pPr>
        <w:pStyle w:val="TM6"/>
        <w:tabs>
          <w:tab w:val="left" w:pos="19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4" w:history="1">
        <w:r w:rsidR="00C83535" w:rsidRPr="00756369">
          <w:rPr>
            <w:rStyle w:val="Hyperlien"/>
            <w:i/>
            <w:iCs/>
            <w:noProof/>
            <w:lang w:val="en-CA"/>
          </w:rPr>
          <w:t>1.2</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i/>
            <w:iCs/>
            <w:noProof/>
            <w:lang w:val="en-CA"/>
          </w:rPr>
          <w:t>Did the trial judge err in interpreting the condition of having “evaluated or followed the child” contained in paragraph 2 of section 23.2 of the Regulation as being in the nature of a medical treatment?</w:t>
        </w:r>
        <w:r w:rsidR="00C83535">
          <w:rPr>
            <w:noProof/>
            <w:webHidden/>
          </w:rPr>
          <w:tab/>
        </w:r>
        <w:r w:rsidR="00C83535">
          <w:rPr>
            <w:noProof/>
            <w:webHidden/>
          </w:rPr>
          <w:fldChar w:fldCharType="begin"/>
        </w:r>
        <w:r w:rsidR="00C83535">
          <w:rPr>
            <w:noProof/>
            <w:webHidden/>
          </w:rPr>
          <w:instrText xml:space="preserve"> PAGEREF _Toc161830114 \h </w:instrText>
        </w:r>
        <w:r w:rsidR="00C83535">
          <w:rPr>
            <w:noProof/>
            <w:webHidden/>
          </w:rPr>
        </w:r>
        <w:r w:rsidR="00C83535">
          <w:rPr>
            <w:noProof/>
            <w:webHidden/>
          </w:rPr>
          <w:fldChar w:fldCharType="separate"/>
        </w:r>
        <w:r w:rsidR="00C83535">
          <w:rPr>
            <w:noProof/>
            <w:webHidden/>
          </w:rPr>
          <w:t>30</w:t>
        </w:r>
        <w:r w:rsidR="00C83535">
          <w:rPr>
            <w:noProof/>
            <w:webHidden/>
          </w:rPr>
          <w:fldChar w:fldCharType="end"/>
        </w:r>
      </w:hyperlink>
    </w:p>
    <w:p w14:paraId="59152A4A" w14:textId="4F162778" w:rsidR="00C83535" w:rsidRDefault="00000000">
      <w:pPr>
        <w:pStyle w:val="TM6"/>
        <w:tabs>
          <w:tab w:val="left" w:pos="19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5" w:history="1">
        <w:r w:rsidR="00C83535" w:rsidRPr="00756369">
          <w:rPr>
            <w:rStyle w:val="Hyperlien"/>
            <w:noProof/>
          </w:rPr>
          <w:t>1.3</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Did the judge read into paragraph 2 of section 23.2 of the Regulation a requirement that the professional be knowledgeable about transgender and non-binary reality?</w:t>
        </w:r>
        <w:r w:rsidR="00C83535">
          <w:rPr>
            <w:noProof/>
            <w:webHidden/>
          </w:rPr>
          <w:tab/>
        </w:r>
        <w:r w:rsidR="00C83535">
          <w:rPr>
            <w:noProof/>
            <w:webHidden/>
          </w:rPr>
          <w:fldChar w:fldCharType="begin"/>
        </w:r>
        <w:r w:rsidR="00C83535">
          <w:rPr>
            <w:noProof/>
            <w:webHidden/>
          </w:rPr>
          <w:instrText xml:space="preserve"> PAGEREF _Toc161830115 \h </w:instrText>
        </w:r>
        <w:r w:rsidR="00C83535">
          <w:rPr>
            <w:noProof/>
            <w:webHidden/>
          </w:rPr>
        </w:r>
        <w:r w:rsidR="00C83535">
          <w:rPr>
            <w:noProof/>
            <w:webHidden/>
          </w:rPr>
          <w:fldChar w:fldCharType="separate"/>
        </w:r>
        <w:r w:rsidR="00C83535">
          <w:rPr>
            <w:noProof/>
            <w:webHidden/>
          </w:rPr>
          <w:t>33</w:t>
        </w:r>
        <w:r w:rsidR="00C83535">
          <w:rPr>
            <w:noProof/>
            <w:webHidden/>
          </w:rPr>
          <w:fldChar w:fldCharType="end"/>
        </w:r>
      </w:hyperlink>
    </w:p>
    <w:p w14:paraId="1C04435C" w14:textId="6A13570D" w:rsidR="00C83535" w:rsidRDefault="00000000">
      <w:pPr>
        <w:pStyle w:val="TM5"/>
        <w:tabs>
          <w:tab w:val="left" w:pos="1440"/>
        </w:tabs>
        <w:rPr>
          <w:rFonts w:asciiTheme="minorHAnsi" w:eastAsiaTheme="minorEastAsia" w:hAnsiTheme="minorHAnsi" w:cstheme="minorBidi"/>
          <w:noProof/>
          <w:kern w:val="2"/>
          <w:sz w:val="22"/>
          <w:szCs w:val="22"/>
          <w:lang w:eastAsia="fr-CA"/>
          <w14:ligatures w14:val="standardContextual"/>
        </w:rPr>
      </w:pPr>
      <w:hyperlink w:anchor="_Toc161830116" w:history="1">
        <w:r w:rsidR="00C83535" w:rsidRPr="00756369">
          <w:rPr>
            <w:rStyle w:val="Hyperlien"/>
            <w:noProof/>
          </w:rPr>
          <w:t>2.</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Section 23.2 of the Regulation and the Rights Guaranteed by the Canadian Charter and the Quebec Charter</w:t>
        </w:r>
        <w:r w:rsidR="00C83535">
          <w:rPr>
            <w:noProof/>
            <w:webHidden/>
          </w:rPr>
          <w:tab/>
        </w:r>
        <w:r w:rsidR="00C83535">
          <w:rPr>
            <w:noProof/>
            <w:webHidden/>
          </w:rPr>
          <w:fldChar w:fldCharType="begin"/>
        </w:r>
        <w:r w:rsidR="00C83535">
          <w:rPr>
            <w:noProof/>
            <w:webHidden/>
          </w:rPr>
          <w:instrText xml:space="preserve"> PAGEREF _Toc161830116 \h </w:instrText>
        </w:r>
        <w:r w:rsidR="00C83535">
          <w:rPr>
            <w:noProof/>
            <w:webHidden/>
          </w:rPr>
        </w:r>
        <w:r w:rsidR="00C83535">
          <w:rPr>
            <w:noProof/>
            <w:webHidden/>
          </w:rPr>
          <w:fldChar w:fldCharType="separate"/>
        </w:r>
        <w:r w:rsidR="00C83535">
          <w:rPr>
            <w:noProof/>
            <w:webHidden/>
          </w:rPr>
          <w:t>33</w:t>
        </w:r>
        <w:r w:rsidR="00C83535">
          <w:rPr>
            <w:noProof/>
            <w:webHidden/>
          </w:rPr>
          <w:fldChar w:fldCharType="end"/>
        </w:r>
      </w:hyperlink>
    </w:p>
    <w:p w14:paraId="6A98E3A1" w14:textId="3E002010" w:rsidR="00C83535" w:rsidRDefault="00000000">
      <w:pPr>
        <w:pStyle w:val="TM6"/>
        <w:tabs>
          <w:tab w:val="left" w:pos="19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7" w:history="1">
        <w:r w:rsidR="00C83535" w:rsidRPr="00756369">
          <w:rPr>
            <w:rStyle w:val="Hyperlien"/>
            <w:noProof/>
          </w:rPr>
          <w:t>2.1</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The Right to Equality</w:t>
        </w:r>
        <w:r w:rsidR="00C83535">
          <w:rPr>
            <w:noProof/>
            <w:webHidden/>
          </w:rPr>
          <w:tab/>
        </w:r>
        <w:r w:rsidR="00C83535">
          <w:rPr>
            <w:noProof/>
            <w:webHidden/>
          </w:rPr>
          <w:fldChar w:fldCharType="begin"/>
        </w:r>
        <w:r w:rsidR="00C83535">
          <w:rPr>
            <w:noProof/>
            <w:webHidden/>
          </w:rPr>
          <w:instrText xml:space="preserve"> PAGEREF _Toc161830117 \h </w:instrText>
        </w:r>
        <w:r w:rsidR="00C83535">
          <w:rPr>
            <w:noProof/>
            <w:webHidden/>
          </w:rPr>
        </w:r>
        <w:r w:rsidR="00C83535">
          <w:rPr>
            <w:noProof/>
            <w:webHidden/>
          </w:rPr>
          <w:fldChar w:fldCharType="separate"/>
        </w:r>
        <w:r w:rsidR="00C83535">
          <w:rPr>
            <w:noProof/>
            <w:webHidden/>
          </w:rPr>
          <w:t>34</w:t>
        </w:r>
        <w:r w:rsidR="00C83535">
          <w:rPr>
            <w:noProof/>
            <w:webHidden/>
          </w:rPr>
          <w:fldChar w:fldCharType="end"/>
        </w:r>
      </w:hyperlink>
    </w:p>
    <w:p w14:paraId="06619512" w14:textId="1D9AF0E8" w:rsidR="00C83535" w:rsidRDefault="00000000">
      <w:pPr>
        <w:pStyle w:val="TM6"/>
        <w:tabs>
          <w:tab w:val="left" w:pos="19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8" w:history="1">
        <w:r w:rsidR="00C83535" w:rsidRPr="00756369">
          <w:rPr>
            <w:rStyle w:val="Hyperlien"/>
            <w:noProof/>
          </w:rPr>
          <w:t>2.2</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The Right to the Safeguard of One’s Dignity</w:t>
        </w:r>
        <w:r w:rsidR="00C83535">
          <w:rPr>
            <w:noProof/>
            <w:webHidden/>
          </w:rPr>
          <w:tab/>
        </w:r>
        <w:r w:rsidR="00C83535">
          <w:rPr>
            <w:noProof/>
            <w:webHidden/>
          </w:rPr>
          <w:fldChar w:fldCharType="begin"/>
        </w:r>
        <w:r w:rsidR="00C83535">
          <w:rPr>
            <w:noProof/>
            <w:webHidden/>
          </w:rPr>
          <w:instrText xml:space="preserve"> PAGEREF _Toc161830118 \h </w:instrText>
        </w:r>
        <w:r w:rsidR="00C83535">
          <w:rPr>
            <w:noProof/>
            <w:webHidden/>
          </w:rPr>
        </w:r>
        <w:r w:rsidR="00C83535">
          <w:rPr>
            <w:noProof/>
            <w:webHidden/>
          </w:rPr>
          <w:fldChar w:fldCharType="separate"/>
        </w:r>
        <w:r w:rsidR="00C83535">
          <w:rPr>
            <w:noProof/>
            <w:webHidden/>
          </w:rPr>
          <w:t>39</w:t>
        </w:r>
        <w:r w:rsidR="00C83535">
          <w:rPr>
            <w:noProof/>
            <w:webHidden/>
          </w:rPr>
          <w:fldChar w:fldCharType="end"/>
        </w:r>
      </w:hyperlink>
    </w:p>
    <w:p w14:paraId="68A0977F" w14:textId="6F80FBC5" w:rsidR="00C83535" w:rsidRDefault="00000000">
      <w:pPr>
        <w:pStyle w:val="TM6"/>
        <w:tabs>
          <w:tab w:val="left" w:pos="19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19" w:history="1">
        <w:r w:rsidR="00C83535" w:rsidRPr="00756369">
          <w:rPr>
            <w:rStyle w:val="Hyperlien"/>
            <w:noProof/>
          </w:rPr>
          <w:t>2.3</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The Right to Life, Liberty and Security of the Person</w:t>
        </w:r>
        <w:r w:rsidR="00C83535">
          <w:rPr>
            <w:noProof/>
            <w:webHidden/>
          </w:rPr>
          <w:tab/>
        </w:r>
        <w:r w:rsidR="00C83535">
          <w:rPr>
            <w:noProof/>
            <w:webHidden/>
          </w:rPr>
          <w:fldChar w:fldCharType="begin"/>
        </w:r>
        <w:r w:rsidR="00C83535">
          <w:rPr>
            <w:noProof/>
            <w:webHidden/>
          </w:rPr>
          <w:instrText xml:space="preserve"> PAGEREF _Toc161830119 \h </w:instrText>
        </w:r>
        <w:r w:rsidR="00C83535">
          <w:rPr>
            <w:noProof/>
            <w:webHidden/>
          </w:rPr>
        </w:r>
        <w:r w:rsidR="00C83535">
          <w:rPr>
            <w:noProof/>
            <w:webHidden/>
          </w:rPr>
          <w:fldChar w:fldCharType="separate"/>
        </w:r>
        <w:r w:rsidR="00C83535">
          <w:rPr>
            <w:noProof/>
            <w:webHidden/>
          </w:rPr>
          <w:t>41</w:t>
        </w:r>
        <w:r w:rsidR="00C83535">
          <w:rPr>
            <w:noProof/>
            <w:webHidden/>
          </w:rPr>
          <w:fldChar w:fldCharType="end"/>
        </w:r>
      </w:hyperlink>
    </w:p>
    <w:p w14:paraId="73E0D9AC" w14:textId="3E3B234E" w:rsidR="00C83535" w:rsidRDefault="00000000">
      <w:pPr>
        <w:pStyle w:val="TM6"/>
        <w:tabs>
          <w:tab w:val="left" w:pos="192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20" w:history="1">
        <w:r w:rsidR="00C83535" w:rsidRPr="00756369">
          <w:rPr>
            <w:rStyle w:val="Hyperlien"/>
            <w:noProof/>
          </w:rPr>
          <w:t xml:space="preserve">2.4 </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Justification</w:t>
        </w:r>
        <w:r w:rsidR="00C83535">
          <w:rPr>
            <w:noProof/>
            <w:webHidden/>
          </w:rPr>
          <w:tab/>
        </w:r>
        <w:r w:rsidR="00C83535">
          <w:rPr>
            <w:noProof/>
            <w:webHidden/>
          </w:rPr>
          <w:fldChar w:fldCharType="begin"/>
        </w:r>
        <w:r w:rsidR="00C83535">
          <w:rPr>
            <w:noProof/>
            <w:webHidden/>
          </w:rPr>
          <w:instrText xml:space="preserve"> PAGEREF _Toc161830120 \h </w:instrText>
        </w:r>
        <w:r w:rsidR="00C83535">
          <w:rPr>
            <w:noProof/>
            <w:webHidden/>
          </w:rPr>
        </w:r>
        <w:r w:rsidR="00C83535">
          <w:rPr>
            <w:noProof/>
            <w:webHidden/>
          </w:rPr>
          <w:fldChar w:fldCharType="separate"/>
        </w:r>
        <w:r w:rsidR="00C83535">
          <w:rPr>
            <w:noProof/>
            <w:webHidden/>
          </w:rPr>
          <w:t>42</w:t>
        </w:r>
        <w:r w:rsidR="00C83535">
          <w:rPr>
            <w:noProof/>
            <w:webHidden/>
          </w:rPr>
          <w:fldChar w:fldCharType="end"/>
        </w:r>
      </w:hyperlink>
    </w:p>
    <w:p w14:paraId="140B82F7" w14:textId="64563EFD" w:rsidR="00C83535" w:rsidRDefault="00000000">
      <w:pPr>
        <w:pStyle w:val="TM4"/>
        <w:tabs>
          <w:tab w:val="left" w:pos="1200"/>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21" w:history="1">
        <w:r w:rsidR="00C83535" w:rsidRPr="00756369">
          <w:rPr>
            <w:rStyle w:val="Hyperlien"/>
            <w:noProof/>
          </w:rPr>
          <w:t>B.</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Incidental Appeal</w:t>
        </w:r>
        <w:r w:rsidR="00C83535">
          <w:rPr>
            <w:noProof/>
            <w:webHidden/>
          </w:rPr>
          <w:tab/>
        </w:r>
        <w:r w:rsidR="00C83535">
          <w:rPr>
            <w:noProof/>
            <w:webHidden/>
          </w:rPr>
          <w:fldChar w:fldCharType="begin"/>
        </w:r>
        <w:r w:rsidR="00C83535">
          <w:rPr>
            <w:noProof/>
            <w:webHidden/>
          </w:rPr>
          <w:instrText xml:space="preserve"> PAGEREF _Toc161830121 \h </w:instrText>
        </w:r>
        <w:r w:rsidR="00C83535">
          <w:rPr>
            <w:noProof/>
            <w:webHidden/>
          </w:rPr>
        </w:r>
        <w:r w:rsidR="00C83535">
          <w:rPr>
            <w:noProof/>
            <w:webHidden/>
          </w:rPr>
          <w:fldChar w:fldCharType="separate"/>
        </w:r>
        <w:r w:rsidR="00C83535">
          <w:rPr>
            <w:noProof/>
            <w:webHidden/>
          </w:rPr>
          <w:t>50</w:t>
        </w:r>
        <w:r w:rsidR="00C83535">
          <w:rPr>
            <w:noProof/>
            <w:webHidden/>
          </w:rPr>
          <w:fldChar w:fldCharType="end"/>
        </w:r>
      </w:hyperlink>
    </w:p>
    <w:p w14:paraId="18ABEB5D" w14:textId="49B6977D" w:rsidR="00C83535" w:rsidRDefault="00000000">
      <w:pPr>
        <w:pStyle w:val="TM5"/>
        <w:tabs>
          <w:tab w:val="left" w:pos="1440"/>
        </w:tabs>
        <w:rPr>
          <w:rFonts w:asciiTheme="minorHAnsi" w:eastAsiaTheme="minorEastAsia" w:hAnsiTheme="minorHAnsi" w:cstheme="minorBidi"/>
          <w:noProof/>
          <w:kern w:val="2"/>
          <w:sz w:val="22"/>
          <w:szCs w:val="22"/>
          <w:lang w:eastAsia="fr-CA"/>
          <w14:ligatures w14:val="standardContextual"/>
        </w:rPr>
      </w:pPr>
      <w:hyperlink w:anchor="_Toc161830122" w:history="1">
        <w:r w:rsidR="00C83535" w:rsidRPr="00756369">
          <w:rPr>
            <w:rStyle w:val="Hyperlien"/>
            <w:noProof/>
          </w:rPr>
          <w:t>1.</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Did the trial judge err in holding that article 62 C.C.Q. did not breach transgender minors’ right to equality of guaranteed by section 15 of the Canadian Charter?</w:t>
        </w:r>
        <w:r w:rsidR="00C83535">
          <w:rPr>
            <w:noProof/>
            <w:webHidden/>
          </w:rPr>
          <w:tab/>
        </w:r>
        <w:r w:rsidR="00C83535">
          <w:rPr>
            <w:noProof/>
            <w:webHidden/>
          </w:rPr>
          <w:fldChar w:fldCharType="begin"/>
        </w:r>
        <w:r w:rsidR="00C83535">
          <w:rPr>
            <w:noProof/>
            <w:webHidden/>
          </w:rPr>
          <w:instrText xml:space="preserve"> PAGEREF _Toc161830122 \h </w:instrText>
        </w:r>
        <w:r w:rsidR="00C83535">
          <w:rPr>
            <w:noProof/>
            <w:webHidden/>
          </w:rPr>
        </w:r>
        <w:r w:rsidR="00C83535">
          <w:rPr>
            <w:noProof/>
            <w:webHidden/>
          </w:rPr>
          <w:fldChar w:fldCharType="separate"/>
        </w:r>
        <w:r w:rsidR="00C83535">
          <w:rPr>
            <w:noProof/>
            <w:webHidden/>
          </w:rPr>
          <w:t>50</w:t>
        </w:r>
        <w:r w:rsidR="00C83535">
          <w:rPr>
            <w:noProof/>
            <w:webHidden/>
          </w:rPr>
          <w:fldChar w:fldCharType="end"/>
        </w:r>
      </w:hyperlink>
    </w:p>
    <w:p w14:paraId="16711A04" w14:textId="324FF888" w:rsidR="00C83535" w:rsidRDefault="00000000">
      <w:pPr>
        <w:pStyle w:val="TM5"/>
        <w:tabs>
          <w:tab w:val="left" w:pos="1440"/>
        </w:tabs>
        <w:rPr>
          <w:rFonts w:asciiTheme="minorHAnsi" w:eastAsiaTheme="minorEastAsia" w:hAnsiTheme="minorHAnsi" w:cstheme="minorBidi"/>
          <w:noProof/>
          <w:kern w:val="2"/>
          <w:sz w:val="22"/>
          <w:szCs w:val="22"/>
          <w:lang w:eastAsia="fr-CA"/>
          <w14:ligatures w14:val="standardContextual"/>
        </w:rPr>
      </w:pPr>
      <w:hyperlink w:anchor="_Toc161830123" w:history="1">
        <w:r w:rsidR="00C83535" w:rsidRPr="00756369">
          <w:rPr>
            <w:rStyle w:val="Hyperlien"/>
            <w:noProof/>
          </w:rPr>
          <w:t>2.</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Change of the Designation of Sex</w:t>
        </w:r>
        <w:r w:rsidR="00C83535">
          <w:rPr>
            <w:noProof/>
            <w:webHidden/>
          </w:rPr>
          <w:tab/>
        </w:r>
        <w:r w:rsidR="00C83535">
          <w:rPr>
            <w:noProof/>
            <w:webHidden/>
          </w:rPr>
          <w:fldChar w:fldCharType="begin"/>
        </w:r>
        <w:r w:rsidR="00C83535">
          <w:rPr>
            <w:noProof/>
            <w:webHidden/>
          </w:rPr>
          <w:instrText xml:space="preserve"> PAGEREF _Toc161830123 \h </w:instrText>
        </w:r>
        <w:r w:rsidR="00C83535">
          <w:rPr>
            <w:noProof/>
            <w:webHidden/>
          </w:rPr>
        </w:r>
        <w:r w:rsidR="00C83535">
          <w:rPr>
            <w:noProof/>
            <w:webHidden/>
          </w:rPr>
          <w:fldChar w:fldCharType="separate"/>
        </w:r>
        <w:r w:rsidR="00C83535">
          <w:rPr>
            <w:noProof/>
            <w:webHidden/>
          </w:rPr>
          <w:t>52</w:t>
        </w:r>
        <w:r w:rsidR="00C83535">
          <w:rPr>
            <w:noProof/>
            <w:webHidden/>
          </w:rPr>
          <w:fldChar w:fldCharType="end"/>
        </w:r>
      </w:hyperlink>
    </w:p>
    <w:p w14:paraId="0BFFCD05" w14:textId="252E4718" w:rsidR="00C83535" w:rsidRDefault="00000000">
      <w:pPr>
        <w:pStyle w:val="TM5"/>
        <w:tabs>
          <w:tab w:val="left" w:pos="1440"/>
        </w:tabs>
        <w:rPr>
          <w:rFonts w:asciiTheme="minorHAnsi" w:eastAsiaTheme="minorEastAsia" w:hAnsiTheme="minorHAnsi" w:cstheme="minorBidi"/>
          <w:noProof/>
          <w:kern w:val="2"/>
          <w:sz w:val="22"/>
          <w:szCs w:val="22"/>
          <w:lang w:eastAsia="fr-CA"/>
          <w14:ligatures w14:val="standardContextual"/>
        </w:rPr>
      </w:pPr>
      <w:hyperlink w:anchor="_Toc161830124" w:history="1">
        <w:r w:rsidR="00C83535" w:rsidRPr="00756369">
          <w:rPr>
            <w:rStyle w:val="Hyperlien"/>
            <w:noProof/>
          </w:rPr>
          <w:t>3.</w:t>
        </w:r>
        <w:r w:rsidR="00C83535">
          <w:rPr>
            <w:rFonts w:asciiTheme="minorHAnsi" w:eastAsiaTheme="minorEastAsia" w:hAnsiTheme="minorHAnsi" w:cstheme="minorBidi"/>
            <w:noProof/>
            <w:kern w:val="2"/>
            <w:sz w:val="22"/>
            <w:szCs w:val="22"/>
            <w:lang w:eastAsia="fr-CA"/>
            <w14:ligatures w14:val="standardContextual"/>
          </w:rPr>
          <w:tab/>
        </w:r>
        <w:r w:rsidR="00C83535" w:rsidRPr="00756369">
          <w:rPr>
            <w:rStyle w:val="Hyperlien"/>
            <w:noProof/>
          </w:rPr>
          <w:t>The Correlation Between the Change of Name and the Change of Designation of Sex</w:t>
        </w:r>
        <w:r w:rsidR="00C83535">
          <w:rPr>
            <w:noProof/>
            <w:webHidden/>
          </w:rPr>
          <w:tab/>
        </w:r>
        <w:r w:rsidR="00C83535">
          <w:rPr>
            <w:noProof/>
            <w:webHidden/>
          </w:rPr>
          <w:fldChar w:fldCharType="begin"/>
        </w:r>
        <w:r w:rsidR="00C83535">
          <w:rPr>
            <w:noProof/>
            <w:webHidden/>
          </w:rPr>
          <w:instrText xml:space="preserve"> PAGEREF _Toc161830124 \h </w:instrText>
        </w:r>
        <w:r w:rsidR="00C83535">
          <w:rPr>
            <w:noProof/>
            <w:webHidden/>
          </w:rPr>
        </w:r>
        <w:r w:rsidR="00C83535">
          <w:rPr>
            <w:noProof/>
            <w:webHidden/>
          </w:rPr>
          <w:fldChar w:fldCharType="separate"/>
        </w:r>
        <w:r w:rsidR="00C83535">
          <w:rPr>
            <w:noProof/>
            <w:webHidden/>
          </w:rPr>
          <w:t>54</w:t>
        </w:r>
        <w:r w:rsidR="00C83535">
          <w:rPr>
            <w:noProof/>
            <w:webHidden/>
          </w:rPr>
          <w:fldChar w:fldCharType="end"/>
        </w:r>
      </w:hyperlink>
    </w:p>
    <w:p w14:paraId="6F68E9D1" w14:textId="63363FBA" w:rsidR="00C83535" w:rsidRDefault="00000000">
      <w:pPr>
        <w:pStyle w:val="TM9"/>
        <w:tabs>
          <w:tab w:val="right" w:leader="dot" w:pos="9352"/>
        </w:tabs>
        <w:rPr>
          <w:rFonts w:asciiTheme="minorHAnsi" w:eastAsiaTheme="minorEastAsia" w:hAnsiTheme="minorHAnsi" w:cstheme="minorBidi"/>
          <w:noProof/>
          <w:kern w:val="2"/>
          <w:sz w:val="22"/>
          <w:szCs w:val="22"/>
          <w:lang w:eastAsia="fr-CA"/>
          <w14:ligatures w14:val="standardContextual"/>
        </w:rPr>
      </w:pPr>
      <w:hyperlink w:anchor="_Toc161830125" w:history="1">
        <w:r w:rsidR="00C83535" w:rsidRPr="00756369">
          <w:rPr>
            <w:rStyle w:val="Hyperlien"/>
            <w:noProof/>
          </w:rPr>
          <w:t>APPENDIX</w:t>
        </w:r>
        <w:r w:rsidR="00C83535">
          <w:rPr>
            <w:noProof/>
            <w:webHidden/>
          </w:rPr>
          <w:tab/>
        </w:r>
        <w:r w:rsidR="00C83535">
          <w:rPr>
            <w:noProof/>
            <w:webHidden/>
          </w:rPr>
          <w:fldChar w:fldCharType="begin"/>
        </w:r>
        <w:r w:rsidR="00C83535">
          <w:rPr>
            <w:noProof/>
            <w:webHidden/>
          </w:rPr>
          <w:instrText xml:space="preserve"> PAGEREF _Toc161830125 \h </w:instrText>
        </w:r>
        <w:r w:rsidR="00C83535">
          <w:rPr>
            <w:noProof/>
            <w:webHidden/>
          </w:rPr>
        </w:r>
        <w:r w:rsidR="00C83535">
          <w:rPr>
            <w:noProof/>
            <w:webHidden/>
          </w:rPr>
          <w:fldChar w:fldCharType="separate"/>
        </w:r>
        <w:r w:rsidR="00C83535">
          <w:rPr>
            <w:noProof/>
            <w:webHidden/>
          </w:rPr>
          <w:t>61</w:t>
        </w:r>
        <w:r w:rsidR="00C83535">
          <w:rPr>
            <w:noProof/>
            <w:webHidden/>
          </w:rPr>
          <w:fldChar w:fldCharType="end"/>
        </w:r>
      </w:hyperlink>
    </w:p>
    <w:p w14:paraId="54C8937B" w14:textId="26DEEF30" w:rsidR="009A51C4" w:rsidRPr="00515AA2" w:rsidRDefault="002B2EC3">
      <w:pPr>
        <w:spacing w:line="240" w:lineRule="auto"/>
        <w:rPr>
          <w:color w:val="000000"/>
        </w:rPr>
      </w:pPr>
      <w:r w:rsidRPr="00515AA2">
        <w:rPr>
          <w:color w:val="000000"/>
        </w:rPr>
        <w:fldChar w:fldCharType="end"/>
      </w:r>
      <w:r w:rsidR="009A51C4" w:rsidRPr="00515AA2">
        <w:rPr>
          <w:color w:val="000000"/>
        </w:rPr>
        <w:br w:type="page"/>
      </w:r>
    </w:p>
    <w:p w14:paraId="6507A497" w14:textId="77777777" w:rsidR="009A51C4" w:rsidRPr="00515AA2" w:rsidRDefault="009A51C4">
      <w:pPr>
        <w:rPr>
          <w:color w:val="000000"/>
        </w:rPr>
      </w:pPr>
    </w:p>
    <w:tbl>
      <w:tblPr>
        <w:tblW w:w="9360" w:type="dxa"/>
        <w:tblLayout w:type="fixed"/>
        <w:tblCellMar>
          <w:left w:w="0" w:type="dxa"/>
          <w:right w:w="0" w:type="dxa"/>
        </w:tblCellMar>
        <w:tblLook w:val="0000" w:firstRow="0" w:lastRow="0" w:firstColumn="0" w:lastColumn="0" w:noHBand="0" w:noVBand="0"/>
      </w:tblPr>
      <w:tblGrid>
        <w:gridCol w:w="9360"/>
      </w:tblGrid>
      <w:tr w:rsidR="00515AA2" w:rsidRPr="00515AA2" w14:paraId="554A9997" w14:textId="77777777" w:rsidTr="008D18FC">
        <w:tc>
          <w:tcPr>
            <w:tcW w:w="9360" w:type="dxa"/>
          </w:tcPr>
          <w:p w14:paraId="09F9F577" w14:textId="2908E1BB" w:rsidR="008F364A" w:rsidRPr="00515AA2" w:rsidRDefault="008F364A">
            <w:pPr>
              <w:rPr>
                <w:color w:val="000000"/>
                <w:lang w:val="en-CA"/>
              </w:rPr>
            </w:pPr>
          </w:p>
        </w:tc>
      </w:tr>
      <w:tr w:rsidR="00515AA2" w:rsidRPr="00515AA2" w14:paraId="6E5FFDCE" w14:textId="77777777" w:rsidTr="008D18FC">
        <w:tc>
          <w:tcPr>
            <w:tcW w:w="9360" w:type="dxa"/>
            <w:tcBorders>
              <w:top w:val="single" w:sz="8" w:space="0" w:color="auto"/>
            </w:tcBorders>
          </w:tcPr>
          <w:p w14:paraId="29F31B03" w14:textId="77777777" w:rsidR="008F364A" w:rsidRPr="00515AA2" w:rsidRDefault="008F364A">
            <w:pPr>
              <w:rPr>
                <w:color w:val="000000"/>
                <w:lang w:val="en-CA"/>
              </w:rPr>
            </w:pPr>
            <w:bookmarkStart w:id="11" w:name="Arret"/>
          </w:p>
        </w:tc>
      </w:tr>
      <w:tr w:rsidR="00515AA2" w:rsidRPr="00C83535" w14:paraId="45E8E8B2" w14:textId="77777777" w:rsidTr="008D18FC">
        <w:tc>
          <w:tcPr>
            <w:tcW w:w="9360" w:type="dxa"/>
          </w:tcPr>
          <w:p w14:paraId="7398BF1E" w14:textId="0CBFEAA1" w:rsidR="008F364A" w:rsidRPr="00515AA2" w:rsidRDefault="001B5381">
            <w:pPr>
              <w:pStyle w:val="zSoquijlblTypeDocument"/>
              <w:rPr>
                <w:color w:val="000000"/>
                <w:lang w:val="en-CA"/>
              </w:rPr>
            </w:pPr>
            <w:r w:rsidRPr="00515AA2">
              <w:rPr>
                <w:color w:val="000000"/>
                <w:lang w:val="en-CA"/>
              </w:rPr>
              <w:t>REASONS OF</w:t>
            </w:r>
            <w:r w:rsidR="005C653C" w:rsidRPr="00515AA2">
              <w:rPr>
                <w:color w:val="000000"/>
                <w:lang w:val="en-CA"/>
              </w:rPr>
              <w:t xml:space="preserve"> MARCOTTE </w:t>
            </w:r>
            <w:r w:rsidRPr="00515AA2">
              <w:rPr>
                <w:color w:val="000000"/>
                <w:lang w:val="en-CA"/>
              </w:rPr>
              <w:t>AND</w:t>
            </w:r>
            <w:r w:rsidR="005C653C" w:rsidRPr="00515AA2">
              <w:rPr>
                <w:color w:val="000000"/>
                <w:lang w:val="en-CA"/>
              </w:rPr>
              <w:t xml:space="preserve"> HOGUE</w:t>
            </w:r>
            <w:r w:rsidRPr="00515AA2">
              <w:rPr>
                <w:color w:val="000000"/>
                <w:lang w:val="en-CA"/>
              </w:rPr>
              <w:t>, JJ.A.</w:t>
            </w:r>
          </w:p>
        </w:tc>
      </w:tr>
      <w:tr w:rsidR="00515AA2" w:rsidRPr="00C83535" w14:paraId="44388B89" w14:textId="77777777" w:rsidTr="008D18FC">
        <w:tc>
          <w:tcPr>
            <w:tcW w:w="9360" w:type="dxa"/>
            <w:tcBorders>
              <w:bottom w:val="single" w:sz="8" w:space="0" w:color="auto"/>
            </w:tcBorders>
          </w:tcPr>
          <w:p w14:paraId="1333C5D1" w14:textId="77777777" w:rsidR="008F364A" w:rsidRPr="00515AA2" w:rsidRDefault="008F364A">
            <w:pPr>
              <w:rPr>
                <w:color w:val="000000"/>
                <w:lang w:val="en-CA"/>
              </w:rPr>
            </w:pPr>
          </w:p>
        </w:tc>
      </w:tr>
      <w:tr w:rsidR="00515AA2" w:rsidRPr="00C83535" w14:paraId="7143B499" w14:textId="77777777" w:rsidTr="008D18FC">
        <w:tc>
          <w:tcPr>
            <w:tcW w:w="9360" w:type="dxa"/>
            <w:tcBorders>
              <w:top w:val="single" w:sz="8" w:space="0" w:color="auto"/>
            </w:tcBorders>
          </w:tcPr>
          <w:p w14:paraId="484DF1D8" w14:textId="77777777" w:rsidR="008F364A" w:rsidRPr="00515AA2" w:rsidRDefault="008F364A">
            <w:pPr>
              <w:rPr>
                <w:color w:val="000000"/>
                <w:lang w:val="en-CA"/>
              </w:rPr>
            </w:pPr>
          </w:p>
        </w:tc>
      </w:tr>
    </w:tbl>
    <w:p w14:paraId="0D35F346" w14:textId="2BAB58F1" w:rsidR="00044434" w:rsidRPr="00515AA2" w:rsidRDefault="001B5381" w:rsidP="00AB54C6">
      <w:pPr>
        <w:pStyle w:val="Paragraphe"/>
        <w:tabs>
          <w:tab w:val="clear" w:pos="360"/>
        </w:tabs>
        <w:spacing w:before="140" w:after="140" w:line="240" w:lineRule="auto"/>
        <w:rPr>
          <w:color w:val="000000"/>
          <w:lang w:val="en-CA"/>
        </w:rPr>
      </w:pPr>
      <w:r w:rsidRPr="00515AA2">
        <w:rPr>
          <w:color w:val="000000"/>
          <w:lang w:val="en-CA"/>
        </w:rPr>
        <w:t xml:space="preserve">This appeal </w:t>
      </w:r>
      <w:r w:rsidR="00F122C6" w:rsidRPr="00515AA2">
        <w:rPr>
          <w:color w:val="000000"/>
          <w:lang w:val="en-CA"/>
        </w:rPr>
        <w:t xml:space="preserve">is concerned with the validity of the requirements imposed </w:t>
      </w:r>
      <w:r w:rsidR="00B46227" w:rsidRPr="00515AA2">
        <w:rPr>
          <w:color w:val="000000"/>
          <w:lang w:val="en-CA"/>
        </w:rPr>
        <w:t>by the legislat</w:t>
      </w:r>
      <w:r w:rsidR="002C7FEF" w:rsidRPr="00515AA2">
        <w:rPr>
          <w:color w:val="000000"/>
          <w:lang w:val="en-CA"/>
        </w:rPr>
        <w:t>or</w:t>
      </w:r>
      <w:r w:rsidR="00B46227" w:rsidRPr="00515AA2">
        <w:rPr>
          <w:color w:val="000000"/>
          <w:lang w:val="en-CA"/>
        </w:rPr>
        <w:t xml:space="preserve"> </w:t>
      </w:r>
      <w:r w:rsidR="00F122C6" w:rsidRPr="00515AA2">
        <w:rPr>
          <w:color w:val="000000"/>
          <w:lang w:val="en-CA"/>
        </w:rPr>
        <w:t xml:space="preserve">upon transgender or non-binary minors of 14 years of age </w:t>
      </w:r>
      <w:r w:rsidR="00E82E6B" w:rsidRPr="00515AA2">
        <w:rPr>
          <w:color w:val="000000"/>
          <w:lang w:val="en-CA"/>
        </w:rPr>
        <w:t>or</w:t>
      </w:r>
      <w:r w:rsidR="00F122C6" w:rsidRPr="00515AA2">
        <w:rPr>
          <w:color w:val="000000"/>
          <w:lang w:val="en-CA"/>
        </w:rPr>
        <w:t xml:space="preserve"> over</w:t>
      </w:r>
      <w:r w:rsidR="000F0DAA" w:rsidRPr="00515AA2">
        <w:rPr>
          <w:color w:val="000000"/>
          <w:lang w:val="en-CA"/>
        </w:rPr>
        <w:t xml:space="preserve"> </w:t>
      </w:r>
      <w:r w:rsidR="00F122C6" w:rsidRPr="00515AA2">
        <w:rPr>
          <w:color w:val="000000"/>
          <w:lang w:val="en-CA"/>
        </w:rPr>
        <w:t>who wish to change the designation of their sex or one or more of their given names in their acts of civil status</w:t>
      </w:r>
      <w:r w:rsidR="000F0DAA" w:rsidRPr="00515AA2">
        <w:rPr>
          <w:color w:val="000000"/>
          <w:lang w:val="en-CA"/>
        </w:rPr>
        <w:t>.</w:t>
      </w:r>
    </w:p>
    <w:p w14:paraId="734BD0CB" w14:textId="1FDD34E0" w:rsidR="00D0530A" w:rsidRPr="00515AA2" w:rsidRDefault="00B46227" w:rsidP="00AB54C6">
      <w:pPr>
        <w:pStyle w:val="Titre1"/>
        <w:spacing w:before="140" w:after="140" w:line="240" w:lineRule="auto"/>
        <w:rPr>
          <w:color w:val="000000"/>
        </w:rPr>
      </w:pPr>
      <w:bookmarkStart w:id="12" w:name="_Toc161830098"/>
      <w:r w:rsidRPr="00515AA2">
        <w:rPr>
          <w:color w:val="000000"/>
        </w:rPr>
        <w:t>BACKGROUND</w:t>
      </w:r>
      <w:bookmarkEnd w:id="12"/>
    </w:p>
    <w:p w14:paraId="3E95FBF3" w14:textId="50145CE6" w:rsidR="00E5761A" w:rsidRPr="00515AA2" w:rsidRDefault="00E5761A" w:rsidP="00AB54C6">
      <w:pPr>
        <w:pStyle w:val="Titre2"/>
        <w:spacing w:before="140" w:after="140" w:line="240" w:lineRule="auto"/>
        <w:rPr>
          <w:color w:val="000000"/>
        </w:rPr>
      </w:pPr>
      <w:bookmarkStart w:id="13" w:name="_Toc161830099"/>
      <w:r w:rsidRPr="00515AA2">
        <w:rPr>
          <w:color w:val="000000"/>
        </w:rPr>
        <w:t xml:space="preserve">Description </w:t>
      </w:r>
      <w:r w:rsidR="00B46227" w:rsidRPr="00515AA2">
        <w:rPr>
          <w:color w:val="000000"/>
        </w:rPr>
        <w:t>of the P</w:t>
      </w:r>
      <w:r w:rsidRPr="00515AA2">
        <w:rPr>
          <w:color w:val="000000"/>
        </w:rPr>
        <w:t>arties</w:t>
      </w:r>
      <w:bookmarkEnd w:id="13"/>
    </w:p>
    <w:p w14:paraId="4505AB09" w14:textId="1B3334E2" w:rsidR="00E47D2F" w:rsidRPr="00515AA2" w:rsidRDefault="00B46227" w:rsidP="00AB54C6">
      <w:pPr>
        <w:pStyle w:val="Paragraphe"/>
        <w:tabs>
          <w:tab w:val="clear" w:pos="360"/>
        </w:tabs>
        <w:spacing w:before="140" w:after="140" w:line="240" w:lineRule="auto"/>
        <w:rPr>
          <w:color w:val="000000"/>
          <w:lang w:val="en-CA"/>
        </w:rPr>
      </w:pPr>
      <w:r w:rsidRPr="00515AA2">
        <w:rPr>
          <w:color w:val="000000"/>
          <w:lang w:val="en-CA"/>
        </w:rPr>
        <w:t>Several organizations and persons are parties to the appeal</w:t>
      </w:r>
      <w:r w:rsidR="005A0B0E" w:rsidRPr="00515AA2">
        <w:rPr>
          <w:color w:val="000000"/>
          <w:lang w:val="en-CA"/>
        </w:rPr>
        <w:t>,</w:t>
      </w:r>
      <w:r w:rsidRPr="00515AA2">
        <w:rPr>
          <w:color w:val="000000"/>
          <w:lang w:val="en-CA"/>
        </w:rPr>
        <w:t xml:space="preserve"> and </w:t>
      </w:r>
      <w:r w:rsidR="00B52B93" w:rsidRPr="00515AA2">
        <w:rPr>
          <w:color w:val="000000"/>
          <w:lang w:val="en-CA"/>
        </w:rPr>
        <w:t>it is useful to begin by describing them</w:t>
      </w:r>
      <w:r w:rsidR="00E47D2F" w:rsidRPr="00515AA2">
        <w:rPr>
          <w:color w:val="000000"/>
          <w:lang w:val="en-CA"/>
        </w:rPr>
        <w:t>.</w:t>
      </w:r>
    </w:p>
    <w:p w14:paraId="6DE9A589" w14:textId="5B6B4532" w:rsidR="003E4EEC" w:rsidRPr="00515AA2" w:rsidRDefault="00B52B93" w:rsidP="00AB54C6">
      <w:pPr>
        <w:pStyle w:val="Paragraphe"/>
        <w:tabs>
          <w:tab w:val="clear" w:pos="360"/>
        </w:tabs>
        <w:spacing w:before="140" w:after="140" w:line="240" w:lineRule="auto"/>
        <w:rPr>
          <w:color w:val="000000"/>
          <w:lang w:val="en-CA"/>
        </w:rPr>
      </w:pPr>
      <w:r w:rsidRPr="00515AA2">
        <w:rPr>
          <w:color w:val="000000"/>
          <w:lang w:val="en-CA"/>
        </w:rPr>
        <w:t>The</w:t>
      </w:r>
      <w:r w:rsidR="00050982" w:rsidRPr="00515AA2">
        <w:rPr>
          <w:color w:val="000000"/>
          <w:lang w:val="en-CA"/>
        </w:rPr>
        <w:t xml:space="preserve"> </w:t>
      </w:r>
      <w:r w:rsidR="002A0C93" w:rsidRPr="00515AA2">
        <w:rPr>
          <w:color w:val="000000"/>
          <w:lang w:val="en-CA"/>
        </w:rPr>
        <w:t>Centre for Gender Advocacy (the “</w:t>
      </w:r>
      <w:r w:rsidR="002A0C93" w:rsidRPr="00515AA2">
        <w:rPr>
          <w:b/>
          <w:bCs/>
          <w:color w:val="000000"/>
          <w:lang w:val="en-CA"/>
        </w:rPr>
        <w:t>Centre</w:t>
      </w:r>
      <w:r w:rsidR="002A0C93" w:rsidRPr="00515AA2">
        <w:rPr>
          <w:color w:val="000000"/>
          <w:lang w:val="en-CA"/>
        </w:rPr>
        <w:t xml:space="preserve">”) </w:t>
      </w:r>
      <w:r w:rsidRPr="00515AA2">
        <w:rPr>
          <w:color w:val="000000"/>
          <w:lang w:val="en-CA"/>
        </w:rPr>
        <w:t xml:space="preserve">is a Concordia University non-profit organization whose mandate is to promote gender equality and empowerment, especially within marginalized communities. The respondents Samuel Singer </w:t>
      </w:r>
      <w:r w:rsidR="00501C6A" w:rsidRPr="00515AA2">
        <w:rPr>
          <w:color w:val="000000"/>
          <w:lang w:val="en-CA"/>
        </w:rPr>
        <w:t>(“</w:t>
      </w:r>
      <w:r w:rsidR="00501C6A" w:rsidRPr="00515AA2">
        <w:rPr>
          <w:b/>
          <w:bCs/>
          <w:color w:val="000000"/>
          <w:lang w:val="en-CA"/>
        </w:rPr>
        <w:t>Singer</w:t>
      </w:r>
      <w:r w:rsidR="00501C6A" w:rsidRPr="00515AA2">
        <w:rPr>
          <w:color w:val="000000"/>
          <w:lang w:val="en-CA"/>
        </w:rPr>
        <w:t xml:space="preserve">”) </w:t>
      </w:r>
      <w:r w:rsidRPr="00515AA2">
        <w:rPr>
          <w:color w:val="000000"/>
          <w:lang w:val="en-CA"/>
        </w:rPr>
        <w:t>and Jenna Michelle Jacob</w:t>
      </w:r>
      <w:r w:rsidR="00501C6A" w:rsidRPr="00515AA2">
        <w:rPr>
          <w:color w:val="000000"/>
          <w:lang w:val="en-CA"/>
        </w:rPr>
        <w:t>s (“</w:t>
      </w:r>
      <w:r w:rsidR="00501C6A" w:rsidRPr="00515AA2">
        <w:rPr>
          <w:b/>
          <w:bCs/>
          <w:color w:val="000000"/>
          <w:lang w:val="en-CA"/>
        </w:rPr>
        <w:t>Jacobs</w:t>
      </w:r>
      <w:r w:rsidR="00501C6A" w:rsidRPr="00515AA2">
        <w:rPr>
          <w:color w:val="000000"/>
          <w:lang w:val="en-CA"/>
        </w:rPr>
        <w:t>”)</w:t>
      </w:r>
      <w:r w:rsidRPr="00515AA2">
        <w:rPr>
          <w:color w:val="000000"/>
          <w:lang w:val="en-CA"/>
        </w:rPr>
        <w:t xml:space="preserve"> are, respectively, a non-binary person and a transgender person, that is to say people whose gender identity </w:t>
      </w:r>
      <w:r w:rsidR="001C4A81" w:rsidRPr="00515AA2">
        <w:rPr>
          <w:color w:val="000000"/>
          <w:lang w:val="en-CA"/>
        </w:rPr>
        <w:t xml:space="preserve">does not correspond </w:t>
      </w:r>
      <w:r w:rsidR="00B83208" w:rsidRPr="00515AA2">
        <w:rPr>
          <w:color w:val="000000"/>
          <w:lang w:val="en-CA"/>
        </w:rPr>
        <w:t>to the</w:t>
      </w:r>
      <w:r w:rsidRPr="00515AA2">
        <w:rPr>
          <w:color w:val="000000"/>
          <w:lang w:val="en-CA"/>
        </w:rPr>
        <w:t xml:space="preserve"> sex indicated on their act of birth</w:t>
      </w:r>
      <w:r w:rsidR="00076B31" w:rsidRPr="00515AA2">
        <w:rPr>
          <w:color w:val="000000"/>
          <w:lang w:val="en-CA"/>
        </w:rPr>
        <w:t>;</w:t>
      </w:r>
      <w:r w:rsidRPr="00515AA2">
        <w:rPr>
          <w:color w:val="000000"/>
          <w:lang w:val="en-CA"/>
        </w:rPr>
        <w:t xml:space="preserve"> the respondents Sarah Blumel and Elizabeth Heller are their respective partners</w:t>
      </w:r>
      <w:r w:rsidR="003E4EEC" w:rsidRPr="00515AA2">
        <w:rPr>
          <w:color w:val="000000"/>
          <w:lang w:val="en-CA"/>
        </w:rPr>
        <w:t>.</w:t>
      </w:r>
    </w:p>
    <w:p w14:paraId="3780693D" w14:textId="7B61AA31" w:rsidR="003E4EEC" w:rsidRPr="00515AA2" w:rsidRDefault="007364F5" w:rsidP="00AB54C6">
      <w:pPr>
        <w:pStyle w:val="Paragraphe"/>
        <w:tabs>
          <w:tab w:val="clear" w:pos="360"/>
        </w:tabs>
        <w:spacing w:before="140" w:after="140" w:line="240" w:lineRule="auto"/>
        <w:rPr>
          <w:color w:val="000000"/>
          <w:lang w:val="en-CA"/>
        </w:rPr>
      </w:pPr>
      <w:r w:rsidRPr="00515AA2">
        <w:rPr>
          <w:color w:val="000000"/>
          <w:lang w:val="en-CA"/>
        </w:rPr>
        <w:t>The</w:t>
      </w:r>
      <w:r w:rsidR="005B184F" w:rsidRPr="00515AA2">
        <w:rPr>
          <w:color w:val="000000"/>
          <w:lang w:val="en-CA"/>
        </w:rPr>
        <w:t xml:space="preserve"> </w:t>
      </w:r>
      <w:r w:rsidRPr="00515AA2">
        <w:rPr>
          <w:color w:val="000000"/>
          <w:lang w:val="en-CA"/>
        </w:rPr>
        <w:t xml:space="preserve">impleaded parties are also non-profit organizations. </w:t>
      </w:r>
      <w:r w:rsidR="00F54F4C" w:rsidRPr="00515AA2">
        <w:rPr>
          <w:color w:val="000000"/>
          <w:lang w:val="en-CA"/>
        </w:rPr>
        <w:t>Egale Canada (formerly know</w:t>
      </w:r>
      <w:r w:rsidR="008A4691">
        <w:rPr>
          <w:color w:val="000000"/>
          <w:lang w:val="en-CA"/>
        </w:rPr>
        <w:t>n</w:t>
      </w:r>
      <w:r w:rsidR="00F54F4C" w:rsidRPr="00515AA2">
        <w:rPr>
          <w:color w:val="000000"/>
          <w:lang w:val="en-CA"/>
        </w:rPr>
        <w:t xml:space="preserve"> as</w:t>
      </w:r>
      <w:r w:rsidRPr="00515AA2">
        <w:rPr>
          <w:color w:val="000000"/>
          <w:lang w:val="en-CA"/>
        </w:rPr>
        <w:t xml:space="preserve"> Egale Canada Human Rights Trust</w:t>
      </w:r>
      <w:r w:rsidR="00F54F4C" w:rsidRPr="00515AA2">
        <w:rPr>
          <w:color w:val="000000"/>
          <w:lang w:val="en-CA"/>
        </w:rPr>
        <w:t>)</w:t>
      </w:r>
      <w:r w:rsidRPr="00515AA2">
        <w:rPr>
          <w:color w:val="000000"/>
          <w:lang w:val="en-CA"/>
        </w:rPr>
        <w:t xml:space="preserve"> engages in the defense of the rights and interests of the 2SLGBTQI</w:t>
      </w:r>
      <w:r w:rsidR="00886EBD" w:rsidRPr="00515AA2">
        <w:rPr>
          <w:color w:val="000000"/>
          <w:lang w:val="en-CA"/>
        </w:rPr>
        <w:t>+</w:t>
      </w:r>
      <w:r w:rsidRPr="00515AA2">
        <w:rPr>
          <w:color w:val="000000"/>
          <w:lang w:val="en-CA"/>
        </w:rPr>
        <w:t xml:space="preserve"> community in Canada and internationally, while </w:t>
      </w:r>
      <w:r w:rsidR="008A4691" w:rsidRPr="008A4691">
        <w:rPr>
          <w:color w:val="000000"/>
          <w:lang w:val="en-CA"/>
        </w:rPr>
        <w:t>Gender Creative Kids</w:t>
      </w:r>
      <w:r w:rsidRPr="00515AA2">
        <w:rPr>
          <w:color w:val="000000"/>
          <w:lang w:val="en-CA"/>
        </w:rPr>
        <w:t xml:space="preserve"> (“</w:t>
      </w:r>
      <w:r w:rsidR="008A4691">
        <w:rPr>
          <w:b/>
          <w:bCs/>
          <w:color w:val="000000"/>
          <w:lang w:val="en-CA"/>
        </w:rPr>
        <w:t>GCK</w:t>
      </w:r>
      <w:r w:rsidRPr="00515AA2">
        <w:rPr>
          <w:color w:val="000000"/>
          <w:lang w:val="en-CA"/>
        </w:rPr>
        <w:t>”) promotes the rights and interest</w:t>
      </w:r>
      <w:r w:rsidR="00076B31" w:rsidRPr="00515AA2">
        <w:rPr>
          <w:color w:val="000000"/>
          <w:lang w:val="en-CA"/>
        </w:rPr>
        <w:t>s</w:t>
      </w:r>
      <w:r w:rsidRPr="00515AA2">
        <w:rPr>
          <w:color w:val="000000"/>
          <w:lang w:val="en-CA"/>
        </w:rPr>
        <w:t xml:space="preserve"> of transgender and non-binary children and offers them and their families support, information and other resources</w:t>
      </w:r>
      <w:r w:rsidR="005A59C7" w:rsidRPr="00515AA2">
        <w:rPr>
          <w:color w:val="000000"/>
          <w:lang w:val="en-CA"/>
        </w:rPr>
        <w:t>.</w:t>
      </w:r>
    </w:p>
    <w:p w14:paraId="5452155C" w14:textId="522C28D3" w:rsidR="00317EF0" w:rsidRPr="00515AA2" w:rsidRDefault="00A9557B" w:rsidP="00AB54C6">
      <w:pPr>
        <w:pStyle w:val="Paragraphe"/>
        <w:tabs>
          <w:tab w:val="clear" w:pos="360"/>
        </w:tabs>
        <w:spacing w:before="140" w:after="140" w:line="240" w:lineRule="auto"/>
        <w:rPr>
          <w:color w:val="000000"/>
          <w:lang w:val="en-CA"/>
        </w:rPr>
      </w:pPr>
      <w:r w:rsidRPr="00515AA2">
        <w:rPr>
          <w:color w:val="000000"/>
          <w:lang w:val="en-CA"/>
        </w:rPr>
        <w:t>Final</w:t>
      </w:r>
      <w:r w:rsidR="007364F5" w:rsidRPr="00515AA2">
        <w:rPr>
          <w:color w:val="000000"/>
          <w:lang w:val="en-CA"/>
        </w:rPr>
        <w:t>ly</w:t>
      </w:r>
      <w:r w:rsidRPr="00515AA2">
        <w:rPr>
          <w:color w:val="000000"/>
          <w:lang w:val="en-CA"/>
        </w:rPr>
        <w:t xml:space="preserve">, </w:t>
      </w:r>
      <w:r w:rsidR="007364F5" w:rsidRPr="00515AA2">
        <w:rPr>
          <w:color w:val="000000"/>
          <w:lang w:val="en-CA"/>
        </w:rPr>
        <w:t>the intervener, Coalition des professionnels en santé trans et non binaire (“</w:t>
      </w:r>
      <w:r w:rsidR="007364F5" w:rsidRPr="00515AA2">
        <w:rPr>
          <w:b/>
          <w:bCs/>
          <w:color w:val="000000"/>
          <w:lang w:val="en-CA"/>
        </w:rPr>
        <w:t>Coalition des professionnels en santé</w:t>
      </w:r>
      <w:r w:rsidR="007364F5" w:rsidRPr="00515AA2">
        <w:rPr>
          <w:color w:val="000000"/>
          <w:lang w:val="en-CA"/>
        </w:rPr>
        <w:t>”), comprises health professionals working in various specialties with Quebec’s transgender and non-binary community</w:t>
      </w:r>
      <w:r w:rsidR="00572D3C" w:rsidRPr="00515AA2">
        <w:rPr>
          <w:color w:val="000000"/>
          <w:lang w:val="en-CA"/>
        </w:rPr>
        <w:t>.</w:t>
      </w:r>
    </w:p>
    <w:p w14:paraId="6C0A6035" w14:textId="2CC0B298" w:rsidR="002B18E4" w:rsidRPr="00515AA2" w:rsidRDefault="007364F5" w:rsidP="00AB54C6">
      <w:pPr>
        <w:pStyle w:val="Titre2"/>
        <w:spacing w:before="140" w:after="140" w:line="240" w:lineRule="auto"/>
        <w:rPr>
          <w:color w:val="000000"/>
        </w:rPr>
      </w:pPr>
      <w:bookmarkStart w:id="14" w:name="_Toc161830100"/>
      <w:bookmarkStart w:id="15" w:name="_Hlk146814668"/>
      <w:r w:rsidRPr="00515AA2">
        <w:rPr>
          <w:color w:val="000000"/>
        </w:rPr>
        <w:t>Procedural History</w:t>
      </w:r>
      <w:bookmarkEnd w:id="14"/>
    </w:p>
    <w:bookmarkEnd w:id="15"/>
    <w:p w14:paraId="6519BFC5" w14:textId="752B2409" w:rsidR="00351B63" w:rsidRPr="00515AA2" w:rsidRDefault="007364F5" w:rsidP="00AB54C6">
      <w:pPr>
        <w:pStyle w:val="Paragraphe"/>
        <w:tabs>
          <w:tab w:val="clear" w:pos="360"/>
        </w:tabs>
        <w:spacing w:before="140" w:after="140" w:line="240" w:lineRule="auto"/>
        <w:rPr>
          <w:color w:val="000000"/>
          <w:lang w:val="en-CA"/>
        </w:rPr>
      </w:pPr>
      <w:r w:rsidRPr="00515AA2">
        <w:rPr>
          <w:color w:val="000000"/>
          <w:lang w:val="en-CA"/>
        </w:rPr>
        <w:t>I</w:t>
      </w:r>
      <w:r w:rsidR="000F58BB" w:rsidRPr="00515AA2">
        <w:rPr>
          <w:color w:val="000000"/>
          <w:lang w:val="en-CA"/>
        </w:rPr>
        <w:t xml:space="preserve">n </w:t>
      </w:r>
      <w:r w:rsidRPr="00515AA2">
        <w:rPr>
          <w:color w:val="000000"/>
          <w:lang w:val="en-CA"/>
        </w:rPr>
        <w:t xml:space="preserve">May 2014, the Centre </w:t>
      </w:r>
      <w:r w:rsidR="00076B31" w:rsidRPr="00515AA2">
        <w:rPr>
          <w:color w:val="000000"/>
          <w:lang w:val="en-CA"/>
        </w:rPr>
        <w:t>applied</w:t>
      </w:r>
      <w:r w:rsidRPr="00515AA2">
        <w:rPr>
          <w:color w:val="000000"/>
          <w:lang w:val="en-CA"/>
        </w:rPr>
        <w:t xml:space="preserve"> for a declaratory judgment before the Superior Court to strike down several provisions of the </w:t>
      </w:r>
      <w:r w:rsidR="002A0C93" w:rsidRPr="00515AA2">
        <w:rPr>
          <w:i/>
          <w:iCs/>
          <w:color w:val="000000"/>
          <w:lang w:val="en-CA"/>
        </w:rPr>
        <w:t xml:space="preserve">C.C.Q. </w:t>
      </w:r>
      <w:r w:rsidRPr="00515AA2">
        <w:rPr>
          <w:color w:val="000000"/>
          <w:lang w:val="en-CA"/>
        </w:rPr>
        <w:t>alleging that they prevent</w:t>
      </w:r>
      <w:r w:rsidR="00076B31" w:rsidRPr="00515AA2">
        <w:rPr>
          <w:color w:val="000000"/>
          <w:lang w:val="en-CA"/>
        </w:rPr>
        <w:t>ed</w:t>
      </w:r>
      <w:r w:rsidRPr="00515AA2">
        <w:rPr>
          <w:color w:val="000000"/>
          <w:lang w:val="en-CA"/>
        </w:rPr>
        <w:t xml:space="preserve"> transgender and non-binary </w:t>
      </w:r>
      <w:r w:rsidR="00B83208" w:rsidRPr="00515AA2">
        <w:rPr>
          <w:color w:val="000000"/>
          <w:lang w:val="en-CA"/>
        </w:rPr>
        <w:t xml:space="preserve">persons </w:t>
      </w:r>
      <w:r w:rsidRPr="00515AA2">
        <w:rPr>
          <w:color w:val="000000"/>
          <w:lang w:val="en-CA"/>
        </w:rPr>
        <w:t>from fully participating in society</w:t>
      </w:r>
      <w:r w:rsidR="005A59C7" w:rsidRPr="00515AA2">
        <w:rPr>
          <w:color w:val="000000"/>
          <w:lang w:val="en-CA" w:eastAsia="fr-CA"/>
        </w:rPr>
        <w:t>.</w:t>
      </w:r>
    </w:p>
    <w:p w14:paraId="27DEE5C6" w14:textId="27FAE48C" w:rsidR="00351B63" w:rsidRPr="00515AA2" w:rsidRDefault="007364F5" w:rsidP="00F846E3">
      <w:pPr>
        <w:pStyle w:val="Paragraphe"/>
        <w:tabs>
          <w:tab w:val="clear" w:pos="360"/>
        </w:tabs>
        <w:spacing w:line="280" w:lineRule="exact"/>
        <w:rPr>
          <w:color w:val="000000"/>
          <w:lang w:val="en-CA"/>
        </w:rPr>
      </w:pPr>
      <w:r w:rsidRPr="00515AA2">
        <w:rPr>
          <w:color w:val="000000"/>
          <w:lang w:val="en-CA" w:eastAsia="fr-CA"/>
        </w:rPr>
        <w:lastRenderedPageBreak/>
        <w:t xml:space="preserve">At the time, it challenged </w:t>
      </w:r>
      <w:r w:rsidR="002B70D7" w:rsidRPr="00515AA2">
        <w:rPr>
          <w:color w:val="000000"/>
          <w:lang w:val="en-CA" w:eastAsia="fr-CA"/>
        </w:rPr>
        <w:t>articles</w:t>
      </w:r>
      <w:r w:rsidRPr="00515AA2">
        <w:rPr>
          <w:color w:val="000000"/>
          <w:lang w:val="en-CA" w:eastAsia="fr-CA"/>
        </w:rPr>
        <w:t xml:space="preserve"> 71 and 72 </w:t>
      </w:r>
      <w:r w:rsidRPr="00515AA2">
        <w:rPr>
          <w:i/>
          <w:iCs/>
          <w:color w:val="000000"/>
          <w:lang w:val="en-CA" w:eastAsia="fr-CA"/>
        </w:rPr>
        <w:t>C.C.Q.</w:t>
      </w:r>
      <w:r w:rsidR="00886EBD" w:rsidRPr="00515AA2">
        <w:rPr>
          <w:color w:val="000000"/>
          <w:lang w:val="en-CA" w:eastAsia="fr-CA"/>
        </w:rPr>
        <w:t>,</w:t>
      </w:r>
      <w:r w:rsidRPr="00515AA2">
        <w:rPr>
          <w:color w:val="000000"/>
          <w:lang w:val="en-CA" w:eastAsia="fr-CA"/>
        </w:rPr>
        <w:t xml:space="preserve"> which </w:t>
      </w:r>
      <w:r w:rsidR="005A0B0E" w:rsidRPr="00515AA2">
        <w:rPr>
          <w:color w:val="000000"/>
          <w:lang w:val="en-CA" w:eastAsia="fr-CA"/>
        </w:rPr>
        <w:t>made</w:t>
      </w:r>
      <w:r w:rsidRPr="00515AA2">
        <w:rPr>
          <w:color w:val="000000"/>
          <w:lang w:val="en-CA" w:eastAsia="fr-CA"/>
        </w:rPr>
        <w:t xml:space="preserve"> changing the designation of sex </w:t>
      </w:r>
      <w:r w:rsidR="00E44CEE" w:rsidRPr="00515AA2">
        <w:rPr>
          <w:color w:val="000000"/>
          <w:lang w:val="en-CA" w:eastAsia="fr-CA"/>
        </w:rPr>
        <w:t>that appears</w:t>
      </w:r>
      <w:r w:rsidRPr="00515AA2">
        <w:rPr>
          <w:color w:val="000000"/>
          <w:lang w:val="en-CA" w:eastAsia="fr-CA"/>
        </w:rPr>
        <w:t xml:space="preserve"> </w:t>
      </w:r>
      <w:r w:rsidR="00E44CEE" w:rsidRPr="00515AA2">
        <w:rPr>
          <w:color w:val="000000"/>
          <w:lang w:val="en-CA" w:eastAsia="fr-CA"/>
        </w:rPr>
        <w:t>i</w:t>
      </w:r>
      <w:r w:rsidRPr="00515AA2">
        <w:rPr>
          <w:color w:val="000000"/>
          <w:lang w:val="en-CA" w:eastAsia="fr-CA"/>
        </w:rPr>
        <w:t xml:space="preserve">n an act of birth </w:t>
      </w:r>
      <w:r w:rsidR="005A0B0E" w:rsidRPr="00515AA2">
        <w:rPr>
          <w:color w:val="000000"/>
          <w:lang w:val="en-CA" w:eastAsia="fr-CA"/>
        </w:rPr>
        <w:t xml:space="preserve">conditional </w:t>
      </w:r>
      <w:r w:rsidRPr="00515AA2">
        <w:rPr>
          <w:color w:val="000000"/>
          <w:lang w:val="en-CA" w:eastAsia="fr-CA"/>
        </w:rPr>
        <w:t xml:space="preserve">upon having successfully undergone medical treatment and sexual reassignment surgery, being a Canadian citizen and being at least 18 years of age. It also challenged </w:t>
      </w:r>
      <w:r w:rsidR="00B83208" w:rsidRPr="00515AA2">
        <w:rPr>
          <w:color w:val="000000"/>
          <w:lang w:val="en-CA" w:eastAsia="fr-CA"/>
        </w:rPr>
        <w:t>articles</w:t>
      </w:r>
      <w:r w:rsidRPr="00515AA2">
        <w:rPr>
          <w:color w:val="000000"/>
          <w:lang w:val="en-CA" w:eastAsia="fr-CA"/>
        </w:rPr>
        <w:t xml:space="preserve"> 111, 115 and 116 </w:t>
      </w:r>
      <w:r w:rsidRPr="00515AA2">
        <w:rPr>
          <w:i/>
          <w:iCs/>
          <w:color w:val="000000"/>
          <w:lang w:val="en-CA" w:eastAsia="fr-CA"/>
        </w:rPr>
        <w:t>C.C.Q.</w:t>
      </w:r>
      <w:r w:rsidR="00886EBD" w:rsidRPr="00515AA2">
        <w:rPr>
          <w:color w:val="000000"/>
          <w:lang w:val="en-CA" w:eastAsia="fr-CA"/>
        </w:rPr>
        <w:t>,</w:t>
      </w:r>
      <w:r w:rsidRPr="00515AA2">
        <w:rPr>
          <w:color w:val="000000"/>
          <w:lang w:val="en-CA" w:eastAsia="fr-CA"/>
        </w:rPr>
        <w:t xml:space="preserve"> which required that a person’s sex be designated on acts of birth and death</w:t>
      </w:r>
      <w:r w:rsidR="00351B63" w:rsidRPr="00515AA2">
        <w:rPr>
          <w:color w:val="000000"/>
          <w:lang w:val="en-CA" w:eastAsia="fr-CA"/>
        </w:rPr>
        <w:t>.</w:t>
      </w:r>
    </w:p>
    <w:p w14:paraId="648D5445" w14:textId="251DD76B" w:rsidR="00D00C0C" w:rsidRPr="00515AA2" w:rsidRDefault="000B4805" w:rsidP="00F846E3">
      <w:pPr>
        <w:pStyle w:val="Paragraphe"/>
        <w:tabs>
          <w:tab w:val="clear" w:pos="360"/>
        </w:tabs>
        <w:spacing w:line="280" w:lineRule="exact"/>
        <w:rPr>
          <w:color w:val="000000"/>
          <w:lang w:val="en-CA"/>
        </w:rPr>
      </w:pPr>
      <w:r w:rsidRPr="00515AA2">
        <w:rPr>
          <w:color w:val="000000"/>
          <w:lang w:val="en-CA" w:eastAsia="fr-CA"/>
        </w:rPr>
        <w:t xml:space="preserve">Singer </w:t>
      </w:r>
      <w:r w:rsidR="00886EBD" w:rsidRPr="00515AA2">
        <w:rPr>
          <w:color w:val="000000"/>
          <w:lang w:val="en-CA" w:eastAsia="fr-CA"/>
        </w:rPr>
        <w:t xml:space="preserve">and </w:t>
      </w:r>
      <w:r w:rsidRPr="00515AA2">
        <w:rPr>
          <w:color w:val="000000"/>
          <w:lang w:val="en-CA" w:eastAsia="fr-CA"/>
        </w:rPr>
        <w:t>Jacob</w:t>
      </w:r>
      <w:r w:rsidR="00886EBD" w:rsidRPr="00515AA2">
        <w:rPr>
          <w:color w:val="000000"/>
          <w:lang w:val="en-CA" w:eastAsia="fr-CA"/>
        </w:rPr>
        <w:t>s</w:t>
      </w:r>
      <w:r w:rsidRPr="00515AA2">
        <w:rPr>
          <w:color w:val="000000"/>
          <w:lang w:val="en-CA" w:eastAsia="fr-CA"/>
        </w:rPr>
        <w:t xml:space="preserve"> as well as their partners later joined in that application. In the autumn of 2015, the three impleaded parties, the </w:t>
      </w:r>
      <w:r w:rsidR="008100DD">
        <w:rPr>
          <w:color w:val="000000"/>
          <w:lang w:val="en-CA" w:eastAsia="fr-CA"/>
        </w:rPr>
        <w:t xml:space="preserve">LGBT </w:t>
      </w:r>
      <w:r w:rsidRPr="00515AA2">
        <w:rPr>
          <w:color w:val="000000"/>
          <w:lang w:val="en-CA" w:eastAsia="fr-CA"/>
        </w:rPr>
        <w:t>Family Coalition,</w:t>
      </w:r>
      <w:r w:rsidR="008100DD">
        <w:rPr>
          <w:rStyle w:val="Appelnotedebasdep"/>
          <w:color w:val="000000"/>
          <w:lang w:eastAsia="fr-CA"/>
        </w:rPr>
        <w:footnoteReference w:id="1"/>
      </w:r>
      <w:r w:rsidRPr="00515AA2">
        <w:rPr>
          <w:color w:val="000000"/>
          <w:lang w:val="en-CA" w:eastAsia="fr-CA"/>
        </w:rPr>
        <w:t xml:space="preserve"> </w:t>
      </w:r>
      <w:bookmarkStart w:id="16" w:name="_Hlk161657372"/>
      <w:r w:rsidR="00AB54C6">
        <w:rPr>
          <w:color w:val="000000"/>
          <w:lang w:val="en-CA" w:eastAsia="fr-CA"/>
        </w:rPr>
        <w:t>Egale Canada</w:t>
      </w:r>
      <w:r w:rsidRPr="00515AA2">
        <w:rPr>
          <w:color w:val="000000"/>
          <w:lang w:val="en-CA" w:eastAsia="fr-CA"/>
        </w:rPr>
        <w:t xml:space="preserve"> </w:t>
      </w:r>
      <w:bookmarkEnd w:id="16"/>
      <w:r w:rsidRPr="00515AA2">
        <w:rPr>
          <w:color w:val="000000"/>
          <w:lang w:val="en-CA" w:eastAsia="fr-CA"/>
        </w:rPr>
        <w:t xml:space="preserve">and </w:t>
      </w:r>
      <w:r w:rsidR="008100DD">
        <w:rPr>
          <w:color w:val="000000"/>
          <w:lang w:val="en-CA" w:eastAsia="fr-CA"/>
        </w:rPr>
        <w:t>GCK</w:t>
      </w:r>
      <w:r w:rsidRPr="00515AA2">
        <w:rPr>
          <w:color w:val="000000"/>
          <w:lang w:val="en-CA" w:eastAsia="fr-CA"/>
        </w:rPr>
        <w:t xml:space="preserve"> voluntarily intervened in the proceedings.</w:t>
      </w:r>
      <w:r w:rsidR="00D00C0C" w:rsidRPr="00515AA2">
        <w:rPr>
          <w:rStyle w:val="Appelnotedebasdep"/>
          <w:color w:val="000000"/>
          <w:lang w:val="en-CA"/>
        </w:rPr>
        <w:footnoteReference w:id="2"/>
      </w:r>
    </w:p>
    <w:p w14:paraId="136A9A4A" w14:textId="4B6E9A8A" w:rsidR="001B4B82" w:rsidRPr="00515AA2" w:rsidRDefault="00626C7A" w:rsidP="00F846E3">
      <w:pPr>
        <w:pStyle w:val="Paragraphe"/>
        <w:tabs>
          <w:tab w:val="clear" w:pos="360"/>
        </w:tabs>
        <w:spacing w:line="280" w:lineRule="exact"/>
        <w:rPr>
          <w:color w:val="000000"/>
          <w:lang w:val="en-CA"/>
        </w:rPr>
      </w:pPr>
      <w:r w:rsidRPr="00515AA2">
        <w:rPr>
          <w:color w:val="000000"/>
          <w:lang w:val="en-CA" w:eastAsia="fr-CA"/>
        </w:rPr>
        <w:t>The</w:t>
      </w:r>
      <w:r w:rsidR="00D00C0C" w:rsidRPr="00515AA2">
        <w:rPr>
          <w:color w:val="000000"/>
          <w:lang w:val="en-CA" w:eastAsia="fr-CA"/>
        </w:rPr>
        <w:t xml:space="preserve"> </w:t>
      </w:r>
      <w:bookmarkStart w:id="17" w:name="_Ref98861080"/>
      <w:r w:rsidRPr="00515AA2">
        <w:rPr>
          <w:color w:val="000000"/>
          <w:lang w:val="en-CA" w:eastAsia="fr-CA"/>
        </w:rPr>
        <w:t>application was amended a first time to take into account legislative amendments made in 2013, but that came into force on October 1</w:t>
      </w:r>
      <w:r w:rsidRPr="00515AA2">
        <w:rPr>
          <w:color w:val="000000"/>
          <w:vertAlign w:val="superscript"/>
          <w:lang w:val="en-CA" w:eastAsia="fr-CA"/>
        </w:rPr>
        <w:t>st</w:t>
      </w:r>
      <w:r w:rsidRPr="00515AA2">
        <w:rPr>
          <w:color w:val="000000"/>
          <w:lang w:val="en-CA" w:eastAsia="fr-CA"/>
        </w:rPr>
        <w:t xml:space="preserve">, 2015, which </w:t>
      </w:r>
      <w:r w:rsidR="00ED21C0" w:rsidRPr="00515AA2">
        <w:rPr>
          <w:color w:val="000000"/>
          <w:lang w:val="en-CA" w:eastAsia="fr-CA"/>
        </w:rPr>
        <w:t>did away with</w:t>
      </w:r>
      <w:r w:rsidRPr="00515AA2">
        <w:rPr>
          <w:color w:val="000000"/>
          <w:lang w:val="en-CA" w:eastAsia="fr-CA"/>
        </w:rPr>
        <w:t xml:space="preserve"> the requirement of having to undergo medical treatment and surgical operations to be able to have the designation of sex </w:t>
      </w:r>
      <w:r w:rsidR="00E44CEE" w:rsidRPr="00515AA2">
        <w:rPr>
          <w:color w:val="000000"/>
          <w:lang w:val="en-CA" w:eastAsia="fr-CA"/>
        </w:rPr>
        <w:t xml:space="preserve">that </w:t>
      </w:r>
      <w:r w:rsidRPr="00515AA2">
        <w:rPr>
          <w:color w:val="000000"/>
          <w:lang w:val="en-CA" w:eastAsia="fr-CA"/>
        </w:rPr>
        <w:t>appear</w:t>
      </w:r>
      <w:r w:rsidR="00E44CEE" w:rsidRPr="00515AA2">
        <w:rPr>
          <w:color w:val="000000"/>
          <w:lang w:val="en-CA" w:eastAsia="fr-CA"/>
        </w:rPr>
        <w:t>s i</w:t>
      </w:r>
      <w:r w:rsidRPr="00515AA2">
        <w:rPr>
          <w:color w:val="000000"/>
          <w:lang w:val="en-CA" w:eastAsia="fr-CA"/>
        </w:rPr>
        <w:t>n an act of birth changed.</w:t>
      </w:r>
      <w:r w:rsidR="001B4B82" w:rsidRPr="00515AA2">
        <w:rPr>
          <w:rStyle w:val="Appelnotedebasdep"/>
          <w:color w:val="000000"/>
          <w:lang w:val="en-CA" w:eastAsia="fr-CA"/>
        </w:rPr>
        <w:footnoteReference w:id="3"/>
      </w:r>
      <w:bookmarkEnd w:id="17"/>
    </w:p>
    <w:p w14:paraId="2D21A46A" w14:textId="0C101F6B" w:rsidR="00351B63" w:rsidRPr="00515AA2" w:rsidRDefault="00626C7A" w:rsidP="00F846E3">
      <w:pPr>
        <w:pStyle w:val="Paragraphe"/>
        <w:tabs>
          <w:tab w:val="clear" w:pos="360"/>
        </w:tabs>
        <w:spacing w:line="280" w:lineRule="exact"/>
        <w:rPr>
          <w:color w:val="000000"/>
          <w:lang w:val="en-CA"/>
        </w:rPr>
      </w:pPr>
      <w:r w:rsidRPr="00515AA2">
        <w:rPr>
          <w:color w:val="000000"/>
          <w:lang w:val="en-CA" w:eastAsia="fr-CA"/>
        </w:rPr>
        <w:t>The</w:t>
      </w:r>
      <w:r w:rsidR="00693696" w:rsidRPr="00515AA2">
        <w:rPr>
          <w:color w:val="000000"/>
          <w:lang w:val="en-CA" w:eastAsia="fr-CA"/>
        </w:rPr>
        <w:t xml:space="preserve"> </w:t>
      </w:r>
      <w:bookmarkStart w:id="18" w:name="_Ref98835397"/>
      <w:r w:rsidRPr="00515AA2">
        <w:rPr>
          <w:color w:val="000000"/>
          <w:lang w:val="en-CA" w:eastAsia="fr-CA"/>
        </w:rPr>
        <w:t>application was again amended, this time to reflect legislative amendments made in 2016</w:t>
      </w:r>
      <w:bookmarkStart w:id="19" w:name="_Ref157497481"/>
      <w:r w:rsidR="00886EBD" w:rsidRPr="00515AA2">
        <w:rPr>
          <w:color w:val="000000"/>
          <w:lang w:val="en-CA" w:eastAsia="fr-CA"/>
        </w:rPr>
        <w:t>,</w:t>
      </w:r>
      <w:r w:rsidR="00351B63" w:rsidRPr="00515AA2">
        <w:rPr>
          <w:rStyle w:val="Appelnotedebasdep"/>
          <w:color w:val="000000"/>
          <w:lang w:val="en-CA" w:eastAsia="fr-CA"/>
        </w:rPr>
        <w:footnoteReference w:id="4"/>
      </w:r>
      <w:bookmarkEnd w:id="18"/>
      <w:bookmarkEnd w:id="19"/>
      <w:r w:rsidR="008A120D" w:rsidRPr="00515AA2">
        <w:rPr>
          <w:color w:val="000000"/>
          <w:lang w:val="en-CA" w:eastAsia="fr-CA"/>
        </w:rPr>
        <w:t xml:space="preserve"> </w:t>
      </w:r>
      <w:r w:rsidRPr="00515AA2">
        <w:rPr>
          <w:color w:val="000000"/>
          <w:lang w:val="en-CA" w:eastAsia="fr-CA"/>
        </w:rPr>
        <w:t>which add</w:t>
      </w:r>
      <w:r w:rsidR="00ED21C0" w:rsidRPr="00515AA2">
        <w:rPr>
          <w:color w:val="000000"/>
          <w:lang w:val="en-CA" w:eastAsia="fr-CA"/>
        </w:rPr>
        <w:t>ed</w:t>
      </w:r>
      <w:r w:rsidRPr="00515AA2">
        <w:rPr>
          <w:color w:val="000000"/>
          <w:lang w:val="en-CA" w:eastAsia="fr-CA"/>
        </w:rPr>
        <w:t xml:space="preserve"> to </w:t>
      </w:r>
      <w:r w:rsidR="00ED21C0" w:rsidRPr="00515AA2">
        <w:rPr>
          <w:color w:val="000000"/>
          <w:lang w:val="en-CA" w:eastAsia="fr-CA"/>
        </w:rPr>
        <w:t>s</w:t>
      </w:r>
      <w:r w:rsidR="00886EBD" w:rsidRPr="00515AA2">
        <w:rPr>
          <w:color w:val="000000"/>
          <w:lang w:val="en-CA" w:eastAsia="fr-CA"/>
        </w:rPr>
        <w:t>. </w:t>
      </w:r>
      <w:r w:rsidRPr="00515AA2">
        <w:rPr>
          <w:color w:val="000000"/>
          <w:lang w:val="en-CA" w:eastAsia="fr-CA"/>
        </w:rPr>
        <w:t xml:space="preserve">10 of the Quebec </w:t>
      </w:r>
      <w:r w:rsidRPr="00515AA2">
        <w:rPr>
          <w:i/>
          <w:iCs/>
          <w:color w:val="000000"/>
          <w:lang w:val="en-CA" w:eastAsia="fr-CA"/>
        </w:rPr>
        <w:t>Charter of Human Rights and Freedoms</w:t>
      </w:r>
      <w:r w:rsidRPr="00515AA2">
        <w:rPr>
          <w:color w:val="000000"/>
          <w:lang w:val="en-CA" w:eastAsia="fr-CA"/>
        </w:rPr>
        <w:t xml:space="preserve"> (“</w:t>
      </w:r>
      <w:r w:rsidRPr="00515AA2">
        <w:rPr>
          <w:b/>
          <w:bCs/>
          <w:i/>
          <w:iCs/>
          <w:color w:val="000000"/>
          <w:lang w:val="en-CA" w:eastAsia="fr-CA"/>
        </w:rPr>
        <w:t>Quebec Charter</w:t>
      </w:r>
      <w:r w:rsidRPr="00515AA2">
        <w:rPr>
          <w:color w:val="000000"/>
          <w:lang w:val="en-CA" w:eastAsia="fr-CA"/>
        </w:rPr>
        <w:t>”)</w:t>
      </w:r>
      <w:r w:rsidR="00FC34BA" w:rsidRPr="00515AA2">
        <w:rPr>
          <w:color w:val="000000"/>
          <w:vertAlign w:val="superscript"/>
          <w:lang w:val="en-CA"/>
        </w:rPr>
        <w:footnoteReference w:id="5"/>
      </w:r>
      <w:r w:rsidR="00FC34BA" w:rsidRPr="00515AA2">
        <w:rPr>
          <w:color w:val="000000"/>
          <w:lang w:val="en-CA" w:eastAsia="fr-CA"/>
        </w:rPr>
        <w:t xml:space="preserve"> </w:t>
      </w:r>
      <w:r w:rsidRPr="00515AA2">
        <w:rPr>
          <w:color w:val="000000"/>
          <w:lang w:val="en-CA" w:eastAsia="fr-CA"/>
        </w:rPr>
        <w:t xml:space="preserve">gender identity and expression as a protected right and which </w:t>
      </w:r>
      <w:r w:rsidR="005D1382" w:rsidRPr="00515AA2">
        <w:rPr>
          <w:color w:val="000000"/>
          <w:lang w:val="en-CA" w:eastAsia="fr-CA"/>
        </w:rPr>
        <w:t xml:space="preserve">henceforth </w:t>
      </w:r>
      <w:r w:rsidRPr="00515AA2">
        <w:rPr>
          <w:color w:val="000000"/>
          <w:lang w:val="en-CA" w:eastAsia="fr-CA"/>
        </w:rPr>
        <w:t>allow</w:t>
      </w:r>
      <w:r w:rsidR="00ED21C0" w:rsidRPr="00515AA2">
        <w:rPr>
          <w:color w:val="000000"/>
          <w:lang w:val="en-CA" w:eastAsia="fr-CA"/>
        </w:rPr>
        <w:t>ed</w:t>
      </w:r>
      <w:r w:rsidRPr="00515AA2">
        <w:rPr>
          <w:color w:val="000000"/>
          <w:lang w:val="en-CA" w:eastAsia="fr-CA"/>
        </w:rPr>
        <w:t xml:space="preserve"> the designation of sex </w:t>
      </w:r>
      <w:r w:rsidR="00E44CEE" w:rsidRPr="00515AA2">
        <w:rPr>
          <w:color w:val="000000"/>
          <w:lang w:val="en-CA" w:eastAsia="fr-CA"/>
        </w:rPr>
        <w:t xml:space="preserve">that </w:t>
      </w:r>
      <w:r w:rsidRPr="00515AA2">
        <w:rPr>
          <w:color w:val="000000"/>
          <w:lang w:val="en-CA" w:eastAsia="fr-CA"/>
        </w:rPr>
        <w:t>appear</w:t>
      </w:r>
      <w:r w:rsidR="00E44CEE" w:rsidRPr="00515AA2">
        <w:rPr>
          <w:color w:val="000000"/>
          <w:lang w:val="en-CA" w:eastAsia="fr-CA"/>
        </w:rPr>
        <w:t>s i</w:t>
      </w:r>
      <w:r w:rsidRPr="00515AA2">
        <w:rPr>
          <w:color w:val="000000"/>
          <w:lang w:val="en-CA" w:eastAsia="fr-CA"/>
        </w:rPr>
        <w:t>n the</w:t>
      </w:r>
      <w:r w:rsidR="00B83208" w:rsidRPr="00515AA2">
        <w:rPr>
          <w:color w:val="000000"/>
          <w:lang w:val="en-CA" w:eastAsia="fr-CA"/>
        </w:rPr>
        <w:t xml:space="preserve"> </w:t>
      </w:r>
      <w:r w:rsidRPr="00515AA2">
        <w:rPr>
          <w:color w:val="000000"/>
          <w:lang w:val="en-CA" w:eastAsia="fr-CA"/>
        </w:rPr>
        <w:t>act of birth</w:t>
      </w:r>
      <w:r w:rsidR="00ED21C0" w:rsidRPr="00515AA2">
        <w:rPr>
          <w:color w:val="000000"/>
          <w:lang w:val="en-CA" w:eastAsia="fr-CA"/>
        </w:rPr>
        <w:t xml:space="preserve"> </w:t>
      </w:r>
      <w:r w:rsidR="005D1382" w:rsidRPr="00515AA2">
        <w:rPr>
          <w:color w:val="000000"/>
          <w:lang w:val="en-CA" w:eastAsia="fr-CA"/>
        </w:rPr>
        <w:t xml:space="preserve">of a minor to </w:t>
      </w:r>
      <w:r w:rsidR="00ED21C0" w:rsidRPr="00515AA2">
        <w:rPr>
          <w:color w:val="000000"/>
          <w:lang w:val="en-CA" w:eastAsia="fr-CA"/>
        </w:rPr>
        <w:t>be changed</w:t>
      </w:r>
      <w:r w:rsidRPr="00515AA2">
        <w:rPr>
          <w:color w:val="000000"/>
          <w:lang w:val="en-CA" w:eastAsia="fr-CA"/>
        </w:rPr>
        <w:t>.</w:t>
      </w:r>
      <w:r w:rsidR="00351B63" w:rsidRPr="00515AA2">
        <w:rPr>
          <w:rStyle w:val="Appelnotedebasdep"/>
          <w:color w:val="000000"/>
          <w:lang w:val="en-CA" w:eastAsia="fr-CA"/>
        </w:rPr>
        <w:footnoteReference w:id="6"/>
      </w:r>
    </w:p>
    <w:p w14:paraId="180FF00B" w14:textId="78DD1B8E" w:rsidR="00D7160F" w:rsidRPr="00515AA2" w:rsidRDefault="00626C7A" w:rsidP="00F846E3">
      <w:pPr>
        <w:pStyle w:val="Paragraphe"/>
        <w:tabs>
          <w:tab w:val="clear" w:pos="360"/>
        </w:tabs>
        <w:spacing w:line="280" w:lineRule="exact"/>
        <w:rPr>
          <w:color w:val="000000"/>
          <w:lang w:val="en-CA"/>
        </w:rPr>
      </w:pPr>
      <w:r w:rsidRPr="00515AA2">
        <w:rPr>
          <w:color w:val="000000"/>
          <w:lang w:val="en-CA" w:eastAsia="fr-CA"/>
        </w:rPr>
        <w:t>In</w:t>
      </w:r>
      <w:r w:rsidR="00FC7F34" w:rsidRPr="00515AA2">
        <w:rPr>
          <w:color w:val="000000"/>
          <w:lang w:val="en-CA" w:eastAsia="fr-CA"/>
        </w:rPr>
        <w:t xml:space="preserve"> </w:t>
      </w:r>
      <w:r w:rsidRPr="00515AA2">
        <w:rPr>
          <w:color w:val="000000"/>
          <w:lang w:val="en-CA" w:eastAsia="fr-CA"/>
        </w:rPr>
        <w:t>the final version of the application, the respondents challenge</w:t>
      </w:r>
      <w:r w:rsidR="00ED21C0" w:rsidRPr="00515AA2">
        <w:rPr>
          <w:color w:val="000000"/>
          <w:lang w:val="en-CA" w:eastAsia="fr-CA"/>
        </w:rPr>
        <w:t>d</w:t>
      </w:r>
      <w:r w:rsidRPr="00515AA2">
        <w:rPr>
          <w:color w:val="000000"/>
          <w:lang w:val="en-CA" w:eastAsia="fr-CA"/>
        </w:rPr>
        <w:t xml:space="preserve"> the provisions which, in their opinion, </w:t>
      </w:r>
      <w:r w:rsidR="00ED21C0" w:rsidRPr="00515AA2">
        <w:rPr>
          <w:color w:val="000000"/>
          <w:lang w:val="en-CA" w:eastAsia="fr-CA"/>
        </w:rPr>
        <w:t>we</w:t>
      </w:r>
      <w:r w:rsidRPr="00515AA2">
        <w:rPr>
          <w:color w:val="000000"/>
          <w:lang w:val="en-CA" w:eastAsia="fr-CA"/>
        </w:rPr>
        <w:t xml:space="preserve">re still problematic under the </w:t>
      </w:r>
      <w:r w:rsidRPr="00515AA2">
        <w:rPr>
          <w:i/>
          <w:iCs/>
          <w:color w:val="000000"/>
          <w:lang w:val="en-CA" w:eastAsia="fr-CA"/>
        </w:rPr>
        <w:t>Canadian Charter of Rights and Freedoms</w:t>
      </w:r>
      <w:r w:rsidRPr="00515AA2">
        <w:rPr>
          <w:color w:val="000000"/>
          <w:lang w:val="en-CA" w:eastAsia="fr-CA"/>
        </w:rPr>
        <w:t xml:space="preserve"> (“</w:t>
      </w:r>
      <w:r w:rsidRPr="00515AA2">
        <w:rPr>
          <w:b/>
          <w:bCs/>
          <w:i/>
          <w:iCs/>
          <w:color w:val="000000"/>
          <w:lang w:val="en-CA" w:eastAsia="fr-CA"/>
        </w:rPr>
        <w:t>Canadian Charter</w:t>
      </w:r>
      <w:r w:rsidRPr="00515AA2">
        <w:rPr>
          <w:color w:val="000000"/>
          <w:lang w:val="en-CA" w:eastAsia="fr-CA"/>
        </w:rPr>
        <w:t>”)</w:t>
      </w:r>
      <w:r w:rsidR="00BD6CED" w:rsidRPr="00515AA2">
        <w:rPr>
          <w:rStyle w:val="Appelnotedebasdep"/>
          <w:color w:val="000000"/>
          <w:lang w:val="en-CA" w:eastAsia="fr-CA"/>
        </w:rPr>
        <w:footnoteReference w:id="7"/>
      </w:r>
      <w:r w:rsidR="00BD6CED" w:rsidRPr="00515AA2">
        <w:rPr>
          <w:color w:val="000000"/>
          <w:lang w:val="en-CA"/>
        </w:rPr>
        <w:t xml:space="preserve"> </w:t>
      </w:r>
      <w:r w:rsidRPr="00515AA2">
        <w:rPr>
          <w:color w:val="000000"/>
          <w:lang w:val="en-CA" w:eastAsia="fr-CA"/>
        </w:rPr>
        <w:t xml:space="preserve">and the </w:t>
      </w:r>
      <w:r w:rsidRPr="00515AA2">
        <w:rPr>
          <w:i/>
          <w:iCs/>
          <w:color w:val="000000"/>
          <w:lang w:val="en-CA" w:eastAsia="fr-CA"/>
        </w:rPr>
        <w:t>Quebec Charter</w:t>
      </w:r>
      <w:r w:rsidRPr="00515AA2">
        <w:rPr>
          <w:color w:val="000000"/>
          <w:lang w:val="en-CA" w:eastAsia="fr-CA"/>
        </w:rPr>
        <w:t xml:space="preserve"> (collectively, the </w:t>
      </w:r>
      <w:r w:rsidR="002C312F" w:rsidRPr="00515AA2">
        <w:rPr>
          <w:color w:val="000000"/>
          <w:lang w:val="en-CA" w:eastAsia="fr-CA"/>
        </w:rPr>
        <w:t>“</w:t>
      </w:r>
      <w:r w:rsidRPr="00515AA2">
        <w:rPr>
          <w:b/>
          <w:bCs/>
          <w:i/>
          <w:iCs/>
          <w:color w:val="000000"/>
          <w:lang w:val="en-CA" w:eastAsia="fr-CA"/>
        </w:rPr>
        <w:t>Charters</w:t>
      </w:r>
      <w:r w:rsidRPr="00515AA2">
        <w:rPr>
          <w:color w:val="000000"/>
          <w:lang w:val="en-CA" w:eastAsia="fr-CA"/>
        </w:rPr>
        <w:t xml:space="preserve">”), i.e. </w:t>
      </w:r>
      <w:r w:rsidR="002B70D7" w:rsidRPr="00515AA2">
        <w:rPr>
          <w:color w:val="000000"/>
          <w:lang w:val="en-CA" w:eastAsia="fr-CA"/>
        </w:rPr>
        <w:t>articles</w:t>
      </w:r>
      <w:r w:rsidRPr="00515AA2">
        <w:rPr>
          <w:color w:val="000000"/>
          <w:lang w:val="en-CA" w:eastAsia="fr-CA"/>
        </w:rPr>
        <w:t xml:space="preserve"> 59, 62, 71, 111, 115 and 116 </w:t>
      </w:r>
      <w:r w:rsidRPr="00515AA2">
        <w:rPr>
          <w:i/>
          <w:iCs/>
          <w:color w:val="000000"/>
          <w:lang w:val="en-CA" w:eastAsia="fr-CA"/>
        </w:rPr>
        <w:t>C.C.Q.</w:t>
      </w:r>
      <w:r w:rsidRPr="00515AA2">
        <w:rPr>
          <w:color w:val="000000"/>
          <w:lang w:val="en-CA" w:eastAsia="fr-CA"/>
        </w:rPr>
        <w:t xml:space="preserve"> and the second paragraph of section 23.2 of the </w:t>
      </w:r>
      <w:r w:rsidRPr="00515AA2">
        <w:rPr>
          <w:i/>
          <w:iCs/>
          <w:color w:val="000000"/>
          <w:lang w:val="en-CA" w:eastAsia="fr-CA"/>
        </w:rPr>
        <w:t>Regulation</w:t>
      </w:r>
      <w:bookmarkStart w:id="20" w:name="_Ref161234233"/>
      <w:r w:rsidR="00CB5A64" w:rsidRPr="00515AA2">
        <w:rPr>
          <w:rStyle w:val="Appelnotedebasdep"/>
          <w:color w:val="000000"/>
          <w:lang w:eastAsia="fr-CA"/>
        </w:rPr>
        <w:footnoteReference w:id="8"/>
      </w:r>
      <w:bookmarkEnd w:id="20"/>
      <w:r w:rsidRPr="00515AA2">
        <w:rPr>
          <w:color w:val="000000"/>
          <w:lang w:val="en-CA" w:eastAsia="fr-CA"/>
        </w:rPr>
        <w:t xml:space="preserve">, </w:t>
      </w:r>
      <w:r w:rsidR="00ED21C0" w:rsidRPr="00515AA2">
        <w:rPr>
          <w:color w:val="000000"/>
          <w:lang w:val="en-CA" w:eastAsia="fr-CA"/>
        </w:rPr>
        <w:t>objecting to</w:t>
      </w:r>
      <w:r w:rsidRPr="00515AA2">
        <w:rPr>
          <w:color w:val="000000"/>
          <w:lang w:val="en-CA" w:eastAsia="fr-CA"/>
        </w:rPr>
        <w:t xml:space="preserve"> the following aspects</w:t>
      </w:r>
      <w:r w:rsidR="00ED21C0" w:rsidRPr="00515AA2">
        <w:rPr>
          <w:color w:val="000000"/>
          <w:lang w:val="en-CA" w:eastAsia="fr-CA"/>
        </w:rPr>
        <w:t xml:space="preserve"> thereof</w:t>
      </w:r>
      <w:r w:rsidR="00D7160F" w:rsidRPr="00515AA2">
        <w:rPr>
          <w:iCs/>
          <w:color w:val="000000"/>
          <w:lang w:val="en-CA" w:eastAsia="fr-CA"/>
        </w:rPr>
        <w:t>:</w:t>
      </w:r>
    </w:p>
    <w:p w14:paraId="6767E21E" w14:textId="0C32EC83" w:rsidR="00D7160F" w:rsidRPr="00515AA2" w:rsidRDefault="00D307D2" w:rsidP="00D84C5B">
      <w:pPr>
        <w:pStyle w:val="Paragraphe"/>
        <w:numPr>
          <w:ilvl w:val="0"/>
          <w:numId w:val="9"/>
        </w:numPr>
        <w:spacing w:line="280" w:lineRule="exact"/>
        <w:rPr>
          <w:color w:val="000000"/>
          <w:lang w:val="en-CA"/>
        </w:rPr>
      </w:pPr>
      <w:r w:rsidRPr="00515AA2">
        <w:rPr>
          <w:color w:val="000000"/>
          <w:lang w:val="en-CA"/>
        </w:rPr>
        <w:t>the</w:t>
      </w:r>
      <w:r w:rsidR="00D7160F" w:rsidRPr="00515AA2">
        <w:rPr>
          <w:color w:val="000000"/>
          <w:lang w:val="en-CA"/>
        </w:rPr>
        <w:t xml:space="preserve"> </w:t>
      </w:r>
      <w:r w:rsidRPr="00515AA2">
        <w:rPr>
          <w:color w:val="000000"/>
          <w:lang w:val="en-CA"/>
        </w:rPr>
        <w:t>obligation to declare a newborn’s sex in the register of civil status (arts</w:t>
      </w:r>
      <w:r w:rsidR="00ED21C0" w:rsidRPr="00515AA2">
        <w:rPr>
          <w:color w:val="000000"/>
          <w:lang w:val="en-CA"/>
        </w:rPr>
        <w:t>.</w:t>
      </w:r>
      <w:r w:rsidRPr="00515AA2">
        <w:rPr>
          <w:color w:val="000000"/>
          <w:lang w:val="en-CA"/>
        </w:rPr>
        <w:t xml:space="preserve"> 111, 115 and 116 </w:t>
      </w:r>
      <w:r w:rsidRPr="00515AA2">
        <w:rPr>
          <w:i/>
          <w:iCs/>
          <w:color w:val="000000"/>
          <w:lang w:val="en-CA"/>
        </w:rPr>
        <w:t>C.C.Q.</w:t>
      </w:r>
      <w:r w:rsidRPr="00515AA2">
        <w:rPr>
          <w:color w:val="000000"/>
          <w:lang w:val="en-CA"/>
        </w:rPr>
        <w:t>)</w:t>
      </w:r>
      <w:r w:rsidR="00BC0A96" w:rsidRPr="00515AA2">
        <w:rPr>
          <w:color w:val="000000"/>
          <w:lang w:val="en-CA"/>
        </w:rPr>
        <w:t>;</w:t>
      </w:r>
    </w:p>
    <w:p w14:paraId="2197692E" w14:textId="6F947922" w:rsidR="00D7160F" w:rsidRPr="00515AA2" w:rsidRDefault="00D307D2" w:rsidP="00D84C5B">
      <w:pPr>
        <w:pStyle w:val="Paragraphe"/>
        <w:numPr>
          <w:ilvl w:val="0"/>
          <w:numId w:val="9"/>
        </w:numPr>
        <w:spacing w:line="280" w:lineRule="exact"/>
        <w:rPr>
          <w:color w:val="000000"/>
          <w:lang w:val="en-CA"/>
        </w:rPr>
      </w:pPr>
      <w:r w:rsidRPr="00515AA2">
        <w:rPr>
          <w:color w:val="000000"/>
          <w:lang w:val="en-CA"/>
        </w:rPr>
        <w:lastRenderedPageBreak/>
        <w:t>the</w:t>
      </w:r>
      <w:r w:rsidR="00D7160F" w:rsidRPr="00515AA2">
        <w:rPr>
          <w:color w:val="000000"/>
          <w:lang w:val="en-CA"/>
        </w:rPr>
        <w:t xml:space="preserve"> </w:t>
      </w:r>
      <w:r w:rsidRPr="00515AA2">
        <w:rPr>
          <w:color w:val="000000"/>
          <w:lang w:val="en-CA"/>
        </w:rPr>
        <w:t>identification of the parents as father and mother in the register of civil status (art</w:t>
      </w:r>
      <w:r w:rsidR="00E85830" w:rsidRPr="00515AA2">
        <w:rPr>
          <w:color w:val="000000"/>
          <w:lang w:val="en-CA"/>
        </w:rPr>
        <w:t>s.</w:t>
      </w:r>
      <w:r w:rsidRPr="00515AA2">
        <w:rPr>
          <w:color w:val="000000"/>
          <w:lang w:val="en-CA"/>
        </w:rPr>
        <w:t xml:space="preserve"> 111, 115 and 116 </w:t>
      </w:r>
      <w:r w:rsidRPr="00515AA2">
        <w:rPr>
          <w:i/>
          <w:iCs/>
          <w:color w:val="000000"/>
          <w:lang w:val="en-CA"/>
        </w:rPr>
        <w:t>C.C.Q.</w:t>
      </w:r>
      <w:r w:rsidRPr="00515AA2">
        <w:rPr>
          <w:color w:val="000000"/>
          <w:lang w:val="en-CA"/>
        </w:rPr>
        <w:t>)</w:t>
      </w:r>
      <w:r w:rsidR="00BC0A96" w:rsidRPr="00515AA2">
        <w:rPr>
          <w:color w:val="000000"/>
          <w:lang w:val="en-CA"/>
        </w:rPr>
        <w:t>;</w:t>
      </w:r>
    </w:p>
    <w:p w14:paraId="6F93BFA8" w14:textId="6C1926E3" w:rsidR="00D7160F" w:rsidRPr="00515AA2" w:rsidRDefault="00D307D2" w:rsidP="00D84C5B">
      <w:pPr>
        <w:pStyle w:val="Paragraphe"/>
        <w:numPr>
          <w:ilvl w:val="0"/>
          <w:numId w:val="9"/>
        </w:numPr>
        <w:spacing w:line="280" w:lineRule="exact"/>
        <w:rPr>
          <w:color w:val="000000"/>
          <w:lang w:val="en-CA"/>
        </w:rPr>
      </w:pPr>
      <w:r w:rsidRPr="00515AA2">
        <w:rPr>
          <w:color w:val="000000"/>
          <w:lang w:val="en-CA"/>
        </w:rPr>
        <w:t>the</w:t>
      </w:r>
      <w:r w:rsidR="00D7160F" w:rsidRPr="00515AA2">
        <w:rPr>
          <w:color w:val="000000"/>
          <w:lang w:val="en-CA"/>
        </w:rPr>
        <w:t xml:space="preserve"> </w:t>
      </w:r>
      <w:r w:rsidRPr="00515AA2">
        <w:rPr>
          <w:color w:val="000000"/>
          <w:lang w:val="en-CA"/>
        </w:rPr>
        <w:t>fact that non-binary persons cannot identify</w:t>
      </w:r>
      <w:r w:rsidR="00E85830" w:rsidRPr="00515AA2">
        <w:rPr>
          <w:color w:val="000000"/>
          <w:lang w:val="en-CA"/>
        </w:rPr>
        <w:t xml:space="preserve"> themselves</w:t>
      </w:r>
      <w:r w:rsidRPr="00515AA2">
        <w:rPr>
          <w:color w:val="000000"/>
          <w:lang w:val="en-CA"/>
        </w:rPr>
        <w:t xml:space="preserve"> as such on their act of birth (art</w:t>
      </w:r>
      <w:r w:rsidR="00E85830" w:rsidRPr="00515AA2">
        <w:rPr>
          <w:color w:val="000000"/>
          <w:lang w:val="en-CA"/>
        </w:rPr>
        <w:t>.</w:t>
      </w:r>
      <w:r w:rsidRPr="00515AA2">
        <w:rPr>
          <w:color w:val="000000"/>
          <w:lang w:val="en-CA"/>
        </w:rPr>
        <w:t xml:space="preserve"> 71, paragraph 1 </w:t>
      </w:r>
      <w:r w:rsidRPr="00515AA2">
        <w:rPr>
          <w:i/>
          <w:iCs/>
          <w:color w:val="000000"/>
          <w:lang w:val="en-CA"/>
        </w:rPr>
        <w:t>C.C.Q.</w:t>
      </w:r>
      <w:r w:rsidRPr="00515AA2">
        <w:rPr>
          <w:color w:val="000000"/>
          <w:lang w:val="en-CA"/>
        </w:rPr>
        <w:t>)</w:t>
      </w:r>
      <w:r w:rsidR="00BC0A96" w:rsidRPr="00515AA2">
        <w:rPr>
          <w:color w:val="000000"/>
          <w:lang w:val="en-CA"/>
        </w:rPr>
        <w:t>;</w:t>
      </w:r>
    </w:p>
    <w:p w14:paraId="2A0BB820" w14:textId="72D83DC7" w:rsidR="00D7160F" w:rsidRPr="00515AA2" w:rsidRDefault="00D307D2" w:rsidP="00D84C5B">
      <w:pPr>
        <w:pStyle w:val="Paragraphe"/>
        <w:numPr>
          <w:ilvl w:val="0"/>
          <w:numId w:val="9"/>
        </w:numPr>
        <w:spacing w:line="280" w:lineRule="exact"/>
        <w:rPr>
          <w:color w:val="000000"/>
          <w:lang w:val="en-CA"/>
        </w:rPr>
      </w:pPr>
      <w:r w:rsidRPr="00515AA2">
        <w:rPr>
          <w:color w:val="000000"/>
          <w:lang w:val="en-CA"/>
        </w:rPr>
        <w:t>the citizenship requirement to make a change to the designation of sex or name (art</w:t>
      </w:r>
      <w:r w:rsidR="008C25BF" w:rsidRPr="00515AA2">
        <w:rPr>
          <w:color w:val="000000"/>
          <w:lang w:val="en-CA"/>
        </w:rPr>
        <w:t>s</w:t>
      </w:r>
      <w:r w:rsidR="00E85830" w:rsidRPr="00515AA2">
        <w:rPr>
          <w:color w:val="000000"/>
          <w:lang w:val="en-CA"/>
        </w:rPr>
        <w:t>.</w:t>
      </w:r>
      <w:r w:rsidRPr="00515AA2">
        <w:rPr>
          <w:color w:val="000000"/>
          <w:lang w:val="en-CA"/>
        </w:rPr>
        <w:t xml:space="preserve"> 59 and 71, paragraph 3 </w:t>
      </w:r>
      <w:r w:rsidRPr="00515AA2">
        <w:rPr>
          <w:i/>
          <w:iCs/>
          <w:color w:val="000000"/>
          <w:lang w:val="en-CA"/>
        </w:rPr>
        <w:t>C.C.Q.</w:t>
      </w:r>
      <w:r w:rsidRPr="00515AA2">
        <w:rPr>
          <w:color w:val="000000"/>
          <w:lang w:val="en-CA"/>
        </w:rPr>
        <w:t>)</w:t>
      </w:r>
      <w:r w:rsidR="00BC0A96" w:rsidRPr="00515AA2">
        <w:rPr>
          <w:color w:val="000000"/>
          <w:lang w:val="en-CA"/>
        </w:rPr>
        <w:t>;</w:t>
      </w:r>
    </w:p>
    <w:p w14:paraId="026D8186" w14:textId="68B5958A" w:rsidR="00D7160F" w:rsidRPr="00515AA2" w:rsidRDefault="00D307D2" w:rsidP="00D84C5B">
      <w:pPr>
        <w:pStyle w:val="Paragraphe"/>
        <w:numPr>
          <w:ilvl w:val="0"/>
          <w:numId w:val="9"/>
        </w:numPr>
        <w:spacing w:line="280" w:lineRule="exact"/>
        <w:rPr>
          <w:color w:val="000000"/>
          <w:lang w:val="en-CA"/>
        </w:rPr>
      </w:pPr>
      <w:r w:rsidRPr="00515AA2">
        <w:rPr>
          <w:color w:val="000000"/>
          <w:lang w:val="en-CA"/>
        </w:rPr>
        <w:t xml:space="preserve">the requirement of a letter from a designated professional declaring that the requested change of the designation of sex is appropriate </w:t>
      </w:r>
      <w:r w:rsidR="005D1382" w:rsidRPr="00515AA2">
        <w:rPr>
          <w:color w:val="000000"/>
          <w:lang w:val="en-CA"/>
        </w:rPr>
        <w:t xml:space="preserve">before </w:t>
      </w:r>
      <w:r w:rsidRPr="00515AA2">
        <w:rPr>
          <w:color w:val="000000"/>
          <w:lang w:val="en-CA"/>
        </w:rPr>
        <w:t>a minor can change the</w:t>
      </w:r>
      <w:r w:rsidR="005D1382" w:rsidRPr="00515AA2">
        <w:rPr>
          <w:color w:val="000000"/>
          <w:lang w:val="en-CA"/>
        </w:rPr>
        <w:t>ir</w:t>
      </w:r>
      <w:r w:rsidRPr="00515AA2">
        <w:rPr>
          <w:color w:val="000000"/>
          <w:lang w:val="en-CA"/>
        </w:rPr>
        <w:t xml:space="preserve"> designation of sex (s</w:t>
      </w:r>
      <w:r w:rsidR="00E85830" w:rsidRPr="00515AA2">
        <w:rPr>
          <w:color w:val="000000"/>
          <w:lang w:val="en-CA"/>
        </w:rPr>
        <w:t>.</w:t>
      </w:r>
      <w:r w:rsidRPr="00515AA2">
        <w:rPr>
          <w:color w:val="000000"/>
          <w:lang w:val="en-CA"/>
        </w:rPr>
        <w:t xml:space="preserve"> 23.2 of the </w:t>
      </w:r>
      <w:r w:rsidRPr="00515AA2">
        <w:rPr>
          <w:i/>
          <w:iCs/>
          <w:color w:val="000000"/>
          <w:lang w:val="en-CA"/>
        </w:rPr>
        <w:t>Regulation</w:t>
      </w:r>
      <w:r w:rsidRPr="00515AA2">
        <w:rPr>
          <w:color w:val="000000"/>
          <w:lang w:val="en-CA"/>
        </w:rPr>
        <w:t>)</w:t>
      </w:r>
      <w:r w:rsidR="00BC0A96" w:rsidRPr="00515AA2">
        <w:rPr>
          <w:color w:val="000000"/>
          <w:lang w:val="en-CA"/>
        </w:rPr>
        <w:t>;</w:t>
      </w:r>
    </w:p>
    <w:p w14:paraId="7AA75FBF" w14:textId="715EED86" w:rsidR="00D7160F" w:rsidRPr="00515AA2" w:rsidRDefault="00D307D2" w:rsidP="00D84C5B">
      <w:pPr>
        <w:pStyle w:val="Paragraphe"/>
        <w:numPr>
          <w:ilvl w:val="0"/>
          <w:numId w:val="9"/>
        </w:numPr>
        <w:spacing w:line="280" w:lineRule="exact"/>
        <w:rPr>
          <w:color w:val="000000"/>
          <w:lang w:val="en-CA"/>
        </w:rPr>
      </w:pPr>
      <w:r w:rsidRPr="00515AA2">
        <w:rPr>
          <w:color w:val="000000"/>
          <w:lang w:val="en-CA"/>
        </w:rPr>
        <w:t>a</w:t>
      </w:r>
      <w:r w:rsidR="00D7160F" w:rsidRPr="00515AA2">
        <w:rPr>
          <w:color w:val="000000"/>
          <w:lang w:val="en-CA"/>
        </w:rPr>
        <w:t xml:space="preserve"> </w:t>
      </w:r>
      <w:r w:rsidRPr="00515AA2">
        <w:rPr>
          <w:color w:val="000000"/>
          <w:lang w:val="en-CA"/>
        </w:rPr>
        <w:t>parent’s right to be notified of the request for a change of their child’s given name and to object to it (art</w:t>
      </w:r>
      <w:r w:rsidR="00E85830" w:rsidRPr="00515AA2">
        <w:rPr>
          <w:color w:val="000000"/>
          <w:lang w:val="en-CA"/>
        </w:rPr>
        <w:t>.</w:t>
      </w:r>
      <w:r w:rsidRPr="00515AA2">
        <w:rPr>
          <w:color w:val="000000"/>
          <w:lang w:val="en-CA"/>
        </w:rPr>
        <w:t xml:space="preserve"> 62 </w:t>
      </w:r>
      <w:r w:rsidRPr="00515AA2">
        <w:rPr>
          <w:i/>
          <w:iCs/>
          <w:color w:val="000000"/>
          <w:lang w:val="en-CA"/>
        </w:rPr>
        <w:t>C.C.Q.</w:t>
      </w:r>
      <w:r w:rsidRPr="00515AA2">
        <w:rPr>
          <w:color w:val="000000"/>
          <w:lang w:val="en-CA"/>
        </w:rPr>
        <w:t>)</w:t>
      </w:r>
      <w:r w:rsidR="00BC0A96" w:rsidRPr="00515AA2">
        <w:rPr>
          <w:color w:val="000000"/>
          <w:lang w:val="en-CA"/>
        </w:rPr>
        <w:t>;</w:t>
      </w:r>
    </w:p>
    <w:p w14:paraId="1B8CBEC1" w14:textId="1D43195C" w:rsidR="00D7160F" w:rsidRPr="00515AA2" w:rsidRDefault="00D307D2" w:rsidP="00D84C5B">
      <w:pPr>
        <w:pStyle w:val="Paragraphe"/>
        <w:numPr>
          <w:ilvl w:val="0"/>
          <w:numId w:val="9"/>
        </w:numPr>
        <w:spacing w:line="280" w:lineRule="exact"/>
        <w:rPr>
          <w:color w:val="000000"/>
          <w:lang w:val="en-CA"/>
        </w:rPr>
      </w:pPr>
      <w:r w:rsidRPr="00515AA2">
        <w:rPr>
          <w:color w:val="000000"/>
          <w:lang w:val="en-CA"/>
        </w:rPr>
        <w:t>the</w:t>
      </w:r>
      <w:r w:rsidR="0001102C" w:rsidRPr="00515AA2">
        <w:rPr>
          <w:color w:val="000000"/>
          <w:lang w:val="en-CA"/>
        </w:rPr>
        <w:t xml:space="preserve"> </w:t>
      </w:r>
      <w:r w:rsidRPr="00515AA2">
        <w:rPr>
          <w:color w:val="000000"/>
          <w:lang w:val="en-CA"/>
        </w:rPr>
        <w:t>impossibility of changing an act of civil status of a child whose parent has changed the designation of their sex (art</w:t>
      </w:r>
      <w:r w:rsidR="00E85830" w:rsidRPr="00515AA2">
        <w:rPr>
          <w:color w:val="000000"/>
          <w:lang w:val="en-CA"/>
        </w:rPr>
        <w:t>.</w:t>
      </w:r>
      <w:r w:rsidRPr="00515AA2">
        <w:rPr>
          <w:color w:val="000000"/>
          <w:lang w:val="en-CA"/>
        </w:rPr>
        <w:t xml:space="preserve"> 132 </w:t>
      </w:r>
      <w:r w:rsidRPr="00515AA2">
        <w:rPr>
          <w:i/>
          <w:iCs/>
          <w:color w:val="000000"/>
          <w:lang w:val="en-CA"/>
        </w:rPr>
        <w:t>C.C.Q.</w:t>
      </w:r>
      <w:r w:rsidRPr="00515AA2">
        <w:rPr>
          <w:color w:val="000000"/>
          <w:lang w:val="en-CA"/>
        </w:rPr>
        <w:t>)</w:t>
      </w:r>
      <w:r w:rsidR="00BC0A96" w:rsidRPr="00515AA2">
        <w:rPr>
          <w:color w:val="000000"/>
          <w:lang w:val="en-CA"/>
        </w:rPr>
        <w:t>;</w:t>
      </w:r>
    </w:p>
    <w:p w14:paraId="393B58D8" w14:textId="19E67BD4" w:rsidR="00060102" w:rsidRPr="00515AA2" w:rsidRDefault="00D307D2" w:rsidP="00D84C5B">
      <w:pPr>
        <w:pStyle w:val="Paragraphe"/>
        <w:numPr>
          <w:ilvl w:val="0"/>
          <w:numId w:val="9"/>
        </w:numPr>
        <w:spacing w:line="280" w:lineRule="exact"/>
        <w:rPr>
          <w:color w:val="000000"/>
          <w:lang w:val="en-CA"/>
        </w:rPr>
      </w:pPr>
      <w:r w:rsidRPr="00515AA2">
        <w:rPr>
          <w:color w:val="000000"/>
          <w:lang w:val="en-CA"/>
        </w:rPr>
        <w:t>the</w:t>
      </w:r>
      <w:r w:rsidR="00641D8A" w:rsidRPr="00515AA2">
        <w:rPr>
          <w:color w:val="000000"/>
          <w:lang w:val="en-CA"/>
        </w:rPr>
        <w:t xml:space="preserve"> </w:t>
      </w:r>
      <w:r w:rsidRPr="00515AA2">
        <w:rPr>
          <w:color w:val="000000"/>
          <w:lang w:val="en-CA"/>
        </w:rPr>
        <w:t>designation of sex on the certificate of civil status (art</w:t>
      </w:r>
      <w:r w:rsidR="00E85830" w:rsidRPr="00515AA2">
        <w:rPr>
          <w:color w:val="000000"/>
          <w:lang w:val="en-CA"/>
        </w:rPr>
        <w:t>.</w:t>
      </w:r>
      <w:r w:rsidRPr="00515AA2">
        <w:rPr>
          <w:color w:val="000000"/>
          <w:lang w:val="en-CA"/>
        </w:rPr>
        <w:t xml:space="preserve"> 146 </w:t>
      </w:r>
      <w:r w:rsidRPr="00515AA2">
        <w:rPr>
          <w:i/>
          <w:iCs/>
          <w:color w:val="000000"/>
          <w:lang w:val="en-CA"/>
        </w:rPr>
        <w:t>C.C.Q.</w:t>
      </w:r>
      <w:r w:rsidRPr="00515AA2">
        <w:rPr>
          <w:color w:val="000000"/>
          <w:lang w:val="en-CA"/>
        </w:rPr>
        <w:t>)</w:t>
      </w:r>
      <w:r w:rsidR="00641D8A" w:rsidRPr="00515AA2">
        <w:rPr>
          <w:color w:val="000000"/>
          <w:lang w:val="en-CA"/>
        </w:rPr>
        <w:t>.</w:t>
      </w:r>
    </w:p>
    <w:p w14:paraId="590C2E5A" w14:textId="1E967C16" w:rsidR="00050982" w:rsidRPr="00515AA2" w:rsidRDefault="00D307D2" w:rsidP="004C5ECB">
      <w:pPr>
        <w:pStyle w:val="Titre2"/>
        <w:rPr>
          <w:color w:val="000000"/>
        </w:rPr>
      </w:pPr>
      <w:bookmarkStart w:id="21" w:name="_Toc161830101"/>
      <w:r w:rsidRPr="00515AA2">
        <w:rPr>
          <w:color w:val="000000"/>
        </w:rPr>
        <w:t>C</w:t>
      </w:r>
      <w:r w:rsidR="00640139" w:rsidRPr="00515AA2">
        <w:rPr>
          <w:color w:val="000000"/>
        </w:rPr>
        <w:t>onclusion</w:t>
      </w:r>
      <w:r w:rsidR="00985F0F" w:rsidRPr="00515AA2">
        <w:rPr>
          <w:color w:val="000000"/>
        </w:rPr>
        <w:t>s</w:t>
      </w:r>
      <w:r w:rsidR="00050982" w:rsidRPr="00515AA2">
        <w:rPr>
          <w:color w:val="000000"/>
        </w:rPr>
        <w:t xml:space="preserve"> </w:t>
      </w:r>
      <w:r w:rsidRPr="00515AA2">
        <w:rPr>
          <w:color w:val="000000"/>
        </w:rPr>
        <w:t>of the Judgment under Appeal</w:t>
      </w:r>
      <w:bookmarkEnd w:id="21"/>
    </w:p>
    <w:p w14:paraId="35E2E7D7" w14:textId="1936CDD7" w:rsidR="00060102" w:rsidRPr="00515AA2" w:rsidRDefault="005B1989" w:rsidP="00F846E3">
      <w:pPr>
        <w:pStyle w:val="Paragraphe"/>
        <w:tabs>
          <w:tab w:val="clear" w:pos="360"/>
        </w:tabs>
        <w:spacing w:line="280" w:lineRule="exact"/>
        <w:rPr>
          <w:color w:val="000000"/>
          <w:lang w:val="en-CA"/>
        </w:rPr>
      </w:pPr>
      <w:r w:rsidRPr="00515AA2">
        <w:rPr>
          <w:color w:val="000000"/>
          <w:lang w:val="en-CA"/>
        </w:rPr>
        <w:t>On January 2</w:t>
      </w:r>
      <w:r w:rsidR="00E85830" w:rsidRPr="00515AA2">
        <w:rPr>
          <w:color w:val="000000"/>
          <w:lang w:val="en-CA"/>
        </w:rPr>
        <w:t>8</w:t>
      </w:r>
      <w:r w:rsidRPr="00515AA2">
        <w:rPr>
          <w:color w:val="000000"/>
          <w:lang w:val="en-CA"/>
        </w:rPr>
        <w:t>,</w:t>
      </w:r>
      <w:r w:rsidR="00351B63" w:rsidRPr="00515AA2">
        <w:rPr>
          <w:color w:val="000000"/>
          <w:lang w:val="en-CA"/>
        </w:rPr>
        <w:t xml:space="preserve"> 2021</w:t>
      </w:r>
      <w:bookmarkStart w:id="22" w:name="_Ref155356401"/>
      <w:r w:rsidR="00E85830" w:rsidRPr="00515AA2">
        <w:rPr>
          <w:color w:val="000000"/>
          <w:lang w:val="en-CA"/>
        </w:rPr>
        <w:t>,</w:t>
      </w:r>
      <w:bookmarkStart w:id="23" w:name="_Ref161233644"/>
      <w:r w:rsidR="00E96313" w:rsidRPr="00515AA2">
        <w:rPr>
          <w:rStyle w:val="Appelnotedebasdep"/>
          <w:color w:val="000000"/>
          <w:lang w:val="en-CA"/>
        </w:rPr>
        <w:footnoteReference w:id="9"/>
      </w:r>
      <w:bookmarkEnd w:id="22"/>
      <w:bookmarkEnd w:id="23"/>
      <w:r w:rsidR="00E85830" w:rsidRPr="00515AA2">
        <w:rPr>
          <w:color w:val="000000"/>
          <w:lang w:val="en-CA"/>
        </w:rPr>
        <w:t xml:space="preserve"> </w:t>
      </w:r>
      <w:r w:rsidRPr="00515AA2">
        <w:rPr>
          <w:color w:val="000000"/>
          <w:lang w:val="en-CA"/>
        </w:rPr>
        <w:t>following a</w:t>
      </w:r>
      <w:r w:rsidR="006A08BF" w:rsidRPr="00515AA2">
        <w:rPr>
          <w:color w:val="000000"/>
          <w:lang w:val="en-CA"/>
        </w:rPr>
        <w:t xml:space="preserve"> 21</w:t>
      </w:r>
      <w:r w:rsidRPr="00515AA2">
        <w:rPr>
          <w:color w:val="000000"/>
          <w:lang w:val="en-CA"/>
        </w:rPr>
        <w:t>-day hearing</w:t>
      </w:r>
      <w:r w:rsidR="00E96313" w:rsidRPr="00515AA2">
        <w:rPr>
          <w:rStyle w:val="Appelnotedebasdep"/>
          <w:color w:val="000000"/>
          <w:lang w:val="en-CA"/>
        </w:rPr>
        <w:footnoteReference w:id="10"/>
      </w:r>
      <w:r w:rsidR="004429B3" w:rsidRPr="00515AA2">
        <w:rPr>
          <w:color w:val="000000"/>
          <w:lang w:val="en-CA"/>
        </w:rPr>
        <w:t xml:space="preserve"> </w:t>
      </w:r>
      <w:r w:rsidRPr="00515AA2">
        <w:rPr>
          <w:color w:val="000000"/>
          <w:lang w:val="en-CA"/>
        </w:rPr>
        <w:t>during which</w:t>
      </w:r>
      <w:r w:rsidR="00A20A91" w:rsidRPr="00515AA2">
        <w:rPr>
          <w:color w:val="000000"/>
          <w:lang w:val="en-CA"/>
        </w:rPr>
        <w:t xml:space="preserve"> </w:t>
      </w:r>
      <w:r w:rsidR="00351B63" w:rsidRPr="00515AA2">
        <w:rPr>
          <w:color w:val="000000"/>
          <w:lang w:val="en-CA"/>
        </w:rPr>
        <w:t>29</w:t>
      </w:r>
      <w:r w:rsidR="00601313" w:rsidRPr="00515AA2">
        <w:rPr>
          <w:color w:val="000000"/>
          <w:lang w:val="en-CA"/>
        </w:rPr>
        <w:t> </w:t>
      </w:r>
      <w:r w:rsidRPr="00515AA2">
        <w:rPr>
          <w:color w:val="000000"/>
          <w:lang w:val="en-CA"/>
        </w:rPr>
        <w:t>witnesses</w:t>
      </w:r>
      <w:r w:rsidR="00351B63" w:rsidRPr="00515AA2">
        <w:rPr>
          <w:color w:val="000000"/>
          <w:lang w:val="en-CA"/>
        </w:rPr>
        <w:t xml:space="preserve">, </w:t>
      </w:r>
      <w:r w:rsidRPr="00515AA2">
        <w:rPr>
          <w:color w:val="000000"/>
          <w:lang w:val="en-CA"/>
        </w:rPr>
        <w:t>including</w:t>
      </w:r>
      <w:r w:rsidR="00351B63" w:rsidRPr="00515AA2">
        <w:rPr>
          <w:color w:val="000000"/>
          <w:lang w:val="en-CA"/>
        </w:rPr>
        <w:t xml:space="preserve"> 7 </w:t>
      </w:r>
      <w:r w:rsidRPr="00515AA2">
        <w:rPr>
          <w:color w:val="000000"/>
          <w:lang w:val="en-CA"/>
        </w:rPr>
        <w:t>expert witnesses</w:t>
      </w:r>
      <w:r w:rsidR="0030765B" w:rsidRPr="00515AA2">
        <w:rPr>
          <w:color w:val="000000"/>
          <w:lang w:val="en-CA"/>
        </w:rPr>
        <w:t>,</w:t>
      </w:r>
      <w:r w:rsidR="009F2584" w:rsidRPr="00515AA2">
        <w:rPr>
          <w:color w:val="000000"/>
          <w:lang w:val="en-CA"/>
        </w:rPr>
        <w:t xml:space="preserve"> </w:t>
      </w:r>
      <w:r w:rsidRPr="00515AA2">
        <w:rPr>
          <w:color w:val="000000"/>
          <w:lang w:val="en-CA"/>
        </w:rPr>
        <w:t>were heard</w:t>
      </w:r>
      <w:r w:rsidR="00A20A91" w:rsidRPr="00515AA2">
        <w:rPr>
          <w:color w:val="000000"/>
          <w:lang w:val="en-CA"/>
        </w:rPr>
        <w:t xml:space="preserve">, </w:t>
      </w:r>
      <w:r w:rsidR="00B83208" w:rsidRPr="00515AA2">
        <w:rPr>
          <w:color w:val="000000"/>
          <w:lang w:val="en-CA"/>
        </w:rPr>
        <w:t>Justice</w:t>
      </w:r>
      <w:r w:rsidR="00F07FB5" w:rsidRPr="00515AA2">
        <w:rPr>
          <w:color w:val="000000"/>
          <w:lang w:val="en-CA"/>
        </w:rPr>
        <w:t xml:space="preserve"> </w:t>
      </w:r>
      <w:r w:rsidR="00C21C00" w:rsidRPr="00515AA2">
        <w:rPr>
          <w:color w:val="000000"/>
          <w:lang w:val="en-CA"/>
        </w:rPr>
        <w:t xml:space="preserve">Gregory Moore </w:t>
      </w:r>
      <w:r w:rsidRPr="00515AA2">
        <w:rPr>
          <w:color w:val="000000"/>
          <w:lang w:val="en-CA"/>
        </w:rPr>
        <w:t>declared the following provisions invalid and of no force or effect</w:t>
      </w:r>
      <w:r w:rsidR="00060102" w:rsidRPr="00515AA2">
        <w:rPr>
          <w:color w:val="000000"/>
          <w:lang w:val="en-CA"/>
        </w:rPr>
        <w:t>:</w:t>
      </w:r>
    </w:p>
    <w:p w14:paraId="54E987A2" w14:textId="5A998F95" w:rsidR="00641D8A" w:rsidRPr="00515AA2" w:rsidRDefault="00E85830" w:rsidP="00D84C5B">
      <w:pPr>
        <w:pStyle w:val="Paragraphe"/>
        <w:numPr>
          <w:ilvl w:val="0"/>
          <w:numId w:val="11"/>
        </w:numPr>
        <w:spacing w:line="280" w:lineRule="exact"/>
        <w:rPr>
          <w:color w:val="000000"/>
          <w:lang w:val="en-CA"/>
        </w:rPr>
      </w:pPr>
      <w:r w:rsidRPr="00515AA2">
        <w:rPr>
          <w:color w:val="000000"/>
          <w:lang w:val="en-CA"/>
        </w:rPr>
        <w:t>a</w:t>
      </w:r>
      <w:r w:rsidR="008D5832" w:rsidRPr="00515AA2">
        <w:rPr>
          <w:color w:val="000000"/>
          <w:lang w:val="en-CA"/>
        </w:rPr>
        <w:t>rt</w:t>
      </w:r>
      <w:r w:rsidRPr="00515AA2">
        <w:rPr>
          <w:color w:val="000000"/>
          <w:lang w:val="en-CA"/>
        </w:rPr>
        <w:t>s.</w:t>
      </w:r>
      <w:r w:rsidR="00873B58" w:rsidRPr="00515AA2">
        <w:rPr>
          <w:color w:val="000000"/>
          <w:lang w:val="en-CA"/>
        </w:rPr>
        <w:t> </w:t>
      </w:r>
      <w:r w:rsidR="008D5832" w:rsidRPr="00515AA2">
        <w:rPr>
          <w:color w:val="000000"/>
          <w:lang w:val="en-CA"/>
        </w:rPr>
        <w:t xml:space="preserve">111, 115 </w:t>
      </w:r>
      <w:r w:rsidR="005B1989" w:rsidRPr="00515AA2">
        <w:rPr>
          <w:color w:val="000000"/>
          <w:lang w:val="en-CA"/>
        </w:rPr>
        <w:t>and</w:t>
      </w:r>
      <w:r w:rsidR="008D5832" w:rsidRPr="00515AA2">
        <w:rPr>
          <w:color w:val="000000"/>
          <w:lang w:val="en-CA"/>
        </w:rPr>
        <w:t xml:space="preserve"> 116 </w:t>
      </w:r>
      <w:r w:rsidR="008D5832" w:rsidRPr="00515AA2">
        <w:rPr>
          <w:i/>
          <w:color w:val="000000"/>
          <w:lang w:val="en-CA"/>
        </w:rPr>
        <w:t>C.</w:t>
      </w:r>
      <w:r w:rsidR="005B1989" w:rsidRPr="00515AA2">
        <w:rPr>
          <w:i/>
          <w:color w:val="000000"/>
          <w:lang w:val="en-CA"/>
        </w:rPr>
        <w:t>C</w:t>
      </w:r>
      <w:r w:rsidR="008D5832" w:rsidRPr="00515AA2">
        <w:rPr>
          <w:i/>
          <w:color w:val="000000"/>
          <w:lang w:val="en-CA"/>
        </w:rPr>
        <w:t>.Q.</w:t>
      </w:r>
      <w:r w:rsidR="002E1DFE" w:rsidRPr="00515AA2">
        <w:rPr>
          <w:color w:val="000000"/>
          <w:lang w:val="en-CA"/>
        </w:rPr>
        <w:t xml:space="preserve">, </w:t>
      </w:r>
      <w:r w:rsidR="00E016E6" w:rsidRPr="00515AA2">
        <w:rPr>
          <w:color w:val="000000"/>
          <w:lang w:val="en-CA"/>
        </w:rPr>
        <w:t>to the extent that they oblige non-binary parents to be identified as mother or father instead of parent</w:t>
      </w:r>
      <w:r w:rsidR="008D5832" w:rsidRPr="00515AA2">
        <w:rPr>
          <w:color w:val="000000"/>
          <w:lang w:val="en-CA"/>
        </w:rPr>
        <w:t>;</w:t>
      </w:r>
    </w:p>
    <w:p w14:paraId="28A3B3AF" w14:textId="497024C4" w:rsidR="00641D8A" w:rsidRPr="00515AA2" w:rsidRDefault="00E85830" w:rsidP="00D84C5B">
      <w:pPr>
        <w:pStyle w:val="Paragraphe"/>
        <w:numPr>
          <w:ilvl w:val="0"/>
          <w:numId w:val="10"/>
        </w:numPr>
        <w:spacing w:line="280" w:lineRule="exact"/>
        <w:rPr>
          <w:color w:val="000000"/>
          <w:lang w:val="en-CA"/>
        </w:rPr>
      </w:pPr>
      <w:r w:rsidRPr="00515AA2">
        <w:rPr>
          <w:color w:val="000000"/>
          <w:lang w:val="en-CA"/>
        </w:rPr>
        <w:t>a</w:t>
      </w:r>
      <w:r w:rsidR="00641D8A" w:rsidRPr="00515AA2">
        <w:rPr>
          <w:color w:val="000000"/>
          <w:lang w:val="en-CA"/>
        </w:rPr>
        <w:t>rt</w:t>
      </w:r>
      <w:r w:rsidRPr="00515AA2">
        <w:rPr>
          <w:color w:val="000000"/>
          <w:lang w:val="en-CA"/>
        </w:rPr>
        <w:t>.</w:t>
      </w:r>
      <w:r w:rsidR="00873B58" w:rsidRPr="00515AA2">
        <w:rPr>
          <w:color w:val="000000"/>
          <w:lang w:val="en-CA"/>
        </w:rPr>
        <w:t> </w:t>
      </w:r>
      <w:r w:rsidR="00641D8A" w:rsidRPr="00515AA2">
        <w:rPr>
          <w:color w:val="000000"/>
          <w:lang w:val="en-CA"/>
        </w:rPr>
        <w:t xml:space="preserve">71, </w:t>
      </w:r>
      <w:r w:rsidR="00E016E6" w:rsidRPr="00515AA2">
        <w:rPr>
          <w:color w:val="000000"/>
          <w:lang w:val="en-CA"/>
        </w:rPr>
        <w:t>paragraph</w:t>
      </w:r>
      <w:r w:rsidR="00641D8A" w:rsidRPr="00515AA2">
        <w:rPr>
          <w:color w:val="000000"/>
          <w:lang w:val="en-CA"/>
        </w:rPr>
        <w:t xml:space="preserve"> 1 </w:t>
      </w:r>
      <w:r w:rsidR="00641D8A" w:rsidRPr="00515AA2">
        <w:rPr>
          <w:i/>
          <w:color w:val="000000"/>
          <w:lang w:val="en-CA"/>
        </w:rPr>
        <w:t>C.</w:t>
      </w:r>
      <w:r w:rsidR="00E016E6" w:rsidRPr="00515AA2">
        <w:rPr>
          <w:i/>
          <w:color w:val="000000"/>
          <w:lang w:val="en-CA"/>
        </w:rPr>
        <w:t>C</w:t>
      </w:r>
      <w:r w:rsidR="00641D8A" w:rsidRPr="00515AA2">
        <w:rPr>
          <w:i/>
          <w:color w:val="000000"/>
          <w:lang w:val="en-CA"/>
        </w:rPr>
        <w:t>.Q.</w:t>
      </w:r>
      <w:r w:rsidR="00641D8A" w:rsidRPr="00515AA2">
        <w:rPr>
          <w:color w:val="000000"/>
          <w:lang w:val="en-CA"/>
        </w:rPr>
        <w:t xml:space="preserve">, </w:t>
      </w:r>
      <w:r w:rsidR="00E016E6" w:rsidRPr="00515AA2">
        <w:rPr>
          <w:color w:val="000000"/>
          <w:lang w:val="en-CA"/>
        </w:rPr>
        <w:t>to the extent that it</w:t>
      </w:r>
      <w:r w:rsidR="002E1DFE" w:rsidRPr="00515AA2">
        <w:rPr>
          <w:color w:val="000000"/>
          <w:lang w:val="en-CA"/>
        </w:rPr>
        <w:t xml:space="preserve"> </w:t>
      </w:r>
      <w:r w:rsidR="00E016E6" w:rsidRPr="00515AA2">
        <w:rPr>
          <w:color w:val="000000"/>
          <w:lang w:val="en-CA"/>
        </w:rPr>
        <w:t>does not allow non-binary people, unlike transgender people, to change the designation of sex on their act of birth so that it corresponds to their gender identity</w:t>
      </w:r>
      <w:r w:rsidR="00641D8A" w:rsidRPr="00515AA2">
        <w:rPr>
          <w:color w:val="000000"/>
          <w:lang w:val="en-CA"/>
        </w:rPr>
        <w:t>;</w:t>
      </w:r>
    </w:p>
    <w:p w14:paraId="19DCBE89" w14:textId="6DEF7A24" w:rsidR="00641D8A" w:rsidRPr="00515AA2" w:rsidRDefault="00641D8A" w:rsidP="00D84C5B">
      <w:pPr>
        <w:pStyle w:val="Paragraphe"/>
        <w:numPr>
          <w:ilvl w:val="0"/>
          <w:numId w:val="10"/>
        </w:numPr>
        <w:spacing w:line="280" w:lineRule="exact"/>
        <w:rPr>
          <w:color w:val="000000"/>
          <w:lang w:val="en-CA"/>
        </w:rPr>
      </w:pPr>
      <w:r w:rsidRPr="00515AA2">
        <w:rPr>
          <w:color w:val="000000"/>
          <w:lang w:val="en-CA"/>
        </w:rPr>
        <w:t>art</w:t>
      </w:r>
      <w:r w:rsidR="00E85830" w:rsidRPr="00515AA2">
        <w:rPr>
          <w:color w:val="000000"/>
          <w:lang w:val="en-CA"/>
        </w:rPr>
        <w:t>s.</w:t>
      </w:r>
      <w:r w:rsidR="00873B58" w:rsidRPr="00515AA2">
        <w:rPr>
          <w:color w:val="000000"/>
          <w:lang w:val="en-CA"/>
        </w:rPr>
        <w:t> </w:t>
      </w:r>
      <w:r w:rsidRPr="00515AA2">
        <w:rPr>
          <w:color w:val="000000"/>
          <w:lang w:val="en-CA"/>
        </w:rPr>
        <w:t xml:space="preserve">59 </w:t>
      </w:r>
      <w:r w:rsidR="00E016E6" w:rsidRPr="00515AA2">
        <w:rPr>
          <w:color w:val="000000"/>
          <w:lang w:val="en-CA"/>
        </w:rPr>
        <w:t>an</w:t>
      </w:r>
      <w:r w:rsidR="00E85830" w:rsidRPr="00515AA2">
        <w:rPr>
          <w:color w:val="000000"/>
          <w:lang w:val="en-CA"/>
        </w:rPr>
        <w:t>d</w:t>
      </w:r>
      <w:r w:rsidRPr="00515AA2">
        <w:rPr>
          <w:color w:val="000000"/>
          <w:lang w:val="en-CA"/>
        </w:rPr>
        <w:t xml:space="preserve"> 71 </w:t>
      </w:r>
      <w:r w:rsidRPr="00515AA2">
        <w:rPr>
          <w:i/>
          <w:color w:val="000000"/>
          <w:lang w:val="en-CA"/>
        </w:rPr>
        <w:t>C.</w:t>
      </w:r>
      <w:r w:rsidR="00E016E6" w:rsidRPr="00515AA2">
        <w:rPr>
          <w:i/>
          <w:color w:val="000000"/>
          <w:lang w:val="en-CA"/>
        </w:rPr>
        <w:t>C</w:t>
      </w:r>
      <w:r w:rsidRPr="00515AA2">
        <w:rPr>
          <w:i/>
          <w:color w:val="000000"/>
          <w:lang w:val="en-CA"/>
        </w:rPr>
        <w:t>.Q.</w:t>
      </w:r>
      <w:r w:rsidR="00CB20C0" w:rsidRPr="00515AA2">
        <w:rPr>
          <w:iCs/>
          <w:color w:val="000000"/>
          <w:lang w:val="en-CA"/>
        </w:rPr>
        <w:t xml:space="preserve"> </w:t>
      </w:r>
      <w:r w:rsidR="00E016E6" w:rsidRPr="00515AA2">
        <w:rPr>
          <w:iCs/>
          <w:color w:val="000000"/>
          <w:lang w:val="en-CA"/>
        </w:rPr>
        <w:t>to the extent that they require that an applicant be a Canadian citizen</w:t>
      </w:r>
      <w:r w:rsidRPr="00515AA2">
        <w:rPr>
          <w:iCs/>
          <w:color w:val="000000"/>
          <w:lang w:val="en-CA"/>
        </w:rPr>
        <w:t>;</w:t>
      </w:r>
    </w:p>
    <w:p w14:paraId="00DB049F" w14:textId="7C4809EB" w:rsidR="00641D8A" w:rsidRPr="00515AA2" w:rsidRDefault="00E016E6" w:rsidP="00D84C5B">
      <w:pPr>
        <w:pStyle w:val="Paragraphe"/>
        <w:numPr>
          <w:ilvl w:val="0"/>
          <w:numId w:val="10"/>
        </w:numPr>
        <w:spacing w:line="280" w:lineRule="exact"/>
        <w:rPr>
          <w:color w:val="000000"/>
          <w:lang w:val="en-CA"/>
        </w:rPr>
      </w:pPr>
      <w:r w:rsidRPr="00515AA2">
        <w:rPr>
          <w:color w:val="000000"/>
          <w:lang w:val="en-CA"/>
        </w:rPr>
        <w:t>s</w:t>
      </w:r>
      <w:r w:rsidR="00E85830" w:rsidRPr="00515AA2">
        <w:rPr>
          <w:color w:val="000000"/>
          <w:lang w:val="en-CA"/>
        </w:rPr>
        <w:t>.</w:t>
      </w:r>
      <w:r w:rsidR="00873B58" w:rsidRPr="00515AA2">
        <w:rPr>
          <w:color w:val="000000"/>
          <w:lang w:val="en-CA"/>
        </w:rPr>
        <w:t> </w:t>
      </w:r>
      <w:r w:rsidR="00641D8A" w:rsidRPr="00515AA2">
        <w:rPr>
          <w:color w:val="000000"/>
          <w:lang w:val="en-CA"/>
        </w:rPr>
        <w:t xml:space="preserve">23.2 </w:t>
      </w:r>
      <w:r w:rsidRPr="00515AA2">
        <w:rPr>
          <w:color w:val="000000"/>
          <w:lang w:val="en-CA"/>
        </w:rPr>
        <w:t>of the</w:t>
      </w:r>
      <w:r w:rsidR="00641D8A" w:rsidRPr="00515AA2">
        <w:rPr>
          <w:color w:val="000000"/>
          <w:lang w:val="en-CA"/>
        </w:rPr>
        <w:t xml:space="preserve"> </w:t>
      </w:r>
      <w:r w:rsidR="00641D8A" w:rsidRPr="00515AA2">
        <w:rPr>
          <w:i/>
          <w:color w:val="000000"/>
          <w:lang w:val="en-CA"/>
        </w:rPr>
        <w:t>R</w:t>
      </w:r>
      <w:r w:rsidRPr="00515AA2">
        <w:rPr>
          <w:i/>
          <w:color w:val="000000"/>
          <w:lang w:val="en-CA"/>
        </w:rPr>
        <w:t>egulation</w:t>
      </w:r>
      <w:r w:rsidR="002E1DFE" w:rsidRPr="00515AA2">
        <w:rPr>
          <w:color w:val="000000"/>
          <w:lang w:val="en-CA"/>
        </w:rPr>
        <w:t xml:space="preserve">, </w:t>
      </w:r>
      <w:r w:rsidRPr="00515AA2">
        <w:rPr>
          <w:color w:val="000000"/>
          <w:lang w:val="en-CA"/>
        </w:rPr>
        <w:t>to the extent that it requires that the</w:t>
      </w:r>
      <w:r w:rsidR="002E1DFE" w:rsidRPr="00515AA2">
        <w:rPr>
          <w:color w:val="000000"/>
          <w:lang w:val="en-CA"/>
        </w:rPr>
        <w:t xml:space="preserve"> </w:t>
      </w:r>
      <w:r w:rsidRPr="00515AA2">
        <w:rPr>
          <w:color w:val="000000"/>
          <w:lang w:val="en-CA"/>
        </w:rPr>
        <w:t xml:space="preserve">application for a change of the designation of sex on a minor child’s act of birth be accompanied </w:t>
      </w:r>
      <w:r w:rsidRPr="00515AA2">
        <w:rPr>
          <w:color w:val="000000"/>
          <w:lang w:val="en-CA"/>
        </w:rPr>
        <w:lastRenderedPageBreak/>
        <w:t>by a letter from a designated professional declaring that the requested change is appropriate</w:t>
      </w:r>
      <w:r w:rsidR="00641D8A" w:rsidRPr="00515AA2">
        <w:rPr>
          <w:color w:val="000000"/>
          <w:lang w:val="en-CA"/>
        </w:rPr>
        <w:t>;</w:t>
      </w:r>
    </w:p>
    <w:p w14:paraId="077C5B98" w14:textId="39FD9D40" w:rsidR="004B6AF8" w:rsidRPr="00515AA2" w:rsidRDefault="008D5832" w:rsidP="00D84C5B">
      <w:pPr>
        <w:pStyle w:val="Paragraphe"/>
        <w:numPr>
          <w:ilvl w:val="0"/>
          <w:numId w:val="9"/>
        </w:numPr>
        <w:spacing w:line="280" w:lineRule="exact"/>
        <w:rPr>
          <w:color w:val="000000"/>
          <w:lang w:val="en-CA"/>
        </w:rPr>
      </w:pPr>
      <w:r w:rsidRPr="00515AA2">
        <w:rPr>
          <w:color w:val="000000"/>
          <w:lang w:val="en-CA"/>
        </w:rPr>
        <w:t>art</w:t>
      </w:r>
      <w:r w:rsidR="00E85830" w:rsidRPr="00515AA2">
        <w:rPr>
          <w:color w:val="000000"/>
          <w:lang w:val="en-CA"/>
        </w:rPr>
        <w:t>.</w:t>
      </w:r>
      <w:r w:rsidR="00873B58" w:rsidRPr="00515AA2">
        <w:rPr>
          <w:color w:val="000000"/>
          <w:lang w:val="en-CA"/>
        </w:rPr>
        <w:t> </w:t>
      </w:r>
      <w:r w:rsidRPr="00515AA2">
        <w:rPr>
          <w:color w:val="000000"/>
          <w:lang w:val="en-CA"/>
        </w:rPr>
        <w:t xml:space="preserve">146 </w:t>
      </w:r>
      <w:r w:rsidRPr="00515AA2">
        <w:rPr>
          <w:i/>
          <w:iCs/>
          <w:color w:val="000000"/>
          <w:lang w:val="en-CA"/>
        </w:rPr>
        <w:t>C.</w:t>
      </w:r>
      <w:r w:rsidR="00E016E6" w:rsidRPr="00515AA2">
        <w:rPr>
          <w:i/>
          <w:iCs/>
          <w:color w:val="000000"/>
          <w:lang w:val="en-CA"/>
        </w:rPr>
        <w:t>C</w:t>
      </w:r>
      <w:r w:rsidRPr="00515AA2">
        <w:rPr>
          <w:i/>
          <w:iCs/>
          <w:color w:val="000000"/>
          <w:lang w:val="en-CA"/>
        </w:rPr>
        <w:t>.Q.</w:t>
      </w:r>
      <w:r w:rsidRPr="00515AA2">
        <w:rPr>
          <w:color w:val="000000"/>
          <w:lang w:val="en-CA"/>
        </w:rPr>
        <w:t xml:space="preserve">, </w:t>
      </w:r>
      <w:r w:rsidR="00E016E6" w:rsidRPr="00515AA2">
        <w:rPr>
          <w:color w:val="000000"/>
          <w:lang w:val="en-CA"/>
        </w:rPr>
        <w:t>to the extent that it requires a designation of sex on certificates of civil status</w:t>
      </w:r>
      <w:r w:rsidR="004B6AF8" w:rsidRPr="00515AA2">
        <w:rPr>
          <w:color w:val="000000"/>
          <w:lang w:val="en-CA"/>
        </w:rPr>
        <w:t>.</w:t>
      </w:r>
    </w:p>
    <w:p w14:paraId="07ADBE51" w14:textId="64AE5A87" w:rsidR="002E1DFE" w:rsidRPr="00515AA2" w:rsidRDefault="0058144B" w:rsidP="00F846E3">
      <w:pPr>
        <w:pStyle w:val="Paragraphe"/>
        <w:tabs>
          <w:tab w:val="clear" w:pos="360"/>
        </w:tabs>
        <w:spacing w:line="280" w:lineRule="exact"/>
        <w:rPr>
          <w:color w:val="000000"/>
          <w:lang w:val="en-CA"/>
        </w:rPr>
      </w:pPr>
      <w:r w:rsidRPr="00515AA2">
        <w:rPr>
          <w:color w:val="000000"/>
          <w:lang w:val="en-CA"/>
        </w:rPr>
        <w:t xml:space="preserve">As for </w:t>
      </w:r>
      <w:r w:rsidR="002E1DFE" w:rsidRPr="00515AA2">
        <w:rPr>
          <w:color w:val="000000"/>
          <w:lang w:val="en-CA"/>
        </w:rPr>
        <w:t>art</w:t>
      </w:r>
      <w:r w:rsidR="00E85830" w:rsidRPr="00515AA2">
        <w:rPr>
          <w:color w:val="000000"/>
          <w:lang w:val="en-CA"/>
        </w:rPr>
        <w:t>.</w:t>
      </w:r>
      <w:r w:rsidR="00AE7557" w:rsidRPr="00515AA2">
        <w:rPr>
          <w:color w:val="000000"/>
          <w:lang w:val="en-CA"/>
        </w:rPr>
        <w:t xml:space="preserve"> </w:t>
      </w:r>
      <w:r w:rsidR="002E1DFE" w:rsidRPr="00515AA2">
        <w:rPr>
          <w:color w:val="000000"/>
          <w:lang w:val="en-CA"/>
        </w:rPr>
        <w:t xml:space="preserve">132 </w:t>
      </w:r>
      <w:r w:rsidR="002E1DFE" w:rsidRPr="00515AA2">
        <w:rPr>
          <w:i/>
          <w:color w:val="000000"/>
          <w:lang w:val="en-CA"/>
        </w:rPr>
        <w:t>C.</w:t>
      </w:r>
      <w:r w:rsidRPr="00515AA2">
        <w:rPr>
          <w:i/>
          <w:color w:val="000000"/>
          <w:lang w:val="en-CA"/>
        </w:rPr>
        <w:t>C</w:t>
      </w:r>
      <w:r w:rsidR="002E1DFE" w:rsidRPr="00515AA2">
        <w:rPr>
          <w:i/>
          <w:color w:val="000000"/>
          <w:lang w:val="en-CA"/>
        </w:rPr>
        <w:t>.Q.</w:t>
      </w:r>
      <w:r w:rsidR="002E1DFE" w:rsidRPr="00515AA2">
        <w:rPr>
          <w:iCs/>
          <w:color w:val="000000"/>
          <w:lang w:val="en-CA"/>
        </w:rPr>
        <w:t xml:space="preserve">, </w:t>
      </w:r>
      <w:r w:rsidRPr="00515AA2">
        <w:rPr>
          <w:iCs/>
          <w:color w:val="000000"/>
          <w:lang w:val="en-CA"/>
        </w:rPr>
        <w:t>the judge declared that</w:t>
      </w:r>
      <w:r w:rsidR="00E85830" w:rsidRPr="00515AA2">
        <w:rPr>
          <w:iCs/>
          <w:color w:val="000000"/>
          <w:lang w:val="en-CA"/>
        </w:rPr>
        <w:t xml:space="preserve"> it</w:t>
      </w:r>
      <w:r w:rsidRPr="00515AA2">
        <w:rPr>
          <w:iCs/>
          <w:color w:val="000000"/>
          <w:lang w:val="en-CA"/>
        </w:rPr>
        <w:t xml:space="preserve"> must be interpreted and applied to authorize the registrar of civil status to draw up new acts of civil status for a person whose parent has changed their name or their designation of sex</w:t>
      </w:r>
      <w:r w:rsidR="002E1DFE" w:rsidRPr="00515AA2">
        <w:rPr>
          <w:color w:val="000000"/>
          <w:lang w:val="en-CA"/>
        </w:rPr>
        <w:t>.</w:t>
      </w:r>
    </w:p>
    <w:p w14:paraId="14C2564E" w14:textId="693136FF" w:rsidR="00CD0F6C" w:rsidRPr="00515AA2" w:rsidRDefault="005D1382" w:rsidP="00F846E3">
      <w:pPr>
        <w:pStyle w:val="Paragraphe"/>
        <w:tabs>
          <w:tab w:val="clear" w:pos="360"/>
        </w:tabs>
        <w:spacing w:line="280" w:lineRule="exact"/>
        <w:rPr>
          <w:color w:val="000000"/>
          <w:lang w:val="en-CA"/>
        </w:rPr>
      </w:pPr>
      <w:r w:rsidRPr="00515AA2">
        <w:rPr>
          <w:color w:val="000000"/>
          <w:lang w:val="en-CA"/>
        </w:rPr>
        <w:t>However, w</w:t>
      </w:r>
      <w:r w:rsidR="0058144B" w:rsidRPr="00515AA2">
        <w:rPr>
          <w:color w:val="000000"/>
          <w:lang w:val="en-CA"/>
        </w:rPr>
        <w:t>ishing to allow the legislator to make the required changes, the judge</w:t>
      </w:r>
      <w:r w:rsidR="00833322" w:rsidRPr="00515AA2">
        <w:rPr>
          <w:color w:val="000000"/>
          <w:lang w:val="en-CA"/>
        </w:rPr>
        <w:t xml:space="preserve"> </w:t>
      </w:r>
      <w:r w:rsidR="0058144B" w:rsidRPr="00515AA2">
        <w:rPr>
          <w:color w:val="000000"/>
          <w:lang w:val="en-CA"/>
        </w:rPr>
        <w:t xml:space="preserve">suspended the </w:t>
      </w:r>
      <w:r w:rsidR="003878CC" w:rsidRPr="00515AA2">
        <w:rPr>
          <w:color w:val="000000"/>
          <w:lang w:val="en-CA"/>
        </w:rPr>
        <w:t xml:space="preserve">effect of </w:t>
      </w:r>
      <w:r w:rsidR="0058144B" w:rsidRPr="00515AA2">
        <w:rPr>
          <w:color w:val="000000"/>
          <w:lang w:val="en-CA"/>
        </w:rPr>
        <w:t xml:space="preserve">most of his declarations of invalidity until December 31, </w:t>
      </w:r>
      <w:r w:rsidR="00182338" w:rsidRPr="00515AA2">
        <w:rPr>
          <w:color w:val="000000"/>
          <w:lang w:val="en-CA"/>
        </w:rPr>
        <w:t>2021</w:t>
      </w:r>
      <w:r w:rsidR="003878CC" w:rsidRPr="00515AA2">
        <w:rPr>
          <w:color w:val="000000"/>
          <w:lang w:val="en-CA"/>
        </w:rPr>
        <w:t>.</w:t>
      </w:r>
      <w:r w:rsidR="00E96313" w:rsidRPr="00515AA2">
        <w:rPr>
          <w:rStyle w:val="Appelnotedebasdep"/>
          <w:color w:val="000000"/>
          <w:lang w:val="en-CA"/>
        </w:rPr>
        <w:footnoteReference w:id="11"/>
      </w:r>
    </w:p>
    <w:p w14:paraId="3B9C88F6" w14:textId="415EA7CF" w:rsidR="008D5832" w:rsidRPr="00515AA2" w:rsidRDefault="00833322" w:rsidP="00F846E3">
      <w:pPr>
        <w:pStyle w:val="Paragraphe"/>
        <w:tabs>
          <w:tab w:val="clear" w:pos="360"/>
        </w:tabs>
        <w:spacing w:line="280" w:lineRule="exact"/>
        <w:rPr>
          <w:color w:val="000000"/>
          <w:lang w:val="en-CA"/>
        </w:rPr>
      </w:pPr>
      <w:r w:rsidRPr="00515AA2">
        <w:rPr>
          <w:color w:val="000000"/>
          <w:lang w:val="en-CA"/>
        </w:rPr>
        <w:t>However</w:t>
      </w:r>
      <w:r w:rsidR="008D5832" w:rsidRPr="00515AA2">
        <w:rPr>
          <w:color w:val="000000"/>
          <w:lang w:val="en-CA"/>
        </w:rPr>
        <w:t xml:space="preserve">, </w:t>
      </w:r>
      <w:r w:rsidR="008919DE" w:rsidRPr="00515AA2">
        <w:rPr>
          <w:color w:val="000000"/>
          <w:lang w:val="en-CA"/>
        </w:rPr>
        <w:t>al</w:t>
      </w:r>
      <w:r w:rsidRPr="00515AA2">
        <w:rPr>
          <w:color w:val="000000"/>
          <w:lang w:val="en-CA"/>
        </w:rPr>
        <w:t xml:space="preserve">though he </w:t>
      </w:r>
      <w:r w:rsidR="008919DE" w:rsidRPr="00515AA2">
        <w:rPr>
          <w:color w:val="000000"/>
          <w:lang w:val="en-CA"/>
        </w:rPr>
        <w:t>acknowledg</w:t>
      </w:r>
      <w:r w:rsidRPr="00515AA2">
        <w:rPr>
          <w:color w:val="000000"/>
          <w:lang w:val="en-CA"/>
        </w:rPr>
        <w:t xml:space="preserve">ed that the designation of sex </w:t>
      </w:r>
      <w:r w:rsidR="001E121C" w:rsidRPr="00515AA2">
        <w:rPr>
          <w:color w:val="000000"/>
          <w:lang w:val="en-CA"/>
        </w:rPr>
        <w:t>o</w:t>
      </w:r>
      <w:r w:rsidRPr="00515AA2">
        <w:rPr>
          <w:color w:val="000000"/>
          <w:lang w:val="en-CA"/>
        </w:rPr>
        <w:t>n the act of birth discr</w:t>
      </w:r>
      <w:r w:rsidR="00C739EF" w:rsidRPr="00515AA2">
        <w:rPr>
          <w:color w:val="000000"/>
          <w:lang w:val="en-CA"/>
        </w:rPr>
        <w:t>iminate</w:t>
      </w:r>
      <w:r w:rsidR="00E85830" w:rsidRPr="00515AA2">
        <w:rPr>
          <w:color w:val="000000"/>
          <w:lang w:val="en-CA"/>
        </w:rPr>
        <w:t>d</w:t>
      </w:r>
      <w:r w:rsidR="00C739EF" w:rsidRPr="00515AA2">
        <w:rPr>
          <w:color w:val="000000"/>
          <w:lang w:val="en-CA"/>
        </w:rPr>
        <w:t xml:space="preserve"> against transgender and non-binary people</w:t>
      </w:r>
      <w:r w:rsidR="002101A7" w:rsidRPr="00515AA2">
        <w:rPr>
          <w:color w:val="000000"/>
          <w:lang w:val="en-CA"/>
        </w:rPr>
        <w:t xml:space="preserve">, </w:t>
      </w:r>
      <w:r w:rsidR="00C739EF" w:rsidRPr="00515AA2">
        <w:rPr>
          <w:color w:val="000000"/>
          <w:lang w:val="en-CA"/>
        </w:rPr>
        <w:t xml:space="preserve">he concluded that such discrimination </w:t>
      </w:r>
      <w:r w:rsidR="00E85830" w:rsidRPr="00515AA2">
        <w:rPr>
          <w:color w:val="000000"/>
          <w:lang w:val="en-CA"/>
        </w:rPr>
        <w:t>wa</w:t>
      </w:r>
      <w:r w:rsidR="00C739EF" w:rsidRPr="00515AA2">
        <w:rPr>
          <w:color w:val="000000"/>
          <w:lang w:val="en-CA"/>
        </w:rPr>
        <w:t>s justified to the extent that it provide</w:t>
      </w:r>
      <w:r w:rsidR="00E85830" w:rsidRPr="00515AA2">
        <w:rPr>
          <w:color w:val="000000"/>
          <w:lang w:val="en-CA"/>
        </w:rPr>
        <w:t>d</w:t>
      </w:r>
      <w:r w:rsidR="00C739EF" w:rsidRPr="00515AA2">
        <w:rPr>
          <w:color w:val="000000"/>
          <w:lang w:val="en-CA"/>
        </w:rPr>
        <w:t xml:space="preserve"> an important benefit to society by allowing the recording of births in Quebec to be centralized and making it easier for people to prove their civil status</w:t>
      </w:r>
      <w:r w:rsidR="008D5832" w:rsidRPr="00515AA2">
        <w:rPr>
          <w:color w:val="000000"/>
          <w:lang w:val="en-CA"/>
        </w:rPr>
        <w:t xml:space="preserve">. </w:t>
      </w:r>
      <w:r w:rsidR="00C739EF" w:rsidRPr="00515AA2">
        <w:rPr>
          <w:color w:val="000000"/>
          <w:lang w:val="en-CA"/>
        </w:rPr>
        <w:t>He therefore reject</w:t>
      </w:r>
      <w:r w:rsidR="008919DE" w:rsidRPr="00515AA2">
        <w:rPr>
          <w:color w:val="000000"/>
          <w:lang w:val="en-CA"/>
        </w:rPr>
        <w:t>ed</w:t>
      </w:r>
      <w:r w:rsidR="00C739EF" w:rsidRPr="00515AA2">
        <w:rPr>
          <w:color w:val="000000"/>
          <w:lang w:val="en-CA"/>
        </w:rPr>
        <w:t xml:space="preserve"> the respondents’</w:t>
      </w:r>
      <w:r w:rsidR="002101A7" w:rsidRPr="00515AA2">
        <w:rPr>
          <w:color w:val="000000"/>
          <w:lang w:val="en-CA"/>
        </w:rPr>
        <w:t xml:space="preserve"> propos</w:t>
      </w:r>
      <w:r w:rsidR="001E121C" w:rsidRPr="00515AA2">
        <w:rPr>
          <w:color w:val="000000"/>
          <w:lang w:val="en-CA"/>
        </w:rPr>
        <w:t>al</w:t>
      </w:r>
      <w:r w:rsidR="002101A7" w:rsidRPr="00515AA2">
        <w:rPr>
          <w:color w:val="000000"/>
          <w:lang w:val="en-CA"/>
        </w:rPr>
        <w:t xml:space="preserve"> </w:t>
      </w:r>
      <w:r w:rsidR="00C739EF" w:rsidRPr="00515AA2">
        <w:rPr>
          <w:color w:val="000000"/>
          <w:lang w:val="en-CA"/>
        </w:rPr>
        <w:t xml:space="preserve">to remove any designation of sex </w:t>
      </w:r>
      <w:r w:rsidR="001E121C" w:rsidRPr="00515AA2">
        <w:rPr>
          <w:color w:val="000000"/>
          <w:lang w:val="en-CA"/>
        </w:rPr>
        <w:t>o</w:t>
      </w:r>
      <w:r w:rsidR="00C739EF" w:rsidRPr="00515AA2">
        <w:rPr>
          <w:color w:val="000000"/>
          <w:lang w:val="en-CA"/>
        </w:rPr>
        <w:t>n the act of birth before a person has had the opportunity to choose the designation that best corresponds</w:t>
      </w:r>
      <w:r w:rsidR="008919DE" w:rsidRPr="00515AA2">
        <w:rPr>
          <w:color w:val="000000"/>
          <w:lang w:val="en-CA"/>
        </w:rPr>
        <w:t xml:space="preserve"> to their </w:t>
      </w:r>
      <w:r w:rsidR="001E121C" w:rsidRPr="00515AA2">
        <w:rPr>
          <w:color w:val="000000"/>
          <w:lang w:val="en-CA"/>
        </w:rPr>
        <w:t>true</w:t>
      </w:r>
      <w:r w:rsidR="008919DE" w:rsidRPr="00515AA2">
        <w:rPr>
          <w:color w:val="000000"/>
          <w:lang w:val="en-CA"/>
        </w:rPr>
        <w:t xml:space="preserve"> gender identity</w:t>
      </w:r>
      <w:r w:rsidR="002101A7" w:rsidRPr="00515AA2">
        <w:rPr>
          <w:color w:val="000000"/>
          <w:lang w:val="en-CA"/>
        </w:rPr>
        <w:t xml:space="preserve">. </w:t>
      </w:r>
      <w:r w:rsidR="008919DE" w:rsidRPr="00515AA2">
        <w:rPr>
          <w:color w:val="000000"/>
          <w:lang w:val="en-CA"/>
        </w:rPr>
        <w:t xml:space="preserve">In his view, this </w:t>
      </w:r>
      <w:r w:rsidR="00E85830" w:rsidRPr="00515AA2">
        <w:rPr>
          <w:color w:val="000000"/>
          <w:lang w:val="en-CA"/>
        </w:rPr>
        <w:t>was</w:t>
      </w:r>
      <w:r w:rsidR="008919DE" w:rsidRPr="00515AA2">
        <w:rPr>
          <w:color w:val="000000"/>
          <w:lang w:val="en-CA"/>
        </w:rPr>
        <w:t xml:space="preserve"> a minimal </w:t>
      </w:r>
      <w:r w:rsidR="00B83208" w:rsidRPr="00515AA2">
        <w:rPr>
          <w:color w:val="000000"/>
          <w:lang w:val="en-CA"/>
        </w:rPr>
        <w:t>impairment,</w:t>
      </w:r>
      <w:r w:rsidR="008919DE" w:rsidRPr="00515AA2">
        <w:rPr>
          <w:color w:val="000000"/>
          <w:lang w:val="en-CA"/>
        </w:rPr>
        <w:t xml:space="preserve"> and</w:t>
      </w:r>
      <w:r w:rsidR="001E121C" w:rsidRPr="00515AA2">
        <w:rPr>
          <w:color w:val="000000"/>
          <w:lang w:val="en-CA"/>
        </w:rPr>
        <w:t xml:space="preserve"> </w:t>
      </w:r>
      <w:r w:rsidR="008919DE" w:rsidRPr="00515AA2">
        <w:rPr>
          <w:color w:val="000000"/>
          <w:lang w:val="en-CA"/>
        </w:rPr>
        <w:t xml:space="preserve">it </w:t>
      </w:r>
      <w:r w:rsidR="00E85830" w:rsidRPr="00515AA2">
        <w:rPr>
          <w:color w:val="000000"/>
          <w:lang w:val="en-CA"/>
        </w:rPr>
        <w:t>would</w:t>
      </w:r>
      <w:r w:rsidR="008919DE" w:rsidRPr="00515AA2">
        <w:rPr>
          <w:color w:val="000000"/>
          <w:lang w:val="en-CA"/>
        </w:rPr>
        <w:t xml:space="preserve"> be possible </w:t>
      </w:r>
      <w:r w:rsidR="001E121C" w:rsidRPr="00515AA2">
        <w:rPr>
          <w:color w:val="000000"/>
          <w:lang w:val="en-CA"/>
        </w:rPr>
        <w:t xml:space="preserve">in any event </w:t>
      </w:r>
      <w:r w:rsidR="008919DE" w:rsidRPr="00515AA2">
        <w:rPr>
          <w:color w:val="000000"/>
          <w:lang w:val="en-CA"/>
        </w:rPr>
        <w:t xml:space="preserve">to </w:t>
      </w:r>
      <w:r w:rsidR="00A27447" w:rsidRPr="00515AA2">
        <w:rPr>
          <w:color w:val="000000"/>
          <w:lang w:val="en-CA"/>
        </w:rPr>
        <w:t>apply to</w:t>
      </w:r>
      <w:r w:rsidR="008919DE" w:rsidRPr="00515AA2">
        <w:rPr>
          <w:color w:val="000000"/>
          <w:lang w:val="en-CA"/>
        </w:rPr>
        <w:t xml:space="preserve"> the registrar of civil status </w:t>
      </w:r>
      <w:r w:rsidR="00346ABF" w:rsidRPr="00515AA2">
        <w:rPr>
          <w:color w:val="000000"/>
          <w:lang w:val="en-CA"/>
        </w:rPr>
        <w:t xml:space="preserve">at a later time </w:t>
      </w:r>
      <w:r w:rsidR="008919DE" w:rsidRPr="00515AA2">
        <w:rPr>
          <w:color w:val="000000"/>
          <w:lang w:val="en-CA"/>
        </w:rPr>
        <w:t xml:space="preserve">to change the designation of sex </w:t>
      </w:r>
      <w:r w:rsidR="00E44CEE" w:rsidRPr="00515AA2">
        <w:rPr>
          <w:color w:val="000000"/>
          <w:lang w:val="en-CA"/>
        </w:rPr>
        <w:t xml:space="preserve">that </w:t>
      </w:r>
      <w:r w:rsidR="008919DE" w:rsidRPr="00515AA2">
        <w:rPr>
          <w:color w:val="000000"/>
          <w:lang w:val="en-CA"/>
        </w:rPr>
        <w:t>appear</w:t>
      </w:r>
      <w:r w:rsidR="00E44CEE" w:rsidRPr="00515AA2">
        <w:rPr>
          <w:color w:val="000000"/>
          <w:lang w:val="en-CA"/>
        </w:rPr>
        <w:t>s</w:t>
      </w:r>
      <w:r w:rsidR="008919DE" w:rsidRPr="00515AA2">
        <w:rPr>
          <w:color w:val="000000"/>
          <w:lang w:val="en-CA"/>
        </w:rPr>
        <w:t xml:space="preserve"> </w:t>
      </w:r>
      <w:r w:rsidR="00E44CEE" w:rsidRPr="00515AA2">
        <w:rPr>
          <w:color w:val="000000"/>
          <w:lang w:val="en-CA"/>
        </w:rPr>
        <w:t>i</w:t>
      </w:r>
      <w:r w:rsidR="008919DE" w:rsidRPr="00515AA2">
        <w:rPr>
          <w:color w:val="000000"/>
          <w:lang w:val="en-CA"/>
        </w:rPr>
        <w:t xml:space="preserve">n the act of birth </w:t>
      </w:r>
      <w:r w:rsidR="003D70E2" w:rsidRPr="00515AA2">
        <w:rPr>
          <w:color w:val="000000"/>
          <w:lang w:val="en-CA"/>
        </w:rPr>
        <w:t>so as</w:t>
      </w:r>
      <w:r w:rsidR="00346ABF" w:rsidRPr="00515AA2">
        <w:rPr>
          <w:color w:val="000000"/>
          <w:lang w:val="en-CA"/>
        </w:rPr>
        <w:t xml:space="preserve"> to reflect the person’s </w:t>
      </w:r>
      <w:r w:rsidR="001E121C" w:rsidRPr="00515AA2">
        <w:rPr>
          <w:color w:val="000000"/>
          <w:lang w:val="en-CA"/>
        </w:rPr>
        <w:t>true</w:t>
      </w:r>
      <w:r w:rsidR="00346ABF" w:rsidRPr="00515AA2">
        <w:rPr>
          <w:color w:val="000000"/>
          <w:lang w:val="en-CA"/>
        </w:rPr>
        <w:t xml:space="preserve"> gender identity</w:t>
      </w:r>
      <w:r w:rsidR="00847888" w:rsidRPr="00515AA2">
        <w:rPr>
          <w:color w:val="000000"/>
          <w:lang w:val="en-CA"/>
        </w:rPr>
        <w:t>.</w:t>
      </w:r>
    </w:p>
    <w:p w14:paraId="46F5F3C5" w14:textId="235E9336" w:rsidR="00351B63" w:rsidRPr="00515AA2" w:rsidRDefault="005D1382" w:rsidP="00F846E3">
      <w:pPr>
        <w:pStyle w:val="Paragraphe"/>
        <w:tabs>
          <w:tab w:val="clear" w:pos="360"/>
        </w:tabs>
        <w:spacing w:line="280" w:lineRule="exact"/>
        <w:rPr>
          <w:color w:val="000000"/>
          <w:lang w:val="en-CA"/>
        </w:rPr>
      </w:pPr>
      <w:r w:rsidRPr="00515AA2">
        <w:rPr>
          <w:color w:val="000000"/>
          <w:lang w:val="en-CA"/>
        </w:rPr>
        <w:t>Moreover, h</w:t>
      </w:r>
      <w:r w:rsidR="0089147D" w:rsidRPr="00515AA2">
        <w:rPr>
          <w:color w:val="000000"/>
          <w:lang w:val="en-CA"/>
        </w:rPr>
        <w:t xml:space="preserve">e refused to strike down </w:t>
      </w:r>
      <w:r w:rsidR="006A08BF" w:rsidRPr="00515AA2">
        <w:rPr>
          <w:color w:val="000000"/>
          <w:lang w:val="en-CA"/>
        </w:rPr>
        <w:t>art</w:t>
      </w:r>
      <w:r w:rsidR="003D70E2" w:rsidRPr="00515AA2">
        <w:rPr>
          <w:color w:val="000000"/>
          <w:lang w:val="en-CA"/>
        </w:rPr>
        <w:t>.</w:t>
      </w:r>
      <w:r w:rsidR="00873B58" w:rsidRPr="00515AA2">
        <w:rPr>
          <w:color w:val="000000"/>
          <w:lang w:val="en-CA"/>
        </w:rPr>
        <w:t> </w:t>
      </w:r>
      <w:r w:rsidR="006A08BF" w:rsidRPr="00515AA2">
        <w:rPr>
          <w:color w:val="000000"/>
          <w:lang w:val="en-CA"/>
        </w:rPr>
        <w:t xml:space="preserve">62 </w:t>
      </w:r>
      <w:r w:rsidR="006A08BF" w:rsidRPr="00515AA2">
        <w:rPr>
          <w:i/>
          <w:color w:val="000000"/>
          <w:lang w:val="en-CA"/>
        </w:rPr>
        <w:t>C.</w:t>
      </w:r>
      <w:r w:rsidR="0089147D" w:rsidRPr="00515AA2">
        <w:rPr>
          <w:i/>
          <w:color w:val="000000"/>
          <w:lang w:val="en-CA"/>
        </w:rPr>
        <w:t>C</w:t>
      </w:r>
      <w:r w:rsidR="006A08BF" w:rsidRPr="00515AA2">
        <w:rPr>
          <w:i/>
          <w:color w:val="000000"/>
          <w:lang w:val="en-CA"/>
        </w:rPr>
        <w:t>.Q</w:t>
      </w:r>
      <w:r w:rsidR="00B83208" w:rsidRPr="00515AA2">
        <w:rPr>
          <w:color w:val="000000"/>
          <w:lang w:val="en-CA"/>
        </w:rPr>
        <w:t xml:space="preserve"> </w:t>
      </w:r>
      <w:r w:rsidR="0089147D" w:rsidRPr="00515AA2">
        <w:rPr>
          <w:color w:val="000000"/>
          <w:lang w:val="en-CA"/>
        </w:rPr>
        <w:t xml:space="preserve">because </w:t>
      </w:r>
      <w:r w:rsidR="008D57E0" w:rsidRPr="00515AA2">
        <w:rPr>
          <w:color w:val="000000"/>
          <w:lang w:val="en-CA"/>
        </w:rPr>
        <w:t>he found that</w:t>
      </w:r>
      <w:r w:rsidR="0089147D" w:rsidRPr="00515AA2">
        <w:rPr>
          <w:color w:val="000000"/>
          <w:lang w:val="en-CA"/>
        </w:rPr>
        <w:t xml:space="preserve"> allowing parents to object to their child’s application for a change of given name, when the application is motivated by a gender identity issue, </w:t>
      </w:r>
      <w:r w:rsidR="003D70E2" w:rsidRPr="00515AA2">
        <w:rPr>
          <w:color w:val="000000"/>
          <w:lang w:val="en-CA"/>
        </w:rPr>
        <w:t>did</w:t>
      </w:r>
      <w:r w:rsidR="0089147D" w:rsidRPr="00515AA2">
        <w:rPr>
          <w:color w:val="000000"/>
          <w:lang w:val="en-CA"/>
        </w:rPr>
        <w:t xml:space="preserve"> not infringe the rights of transgender or non-binary minors.</w:t>
      </w:r>
      <w:r w:rsidR="00E96313" w:rsidRPr="00515AA2">
        <w:rPr>
          <w:rStyle w:val="Appelnotedebasdep"/>
          <w:color w:val="000000"/>
          <w:lang w:val="en-CA"/>
        </w:rPr>
        <w:footnoteReference w:id="12"/>
      </w:r>
    </w:p>
    <w:p w14:paraId="7744E3F3" w14:textId="1D97F4B8" w:rsidR="00DA18CD" w:rsidRPr="00515AA2" w:rsidRDefault="00563D88" w:rsidP="00F846E3">
      <w:pPr>
        <w:pStyle w:val="Paragraphe"/>
        <w:spacing w:line="280" w:lineRule="exact"/>
        <w:rPr>
          <w:color w:val="000000"/>
          <w:lang w:val="en-CA"/>
        </w:rPr>
      </w:pPr>
      <w:r w:rsidRPr="00515AA2">
        <w:rPr>
          <w:color w:val="000000"/>
          <w:lang w:val="en-CA"/>
        </w:rPr>
        <w:t>In response to the judgment</w:t>
      </w:r>
      <w:r w:rsidR="00DA18CD" w:rsidRPr="00515AA2">
        <w:rPr>
          <w:color w:val="000000"/>
          <w:lang w:val="en-CA"/>
        </w:rPr>
        <w:t xml:space="preserve">, </w:t>
      </w:r>
      <w:r w:rsidRPr="00515AA2">
        <w:rPr>
          <w:color w:val="000000"/>
          <w:lang w:val="en-CA"/>
        </w:rPr>
        <w:t xml:space="preserve">the legislator </w:t>
      </w:r>
      <w:r w:rsidR="006A65FF" w:rsidRPr="00515AA2">
        <w:rPr>
          <w:color w:val="000000"/>
          <w:lang w:val="en-CA"/>
        </w:rPr>
        <w:t>introduced</w:t>
      </w:r>
      <w:r w:rsidRPr="00515AA2">
        <w:rPr>
          <w:color w:val="000000"/>
          <w:lang w:val="en-CA"/>
        </w:rPr>
        <w:t xml:space="preserve"> new legislative amendments in</w:t>
      </w:r>
      <w:r w:rsidR="00DA18CD" w:rsidRPr="00515AA2">
        <w:rPr>
          <w:color w:val="000000"/>
          <w:lang w:val="en-CA"/>
        </w:rPr>
        <w:t xml:space="preserve"> 2022</w:t>
      </w:r>
      <w:r w:rsidRPr="00515AA2">
        <w:rPr>
          <w:color w:val="000000"/>
          <w:lang w:val="en-CA"/>
        </w:rPr>
        <w:t>.</w:t>
      </w:r>
      <w:r w:rsidR="00DA18CD" w:rsidRPr="00515AA2">
        <w:rPr>
          <w:rStyle w:val="Appelnotedebasdep"/>
          <w:color w:val="000000"/>
          <w:lang w:val="en-CA"/>
        </w:rPr>
        <w:footnoteReference w:id="13"/>
      </w:r>
      <w:r w:rsidR="00DA18CD" w:rsidRPr="00515AA2">
        <w:rPr>
          <w:color w:val="000000"/>
          <w:lang w:val="en-CA"/>
        </w:rPr>
        <w:t xml:space="preserve"> </w:t>
      </w:r>
      <w:r w:rsidRPr="00515AA2">
        <w:rPr>
          <w:color w:val="000000"/>
          <w:lang w:val="en-CA"/>
        </w:rPr>
        <w:t xml:space="preserve">Among other things, it deleted the Canadian citizenship requirement contained in </w:t>
      </w:r>
      <w:r w:rsidR="00B83208" w:rsidRPr="00515AA2">
        <w:rPr>
          <w:color w:val="000000"/>
          <w:lang w:val="en-CA"/>
        </w:rPr>
        <w:t>articles</w:t>
      </w:r>
      <w:r w:rsidR="00DA18CD" w:rsidRPr="00515AA2">
        <w:rPr>
          <w:color w:val="000000"/>
          <w:lang w:val="en-CA"/>
        </w:rPr>
        <w:t xml:space="preserve"> 59 </w:t>
      </w:r>
      <w:r w:rsidRPr="00515AA2">
        <w:rPr>
          <w:color w:val="000000"/>
          <w:lang w:val="en-CA"/>
        </w:rPr>
        <w:t>and</w:t>
      </w:r>
      <w:r w:rsidR="00DA18CD" w:rsidRPr="00515AA2">
        <w:rPr>
          <w:color w:val="000000"/>
          <w:lang w:val="en-CA"/>
        </w:rPr>
        <w:t xml:space="preserve"> 71 </w:t>
      </w:r>
      <w:r w:rsidR="00DA18CD" w:rsidRPr="00515AA2">
        <w:rPr>
          <w:i/>
          <w:iCs/>
          <w:color w:val="000000"/>
          <w:lang w:val="en-CA"/>
        </w:rPr>
        <w:t>C.</w:t>
      </w:r>
      <w:r w:rsidRPr="00515AA2">
        <w:rPr>
          <w:i/>
          <w:iCs/>
          <w:color w:val="000000"/>
          <w:lang w:val="en-CA"/>
        </w:rPr>
        <w:t>C</w:t>
      </w:r>
      <w:r w:rsidR="00DA18CD" w:rsidRPr="00515AA2">
        <w:rPr>
          <w:i/>
          <w:iCs/>
          <w:color w:val="000000"/>
          <w:lang w:val="en-CA"/>
        </w:rPr>
        <w:t>.Q.</w:t>
      </w:r>
      <w:r w:rsidR="00DA18CD" w:rsidRPr="00515AA2">
        <w:rPr>
          <w:rStyle w:val="Appelnotedebasdep"/>
          <w:color w:val="000000"/>
          <w:lang w:val="en-CA"/>
        </w:rPr>
        <w:footnoteReference w:id="14"/>
      </w:r>
      <w:r w:rsidR="00DA18CD" w:rsidRPr="00515AA2">
        <w:rPr>
          <w:i/>
          <w:iCs/>
          <w:color w:val="000000"/>
          <w:lang w:val="en-CA"/>
        </w:rPr>
        <w:t xml:space="preserve"> </w:t>
      </w:r>
      <w:r w:rsidRPr="00515AA2">
        <w:rPr>
          <w:color w:val="000000"/>
          <w:lang w:val="en-CA"/>
        </w:rPr>
        <w:t>and added a new art</w:t>
      </w:r>
      <w:r w:rsidR="003D70E2" w:rsidRPr="00515AA2">
        <w:rPr>
          <w:color w:val="000000"/>
          <w:lang w:val="en-CA"/>
        </w:rPr>
        <w:t>icle</w:t>
      </w:r>
      <w:r w:rsidR="00DA18CD" w:rsidRPr="00515AA2">
        <w:rPr>
          <w:color w:val="000000"/>
          <w:lang w:val="en-CA"/>
        </w:rPr>
        <w:t xml:space="preserve"> 70.1 </w:t>
      </w:r>
      <w:r w:rsidR="00DA18CD" w:rsidRPr="00515AA2">
        <w:rPr>
          <w:i/>
          <w:iCs/>
          <w:color w:val="000000"/>
          <w:lang w:val="en-CA"/>
        </w:rPr>
        <w:t>C.</w:t>
      </w:r>
      <w:r w:rsidRPr="00515AA2">
        <w:rPr>
          <w:i/>
          <w:iCs/>
          <w:color w:val="000000"/>
          <w:lang w:val="en-CA"/>
        </w:rPr>
        <w:t>C</w:t>
      </w:r>
      <w:r w:rsidR="00DA18CD" w:rsidRPr="00515AA2">
        <w:rPr>
          <w:i/>
          <w:iCs/>
          <w:color w:val="000000"/>
          <w:lang w:val="en-CA"/>
        </w:rPr>
        <w:t>.Q.</w:t>
      </w:r>
      <w:r w:rsidR="00DA18CD" w:rsidRPr="00515AA2">
        <w:rPr>
          <w:color w:val="000000"/>
          <w:lang w:val="en-CA"/>
        </w:rPr>
        <w:t xml:space="preserve"> </w:t>
      </w:r>
      <w:r w:rsidRPr="00515AA2">
        <w:rPr>
          <w:color w:val="000000"/>
          <w:lang w:val="en-CA"/>
        </w:rPr>
        <w:t xml:space="preserve">to provide that the designation of sex </w:t>
      </w:r>
      <w:r w:rsidR="00E44CEE" w:rsidRPr="00515AA2">
        <w:rPr>
          <w:color w:val="000000"/>
          <w:lang w:val="en-CA"/>
        </w:rPr>
        <w:t xml:space="preserve">that </w:t>
      </w:r>
      <w:r w:rsidRPr="00515AA2">
        <w:rPr>
          <w:color w:val="000000"/>
          <w:lang w:val="en-CA"/>
        </w:rPr>
        <w:t>appear</w:t>
      </w:r>
      <w:r w:rsidR="00E44CEE" w:rsidRPr="00515AA2">
        <w:rPr>
          <w:color w:val="000000"/>
          <w:lang w:val="en-CA"/>
        </w:rPr>
        <w:t>s</w:t>
      </w:r>
      <w:r w:rsidRPr="00515AA2">
        <w:rPr>
          <w:color w:val="000000"/>
          <w:lang w:val="en-CA"/>
        </w:rPr>
        <w:t xml:space="preserve"> </w:t>
      </w:r>
      <w:r w:rsidR="000F251F" w:rsidRPr="00515AA2">
        <w:rPr>
          <w:color w:val="000000"/>
          <w:lang w:val="en-CA"/>
        </w:rPr>
        <w:t>i</w:t>
      </w:r>
      <w:r w:rsidRPr="00515AA2">
        <w:rPr>
          <w:color w:val="000000"/>
          <w:lang w:val="en-CA"/>
        </w:rPr>
        <w:t>n a person’s act of birth or</w:t>
      </w:r>
      <w:r w:rsidR="000F251F" w:rsidRPr="00515AA2">
        <w:rPr>
          <w:color w:val="000000"/>
          <w:lang w:val="en-CA"/>
        </w:rPr>
        <w:t xml:space="preserve"> act of</w:t>
      </w:r>
      <w:r w:rsidRPr="00515AA2">
        <w:rPr>
          <w:color w:val="000000"/>
          <w:lang w:val="en-CA"/>
        </w:rPr>
        <w:t xml:space="preserve"> death can refer to the “non-binary”</w:t>
      </w:r>
      <w:r w:rsidR="00777671" w:rsidRPr="00515AA2">
        <w:rPr>
          <w:color w:val="000000"/>
          <w:lang w:val="en-CA"/>
        </w:rPr>
        <w:t xml:space="preserve"> identifier</w:t>
      </w:r>
      <w:r w:rsidRPr="00515AA2">
        <w:rPr>
          <w:color w:val="000000"/>
          <w:lang w:val="en-CA"/>
        </w:rPr>
        <w:t>.</w:t>
      </w:r>
      <w:r w:rsidR="00DA18CD" w:rsidRPr="00515AA2">
        <w:rPr>
          <w:rStyle w:val="Appelnotedebasdep"/>
          <w:color w:val="000000"/>
          <w:lang w:val="en-CA"/>
        </w:rPr>
        <w:footnoteReference w:id="15"/>
      </w:r>
      <w:r w:rsidR="00DA18CD" w:rsidRPr="00515AA2">
        <w:rPr>
          <w:color w:val="000000"/>
          <w:lang w:val="en-CA"/>
        </w:rPr>
        <w:t xml:space="preserve"> </w:t>
      </w:r>
      <w:r w:rsidRPr="00515AA2">
        <w:rPr>
          <w:color w:val="000000"/>
          <w:lang w:val="en-CA"/>
        </w:rPr>
        <w:t xml:space="preserve">It amended several provisions of the </w:t>
      </w:r>
      <w:r w:rsidR="00DA18CD" w:rsidRPr="00515AA2">
        <w:rPr>
          <w:i/>
          <w:iCs/>
          <w:color w:val="000000"/>
          <w:lang w:val="en-CA"/>
        </w:rPr>
        <w:t>C</w:t>
      </w:r>
      <w:r w:rsidRPr="00515AA2">
        <w:rPr>
          <w:i/>
          <w:iCs/>
          <w:color w:val="000000"/>
          <w:lang w:val="en-CA"/>
        </w:rPr>
        <w:t>ivil C</w:t>
      </w:r>
      <w:r w:rsidR="00DA18CD" w:rsidRPr="00515AA2">
        <w:rPr>
          <w:i/>
          <w:iCs/>
          <w:color w:val="000000"/>
          <w:lang w:val="en-CA"/>
        </w:rPr>
        <w:t xml:space="preserve">ode </w:t>
      </w:r>
      <w:r w:rsidRPr="00515AA2">
        <w:rPr>
          <w:color w:val="000000"/>
          <w:lang w:val="en-CA"/>
        </w:rPr>
        <w:t>which ref</w:t>
      </w:r>
      <w:r w:rsidR="00157A77" w:rsidRPr="00515AA2">
        <w:rPr>
          <w:color w:val="000000"/>
          <w:lang w:val="en-CA"/>
        </w:rPr>
        <w:t>erred</w:t>
      </w:r>
      <w:r w:rsidRPr="00515AA2">
        <w:rPr>
          <w:color w:val="000000"/>
          <w:lang w:val="en-CA"/>
        </w:rPr>
        <w:t xml:space="preserve"> to the father and mother, including</w:t>
      </w:r>
      <w:r w:rsidR="003D70E2" w:rsidRPr="00515AA2">
        <w:rPr>
          <w:color w:val="000000"/>
          <w:lang w:val="en-CA"/>
        </w:rPr>
        <w:t xml:space="preserve"> </w:t>
      </w:r>
      <w:r w:rsidR="00B83208" w:rsidRPr="00515AA2">
        <w:rPr>
          <w:color w:val="000000"/>
          <w:lang w:val="en-CA"/>
        </w:rPr>
        <w:t>articles</w:t>
      </w:r>
      <w:r w:rsidRPr="00515AA2">
        <w:rPr>
          <w:color w:val="000000"/>
          <w:lang w:val="en-CA"/>
        </w:rPr>
        <w:t xml:space="preserve"> </w:t>
      </w:r>
      <w:r w:rsidR="00DA18CD" w:rsidRPr="00515AA2">
        <w:rPr>
          <w:color w:val="000000"/>
          <w:lang w:val="en-CA"/>
        </w:rPr>
        <w:t>111 </w:t>
      </w:r>
      <w:r w:rsidRPr="00515AA2">
        <w:rPr>
          <w:color w:val="000000"/>
          <w:lang w:val="en-CA"/>
        </w:rPr>
        <w:t>and</w:t>
      </w:r>
      <w:r w:rsidR="00DA18CD" w:rsidRPr="00515AA2">
        <w:rPr>
          <w:color w:val="000000"/>
          <w:lang w:val="en-CA"/>
        </w:rPr>
        <w:t> 115 </w:t>
      </w:r>
      <w:r w:rsidR="00DA18CD" w:rsidRPr="00515AA2">
        <w:rPr>
          <w:i/>
          <w:iCs/>
          <w:color w:val="000000"/>
          <w:lang w:val="en-CA"/>
        </w:rPr>
        <w:t>C.</w:t>
      </w:r>
      <w:r w:rsidRPr="00515AA2">
        <w:rPr>
          <w:i/>
          <w:iCs/>
          <w:color w:val="000000"/>
          <w:lang w:val="en-CA"/>
        </w:rPr>
        <w:t>C</w:t>
      </w:r>
      <w:r w:rsidR="00DA18CD" w:rsidRPr="00515AA2">
        <w:rPr>
          <w:i/>
          <w:iCs/>
          <w:color w:val="000000"/>
          <w:lang w:val="en-CA"/>
        </w:rPr>
        <w:t>.Q.</w:t>
      </w:r>
      <w:r w:rsidR="00DA18CD" w:rsidRPr="00515AA2">
        <w:rPr>
          <w:color w:val="000000"/>
          <w:lang w:val="en-CA"/>
        </w:rPr>
        <w:t xml:space="preserve">, </w:t>
      </w:r>
      <w:r w:rsidRPr="00515AA2">
        <w:rPr>
          <w:color w:val="000000"/>
          <w:lang w:val="en-CA"/>
        </w:rPr>
        <w:t>to add the notion of “</w:t>
      </w:r>
      <w:r w:rsidR="00DA18CD" w:rsidRPr="00515AA2">
        <w:rPr>
          <w:color w:val="000000"/>
          <w:lang w:val="en-CA"/>
        </w:rPr>
        <w:t>parent</w:t>
      </w:r>
      <w:r w:rsidRPr="00515AA2">
        <w:rPr>
          <w:color w:val="000000"/>
          <w:lang w:val="en-CA"/>
        </w:rPr>
        <w:t>”</w:t>
      </w:r>
      <w:r w:rsidR="00DA18CD" w:rsidRPr="00515AA2">
        <w:rPr>
          <w:rStyle w:val="Appelnotedebasdep"/>
          <w:color w:val="000000"/>
          <w:lang w:val="en-CA"/>
        </w:rPr>
        <w:footnoteReference w:id="16"/>
      </w:r>
      <w:r w:rsidR="00DA18CD" w:rsidRPr="00515AA2">
        <w:rPr>
          <w:color w:val="000000"/>
          <w:lang w:val="en-CA"/>
        </w:rPr>
        <w:t xml:space="preserve"> </w:t>
      </w:r>
      <w:r w:rsidR="006A65FF" w:rsidRPr="00515AA2">
        <w:rPr>
          <w:color w:val="000000"/>
          <w:lang w:val="en-CA"/>
        </w:rPr>
        <w:t xml:space="preserve">and </w:t>
      </w:r>
      <w:r w:rsidR="00D97694" w:rsidRPr="00515AA2">
        <w:rPr>
          <w:color w:val="000000"/>
          <w:lang w:val="en-CA"/>
        </w:rPr>
        <w:t xml:space="preserve">allowed a change of designation as father, mother or parent of a person mentioned in their child’s act of birth so that it corresponds to the designation of sex in </w:t>
      </w:r>
      <w:r w:rsidR="00D97694" w:rsidRPr="00515AA2">
        <w:rPr>
          <w:color w:val="000000"/>
          <w:lang w:val="en-CA"/>
        </w:rPr>
        <w:lastRenderedPageBreak/>
        <w:t>their own act of birth or so that the designation of “parent” appears instead</w:t>
      </w:r>
      <w:r w:rsidR="00777671" w:rsidRPr="00515AA2">
        <w:rPr>
          <w:color w:val="000000"/>
          <w:lang w:val="en-CA"/>
        </w:rPr>
        <w:t>.</w:t>
      </w:r>
      <w:r w:rsidR="00DA18CD" w:rsidRPr="00515AA2">
        <w:rPr>
          <w:rStyle w:val="Appelnotedebasdep"/>
          <w:color w:val="000000"/>
          <w:lang w:val="en-CA"/>
        </w:rPr>
        <w:footnoteReference w:id="17"/>
      </w:r>
      <w:r w:rsidR="00DA18CD" w:rsidRPr="00515AA2">
        <w:rPr>
          <w:color w:val="000000"/>
          <w:lang w:val="en-CA"/>
        </w:rPr>
        <w:t xml:space="preserve"> </w:t>
      </w:r>
      <w:r w:rsidR="00777671" w:rsidRPr="00515AA2">
        <w:rPr>
          <w:color w:val="000000"/>
          <w:lang w:val="en-CA"/>
        </w:rPr>
        <w:t>Finally, it amended art</w:t>
      </w:r>
      <w:r w:rsidR="003D70E2" w:rsidRPr="00515AA2">
        <w:rPr>
          <w:color w:val="000000"/>
          <w:lang w:val="en-CA"/>
        </w:rPr>
        <w:t>.</w:t>
      </w:r>
      <w:r w:rsidR="00DA18CD" w:rsidRPr="00515AA2">
        <w:rPr>
          <w:color w:val="000000"/>
          <w:lang w:val="en-CA"/>
        </w:rPr>
        <w:t xml:space="preserve"> 146 </w:t>
      </w:r>
      <w:r w:rsidR="00DA18CD" w:rsidRPr="00515AA2">
        <w:rPr>
          <w:i/>
          <w:iCs/>
          <w:color w:val="000000"/>
          <w:lang w:val="en-CA"/>
        </w:rPr>
        <w:t>C.</w:t>
      </w:r>
      <w:r w:rsidR="00777671" w:rsidRPr="00515AA2">
        <w:rPr>
          <w:i/>
          <w:iCs/>
          <w:color w:val="000000"/>
          <w:lang w:val="en-CA"/>
        </w:rPr>
        <w:t>C.</w:t>
      </w:r>
      <w:r w:rsidR="00DA18CD" w:rsidRPr="00515AA2">
        <w:rPr>
          <w:i/>
          <w:iCs/>
          <w:color w:val="000000"/>
          <w:lang w:val="en-CA"/>
        </w:rPr>
        <w:t>Q.</w:t>
      </w:r>
      <w:r w:rsidR="00DA18CD" w:rsidRPr="00515AA2">
        <w:rPr>
          <w:color w:val="000000"/>
          <w:lang w:val="en-CA"/>
        </w:rPr>
        <w:t xml:space="preserve"> </w:t>
      </w:r>
      <w:r w:rsidR="00777671" w:rsidRPr="00515AA2">
        <w:rPr>
          <w:color w:val="000000"/>
          <w:lang w:val="en-CA"/>
        </w:rPr>
        <w:t>to specify that</w:t>
      </w:r>
      <w:r w:rsidR="00DA18CD" w:rsidRPr="00515AA2">
        <w:rPr>
          <w:color w:val="000000"/>
          <w:lang w:val="en-CA"/>
        </w:rPr>
        <w:t xml:space="preserve"> </w:t>
      </w:r>
      <w:r w:rsidR="00777671" w:rsidRPr="00515AA2">
        <w:rPr>
          <w:color w:val="000000"/>
          <w:lang w:val="en-CA"/>
        </w:rPr>
        <w:t>a person’s certificate of civil status states</w:t>
      </w:r>
      <w:r w:rsidR="00DA18CD" w:rsidRPr="00515AA2">
        <w:rPr>
          <w:color w:val="000000"/>
          <w:lang w:val="en-CA"/>
        </w:rPr>
        <w:t xml:space="preserve"> </w:t>
      </w:r>
      <w:r w:rsidR="00777671" w:rsidRPr="00515AA2">
        <w:rPr>
          <w:color w:val="000000"/>
          <w:lang w:val="en-CA"/>
        </w:rPr>
        <w:t xml:space="preserve">their </w:t>
      </w:r>
      <w:r w:rsidR="00777671" w:rsidRPr="00515AA2">
        <w:rPr>
          <w:color w:val="000000"/>
          <w:u w:val="single"/>
          <w:lang w:val="en-CA"/>
        </w:rPr>
        <w:t>designation</w:t>
      </w:r>
      <w:r w:rsidR="006A65FF" w:rsidRPr="00515AA2">
        <w:rPr>
          <w:color w:val="000000"/>
          <w:u w:val="single"/>
          <w:lang w:val="en-CA"/>
        </w:rPr>
        <w:t xml:space="preserve"> of</w:t>
      </w:r>
      <w:r w:rsidR="00DA18CD" w:rsidRPr="00515AA2">
        <w:rPr>
          <w:color w:val="000000"/>
          <w:u w:val="single"/>
          <w:lang w:val="en-CA"/>
        </w:rPr>
        <w:t xml:space="preserve"> sex</w:t>
      </w:r>
      <w:r w:rsidR="006A65FF" w:rsidRPr="00515AA2">
        <w:rPr>
          <w:color w:val="000000"/>
          <w:lang w:val="en-CA"/>
        </w:rPr>
        <w:t>,</w:t>
      </w:r>
      <w:r w:rsidR="00DA18CD" w:rsidRPr="00515AA2">
        <w:rPr>
          <w:rStyle w:val="Appelnotedebasdep"/>
          <w:color w:val="000000"/>
          <w:lang w:val="en-CA"/>
        </w:rPr>
        <w:footnoteReference w:id="18"/>
      </w:r>
      <w:r w:rsidR="006A65FF" w:rsidRPr="00515AA2">
        <w:rPr>
          <w:color w:val="000000"/>
          <w:lang w:val="en-CA"/>
        </w:rPr>
        <w:t xml:space="preserve"> whereas the previous version provided that “[a] certificate of civil status sets forth the person’s name, </w:t>
      </w:r>
      <w:r w:rsidR="006A65FF" w:rsidRPr="00515AA2">
        <w:rPr>
          <w:color w:val="000000"/>
          <w:u w:val="single"/>
          <w:lang w:val="en-CA"/>
        </w:rPr>
        <w:t>sex</w:t>
      </w:r>
      <w:r w:rsidR="006A65FF" w:rsidRPr="00515AA2">
        <w:rPr>
          <w:color w:val="000000"/>
          <w:lang w:val="en-CA"/>
        </w:rPr>
        <w:t>, place and date of birth</w:t>
      </w:r>
      <w:r w:rsidR="00DA18CD" w:rsidRPr="00515AA2">
        <w:rPr>
          <w:color w:val="000000"/>
          <w:lang w:val="en-CA"/>
        </w:rPr>
        <w:t>.</w:t>
      </w:r>
      <w:r w:rsidR="006A65FF" w:rsidRPr="00515AA2">
        <w:rPr>
          <w:color w:val="000000"/>
          <w:lang w:val="en-CA"/>
        </w:rPr>
        <w:t>”</w:t>
      </w:r>
    </w:p>
    <w:p w14:paraId="59A54957" w14:textId="67587D86" w:rsidR="00DA18CD" w:rsidRPr="00515AA2" w:rsidRDefault="00157A77" w:rsidP="00F846E3">
      <w:pPr>
        <w:pStyle w:val="Paragraphe"/>
        <w:tabs>
          <w:tab w:val="clear" w:pos="360"/>
        </w:tabs>
        <w:spacing w:line="280" w:lineRule="exact"/>
        <w:rPr>
          <w:color w:val="000000"/>
          <w:lang w:val="en-CA"/>
        </w:rPr>
      </w:pPr>
      <w:r w:rsidRPr="00515AA2">
        <w:rPr>
          <w:color w:val="000000"/>
          <w:lang w:val="en-CA"/>
        </w:rPr>
        <w:t xml:space="preserve">Before </w:t>
      </w:r>
      <w:r w:rsidR="00F42857" w:rsidRPr="00515AA2">
        <w:rPr>
          <w:color w:val="000000"/>
          <w:lang w:val="en-CA"/>
        </w:rPr>
        <w:t>turning to the</w:t>
      </w:r>
      <w:r w:rsidRPr="00515AA2">
        <w:rPr>
          <w:color w:val="000000"/>
          <w:lang w:val="en-CA"/>
        </w:rPr>
        <w:t xml:space="preserve"> analysis of the </w:t>
      </w:r>
      <w:r w:rsidR="00F42857" w:rsidRPr="00515AA2">
        <w:rPr>
          <w:color w:val="000000"/>
          <w:lang w:val="en-CA"/>
        </w:rPr>
        <w:t xml:space="preserve">provisions </w:t>
      </w:r>
      <w:r w:rsidR="003D70E2" w:rsidRPr="00515AA2">
        <w:rPr>
          <w:color w:val="000000"/>
          <w:lang w:val="en-CA"/>
        </w:rPr>
        <w:t>challenged</w:t>
      </w:r>
      <w:r w:rsidR="00F42857" w:rsidRPr="00515AA2">
        <w:rPr>
          <w:color w:val="000000"/>
          <w:lang w:val="en-CA"/>
        </w:rPr>
        <w:t xml:space="preserve"> on appeal, it will be helpful to provide a brief overview of the legislative background in Quebec and its</w:t>
      </w:r>
      <w:r w:rsidR="00DA18CD" w:rsidRPr="00515AA2">
        <w:rPr>
          <w:color w:val="000000"/>
          <w:lang w:val="en-CA"/>
        </w:rPr>
        <w:t xml:space="preserve"> </w:t>
      </w:r>
      <w:r w:rsidR="00F42857" w:rsidRPr="00515AA2">
        <w:rPr>
          <w:color w:val="000000"/>
          <w:lang w:val="en-CA"/>
        </w:rPr>
        <w:t>e</w:t>
      </w:r>
      <w:r w:rsidR="00DA18CD" w:rsidRPr="00515AA2">
        <w:rPr>
          <w:color w:val="000000"/>
          <w:lang w:val="en-CA"/>
        </w:rPr>
        <w:t>volution.</w:t>
      </w:r>
    </w:p>
    <w:p w14:paraId="3AC68396" w14:textId="3604B36C" w:rsidR="00574163" w:rsidRPr="00515AA2" w:rsidRDefault="009C6688" w:rsidP="004C5ECB">
      <w:pPr>
        <w:pStyle w:val="Titre2"/>
        <w:rPr>
          <w:color w:val="000000"/>
        </w:rPr>
      </w:pPr>
      <w:bookmarkStart w:id="26" w:name="_Toc161830102"/>
      <w:r w:rsidRPr="00515AA2">
        <w:rPr>
          <w:color w:val="000000"/>
        </w:rPr>
        <w:t>Overview of the Legislative Background and its Evolution in Quebec</w:t>
      </w:r>
      <w:bookmarkEnd w:id="26"/>
    </w:p>
    <w:p w14:paraId="52E99F82" w14:textId="48D468E7" w:rsidR="00497E35" w:rsidRPr="00515AA2" w:rsidRDefault="00933FA8" w:rsidP="00F846E3">
      <w:pPr>
        <w:pStyle w:val="Paragraphe"/>
        <w:tabs>
          <w:tab w:val="clear" w:pos="360"/>
        </w:tabs>
        <w:spacing w:line="280" w:lineRule="exact"/>
        <w:rPr>
          <w:color w:val="000000"/>
          <w:lang w:val="en-CA"/>
        </w:rPr>
      </w:pPr>
      <w:r w:rsidRPr="00515AA2">
        <w:rPr>
          <w:color w:val="000000"/>
          <w:lang w:val="en-CA"/>
        </w:rPr>
        <w:t>The</w:t>
      </w:r>
      <w:r w:rsidR="00C239B2" w:rsidRPr="00515AA2">
        <w:rPr>
          <w:color w:val="000000"/>
          <w:lang w:val="en-CA"/>
        </w:rPr>
        <w:t xml:space="preserve"> </w:t>
      </w:r>
      <w:r w:rsidRPr="00515AA2">
        <w:rPr>
          <w:color w:val="000000"/>
          <w:lang w:val="en-CA"/>
        </w:rPr>
        <w:t xml:space="preserve">rules </w:t>
      </w:r>
      <w:r w:rsidR="004A4BF9" w:rsidRPr="00515AA2">
        <w:rPr>
          <w:color w:val="000000"/>
          <w:lang w:val="en-CA"/>
        </w:rPr>
        <w:t>for</w:t>
      </w:r>
      <w:r w:rsidR="00C239B2" w:rsidRPr="00515AA2">
        <w:rPr>
          <w:color w:val="000000"/>
          <w:lang w:val="en-CA"/>
        </w:rPr>
        <w:t xml:space="preserve"> obtain</w:t>
      </w:r>
      <w:r w:rsidR="004A4BF9" w:rsidRPr="00515AA2">
        <w:rPr>
          <w:color w:val="000000"/>
          <w:lang w:val="en-CA"/>
        </w:rPr>
        <w:t>ing</w:t>
      </w:r>
      <w:r w:rsidR="00C239B2" w:rsidRPr="00515AA2">
        <w:rPr>
          <w:color w:val="000000"/>
          <w:lang w:val="en-CA"/>
        </w:rPr>
        <w:t xml:space="preserve"> a </w:t>
      </w:r>
      <w:r w:rsidRPr="00515AA2">
        <w:rPr>
          <w:color w:val="000000"/>
          <w:lang w:val="en-CA"/>
        </w:rPr>
        <w:t>change of the designation of sex or</w:t>
      </w:r>
      <w:r w:rsidR="00C239B2" w:rsidRPr="00515AA2">
        <w:rPr>
          <w:color w:val="000000"/>
          <w:lang w:val="en-CA"/>
        </w:rPr>
        <w:t xml:space="preserve"> </w:t>
      </w:r>
      <w:r w:rsidRPr="00515AA2">
        <w:rPr>
          <w:color w:val="000000"/>
          <w:lang w:val="en-CA"/>
        </w:rPr>
        <w:t>a name appearing</w:t>
      </w:r>
      <w:r w:rsidR="00476F78" w:rsidRPr="00515AA2">
        <w:rPr>
          <w:color w:val="000000"/>
          <w:lang w:val="en-CA"/>
        </w:rPr>
        <w:t xml:space="preserve"> </w:t>
      </w:r>
      <w:r w:rsidRPr="00515AA2">
        <w:rPr>
          <w:color w:val="000000"/>
          <w:lang w:val="en-CA"/>
        </w:rPr>
        <w:t>in the register and act</w:t>
      </w:r>
      <w:r w:rsidR="00C239B2" w:rsidRPr="00515AA2">
        <w:rPr>
          <w:color w:val="000000"/>
          <w:lang w:val="en-CA"/>
        </w:rPr>
        <w:t>s</w:t>
      </w:r>
      <w:r w:rsidRPr="00515AA2">
        <w:rPr>
          <w:color w:val="000000"/>
          <w:lang w:val="en-CA"/>
        </w:rPr>
        <w:t xml:space="preserve"> of civil status are found in Chapter I</w:t>
      </w:r>
      <w:r w:rsidR="00C239B2" w:rsidRPr="00515AA2">
        <w:rPr>
          <w:color w:val="000000"/>
          <w:lang w:val="en-CA"/>
        </w:rPr>
        <w:t>,</w:t>
      </w:r>
      <w:r w:rsidRPr="00515AA2">
        <w:rPr>
          <w:color w:val="000000"/>
          <w:lang w:val="en-CA"/>
        </w:rPr>
        <w:t xml:space="preserve"> entitled </w:t>
      </w:r>
      <w:r w:rsidRPr="00515AA2">
        <w:rPr>
          <w:i/>
          <w:iCs/>
          <w:smallCaps/>
          <w:color w:val="000000"/>
          <w:lang w:val="en-CA"/>
        </w:rPr>
        <w:t>NAME AND DESIGNATION OF SEX</w:t>
      </w:r>
      <w:r w:rsidR="00C239B2" w:rsidRPr="00515AA2">
        <w:rPr>
          <w:smallCaps/>
          <w:color w:val="000000"/>
          <w:lang w:val="en-CA"/>
        </w:rPr>
        <w:t>,</w:t>
      </w:r>
      <w:r w:rsidR="00476F78" w:rsidRPr="00515AA2">
        <w:rPr>
          <w:color w:val="000000"/>
          <w:lang w:val="en-CA"/>
        </w:rPr>
        <w:t xml:space="preserve"> </w:t>
      </w:r>
      <w:r w:rsidRPr="00515AA2">
        <w:rPr>
          <w:color w:val="000000"/>
          <w:lang w:val="en-CA"/>
        </w:rPr>
        <w:t>of Title Three</w:t>
      </w:r>
      <w:r w:rsidR="00476F78" w:rsidRPr="00515AA2">
        <w:rPr>
          <w:color w:val="000000"/>
          <w:lang w:val="en-CA"/>
        </w:rPr>
        <w:t xml:space="preserve"> </w:t>
      </w:r>
      <w:r w:rsidRPr="00515AA2">
        <w:rPr>
          <w:color w:val="000000"/>
          <w:lang w:val="en-CA"/>
        </w:rPr>
        <w:t>of the</w:t>
      </w:r>
      <w:r w:rsidR="00476F78" w:rsidRPr="00515AA2">
        <w:rPr>
          <w:color w:val="000000"/>
          <w:lang w:val="en-CA"/>
        </w:rPr>
        <w:t xml:space="preserve"> </w:t>
      </w:r>
      <w:r w:rsidR="00476F78" w:rsidRPr="00515AA2">
        <w:rPr>
          <w:i/>
          <w:iCs/>
          <w:color w:val="000000"/>
          <w:lang w:val="en-CA"/>
        </w:rPr>
        <w:t>C</w:t>
      </w:r>
      <w:r w:rsidRPr="00515AA2">
        <w:rPr>
          <w:i/>
          <w:iCs/>
          <w:color w:val="000000"/>
          <w:lang w:val="en-CA"/>
        </w:rPr>
        <w:t>ivil C</w:t>
      </w:r>
      <w:r w:rsidR="00476F78" w:rsidRPr="00515AA2">
        <w:rPr>
          <w:i/>
          <w:iCs/>
          <w:color w:val="000000"/>
          <w:lang w:val="en-CA"/>
        </w:rPr>
        <w:t xml:space="preserve">ode </w:t>
      </w:r>
      <w:r w:rsidRPr="00515AA2">
        <w:rPr>
          <w:i/>
          <w:iCs/>
          <w:color w:val="000000"/>
          <w:lang w:val="en-CA"/>
        </w:rPr>
        <w:t>of</w:t>
      </w:r>
      <w:r w:rsidR="00476F78" w:rsidRPr="00515AA2">
        <w:rPr>
          <w:i/>
          <w:iCs/>
          <w:color w:val="000000"/>
          <w:lang w:val="en-CA"/>
        </w:rPr>
        <w:t xml:space="preserve"> Qu</w:t>
      </w:r>
      <w:r w:rsidRPr="00515AA2">
        <w:rPr>
          <w:i/>
          <w:iCs/>
          <w:color w:val="000000"/>
          <w:lang w:val="en-CA"/>
        </w:rPr>
        <w:t>é</w:t>
      </w:r>
      <w:r w:rsidR="00476F78" w:rsidRPr="00515AA2">
        <w:rPr>
          <w:i/>
          <w:iCs/>
          <w:color w:val="000000"/>
          <w:lang w:val="en-CA"/>
        </w:rPr>
        <w:t>bec</w:t>
      </w:r>
      <w:r w:rsidR="00C239B2" w:rsidRPr="00515AA2">
        <w:rPr>
          <w:color w:val="000000"/>
          <w:lang w:val="en-CA"/>
        </w:rPr>
        <w:t>,</w:t>
      </w:r>
      <w:r w:rsidR="00476F78" w:rsidRPr="00515AA2">
        <w:rPr>
          <w:color w:val="000000"/>
          <w:lang w:val="en-CA"/>
        </w:rPr>
        <w:t xml:space="preserve"> </w:t>
      </w:r>
      <w:r w:rsidRPr="00515AA2">
        <w:rPr>
          <w:color w:val="000000"/>
          <w:lang w:val="en-CA"/>
        </w:rPr>
        <w:t>entitled</w:t>
      </w:r>
      <w:r w:rsidR="00476F78" w:rsidRPr="00515AA2">
        <w:rPr>
          <w:color w:val="000000"/>
          <w:lang w:val="en-CA"/>
        </w:rPr>
        <w:t xml:space="preserve"> </w:t>
      </w:r>
      <w:r w:rsidRPr="00515AA2">
        <w:rPr>
          <w:i/>
          <w:iCs/>
          <w:smallCaps/>
          <w:color w:val="000000"/>
          <w:lang w:val="en-CA"/>
        </w:rPr>
        <w:t>CERTAIN PARTICULARS RELATING TO THE STATUS OF PERSONS</w:t>
      </w:r>
      <w:r w:rsidR="00476F78" w:rsidRPr="00515AA2">
        <w:rPr>
          <w:i/>
          <w:iCs/>
          <w:smallCaps/>
          <w:color w:val="000000"/>
          <w:lang w:val="en-CA"/>
        </w:rPr>
        <w:t>.</w:t>
      </w:r>
    </w:p>
    <w:p w14:paraId="1F6CE847" w14:textId="6F6DC576" w:rsidR="00476F78" w:rsidRPr="00515AA2" w:rsidRDefault="00C239B2" w:rsidP="00F846E3">
      <w:pPr>
        <w:pStyle w:val="Paragraphe"/>
        <w:tabs>
          <w:tab w:val="clear" w:pos="360"/>
        </w:tabs>
        <w:spacing w:line="280" w:lineRule="exact"/>
        <w:rPr>
          <w:color w:val="000000"/>
          <w:lang w:val="en-CA"/>
        </w:rPr>
      </w:pPr>
      <w:r w:rsidRPr="00515AA2">
        <w:rPr>
          <w:color w:val="000000"/>
          <w:lang w:val="en-CA"/>
        </w:rPr>
        <w:t>Pursuant to those provisions</w:t>
      </w:r>
      <w:r w:rsidR="0029247E" w:rsidRPr="00515AA2">
        <w:rPr>
          <w:color w:val="000000"/>
          <w:lang w:val="en-CA"/>
        </w:rPr>
        <w:t>,</w:t>
      </w:r>
      <w:r w:rsidR="00EF49D8" w:rsidRPr="00515AA2">
        <w:rPr>
          <w:color w:val="000000"/>
          <w:lang w:val="en-CA"/>
        </w:rPr>
        <w:t xml:space="preserve"> </w:t>
      </w:r>
      <w:r w:rsidRPr="00515AA2">
        <w:rPr>
          <w:color w:val="000000"/>
          <w:lang w:val="en-CA"/>
        </w:rPr>
        <w:t xml:space="preserve">the acts of civil status are </w:t>
      </w:r>
      <w:r w:rsidR="000D6507" w:rsidRPr="00515AA2">
        <w:rPr>
          <w:color w:val="000000"/>
          <w:lang w:val="en-CA"/>
        </w:rPr>
        <w:t>acts of birth, acts of marriage or civil union and acts of death</w:t>
      </w:r>
      <w:r w:rsidR="00476F78" w:rsidRPr="00515AA2">
        <w:rPr>
          <w:color w:val="000000"/>
          <w:lang w:val="en-CA"/>
        </w:rPr>
        <w:t xml:space="preserve"> (art.</w:t>
      </w:r>
      <w:r w:rsidR="00873B58" w:rsidRPr="00515AA2">
        <w:rPr>
          <w:color w:val="000000"/>
          <w:lang w:val="en-CA"/>
        </w:rPr>
        <w:t> </w:t>
      </w:r>
      <w:r w:rsidR="00476F78" w:rsidRPr="00515AA2">
        <w:rPr>
          <w:color w:val="000000"/>
          <w:lang w:val="en-CA"/>
        </w:rPr>
        <w:t xml:space="preserve">107 </w:t>
      </w:r>
      <w:r w:rsidR="00476F78" w:rsidRPr="00515AA2">
        <w:rPr>
          <w:i/>
          <w:iCs/>
          <w:color w:val="000000"/>
          <w:lang w:val="en-CA"/>
        </w:rPr>
        <w:t>C.</w:t>
      </w:r>
      <w:r w:rsidR="000D6507"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000D6507" w:rsidRPr="00515AA2">
        <w:rPr>
          <w:color w:val="000000"/>
          <w:lang w:val="en-CA"/>
        </w:rPr>
        <w:t xml:space="preserve">and the registrar of civil status is the officer responsible for drawing up and </w:t>
      </w:r>
      <w:r w:rsidR="005D1382" w:rsidRPr="00515AA2">
        <w:rPr>
          <w:color w:val="000000"/>
          <w:lang w:val="en-CA"/>
        </w:rPr>
        <w:t xml:space="preserve">modifying </w:t>
      </w:r>
      <w:r w:rsidR="000D6507" w:rsidRPr="00515AA2">
        <w:rPr>
          <w:color w:val="000000"/>
          <w:lang w:val="en-CA"/>
        </w:rPr>
        <w:t>those acts</w:t>
      </w:r>
      <w:r w:rsidR="00476F78" w:rsidRPr="00515AA2">
        <w:rPr>
          <w:color w:val="000000"/>
          <w:lang w:val="en-CA"/>
        </w:rPr>
        <w:t xml:space="preserve">. </w:t>
      </w:r>
      <w:r w:rsidR="000D6507" w:rsidRPr="00515AA2">
        <w:rPr>
          <w:color w:val="000000"/>
          <w:lang w:val="en-CA"/>
        </w:rPr>
        <w:t>The registrar</w:t>
      </w:r>
      <w:r w:rsidR="00476F78" w:rsidRPr="00515AA2">
        <w:rPr>
          <w:color w:val="000000"/>
          <w:lang w:val="en-CA"/>
        </w:rPr>
        <w:t xml:space="preserve"> </w:t>
      </w:r>
      <w:r w:rsidR="000D6507" w:rsidRPr="00515AA2">
        <w:rPr>
          <w:color w:val="000000"/>
          <w:lang w:val="en-CA"/>
        </w:rPr>
        <w:t xml:space="preserve">is also responsible for the keeping </w:t>
      </w:r>
      <w:r w:rsidR="004A4BF9" w:rsidRPr="00515AA2">
        <w:rPr>
          <w:color w:val="000000"/>
          <w:lang w:val="en-CA"/>
        </w:rPr>
        <w:t>and custody</w:t>
      </w:r>
      <w:r w:rsidR="003D70E2" w:rsidRPr="00515AA2">
        <w:rPr>
          <w:color w:val="000000"/>
          <w:lang w:val="en-CA"/>
        </w:rPr>
        <w:t xml:space="preserve"> of</w:t>
      </w:r>
      <w:r w:rsidR="004A4BF9" w:rsidRPr="00515AA2">
        <w:rPr>
          <w:color w:val="000000"/>
          <w:lang w:val="en-CA"/>
        </w:rPr>
        <w:t xml:space="preserve"> </w:t>
      </w:r>
      <w:r w:rsidR="000D6507" w:rsidRPr="00515AA2">
        <w:rPr>
          <w:color w:val="000000"/>
          <w:lang w:val="en-CA"/>
        </w:rPr>
        <w:t xml:space="preserve">the register of civil status </w:t>
      </w:r>
      <w:r w:rsidR="00476F78" w:rsidRPr="00515AA2">
        <w:rPr>
          <w:color w:val="000000"/>
          <w:lang w:val="en-CA"/>
        </w:rPr>
        <w:t>(</w:t>
      </w:r>
      <w:r w:rsidR="000D6507" w:rsidRPr="00515AA2">
        <w:rPr>
          <w:color w:val="000000"/>
          <w:lang w:val="en-CA"/>
        </w:rPr>
        <w:t xml:space="preserve">consisting of all the acts of civil status and the juridical acts by which they are </w:t>
      </w:r>
      <w:r w:rsidR="005D1382" w:rsidRPr="00515AA2">
        <w:rPr>
          <w:color w:val="000000"/>
          <w:lang w:val="en-CA"/>
        </w:rPr>
        <w:t>modified</w:t>
      </w:r>
      <w:r w:rsidR="00476F78" w:rsidRPr="00515AA2">
        <w:rPr>
          <w:color w:val="000000"/>
          <w:lang w:val="en-CA"/>
        </w:rPr>
        <w:t>)</w:t>
      </w:r>
      <w:r w:rsidR="004A4BF9" w:rsidRPr="00515AA2">
        <w:rPr>
          <w:color w:val="000000"/>
          <w:lang w:val="en-CA"/>
        </w:rPr>
        <w:t xml:space="preserve"> </w:t>
      </w:r>
      <w:r w:rsidR="000D6507" w:rsidRPr="00515AA2">
        <w:rPr>
          <w:color w:val="000000"/>
          <w:lang w:val="en-CA"/>
        </w:rPr>
        <w:t>and for ensuring its publication</w:t>
      </w:r>
      <w:r w:rsidR="00476F78" w:rsidRPr="00515AA2">
        <w:rPr>
          <w:color w:val="000000"/>
          <w:lang w:val="en-CA"/>
        </w:rPr>
        <w:t xml:space="preserve"> (art.</w:t>
      </w:r>
      <w:r w:rsidR="00873B58" w:rsidRPr="00515AA2">
        <w:rPr>
          <w:color w:val="000000"/>
          <w:lang w:val="en-CA"/>
        </w:rPr>
        <w:t> </w:t>
      </w:r>
      <w:r w:rsidR="00476F78" w:rsidRPr="00515AA2">
        <w:rPr>
          <w:color w:val="000000"/>
          <w:lang w:val="en-CA"/>
        </w:rPr>
        <w:t xml:space="preserve">103 </w:t>
      </w:r>
      <w:r w:rsidR="00476F78" w:rsidRPr="00515AA2">
        <w:rPr>
          <w:i/>
          <w:iCs/>
          <w:color w:val="000000"/>
          <w:lang w:val="en-CA"/>
        </w:rPr>
        <w:t>C.</w:t>
      </w:r>
      <w:r w:rsidR="000D6507" w:rsidRPr="00515AA2">
        <w:rPr>
          <w:i/>
          <w:iCs/>
          <w:color w:val="000000"/>
          <w:lang w:val="en-CA"/>
        </w:rPr>
        <w:t>C</w:t>
      </w:r>
      <w:r w:rsidR="00476F78" w:rsidRPr="00515AA2">
        <w:rPr>
          <w:i/>
          <w:iCs/>
          <w:color w:val="000000"/>
          <w:lang w:val="en-CA"/>
        </w:rPr>
        <w:t>.Q.</w:t>
      </w:r>
      <w:r w:rsidR="00476F78" w:rsidRPr="00515AA2">
        <w:rPr>
          <w:color w:val="000000"/>
          <w:lang w:val="en-CA"/>
        </w:rPr>
        <w:t>).</w:t>
      </w:r>
    </w:p>
    <w:p w14:paraId="3017A62A" w14:textId="6C33270C" w:rsidR="00476F78" w:rsidRPr="00515AA2" w:rsidRDefault="004A4BF9" w:rsidP="00F846E3">
      <w:pPr>
        <w:pStyle w:val="Paragraphe"/>
        <w:tabs>
          <w:tab w:val="clear" w:pos="360"/>
        </w:tabs>
        <w:spacing w:line="280" w:lineRule="exact"/>
        <w:rPr>
          <w:color w:val="000000"/>
          <w:lang w:val="en-CA"/>
        </w:rPr>
      </w:pPr>
      <w:r w:rsidRPr="00515AA2">
        <w:rPr>
          <w:color w:val="000000"/>
          <w:lang w:val="en-CA"/>
        </w:rPr>
        <w:t>A newly born person’s act of birth is drawn up</w:t>
      </w:r>
      <w:r w:rsidR="00D66B3F" w:rsidRPr="00515AA2">
        <w:rPr>
          <w:color w:val="000000"/>
          <w:lang w:val="en-CA"/>
        </w:rPr>
        <w:t xml:space="preserve"> on the basis of the attestation of birth and of the declaration of birth</w:t>
      </w:r>
      <w:r w:rsidR="00476F78" w:rsidRPr="00515AA2">
        <w:rPr>
          <w:color w:val="000000"/>
          <w:lang w:val="en-CA"/>
        </w:rPr>
        <w:t xml:space="preserve">. </w:t>
      </w:r>
      <w:r w:rsidR="00D66B3F" w:rsidRPr="00515AA2">
        <w:rPr>
          <w:color w:val="000000"/>
          <w:lang w:val="en-CA"/>
        </w:rPr>
        <w:t>The attestation of birth is drawn up by the accoucheur</w:t>
      </w:r>
      <w:r w:rsidR="00476F78" w:rsidRPr="00515AA2">
        <w:rPr>
          <w:color w:val="000000"/>
          <w:lang w:val="en-CA"/>
        </w:rPr>
        <w:t xml:space="preserve"> </w:t>
      </w:r>
      <w:r w:rsidR="00D97694" w:rsidRPr="00515AA2">
        <w:rPr>
          <w:color w:val="000000"/>
          <w:lang w:val="en-CA"/>
        </w:rPr>
        <w:t xml:space="preserve">(the person who delivered the baby) </w:t>
      </w:r>
      <w:r w:rsidR="00D66B3F" w:rsidRPr="00515AA2">
        <w:rPr>
          <w:color w:val="000000"/>
          <w:lang w:val="en-CA"/>
        </w:rPr>
        <w:t>and indicates</w:t>
      </w:r>
      <w:r w:rsidR="00476F78" w:rsidRPr="00515AA2">
        <w:rPr>
          <w:color w:val="000000"/>
          <w:lang w:val="en-CA"/>
        </w:rPr>
        <w:t xml:space="preserve"> </w:t>
      </w:r>
      <w:r w:rsidR="00D66B3F" w:rsidRPr="00515AA2">
        <w:rPr>
          <w:color w:val="000000"/>
          <w:lang w:val="en-CA"/>
        </w:rPr>
        <w:t>the place, date and time of birth, the apparent sex of the child, and the name and domicile of the mother or of the parent who gave birth to the child</w:t>
      </w:r>
      <w:r w:rsidR="00476F78" w:rsidRPr="00515AA2">
        <w:rPr>
          <w:color w:val="000000"/>
          <w:lang w:val="en-CA"/>
        </w:rPr>
        <w:t xml:space="preserve"> (art.</w:t>
      </w:r>
      <w:r w:rsidR="00873B58" w:rsidRPr="00515AA2">
        <w:rPr>
          <w:color w:val="000000"/>
          <w:lang w:val="en-CA"/>
        </w:rPr>
        <w:t> </w:t>
      </w:r>
      <w:r w:rsidR="00476F78" w:rsidRPr="00515AA2">
        <w:rPr>
          <w:color w:val="000000"/>
          <w:lang w:val="en-CA"/>
        </w:rPr>
        <w:t xml:space="preserve">111 </w:t>
      </w:r>
      <w:r w:rsidR="00476F78" w:rsidRPr="00515AA2">
        <w:rPr>
          <w:i/>
          <w:iCs/>
          <w:color w:val="000000"/>
          <w:lang w:val="en-CA"/>
        </w:rPr>
        <w:t>C.</w:t>
      </w:r>
      <w:r w:rsidR="00D66B3F"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00D66B3F" w:rsidRPr="00515AA2">
        <w:rPr>
          <w:color w:val="000000"/>
          <w:lang w:val="en-CA"/>
        </w:rPr>
        <w:t xml:space="preserve">The </w:t>
      </w:r>
      <w:r w:rsidR="00476F78" w:rsidRPr="00515AA2">
        <w:rPr>
          <w:color w:val="000000"/>
          <w:lang w:val="en-CA"/>
        </w:rPr>
        <w:t xml:space="preserve">accoucheur </w:t>
      </w:r>
      <w:r w:rsidR="00BA47DB" w:rsidRPr="00515AA2">
        <w:rPr>
          <w:color w:val="000000"/>
          <w:lang w:val="en-CA"/>
        </w:rPr>
        <w:t xml:space="preserve">transmits a copy of the attestation to those who are required to declare the birth and transmits another copy of the attestation to the registrar of civil status </w:t>
      </w:r>
      <w:r w:rsidR="00476F78" w:rsidRPr="00515AA2">
        <w:rPr>
          <w:color w:val="000000"/>
          <w:lang w:val="en-CA"/>
        </w:rPr>
        <w:t>(art.</w:t>
      </w:r>
      <w:r w:rsidR="00264CD3" w:rsidRPr="00515AA2">
        <w:rPr>
          <w:color w:val="000000"/>
          <w:lang w:val="en-CA"/>
        </w:rPr>
        <w:t> </w:t>
      </w:r>
      <w:r w:rsidR="00476F78" w:rsidRPr="00515AA2">
        <w:rPr>
          <w:color w:val="000000"/>
          <w:lang w:val="en-CA"/>
        </w:rPr>
        <w:t>112 </w:t>
      </w:r>
      <w:r w:rsidR="00476F78" w:rsidRPr="00515AA2">
        <w:rPr>
          <w:i/>
          <w:iCs/>
          <w:color w:val="000000"/>
          <w:lang w:val="en-CA"/>
        </w:rPr>
        <w:t>C.</w:t>
      </w:r>
      <w:r w:rsidR="00BA47DB"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00BA47DB" w:rsidRPr="00515AA2">
        <w:rPr>
          <w:color w:val="000000"/>
          <w:lang w:val="en-CA"/>
        </w:rPr>
        <w:t xml:space="preserve">The parents, or one of them, then declare the birth of the child to the registrar of civil status </w:t>
      </w:r>
      <w:r w:rsidR="00476F78" w:rsidRPr="00515AA2">
        <w:rPr>
          <w:color w:val="000000"/>
          <w:lang w:val="en-CA"/>
        </w:rPr>
        <w:t>(art.</w:t>
      </w:r>
      <w:r w:rsidR="00873B58" w:rsidRPr="00515AA2">
        <w:rPr>
          <w:color w:val="000000"/>
          <w:lang w:val="en-CA"/>
        </w:rPr>
        <w:t> </w:t>
      </w:r>
      <w:r w:rsidR="00476F78" w:rsidRPr="00515AA2">
        <w:rPr>
          <w:color w:val="000000"/>
          <w:lang w:val="en-CA"/>
        </w:rPr>
        <w:t>113</w:t>
      </w:r>
      <w:r w:rsidR="00873B58" w:rsidRPr="00515AA2">
        <w:rPr>
          <w:color w:val="000000"/>
          <w:lang w:val="en-CA"/>
        </w:rPr>
        <w:t> </w:t>
      </w:r>
      <w:r w:rsidR="00476F78" w:rsidRPr="00515AA2">
        <w:rPr>
          <w:i/>
          <w:iCs/>
          <w:color w:val="000000"/>
          <w:lang w:val="en-CA"/>
        </w:rPr>
        <w:t>C.</w:t>
      </w:r>
      <w:r w:rsidR="00BA47DB"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00BA47DB" w:rsidRPr="00515AA2">
        <w:rPr>
          <w:color w:val="000000"/>
          <w:lang w:val="en-CA"/>
        </w:rPr>
        <w:t>That declaration of birth contains various information</w:t>
      </w:r>
      <w:r w:rsidR="00476F78" w:rsidRPr="00515AA2">
        <w:rPr>
          <w:color w:val="000000"/>
          <w:lang w:val="en-CA"/>
        </w:rPr>
        <w:t xml:space="preserve">, </w:t>
      </w:r>
      <w:r w:rsidR="00BA47DB" w:rsidRPr="00515AA2">
        <w:rPr>
          <w:color w:val="000000"/>
          <w:lang w:val="en-CA"/>
        </w:rPr>
        <w:t>including</w:t>
      </w:r>
      <w:r w:rsidR="00476F78" w:rsidRPr="00515AA2">
        <w:rPr>
          <w:color w:val="000000"/>
          <w:lang w:val="en-CA"/>
        </w:rPr>
        <w:t xml:space="preserve"> </w:t>
      </w:r>
      <w:r w:rsidR="00BA47DB" w:rsidRPr="00515AA2">
        <w:rPr>
          <w:color w:val="000000"/>
          <w:lang w:val="en-CA"/>
        </w:rPr>
        <w:t xml:space="preserve">the name assigned to the child and the child’s sex </w:t>
      </w:r>
      <w:r w:rsidR="00476F78" w:rsidRPr="00515AA2">
        <w:rPr>
          <w:color w:val="000000"/>
          <w:lang w:val="en-CA"/>
        </w:rPr>
        <w:t>(art.</w:t>
      </w:r>
      <w:r w:rsidR="00264CD3" w:rsidRPr="00515AA2">
        <w:rPr>
          <w:color w:val="000000"/>
          <w:lang w:val="en-CA"/>
        </w:rPr>
        <w:t> </w:t>
      </w:r>
      <w:r w:rsidR="00476F78" w:rsidRPr="00515AA2">
        <w:rPr>
          <w:color w:val="000000"/>
          <w:lang w:val="en-CA"/>
        </w:rPr>
        <w:t xml:space="preserve">115 </w:t>
      </w:r>
      <w:r w:rsidR="00476F78" w:rsidRPr="00515AA2">
        <w:rPr>
          <w:i/>
          <w:iCs/>
          <w:color w:val="000000"/>
          <w:lang w:val="en-CA"/>
        </w:rPr>
        <w:t>C</w:t>
      </w:r>
      <w:r w:rsidR="00BA47DB" w:rsidRPr="00515AA2">
        <w:rPr>
          <w:i/>
          <w:iCs/>
          <w:color w:val="000000"/>
          <w:lang w:val="en-CA"/>
        </w:rPr>
        <w:t>.C</w:t>
      </w:r>
      <w:r w:rsidR="00476F78" w:rsidRPr="00515AA2">
        <w:rPr>
          <w:i/>
          <w:iCs/>
          <w:color w:val="000000"/>
          <w:lang w:val="en-CA"/>
        </w:rPr>
        <w:t>.Q</w:t>
      </w:r>
      <w:r w:rsidR="00476F78" w:rsidRPr="00515AA2">
        <w:rPr>
          <w:color w:val="000000"/>
          <w:lang w:val="en-CA"/>
        </w:rPr>
        <w:t>.).</w:t>
      </w:r>
    </w:p>
    <w:p w14:paraId="164E5FD8" w14:textId="0C7728E1" w:rsidR="00476F78" w:rsidRPr="00515AA2" w:rsidRDefault="005156D0" w:rsidP="00F846E3">
      <w:pPr>
        <w:pStyle w:val="Paragraphe"/>
        <w:tabs>
          <w:tab w:val="clear" w:pos="360"/>
        </w:tabs>
        <w:spacing w:line="280" w:lineRule="exact"/>
        <w:rPr>
          <w:color w:val="000000"/>
          <w:lang w:val="en-CA"/>
        </w:rPr>
      </w:pPr>
      <w:r w:rsidRPr="00515AA2">
        <w:rPr>
          <w:color w:val="000000"/>
          <w:lang w:val="en-CA"/>
        </w:rPr>
        <w:t>The obligation to declare a child’s birth and indicate their name and sex is consistent with the general princip</w:t>
      </w:r>
      <w:r w:rsidR="005D1382" w:rsidRPr="00515AA2">
        <w:rPr>
          <w:color w:val="000000"/>
          <w:lang w:val="en-CA"/>
        </w:rPr>
        <w:t>le</w:t>
      </w:r>
      <w:r w:rsidRPr="00515AA2">
        <w:rPr>
          <w:color w:val="000000"/>
          <w:lang w:val="en-CA"/>
        </w:rPr>
        <w:t xml:space="preserve"> </w:t>
      </w:r>
      <w:r w:rsidR="00F5152F" w:rsidRPr="00515AA2">
        <w:rPr>
          <w:color w:val="000000"/>
          <w:lang w:val="en-CA"/>
        </w:rPr>
        <w:t>that,</w:t>
      </w:r>
      <w:r w:rsidRPr="00515AA2">
        <w:rPr>
          <w:color w:val="000000"/>
          <w:lang w:val="en-CA"/>
        </w:rPr>
        <w:t xml:space="preserve"> at birth, every person is assigned a name, which is comprised of the surname and the given names</w:t>
      </w:r>
      <w:r w:rsidR="00476F78" w:rsidRPr="00515AA2">
        <w:rPr>
          <w:color w:val="000000"/>
          <w:lang w:val="en-CA"/>
        </w:rPr>
        <w:t xml:space="preserve"> (art.</w:t>
      </w:r>
      <w:r w:rsidR="00873B58" w:rsidRPr="00515AA2">
        <w:rPr>
          <w:color w:val="000000"/>
          <w:lang w:val="en-CA"/>
        </w:rPr>
        <w:t> </w:t>
      </w:r>
      <w:r w:rsidR="00476F78" w:rsidRPr="00515AA2">
        <w:rPr>
          <w:color w:val="000000"/>
          <w:lang w:val="en-CA"/>
        </w:rPr>
        <w:t xml:space="preserve">50 </w:t>
      </w:r>
      <w:r w:rsidR="00476F78" w:rsidRPr="00515AA2">
        <w:rPr>
          <w:i/>
          <w:iCs/>
          <w:color w:val="000000"/>
          <w:lang w:val="en-CA"/>
        </w:rPr>
        <w:t>C.</w:t>
      </w:r>
      <w:r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Pr="00515AA2">
        <w:rPr>
          <w:color w:val="000000"/>
          <w:lang w:val="en-CA"/>
        </w:rPr>
        <w:t xml:space="preserve">Each person has </w:t>
      </w:r>
      <w:r w:rsidR="005D1382" w:rsidRPr="00515AA2">
        <w:rPr>
          <w:color w:val="000000"/>
          <w:lang w:val="en-CA"/>
        </w:rPr>
        <w:t xml:space="preserve">a </w:t>
      </w:r>
      <w:r w:rsidRPr="00515AA2">
        <w:rPr>
          <w:color w:val="000000"/>
          <w:lang w:val="en-CA"/>
        </w:rPr>
        <w:t xml:space="preserve">single surname, although it may be composed of two parts taken from those which compose </w:t>
      </w:r>
      <w:r w:rsidR="005D1382" w:rsidRPr="00515AA2">
        <w:rPr>
          <w:color w:val="000000"/>
          <w:lang w:val="en-CA"/>
        </w:rPr>
        <w:t xml:space="preserve">their </w:t>
      </w:r>
      <w:r w:rsidRPr="00515AA2">
        <w:rPr>
          <w:color w:val="000000"/>
          <w:lang w:val="en-CA"/>
        </w:rPr>
        <w:t>parents’ surnames</w:t>
      </w:r>
      <w:r w:rsidR="00206805" w:rsidRPr="00515AA2">
        <w:rPr>
          <w:color w:val="000000"/>
          <w:lang w:val="en-CA"/>
        </w:rPr>
        <w:t xml:space="preserve">, </w:t>
      </w:r>
      <w:r w:rsidRPr="00515AA2">
        <w:rPr>
          <w:color w:val="000000"/>
          <w:lang w:val="en-CA"/>
        </w:rPr>
        <w:t xml:space="preserve">whereas </w:t>
      </w:r>
      <w:r w:rsidR="00F5152F" w:rsidRPr="00515AA2">
        <w:rPr>
          <w:color w:val="000000"/>
          <w:lang w:val="en-CA"/>
        </w:rPr>
        <w:t>a person</w:t>
      </w:r>
      <w:r w:rsidRPr="00515AA2">
        <w:rPr>
          <w:color w:val="000000"/>
          <w:lang w:val="en-CA"/>
        </w:rPr>
        <w:t xml:space="preserve"> may have multiple given names</w:t>
      </w:r>
      <w:r w:rsidR="00476F78" w:rsidRPr="00515AA2">
        <w:rPr>
          <w:color w:val="000000"/>
          <w:lang w:val="en-CA"/>
        </w:rPr>
        <w:t xml:space="preserve"> </w:t>
      </w:r>
      <w:r w:rsidR="00476F78" w:rsidRPr="00515AA2">
        <w:rPr>
          <w:color w:val="000000"/>
          <w:lang w:val="en-CA"/>
        </w:rPr>
        <w:lastRenderedPageBreak/>
        <w:t>(art.</w:t>
      </w:r>
      <w:r w:rsidR="00873B58" w:rsidRPr="00515AA2">
        <w:rPr>
          <w:color w:val="000000"/>
          <w:lang w:val="en-CA"/>
        </w:rPr>
        <w:t> </w:t>
      </w:r>
      <w:r w:rsidR="00476F78" w:rsidRPr="00515AA2">
        <w:rPr>
          <w:color w:val="000000"/>
          <w:lang w:val="en-CA"/>
        </w:rPr>
        <w:t xml:space="preserve">51 </w:t>
      </w:r>
      <w:r w:rsidR="00476F78" w:rsidRPr="00515AA2">
        <w:rPr>
          <w:i/>
          <w:iCs/>
          <w:color w:val="000000"/>
          <w:lang w:val="en-CA"/>
        </w:rPr>
        <w:t>C.</w:t>
      </w:r>
      <w:r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Pr="00515AA2">
        <w:rPr>
          <w:color w:val="000000"/>
          <w:lang w:val="en-CA"/>
        </w:rPr>
        <w:t>The name</w:t>
      </w:r>
      <w:r w:rsidR="00476F78" w:rsidRPr="00515AA2">
        <w:rPr>
          <w:color w:val="000000"/>
          <w:lang w:val="en-CA"/>
        </w:rPr>
        <w:t xml:space="preserve"> </w:t>
      </w:r>
      <w:r w:rsidR="00CD55AC" w:rsidRPr="00515AA2">
        <w:rPr>
          <w:color w:val="000000"/>
          <w:lang w:val="en-CA"/>
        </w:rPr>
        <w:t>is</w:t>
      </w:r>
      <w:r w:rsidRPr="00515AA2">
        <w:rPr>
          <w:color w:val="000000"/>
          <w:lang w:val="en-CA"/>
        </w:rPr>
        <w:t xml:space="preserve"> entered in the act of birth which is drawn up by the registrar of civil status and appear</w:t>
      </w:r>
      <w:r w:rsidR="005D1382" w:rsidRPr="00515AA2">
        <w:rPr>
          <w:color w:val="000000"/>
          <w:lang w:val="en-CA"/>
        </w:rPr>
        <w:t>s</w:t>
      </w:r>
      <w:r w:rsidRPr="00515AA2">
        <w:rPr>
          <w:color w:val="000000"/>
          <w:lang w:val="en-CA"/>
        </w:rPr>
        <w:t xml:space="preserve"> in the register of civil status</w:t>
      </w:r>
      <w:r w:rsidR="00476F78" w:rsidRPr="00515AA2">
        <w:rPr>
          <w:color w:val="000000"/>
          <w:lang w:val="en-CA"/>
        </w:rPr>
        <w:t xml:space="preserve"> (art. 50 </w:t>
      </w:r>
      <w:r w:rsidR="00476F78" w:rsidRPr="00515AA2">
        <w:rPr>
          <w:i/>
          <w:iCs/>
          <w:color w:val="000000"/>
          <w:lang w:val="en-CA"/>
        </w:rPr>
        <w:t>C.</w:t>
      </w:r>
      <w:r w:rsidRPr="00515AA2">
        <w:rPr>
          <w:i/>
          <w:iCs/>
          <w:color w:val="000000"/>
          <w:lang w:val="en-CA"/>
        </w:rPr>
        <w:t>C</w:t>
      </w:r>
      <w:r w:rsidR="00476F78" w:rsidRPr="00515AA2">
        <w:rPr>
          <w:i/>
          <w:iCs/>
          <w:color w:val="000000"/>
          <w:lang w:val="en-CA"/>
        </w:rPr>
        <w:t>.Q.</w:t>
      </w:r>
      <w:r w:rsidR="00476F78" w:rsidRPr="00515AA2">
        <w:rPr>
          <w:color w:val="000000"/>
          <w:lang w:val="en-CA"/>
        </w:rPr>
        <w:t>).</w:t>
      </w:r>
    </w:p>
    <w:p w14:paraId="6C2475FF" w14:textId="1E356BF0" w:rsidR="00E17249" w:rsidRPr="00515AA2" w:rsidRDefault="000A63EC" w:rsidP="00F846E3">
      <w:pPr>
        <w:pStyle w:val="Paragraphe"/>
        <w:tabs>
          <w:tab w:val="clear" w:pos="360"/>
        </w:tabs>
        <w:spacing w:line="280" w:lineRule="exact"/>
        <w:rPr>
          <w:color w:val="000000"/>
          <w:lang w:val="en-CA"/>
        </w:rPr>
      </w:pPr>
      <w:r w:rsidRPr="00515AA2">
        <w:rPr>
          <w:color w:val="000000"/>
          <w:lang w:val="en-CA"/>
        </w:rPr>
        <w:t>Although</w:t>
      </w:r>
      <w:r w:rsidR="006F4200" w:rsidRPr="00515AA2">
        <w:rPr>
          <w:color w:val="000000"/>
          <w:lang w:val="en-CA"/>
        </w:rPr>
        <w:t xml:space="preserve"> </w:t>
      </w:r>
      <w:r w:rsidRPr="00515AA2">
        <w:rPr>
          <w:color w:val="000000"/>
          <w:lang w:val="en-CA"/>
        </w:rPr>
        <w:t>surnames are gender-neutral</w:t>
      </w:r>
      <w:r w:rsidR="006F4200" w:rsidRPr="00515AA2">
        <w:rPr>
          <w:color w:val="000000"/>
          <w:lang w:val="en-CA"/>
        </w:rPr>
        <w:t xml:space="preserve"> in Quebec,</w:t>
      </w:r>
      <w:r w:rsidRPr="00515AA2">
        <w:rPr>
          <w:color w:val="000000"/>
          <w:lang w:val="en-CA"/>
        </w:rPr>
        <w:t xml:space="preserve"> given names are often gendered</w:t>
      </w:r>
      <w:r w:rsidR="00476F78" w:rsidRPr="00515AA2">
        <w:rPr>
          <w:color w:val="000000"/>
          <w:lang w:val="en-CA"/>
        </w:rPr>
        <w:t xml:space="preserve">. </w:t>
      </w:r>
      <w:r w:rsidRPr="00515AA2">
        <w:rPr>
          <w:color w:val="000000"/>
          <w:lang w:val="en-CA"/>
        </w:rPr>
        <w:t xml:space="preserve">Indeed, though non-gendered, </w:t>
      </w:r>
      <w:r w:rsidR="006F4200" w:rsidRPr="00515AA2">
        <w:rPr>
          <w:color w:val="000000"/>
          <w:lang w:val="en-CA"/>
        </w:rPr>
        <w:t>mixed</w:t>
      </w:r>
      <w:r w:rsidRPr="00515AA2">
        <w:rPr>
          <w:color w:val="000000"/>
          <w:lang w:val="en-CA"/>
        </w:rPr>
        <w:t xml:space="preserve"> or gender-neutral given names do exist, a given name’s gender and</w:t>
      </w:r>
      <w:r w:rsidR="00DE3725" w:rsidRPr="00515AA2">
        <w:rPr>
          <w:color w:val="000000"/>
          <w:lang w:val="en-CA"/>
        </w:rPr>
        <w:t xml:space="preserve"> its</w:t>
      </w:r>
      <w:r w:rsidRPr="00515AA2">
        <w:rPr>
          <w:color w:val="000000"/>
          <w:lang w:val="en-CA"/>
        </w:rPr>
        <w:t xml:space="preserve"> attributes </w:t>
      </w:r>
      <w:r w:rsidR="00D97694" w:rsidRPr="00515AA2">
        <w:rPr>
          <w:color w:val="000000"/>
          <w:lang w:val="en-CA"/>
        </w:rPr>
        <w:t>generally correspond to</w:t>
      </w:r>
      <w:r w:rsidRPr="00515AA2">
        <w:rPr>
          <w:color w:val="000000"/>
          <w:lang w:val="en-CA"/>
        </w:rPr>
        <w:t xml:space="preserve"> a child’s apparent sex.</w:t>
      </w:r>
      <w:r w:rsidR="00476F78" w:rsidRPr="00515AA2">
        <w:rPr>
          <w:rStyle w:val="Appelnotedebasdep"/>
          <w:color w:val="000000"/>
          <w:lang w:val="en-CA"/>
        </w:rPr>
        <w:footnoteReference w:id="19"/>
      </w:r>
      <w:r w:rsidR="00476F78" w:rsidRPr="00515AA2">
        <w:rPr>
          <w:color w:val="000000"/>
          <w:lang w:val="en-CA"/>
        </w:rPr>
        <w:t xml:space="preserve"> </w:t>
      </w:r>
      <w:r w:rsidR="006F4200" w:rsidRPr="00515AA2">
        <w:rPr>
          <w:color w:val="000000"/>
          <w:lang w:val="en-CA"/>
        </w:rPr>
        <w:t>While i</w:t>
      </w:r>
      <w:r w:rsidR="00564A03" w:rsidRPr="00515AA2">
        <w:rPr>
          <w:color w:val="000000"/>
          <w:lang w:val="en-CA"/>
        </w:rPr>
        <w:t>t is true that this</w:t>
      </w:r>
      <w:r w:rsidRPr="00515AA2">
        <w:rPr>
          <w:color w:val="000000"/>
          <w:lang w:val="en-CA"/>
        </w:rPr>
        <w:t xml:space="preserve"> Court, in another context</w:t>
      </w:r>
      <w:r w:rsidR="00564A03" w:rsidRPr="00515AA2">
        <w:rPr>
          <w:color w:val="000000"/>
          <w:lang w:val="en-CA"/>
        </w:rPr>
        <w:t xml:space="preserve">, </w:t>
      </w:r>
      <w:r w:rsidRPr="00515AA2">
        <w:rPr>
          <w:color w:val="000000"/>
          <w:lang w:val="en-CA"/>
        </w:rPr>
        <w:t>has</w:t>
      </w:r>
      <w:r w:rsidR="00564A03" w:rsidRPr="00515AA2">
        <w:rPr>
          <w:color w:val="000000"/>
          <w:lang w:val="en-CA"/>
        </w:rPr>
        <w:t xml:space="preserve"> already held that</w:t>
      </w:r>
      <w:r w:rsidR="00602FF6" w:rsidRPr="00515AA2">
        <w:rPr>
          <w:color w:val="000000"/>
          <w:lang w:val="en-CA"/>
        </w:rPr>
        <w:t>,</w:t>
      </w:r>
      <w:r w:rsidR="00564A03" w:rsidRPr="00515AA2">
        <w:rPr>
          <w:color w:val="000000"/>
          <w:lang w:val="en-CA"/>
        </w:rPr>
        <w:t xml:space="preserve"> legally, a given name is not meant to designate a person’s sex,</w:t>
      </w:r>
      <w:r w:rsidR="00476F78" w:rsidRPr="00515AA2">
        <w:rPr>
          <w:rStyle w:val="Appelnotedebasdep"/>
          <w:color w:val="000000"/>
          <w:lang w:val="en-CA"/>
        </w:rPr>
        <w:footnoteReference w:id="20"/>
      </w:r>
      <w:r w:rsidR="00476F78" w:rsidRPr="00515AA2">
        <w:rPr>
          <w:color w:val="000000"/>
          <w:lang w:val="en-CA"/>
        </w:rPr>
        <w:t xml:space="preserve"> </w:t>
      </w:r>
      <w:r w:rsidR="00DE3725" w:rsidRPr="00515AA2">
        <w:rPr>
          <w:color w:val="000000"/>
          <w:lang w:val="en-CA"/>
        </w:rPr>
        <w:t xml:space="preserve">it remains that, factually, </w:t>
      </w:r>
      <w:r w:rsidR="006F4200" w:rsidRPr="00515AA2">
        <w:rPr>
          <w:color w:val="000000"/>
          <w:lang w:val="en-CA"/>
        </w:rPr>
        <w:t xml:space="preserve">it is </w:t>
      </w:r>
      <w:r w:rsidR="00DE3725" w:rsidRPr="00515AA2">
        <w:rPr>
          <w:color w:val="000000"/>
          <w:lang w:val="en-CA"/>
        </w:rPr>
        <w:t xml:space="preserve">related thereto </w:t>
      </w:r>
      <w:r w:rsidR="006F4200" w:rsidRPr="00515AA2">
        <w:rPr>
          <w:color w:val="000000"/>
          <w:lang w:val="en-CA"/>
        </w:rPr>
        <w:t xml:space="preserve">in most cases </w:t>
      </w:r>
      <w:r w:rsidR="00DE3725" w:rsidRPr="00515AA2">
        <w:rPr>
          <w:color w:val="000000"/>
          <w:lang w:val="en-CA"/>
        </w:rPr>
        <w:t>and people tend to associate a given name to a gender</w:t>
      </w:r>
      <w:r w:rsidR="00476F78" w:rsidRPr="00515AA2">
        <w:rPr>
          <w:color w:val="000000"/>
          <w:lang w:val="en-CA"/>
        </w:rPr>
        <w:t>.</w:t>
      </w:r>
    </w:p>
    <w:p w14:paraId="038E0CE0" w14:textId="738494C5" w:rsidR="00E17249" w:rsidRPr="00515AA2" w:rsidRDefault="006F4200" w:rsidP="00F846E3">
      <w:pPr>
        <w:pStyle w:val="Paragraphe"/>
        <w:spacing w:line="280" w:lineRule="exact"/>
        <w:rPr>
          <w:color w:val="000000"/>
          <w:lang w:val="en-CA"/>
        </w:rPr>
      </w:pPr>
      <w:r w:rsidRPr="00515AA2">
        <w:rPr>
          <w:color w:val="000000"/>
          <w:lang w:val="en-CA"/>
        </w:rPr>
        <w:t xml:space="preserve">A </w:t>
      </w:r>
      <w:r w:rsidR="00541EF5" w:rsidRPr="00515AA2">
        <w:rPr>
          <w:color w:val="000000"/>
          <w:lang w:val="en-CA"/>
        </w:rPr>
        <w:t xml:space="preserve">person’s </w:t>
      </w:r>
      <w:r w:rsidRPr="00515AA2">
        <w:rPr>
          <w:color w:val="000000"/>
          <w:lang w:val="en-CA"/>
        </w:rPr>
        <w:t xml:space="preserve">name </w:t>
      </w:r>
      <w:r w:rsidR="00CD55AC" w:rsidRPr="00515AA2">
        <w:rPr>
          <w:color w:val="000000"/>
          <w:lang w:val="en-CA"/>
        </w:rPr>
        <w:t>plays an important role in</w:t>
      </w:r>
      <w:r w:rsidR="00C61AFA" w:rsidRPr="00515AA2">
        <w:rPr>
          <w:color w:val="000000"/>
          <w:lang w:val="en-CA"/>
        </w:rPr>
        <w:t xml:space="preserve"> </w:t>
      </w:r>
      <w:r w:rsidR="00541EF5" w:rsidRPr="00515AA2">
        <w:rPr>
          <w:color w:val="000000"/>
          <w:lang w:val="en-CA"/>
        </w:rPr>
        <w:t>their</w:t>
      </w:r>
      <w:r w:rsidR="00C61AFA" w:rsidRPr="00515AA2">
        <w:rPr>
          <w:color w:val="000000"/>
          <w:lang w:val="en-CA"/>
        </w:rPr>
        <w:t xml:space="preserve"> life</w:t>
      </w:r>
      <w:r w:rsidR="00D401F0" w:rsidRPr="00515AA2">
        <w:rPr>
          <w:color w:val="000000"/>
          <w:lang w:val="en-CA"/>
        </w:rPr>
        <w:t xml:space="preserve"> </w:t>
      </w:r>
      <w:r w:rsidR="00541EF5" w:rsidRPr="00515AA2">
        <w:rPr>
          <w:color w:val="000000"/>
          <w:lang w:val="en-CA"/>
        </w:rPr>
        <w:t>given that</w:t>
      </w:r>
      <w:r w:rsidRPr="00515AA2">
        <w:rPr>
          <w:color w:val="000000"/>
          <w:lang w:val="en-CA"/>
        </w:rPr>
        <w:t xml:space="preserve">, </w:t>
      </w:r>
      <w:r w:rsidR="00602FF6" w:rsidRPr="00515AA2">
        <w:rPr>
          <w:color w:val="000000"/>
          <w:lang w:val="en-CA"/>
        </w:rPr>
        <w:t>typic</w:t>
      </w:r>
      <w:r w:rsidRPr="00515AA2">
        <w:rPr>
          <w:color w:val="000000"/>
          <w:lang w:val="en-CA"/>
        </w:rPr>
        <w:t xml:space="preserve">ally, it is </w:t>
      </w:r>
      <w:r w:rsidR="00541EF5" w:rsidRPr="00515AA2">
        <w:rPr>
          <w:color w:val="000000"/>
          <w:lang w:val="en-CA"/>
        </w:rPr>
        <w:t xml:space="preserve">by that name </w:t>
      </w:r>
      <w:r w:rsidR="00CD55AC" w:rsidRPr="00515AA2">
        <w:rPr>
          <w:color w:val="000000"/>
          <w:lang w:val="en-CA"/>
        </w:rPr>
        <w:t xml:space="preserve">by which </w:t>
      </w:r>
      <w:r w:rsidRPr="00515AA2">
        <w:rPr>
          <w:color w:val="000000"/>
          <w:lang w:val="en-CA"/>
        </w:rPr>
        <w:t xml:space="preserve">they will </w:t>
      </w:r>
      <w:r w:rsidR="00541EF5" w:rsidRPr="00515AA2">
        <w:rPr>
          <w:color w:val="000000"/>
          <w:lang w:val="en-CA"/>
        </w:rPr>
        <w:t>identify</w:t>
      </w:r>
      <w:r w:rsidRPr="00515AA2">
        <w:rPr>
          <w:color w:val="000000"/>
          <w:lang w:val="en-CA"/>
        </w:rPr>
        <w:t xml:space="preserve"> themselves and be known</w:t>
      </w:r>
      <w:r w:rsidR="00E17249" w:rsidRPr="00515AA2">
        <w:rPr>
          <w:color w:val="000000"/>
          <w:lang w:val="en-CA"/>
        </w:rPr>
        <w:t xml:space="preserve">. </w:t>
      </w:r>
      <w:r w:rsidR="00D401F0" w:rsidRPr="00515AA2">
        <w:rPr>
          <w:color w:val="000000"/>
          <w:lang w:val="en-CA"/>
        </w:rPr>
        <w:t>Generally, citizens use the name than was given to them at birth</w:t>
      </w:r>
      <w:r w:rsidR="00541EF5" w:rsidRPr="00515AA2">
        <w:rPr>
          <w:color w:val="000000"/>
          <w:lang w:val="en-CA"/>
        </w:rPr>
        <w:t xml:space="preserve"> throughout their entire li</w:t>
      </w:r>
      <w:r w:rsidR="00602FF6" w:rsidRPr="00515AA2">
        <w:rPr>
          <w:color w:val="000000"/>
          <w:lang w:val="en-CA"/>
        </w:rPr>
        <w:t>ves</w:t>
      </w:r>
      <w:r w:rsidR="00E17249" w:rsidRPr="00515AA2">
        <w:rPr>
          <w:color w:val="000000"/>
          <w:lang w:val="en-CA"/>
        </w:rPr>
        <w:t xml:space="preserve">. </w:t>
      </w:r>
      <w:r w:rsidR="00D401F0" w:rsidRPr="00515AA2">
        <w:rPr>
          <w:color w:val="000000"/>
          <w:lang w:val="en-CA"/>
        </w:rPr>
        <w:t xml:space="preserve">Although the legislator has not enacted any formal obligation to use that name, it has provided that a person who uses another name is liable for any resulting confusion or injury </w:t>
      </w:r>
      <w:r w:rsidR="00E17249" w:rsidRPr="00515AA2">
        <w:rPr>
          <w:color w:val="000000"/>
          <w:lang w:val="en-CA"/>
        </w:rPr>
        <w:t xml:space="preserve">(art. 56 </w:t>
      </w:r>
      <w:r w:rsidR="00E17249" w:rsidRPr="00515AA2">
        <w:rPr>
          <w:i/>
          <w:iCs/>
          <w:color w:val="000000"/>
          <w:lang w:val="en-CA"/>
        </w:rPr>
        <w:t>C.</w:t>
      </w:r>
      <w:r w:rsidR="00D401F0" w:rsidRPr="00515AA2">
        <w:rPr>
          <w:i/>
          <w:iCs/>
          <w:color w:val="000000"/>
          <w:lang w:val="en-CA"/>
        </w:rPr>
        <w:t>C</w:t>
      </w:r>
      <w:r w:rsidR="00E17249" w:rsidRPr="00515AA2">
        <w:rPr>
          <w:i/>
          <w:iCs/>
          <w:color w:val="000000"/>
          <w:lang w:val="en-CA"/>
        </w:rPr>
        <w:t>.Q.</w:t>
      </w:r>
      <w:r w:rsidR="00E17249" w:rsidRPr="00515AA2">
        <w:rPr>
          <w:color w:val="000000"/>
          <w:lang w:val="en-CA"/>
        </w:rPr>
        <w:t xml:space="preserve">); </w:t>
      </w:r>
      <w:r w:rsidR="00D401F0" w:rsidRPr="00515AA2">
        <w:rPr>
          <w:color w:val="000000"/>
          <w:lang w:val="en-CA"/>
        </w:rPr>
        <w:t>moreover, a person’s right to use</w:t>
      </w:r>
      <w:r w:rsidR="00541EF5" w:rsidRPr="00515AA2">
        <w:rPr>
          <w:color w:val="000000"/>
          <w:lang w:val="en-CA"/>
        </w:rPr>
        <w:t xml:space="preserve"> only one or some of the given names</w:t>
      </w:r>
      <w:r w:rsidR="00D401F0" w:rsidRPr="00515AA2">
        <w:rPr>
          <w:color w:val="000000"/>
          <w:lang w:val="en-CA"/>
        </w:rPr>
        <w:t xml:space="preserve"> stated in their </w:t>
      </w:r>
      <w:r w:rsidR="00C61AFA" w:rsidRPr="00515AA2">
        <w:rPr>
          <w:color w:val="000000"/>
          <w:lang w:val="en-CA"/>
        </w:rPr>
        <w:t xml:space="preserve">act of birth </w:t>
      </w:r>
      <w:r w:rsidR="00D401F0" w:rsidRPr="00515AA2">
        <w:rPr>
          <w:color w:val="000000"/>
          <w:lang w:val="en-CA"/>
        </w:rPr>
        <w:t>is recogn</w:t>
      </w:r>
      <w:r w:rsidR="00C61AFA" w:rsidRPr="00515AA2">
        <w:rPr>
          <w:color w:val="000000"/>
          <w:lang w:val="en-CA"/>
        </w:rPr>
        <w:t>i</w:t>
      </w:r>
      <w:r w:rsidR="00D401F0" w:rsidRPr="00515AA2">
        <w:rPr>
          <w:color w:val="000000"/>
          <w:lang w:val="en-CA"/>
        </w:rPr>
        <w:t>zed</w:t>
      </w:r>
      <w:r w:rsidR="00E17249" w:rsidRPr="00515AA2">
        <w:rPr>
          <w:color w:val="000000"/>
          <w:lang w:val="en-CA"/>
        </w:rPr>
        <w:t xml:space="preserve"> (art. 5</w:t>
      </w:r>
      <w:r w:rsidR="00B36915" w:rsidRPr="00515AA2">
        <w:rPr>
          <w:color w:val="000000"/>
          <w:lang w:val="en-CA"/>
        </w:rPr>
        <w:t>5</w:t>
      </w:r>
      <w:r w:rsidR="00E17249" w:rsidRPr="00515AA2">
        <w:rPr>
          <w:color w:val="000000"/>
          <w:lang w:val="en-CA"/>
        </w:rPr>
        <w:t> </w:t>
      </w:r>
      <w:r w:rsidR="00E17249" w:rsidRPr="00515AA2">
        <w:rPr>
          <w:i/>
          <w:iCs/>
          <w:color w:val="000000"/>
          <w:lang w:val="en-CA"/>
        </w:rPr>
        <w:t>C.</w:t>
      </w:r>
      <w:r w:rsidR="00D401F0" w:rsidRPr="00515AA2">
        <w:rPr>
          <w:i/>
          <w:iCs/>
          <w:color w:val="000000"/>
          <w:lang w:val="en-CA"/>
        </w:rPr>
        <w:t>C.</w:t>
      </w:r>
      <w:r w:rsidR="00E17249" w:rsidRPr="00515AA2">
        <w:rPr>
          <w:i/>
          <w:iCs/>
          <w:color w:val="000000"/>
          <w:lang w:val="en-CA"/>
        </w:rPr>
        <w:t>Q.</w:t>
      </w:r>
      <w:r w:rsidR="00E17249" w:rsidRPr="00515AA2">
        <w:rPr>
          <w:color w:val="000000"/>
          <w:lang w:val="en-CA"/>
        </w:rPr>
        <w:t>).</w:t>
      </w:r>
    </w:p>
    <w:p w14:paraId="06D71F5B" w14:textId="404C4499" w:rsidR="00476F78" w:rsidRPr="00515AA2" w:rsidRDefault="00CA284E" w:rsidP="00F846E3">
      <w:pPr>
        <w:pStyle w:val="Paragraphe"/>
        <w:tabs>
          <w:tab w:val="clear" w:pos="360"/>
        </w:tabs>
        <w:spacing w:line="280" w:lineRule="exact"/>
        <w:rPr>
          <w:color w:val="000000"/>
          <w:lang w:val="en-CA"/>
        </w:rPr>
      </w:pPr>
      <w:r w:rsidRPr="00515AA2">
        <w:rPr>
          <w:color w:val="000000"/>
          <w:lang w:val="en-CA"/>
        </w:rPr>
        <w:t>That being so, despite all of the stability that a person’s name may call for,</w:t>
      </w:r>
      <w:bookmarkStart w:id="27" w:name="_Ref157504076"/>
      <w:r w:rsidR="00476F78" w:rsidRPr="00515AA2">
        <w:rPr>
          <w:rStyle w:val="Appelnotedebasdep"/>
          <w:color w:val="000000"/>
          <w:lang w:val="en-CA"/>
        </w:rPr>
        <w:footnoteReference w:id="21"/>
      </w:r>
      <w:bookmarkEnd w:id="27"/>
      <w:r w:rsidRPr="00515AA2">
        <w:rPr>
          <w:color w:val="000000"/>
          <w:lang w:val="en-CA"/>
        </w:rPr>
        <w:t xml:space="preserve"> the legislator has taken care to establish a scheme by which it may </w:t>
      </w:r>
      <w:r w:rsidR="00CA3253" w:rsidRPr="00515AA2">
        <w:rPr>
          <w:color w:val="000000"/>
          <w:lang w:val="en-CA"/>
        </w:rPr>
        <w:t xml:space="preserve">be </w:t>
      </w:r>
      <w:r w:rsidR="00010A46" w:rsidRPr="00515AA2">
        <w:rPr>
          <w:color w:val="000000"/>
          <w:lang w:val="en-CA"/>
        </w:rPr>
        <w:t>changed</w:t>
      </w:r>
      <w:r w:rsidRPr="00515AA2">
        <w:rPr>
          <w:color w:val="000000"/>
          <w:lang w:val="en-CA"/>
        </w:rPr>
        <w:t xml:space="preserve"> in acts of civil status</w:t>
      </w:r>
      <w:r w:rsidR="00476F78" w:rsidRPr="00515AA2">
        <w:rPr>
          <w:color w:val="000000"/>
          <w:lang w:val="en-CA"/>
        </w:rPr>
        <w:t>.</w:t>
      </w:r>
    </w:p>
    <w:p w14:paraId="1F8BCEEB" w14:textId="48F08550" w:rsidR="00476F78" w:rsidRPr="00515AA2" w:rsidRDefault="00010A46" w:rsidP="00F846E3">
      <w:pPr>
        <w:pStyle w:val="Paragraphe"/>
        <w:tabs>
          <w:tab w:val="clear" w:pos="360"/>
        </w:tabs>
        <w:spacing w:line="280" w:lineRule="exact"/>
        <w:rPr>
          <w:i/>
          <w:iCs/>
          <w:color w:val="000000"/>
          <w:lang w:val="en-CA"/>
        </w:rPr>
      </w:pPr>
      <w:r w:rsidRPr="00515AA2">
        <w:rPr>
          <w:color w:val="000000"/>
          <w:lang w:val="en-CA"/>
        </w:rPr>
        <w:t xml:space="preserve">Given the importance of the acts and of the register of civil status, </w:t>
      </w:r>
      <w:r w:rsidR="00602FF6" w:rsidRPr="00515AA2">
        <w:rPr>
          <w:color w:val="000000"/>
          <w:lang w:val="en-CA"/>
        </w:rPr>
        <w:t xml:space="preserve">however, </w:t>
      </w:r>
      <w:r w:rsidRPr="00515AA2">
        <w:rPr>
          <w:color w:val="000000"/>
          <w:lang w:val="en-CA"/>
        </w:rPr>
        <w:t xml:space="preserve">that scheme requires that </w:t>
      </w:r>
      <w:r w:rsidR="00602FF6" w:rsidRPr="00515AA2">
        <w:rPr>
          <w:color w:val="000000"/>
          <w:lang w:val="en-CA"/>
        </w:rPr>
        <w:t>any</w:t>
      </w:r>
      <w:r w:rsidRPr="00515AA2">
        <w:rPr>
          <w:color w:val="000000"/>
          <w:lang w:val="en-CA"/>
        </w:rPr>
        <w:t xml:space="preserve"> change of name always be authorized by the registrar of civil status</w:t>
      </w:r>
      <w:r w:rsidR="00602FF6" w:rsidRPr="00515AA2">
        <w:rPr>
          <w:color w:val="000000"/>
          <w:lang w:val="en-CA"/>
        </w:rPr>
        <w:t xml:space="preserve"> or, as the case may be, by the court</w:t>
      </w:r>
      <w:r w:rsidR="00476F78" w:rsidRPr="00515AA2">
        <w:rPr>
          <w:color w:val="000000"/>
          <w:lang w:val="en-CA"/>
        </w:rPr>
        <w:t xml:space="preserve"> (art.</w:t>
      </w:r>
      <w:r w:rsidR="00873B58" w:rsidRPr="00515AA2">
        <w:rPr>
          <w:color w:val="000000"/>
          <w:lang w:val="en-CA"/>
        </w:rPr>
        <w:t> </w:t>
      </w:r>
      <w:r w:rsidR="00476F78" w:rsidRPr="00515AA2">
        <w:rPr>
          <w:color w:val="000000"/>
          <w:lang w:val="en-CA"/>
        </w:rPr>
        <w:t xml:space="preserve">57 </w:t>
      </w:r>
      <w:r w:rsidR="00476F78" w:rsidRPr="00515AA2">
        <w:rPr>
          <w:i/>
          <w:iCs/>
          <w:color w:val="000000"/>
          <w:lang w:val="en-CA"/>
        </w:rPr>
        <w:t>C.</w:t>
      </w:r>
      <w:r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Pr="00515AA2">
        <w:rPr>
          <w:color w:val="000000"/>
          <w:lang w:val="en-CA"/>
        </w:rPr>
        <w:t>The change of name authorized by the registrar of civil status is a</w:t>
      </w:r>
      <w:r w:rsidR="00476F78" w:rsidRPr="00515AA2">
        <w:rPr>
          <w:color w:val="000000"/>
          <w:lang w:val="en-CA"/>
        </w:rPr>
        <w:t xml:space="preserve"> </w:t>
      </w:r>
      <w:r w:rsidR="00476F78" w:rsidRPr="00515AA2">
        <w:rPr>
          <w:i/>
          <w:iCs/>
          <w:color w:val="000000"/>
          <w:lang w:val="en-CA"/>
        </w:rPr>
        <w:t>change</w:t>
      </w:r>
      <w:r w:rsidRPr="00515AA2">
        <w:rPr>
          <w:i/>
          <w:iCs/>
          <w:color w:val="000000"/>
          <w:lang w:val="en-CA"/>
        </w:rPr>
        <w:t xml:space="preserve"> of name by way of administrative process </w:t>
      </w:r>
      <w:r w:rsidR="00476F78" w:rsidRPr="00515AA2">
        <w:rPr>
          <w:color w:val="000000"/>
          <w:lang w:val="en-CA"/>
        </w:rPr>
        <w:t>(art</w:t>
      </w:r>
      <w:r w:rsidRPr="00515AA2">
        <w:rPr>
          <w:color w:val="000000"/>
          <w:lang w:val="en-CA"/>
        </w:rPr>
        <w:t>s</w:t>
      </w:r>
      <w:r w:rsidR="00476F78" w:rsidRPr="00515AA2">
        <w:rPr>
          <w:color w:val="000000"/>
          <w:lang w:val="en-CA"/>
        </w:rPr>
        <w:t>.</w:t>
      </w:r>
      <w:r w:rsidR="00873B58" w:rsidRPr="00515AA2">
        <w:rPr>
          <w:color w:val="000000"/>
          <w:lang w:val="en-CA"/>
        </w:rPr>
        <w:t> </w:t>
      </w:r>
      <w:r w:rsidR="00476F78" w:rsidRPr="00515AA2">
        <w:rPr>
          <w:color w:val="000000"/>
          <w:lang w:val="en-CA"/>
        </w:rPr>
        <w:t xml:space="preserve">58 </w:t>
      </w:r>
      <w:r w:rsidRPr="00515AA2">
        <w:rPr>
          <w:color w:val="000000"/>
          <w:lang w:val="en-CA"/>
        </w:rPr>
        <w:t>to</w:t>
      </w:r>
      <w:r w:rsidR="00476F78" w:rsidRPr="00515AA2">
        <w:rPr>
          <w:color w:val="000000"/>
          <w:lang w:val="en-CA"/>
        </w:rPr>
        <w:t xml:space="preserve"> 64</w:t>
      </w:r>
      <w:r w:rsidR="00873B58" w:rsidRPr="00515AA2">
        <w:rPr>
          <w:color w:val="000000"/>
          <w:lang w:val="en-CA"/>
        </w:rPr>
        <w:t> </w:t>
      </w:r>
      <w:r w:rsidR="00476F78" w:rsidRPr="00515AA2">
        <w:rPr>
          <w:i/>
          <w:iCs/>
          <w:color w:val="000000"/>
          <w:lang w:val="en-CA"/>
        </w:rPr>
        <w:t>C.</w:t>
      </w:r>
      <w:r w:rsidRPr="00515AA2">
        <w:rPr>
          <w:i/>
          <w:iCs/>
          <w:color w:val="000000"/>
          <w:lang w:val="en-CA"/>
        </w:rPr>
        <w:t>C</w:t>
      </w:r>
      <w:r w:rsidR="00476F78" w:rsidRPr="00515AA2">
        <w:rPr>
          <w:i/>
          <w:iCs/>
          <w:color w:val="000000"/>
          <w:lang w:val="en-CA"/>
        </w:rPr>
        <w:t>.Q.</w:t>
      </w:r>
      <w:r w:rsidR="00476F78" w:rsidRPr="00515AA2">
        <w:rPr>
          <w:color w:val="000000"/>
          <w:lang w:val="en-CA"/>
        </w:rPr>
        <w:t xml:space="preserve">) </w:t>
      </w:r>
      <w:r w:rsidRPr="00515AA2">
        <w:rPr>
          <w:color w:val="000000"/>
          <w:lang w:val="en-CA"/>
        </w:rPr>
        <w:t xml:space="preserve">and that which is </w:t>
      </w:r>
      <w:r w:rsidR="00602FF6" w:rsidRPr="00515AA2">
        <w:rPr>
          <w:color w:val="000000"/>
          <w:lang w:val="en-CA"/>
        </w:rPr>
        <w:t>within</w:t>
      </w:r>
      <w:r w:rsidRPr="00515AA2">
        <w:rPr>
          <w:color w:val="000000"/>
          <w:lang w:val="en-CA"/>
        </w:rPr>
        <w:t xml:space="preserve"> the jurisdiction of the court is a</w:t>
      </w:r>
      <w:r w:rsidR="00476F78" w:rsidRPr="00515AA2">
        <w:rPr>
          <w:color w:val="000000"/>
          <w:lang w:val="en-CA"/>
        </w:rPr>
        <w:t xml:space="preserve"> </w:t>
      </w:r>
      <w:r w:rsidR="00476F78" w:rsidRPr="00515AA2">
        <w:rPr>
          <w:i/>
          <w:iCs/>
          <w:color w:val="000000"/>
          <w:lang w:val="en-CA"/>
        </w:rPr>
        <w:t>change</w:t>
      </w:r>
      <w:r w:rsidRPr="00515AA2">
        <w:rPr>
          <w:i/>
          <w:iCs/>
          <w:color w:val="000000"/>
          <w:lang w:val="en-CA"/>
        </w:rPr>
        <w:t xml:space="preserve"> of name by way of judicial process </w:t>
      </w:r>
      <w:r w:rsidR="00476F78" w:rsidRPr="00515AA2">
        <w:rPr>
          <w:color w:val="000000"/>
          <w:lang w:val="en-CA"/>
        </w:rPr>
        <w:t>(art</w:t>
      </w:r>
      <w:r w:rsidRPr="00515AA2">
        <w:rPr>
          <w:color w:val="000000"/>
          <w:lang w:val="en-CA"/>
        </w:rPr>
        <w:t>s</w:t>
      </w:r>
      <w:r w:rsidR="00476F78" w:rsidRPr="00515AA2">
        <w:rPr>
          <w:color w:val="000000"/>
          <w:lang w:val="en-CA"/>
        </w:rPr>
        <w:t>.</w:t>
      </w:r>
      <w:r w:rsidR="0038182A" w:rsidRPr="00515AA2">
        <w:rPr>
          <w:color w:val="000000"/>
          <w:lang w:val="en-CA"/>
        </w:rPr>
        <w:t> </w:t>
      </w:r>
      <w:r w:rsidR="00476F78" w:rsidRPr="00515AA2">
        <w:rPr>
          <w:color w:val="000000"/>
          <w:lang w:val="en-CA"/>
        </w:rPr>
        <w:t xml:space="preserve">65 </w:t>
      </w:r>
      <w:r w:rsidRPr="00515AA2">
        <w:rPr>
          <w:color w:val="000000"/>
          <w:lang w:val="en-CA"/>
        </w:rPr>
        <w:t>t</w:t>
      </w:r>
      <w:r w:rsidR="00602FF6" w:rsidRPr="00515AA2">
        <w:rPr>
          <w:color w:val="000000"/>
          <w:lang w:val="en-CA"/>
        </w:rPr>
        <w:t>o</w:t>
      </w:r>
      <w:r w:rsidR="00476F78" w:rsidRPr="00515AA2">
        <w:rPr>
          <w:color w:val="000000"/>
          <w:lang w:val="en-CA"/>
        </w:rPr>
        <w:t xml:space="preserve"> 66.1 </w:t>
      </w:r>
      <w:r w:rsidR="00476F78" w:rsidRPr="00515AA2">
        <w:rPr>
          <w:i/>
          <w:iCs/>
          <w:color w:val="000000"/>
          <w:lang w:val="en-CA"/>
        </w:rPr>
        <w:t>C.</w:t>
      </w:r>
      <w:r w:rsidRPr="00515AA2">
        <w:rPr>
          <w:i/>
          <w:iCs/>
          <w:color w:val="000000"/>
          <w:lang w:val="en-CA"/>
        </w:rPr>
        <w:t>C</w:t>
      </w:r>
      <w:r w:rsidR="00476F78" w:rsidRPr="00515AA2">
        <w:rPr>
          <w:i/>
          <w:iCs/>
          <w:color w:val="000000"/>
          <w:lang w:val="en-CA"/>
        </w:rPr>
        <w:t>.Q</w:t>
      </w:r>
      <w:r w:rsidR="00476F78" w:rsidRPr="00515AA2">
        <w:rPr>
          <w:color w:val="000000"/>
          <w:lang w:val="en-CA"/>
        </w:rPr>
        <w:t>.).</w:t>
      </w:r>
    </w:p>
    <w:p w14:paraId="4A5F20C5" w14:textId="4E371ED6" w:rsidR="00335337" w:rsidRPr="00515AA2" w:rsidRDefault="00010A46" w:rsidP="00F846E3">
      <w:pPr>
        <w:pStyle w:val="Paragraphe"/>
        <w:tabs>
          <w:tab w:val="clear" w:pos="360"/>
        </w:tabs>
        <w:spacing w:line="280" w:lineRule="exact"/>
        <w:rPr>
          <w:color w:val="000000"/>
          <w:lang w:val="en-CA"/>
        </w:rPr>
      </w:pPr>
      <w:r w:rsidRPr="00515AA2">
        <w:rPr>
          <w:color w:val="000000"/>
          <w:lang w:val="en-CA"/>
        </w:rPr>
        <w:t>Before the enactment of the</w:t>
      </w:r>
      <w:r w:rsidR="00335337" w:rsidRPr="00515AA2">
        <w:rPr>
          <w:color w:val="000000"/>
          <w:lang w:val="en-CA"/>
        </w:rPr>
        <w:t xml:space="preserve"> </w:t>
      </w:r>
      <w:r w:rsidR="00335337" w:rsidRPr="00515AA2">
        <w:rPr>
          <w:i/>
          <w:color w:val="000000"/>
          <w:lang w:val="en-CA"/>
        </w:rPr>
        <w:t>C</w:t>
      </w:r>
      <w:r w:rsidRPr="00515AA2">
        <w:rPr>
          <w:i/>
          <w:color w:val="000000"/>
          <w:lang w:val="en-CA"/>
        </w:rPr>
        <w:t>ivil C</w:t>
      </w:r>
      <w:r w:rsidR="00F878C8" w:rsidRPr="00515AA2">
        <w:rPr>
          <w:i/>
          <w:color w:val="000000"/>
          <w:lang w:val="en-CA"/>
        </w:rPr>
        <w:t xml:space="preserve">ode </w:t>
      </w:r>
      <w:r w:rsidR="00BA32C1" w:rsidRPr="00515AA2">
        <w:rPr>
          <w:i/>
          <w:color w:val="000000"/>
          <w:lang w:val="en-CA"/>
        </w:rPr>
        <w:t>of</w:t>
      </w:r>
      <w:r w:rsidR="00F878C8" w:rsidRPr="00515AA2">
        <w:rPr>
          <w:i/>
          <w:color w:val="000000"/>
          <w:lang w:val="en-CA"/>
        </w:rPr>
        <w:t xml:space="preserve"> Québec</w:t>
      </w:r>
      <w:r w:rsidR="00574163" w:rsidRPr="00515AA2">
        <w:rPr>
          <w:color w:val="000000"/>
          <w:lang w:val="en-CA"/>
        </w:rPr>
        <w:t xml:space="preserve">, </w:t>
      </w:r>
      <w:r w:rsidR="00BA32C1" w:rsidRPr="00515AA2">
        <w:rPr>
          <w:color w:val="000000"/>
          <w:lang w:val="en-CA"/>
        </w:rPr>
        <w:t>only Canadian citizen</w:t>
      </w:r>
      <w:r w:rsidR="00602FF6" w:rsidRPr="00515AA2">
        <w:rPr>
          <w:color w:val="000000"/>
          <w:lang w:val="en-CA"/>
        </w:rPr>
        <w:t>s</w:t>
      </w:r>
      <w:r w:rsidR="00BA32C1" w:rsidRPr="00515AA2">
        <w:rPr>
          <w:color w:val="000000"/>
          <w:lang w:val="en-CA"/>
        </w:rPr>
        <w:t xml:space="preserve"> of </w:t>
      </w:r>
      <w:r w:rsidR="00A3426A" w:rsidRPr="00515AA2">
        <w:rPr>
          <w:color w:val="000000"/>
          <w:lang w:val="en-CA"/>
        </w:rPr>
        <w:t xml:space="preserve">full </w:t>
      </w:r>
      <w:r w:rsidR="00BA32C1" w:rsidRPr="00515AA2">
        <w:rPr>
          <w:color w:val="000000"/>
          <w:lang w:val="en-CA"/>
        </w:rPr>
        <w:t>age, who had been domiciled in Québec for one year or more</w:t>
      </w:r>
      <w:r w:rsidR="00602FF6" w:rsidRPr="00515AA2">
        <w:rPr>
          <w:color w:val="000000"/>
          <w:lang w:val="en-CA"/>
        </w:rPr>
        <w:t>,</w:t>
      </w:r>
      <w:r w:rsidR="00BA32C1" w:rsidRPr="00515AA2">
        <w:rPr>
          <w:color w:val="000000"/>
          <w:lang w:val="en-CA"/>
        </w:rPr>
        <w:t xml:space="preserve"> could file an application for a change of name by way of administrative process</w:t>
      </w:r>
      <w:r w:rsidR="00602FF6" w:rsidRPr="00515AA2">
        <w:rPr>
          <w:color w:val="000000"/>
          <w:lang w:val="en-CA"/>
        </w:rPr>
        <w:t>.</w:t>
      </w:r>
      <w:r w:rsidR="00335337" w:rsidRPr="00515AA2">
        <w:rPr>
          <w:rStyle w:val="Appelnotedebasdep"/>
          <w:color w:val="000000"/>
          <w:lang w:val="en-CA"/>
        </w:rPr>
        <w:footnoteReference w:id="22"/>
      </w:r>
      <w:r w:rsidR="00335337" w:rsidRPr="00515AA2">
        <w:rPr>
          <w:color w:val="000000"/>
          <w:lang w:val="en-CA"/>
        </w:rPr>
        <w:t xml:space="preserve"> </w:t>
      </w:r>
      <w:r w:rsidR="00BA32C1" w:rsidRPr="00515AA2">
        <w:rPr>
          <w:color w:val="000000"/>
          <w:lang w:val="en-CA"/>
        </w:rPr>
        <w:t xml:space="preserve">The change of name of a minor could only occur if one of their parents </w:t>
      </w:r>
      <w:r w:rsidR="00BF162E" w:rsidRPr="00515AA2">
        <w:rPr>
          <w:color w:val="000000"/>
          <w:lang w:val="en-CA"/>
        </w:rPr>
        <w:t xml:space="preserve">effected that </w:t>
      </w:r>
      <w:r w:rsidR="00BA32C1" w:rsidRPr="00515AA2">
        <w:rPr>
          <w:color w:val="000000"/>
          <w:lang w:val="en-CA"/>
        </w:rPr>
        <w:t xml:space="preserve">change </w:t>
      </w:r>
      <w:r w:rsidR="00602FF6" w:rsidRPr="00515AA2">
        <w:rPr>
          <w:color w:val="000000"/>
          <w:lang w:val="en-CA"/>
        </w:rPr>
        <w:t>for</w:t>
      </w:r>
      <w:r w:rsidR="00BA32C1" w:rsidRPr="00515AA2">
        <w:rPr>
          <w:color w:val="000000"/>
          <w:lang w:val="en-CA"/>
        </w:rPr>
        <w:t xml:space="preserve"> all of their descendants.</w:t>
      </w:r>
      <w:r w:rsidR="00335337" w:rsidRPr="00515AA2">
        <w:rPr>
          <w:rStyle w:val="Appelnotedebasdep"/>
          <w:color w:val="000000"/>
          <w:lang w:val="en-CA"/>
        </w:rPr>
        <w:footnoteReference w:id="23"/>
      </w:r>
    </w:p>
    <w:p w14:paraId="70878F77" w14:textId="77005B7C" w:rsidR="000C315C" w:rsidRPr="00515AA2" w:rsidRDefault="009A6BFD" w:rsidP="00F846E3">
      <w:pPr>
        <w:pStyle w:val="Paragraphe"/>
        <w:tabs>
          <w:tab w:val="clear" w:pos="360"/>
        </w:tabs>
        <w:spacing w:line="280" w:lineRule="exact"/>
        <w:rPr>
          <w:color w:val="000000"/>
          <w:lang w:val="en-CA"/>
        </w:rPr>
      </w:pPr>
      <w:r w:rsidRPr="00515AA2">
        <w:rPr>
          <w:color w:val="000000"/>
          <w:lang w:val="en-CA"/>
        </w:rPr>
        <w:lastRenderedPageBreak/>
        <w:t>It should also be noted that it was</w:t>
      </w:r>
      <w:r w:rsidR="00BD519D" w:rsidRPr="00515AA2">
        <w:rPr>
          <w:color w:val="000000"/>
          <w:lang w:val="en-CA"/>
        </w:rPr>
        <w:t xml:space="preserve"> in</w:t>
      </w:r>
      <w:r w:rsidR="003624CE" w:rsidRPr="00515AA2">
        <w:rPr>
          <w:color w:val="000000"/>
          <w:lang w:val="en-CA"/>
        </w:rPr>
        <w:t xml:space="preserve"> 1977</w:t>
      </w:r>
      <w:r w:rsidR="00C96AC7" w:rsidRPr="00515AA2">
        <w:rPr>
          <w:color w:val="000000"/>
          <w:lang w:val="en-CA"/>
        </w:rPr>
        <w:t xml:space="preserve">, </w:t>
      </w:r>
      <w:r w:rsidRPr="00515AA2">
        <w:rPr>
          <w:color w:val="000000"/>
          <w:lang w:val="en-CA"/>
        </w:rPr>
        <w:t>by the enactment of the</w:t>
      </w:r>
      <w:r w:rsidR="00C96AC7" w:rsidRPr="00515AA2">
        <w:rPr>
          <w:color w:val="000000"/>
          <w:lang w:val="en-CA"/>
        </w:rPr>
        <w:t xml:space="preserve"> </w:t>
      </w:r>
      <w:r w:rsidR="00602FF6" w:rsidRPr="00515AA2">
        <w:rPr>
          <w:i/>
          <w:color w:val="000000"/>
          <w:lang w:val="en-CA"/>
        </w:rPr>
        <w:t>Act to amend the Act respecting the change of name</w:t>
      </w:r>
      <w:r w:rsidRPr="00515AA2">
        <w:rPr>
          <w:i/>
          <w:color w:val="000000"/>
          <w:lang w:val="en-CA"/>
        </w:rPr>
        <w:t>,</w:t>
      </w:r>
      <w:r w:rsidR="00C96AC7" w:rsidRPr="00515AA2">
        <w:rPr>
          <w:rStyle w:val="Appelnotedebasdep"/>
          <w:color w:val="000000"/>
          <w:lang w:val="en-CA"/>
        </w:rPr>
        <w:footnoteReference w:id="24"/>
      </w:r>
      <w:r w:rsidR="00BD519D" w:rsidRPr="00515AA2">
        <w:rPr>
          <w:i/>
          <w:color w:val="000000"/>
          <w:lang w:val="en-CA"/>
        </w:rPr>
        <w:t xml:space="preserve"> </w:t>
      </w:r>
      <w:r w:rsidRPr="00515AA2">
        <w:rPr>
          <w:color w:val="000000"/>
          <w:lang w:val="en-CA"/>
        </w:rPr>
        <w:t>that the Quebec legislator first granted</w:t>
      </w:r>
      <w:r w:rsidR="00BD519D" w:rsidRPr="00515AA2">
        <w:rPr>
          <w:color w:val="000000"/>
          <w:lang w:val="en-CA"/>
        </w:rPr>
        <w:t xml:space="preserve"> to</w:t>
      </w:r>
      <w:r w:rsidRPr="00515AA2">
        <w:rPr>
          <w:color w:val="000000"/>
          <w:lang w:val="en-CA"/>
        </w:rPr>
        <w:t xml:space="preserve"> </w:t>
      </w:r>
      <w:r w:rsidR="00BD519D" w:rsidRPr="00515AA2">
        <w:rPr>
          <w:color w:val="000000"/>
          <w:lang w:val="en-CA"/>
        </w:rPr>
        <w:t xml:space="preserve">unmarried </w:t>
      </w:r>
      <w:r w:rsidRPr="00515AA2">
        <w:rPr>
          <w:color w:val="000000"/>
          <w:lang w:val="en-CA"/>
        </w:rPr>
        <w:t>Canadian citizen</w:t>
      </w:r>
      <w:r w:rsidR="00BD519D" w:rsidRPr="00515AA2">
        <w:rPr>
          <w:color w:val="000000"/>
          <w:lang w:val="en-CA"/>
        </w:rPr>
        <w:t>s</w:t>
      </w:r>
      <w:r w:rsidRPr="00515AA2">
        <w:rPr>
          <w:color w:val="000000"/>
          <w:lang w:val="en-CA"/>
        </w:rPr>
        <w:t xml:space="preserve"> of full age, residing in Quebec for at least a year, </w:t>
      </w:r>
      <w:r w:rsidR="00BD519D" w:rsidRPr="00515AA2">
        <w:rPr>
          <w:color w:val="000000"/>
          <w:lang w:val="en-CA"/>
        </w:rPr>
        <w:t xml:space="preserve">the right </w:t>
      </w:r>
      <w:r w:rsidRPr="00515AA2">
        <w:rPr>
          <w:color w:val="000000"/>
          <w:lang w:val="en-CA"/>
        </w:rPr>
        <w:t xml:space="preserve">to have </w:t>
      </w:r>
      <w:r w:rsidR="00BD519D" w:rsidRPr="00515AA2">
        <w:rPr>
          <w:color w:val="000000"/>
          <w:lang w:val="en-CA"/>
        </w:rPr>
        <w:t xml:space="preserve">the </w:t>
      </w:r>
      <w:r w:rsidRPr="00515AA2">
        <w:rPr>
          <w:color w:val="000000"/>
          <w:lang w:val="en-CA"/>
        </w:rPr>
        <w:t>designation of</w:t>
      </w:r>
      <w:r w:rsidR="00BD519D" w:rsidRPr="00515AA2">
        <w:rPr>
          <w:color w:val="000000"/>
          <w:lang w:val="en-CA"/>
        </w:rPr>
        <w:t xml:space="preserve"> sex and one or more given names appearing in their civil status documents changed.</w:t>
      </w:r>
      <w:r w:rsidR="003624CE" w:rsidRPr="00515AA2">
        <w:rPr>
          <w:rStyle w:val="Appelnotedebasdep"/>
          <w:color w:val="000000"/>
          <w:lang w:val="en-CA"/>
        </w:rPr>
        <w:footnoteReference w:id="25"/>
      </w:r>
      <w:r w:rsidR="00BD519D" w:rsidRPr="00515AA2">
        <w:rPr>
          <w:color w:val="000000"/>
          <w:lang w:val="en-CA"/>
        </w:rPr>
        <w:t xml:space="preserve"> At the time, that act </w:t>
      </w:r>
      <w:r w:rsidR="00602FF6" w:rsidRPr="00515AA2">
        <w:rPr>
          <w:color w:val="000000"/>
          <w:lang w:val="en-CA"/>
        </w:rPr>
        <w:t>made</w:t>
      </w:r>
      <w:r w:rsidR="00BD519D" w:rsidRPr="00515AA2">
        <w:rPr>
          <w:color w:val="000000"/>
          <w:lang w:val="en-CA"/>
        </w:rPr>
        <w:t xml:space="preserve"> that change </w:t>
      </w:r>
      <w:r w:rsidR="00602FF6" w:rsidRPr="00515AA2">
        <w:rPr>
          <w:color w:val="000000"/>
          <w:lang w:val="en-CA"/>
        </w:rPr>
        <w:t>conditional upon</w:t>
      </w:r>
      <w:r w:rsidR="00BD519D" w:rsidRPr="00515AA2">
        <w:rPr>
          <w:color w:val="000000"/>
          <w:lang w:val="en-CA"/>
        </w:rPr>
        <w:t xml:space="preserve"> certain requirements, including that of having</w:t>
      </w:r>
      <w:r w:rsidR="003624CE" w:rsidRPr="00515AA2">
        <w:rPr>
          <w:color w:val="000000"/>
          <w:lang w:val="en-CA"/>
        </w:rPr>
        <w:t xml:space="preserve"> </w:t>
      </w:r>
      <w:r w:rsidR="00BD519D" w:rsidRPr="00515AA2">
        <w:rPr>
          <w:color w:val="000000"/>
          <w:lang w:val="en-CA"/>
        </w:rPr>
        <w:t>“successfully undergone medical treatments a</w:t>
      </w:r>
      <w:r w:rsidR="00380B41" w:rsidRPr="00515AA2">
        <w:rPr>
          <w:color w:val="000000"/>
          <w:lang w:val="en-CA"/>
        </w:rPr>
        <w:t>s well as</w:t>
      </w:r>
      <w:r w:rsidR="00BD519D" w:rsidRPr="00515AA2">
        <w:rPr>
          <w:color w:val="000000"/>
          <w:lang w:val="en-CA"/>
        </w:rPr>
        <w:t xml:space="preserve"> surgical </w:t>
      </w:r>
      <w:r w:rsidR="00380B41" w:rsidRPr="00515AA2">
        <w:rPr>
          <w:color w:val="000000"/>
          <w:lang w:val="en-CA"/>
        </w:rPr>
        <w:t>treatments</w:t>
      </w:r>
      <w:r w:rsidR="00BD519D" w:rsidRPr="00515AA2">
        <w:rPr>
          <w:color w:val="000000"/>
          <w:lang w:val="en-CA"/>
        </w:rPr>
        <w:t xml:space="preserve"> involving a structural modification of the sexual organs intended to change </w:t>
      </w:r>
      <w:r w:rsidR="00380B41" w:rsidRPr="00515AA2">
        <w:rPr>
          <w:color w:val="000000"/>
          <w:lang w:val="en-CA"/>
        </w:rPr>
        <w:t>the</w:t>
      </w:r>
      <w:r w:rsidR="00BD519D" w:rsidRPr="00515AA2">
        <w:rPr>
          <w:color w:val="000000"/>
          <w:lang w:val="en-CA"/>
        </w:rPr>
        <w:t xml:space="preserve"> secondary sexual characteristics</w:t>
      </w:r>
      <w:r w:rsidR="00380B41" w:rsidRPr="00515AA2">
        <w:rPr>
          <w:color w:val="000000"/>
          <w:lang w:val="en-CA"/>
        </w:rPr>
        <w:t xml:space="preserve"> of the person</w:t>
      </w:r>
      <w:r w:rsidR="00BD519D" w:rsidRPr="00515AA2">
        <w:rPr>
          <w:color w:val="000000"/>
          <w:lang w:val="en-CA"/>
        </w:rPr>
        <w:t>.”</w:t>
      </w:r>
      <w:r w:rsidR="003624CE" w:rsidRPr="00515AA2">
        <w:rPr>
          <w:rStyle w:val="Appelnotedebasdep"/>
          <w:color w:val="000000"/>
          <w:lang w:val="en-CA"/>
        </w:rPr>
        <w:footnoteReference w:id="26"/>
      </w:r>
    </w:p>
    <w:p w14:paraId="69A4FE60" w14:textId="63C29D81" w:rsidR="00AC48A4" w:rsidRPr="00515AA2" w:rsidRDefault="003E2C72" w:rsidP="00F846E3">
      <w:pPr>
        <w:pStyle w:val="Paragraphe"/>
        <w:spacing w:line="280" w:lineRule="exact"/>
        <w:rPr>
          <w:color w:val="000000"/>
          <w:lang w:val="en-CA"/>
        </w:rPr>
      </w:pPr>
      <w:r w:rsidRPr="00515AA2">
        <w:rPr>
          <w:color w:val="000000"/>
          <w:lang w:val="en-CA"/>
        </w:rPr>
        <w:t>I</w:t>
      </w:r>
      <w:r w:rsidR="00B81D70" w:rsidRPr="00515AA2">
        <w:rPr>
          <w:color w:val="000000"/>
          <w:lang w:val="en-CA"/>
        </w:rPr>
        <w:t xml:space="preserve">n 1991, </w:t>
      </w:r>
      <w:r w:rsidR="007511D8" w:rsidRPr="00515AA2">
        <w:rPr>
          <w:color w:val="000000"/>
          <w:lang w:val="en-CA"/>
        </w:rPr>
        <w:t>with</w:t>
      </w:r>
      <w:r w:rsidRPr="00515AA2">
        <w:rPr>
          <w:color w:val="000000"/>
          <w:lang w:val="en-CA"/>
        </w:rPr>
        <w:t xml:space="preserve"> the enactment of the</w:t>
      </w:r>
      <w:r w:rsidR="00B81D70" w:rsidRPr="00515AA2">
        <w:rPr>
          <w:color w:val="000000"/>
          <w:lang w:val="en-CA"/>
        </w:rPr>
        <w:t xml:space="preserve"> </w:t>
      </w:r>
      <w:r w:rsidR="00F878C8" w:rsidRPr="00515AA2">
        <w:rPr>
          <w:i/>
          <w:iCs/>
          <w:color w:val="000000"/>
          <w:lang w:val="en-CA"/>
        </w:rPr>
        <w:t>C.</w:t>
      </w:r>
      <w:r w:rsidRPr="00515AA2">
        <w:rPr>
          <w:i/>
          <w:iCs/>
          <w:color w:val="000000"/>
          <w:lang w:val="en-CA"/>
        </w:rPr>
        <w:t>C</w:t>
      </w:r>
      <w:r w:rsidR="00F878C8" w:rsidRPr="00515AA2">
        <w:rPr>
          <w:i/>
          <w:iCs/>
          <w:color w:val="000000"/>
          <w:lang w:val="en-CA"/>
        </w:rPr>
        <w:t>.Q</w:t>
      </w:r>
      <w:r w:rsidRPr="00515AA2">
        <w:rPr>
          <w:i/>
          <w:iCs/>
          <w:color w:val="000000"/>
          <w:lang w:val="en-CA"/>
        </w:rPr>
        <w:t>.</w:t>
      </w:r>
      <w:r w:rsidRPr="00515AA2">
        <w:rPr>
          <w:color w:val="000000"/>
          <w:lang w:val="en-CA"/>
        </w:rPr>
        <w:t xml:space="preserve">, minor changes were made to the statutory language regarding the change of designation of sex, without removing </w:t>
      </w:r>
      <w:r w:rsidR="00CD55AC" w:rsidRPr="00515AA2">
        <w:rPr>
          <w:color w:val="000000"/>
          <w:lang w:val="en-CA"/>
        </w:rPr>
        <w:t>this</w:t>
      </w:r>
      <w:r w:rsidRPr="00515AA2">
        <w:rPr>
          <w:color w:val="000000"/>
          <w:lang w:val="en-CA"/>
        </w:rPr>
        <w:t xml:space="preserve"> requirement.</w:t>
      </w:r>
      <w:r w:rsidR="003624CE" w:rsidRPr="00515AA2">
        <w:rPr>
          <w:rStyle w:val="Appelnotedebasdep"/>
          <w:color w:val="000000"/>
          <w:lang w:val="en-CA"/>
        </w:rPr>
        <w:footnoteReference w:id="27"/>
      </w:r>
    </w:p>
    <w:p w14:paraId="33C81222" w14:textId="10B920AF" w:rsidR="003624CE" w:rsidRPr="00515AA2" w:rsidRDefault="003E2C72" w:rsidP="00D84C5B">
      <w:pPr>
        <w:pStyle w:val="Paragraphe"/>
        <w:numPr>
          <w:ilvl w:val="0"/>
          <w:numId w:val="12"/>
        </w:numPr>
        <w:tabs>
          <w:tab w:val="clear" w:pos="360"/>
        </w:tabs>
        <w:spacing w:line="280" w:lineRule="exact"/>
        <w:rPr>
          <w:color w:val="000000"/>
          <w:lang w:val="en-CA"/>
        </w:rPr>
      </w:pPr>
      <w:r w:rsidRPr="00515AA2">
        <w:rPr>
          <w:color w:val="000000"/>
          <w:lang w:val="en-CA"/>
        </w:rPr>
        <w:t>The</w:t>
      </w:r>
      <w:r w:rsidR="00FE539D" w:rsidRPr="00515AA2">
        <w:rPr>
          <w:color w:val="000000"/>
          <w:lang w:val="en-CA"/>
        </w:rPr>
        <w:t xml:space="preserve"> </w:t>
      </w:r>
      <w:r w:rsidR="00FE539D" w:rsidRPr="00515AA2">
        <w:rPr>
          <w:i/>
          <w:iCs/>
          <w:color w:val="000000"/>
          <w:lang w:val="en-CA"/>
        </w:rPr>
        <w:t>C.</w:t>
      </w:r>
      <w:r w:rsidRPr="00515AA2">
        <w:rPr>
          <w:i/>
          <w:iCs/>
          <w:color w:val="000000"/>
          <w:lang w:val="en-CA"/>
        </w:rPr>
        <w:t>C</w:t>
      </w:r>
      <w:r w:rsidR="00FE539D" w:rsidRPr="00515AA2">
        <w:rPr>
          <w:i/>
          <w:iCs/>
          <w:color w:val="000000"/>
          <w:lang w:val="en-CA"/>
        </w:rPr>
        <w:t>.Q</w:t>
      </w:r>
      <w:r w:rsidR="00FE539D" w:rsidRPr="00515AA2">
        <w:rPr>
          <w:color w:val="000000"/>
          <w:lang w:val="en-CA"/>
        </w:rPr>
        <w:t xml:space="preserve">. </w:t>
      </w:r>
      <w:r w:rsidRPr="00515AA2">
        <w:rPr>
          <w:color w:val="000000"/>
          <w:lang w:val="en-CA"/>
        </w:rPr>
        <w:t xml:space="preserve">did however </w:t>
      </w:r>
      <w:r w:rsidR="001839B8" w:rsidRPr="00515AA2">
        <w:rPr>
          <w:color w:val="000000"/>
          <w:lang w:val="en-CA"/>
        </w:rPr>
        <w:t>introduce</w:t>
      </w:r>
      <w:r w:rsidRPr="00515AA2">
        <w:rPr>
          <w:color w:val="000000"/>
          <w:lang w:val="en-CA"/>
        </w:rPr>
        <w:t xml:space="preserve"> certain </w:t>
      </w:r>
      <w:r w:rsidR="007511D8" w:rsidRPr="00515AA2">
        <w:rPr>
          <w:color w:val="000000"/>
          <w:lang w:val="en-CA"/>
        </w:rPr>
        <w:t>changes</w:t>
      </w:r>
      <w:r w:rsidRPr="00515AA2">
        <w:rPr>
          <w:color w:val="000000"/>
          <w:lang w:val="en-CA"/>
        </w:rPr>
        <w:t xml:space="preserve"> to the mechanism </w:t>
      </w:r>
      <w:r w:rsidR="002C2C30" w:rsidRPr="00515AA2">
        <w:rPr>
          <w:color w:val="000000"/>
          <w:lang w:val="en-CA"/>
        </w:rPr>
        <w:t xml:space="preserve">for the </w:t>
      </w:r>
      <w:r w:rsidRPr="00515AA2">
        <w:rPr>
          <w:color w:val="000000"/>
          <w:lang w:val="en-CA"/>
        </w:rPr>
        <w:t>change of name of a minor</w:t>
      </w:r>
      <w:r w:rsidR="00837DAF" w:rsidRPr="00515AA2">
        <w:rPr>
          <w:color w:val="000000"/>
          <w:lang w:val="en-CA"/>
        </w:rPr>
        <w:t xml:space="preserve">. </w:t>
      </w:r>
      <w:r w:rsidRPr="00515AA2">
        <w:rPr>
          <w:color w:val="000000"/>
          <w:lang w:val="en-CA"/>
        </w:rPr>
        <w:t>First, it allow</w:t>
      </w:r>
      <w:r w:rsidR="002C2C30" w:rsidRPr="00515AA2">
        <w:rPr>
          <w:color w:val="000000"/>
          <w:lang w:val="en-CA"/>
        </w:rPr>
        <w:t>ed</w:t>
      </w:r>
      <w:r w:rsidRPr="00515AA2">
        <w:rPr>
          <w:color w:val="000000"/>
          <w:lang w:val="en-CA"/>
        </w:rPr>
        <w:t xml:space="preserve"> such an application </w:t>
      </w:r>
      <w:r w:rsidR="007511D8" w:rsidRPr="00515AA2">
        <w:rPr>
          <w:color w:val="000000"/>
          <w:lang w:val="en-CA"/>
        </w:rPr>
        <w:t xml:space="preserve">to </w:t>
      </w:r>
      <w:r w:rsidR="002C2C30" w:rsidRPr="00515AA2">
        <w:rPr>
          <w:color w:val="000000"/>
          <w:lang w:val="en-CA"/>
        </w:rPr>
        <w:t xml:space="preserve">now </w:t>
      </w:r>
      <w:r w:rsidRPr="00515AA2">
        <w:rPr>
          <w:color w:val="000000"/>
          <w:lang w:val="en-CA"/>
        </w:rPr>
        <w:t xml:space="preserve">be made by </w:t>
      </w:r>
      <w:r w:rsidR="007511D8" w:rsidRPr="00515AA2">
        <w:rPr>
          <w:color w:val="000000"/>
          <w:lang w:val="en-CA"/>
        </w:rPr>
        <w:t>the</w:t>
      </w:r>
      <w:r w:rsidRPr="00515AA2">
        <w:rPr>
          <w:color w:val="000000"/>
          <w:lang w:val="en-CA"/>
        </w:rPr>
        <w:t xml:space="preserve"> </w:t>
      </w:r>
      <w:r w:rsidR="007511D8" w:rsidRPr="00515AA2">
        <w:rPr>
          <w:color w:val="000000"/>
          <w:lang w:val="en-CA"/>
        </w:rPr>
        <w:t xml:space="preserve">minor’s </w:t>
      </w:r>
      <w:r w:rsidRPr="00515AA2">
        <w:rPr>
          <w:color w:val="000000"/>
          <w:lang w:val="en-CA"/>
        </w:rPr>
        <w:t>tutor.</w:t>
      </w:r>
      <w:r w:rsidR="003624CE" w:rsidRPr="00515AA2">
        <w:rPr>
          <w:rStyle w:val="Appelnotedebasdep"/>
          <w:color w:val="000000"/>
          <w:lang w:val="en-CA"/>
        </w:rPr>
        <w:footnoteReference w:id="28"/>
      </w:r>
      <w:r w:rsidRPr="00515AA2">
        <w:rPr>
          <w:color w:val="000000"/>
          <w:lang w:val="en-CA"/>
        </w:rPr>
        <w:t xml:space="preserve"> It</w:t>
      </w:r>
      <w:r w:rsidR="007511D8" w:rsidRPr="00515AA2">
        <w:rPr>
          <w:color w:val="000000"/>
          <w:lang w:val="en-CA"/>
        </w:rPr>
        <w:t xml:space="preserve"> </w:t>
      </w:r>
      <w:r w:rsidRPr="00515AA2">
        <w:rPr>
          <w:color w:val="000000"/>
          <w:lang w:val="en-CA"/>
        </w:rPr>
        <w:t>also provided that</w:t>
      </w:r>
      <w:r w:rsidR="002C2C30" w:rsidRPr="00515AA2">
        <w:rPr>
          <w:color w:val="000000"/>
          <w:lang w:val="en-CA"/>
        </w:rPr>
        <w:t xml:space="preserve">, except for a compelling reason, the application for a </w:t>
      </w:r>
      <w:r w:rsidR="002C2C30" w:rsidRPr="00515AA2">
        <w:rPr>
          <w:color w:val="000000"/>
          <w:lang w:val="en-CA"/>
        </w:rPr>
        <w:lastRenderedPageBreak/>
        <w:t xml:space="preserve">change of name of a child made by a parent would </w:t>
      </w:r>
      <w:r w:rsidR="001839B8" w:rsidRPr="00515AA2">
        <w:rPr>
          <w:color w:val="000000"/>
          <w:lang w:val="en-CA"/>
        </w:rPr>
        <w:t>no longer</w:t>
      </w:r>
      <w:r w:rsidR="002C2C30" w:rsidRPr="00515AA2">
        <w:rPr>
          <w:color w:val="000000"/>
          <w:lang w:val="en-CA"/>
        </w:rPr>
        <w:t xml:space="preserve"> be granted by the registrar of civil status if the minor of </w:t>
      </w:r>
      <w:r w:rsidR="008C25BF" w:rsidRPr="00515AA2">
        <w:rPr>
          <w:color w:val="000000"/>
          <w:lang w:val="en-CA"/>
        </w:rPr>
        <w:t xml:space="preserve">14 </w:t>
      </w:r>
      <w:r w:rsidR="002C2C30" w:rsidRPr="00515AA2">
        <w:rPr>
          <w:color w:val="000000"/>
          <w:lang w:val="en-CA"/>
        </w:rPr>
        <w:t>years of age or over or their tutor had not been notified of the application or objected to it.</w:t>
      </w:r>
      <w:r w:rsidR="003624CE" w:rsidRPr="00515AA2">
        <w:rPr>
          <w:rStyle w:val="Appelnotedebasdep"/>
          <w:color w:val="000000"/>
          <w:lang w:val="en-CA"/>
        </w:rPr>
        <w:footnoteReference w:id="29"/>
      </w:r>
    </w:p>
    <w:p w14:paraId="1D6C7A18" w14:textId="72A3482C" w:rsidR="003624CE" w:rsidRPr="00515AA2" w:rsidRDefault="001839B8" w:rsidP="00F846E3">
      <w:pPr>
        <w:pStyle w:val="Paragraphe"/>
        <w:tabs>
          <w:tab w:val="clear" w:pos="360"/>
        </w:tabs>
        <w:spacing w:line="280" w:lineRule="exact"/>
        <w:rPr>
          <w:color w:val="000000"/>
          <w:lang w:val="en-CA"/>
        </w:rPr>
      </w:pPr>
      <w:r w:rsidRPr="00515AA2">
        <w:rPr>
          <w:color w:val="000000"/>
          <w:lang w:val="en-CA"/>
        </w:rPr>
        <w:t>In</w:t>
      </w:r>
      <w:r w:rsidR="003624CE" w:rsidRPr="00515AA2">
        <w:rPr>
          <w:color w:val="000000"/>
          <w:lang w:val="en-CA"/>
        </w:rPr>
        <w:t xml:space="preserve"> 2004,</w:t>
      </w:r>
      <w:r w:rsidR="00ED1677" w:rsidRPr="00515AA2">
        <w:rPr>
          <w:color w:val="000000"/>
          <w:lang w:val="en-CA"/>
        </w:rPr>
        <w:t xml:space="preserve"> </w:t>
      </w:r>
      <w:r w:rsidRPr="00515AA2">
        <w:rPr>
          <w:color w:val="000000"/>
          <w:lang w:val="en-CA"/>
        </w:rPr>
        <w:t xml:space="preserve">following </w:t>
      </w:r>
      <w:r w:rsidR="008A5C02" w:rsidRPr="00515AA2">
        <w:rPr>
          <w:color w:val="000000"/>
          <w:lang w:val="en-CA"/>
        </w:rPr>
        <w:t>the</w:t>
      </w:r>
      <w:r w:rsidR="009307E4" w:rsidRPr="00515AA2">
        <w:rPr>
          <w:color w:val="000000"/>
          <w:lang w:val="en-CA"/>
        </w:rPr>
        <w:t xml:space="preserve"> Cour</w:t>
      </w:r>
      <w:r w:rsidRPr="00515AA2">
        <w:rPr>
          <w:color w:val="000000"/>
          <w:lang w:val="en-CA"/>
        </w:rPr>
        <w:t>t’s judgment allowing same-sex marriages</w:t>
      </w:r>
      <w:r w:rsidR="00ED1677" w:rsidRPr="00515AA2">
        <w:rPr>
          <w:rStyle w:val="Appelnotedebasdep"/>
          <w:color w:val="000000"/>
          <w:lang w:val="en-CA"/>
        </w:rPr>
        <w:footnoteReference w:id="30"/>
      </w:r>
      <w:r w:rsidR="006F5DCD" w:rsidRPr="00515AA2">
        <w:rPr>
          <w:color w:val="000000"/>
          <w:lang w:val="en-CA"/>
        </w:rPr>
        <w:t xml:space="preserve"> </w:t>
      </w:r>
      <w:r w:rsidRPr="00515AA2">
        <w:rPr>
          <w:color w:val="000000"/>
          <w:lang w:val="en-CA"/>
        </w:rPr>
        <w:t xml:space="preserve">and </w:t>
      </w:r>
      <w:r w:rsidR="008A5C02" w:rsidRPr="00515AA2">
        <w:rPr>
          <w:color w:val="000000"/>
          <w:lang w:val="en-CA"/>
        </w:rPr>
        <w:t xml:space="preserve">in order to </w:t>
      </w:r>
      <w:r w:rsidRPr="00515AA2">
        <w:rPr>
          <w:color w:val="000000"/>
          <w:lang w:val="en-CA"/>
        </w:rPr>
        <w:t>ensur</w:t>
      </w:r>
      <w:r w:rsidR="008A5C02" w:rsidRPr="00515AA2">
        <w:rPr>
          <w:color w:val="000000"/>
          <w:lang w:val="en-CA"/>
        </w:rPr>
        <w:t>e</w:t>
      </w:r>
      <w:r w:rsidRPr="00515AA2">
        <w:rPr>
          <w:color w:val="000000"/>
          <w:lang w:val="en-CA"/>
        </w:rPr>
        <w:t xml:space="preserve"> a certain consistency of the legal order,</w:t>
      </w:r>
      <w:r w:rsidR="005B222F" w:rsidRPr="00515AA2">
        <w:rPr>
          <w:rStyle w:val="Appelnotedebasdep"/>
          <w:color w:val="000000"/>
          <w:lang w:val="en-CA"/>
        </w:rPr>
        <w:footnoteReference w:id="31"/>
      </w:r>
      <w:r w:rsidRPr="00515AA2">
        <w:rPr>
          <w:color w:val="000000"/>
          <w:lang w:val="en-CA"/>
        </w:rPr>
        <w:t xml:space="preserve"> </w:t>
      </w:r>
      <w:r w:rsidR="008A5C02" w:rsidRPr="00515AA2">
        <w:rPr>
          <w:color w:val="000000"/>
          <w:lang w:val="en-CA"/>
        </w:rPr>
        <w:t xml:space="preserve">given </w:t>
      </w:r>
      <w:r w:rsidR="009D6E00" w:rsidRPr="00515AA2">
        <w:rPr>
          <w:color w:val="000000"/>
          <w:lang w:val="en-CA"/>
        </w:rPr>
        <w:t>that</w:t>
      </w:r>
      <w:r w:rsidR="008A5C02" w:rsidRPr="00515AA2">
        <w:rPr>
          <w:color w:val="000000"/>
          <w:lang w:val="en-CA"/>
        </w:rPr>
        <w:t xml:space="preserve"> </w:t>
      </w:r>
      <w:r w:rsidRPr="00515AA2">
        <w:rPr>
          <w:color w:val="000000"/>
          <w:lang w:val="en-CA"/>
        </w:rPr>
        <w:t xml:space="preserve">marriage </w:t>
      </w:r>
      <w:r w:rsidR="009D6E00" w:rsidRPr="00515AA2">
        <w:rPr>
          <w:color w:val="000000"/>
          <w:lang w:val="en-CA"/>
        </w:rPr>
        <w:t xml:space="preserve">was no longer </w:t>
      </w:r>
      <w:r w:rsidRPr="00515AA2">
        <w:rPr>
          <w:color w:val="000000"/>
          <w:lang w:val="en-CA"/>
        </w:rPr>
        <w:t>heterosexual</w:t>
      </w:r>
      <w:r w:rsidR="009D6E00" w:rsidRPr="00515AA2">
        <w:rPr>
          <w:color w:val="000000"/>
          <w:lang w:val="en-CA"/>
        </w:rPr>
        <w:t xml:space="preserve"> in</w:t>
      </w:r>
      <w:r w:rsidRPr="00515AA2">
        <w:rPr>
          <w:color w:val="000000"/>
          <w:lang w:val="en-CA"/>
        </w:rPr>
        <w:t xml:space="preserve"> nature,</w:t>
      </w:r>
      <w:r w:rsidR="005B222F" w:rsidRPr="00515AA2">
        <w:rPr>
          <w:rStyle w:val="Appelnotedebasdep"/>
          <w:color w:val="000000"/>
          <w:lang w:val="en-CA"/>
        </w:rPr>
        <w:footnoteReference w:id="32"/>
      </w:r>
      <w:r w:rsidR="008A5C02" w:rsidRPr="00515AA2">
        <w:rPr>
          <w:color w:val="000000"/>
          <w:lang w:val="en-CA"/>
        </w:rPr>
        <w:t xml:space="preserve"> the</w:t>
      </w:r>
      <w:r w:rsidR="00ED1677" w:rsidRPr="00515AA2">
        <w:rPr>
          <w:color w:val="000000"/>
          <w:lang w:val="en-CA"/>
        </w:rPr>
        <w:t xml:space="preserve"> </w:t>
      </w:r>
      <w:r w:rsidR="00ED1677" w:rsidRPr="00515AA2">
        <w:rPr>
          <w:i/>
          <w:iCs/>
          <w:color w:val="000000"/>
          <w:lang w:val="en-CA"/>
        </w:rPr>
        <w:t>C</w:t>
      </w:r>
      <w:r w:rsidR="00C96AC7" w:rsidRPr="00515AA2">
        <w:rPr>
          <w:i/>
          <w:iCs/>
          <w:color w:val="000000"/>
          <w:lang w:val="en-CA"/>
        </w:rPr>
        <w:t>.</w:t>
      </w:r>
      <w:r w:rsidR="008A5C02" w:rsidRPr="00515AA2">
        <w:rPr>
          <w:i/>
          <w:iCs/>
          <w:color w:val="000000"/>
          <w:lang w:val="en-CA"/>
        </w:rPr>
        <w:t>C</w:t>
      </w:r>
      <w:r w:rsidR="00C96AC7" w:rsidRPr="00515AA2">
        <w:rPr>
          <w:i/>
          <w:iCs/>
          <w:color w:val="000000"/>
          <w:lang w:val="en-CA"/>
        </w:rPr>
        <w:t>.Q</w:t>
      </w:r>
      <w:r w:rsidR="00C96AC7" w:rsidRPr="00515AA2">
        <w:rPr>
          <w:color w:val="000000"/>
          <w:lang w:val="en-CA"/>
        </w:rPr>
        <w:t>.</w:t>
      </w:r>
      <w:r w:rsidR="00ED1677" w:rsidRPr="00515AA2">
        <w:rPr>
          <w:color w:val="000000"/>
          <w:lang w:val="en-CA"/>
        </w:rPr>
        <w:t xml:space="preserve"> </w:t>
      </w:r>
      <w:r w:rsidR="008A5C02" w:rsidRPr="00515AA2">
        <w:rPr>
          <w:color w:val="000000"/>
          <w:lang w:val="en-CA"/>
        </w:rPr>
        <w:t>was again amended</w:t>
      </w:r>
      <w:r w:rsidR="005B41E8" w:rsidRPr="00515AA2">
        <w:rPr>
          <w:color w:val="000000"/>
          <w:lang w:val="en-CA"/>
        </w:rPr>
        <w:t xml:space="preserve"> </w:t>
      </w:r>
      <w:r w:rsidR="008A5C02" w:rsidRPr="00515AA2">
        <w:rPr>
          <w:color w:val="000000"/>
          <w:lang w:val="en-CA"/>
        </w:rPr>
        <w:t xml:space="preserve">by </w:t>
      </w:r>
      <w:r w:rsidR="009D6E00" w:rsidRPr="00515AA2">
        <w:rPr>
          <w:color w:val="000000"/>
          <w:lang w:val="en-CA"/>
        </w:rPr>
        <w:t>removing</w:t>
      </w:r>
      <w:r w:rsidR="008A5C02" w:rsidRPr="00515AA2">
        <w:rPr>
          <w:color w:val="000000"/>
          <w:lang w:val="en-CA"/>
        </w:rPr>
        <w:t xml:space="preserve"> the requirement that a person not be married to be able to </w:t>
      </w:r>
      <w:r w:rsidR="00D97694" w:rsidRPr="00515AA2">
        <w:rPr>
          <w:color w:val="000000"/>
          <w:lang w:val="en-CA"/>
        </w:rPr>
        <w:t>modify</w:t>
      </w:r>
      <w:r w:rsidR="008A5C02" w:rsidRPr="00515AA2">
        <w:rPr>
          <w:color w:val="000000"/>
          <w:lang w:val="en-CA"/>
        </w:rPr>
        <w:t xml:space="preserve"> the designation of sex appearing in an act of civil status.</w:t>
      </w:r>
      <w:r w:rsidR="003624CE" w:rsidRPr="00515AA2">
        <w:rPr>
          <w:rStyle w:val="Appelnotedebasdep"/>
          <w:color w:val="000000"/>
          <w:lang w:val="en-CA"/>
        </w:rPr>
        <w:footnoteReference w:id="33"/>
      </w:r>
    </w:p>
    <w:p w14:paraId="1711F347" w14:textId="292789FB" w:rsidR="00A96ED1" w:rsidRPr="00515AA2" w:rsidRDefault="008A5C02" w:rsidP="00F846E3">
      <w:pPr>
        <w:pStyle w:val="Paragraphe"/>
        <w:tabs>
          <w:tab w:val="clear" w:pos="360"/>
        </w:tabs>
        <w:spacing w:line="280" w:lineRule="exact"/>
        <w:rPr>
          <w:color w:val="000000"/>
          <w:lang w:val="en-CA"/>
        </w:rPr>
      </w:pPr>
      <w:r w:rsidRPr="00515AA2">
        <w:rPr>
          <w:color w:val="000000"/>
          <w:lang w:val="en-CA"/>
        </w:rPr>
        <w:t>In April</w:t>
      </w:r>
      <w:r w:rsidR="003624CE" w:rsidRPr="00515AA2">
        <w:rPr>
          <w:color w:val="000000"/>
          <w:lang w:val="en-CA"/>
        </w:rPr>
        <w:t xml:space="preserve"> 2013, </w:t>
      </w:r>
      <w:r w:rsidRPr="00515AA2">
        <w:rPr>
          <w:color w:val="000000"/>
          <w:lang w:val="en-CA"/>
        </w:rPr>
        <w:t>the Minister of Justice, Bertrand St-Arnaud</w:t>
      </w:r>
      <w:r w:rsidR="009D6E00" w:rsidRPr="00515AA2">
        <w:rPr>
          <w:color w:val="000000"/>
          <w:lang w:val="en-CA"/>
        </w:rPr>
        <w:t>,</w:t>
      </w:r>
      <w:r w:rsidRPr="00515AA2">
        <w:rPr>
          <w:color w:val="000000"/>
          <w:lang w:val="en-CA"/>
        </w:rPr>
        <w:t xml:space="preserve"> proposed new amendments.</w:t>
      </w:r>
      <w:r w:rsidR="003624CE" w:rsidRPr="00515AA2">
        <w:rPr>
          <w:rStyle w:val="Appelnotedebasdep"/>
          <w:color w:val="000000"/>
          <w:lang w:val="en-CA"/>
        </w:rPr>
        <w:footnoteReference w:id="34"/>
      </w:r>
      <w:r w:rsidRPr="00515AA2">
        <w:rPr>
          <w:color w:val="000000"/>
          <w:lang w:val="en-CA"/>
        </w:rPr>
        <w:t xml:space="preserve"> In its initial form</w:t>
      </w:r>
      <w:r w:rsidR="00142D46" w:rsidRPr="00515AA2">
        <w:rPr>
          <w:color w:val="000000"/>
          <w:lang w:val="en-CA"/>
        </w:rPr>
        <w:t xml:space="preserve">, </w:t>
      </w:r>
      <w:r w:rsidRPr="00515AA2">
        <w:rPr>
          <w:color w:val="000000"/>
          <w:lang w:val="en-CA"/>
        </w:rPr>
        <w:t xml:space="preserve">the bill </w:t>
      </w:r>
      <w:r w:rsidR="00C820A5" w:rsidRPr="00515AA2">
        <w:rPr>
          <w:color w:val="000000"/>
          <w:lang w:val="en-CA"/>
        </w:rPr>
        <w:t xml:space="preserve">was only intended to remove the </w:t>
      </w:r>
      <w:r w:rsidR="009D6E00" w:rsidRPr="00515AA2">
        <w:rPr>
          <w:color w:val="000000"/>
          <w:lang w:val="en-CA"/>
        </w:rPr>
        <w:t>requirement</w:t>
      </w:r>
      <w:r w:rsidR="00C820A5" w:rsidRPr="00515AA2">
        <w:rPr>
          <w:color w:val="000000"/>
          <w:lang w:val="en-CA"/>
        </w:rPr>
        <w:t xml:space="preserve"> of publicizing the change of name application where </w:t>
      </w:r>
      <w:r w:rsidR="00AC2E5A" w:rsidRPr="00515AA2">
        <w:rPr>
          <w:color w:val="000000"/>
          <w:lang w:val="en-CA"/>
        </w:rPr>
        <w:t>it</w:t>
      </w:r>
      <w:r w:rsidR="00C820A5" w:rsidRPr="00515AA2">
        <w:rPr>
          <w:color w:val="000000"/>
          <w:lang w:val="en-CA"/>
        </w:rPr>
        <w:t xml:space="preserve"> was clearly related to gender identity issues</w:t>
      </w:r>
      <w:r w:rsidR="00310A4E" w:rsidRPr="00515AA2">
        <w:rPr>
          <w:rStyle w:val="Appelnotedebasdep"/>
          <w:color w:val="000000"/>
          <w:lang w:val="en-CA"/>
        </w:rPr>
        <w:footnoteReference w:id="35"/>
      </w:r>
      <w:r w:rsidR="00310A4E" w:rsidRPr="00515AA2">
        <w:rPr>
          <w:color w:val="000000"/>
          <w:lang w:val="en-CA"/>
        </w:rPr>
        <w:t xml:space="preserve"> </w:t>
      </w:r>
      <w:r w:rsidR="00C820A5" w:rsidRPr="00515AA2">
        <w:rPr>
          <w:color w:val="000000"/>
          <w:lang w:val="en-CA"/>
        </w:rPr>
        <w:t xml:space="preserve">and to allow a person of full age born in Quebec, but domiciled outside of the province, to have the designation of their sex changed if such a change </w:t>
      </w:r>
      <w:r w:rsidR="00861B7D" w:rsidRPr="00515AA2">
        <w:rPr>
          <w:color w:val="000000"/>
          <w:lang w:val="en-CA"/>
        </w:rPr>
        <w:t>prove</w:t>
      </w:r>
      <w:r w:rsidR="009D6E00" w:rsidRPr="00515AA2">
        <w:rPr>
          <w:color w:val="000000"/>
          <w:lang w:val="en-CA"/>
        </w:rPr>
        <w:t>d</w:t>
      </w:r>
      <w:r w:rsidR="00861B7D" w:rsidRPr="00515AA2">
        <w:rPr>
          <w:color w:val="000000"/>
          <w:lang w:val="en-CA"/>
        </w:rPr>
        <w:t xml:space="preserve"> impossible in the country where the person </w:t>
      </w:r>
      <w:r w:rsidR="009D6E00" w:rsidRPr="00515AA2">
        <w:rPr>
          <w:color w:val="000000"/>
          <w:lang w:val="en-CA"/>
        </w:rPr>
        <w:t>wa</w:t>
      </w:r>
      <w:r w:rsidR="00861B7D" w:rsidRPr="00515AA2">
        <w:rPr>
          <w:color w:val="000000"/>
          <w:lang w:val="en-CA"/>
        </w:rPr>
        <w:t>s domiciled</w:t>
      </w:r>
      <w:r w:rsidR="00C820A5" w:rsidRPr="00515AA2">
        <w:rPr>
          <w:color w:val="000000"/>
          <w:lang w:val="en-CA"/>
        </w:rPr>
        <w:t>.</w:t>
      </w:r>
      <w:bookmarkStart w:id="29" w:name="_Ref112667634"/>
      <w:r w:rsidR="003624CE" w:rsidRPr="00515AA2">
        <w:rPr>
          <w:rStyle w:val="Appelnotedebasdep"/>
          <w:color w:val="000000"/>
          <w:lang w:val="en-CA"/>
        </w:rPr>
        <w:footnoteReference w:id="36"/>
      </w:r>
      <w:bookmarkEnd w:id="29"/>
    </w:p>
    <w:p w14:paraId="4B85D494" w14:textId="6CE522B2" w:rsidR="003624CE" w:rsidRPr="00515AA2" w:rsidRDefault="004A6087" w:rsidP="00F846E3">
      <w:pPr>
        <w:pStyle w:val="Paragraphe"/>
        <w:tabs>
          <w:tab w:val="clear" w:pos="360"/>
        </w:tabs>
        <w:spacing w:line="280" w:lineRule="exact"/>
        <w:rPr>
          <w:color w:val="000000"/>
          <w:lang w:val="en-CA"/>
        </w:rPr>
      </w:pPr>
      <w:r w:rsidRPr="00515AA2">
        <w:rPr>
          <w:color w:val="000000"/>
          <w:lang w:val="en-CA"/>
        </w:rPr>
        <w:lastRenderedPageBreak/>
        <w:t xml:space="preserve">Following the </w:t>
      </w:r>
      <w:r w:rsidR="002C0614" w:rsidRPr="00515AA2">
        <w:rPr>
          <w:color w:val="000000"/>
          <w:lang w:val="en-CA"/>
        </w:rPr>
        <w:t>work</w:t>
      </w:r>
      <w:r w:rsidRPr="00515AA2">
        <w:rPr>
          <w:color w:val="000000"/>
          <w:lang w:val="en-CA"/>
        </w:rPr>
        <w:t xml:space="preserve"> of </w:t>
      </w:r>
      <w:r w:rsidR="00CA3253" w:rsidRPr="00515AA2">
        <w:rPr>
          <w:color w:val="000000"/>
          <w:lang w:val="en-CA"/>
        </w:rPr>
        <w:t xml:space="preserve">the </w:t>
      </w:r>
      <w:r w:rsidRPr="00515AA2">
        <w:rPr>
          <w:color w:val="000000"/>
          <w:lang w:val="en-CA"/>
        </w:rPr>
        <w:t xml:space="preserve">Standing Committee on </w:t>
      </w:r>
      <w:r w:rsidR="00377540" w:rsidRPr="00515AA2">
        <w:rPr>
          <w:color w:val="000000"/>
          <w:lang w:val="en-CA"/>
        </w:rPr>
        <w:t>Institutions</w:t>
      </w:r>
      <w:r w:rsidR="003624CE" w:rsidRPr="00515AA2">
        <w:rPr>
          <w:color w:val="000000"/>
          <w:lang w:val="en-CA"/>
        </w:rPr>
        <w:t xml:space="preserve"> </w:t>
      </w:r>
      <w:r w:rsidR="00377540" w:rsidRPr="00515AA2">
        <w:rPr>
          <w:color w:val="000000"/>
          <w:lang w:val="en-CA"/>
        </w:rPr>
        <w:t xml:space="preserve">(the </w:t>
      </w:r>
      <w:r w:rsidR="008C25BF" w:rsidRPr="00515AA2">
        <w:rPr>
          <w:color w:val="000000"/>
          <w:lang w:val="en-CA"/>
        </w:rPr>
        <w:t>“</w:t>
      </w:r>
      <w:r w:rsidR="00377540" w:rsidRPr="00515AA2">
        <w:rPr>
          <w:color w:val="000000"/>
          <w:lang w:val="en-CA"/>
        </w:rPr>
        <w:t>Committee”</w:t>
      </w:r>
      <w:r w:rsidR="00142D46" w:rsidRPr="00515AA2">
        <w:rPr>
          <w:color w:val="000000"/>
          <w:lang w:val="en-CA"/>
        </w:rPr>
        <w:t>)</w:t>
      </w:r>
      <w:r w:rsidR="00377540" w:rsidRPr="00515AA2">
        <w:rPr>
          <w:color w:val="000000"/>
          <w:lang w:val="en-CA"/>
        </w:rPr>
        <w:t>,</w:t>
      </w:r>
      <w:r w:rsidR="00CB20C0" w:rsidRPr="00515AA2">
        <w:rPr>
          <w:rStyle w:val="Appelnotedebasdep"/>
          <w:color w:val="000000"/>
          <w:lang w:val="en-CA"/>
        </w:rPr>
        <w:footnoteReference w:id="37"/>
      </w:r>
      <w:r w:rsidR="00377540" w:rsidRPr="00515AA2">
        <w:rPr>
          <w:color w:val="000000"/>
          <w:lang w:val="en-CA"/>
        </w:rPr>
        <w:t xml:space="preserve"> the bill was amended to abolish the requirement that a person of full age successfully undergo medical treatments and surgical operations involving a structural modification of the sexual organs to be able to have the designation of sex changed</w:t>
      </w:r>
      <w:r w:rsidR="003624CE" w:rsidRPr="00515AA2">
        <w:rPr>
          <w:color w:val="000000"/>
          <w:lang w:val="en-CA"/>
        </w:rPr>
        <w:t>.</w:t>
      </w:r>
      <w:r w:rsidR="00A96ED1" w:rsidRPr="00515AA2">
        <w:rPr>
          <w:color w:val="000000"/>
          <w:lang w:val="en-CA"/>
        </w:rPr>
        <w:t xml:space="preserve"> </w:t>
      </w:r>
      <w:r w:rsidR="00377540" w:rsidRPr="00515AA2">
        <w:rPr>
          <w:color w:val="000000"/>
          <w:lang w:val="en-CA"/>
        </w:rPr>
        <w:t>That amendment did not however</w:t>
      </w:r>
      <w:r w:rsidR="003624CE" w:rsidRPr="00515AA2">
        <w:rPr>
          <w:color w:val="000000"/>
          <w:lang w:val="en-CA"/>
        </w:rPr>
        <w:t xml:space="preserve"> </w:t>
      </w:r>
      <w:r w:rsidR="00377540" w:rsidRPr="00515AA2">
        <w:rPr>
          <w:color w:val="000000"/>
          <w:lang w:val="en-CA"/>
        </w:rPr>
        <w:t xml:space="preserve">come into force when the bill was assented to on December </w:t>
      </w:r>
      <w:r w:rsidR="003624CE" w:rsidRPr="00515AA2">
        <w:rPr>
          <w:color w:val="000000"/>
          <w:lang w:val="en-CA"/>
        </w:rPr>
        <w:t>6</w:t>
      </w:r>
      <w:r w:rsidR="00377540" w:rsidRPr="00515AA2">
        <w:rPr>
          <w:color w:val="000000"/>
          <w:lang w:val="en-CA"/>
        </w:rPr>
        <w:t>,</w:t>
      </w:r>
      <w:r w:rsidR="00A63A32" w:rsidRPr="00515AA2">
        <w:rPr>
          <w:color w:val="000000"/>
          <w:lang w:val="en-CA"/>
        </w:rPr>
        <w:t> </w:t>
      </w:r>
      <w:r w:rsidR="003624CE" w:rsidRPr="00515AA2">
        <w:rPr>
          <w:color w:val="000000"/>
          <w:lang w:val="en-CA"/>
        </w:rPr>
        <w:t xml:space="preserve">2013, </w:t>
      </w:r>
      <w:r w:rsidR="004070C4" w:rsidRPr="00515AA2">
        <w:rPr>
          <w:color w:val="000000"/>
          <w:lang w:val="en-CA"/>
        </w:rPr>
        <w:t xml:space="preserve">since it provided that the change of the designation of sex would be </w:t>
      </w:r>
      <w:r w:rsidR="009D6E00" w:rsidRPr="00515AA2">
        <w:rPr>
          <w:color w:val="000000"/>
          <w:lang w:val="en-CA"/>
        </w:rPr>
        <w:t xml:space="preserve">made </w:t>
      </w:r>
      <w:r w:rsidR="004070C4" w:rsidRPr="00515AA2">
        <w:rPr>
          <w:color w:val="000000"/>
          <w:lang w:val="en-CA"/>
        </w:rPr>
        <w:t>condition</w:t>
      </w:r>
      <w:r w:rsidR="009D6E00" w:rsidRPr="00515AA2">
        <w:rPr>
          <w:color w:val="000000"/>
          <w:lang w:val="en-CA"/>
        </w:rPr>
        <w:t>al</w:t>
      </w:r>
      <w:r w:rsidR="004070C4" w:rsidRPr="00515AA2">
        <w:rPr>
          <w:color w:val="000000"/>
          <w:lang w:val="en-CA"/>
        </w:rPr>
        <w:t xml:space="preserve"> upon regulatory requirements,</w:t>
      </w:r>
      <w:r w:rsidR="003624CE" w:rsidRPr="00515AA2">
        <w:rPr>
          <w:rStyle w:val="Appelnotedebasdep"/>
          <w:color w:val="000000"/>
          <w:lang w:val="en-CA"/>
        </w:rPr>
        <w:footnoteReference w:id="38"/>
      </w:r>
      <w:r w:rsidR="004070C4" w:rsidRPr="00515AA2">
        <w:rPr>
          <w:color w:val="000000"/>
          <w:lang w:val="en-CA"/>
        </w:rPr>
        <w:t xml:space="preserve"> which required the </w:t>
      </w:r>
      <w:r w:rsidR="009D6E00" w:rsidRPr="00515AA2">
        <w:rPr>
          <w:color w:val="000000"/>
          <w:lang w:val="en-CA"/>
        </w:rPr>
        <w:t>enactment</w:t>
      </w:r>
      <w:r w:rsidR="004070C4" w:rsidRPr="00515AA2">
        <w:rPr>
          <w:color w:val="000000"/>
          <w:lang w:val="en-CA"/>
        </w:rPr>
        <w:t xml:space="preserve"> of a regulation that would have to be examined by the Committee.</w:t>
      </w:r>
      <w:r w:rsidR="003624CE" w:rsidRPr="00515AA2">
        <w:rPr>
          <w:rStyle w:val="Appelnotedebasdep"/>
          <w:color w:val="000000"/>
          <w:lang w:val="en-CA"/>
        </w:rPr>
        <w:footnoteReference w:id="39"/>
      </w:r>
      <w:r w:rsidR="004070C4" w:rsidRPr="00515AA2">
        <w:rPr>
          <w:color w:val="000000"/>
          <w:lang w:val="en-CA"/>
        </w:rPr>
        <w:t xml:space="preserve"> In</w:t>
      </w:r>
      <w:r w:rsidR="007E0ECD" w:rsidRPr="00515AA2">
        <w:rPr>
          <w:color w:val="000000"/>
          <w:lang w:val="en-CA"/>
        </w:rPr>
        <w:t xml:space="preserve"> 2015</w:t>
      </w:r>
      <w:r w:rsidR="006B6BF9" w:rsidRPr="00515AA2">
        <w:rPr>
          <w:color w:val="000000"/>
          <w:lang w:val="en-CA"/>
        </w:rPr>
        <w:t xml:space="preserve">, </w:t>
      </w:r>
      <w:r w:rsidR="004070C4" w:rsidRPr="00515AA2">
        <w:rPr>
          <w:color w:val="000000"/>
          <w:lang w:val="en-CA"/>
        </w:rPr>
        <w:t xml:space="preserve">the Committee undertook special consultations </w:t>
      </w:r>
      <w:r w:rsidR="009D6E00" w:rsidRPr="00515AA2">
        <w:rPr>
          <w:color w:val="000000"/>
          <w:lang w:val="en-CA"/>
        </w:rPr>
        <w:t xml:space="preserve">on the proposed regulation </w:t>
      </w:r>
      <w:r w:rsidR="004070C4" w:rsidRPr="00515AA2">
        <w:rPr>
          <w:color w:val="000000"/>
          <w:lang w:val="en-CA"/>
        </w:rPr>
        <w:t xml:space="preserve">to establish the terms </w:t>
      </w:r>
      <w:r w:rsidR="00542EC1" w:rsidRPr="00515AA2">
        <w:rPr>
          <w:color w:val="000000"/>
          <w:lang w:val="en-CA"/>
        </w:rPr>
        <w:t>of</w:t>
      </w:r>
      <w:r w:rsidR="002C0614" w:rsidRPr="00515AA2">
        <w:rPr>
          <w:color w:val="000000"/>
          <w:lang w:val="en-CA"/>
        </w:rPr>
        <w:t xml:space="preserve"> </w:t>
      </w:r>
      <w:r w:rsidR="004070C4" w:rsidRPr="00515AA2">
        <w:rPr>
          <w:color w:val="000000"/>
          <w:lang w:val="en-CA"/>
        </w:rPr>
        <w:t xml:space="preserve">the process </w:t>
      </w:r>
      <w:r w:rsidR="009D6E00" w:rsidRPr="00515AA2">
        <w:rPr>
          <w:color w:val="000000"/>
          <w:lang w:val="en-CA"/>
        </w:rPr>
        <w:t>for changing</w:t>
      </w:r>
      <w:r w:rsidR="004070C4" w:rsidRPr="00515AA2">
        <w:rPr>
          <w:color w:val="000000"/>
          <w:lang w:val="en-CA"/>
        </w:rPr>
        <w:t xml:space="preserve"> </w:t>
      </w:r>
      <w:r w:rsidR="002C0614" w:rsidRPr="00515AA2">
        <w:rPr>
          <w:color w:val="000000"/>
          <w:lang w:val="en-CA"/>
        </w:rPr>
        <w:t>the</w:t>
      </w:r>
      <w:r w:rsidR="004070C4" w:rsidRPr="00515AA2">
        <w:rPr>
          <w:color w:val="000000"/>
          <w:lang w:val="en-CA"/>
        </w:rPr>
        <w:t xml:space="preserve"> designation of sex of a person of full age appearing on an act of civil status</w:t>
      </w:r>
      <w:r w:rsidR="003624CE" w:rsidRPr="00515AA2">
        <w:rPr>
          <w:color w:val="000000"/>
          <w:lang w:val="en-CA"/>
        </w:rPr>
        <w:t>.</w:t>
      </w:r>
    </w:p>
    <w:p w14:paraId="6838FC78" w14:textId="04F87C98" w:rsidR="003624CE" w:rsidRPr="00515AA2" w:rsidRDefault="003E0CF9" w:rsidP="00F846E3">
      <w:pPr>
        <w:pStyle w:val="Paragraphe"/>
        <w:spacing w:line="280" w:lineRule="exact"/>
        <w:rPr>
          <w:color w:val="000000"/>
          <w:lang w:val="en-CA"/>
        </w:rPr>
      </w:pPr>
      <w:r w:rsidRPr="00515AA2">
        <w:rPr>
          <w:color w:val="000000"/>
          <w:lang w:val="en-CA"/>
        </w:rPr>
        <w:t xml:space="preserve">Initially, the proposed regulation required that the person of full age requesting that the designation of sex be </w:t>
      </w:r>
      <w:r w:rsidR="00542EC1" w:rsidRPr="00515AA2">
        <w:rPr>
          <w:color w:val="000000"/>
          <w:lang w:val="en-CA"/>
        </w:rPr>
        <w:t>changed</w:t>
      </w:r>
      <w:r w:rsidRPr="00515AA2">
        <w:rPr>
          <w:color w:val="000000"/>
          <w:lang w:val="en-CA"/>
        </w:rPr>
        <w:t xml:space="preserve"> declare </w:t>
      </w:r>
      <w:r w:rsidR="005C2243" w:rsidRPr="00515AA2">
        <w:rPr>
          <w:color w:val="000000"/>
          <w:lang w:val="en-CA"/>
        </w:rPr>
        <w:t xml:space="preserve">having lived for at least </w:t>
      </w:r>
      <w:r w:rsidR="008C25BF" w:rsidRPr="00515AA2">
        <w:rPr>
          <w:color w:val="000000"/>
          <w:lang w:val="en-CA"/>
        </w:rPr>
        <w:t xml:space="preserve">two </w:t>
      </w:r>
      <w:r w:rsidR="005C2243" w:rsidRPr="00515AA2">
        <w:rPr>
          <w:color w:val="000000"/>
          <w:lang w:val="en-CA"/>
        </w:rPr>
        <w:t xml:space="preserve">years under the appearance of the sex that </w:t>
      </w:r>
      <w:r w:rsidR="00D97694" w:rsidRPr="00515AA2">
        <w:rPr>
          <w:color w:val="000000"/>
          <w:lang w:val="en-CA"/>
        </w:rPr>
        <w:t>they</w:t>
      </w:r>
      <w:r w:rsidR="005C2243" w:rsidRPr="00515AA2">
        <w:rPr>
          <w:color w:val="000000"/>
          <w:lang w:val="en-CA"/>
        </w:rPr>
        <w:t xml:space="preserve"> wished to see designated thereafter and having the intention of living at all times under that appearance until </w:t>
      </w:r>
      <w:r w:rsidR="00D97694" w:rsidRPr="00515AA2">
        <w:rPr>
          <w:color w:val="000000"/>
          <w:lang w:val="en-CA"/>
        </w:rPr>
        <w:t>their</w:t>
      </w:r>
      <w:r w:rsidR="005C2243" w:rsidRPr="00515AA2">
        <w:rPr>
          <w:color w:val="000000"/>
          <w:lang w:val="en-CA"/>
        </w:rPr>
        <w:t xml:space="preserve"> death.</w:t>
      </w:r>
      <w:r w:rsidR="003624CE" w:rsidRPr="00515AA2">
        <w:rPr>
          <w:rStyle w:val="Appelnotedebasdep"/>
          <w:color w:val="000000"/>
          <w:lang w:val="en-CA"/>
        </w:rPr>
        <w:footnoteReference w:id="40"/>
      </w:r>
      <w:r w:rsidR="005C2243" w:rsidRPr="00515AA2">
        <w:rPr>
          <w:color w:val="000000"/>
          <w:lang w:val="en-CA"/>
        </w:rPr>
        <w:t xml:space="preserve"> It also required that the application be supported by</w:t>
      </w:r>
      <w:bookmarkStart w:id="30" w:name="_Hlk145068776"/>
      <w:r w:rsidR="001C480D" w:rsidRPr="00515AA2">
        <w:rPr>
          <w:color w:val="000000"/>
          <w:lang w:val="en-CA"/>
        </w:rPr>
        <w:t xml:space="preserve"> </w:t>
      </w:r>
      <w:r w:rsidR="005C2243" w:rsidRPr="00515AA2">
        <w:rPr>
          <w:color w:val="000000"/>
          <w:lang w:val="en-CA"/>
        </w:rPr>
        <w:t xml:space="preserve">a letter from a physician, a psychologist, a psychiatrist or a sexologist declaring </w:t>
      </w:r>
      <w:bookmarkEnd w:id="30"/>
      <w:r w:rsidR="005C2243" w:rsidRPr="00515AA2">
        <w:rPr>
          <w:color w:val="000000"/>
          <w:lang w:val="en-CA"/>
        </w:rPr>
        <w:t xml:space="preserve">having evaluated or followed the person requesting the change and </w:t>
      </w:r>
      <w:r w:rsidR="001C480D" w:rsidRPr="00515AA2">
        <w:rPr>
          <w:color w:val="000000"/>
          <w:lang w:val="en-CA"/>
        </w:rPr>
        <w:t>being</w:t>
      </w:r>
      <w:r w:rsidR="005C2243" w:rsidRPr="00515AA2">
        <w:rPr>
          <w:color w:val="000000"/>
          <w:lang w:val="en-CA"/>
        </w:rPr>
        <w:t xml:space="preserve"> of the opinion that it </w:t>
      </w:r>
      <w:r w:rsidR="001C480D" w:rsidRPr="00515AA2">
        <w:rPr>
          <w:color w:val="000000"/>
          <w:lang w:val="en-CA"/>
        </w:rPr>
        <w:t>was</w:t>
      </w:r>
      <w:r w:rsidR="005C2243" w:rsidRPr="00515AA2">
        <w:rPr>
          <w:color w:val="000000"/>
          <w:lang w:val="en-CA"/>
        </w:rPr>
        <w:t xml:space="preserve"> appropriate.</w:t>
      </w:r>
      <w:r w:rsidR="003624CE" w:rsidRPr="00515AA2">
        <w:rPr>
          <w:rStyle w:val="Appelnotedebasdep"/>
          <w:color w:val="000000"/>
          <w:lang w:val="en-CA"/>
        </w:rPr>
        <w:footnoteReference w:id="41"/>
      </w:r>
      <w:r w:rsidR="003624CE" w:rsidRPr="00515AA2">
        <w:rPr>
          <w:color w:val="000000"/>
          <w:lang w:val="en-CA"/>
        </w:rPr>
        <w:t xml:space="preserve"> </w:t>
      </w:r>
      <w:r w:rsidR="005C2243" w:rsidRPr="00515AA2">
        <w:rPr>
          <w:color w:val="000000"/>
          <w:lang w:val="en-CA"/>
        </w:rPr>
        <w:t>Finally, it required that</w:t>
      </w:r>
      <w:r w:rsidR="00430328" w:rsidRPr="00515AA2">
        <w:rPr>
          <w:color w:val="000000"/>
          <w:lang w:val="en-CA"/>
        </w:rPr>
        <w:t xml:space="preserve"> the applicant provide an affidavit of a person of full age who </w:t>
      </w:r>
      <w:r w:rsidR="00AC2E5A" w:rsidRPr="00515AA2">
        <w:rPr>
          <w:color w:val="000000"/>
          <w:lang w:val="en-CA"/>
        </w:rPr>
        <w:t xml:space="preserve">has known </w:t>
      </w:r>
      <w:r w:rsidR="00430328" w:rsidRPr="00515AA2">
        <w:rPr>
          <w:color w:val="000000"/>
          <w:lang w:val="en-CA"/>
        </w:rPr>
        <w:t xml:space="preserve">the applicant for at least </w:t>
      </w:r>
      <w:r w:rsidR="008C25BF" w:rsidRPr="00515AA2">
        <w:rPr>
          <w:color w:val="000000"/>
          <w:lang w:val="en-CA"/>
        </w:rPr>
        <w:t xml:space="preserve">two </w:t>
      </w:r>
      <w:r w:rsidR="00430328" w:rsidRPr="00515AA2">
        <w:rPr>
          <w:color w:val="000000"/>
          <w:lang w:val="en-CA"/>
        </w:rPr>
        <w:t>years and attesting that, to their knowledge, the person requesting the change ha</w:t>
      </w:r>
      <w:r w:rsidR="00D97694" w:rsidRPr="00515AA2">
        <w:rPr>
          <w:color w:val="000000"/>
          <w:lang w:val="en-CA"/>
        </w:rPr>
        <w:t xml:space="preserve">s been living </w:t>
      </w:r>
      <w:r w:rsidR="00430328" w:rsidRPr="00515AA2">
        <w:rPr>
          <w:color w:val="000000"/>
          <w:lang w:val="en-CA"/>
        </w:rPr>
        <w:t xml:space="preserve">for the last </w:t>
      </w:r>
      <w:r w:rsidR="008C25BF" w:rsidRPr="00515AA2">
        <w:rPr>
          <w:color w:val="000000"/>
          <w:lang w:val="en-CA"/>
        </w:rPr>
        <w:t xml:space="preserve">two </w:t>
      </w:r>
      <w:r w:rsidR="00430328" w:rsidRPr="00515AA2">
        <w:rPr>
          <w:color w:val="000000"/>
          <w:lang w:val="en-CA"/>
        </w:rPr>
        <w:t>years</w:t>
      </w:r>
      <w:r w:rsidR="001C480D" w:rsidRPr="00515AA2">
        <w:rPr>
          <w:color w:val="000000"/>
          <w:lang w:val="en-CA"/>
        </w:rPr>
        <w:t xml:space="preserve"> </w:t>
      </w:r>
      <w:r w:rsidR="00430328" w:rsidRPr="00515AA2">
        <w:rPr>
          <w:color w:val="000000"/>
          <w:lang w:val="en-CA"/>
        </w:rPr>
        <w:t xml:space="preserve">under the appearance of the sex that the applicant </w:t>
      </w:r>
      <w:r w:rsidR="00AC2E5A" w:rsidRPr="00515AA2">
        <w:rPr>
          <w:color w:val="000000"/>
          <w:lang w:val="en-CA"/>
        </w:rPr>
        <w:t xml:space="preserve">wants </w:t>
      </w:r>
      <w:r w:rsidR="00430328" w:rsidRPr="00515AA2">
        <w:rPr>
          <w:color w:val="000000"/>
          <w:lang w:val="en-CA"/>
        </w:rPr>
        <w:t>to</w:t>
      </w:r>
      <w:r w:rsidR="00B42A8F" w:rsidRPr="00515AA2">
        <w:rPr>
          <w:color w:val="000000"/>
          <w:lang w:val="en-CA"/>
        </w:rPr>
        <w:t xml:space="preserve"> see</w:t>
      </w:r>
      <w:r w:rsidR="00430328" w:rsidRPr="00515AA2">
        <w:rPr>
          <w:color w:val="000000"/>
          <w:lang w:val="en-CA"/>
        </w:rPr>
        <w:t xml:space="preserve"> designate</w:t>
      </w:r>
      <w:r w:rsidR="00B42A8F" w:rsidRPr="00515AA2">
        <w:rPr>
          <w:color w:val="000000"/>
          <w:lang w:val="en-CA"/>
        </w:rPr>
        <w:t>d</w:t>
      </w:r>
      <w:r w:rsidR="00430328" w:rsidRPr="00515AA2">
        <w:rPr>
          <w:color w:val="000000"/>
          <w:lang w:val="en-CA"/>
        </w:rPr>
        <w:t>.</w:t>
      </w:r>
      <w:r w:rsidR="005A141F" w:rsidRPr="00515AA2">
        <w:rPr>
          <w:rStyle w:val="Appelnotedebasdep"/>
          <w:color w:val="000000"/>
          <w:lang w:val="en-CA"/>
        </w:rPr>
        <w:footnoteReference w:id="42"/>
      </w:r>
    </w:p>
    <w:p w14:paraId="3660AD08" w14:textId="1B4D7E9B" w:rsidR="001F021B" w:rsidRPr="00515AA2" w:rsidRDefault="00D97694" w:rsidP="00D506F7">
      <w:pPr>
        <w:pStyle w:val="Paragraphe"/>
        <w:tabs>
          <w:tab w:val="clear" w:pos="360"/>
        </w:tabs>
        <w:spacing w:line="280" w:lineRule="exact"/>
        <w:rPr>
          <w:color w:val="000000"/>
          <w:lang w:val="en-CA"/>
        </w:rPr>
      </w:pPr>
      <w:r w:rsidRPr="00515AA2">
        <w:rPr>
          <w:color w:val="000000"/>
          <w:lang w:val="en-CA"/>
        </w:rPr>
        <w:lastRenderedPageBreak/>
        <w:t>During the consultation process, a</w:t>
      </w:r>
      <w:r w:rsidR="00B57836" w:rsidRPr="00515AA2">
        <w:rPr>
          <w:color w:val="000000"/>
          <w:lang w:val="en-CA"/>
        </w:rPr>
        <w:t xml:space="preserve"> number of concerns were raised with respect to t</w:t>
      </w:r>
      <w:r w:rsidR="00364FB3" w:rsidRPr="00515AA2">
        <w:rPr>
          <w:color w:val="000000"/>
          <w:lang w:val="en-CA"/>
        </w:rPr>
        <w:t>hose requirements, however</w:t>
      </w:r>
      <w:r w:rsidR="001F021B" w:rsidRPr="00515AA2">
        <w:rPr>
          <w:color w:val="000000"/>
          <w:lang w:val="en-CA"/>
        </w:rPr>
        <w:t>.</w:t>
      </w:r>
      <w:r w:rsidR="003624CE" w:rsidRPr="00515AA2">
        <w:rPr>
          <w:color w:val="000000"/>
          <w:lang w:val="en-CA"/>
        </w:rPr>
        <w:t xml:space="preserve"> </w:t>
      </w:r>
      <w:r w:rsidR="00364FB3" w:rsidRPr="00515AA2">
        <w:rPr>
          <w:color w:val="000000"/>
          <w:lang w:val="en-CA"/>
        </w:rPr>
        <w:t xml:space="preserve">Several </w:t>
      </w:r>
      <w:r w:rsidRPr="00515AA2">
        <w:rPr>
          <w:color w:val="000000"/>
          <w:lang w:val="en-CA"/>
        </w:rPr>
        <w:t xml:space="preserve">participants </w:t>
      </w:r>
      <w:r w:rsidR="00364FB3" w:rsidRPr="00515AA2">
        <w:rPr>
          <w:color w:val="000000"/>
          <w:lang w:val="en-CA"/>
        </w:rPr>
        <w:t xml:space="preserve">questioned </w:t>
      </w:r>
      <w:r w:rsidR="00B57836" w:rsidRPr="00515AA2">
        <w:rPr>
          <w:color w:val="000000"/>
          <w:lang w:val="en-CA"/>
        </w:rPr>
        <w:t>the appropriateness of</w:t>
      </w:r>
      <w:r w:rsidR="00364FB3" w:rsidRPr="00515AA2">
        <w:rPr>
          <w:color w:val="000000"/>
          <w:lang w:val="en-CA"/>
        </w:rPr>
        <w:t xml:space="preserve"> requir</w:t>
      </w:r>
      <w:r w:rsidR="00B57836" w:rsidRPr="00515AA2">
        <w:rPr>
          <w:color w:val="000000"/>
          <w:lang w:val="en-CA"/>
        </w:rPr>
        <w:t xml:space="preserve">ing that a person of full age live for two years under the appearance of the sex that they wished to enter </w:t>
      </w:r>
      <w:r w:rsidR="00CF19F2" w:rsidRPr="00515AA2">
        <w:rPr>
          <w:color w:val="000000"/>
          <w:lang w:val="en-CA"/>
        </w:rPr>
        <w:t xml:space="preserve">in </w:t>
      </w:r>
      <w:r w:rsidR="00B57836" w:rsidRPr="00515AA2">
        <w:rPr>
          <w:color w:val="000000"/>
          <w:lang w:val="en-CA"/>
        </w:rPr>
        <w:t>their civil status document</w:t>
      </w:r>
      <w:r w:rsidR="00FD0AF8" w:rsidRPr="00515AA2">
        <w:rPr>
          <w:color w:val="000000"/>
          <w:lang w:val="en-CA"/>
        </w:rPr>
        <w:t>.</w:t>
      </w:r>
      <w:r w:rsidR="001F021B" w:rsidRPr="00515AA2">
        <w:rPr>
          <w:color w:val="000000"/>
          <w:lang w:val="en-CA"/>
        </w:rPr>
        <w:t xml:space="preserve"> </w:t>
      </w:r>
      <w:r w:rsidR="00B57836" w:rsidRPr="00515AA2">
        <w:rPr>
          <w:color w:val="000000"/>
          <w:lang w:val="en-CA"/>
        </w:rPr>
        <w:t xml:space="preserve">They argued that such a requirement risked </w:t>
      </w:r>
      <w:r w:rsidR="00CF19F2" w:rsidRPr="00515AA2">
        <w:rPr>
          <w:color w:val="000000"/>
          <w:lang w:val="en-CA"/>
        </w:rPr>
        <w:t>placing</w:t>
      </w:r>
      <w:r w:rsidR="00B57836" w:rsidRPr="00515AA2">
        <w:rPr>
          <w:color w:val="000000"/>
          <w:lang w:val="en-CA"/>
        </w:rPr>
        <w:t xml:space="preserve"> transgender people in a state of discrimination and vulnerability by forcing them to live for two years in a situation where their gender identity </w:t>
      </w:r>
      <w:r w:rsidRPr="00515AA2">
        <w:rPr>
          <w:color w:val="000000"/>
          <w:lang w:val="en-CA"/>
        </w:rPr>
        <w:t>did not correspond to</w:t>
      </w:r>
      <w:r w:rsidR="00B57836" w:rsidRPr="00515AA2">
        <w:rPr>
          <w:color w:val="000000"/>
          <w:lang w:val="en-CA"/>
        </w:rPr>
        <w:t xml:space="preserve"> their civil identity</w:t>
      </w:r>
      <w:r w:rsidR="00AC2E5A" w:rsidRPr="00515AA2">
        <w:rPr>
          <w:color w:val="000000"/>
          <w:lang w:val="en-CA"/>
        </w:rPr>
        <w:t>, in addition to feeding discriminatory prejudices and stereotypes</w:t>
      </w:r>
      <w:r w:rsidR="00B57836" w:rsidRPr="00515AA2">
        <w:rPr>
          <w:color w:val="000000"/>
          <w:lang w:val="en-CA"/>
        </w:rPr>
        <w:t>.</w:t>
      </w:r>
      <w:r w:rsidR="001F021B" w:rsidRPr="00515AA2">
        <w:rPr>
          <w:rStyle w:val="Appelnotedebasdep"/>
          <w:color w:val="000000"/>
          <w:lang w:val="en-CA"/>
        </w:rPr>
        <w:footnoteReference w:id="43"/>
      </w:r>
      <w:r w:rsidR="00B57836" w:rsidRPr="00515AA2">
        <w:rPr>
          <w:color w:val="000000"/>
          <w:lang w:val="en-CA"/>
        </w:rPr>
        <w:t xml:space="preserve"> They also</w:t>
      </w:r>
      <w:r w:rsidR="001F021B" w:rsidRPr="00515AA2">
        <w:rPr>
          <w:color w:val="000000"/>
          <w:lang w:val="en-CA"/>
        </w:rPr>
        <w:t xml:space="preserve"> </w:t>
      </w:r>
      <w:r w:rsidR="00CF19F2" w:rsidRPr="00515AA2">
        <w:rPr>
          <w:color w:val="000000"/>
          <w:lang w:val="en-CA"/>
        </w:rPr>
        <w:t xml:space="preserve">questioned the requirement of providing a letter from a health professional declaring having evaluated or followed the person requesting the change and being of the opinion that it was appropriate, as well as the requirement of providing a declaration from a third party who </w:t>
      </w:r>
      <w:r w:rsidRPr="00515AA2">
        <w:rPr>
          <w:color w:val="000000"/>
          <w:lang w:val="en-CA"/>
        </w:rPr>
        <w:t xml:space="preserve">has known </w:t>
      </w:r>
      <w:r w:rsidR="00CF19F2" w:rsidRPr="00515AA2">
        <w:rPr>
          <w:color w:val="000000"/>
          <w:lang w:val="en-CA"/>
        </w:rPr>
        <w:t xml:space="preserve">the applicant for at least </w:t>
      </w:r>
      <w:r w:rsidR="00D506F7" w:rsidRPr="00515AA2">
        <w:rPr>
          <w:color w:val="000000"/>
          <w:lang w:val="en-CA"/>
        </w:rPr>
        <w:t xml:space="preserve">two </w:t>
      </w:r>
      <w:r w:rsidR="00CF19F2" w:rsidRPr="00515AA2">
        <w:rPr>
          <w:color w:val="000000"/>
          <w:lang w:val="en-CA"/>
        </w:rPr>
        <w:t>years and attesting that, to their knowledge, the person requesting the change</w:t>
      </w:r>
      <w:r w:rsidR="00D506F7" w:rsidRPr="00515AA2">
        <w:rPr>
          <w:color w:val="000000"/>
          <w:lang w:val="en-CA"/>
        </w:rPr>
        <w:t xml:space="preserve"> </w:t>
      </w:r>
      <w:r w:rsidRPr="00515AA2">
        <w:rPr>
          <w:color w:val="000000"/>
          <w:lang w:val="en-CA"/>
        </w:rPr>
        <w:t>has been living</w:t>
      </w:r>
      <w:r w:rsidR="00CF19F2" w:rsidRPr="00515AA2">
        <w:rPr>
          <w:color w:val="000000"/>
          <w:lang w:val="en-CA"/>
        </w:rPr>
        <w:t xml:space="preserve"> for the last </w:t>
      </w:r>
      <w:r w:rsidR="00D506F7" w:rsidRPr="00515AA2">
        <w:rPr>
          <w:color w:val="000000"/>
          <w:lang w:val="en-CA"/>
        </w:rPr>
        <w:t xml:space="preserve">two </w:t>
      </w:r>
      <w:r w:rsidR="00CF19F2" w:rsidRPr="00515AA2">
        <w:rPr>
          <w:color w:val="000000"/>
          <w:lang w:val="en-CA"/>
        </w:rPr>
        <w:t>years under the appearance of the sex that the applicant chose to designate</w:t>
      </w:r>
      <w:r w:rsidR="00CD0537" w:rsidRPr="00515AA2">
        <w:rPr>
          <w:color w:val="000000"/>
          <w:lang w:val="en-CA"/>
        </w:rPr>
        <w:t>,</w:t>
      </w:r>
      <w:r w:rsidR="00C0008B" w:rsidRPr="00515AA2">
        <w:rPr>
          <w:color w:val="000000"/>
          <w:lang w:val="en-CA"/>
        </w:rPr>
        <w:t xml:space="preserve"> </w:t>
      </w:r>
      <w:r w:rsidR="00CF19F2" w:rsidRPr="00515AA2">
        <w:rPr>
          <w:color w:val="000000"/>
          <w:lang w:val="en-CA"/>
        </w:rPr>
        <w:t xml:space="preserve">noting that such </w:t>
      </w:r>
      <w:r w:rsidR="00CF19F2" w:rsidRPr="00515AA2">
        <w:rPr>
          <w:color w:val="000000"/>
          <w:lang w:val="en-CA"/>
        </w:rPr>
        <w:lastRenderedPageBreak/>
        <w:t>requirements</w:t>
      </w:r>
      <w:r w:rsidR="00F86BE7" w:rsidRPr="00515AA2">
        <w:rPr>
          <w:color w:val="000000"/>
          <w:lang w:val="en-CA"/>
        </w:rPr>
        <w:t xml:space="preserve"> </w:t>
      </w:r>
      <w:r w:rsidR="00CF19F2" w:rsidRPr="00515AA2">
        <w:rPr>
          <w:color w:val="000000"/>
          <w:lang w:val="en-CA"/>
        </w:rPr>
        <w:t xml:space="preserve">only </w:t>
      </w:r>
      <w:r w:rsidR="00DE3D27" w:rsidRPr="00515AA2">
        <w:rPr>
          <w:color w:val="000000"/>
          <w:lang w:val="en-CA"/>
        </w:rPr>
        <w:t>increased</w:t>
      </w:r>
      <w:r w:rsidR="00CF19F2" w:rsidRPr="00515AA2">
        <w:rPr>
          <w:color w:val="000000"/>
          <w:lang w:val="en-CA"/>
        </w:rPr>
        <w:t xml:space="preserve"> the social isolation </w:t>
      </w:r>
      <w:r w:rsidR="00F86BE7" w:rsidRPr="00515AA2">
        <w:rPr>
          <w:color w:val="000000"/>
          <w:lang w:val="en-CA"/>
        </w:rPr>
        <w:t xml:space="preserve">that </w:t>
      </w:r>
      <w:r w:rsidR="00CF19F2" w:rsidRPr="00515AA2">
        <w:rPr>
          <w:color w:val="000000"/>
          <w:lang w:val="en-CA"/>
        </w:rPr>
        <w:t>transge</w:t>
      </w:r>
      <w:r w:rsidR="00F86BE7" w:rsidRPr="00515AA2">
        <w:rPr>
          <w:color w:val="000000"/>
          <w:lang w:val="en-CA"/>
        </w:rPr>
        <w:t xml:space="preserve">nder people typically </w:t>
      </w:r>
      <w:r w:rsidR="00DE3D27" w:rsidRPr="00515AA2">
        <w:rPr>
          <w:color w:val="000000"/>
          <w:lang w:val="en-CA"/>
        </w:rPr>
        <w:t>experience</w:t>
      </w:r>
      <w:r w:rsidR="00F86BE7" w:rsidRPr="00515AA2">
        <w:rPr>
          <w:color w:val="000000"/>
          <w:lang w:val="en-CA"/>
        </w:rPr>
        <w:t>.</w:t>
      </w:r>
      <w:r w:rsidR="001F021B" w:rsidRPr="00515AA2">
        <w:rPr>
          <w:rStyle w:val="Appelnotedebasdep"/>
          <w:color w:val="000000"/>
          <w:lang w:val="en-CA"/>
        </w:rPr>
        <w:footnoteReference w:id="44"/>
      </w:r>
    </w:p>
    <w:p w14:paraId="388B14A6" w14:textId="06EDDDB6" w:rsidR="003624CE" w:rsidRPr="00515AA2" w:rsidRDefault="00350DA3" w:rsidP="00F846E3">
      <w:pPr>
        <w:pStyle w:val="Paragraphe"/>
        <w:tabs>
          <w:tab w:val="clear" w:pos="360"/>
        </w:tabs>
        <w:spacing w:line="280" w:lineRule="exact"/>
        <w:rPr>
          <w:color w:val="000000"/>
          <w:lang w:val="en-CA"/>
        </w:rPr>
      </w:pPr>
      <w:r w:rsidRPr="00515AA2">
        <w:rPr>
          <w:color w:val="000000"/>
          <w:lang w:val="en-CA"/>
        </w:rPr>
        <w:t xml:space="preserve">During exchanges with </w:t>
      </w:r>
      <w:r w:rsidR="00D506F7" w:rsidRPr="00515AA2">
        <w:rPr>
          <w:color w:val="000000"/>
          <w:lang w:val="en-CA"/>
        </w:rPr>
        <w:t>the C</w:t>
      </w:r>
      <w:r w:rsidR="00522190" w:rsidRPr="00515AA2">
        <w:rPr>
          <w:color w:val="000000"/>
          <w:lang w:val="en-CA"/>
        </w:rPr>
        <w:t>ommittee members</w:t>
      </w:r>
      <w:r w:rsidRPr="00515AA2">
        <w:rPr>
          <w:color w:val="000000"/>
          <w:lang w:val="en-CA"/>
        </w:rPr>
        <w:t xml:space="preserve">, several </w:t>
      </w:r>
      <w:r w:rsidR="00AC2E5A" w:rsidRPr="00515AA2">
        <w:rPr>
          <w:color w:val="000000"/>
          <w:lang w:val="en-CA"/>
        </w:rPr>
        <w:t xml:space="preserve">witnesses </w:t>
      </w:r>
      <w:r w:rsidRPr="00515AA2">
        <w:rPr>
          <w:color w:val="000000"/>
          <w:lang w:val="en-CA"/>
        </w:rPr>
        <w:t>acknowledged that an attestation by a third party could be an acceptable compromise</w:t>
      </w:r>
      <w:r w:rsidR="003624CE" w:rsidRPr="00515AA2">
        <w:rPr>
          <w:rStyle w:val="Appelnotedebasdep"/>
          <w:color w:val="000000"/>
          <w:lang w:val="en-CA"/>
        </w:rPr>
        <w:footnoteReference w:id="45"/>
      </w:r>
      <w:r w:rsidR="003624CE" w:rsidRPr="00515AA2">
        <w:rPr>
          <w:color w:val="000000"/>
          <w:lang w:val="en-CA"/>
        </w:rPr>
        <w:t xml:space="preserve"> </w:t>
      </w:r>
      <w:r w:rsidRPr="00515AA2">
        <w:rPr>
          <w:color w:val="000000"/>
          <w:lang w:val="en-CA"/>
        </w:rPr>
        <w:t xml:space="preserve">to ensure the stability of </w:t>
      </w:r>
      <w:r w:rsidR="00AC2E5A" w:rsidRPr="00515AA2">
        <w:rPr>
          <w:color w:val="000000"/>
          <w:lang w:val="en-CA"/>
        </w:rPr>
        <w:t xml:space="preserve">acts of </w:t>
      </w:r>
      <w:r w:rsidRPr="00515AA2">
        <w:rPr>
          <w:color w:val="000000"/>
          <w:lang w:val="en-CA"/>
        </w:rPr>
        <w:t>civil status</w:t>
      </w:r>
      <w:r w:rsidR="00603651" w:rsidRPr="00515AA2">
        <w:rPr>
          <w:color w:val="000000"/>
          <w:lang w:val="en-CA"/>
        </w:rPr>
        <w:t>,</w:t>
      </w:r>
      <w:r w:rsidR="00B818DE" w:rsidRPr="00515AA2">
        <w:rPr>
          <w:color w:val="000000"/>
          <w:lang w:val="en-CA"/>
        </w:rPr>
        <w:t xml:space="preserve"> </w:t>
      </w:r>
      <w:r w:rsidRPr="00515AA2">
        <w:rPr>
          <w:color w:val="000000"/>
          <w:lang w:val="en-CA"/>
        </w:rPr>
        <w:t>whereas others argued that that it would be sufficient to require that the person requesting the change confirm their intention of maintaining the requested gender identity.</w:t>
      </w:r>
      <w:r w:rsidR="003624CE" w:rsidRPr="00515AA2">
        <w:rPr>
          <w:rStyle w:val="Appelnotedebasdep"/>
          <w:color w:val="000000"/>
          <w:lang w:val="en-CA"/>
        </w:rPr>
        <w:footnoteReference w:id="46"/>
      </w:r>
      <w:r w:rsidRPr="00515AA2">
        <w:rPr>
          <w:color w:val="000000"/>
          <w:lang w:val="en-CA"/>
        </w:rPr>
        <w:t xml:space="preserve"> Most objected to the requirement of an attestation from a </w:t>
      </w:r>
      <w:r w:rsidRPr="00515AA2">
        <w:rPr>
          <w:color w:val="000000"/>
          <w:lang w:val="en-CA"/>
        </w:rPr>
        <w:lastRenderedPageBreak/>
        <w:t xml:space="preserve">health professional, however, because of </w:t>
      </w:r>
      <w:r w:rsidR="002F7872" w:rsidRPr="00515AA2">
        <w:rPr>
          <w:color w:val="000000"/>
          <w:lang w:val="en-CA"/>
        </w:rPr>
        <w:t>accessibility issues</w:t>
      </w:r>
      <w:r w:rsidRPr="00515AA2">
        <w:rPr>
          <w:color w:val="000000"/>
          <w:lang w:val="en-CA"/>
        </w:rPr>
        <w:t xml:space="preserve"> and the pathologization </w:t>
      </w:r>
      <w:r w:rsidR="002F7872" w:rsidRPr="00515AA2">
        <w:rPr>
          <w:color w:val="000000"/>
          <w:lang w:val="en-CA"/>
        </w:rPr>
        <w:t xml:space="preserve">implied </w:t>
      </w:r>
      <w:r w:rsidRPr="00515AA2">
        <w:rPr>
          <w:color w:val="000000"/>
          <w:lang w:val="en-CA"/>
        </w:rPr>
        <w:t>by such an obligation.</w:t>
      </w:r>
      <w:r w:rsidR="003624CE" w:rsidRPr="00515AA2">
        <w:rPr>
          <w:rStyle w:val="Appelnotedebasdep"/>
          <w:color w:val="000000"/>
          <w:lang w:val="en-CA"/>
        </w:rPr>
        <w:footnoteReference w:id="47"/>
      </w:r>
    </w:p>
    <w:p w14:paraId="4AA40629" w14:textId="433C3E28" w:rsidR="003624CE" w:rsidRPr="00515AA2" w:rsidRDefault="00671120" w:rsidP="00F846E3">
      <w:pPr>
        <w:pStyle w:val="Paragraphe"/>
        <w:tabs>
          <w:tab w:val="clear" w:pos="360"/>
        </w:tabs>
        <w:spacing w:line="280" w:lineRule="exact"/>
        <w:rPr>
          <w:color w:val="000000"/>
          <w:lang w:val="en-CA"/>
        </w:rPr>
      </w:pPr>
      <w:r w:rsidRPr="00515AA2">
        <w:rPr>
          <w:color w:val="000000"/>
          <w:lang w:val="en-CA"/>
        </w:rPr>
        <w:t>The debates show that the Committee was attempting to strike a delicate balance between the exercise of transgender people’s rights</w:t>
      </w:r>
      <w:r w:rsidR="001F0C8E" w:rsidRPr="00515AA2">
        <w:rPr>
          <w:color w:val="000000"/>
          <w:lang w:val="en-CA"/>
        </w:rPr>
        <w:t xml:space="preserve">, </w:t>
      </w:r>
      <w:r w:rsidRPr="00515AA2">
        <w:rPr>
          <w:color w:val="000000"/>
          <w:lang w:val="en-CA"/>
        </w:rPr>
        <w:t>on one hand</w:t>
      </w:r>
      <w:r w:rsidR="001F0C8E" w:rsidRPr="00515AA2">
        <w:rPr>
          <w:color w:val="000000"/>
          <w:lang w:val="en-CA"/>
        </w:rPr>
        <w:t>,</w:t>
      </w:r>
      <w:r w:rsidR="007E0ECD" w:rsidRPr="00515AA2">
        <w:rPr>
          <w:color w:val="000000"/>
          <w:lang w:val="en-CA"/>
        </w:rPr>
        <w:t xml:space="preserve"> </w:t>
      </w:r>
      <w:r w:rsidRPr="00515AA2">
        <w:rPr>
          <w:color w:val="000000"/>
          <w:lang w:val="en-CA"/>
        </w:rPr>
        <w:t>and the stability of</w:t>
      </w:r>
      <w:r w:rsidR="00E92FA6" w:rsidRPr="00515AA2">
        <w:rPr>
          <w:color w:val="000000"/>
          <w:lang w:val="en-CA"/>
        </w:rPr>
        <w:t xml:space="preserve"> acts of</w:t>
      </w:r>
      <w:r w:rsidRPr="00515AA2">
        <w:rPr>
          <w:color w:val="000000"/>
          <w:lang w:val="en-CA"/>
        </w:rPr>
        <w:t xml:space="preserve"> civil status on the other.</w:t>
      </w:r>
      <w:r w:rsidR="007E0ECD" w:rsidRPr="00515AA2">
        <w:rPr>
          <w:rStyle w:val="Appelnotedebasdep"/>
          <w:color w:val="000000"/>
          <w:lang w:val="en-CA"/>
        </w:rPr>
        <w:footnoteReference w:id="48"/>
      </w:r>
      <w:r w:rsidRPr="00515AA2">
        <w:rPr>
          <w:color w:val="000000"/>
          <w:lang w:val="en-CA"/>
        </w:rPr>
        <w:t xml:space="preserve"> Following th</w:t>
      </w:r>
      <w:r w:rsidR="00BD6BCC" w:rsidRPr="00515AA2">
        <w:rPr>
          <w:color w:val="000000"/>
          <w:lang w:val="en-CA"/>
        </w:rPr>
        <w:t xml:space="preserve">ose public consultations, it recommended </w:t>
      </w:r>
      <w:r w:rsidR="002F7872" w:rsidRPr="00515AA2">
        <w:rPr>
          <w:color w:val="000000"/>
          <w:lang w:val="en-CA"/>
        </w:rPr>
        <w:lastRenderedPageBreak/>
        <w:t>remov</w:t>
      </w:r>
      <w:r w:rsidR="00BD6BCC" w:rsidRPr="00515AA2">
        <w:rPr>
          <w:color w:val="000000"/>
          <w:lang w:val="en-CA"/>
        </w:rPr>
        <w:t xml:space="preserve">ing the obligation of having lived at least two years under the appearance of the sex for which </w:t>
      </w:r>
      <w:r w:rsidR="00AC2E5A" w:rsidRPr="00515AA2">
        <w:rPr>
          <w:color w:val="000000"/>
          <w:lang w:val="en-CA"/>
        </w:rPr>
        <w:t xml:space="preserve">the </w:t>
      </w:r>
      <w:r w:rsidR="00BD6BCC" w:rsidRPr="00515AA2">
        <w:rPr>
          <w:color w:val="000000"/>
          <w:lang w:val="en-CA"/>
        </w:rPr>
        <w:t>change was requested</w:t>
      </w:r>
      <w:r w:rsidR="003624CE" w:rsidRPr="00515AA2">
        <w:rPr>
          <w:rStyle w:val="Appelnotedebasdep"/>
          <w:color w:val="000000"/>
          <w:lang w:val="en-CA"/>
        </w:rPr>
        <w:footnoteReference w:id="49"/>
      </w:r>
      <w:r w:rsidR="00B818DE" w:rsidRPr="00515AA2">
        <w:rPr>
          <w:color w:val="000000"/>
          <w:lang w:val="en-CA"/>
        </w:rPr>
        <w:t xml:space="preserve"> </w:t>
      </w:r>
      <w:r w:rsidR="00BD6BCC" w:rsidRPr="00515AA2">
        <w:rPr>
          <w:color w:val="000000"/>
          <w:lang w:val="en-CA"/>
        </w:rPr>
        <w:t xml:space="preserve">and proposed that such a request be supported by an affidavit </w:t>
      </w:r>
      <w:r w:rsidR="009B3673" w:rsidRPr="00515AA2">
        <w:rPr>
          <w:color w:val="000000"/>
          <w:lang w:val="en-CA"/>
        </w:rPr>
        <w:t>of</w:t>
      </w:r>
      <w:r w:rsidR="00BD6BCC" w:rsidRPr="00515AA2">
        <w:rPr>
          <w:color w:val="000000"/>
          <w:lang w:val="en-CA"/>
        </w:rPr>
        <w:t xml:space="preserve"> the applicant stating that the new designation </w:t>
      </w:r>
      <w:r w:rsidR="00E96D4B" w:rsidRPr="00515AA2">
        <w:rPr>
          <w:color w:val="000000"/>
          <w:lang w:val="en-CA"/>
        </w:rPr>
        <w:t xml:space="preserve">is </w:t>
      </w:r>
      <w:r w:rsidR="00BD6BCC" w:rsidRPr="00515AA2">
        <w:rPr>
          <w:color w:val="000000"/>
          <w:lang w:val="en-CA"/>
        </w:rPr>
        <w:t xml:space="preserve">that which </w:t>
      </w:r>
      <w:r w:rsidR="002F7872" w:rsidRPr="00515AA2">
        <w:rPr>
          <w:color w:val="000000"/>
          <w:lang w:val="en-CA"/>
        </w:rPr>
        <w:t>best corresponds to</w:t>
      </w:r>
      <w:r w:rsidR="00BD6BCC" w:rsidRPr="00515AA2">
        <w:rPr>
          <w:color w:val="000000"/>
          <w:lang w:val="en-CA"/>
        </w:rPr>
        <w:t xml:space="preserve"> the applicant’s gender identity and that </w:t>
      </w:r>
      <w:r w:rsidR="00440E0C" w:rsidRPr="00515AA2">
        <w:rPr>
          <w:color w:val="000000"/>
          <w:lang w:val="en-CA"/>
        </w:rPr>
        <w:t>the applicant</w:t>
      </w:r>
      <w:r w:rsidR="00BD6BCC" w:rsidRPr="00515AA2">
        <w:rPr>
          <w:color w:val="000000"/>
          <w:lang w:val="en-CA"/>
        </w:rPr>
        <w:t xml:space="preserve"> underst</w:t>
      </w:r>
      <w:r w:rsidR="00E96D4B" w:rsidRPr="00515AA2">
        <w:rPr>
          <w:color w:val="000000"/>
          <w:lang w:val="en-CA"/>
        </w:rPr>
        <w:t>ands</w:t>
      </w:r>
      <w:r w:rsidR="00BD6BCC" w:rsidRPr="00515AA2">
        <w:rPr>
          <w:color w:val="000000"/>
          <w:lang w:val="en-CA"/>
        </w:rPr>
        <w:t xml:space="preserve"> the seriousness of the </w:t>
      </w:r>
      <w:r w:rsidR="0075130D" w:rsidRPr="00515AA2">
        <w:rPr>
          <w:color w:val="000000"/>
          <w:lang w:val="en-CA"/>
        </w:rPr>
        <w:t>undertaking</w:t>
      </w:r>
      <w:r w:rsidR="00BD6BCC" w:rsidRPr="00515AA2">
        <w:rPr>
          <w:color w:val="000000"/>
          <w:lang w:val="en-CA"/>
        </w:rPr>
        <w:t>.</w:t>
      </w:r>
      <w:r w:rsidR="003624CE" w:rsidRPr="00515AA2">
        <w:rPr>
          <w:rStyle w:val="Appelnotedebasdep"/>
          <w:color w:val="000000"/>
          <w:lang w:val="en-CA"/>
        </w:rPr>
        <w:footnoteReference w:id="50"/>
      </w:r>
      <w:r w:rsidR="00BD6BCC" w:rsidRPr="00515AA2">
        <w:rPr>
          <w:color w:val="000000"/>
          <w:lang w:val="en-CA"/>
        </w:rPr>
        <w:t xml:space="preserve"> </w:t>
      </w:r>
      <w:r w:rsidR="00440E0C" w:rsidRPr="00515AA2">
        <w:rPr>
          <w:color w:val="000000"/>
          <w:lang w:val="en-CA"/>
        </w:rPr>
        <w:t xml:space="preserve">It also recommended </w:t>
      </w:r>
      <w:r w:rsidR="0047181A" w:rsidRPr="00515AA2">
        <w:rPr>
          <w:color w:val="000000"/>
          <w:lang w:val="en-CA"/>
        </w:rPr>
        <w:t>doing away with</w:t>
      </w:r>
      <w:r w:rsidR="00440E0C" w:rsidRPr="00515AA2">
        <w:rPr>
          <w:color w:val="000000"/>
          <w:lang w:val="en-CA"/>
        </w:rPr>
        <w:t xml:space="preserve"> the requirement of providing a letter from a health professional and to simply require an affidavit </w:t>
      </w:r>
      <w:r w:rsidR="009B3673" w:rsidRPr="00515AA2">
        <w:rPr>
          <w:color w:val="000000"/>
          <w:lang w:val="en-CA"/>
        </w:rPr>
        <w:t>of</w:t>
      </w:r>
      <w:r w:rsidR="00440E0C" w:rsidRPr="00515AA2">
        <w:rPr>
          <w:color w:val="000000"/>
          <w:lang w:val="en-CA"/>
        </w:rPr>
        <w:t xml:space="preserve"> a person of full age </w:t>
      </w:r>
      <w:r w:rsidR="009B3673" w:rsidRPr="00515AA2">
        <w:rPr>
          <w:color w:val="000000"/>
          <w:lang w:val="en-CA"/>
        </w:rPr>
        <w:t>who</w:t>
      </w:r>
      <w:r w:rsidR="00440E0C" w:rsidRPr="00515AA2">
        <w:rPr>
          <w:color w:val="000000"/>
          <w:lang w:val="en-CA"/>
        </w:rPr>
        <w:t xml:space="preserve"> </w:t>
      </w:r>
      <w:r w:rsidR="00AC2E5A" w:rsidRPr="00515AA2">
        <w:rPr>
          <w:color w:val="000000"/>
          <w:lang w:val="en-CA"/>
        </w:rPr>
        <w:t xml:space="preserve">has known </w:t>
      </w:r>
      <w:r w:rsidR="00440E0C" w:rsidRPr="00515AA2">
        <w:rPr>
          <w:color w:val="000000"/>
          <w:lang w:val="en-CA"/>
        </w:rPr>
        <w:t>the transgender person for at least six months attesting</w:t>
      </w:r>
      <w:r w:rsidR="009B3673" w:rsidRPr="00515AA2">
        <w:rPr>
          <w:color w:val="000000"/>
          <w:lang w:val="en-CA"/>
        </w:rPr>
        <w:t xml:space="preserve"> to</w:t>
      </w:r>
      <w:r w:rsidR="00440E0C" w:rsidRPr="00515AA2">
        <w:rPr>
          <w:color w:val="000000"/>
          <w:lang w:val="en-CA"/>
        </w:rPr>
        <w:t xml:space="preserve"> the seriousness of the </w:t>
      </w:r>
      <w:r w:rsidR="00E44CEE" w:rsidRPr="00515AA2">
        <w:rPr>
          <w:color w:val="000000"/>
          <w:lang w:val="en-CA"/>
        </w:rPr>
        <w:t>undertaking</w:t>
      </w:r>
      <w:r w:rsidR="00440E0C" w:rsidRPr="00515AA2">
        <w:rPr>
          <w:color w:val="000000"/>
          <w:lang w:val="en-CA"/>
        </w:rPr>
        <w:t>.</w:t>
      </w:r>
      <w:r w:rsidR="003624CE" w:rsidRPr="00515AA2">
        <w:rPr>
          <w:rStyle w:val="Appelnotedebasdep"/>
          <w:color w:val="000000"/>
          <w:lang w:val="en-CA"/>
        </w:rPr>
        <w:footnoteReference w:id="51"/>
      </w:r>
    </w:p>
    <w:p w14:paraId="4B453D3E" w14:textId="778C0772" w:rsidR="002F27E0" w:rsidRPr="00515AA2" w:rsidRDefault="008A1D22" w:rsidP="00F846E3">
      <w:pPr>
        <w:pStyle w:val="Paragraphe"/>
        <w:tabs>
          <w:tab w:val="clear" w:pos="360"/>
        </w:tabs>
        <w:spacing w:line="280" w:lineRule="exact"/>
        <w:rPr>
          <w:color w:val="000000"/>
          <w:lang w:val="en-CA"/>
        </w:rPr>
      </w:pPr>
      <w:r w:rsidRPr="00515AA2">
        <w:rPr>
          <w:color w:val="000000"/>
          <w:lang w:val="en-CA"/>
        </w:rPr>
        <w:t xml:space="preserve">The proposed regulation thus limited the requirements imposed </w:t>
      </w:r>
      <w:r w:rsidR="0047181A" w:rsidRPr="00515AA2">
        <w:rPr>
          <w:color w:val="000000"/>
          <w:lang w:val="en-CA"/>
        </w:rPr>
        <w:t>upon</w:t>
      </w:r>
      <w:r w:rsidRPr="00515AA2">
        <w:rPr>
          <w:color w:val="000000"/>
          <w:lang w:val="en-CA"/>
        </w:rPr>
        <w:t xml:space="preserve"> the person of full age wishing to change the designation of gender to</w:t>
      </w:r>
      <w:r w:rsidR="002F27E0" w:rsidRPr="00515AA2">
        <w:rPr>
          <w:color w:val="000000"/>
          <w:lang w:val="en-CA"/>
        </w:rPr>
        <w:t xml:space="preserve"> 1) </w:t>
      </w:r>
      <w:r w:rsidRPr="00515AA2">
        <w:rPr>
          <w:color w:val="000000"/>
          <w:lang w:val="en-CA"/>
        </w:rPr>
        <w:t xml:space="preserve">the obligation to attest by affidavit that the designation of sex requested was </w:t>
      </w:r>
      <w:r w:rsidR="00C104DC" w:rsidRPr="00515AA2">
        <w:rPr>
          <w:color w:val="000000"/>
          <w:lang w:val="en-CA"/>
        </w:rPr>
        <w:t>the designation</w:t>
      </w:r>
      <w:r w:rsidRPr="00515AA2">
        <w:rPr>
          <w:color w:val="000000"/>
          <w:lang w:val="en-CA"/>
        </w:rPr>
        <w:t xml:space="preserve"> that best corresponded to the applicant’s gender identity</w:t>
      </w:r>
      <w:r w:rsidR="002F27E0" w:rsidRPr="00515AA2">
        <w:rPr>
          <w:color w:val="000000"/>
          <w:lang w:val="en-CA"/>
        </w:rPr>
        <w:t xml:space="preserve">, </w:t>
      </w:r>
      <w:r w:rsidRPr="00515AA2">
        <w:rPr>
          <w:color w:val="000000"/>
          <w:lang w:val="en-CA"/>
        </w:rPr>
        <w:t>that the applicant</w:t>
      </w:r>
      <w:r w:rsidR="002F27E0" w:rsidRPr="00515AA2">
        <w:rPr>
          <w:color w:val="000000"/>
          <w:lang w:val="en-CA"/>
        </w:rPr>
        <w:t xml:space="preserve"> </w:t>
      </w:r>
      <w:r w:rsidRPr="00515AA2">
        <w:rPr>
          <w:color w:val="000000"/>
          <w:lang w:val="en-CA"/>
        </w:rPr>
        <w:t>assumed and intended to continue to assume that gender identity</w:t>
      </w:r>
      <w:r w:rsidR="002F27E0" w:rsidRPr="00515AA2">
        <w:rPr>
          <w:color w:val="000000"/>
          <w:lang w:val="en-CA"/>
        </w:rPr>
        <w:t xml:space="preserve">, </w:t>
      </w:r>
      <w:r w:rsidRPr="00515AA2">
        <w:rPr>
          <w:color w:val="000000"/>
          <w:lang w:val="en-CA"/>
        </w:rPr>
        <w:t>that the applicant understood the seriousness of the undertaking</w:t>
      </w:r>
      <w:r w:rsidR="00C104DC" w:rsidRPr="00515AA2">
        <w:rPr>
          <w:color w:val="000000"/>
          <w:lang w:val="en-CA"/>
        </w:rPr>
        <w:t>,</w:t>
      </w:r>
      <w:r w:rsidRPr="00515AA2">
        <w:rPr>
          <w:color w:val="000000"/>
          <w:lang w:val="en-CA"/>
        </w:rPr>
        <w:t xml:space="preserve"> </w:t>
      </w:r>
      <w:r w:rsidR="00703522" w:rsidRPr="00515AA2">
        <w:rPr>
          <w:color w:val="000000"/>
          <w:lang w:val="en-CA"/>
        </w:rPr>
        <w:t xml:space="preserve">and that it </w:t>
      </w:r>
      <w:r w:rsidRPr="00515AA2">
        <w:rPr>
          <w:color w:val="000000"/>
          <w:lang w:val="en-CA"/>
        </w:rPr>
        <w:t>was voluntary</w:t>
      </w:r>
      <w:r w:rsidR="00765772" w:rsidRPr="00515AA2">
        <w:rPr>
          <w:color w:val="000000"/>
          <w:lang w:val="en-CA"/>
        </w:rPr>
        <w:t>,</w:t>
      </w:r>
      <w:r w:rsidRPr="00515AA2">
        <w:rPr>
          <w:color w:val="000000"/>
          <w:lang w:val="en-CA"/>
        </w:rPr>
        <w:t xml:space="preserve"> and that </w:t>
      </w:r>
      <w:r w:rsidR="006C52FD" w:rsidRPr="00515AA2">
        <w:rPr>
          <w:color w:val="000000"/>
          <w:lang w:val="en-CA"/>
        </w:rPr>
        <w:t>the applicant’s</w:t>
      </w:r>
      <w:r w:rsidRPr="00515AA2">
        <w:rPr>
          <w:color w:val="000000"/>
          <w:lang w:val="en-CA"/>
        </w:rPr>
        <w:t xml:space="preserve"> consent </w:t>
      </w:r>
      <w:r w:rsidR="006C52FD" w:rsidRPr="00515AA2">
        <w:rPr>
          <w:color w:val="000000"/>
          <w:lang w:val="en-CA"/>
        </w:rPr>
        <w:t>was</w:t>
      </w:r>
      <w:r w:rsidRPr="00515AA2">
        <w:rPr>
          <w:color w:val="000000"/>
          <w:lang w:val="en-CA"/>
        </w:rPr>
        <w:t xml:space="preserve"> given in a free and enlightened manner </w:t>
      </w:r>
      <w:r w:rsidR="00C6729D" w:rsidRPr="00515AA2">
        <w:rPr>
          <w:color w:val="000000"/>
          <w:lang w:val="en-CA"/>
        </w:rPr>
        <w:t>(</w:t>
      </w:r>
      <w:r w:rsidR="006C52FD" w:rsidRPr="00515AA2">
        <w:rPr>
          <w:color w:val="000000"/>
          <w:lang w:val="en-CA"/>
        </w:rPr>
        <w:t>s</w:t>
      </w:r>
      <w:r w:rsidR="00C6729D" w:rsidRPr="00515AA2">
        <w:rPr>
          <w:color w:val="000000"/>
          <w:lang w:val="en-CA"/>
        </w:rPr>
        <w:t>.</w:t>
      </w:r>
      <w:r w:rsidR="0038182A" w:rsidRPr="00515AA2">
        <w:rPr>
          <w:color w:val="000000"/>
          <w:lang w:val="en-CA"/>
        </w:rPr>
        <w:t> </w:t>
      </w:r>
      <w:r w:rsidR="00C6729D" w:rsidRPr="00515AA2">
        <w:rPr>
          <w:color w:val="000000"/>
          <w:lang w:val="en-CA"/>
        </w:rPr>
        <w:t xml:space="preserve">23.1 </w:t>
      </w:r>
      <w:r w:rsidR="006C52FD" w:rsidRPr="00515AA2">
        <w:rPr>
          <w:color w:val="000000"/>
          <w:lang w:val="en-CA"/>
        </w:rPr>
        <w:t>of the</w:t>
      </w:r>
      <w:r w:rsidR="00C6729D" w:rsidRPr="00515AA2">
        <w:rPr>
          <w:color w:val="000000"/>
          <w:lang w:val="en-CA"/>
        </w:rPr>
        <w:t xml:space="preserve"> </w:t>
      </w:r>
      <w:r w:rsidR="00C6729D" w:rsidRPr="00515AA2">
        <w:rPr>
          <w:i/>
          <w:iCs/>
          <w:color w:val="000000"/>
          <w:lang w:val="en-CA"/>
        </w:rPr>
        <w:t>R</w:t>
      </w:r>
      <w:r w:rsidR="006C52FD" w:rsidRPr="00515AA2">
        <w:rPr>
          <w:i/>
          <w:iCs/>
          <w:color w:val="000000"/>
          <w:lang w:val="en-CA"/>
        </w:rPr>
        <w:t>egulation</w:t>
      </w:r>
      <w:r w:rsidR="00C6729D" w:rsidRPr="00515AA2">
        <w:rPr>
          <w:color w:val="000000"/>
          <w:lang w:val="en-CA"/>
        </w:rPr>
        <w:t>)</w:t>
      </w:r>
      <w:r w:rsidR="00D506F7" w:rsidRPr="00515AA2">
        <w:rPr>
          <w:color w:val="000000"/>
          <w:lang w:val="en-CA"/>
        </w:rPr>
        <w:t>;</w:t>
      </w:r>
      <w:r w:rsidR="00C6729D" w:rsidRPr="00515AA2">
        <w:rPr>
          <w:color w:val="000000"/>
          <w:lang w:val="en-CA"/>
        </w:rPr>
        <w:t xml:space="preserve"> </w:t>
      </w:r>
      <w:r w:rsidR="006C52FD" w:rsidRPr="00515AA2">
        <w:rPr>
          <w:color w:val="000000"/>
          <w:lang w:val="en-CA"/>
        </w:rPr>
        <w:t>and</w:t>
      </w:r>
      <w:r w:rsidR="002F27E0" w:rsidRPr="00515AA2">
        <w:rPr>
          <w:color w:val="000000"/>
          <w:lang w:val="en-CA"/>
        </w:rPr>
        <w:t xml:space="preserve"> 2) </w:t>
      </w:r>
      <w:r w:rsidR="006C52FD" w:rsidRPr="00515AA2">
        <w:rPr>
          <w:color w:val="000000"/>
          <w:lang w:val="en-CA"/>
        </w:rPr>
        <w:t xml:space="preserve">the </w:t>
      </w:r>
      <w:r w:rsidR="00C104DC" w:rsidRPr="00515AA2">
        <w:rPr>
          <w:color w:val="000000"/>
          <w:lang w:val="en-CA"/>
        </w:rPr>
        <w:t>obligation</w:t>
      </w:r>
      <w:r w:rsidR="006C52FD" w:rsidRPr="00515AA2">
        <w:rPr>
          <w:color w:val="000000"/>
          <w:lang w:val="en-CA"/>
        </w:rPr>
        <w:t xml:space="preserve"> to provide an affidavit</w:t>
      </w:r>
      <w:r w:rsidR="002F27E0" w:rsidRPr="00515AA2">
        <w:rPr>
          <w:color w:val="000000"/>
          <w:lang w:val="en-CA"/>
        </w:rPr>
        <w:t xml:space="preserve"> </w:t>
      </w:r>
      <w:r w:rsidR="006C52FD" w:rsidRPr="00515AA2">
        <w:rPr>
          <w:color w:val="000000"/>
          <w:lang w:val="en-CA"/>
        </w:rPr>
        <w:t xml:space="preserve">of a person of full age attesting to having known the applicant for at least one year and that the applicant is </w:t>
      </w:r>
      <w:r w:rsidR="00E372B2" w:rsidRPr="00515AA2">
        <w:rPr>
          <w:color w:val="000000"/>
          <w:lang w:val="en-CA"/>
        </w:rPr>
        <w:t xml:space="preserve">fully </w:t>
      </w:r>
      <w:r w:rsidR="006C52FD" w:rsidRPr="00515AA2">
        <w:rPr>
          <w:color w:val="000000"/>
          <w:lang w:val="en-CA"/>
        </w:rPr>
        <w:t xml:space="preserve">aware of the seriousness of the </w:t>
      </w:r>
      <w:r w:rsidR="00E44CEE" w:rsidRPr="00515AA2">
        <w:rPr>
          <w:color w:val="000000"/>
          <w:lang w:val="en-CA"/>
        </w:rPr>
        <w:t>undertaking</w:t>
      </w:r>
      <w:r w:rsidR="006C52FD" w:rsidRPr="00515AA2">
        <w:rPr>
          <w:color w:val="000000"/>
          <w:lang w:val="en-CA"/>
        </w:rPr>
        <w:t xml:space="preserve"> </w:t>
      </w:r>
      <w:r w:rsidR="00C6729D" w:rsidRPr="00515AA2">
        <w:rPr>
          <w:color w:val="000000"/>
          <w:lang w:val="en-CA"/>
        </w:rPr>
        <w:t>(</w:t>
      </w:r>
      <w:r w:rsidR="006C52FD" w:rsidRPr="00515AA2">
        <w:rPr>
          <w:color w:val="000000"/>
          <w:lang w:val="en-CA"/>
        </w:rPr>
        <w:t>first paragraph of s.</w:t>
      </w:r>
      <w:r w:rsidR="00C6729D" w:rsidRPr="00515AA2">
        <w:rPr>
          <w:color w:val="000000"/>
          <w:lang w:val="en-CA"/>
        </w:rPr>
        <w:t xml:space="preserve"> 23.2 </w:t>
      </w:r>
      <w:r w:rsidR="006C52FD" w:rsidRPr="00515AA2">
        <w:rPr>
          <w:color w:val="000000"/>
          <w:lang w:val="en-CA"/>
        </w:rPr>
        <w:t>of the</w:t>
      </w:r>
      <w:r w:rsidR="00C6729D" w:rsidRPr="00515AA2">
        <w:rPr>
          <w:color w:val="000000"/>
          <w:lang w:val="en-CA"/>
        </w:rPr>
        <w:t xml:space="preserve"> </w:t>
      </w:r>
      <w:r w:rsidR="00C6729D" w:rsidRPr="00515AA2">
        <w:rPr>
          <w:i/>
          <w:iCs/>
          <w:color w:val="000000"/>
          <w:lang w:val="en-CA"/>
        </w:rPr>
        <w:t>R</w:t>
      </w:r>
      <w:r w:rsidR="006C52FD" w:rsidRPr="00515AA2">
        <w:rPr>
          <w:i/>
          <w:iCs/>
          <w:color w:val="000000"/>
          <w:lang w:val="en-CA"/>
        </w:rPr>
        <w:t>egulation</w:t>
      </w:r>
      <w:r w:rsidR="0047181A" w:rsidRPr="00515AA2">
        <w:rPr>
          <w:color w:val="000000"/>
          <w:lang w:val="en-CA"/>
        </w:rPr>
        <w:t>.</w:t>
      </w:r>
      <w:r w:rsidR="00C6729D" w:rsidRPr="00515AA2">
        <w:rPr>
          <w:color w:val="000000"/>
          <w:lang w:val="en-CA"/>
        </w:rPr>
        <w:t>)</w:t>
      </w:r>
      <w:r w:rsidR="002F27E0" w:rsidRPr="00515AA2">
        <w:rPr>
          <w:rStyle w:val="Appelnotedebasdep"/>
          <w:color w:val="000000"/>
          <w:lang w:val="en-CA"/>
        </w:rPr>
        <w:footnoteReference w:id="52"/>
      </w:r>
    </w:p>
    <w:p w14:paraId="7F52A004" w14:textId="082928AA" w:rsidR="003624CE" w:rsidRPr="00515AA2" w:rsidRDefault="00630A50" w:rsidP="00F846E3">
      <w:pPr>
        <w:pStyle w:val="Paragraphe"/>
        <w:tabs>
          <w:tab w:val="clear" w:pos="360"/>
        </w:tabs>
        <w:spacing w:line="280" w:lineRule="exact"/>
        <w:rPr>
          <w:color w:val="000000"/>
          <w:lang w:val="en-CA"/>
        </w:rPr>
      </w:pPr>
      <w:r w:rsidRPr="00515AA2">
        <w:rPr>
          <w:color w:val="000000"/>
          <w:lang w:val="en-CA"/>
        </w:rPr>
        <w:t>Shortly thereafter</w:t>
      </w:r>
      <w:r w:rsidR="003624CE" w:rsidRPr="00515AA2">
        <w:rPr>
          <w:color w:val="000000"/>
          <w:lang w:val="en-CA"/>
        </w:rPr>
        <w:t xml:space="preserve">, </w:t>
      </w:r>
      <w:r w:rsidRPr="00515AA2">
        <w:rPr>
          <w:color w:val="000000"/>
          <w:lang w:val="en-CA"/>
        </w:rPr>
        <w:t>MNA</w:t>
      </w:r>
      <w:r w:rsidR="003624CE" w:rsidRPr="00515AA2">
        <w:rPr>
          <w:color w:val="000000"/>
          <w:lang w:val="en-CA"/>
        </w:rPr>
        <w:t xml:space="preserve"> Manon Massé </w:t>
      </w:r>
      <w:r w:rsidRPr="00515AA2">
        <w:rPr>
          <w:color w:val="000000"/>
          <w:lang w:val="en-CA"/>
        </w:rPr>
        <w:t xml:space="preserve">introduced a bill which </w:t>
      </w:r>
      <w:r w:rsidR="00C125F7" w:rsidRPr="00515AA2">
        <w:rPr>
          <w:color w:val="000000"/>
          <w:lang w:val="en-CA"/>
        </w:rPr>
        <w:t xml:space="preserve">was </w:t>
      </w:r>
      <w:r w:rsidRPr="00515AA2">
        <w:rPr>
          <w:color w:val="000000"/>
          <w:lang w:val="en-CA"/>
        </w:rPr>
        <w:t>this time intended to allow transgender minors to have the designation of their sex changed on their acts of civil status</w:t>
      </w:r>
      <w:r w:rsidR="00C125F7" w:rsidRPr="00515AA2">
        <w:rPr>
          <w:color w:val="000000"/>
          <w:lang w:val="en-CA"/>
        </w:rPr>
        <w:t>.</w:t>
      </w:r>
      <w:r w:rsidR="003624CE" w:rsidRPr="00515AA2">
        <w:rPr>
          <w:rStyle w:val="Appelnotedebasdep"/>
          <w:color w:val="000000"/>
          <w:lang w:val="en-CA"/>
        </w:rPr>
        <w:footnoteReference w:id="53"/>
      </w:r>
      <w:r w:rsidR="00EA5915" w:rsidRPr="00515AA2">
        <w:rPr>
          <w:color w:val="000000"/>
          <w:lang w:val="en-CA"/>
        </w:rPr>
        <w:t xml:space="preserve"> </w:t>
      </w:r>
      <w:r w:rsidR="00C125F7" w:rsidRPr="00515AA2">
        <w:rPr>
          <w:color w:val="000000"/>
          <w:lang w:val="en-CA"/>
        </w:rPr>
        <w:t>A few weeks later</w:t>
      </w:r>
      <w:r w:rsidR="00EA5915" w:rsidRPr="00515AA2">
        <w:rPr>
          <w:color w:val="000000"/>
          <w:lang w:val="en-CA"/>
        </w:rPr>
        <w:t xml:space="preserve">, </w:t>
      </w:r>
      <w:r w:rsidR="00C125F7" w:rsidRPr="00515AA2">
        <w:rPr>
          <w:color w:val="000000"/>
          <w:lang w:val="en-CA"/>
        </w:rPr>
        <w:t xml:space="preserve">the </w:t>
      </w:r>
      <w:r w:rsidR="00696FF0" w:rsidRPr="00515AA2">
        <w:rPr>
          <w:color w:val="000000"/>
          <w:lang w:val="en-CA"/>
        </w:rPr>
        <w:t xml:space="preserve">then </w:t>
      </w:r>
      <w:r w:rsidR="00C125F7" w:rsidRPr="00515AA2">
        <w:rPr>
          <w:color w:val="000000"/>
          <w:lang w:val="en-CA"/>
        </w:rPr>
        <w:t>Minister of</w:t>
      </w:r>
      <w:r w:rsidR="003624CE" w:rsidRPr="00515AA2">
        <w:rPr>
          <w:color w:val="000000"/>
          <w:lang w:val="en-CA"/>
        </w:rPr>
        <w:t xml:space="preserve"> Justic</w:t>
      </w:r>
      <w:r w:rsidR="00B75D03" w:rsidRPr="00515AA2">
        <w:rPr>
          <w:color w:val="000000"/>
          <w:lang w:val="en-CA"/>
        </w:rPr>
        <w:t xml:space="preserve">e, </w:t>
      </w:r>
      <w:r w:rsidR="00EA5915" w:rsidRPr="00515AA2">
        <w:rPr>
          <w:color w:val="000000"/>
          <w:lang w:val="en-CA"/>
        </w:rPr>
        <w:t xml:space="preserve">Stéphanie Vallée, </w:t>
      </w:r>
      <w:r w:rsidR="00C125F7" w:rsidRPr="00515AA2">
        <w:rPr>
          <w:color w:val="000000"/>
          <w:lang w:val="en-CA"/>
        </w:rPr>
        <w:t>introduced a bill of her own,</w:t>
      </w:r>
      <w:r w:rsidR="003624CE" w:rsidRPr="00515AA2">
        <w:rPr>
          <w:rStyle w:val="Appelnotedebasdep"/>
          <w:color w:val="000000"/>
          <w:lang w:val="en-CA"/>
        </w:rPr>
        <w:footnoteReference w:id="54"/>
      </w:r>
      <w:r w:rsidR="00C125F7" w:rsidRPr="00515AA2">
        <w:rPr>
          <w:color w:val="000000"/>
          <w:lang w:val="en-CA"/>
        </w:rPr>
        <w:t xml:space="preserve"> to allow minors to obtain a change of the designation of their sex</w:t>
      </w:r>
      <w:r w:rsidR="00E44CEE" w:rsidRPr="00515AA2">
        <w:rPr>
          <w:color w:val="000000"/>
          <w:lang w:val="en-CA"/>
        </w:rPr>
        <w:t xml:space="preserve"> that</w:t>
      </w:r>
      <w:r w:rsidR="00C125F7" w:rsidRPr="00515AA2">
        <w:rPr>
          <w:color w:val="000000"/>
          <w:lang w:val="en-CA"/>
        </w:rPr>
        <w:t xml:space="preserve"> appear</w:t>
      </w:r>
      <w:r w:rsidR="00E44CEE" w:rsidRPr="00515AA2">
        <w:rPr>
          <w:color w:val="000000"/>
          <w:lang w:val="en-CA"/>
        </w:rPr>
        <w:t>s</w:t>
      </w:r>
      <w:r w:rsidR="00C125F7" w:rsidRPr="00515AA2">
        <w:rPr>
          <w:color w:val="000000"/>
          <w:lang w:val="en-CA"/>
        </w:rPr>
        <w:t xml:space="preserve"> in their act of birth from the </w:t>
      </w:r>
      <w:r w:rsidR="0047181A" w:rsidRPr="00515AA2">
        <w:rPr>
          <w:color w:val="000000"/>
          <w:lang w:val="en-CA"/>
        </w:rPr>
        <w:t>r</w:t>
      </w:r>
      <w:r w:rsidR="00C125F7" w:rsidRPr="00515AA2">
        <w:rPr>
          <w:color w:val="000000"/>
          <w:lang w:val="en-CA"/>
        </w:rPr>
        <w:t>egistrar of civil status by submitting</w:t>
      </w:r>
      <w:r w:rsidR="008736F5" w:rsidRPr="00515AA2">
        <w:rPr>
          <w:color w:val="000000"/>
          <w:lang w:val="en-CA"/>
        </w:rPr>
        <w:t xml:space="preserve">, in the case of an applicant aged 14 </w:t>
      </w:r>
      <w:r w:rsidR="002C7FEF" w:rsidRPr="00515AA2">
        <w:rPr>
          <w:color w:val="000000"/>
          <w:lang w:val="en-CA"/>
        </w:rPr>
        <w:t>or over</w:t>
      </w:r>
      <w:r w:rsidR="008736F5" w:rsidRPr="00515AA2">
        <w:rPr>
          <w:color w:val="000000"/>
          <w:lang w:val="en-CA"/>
        </w:rPr>
        <w:t>,</w:t>
      </w:r>
      <w:r w:rsidR="00C125F7" w:rsidRPr="00515AA2">
        <w:rPr>
          <w:color w:val="000000"/>
          <w:lang w:val="en-CA"/>
        </w:rPr>
        <w:t xml:space="preserve"> an application</w:t>
      </w:r>
      <w:r w:rsidR="00D506F7" w:rsidRPr="00515AA2">
        <w:rPr>
          <w:color w:val="000000"/>
          <w:lang w:val="en-CA"/>
        </w:rPr>
        <w:t xml:space="preserve"> made by</w:t>
      </w:r>
      <w:r w:rsidR="00C125F7" w:rsidRPr="00515AA2">
        <w:rPr>
          <w:color w:val="000000"/>
          <w:lang w:val="en-CA"/>
        </w:rPr>
        <w:t xml:space="preserve"> themselves</w:t>
      </w:r>
      <w:r w:rsidR="0029247E" w:rsidRPr="00515AA2">
        <w:rPr>
          <w:color w:val="000000"/>
          <w:lang w:val="en-CA"/>
        </w:rPr>
        <w:t xml:space="preserve"> </w:t>
      </w:r>
      <w:r w:rsidR="00C125F7" w:rsidRPr="00515AA2">
        <w:rPr>
          <w:color w:val="000000"/>
          <w:lang w:val="en-CA"/>
        </w:rPr>
        <w:t xml:space="preserve">or </w:t>
      </w:r>
      <w:r w:rsidR="00703522" w:rsidRPr="00515AA2">
        <w:rPr>
          <w:color w:val="000000"/>
          <w:lang w:val="en-CA"/>
        </w:rPr>
        <w:t xml:space="preserve">by </w:t>
      </w:r>
      <w:r w:rsidR="00C125F7" w:rsidRPr="00515AA2">
        <w:rPr>
          <w:color w:val="000000"/>
          <w:lang w:val="en-CA"/>
        </w:rPr>
        <w:t>their tutor with their consent,</w:t>
      </w:r>
      <w:r w:rsidR="003C682A" w:rsidRPr="00515AA2">
        <w:rPr>
          <w:color w:val="000000"/>
          <w:lang w:val="en-CA"/>
        </w:rPr>
        <w:t xml:space="preserve"> </w:t>
      </w:r>
      <w:r w:rsidR="00C125F7" w:rsidRPr="00515AA2">
        <w:rPr>
          <w:color w:val="000000"/>
          <w:lang w:val="en-CA"/>
        </w:rPr>
        <w:t>or</w:t>
      </w:r>
      <w:r w:rsidR="00DA5DB2" w:rsidRPr="00515AA2">
        <w:rPr>
          <w:color w:val="000000"/>
          <w:lang w:val="en-CA"/>
        </w:rPr>
        <w:t>, in other cases,</w:t>
      </w:r>
      <w:r w:rsidR="00C125F7" w:rsidRPr="00515AA2">
        <w:rPr>
          <w:color w:val="000000"/>
          <w:lang w:val="en-CA"/>
        </w:rPr>
        <w:t xml:space="preserve"> </w:t>
      </w:r>
      <w:r w:rsidR="00703522" w:rsidRPr="00515AA2">
        <w:rPr>
          <w:color w:val="000000"/>
          <w:lang w:val="en-CA"/>
        </w:rPr>
        <w:t xml:space="preserve">by </w:t>
      </w:r>
      <w:r w:rsidR="00C125F7" w:rsidRPr="00515AA2">
        <w:rPr>
          <w:color w:val="000000"/>
          <w:lang w:val="en-CA"/>
        </w:rPr>
        <w:t>their tutor</w:t>
      </w:r>
      <w:r w:rsidR="00043D1A" w:rsidRPr="00515AA2">
        <w:rPr>
          <w:color w:val="000000"/>
          <w:lang w:val="en-CA"/>
        </w:rPr>
        <w:t xml:space="preserve"> only</w:t>
      </w:r>
      <w:r w:rsidR="00DA5DB2" w:rsidRPr="00515AA2">
        <w:rPr>
          <w:color w:val="000000"/>
          <w:lang w:val="en-CA"/>
        </w:rPr>
        <w:t>.</w:t>
      </w:r>
      <w:r w:rsidR="000B0E95" w:rsidRPr="00515AA2">
        <w:rPr>
          <w:rStyle w:val="Appelnotedebasdep"/>
          <w:color w:val="000000"/>
          <w:lang w:val="en-CA"/>
        </w:rPr>
        <w:footnoteReference w:id="55"/>
      </w:r>
      <w:r w:rsidR="00C125F7" w:rsidRPr="00515AA2">
        <w:rPr>
          <w:color w:val="000000"/>
          <w:lang w:val="en-CA"/>
        </w:rPr>
        <w:t xml:space="preserve"> </w:t>
      </w:r>
      <w:r w:rsidR="00DA5DB2" w:rsidRPr="00515AA2">
        <w:rPr>
          <w:color w:val="000000"/>
          <w:lang w:val="en-CA"/>
        </w:rPr>
        <w:t xml:space="preserve">This bill also </w:t>
      </w:r>
      <w:r w:rsidR="00C125F7" w:rsidRPr="00515AA2">
        <w:rPr>
          <w:color w:val="000000"/>
          <w:lang w:val="en-CA"/>
        </w:rPr>
        <w:t>recognize</w:t>
      </w:r>
      <w:r w:rsidR="00DA5DB2" w:rsidRPr="00515AA2">
        <w:rPr>
          <w:color w:val="000000"/>
          <w:lang w:val="en-CA"/>
        </w:rPr>
        <w:t>d</w:t>
      </w:r>
      <w:r w:rsidR="003624CE" w:rsidRPr="00515AA2">
        <w:rPr>
          <w:color w:val="000000"/>
          <w:lang w:val="en-CA"/>
        </w:rPr>
        <w:t xml:space="preserve">, </w:t>
      </w:r>
      <w:r w:rsidR="00C125F7" w:rsidRPr="00515AA2">
        <w:rPr>
          <w:color w:val="000000"/>
          <w:lang w:val="en-CA"/>
        </w:rPr>
        <w:t>for the first time</w:t>
      </w:r>
      <w:r w:rsidR="003624CE" w:rsidRPr="00515AA2">
        <w:rPr>
          <w:color w:val="000000"/>
          <w:lang w:val="en-CA"/>
        </w:rPr>
        <w:t xml:space="preserve">, </w:t>
      </w:r>
      <w:r w:rsidR="00C125F7" w:rsidRPr="00515AA2">
        <w:rPr>
          <w:color w:val="000000"/>
          <w:lang w:val="en-CA"/>
        </w:rPr>
        <w:t>the right o</w:t>
      </w:r>
      <w:r w:rsidR="00696FF0" w:rsidRPr="00515AA2">
        <w:rPr>
          <w:color w:val="000000"/>
          <w:lang w:val="en-CA"/>
        </w:rPr>
        <w:t xml:space="preserve">f </w:t>
      </w:r>
      <w:r w:rsidR="00C125F7" w:rsidRPr="00515AA2">
        <w:rPr>
          <w:color w:val="000000"/>
          <w:lang w:val="en-CA"/>
        </w:rPr>
        <w:t>minor</w:t>
      </w:r>
      <w:r w:rsidR="00696FF0" w:rsidRPr="00515AA2">
        <w:rPr>
          <w:color w:val="000000"/>
          <w:lang w:val="en-CA"/>
        </w:rPr>
        <w:t>s</w:t>
      </w:r>
      <w:r w:rsidR="00C125F7" w:rsidRPr="00515AA2">
        <w:rPr>
          <w:color w:val="000000"/>
          <w:lang w:val="en-CA"/>
        </w:rPr>
        <w:t xml:space="preserve"> of </w:t>
      </w:r>
      <w:r w:rsidR="00D506F7" w:rsidRPr="00515AA2">
        <w:rPr>
          <w:color w:val="000000"/>
          <w:lang w:val="en-CA"/>
        </w:rPr>
        <w:t xml:space="preserve">14 </w:t>
      </w:r>
      <w:r w:rsidR="00C125F7" w:rsidRPr="00515AA2">
        <w:rPr>
          <w:color w:val="000000"/>
          <w:lang w:val="en-CA"/>
        </w:rPr>
        <w:t xml:space="preserve">years of age </w:t>
      </w:r>
      <w:r w:rsidR="002C7FEF" w:rsidRPr="00515AA2">
        <w:rPr>
          <w:color w:val="000000"/>
          <w:lang w:val="en-CA"/>
        </w:rPr>
        <w:t>or over</w:t>
      </w:r>
      <w:r w:rsidR="003624CE" w:rsidRPr="00515AA2">
        <w:rPr>
          <w:color w:val="000000"/>
          <w:lang w:val="en-CA"/>
        </w:rPr>
        <w:t xml:space="preserve"> </w:t>
      </w:r>
      <w:r w:rsidR="00C125F7" w:rsidRPr="00515AA2">
        <w:rPr>
          <w:color w:val="000000"/>
          <w:lang w:val="en-CA"/>
        </w:rPr>
        <w:t xml:space="preserve">to ask </w:t>
      </w:r>
      <w:r w:rsidR="00D506F7" w:rsidRPr="00515AA2">
        <w:rPr>
          <w:color w:val="000000"/>
          <w:lang w:val="en-CA"/>
        </w:rPr>
        <w:lastRenderedPageBreak/>
        <w:t xml:space="preserve">for themselves </w:t>
      </w:r>
      <w:r w:rsidR="00C125F7" w:rsidRPr="00515AA2">
        <w:rPr>
          <w:color w:val="000000"/>
          <w:lang w:val="en-CA"/>
        </w:rPr>
        <w:t>that their name be changed.</w:t>
      </w:r>
      <w:r w:rsidR="003624CE" w:rsidRPr="00515AA2">
        <w:rPr>
          <w:rStyle w:val="Appelnotedebasdep"/>
          <w:color w:val="000000"/>
          <w:lang w:val="en-CA"/>
        </w:rPr>
        <w:footnoteReference w:id="56"/>
      </w:r>
      <w:r w:rsidR="00C125F7" w:rsidRPr="00515AA2">
        <w:rPr>
          <w:color w:val="000000"/>
          <w:lang w:val="en-CA"/>
        </w:rPr>
        <w:t xml:space="preserve"> </w:t>
      </w:r>
      <w:r w:rsidR="00DA5DB2" w:rsidRPr="00515AA2">
        <w:rPr>
          <w:color w:val="000000"/>
          <w:lang w:val="en-CA"/>
        </w:rPr>
        <w:t>It</w:t>
      </w:r>
      <w:r w:rsidR="00DC79FD" w:rsidRPr="00515AA2">
        <w:rPr>
          <w:color w:val="000000"/>
          <w:lang w:val="en-CA"/>
        </w:rPr>
        <w:t xml:space="preserve"> also provided the parent</w:t>
      </w:r>
      <w:r w:rsidR="00696FF0" w:rsidRPr="00515AA2">
        <w:rPr>
          <w:color w:val="000000"/>
          <w:lang w:val="en-CA"/>
        </w:rPr>
        <w:t>s’</w:t>
      </w:r>
      <w:r w:rsidR="00DC79FD" w:rsidRPr="00515AA2">
        <w:rPr>
          <w:color w:val="000000"/>
          <w:lang w:val="en-CA"/>
        </w:rPr>
        <w:t xml:space="preserve"> right to be notified of such an application for a change of name and to object to it.</w:t>
      </w:r>
      <w:r w:rsidR="00C06EDB" w:rsidRPr="00515AA2">
        <w:rPr>
          <w:rStyle w:val="Appelnotedebasdep"/>
          <w:color w:val="000000"/>
          <w:lang w:val="en-CA"/>
        </w:rPr>
        <w:footnoteReference w:id="57"/>
      </w:r>
      <w:r w:rsidR="00DC79FD" w:rsidRPr="00515AA2">
        <w:rPr>
          <w:color w:val="000000"/>
          <w:lang w:val="en-CA"/>
        </w:rPr>
        <w:t xml:space="preserve"> The bill proposed to amend the</w:t>
      </w:r>
      <w:r w:rsidR="00100EE1" w:rsidRPr="00515AA2">
        <w:rPr>
          <w:color w:val="000000"/>
          <w:lang w:val="en-CA"/>
        </w:rPr>
        <w:t xml:space="preserve"> </w:t>
      </w:r>
      <w:r w:rsidR="00100EE1" w:rsidRPr="00515AA2">
        <w:rPr>
          <w:i/>
          <w:iCs/>
          <w:color w:val="000000"/>
          <w:lang w:val="en-CA"/>
        </w:rPr>
        <w:t>R</w:t>
      </w:r>
      <w:r w:rsidR="00DC79FD" w:rsidRPr="00515AA2">
        <w:rPr>
          <w:i/>
          <w:iCs/>
          <w:color w:val="000000"/>
          <w:lang w:val="en-CA"/>
        </w:rPr>
        <w:t>egulation</w:t>
      </w:r>
      <w:r w:rsidR="00100EE1" w:rsidRPr="00515AA2">
        <w:rPr>
          <w:color w:val="000000"/>
          <w:lang w:val="en-CA"/>
        </w:rPr>
        <w:t xml:space="preserve"> </w:t>
      </w:r>
      <w:r w:rsidR="00DC79FD" w:rsidRPr="00515AA2">
        <w:rPr>
          <w:color w:val="000000"/>
          <w:lang w:val="en-CA"/>
        </w:rPr>
        <w:t>by adding the second paragraph of s</w:t>
      </w:r>
      <w:r w:rsidR="00B020F8" w:rsidRPr="00515AA2">
        <w:rPr>
          <w:color w:val="000000"/>
          <w:lang w:val="en-CA"/>
        </w:rPr>
        <w:t>ection</w:t>
      </w:r>
      <w:r w:rsidR="000B0E95" w:rsidRPr="00515AA2">
        <w:rPr>
          <w:color w:val="000000"/>
          <w:lang w:val="en-CA"/>
        </w:rPr>
        <w:t xml:space="preserve"> 23.2</w:t>
      </w:r>
      <w:r w:rsidR="00537CE1" w:rsidRPr="00515AA2">
        <w:rPr>
          <w:color w:val="000000"/>
          <w:lang w:val="en-CA"/>
        </w:rPr>
        <w:t xml:space="preserve"> </w:t>
      </w:r>
      <w:r w:rsidR="00DC79FD" w:rsidRPr="00515AA2">
        <w:rPr>
          <w:color w:val="000000"/>
          <w:lang w:val="en-CA"/>
        </w:rPr>
        <w:t>establishing the terms of the process aimed a</w:t>
      </w:r>
      <w:r w:rsidR="00703522" w:rsidRPr="00515AA2">
        <w:rPr>
          <w:color w:val="000000"/>
          <w:lang w:val="en-CA"/>
        </w:rPr>
        <w:t>t</w:t>
      </w:r>
      <w:r w:rsidR="00DC79FD" w:rsidRPr="00515AA2">
        <w:rPr>
          <w:color w:val="000000"/>
          <w:lang w:val="en-CA"/>
        </w:rPr>
        <w:t xml:space="preserve"> having the designation of sex appearing in an act of civil status relating to a minor changed.</w:t>
      </w:r>
      <w:r w:rsidR="000B0E95" w:rsidRPr="00515AA2">
        <w:rPr>
          <w:rStyle w:val="Appelnotedebasdep"/>
          <w:color w:val="000000"/>
          <w:lang w:val="en-CA"/>
        </w:rPr>
        <w:footnoteReference w:id="58"/>
      </w:r>
      <w:r w:rsidR="00DC79FD" w:rsidRPr="00515AA2">
        <w:rPr>
          <w:color w:val="000000"/>
          <w:lang w:val="en-CA"/>
        </w:rPr>
        <w:t xml:space="preserve"> It also provided amendments to the</w:t>
      </w:r>
      <w:r w:rsidR="003624CE" w:rsidRPr="00515AA2">
        <w:rPr>
          <w:color w:val="000000"/>
          <w:lang w:val="en-CA"/>
        </w:rPr>
        <w:t xml:space="preserve"> </w:t>
      </w:r>
      <w:r w:rsidR="00DC79FD" w:rsidRPr="00515AA2">
        <w:rPr>
          <w:i/>
          <w:color w:val="000000"/>
          <w:lang w:val="en-CA"/>
        </w:rPr>
        <w:t>Quebec C</w:t>
      </w:r>
      <w:r w:rsidR="003624CE" w:rsidRPr="00515AA2">
        <w:rPr>
          <w:i/>
          <w:color w:val="000000"/>
          <w:lang w:val="en-CA"/>
        </w:rPr>
        <w:t>harte</w:t>
      </w:r>
      <w:r w:rsidR="00DC79FD" w:rsidRPr="00515AA2">
        <w:rPr>
          <w:i/>
          <w:color w:val="000000"/>
          <w:lang w:val="en-CA"/>
        </w:rPr>
        <w:t xml:space="preserve">r </w:t>
      </w:r>
      <w:r w:rsidR="00DC79FD" w:rsidRPr="00515AA2">
        <w:rPr>
          <w:iCs/>
          <w:color w:val="000000"/>
          <w:lang w:val="en-CA"/>
        </w:rPr>
        <w:t xml:space="preserve">by adding “gender identity” </w:t>
      </w:r>
      <w:r w:rsidR="00DC79FD" w:rsidRPr="00515AA2">
        <w:rPr>
          <w:color w:val="000000"/>
          <w:lang w:val="en-CA"/>
        </w:rPr>
        <w:t>as a prohibited ground of discrimination.</w:t>
      </w:r>
      <w:r w:rsidR="003624CE" w:rsidRPr="00515AA2">
        <w:rPr>
          <w:rStyle w:val="Appelnotedebasdep"/>
          <w:color w:val="000000"/>
          <w:lang w:val="en-CA"/>
        </w:rPr>
        <w:footnoteReference w:id="59"/>
      </w:r>
    </w:p>
    <w:p w14:paraId="185B7DF3" w14:textId="49C69A64" w:rsidR="00025EA8" w:rsidRPr="00515AA2" w:rsidRDefault="00A56D85" w:rsidP="00F846E3">
      <w:pPr>
        <w:pStyle w:val="Paragraphe"/>
        <w:spacing w:line="280" w:lineRule="exact"/>
        <w:rPr>
          <w:color w:val="000000"/>
          <w:lang w:val="en-CA"/>
        </w:rPr>
      </w:pPr>
      <w:r w:rsidRPr="00515AA2">
        <w:rPr>
          <w:color w:val="000000"/>
          <w:lang w:val="en-CA"/>
        </w:rPr>
        <w:t>For the most part</w:t>
      </w:r>
      <w:r w:rsidR="003624CE" w:rsidRPr="00515AA2">
        <w:rPr>
          <w:color w:val="000000"/>
          <w:lang w:val="en-CA"/>
        </w:rPr>
        <w:t xml:space="preserve">, </w:t>
      </w:r>
      <w:r w:rsidRPr="00515AA2">
        <w:rPr>
          <w:color w:val="000000"/>
          <w:lang w:val="en-CA"/>
        </w:rPr>
        <w:t>the proposed amendments were welcomed favourably by</w:t>
      </w:r>
      <w:r w:rsidR="003624CE" w:rsidRPr="00515AA2">
        <w:rPr>
          <w:color w:val="000000"/>
          <w:lang w:val="en-CA"/>
        </w:rPr>
        <w:t xml:space="preserve"> </w:t>
      </w:r>
      <w:r w:rsidRPr="00515AA2">
        <w:rPr>
          <w:color w:val="000000"/>
          <w:lang w:val="en-CA"/>
        </w:rPr>
        <w:t xml:space="preserve">the </w:t>
      </w:r>
      <w:r w:rsidR="00043D1A" w:rsidRPr="00515AA2">
        <w:rPr>
          <w:color w:val="000000"/>
          <w:lang w:val="en-CA"/>
        </w:rPr>
        <w:t>participants</w:t>
      </w:r>
      <w:r w:rsidR="00656257" w:rsidRPr="00515AA2">
        <w:rPr>
          <w:color w:val="000000"/>
          <w:lang w:val="en-CA"/>
        </w:rPr>
        <w:t>,</w:t>
      </w:r>
      <w:r w:rsidRPr="00515AA2">
        <w:rPr>
          <w:color w:val="000000"/>
          <w:lang w:val="en-CA"/>
        </w:rPr>
        <w:t xml:space="preserve"> who recognized that the</w:t>
      </w:r>
      <w:r w:rsidR="00656257" w:rsidRPr="00515AA2">
        <w:rPr>
          <w:color w:val="000000"/>
          <w:lang w:val="en-CA"/>
        </w:rPr>
        <w:t>y represented a further step towards full recognition of</w:t>
      </w:r>
      <w:r w:rsidR="00703522" w:rsidRPr="00515AA2">
        <w:rPr>
          <w:color w:val="000000"/>
          <w:lang w:val="en-CA"/>
        </w:rPr>
        <w:t xml:space="preserve"> the rights </w:t>
      </w:r>
      <w:r w:rsidR="00A462B7" w:rsidRPr="00515AA2">
        <w:rPr>
          <w:color w:val="000000"/>
          <w:lang w:val="en-CA"/>
        </w:rPr>
        <w:t>of transgender</w:t>
      </w:r>
      <w:r w:rsidR="00656257" w:rsidRPr="00515AA2">
        <w:rPr>
          <w:color w:val="000000"/>
          <w:lang w:val="en-CA"/>
        </w:rPr>
        <w:t xml:space="preserve"> people in Quebec.</w:t>
      </w:r>
      <w:r w:rsidR="003624CE" w:rsidRPr="00515AA2">
        <w:rPr>
          <w:rStyle w:val="Appelnotedebasdep"/>
          <w:color w:val="000000"/>
          <w:lang w:val="en-CA"/>
        </w:rPr>
        <w:footnoteReference w:id="60"/>
      </w:r>
      <w:r w:rsidR="00656257" w:rsidRPr="00515AA2">
        <w:rPr>
          <w:color w:val="000000"/>
          <w:lang w:val="en-CA"/>
        </w:rPr>
        <w:t xml:space="preserve"> Many welcomed the bill without reservation,</w:t>
      </w:r>
      <w:r w:rsidR="003624CE" w:rsidRPr="00515AA2">
        <w:rPr>
          <w:rStyle w:val="Appelnotedebasdep"/>
          <w:color w:val="000000"/>
          <w:lang w:val="en-CA"/>
        </w:rPr>
        <w:footnoteReference w:id="61"/>
      </w:r>
      <w:r w:rsidR="00EA5915" w:rsidRPr="00515AA2">
        <w:rPr>
          <w:color w:val="000000"/>
          <w:lang w:val="en-CA"/>
        </w:rPr>
        <w:t xml:space="preserve"> </w:t>
      </w:r>
      <w:r w:rsidR="00656257" w:rsidRPr="00515AA2">
        <w:rPr>
          <w:color w:val="000000"/>
          <w:lang w:val="en-CA"/>
        </w:rPr>
        <w:t xml:space="preserve">while others suggested that social workers and marriage and family therapists be added to the list of professionals that could provide the required </w:t>
      </w:r>
      <w:r w:rsidR="00656257" w:rsidRPr="00515AA2">
        <w:rPr>
          <w:color w:val="000000"/>
          <w:lang w:val="en-CA"/>
        </w:rPr>
        <w:lastRenderedPageBreak/>
        <w:t>attestation.</w:t>
      </w:r>
      <w:r w:rsidR="003624CE" w:rsidRPr="00515AA2">
        <w:rPr>
          <w:rStyle w:val="Appelnotedebasdep"/>
          <w:color w:val="000000"/>
          <w:lang w:val="en-CA"/>
        </w:rPr>
        <w:footnoteReference w:id="62"/>
      </w:r>
      <w:r w:rsidR="00656257" w:rsidRPr="00515AA2">
        <w:rPr>
          <w:color w:val="000000"/>
          <w:lang w:val="en-CA"/>
        </w:rPr>
        <w:t xml:space="preserve"> Some, on the other hand, expressed reservations about the requirements retained by the government</w:t>
      </w:r>
      <w:r w:rsidR="00EA5915" w:rsidRPr="00515AA2">
        <w:rPr>
          <w:color w:val="000000"/>
          <w:lang w:val="en-CA"/>
        </w:rPr>
        <w:t>.</w:t>
      </w:r>
    </w:p>
    <w:p w14:paraId="3FA327B9" w14:textId="2FCD475F" w:rsidR="003624CE" w:rsidRPr="00515AA2" w:rsidRDefault="00A56D85" w:rsidP="00F846E3">
      <w:pPr>
        <w:pStyle w:val="Paragraphe"/>
        <w:spacing w:line="280" w:lineRule="exact"/>
        <w:rPr>
          <w:color w:val="000000"/>
          <w:lang w:val="en-CA"/>
        </w:rPr>
      </w:pPr>
      <w:r w:rsidRPr="00515AA2">
        <w:rPr>
          <w:color w:val="000000"/>
          <w:lang w:val="en-CA"/>
        </w:rPr>
        <w:t>Finally</w:t>
      </w:r>
      <w:r w:rsidR="00025EA8" w:rsidRPr="00515AA2">
        <w:rPr>
          <w:color w:val="000000"/>
          <w:lang w:val="en-CA"/>
        </w:rPr>
        <w:t xml:space="preserve">, </w:t>
      </w:r>
      <w:r w:rsidRPr="00515AA2">
        <w:rPr>
          <w:color w:val="000000"/>
          <w:lang w:val="en-CA"/>
        </w:rPr>
        <w:t>the bill was enacted on June</w:t>
      </w:r>
      <w:r w:rsidR="00ED0F13" w:rsidRPr="00515AA2">
        <w:rPr>
          <w:color w:val="000000"/>
          <w:lang w:val="en-CA"/>
        </w:rPr>
        <w:t xml:space="preserve"> </w:t>
      </w:r>
      <w:r w:rsidRPr="00515AA2">
        <w:rPr>
          <w:color w:val="000000"/>
          <w:lang w:val="en-CA"/>
        </w:rPr>
        <w:t>1</w:t>
      </w:r>
      <w:r w:rsidR="00100EE1" w:rsidRPr="00515AA2">
        <w:rPr>
          <w:color w:val="000000"/>
          <w:lang w:val="en-CA"/>
        </w:rPr>
        <w:t>0</w:t>
      </w:r>
      <w:r w:rsidRPr="00515AA2">
        <w:rPr>
          <w:color w:val="000000"/>
          <w:lang w:val="en-CA"/>
        </w:rPr>
        <w:t>, 201</w:t>
      </w:r>
      <w:r w:rsidR="00ED0F13" w:rsidRPr="00515AA2">
        <w:rPr>
          <w:color w:val="000000"/>
          <w:lang w:val="en-CA"/>
        </w:rPr>
        <w:t>6</w:t>
      </w:r>
      <w:r w:rsidR="00E42A64" w:rsidRPr="00515AA2">
        <w:rPr>
          <w:rStyle w:val="Appelnotedebasdep"/>
          <w:color w:val="000000"/>
          <w:lang w:val="en-CA"/>
        </w:rPr>
        <w:footnoteReference w:id="63"/>
      </w:r>
      <w:r w:rsidR="00025EA8" w:rsidRPr="00515AA2">
        <w:rPr>
          <w:color w:val="000000"/>
          <w:lang w:val="en-CA"/>
        </w:rPr>
        <w:t xml:space="preserve"> </w:t>
      </w:r>
      <w:r w:rsidRPr="00515AA2">
        <w:rPr>
          <w:color w:val="000000"/>
          <w:lang w:val="en-CA"/>
        </w:rPr>
        <w:t>and it was in that legislative context that the Superior Court was called upon to decide the application for a declaratory judgment</w:t>
      </w:r>
      <w:r w:rsidR="003624CE" w:rsidRPr="00515AA2">
        <w:rPr>
          <w:color w:val="000000"/>
          <w:lang w:val="en-CA"/>
        </w:rPr>
        <w:t>.</w:t>
      </w:r>
    </w:p>
    <w:p w14:paraId="7137C769" w14:textId="148D5205" w:rsidR="009A0375" w:rsidRPr="00515AA2" w:rsidRDefault="009A0375" w:rsidP="009A51C4">
      <w:pPr>
        <w:pStyle w:val="Titre1"/>
        <w:rPr>
          <w:color w:val="000000"/>
        </w:rPr>
      </w:pPr>
      <w:bookmarkStart w:id="32" w:name="_Toc161830103"/>
      <w:r w:rsidRPr="00515AA2">
        <w:rPr>
          <w:color w:val="000000"/>
        </w:rPr>
        <w:t>JU</w:t>
      </w:r>
      <w:r w:rsidR="00745AD7" w:rsidRPr="00515AA2">
        <w:rPr>
          <w:color w:val="000000"/>
        </w:rPr>
        <w:t>D</w:t>
      </w:r>
      <w:r w:rsidRPr="00515AA2">
        <w:rPr>
          <w:color w:val="000000"/>
        </w:rPr>
        <w:t xml:space="preserve">GMENT </w:t>
      </w:r>
      <w:r w:rsidR="00745AD7" w:rsidRPr="00515AA2">
        <w:rPr>
          <w:color w:val="000000"/>
        </w:rPr>
        <w:t>UNDER APPEAL</w:t>
      </w:r>
      <w:bookmarkEnd w:id="32"/>
    </w:p>
    <w:p w14:paraId="0FCD55E7" w14:textId="072FF6C2" w:rsidR="006E4B7D" w:rsidRPr="00515AA2" w:rsidRDefault="00745AD7" w:rsidP="00F846E3">
      <w:pPr>
        <w:pStyle w:val="Paragraphe"/>
        <w:tabs>
          <w:tab w:val="clear" w:pos="360"/>
        </w:tabs>
        <w:spacing w:line="280" w:lineRule="exact"/>
        <w:rPr>
          <w:color w:val="000000"/>
          <w:lang w:val="en-CA"/>
        </w:rPr>
      </w:pPr>
      <w:r w:rsidRPr="00515AA2">
        <w:rPr>
          <w:color w:val="000000"/>
          <w:lang w:val="en-CA"/>
        </w:rPr>
        <w:t>In his reasons, the trial judge explained the soci</w:t>
      </w:r>
      <w:r w:rsidR="00794491" w:rsidRPr="00515AA2">
        <w:rPr>
          <w:color w:val="000000"/>
          <w:lang w:val="en-CA"/>
        </w:rPr>
        <w:t xml:space="preserve">al and </w:t>
      </w:r>
      <w:r w:rsidRPr="00515AA2">
        <w:rPr>
          <w:color w:val="000000"/>
          <w:lang w:val="en-CA"/>
        </w:rPr>
        <w:t xml:space="preserve">factual circumstances in which relief was being sought, he undertook a review of the legislative framework, he summarized the parties’ submissions and the conclusions sought, after which he proceeded to </w:t>
      </w:r>
      <w:r w:rsidR="00D506F7" w:rsidRPr="00515AA2">
        <w:rPr>
          <w:color w:val="000000"/>
          <w:lang w:val="en-CA"/>
        </w:rPr>
        <w:t>analy</w:t>
      </w:r>
      <w:r w:rsidR="000F693A" w:rsidRPr="00515AA2">
        <w:rPr>
          <w:color w:val="000000"/>
          <w:lang w:val="en-CA"/>
        </w:rPr>
        <w:t>s</w:t>
      </w:r>
      <w:r w:rsidR="00D506F7" w:rsidRPr="00515AA2">
        <w:rPr>
          <w:color w:val="000000"/>
          <w:lang w:val="en-CA"/>
        </w:rPr>
        <w:t xml:space="preserve">e </w:t>
      </w:r>
      <w:r w:rsidRPr="00515AA2">
        <w:rPr>
          <w:color w:val="000000"/>
          <w:lang w:val="en-CA"/>
        </w:rPr>
        <w:t xml:space="preserve">each of the impugned provisions </w:t>
      </w:r>
      <w:r w:rsidR="00794491" w:rsidRPr="00515AA2">
        <w:rPr>
          <w:color w:val="000000"/>
          <w:lang w:val="en-CA"/>
        </w:rPr>
        <w:t xml:space="preserve">on the </w:t>
      </w:r>
      <w:r w:rsidRPr="00515AA2">
        <w:rPr>
          <w:color w:val="000000"/>
          <w:lang w:val="en-CA"/>
        </w:rPr>
        <w:t xml:space="preserve">evidence adduced before </w:t>
      </w:r>
      <w:r w:rsidR="00374493" w:rsidRPr="00515AA2">
        <w:rPr>
          <w:color w:val="000000"/>
          <w:lang w:val="en-CA"/>
        </w:rPr>
        <w:t>draw</w:t>
      </w:r>
      <w:r w:rsidR="00794491" w:rsidRPr="00515AA2">
        <w:rPr>
          <w:color w:val="000000"/>
          <w:lang w:val="en-CA"/>
        </w:rPr>
        <w:t>ing</w:t>
      </w:r>
      <w:r w:rsidRPr="00515AA2">
        <w:rPr>
          <w:color w:val="000000"/>
          <w:lang w:val="en-CA"/>
        </w:rPr>
        <w:t xml:space="preserve"> the conclusions summarized above.</w:t>
      </w:r>
      <w:r w:rsidR="00CD0537" w:rsidRPr="00515AA2">
        <w:rPr>
          <w:rStyle w:val="Appelnotedebasdep"/>
          <w:color w:val="000000"/>
          <w:lang w:val="en-CA"/>
        </w:rPr>
        <w:footnoteReference w:id="64"/>
      </w:r>
    </w:p>
    <w:p w14:paraId="03E9F3DF" w14:textId="53B97A50" w:rsidR="000F58BB" w:rsidRPr="00515AA2" w:rsidRDefault="00794491" w:rsidP="00F846E3">
      <w:pPr>
        <w:pStyle w:val="Paragraphe"/>
        <w:tabs>
          <w:tab w:val="clear" w:pos="360"/>
        </w:tabs>
        <w:spacing w:line="280" w:lineRule="exact"/>
        <w:rPr>
          <w:color w:val="000000"/>
          <w:lang w:val="en-CA"/>
        </w:rPr>
      </w:pPr>
      <w:r w:rsidRPr="00515AA2">
        <w:rPr>
          <w:color w:val="000000"/>
          <w:lang w:val="en-CA"/>
        </w:rPr>
        <w:t xml:space="preserve">It will be helpful to return to his analysis </w:t>
      </w:r>
      <w:r w:rsidR="006F19FC" w:rsidRPr="00515AA2">
        <w:rPr>
          <w:color w:val="000000"/>
          <w:lang w:val="en-CA"/>
        </w:rPr>
        <w:t>of</w:t>
      </w:r>
      <w:r w:rsidRPr="00515AA2">
        <w:rPr>
          <w:color w:val="000000"/>
          <w:lang w:val="en-CA"/>
        </w:rPr>
        <w:t xml:space="preserve"> the two provisions </w:t>
      </w:r>
      <w:r w:rsidR="00374493" w:rsidRPr="00515AA2">
        <w:rPr>
          <w:color w:val="000000"/>
          <w:lang w:val="en-CA"/>
        </w:rPr>
        <w:t xml:space="preserve">concerning </w:t>
      </w:r>
      <w:r w:rsidRPr="00515AA2">
        <w:rPr>
          <w:color w:val="000000"/>
          <w:lang w:val="en-CA"/>
        </w:rPr>
        <w:t xml:space="preserve">minors </w:t>
      </w:r>
      <w:r w:rsidR="00374493" w:rsidRPr="00515AA2">
        <w:rPr>
          <w:color w:val="000000"/>
          <w:lang w:val="en-CA"/>
        </w:rPr>
        <w:t>that are the subject of th</w:t>
      </w:r>
      <w:r w:rsidR="006F19FC" w:rsidRPr="00515AA2">
        <w:rPr>
          <w:color w:val="000000"/>
          <w:lang w:val="en-CA"/>
        </w:rPr>
        <w:t>is</w:t>
      </w:r>
      <w:r w:rsidRPr="00515AA2">
        <w:rPr>
          <w:color w:val="000000"/>
          <w:lang w:val="en-CA"/>
        </w:rPr>
        <w:t xml:space="preserve"> appeal</w:t>
      </w:r>
      <w:r w:rsidR="005534FF" w:rsidRPr="00515AA2">
        <w:rPr>
          <w:color w:val="000000"/>
          <w:lang w:val="en-CA"/>
        </w:rPr>
        <w:t>.</w:t>
      </w:r>
    </w:p>
    <w:p w14:paraId="43B35F78" w14:textId="78B27A5B" w:rsidR="004A70E2" w:rsidRPr="00515AA2" w:rsidRDefault="006875CF" w:rsidP="00B523A5">
      <w:pPr>
        <w:pStyle w:val="Titre3"/>
        <w:numPr>
          <w:ilvl w:val="0"/>
          <w:numId w:val="0"/>
        </w:numPr>
        <w:spacing w:line="280" w:lineRule="exact"/>
        <w:ind w:left="720" w:hanging="720"/>
        <w:rPr>
          <w:color w:val="000000"/>
          <w:lang w:val="en-CA"/>
        </w:rPr>
      </w:pPr>
      <w:bookmarkStart w:id="33" w:name="_Toc161830104"/>
      <w:r w:rsidRPr="00515AA2">
        <w:rPr>
          <w:color w:val="000000"/>
          <w:lang w:val="en-CA"/>
        </w:rPr>
        <w:t>1.</w:t>
      </w:r>
      <w:r w:rsidR="00B523A5" w:rsidRPr="00515AA2">
        <w:rPr>
          <w:color w:val="000000"/>
          <w:lang w:val="en-CA"/>
        </w:rPr>
        <w:t xml:space="preserve">  </w:t>
      </w:r>
      <w:r w:rsidR="00B523A5" w:rsidRPr="00515AA2">
        <w:rPr>
          <w:color w:val="000000"/>
          <w:lang w:val="en-CA"/>
        </w:rPr>
        <w:tab/>
      </w:r>
      <w:r w:rsidR="00794491" w:rsidRPr="00515AA2">
        <w:rPr>
          <w:color w:val="000000"/>
          <w:lang w:val="en-CA"/>
        </w:rPr>
        <w:t xml:space="preserve">On the </w:t>
      </w:r>
      <w:r w:rsidR="006F19FC" w:rsidRPr="00515AA2">
        <w:rPr>
          <w:color w:val="000000"/>
          <w:lang w:val="en-CA"/>
        </w:rPr>
        <w:t>R</w:t>
      </w:r>
      <w:r w:rsidR="00794491" w:rsidRPr="00515AA2">
        <w:rPr>
          <w:color w:val="000000"/>
          <w:lang w:val="en-CA"/>
        </w:rPr>
        <w:t xml:space="preserve">equirement to </w:t>
      </w:r>
      <w:r w:rsidR="006F19FC" w:rsidRPr="00515AA2">
        <w:rPr>
          <w:color w:val="000000"/>
          <w:lang w:val="en-CA"/>
        </w:rPr>
        <w:t>P</w:t>
      </w:r>
      <w:r w:rsidR="00794491" w:rsidRPr="00515AA2">
        <w:rPr>
          <w:color w:val="000000"/>
          <w:lang w:val="en-CA"/>
        </w:rPr>
        <w:t xml:space="preserve">rovide a </w:t>
      </w:r>
      <w:r w:rsidR="006F19FC" w:rsidRPr="00515AA2">
        <w:rPr>
          <w:color w:val="000000"/>
          <w:lang w:val="en-CA"/>
        </w:rPr>
        <w:t>D</w:t>
      </w:r>
      <w:r w:rsidR="00794491" w:rsidRPr="00515AA2">
        <w:rPr>
          <w:color w:val="000000"/>
          <w:lang w:val="en-CA"/>
        </w:rPr>
        <w:t>eclaration from a</w:t>
      </w:r>
      <w:r w:rsidR="00534797" w:rsidRPr="00515AA2">
        <w:rPr>
          <w:color w:val="000000"/>
          <w:lang w:val="en-CA"/>
        </w:rPr>
        <w:t xml:space="preserve"> </w:t>
      </w:r>
      <w:r w:rsidR="006F19FC" w:rsidRPr="00515AA2">
        <w:rPr>
          <w:color w:val="000000"/>
          <w:lang w:val="en-CA"/>
        </w:rPr>
        <w:t>H</w:t>
      </w:r>
      <w:r w:rsidR="00534797" w:rsidRPr="00515AA2">
        <w:rPr>
          <w:color w:val="000000"/>
          <w:lang w:val="en-CA"/>
        </w:rPr>
        <w:t>ealth</w:t>
      </w:r>
      <w:r w:rsidR="00794491" w:rsidRPr="00515AA2">
        <w:rPr>
          <w:color w:val="000000"/>
          <w:lang w:val="en-CA"/>
        </w:rPr>
        <w:t xml:space="preserve"> </w:t>
      </w:r>
      <w:r w:rsidR="006F19FC" w:rsidRPr="00515AA2">
        <w:rPr>
          <w:color w:val="000000"/>
          <w:lang w:val="en-CA"/>
        </w:rPr>
        <w:t>P</w:t>
      </w:r>
      <w:r w:rsidR="00794491" w:rsidRPr="00515AA2">
        <w:rPr>
          <w:color w:val="000000"/>
          <w:lang w:val="en-CA"/>
        </w:rPr>
        <w:t xml:space="preserve">rofessional </w:t>
      </w:r>
      <w:r w:rsidR="00D0530A" w:rsidRPr="00515AA2">
        <w:rPr>
          <w:color w:val="000000"/>
          <w:lang w:val="en-CA"/>
        </w:rPr>
        <w:t>(</w:t>
      </w:r>
      <w:r w:rsidR="00534797" w:rsidRPr="00515AA2">
        <w:rPr>
          <w:color w:val="000000"/>
          <w:lang w:val="en-CA"/>
        </w:rPr>
        <w:t>s.</w:t>
      </w:r>
      <w:r w:rsidR="00D506F7" w:rsidRPr="00515AA2">
        <w:rPr>
          <w:color w:val="000000"/>
          <w:lang w:val="en-CA"/>
        </w:rPr>
        <w:t> </w:t>
      </w:r>
      <w:r w:rsidR="00D0530A" w:rsidRPr="00515AA2">
        <w:rPr>
          <w:color w:val="000000"/>
          <w:lang w:val="en-CA"/>
        </w:rPr>
        <w:t xml:space="preserve">23.2 </w:t>
      </w:r>
      <w:r w:rsidR="00534797" w:rsidRPr="00515AA2">
        <w:rPr>
          <w:color w:val="000000"/>
          <w:lang w:val="en-CA"/>
        </w:rPr>
        <w:t>of the</w:t>
      </w:r>
      <w:r w:rsidR="00D0530A" w:rsidRPr="00515AA2">
        <w:rPr>
          <w:color w:val="000000"/>
          <w:lang w:val="en-CA"/>
        </w:rPr>
        <w:t xml:space="preserve"> R</w:t>
      </w:r>
      <w:r w:rsidR="00534797" w:rsidRPr="00515AA2">
        <w:rPr>
          <w:color w:val="000000"/>
          <w:lang w:val="en-CA"/>
        </w:rPr>
        <w:t>egulation</w:t>
      </w:r>
      <w:r w:rsidR="00D0530A" w:rsidRPr="00515AA2">
        <w:rPr>
          <w:color w:val="000000"/>
          <w:lang w:val="en-CA"/>
        </w:rPr>
        <w:t>)</w:t>
      </w:r>
      <w:bookmarkEnd w:id="33"/>
    </w:p>
    <w:p w14:paraId="5362543C" w14:textId="1F3F8856" w:rsidR="00E1270E" w:rsidRPr="00515AA2" w:rsidRDefault="00534797" w:rsidP="00F846E3">
      <w:pPr>
        <w:pStyle w:val="Paragraphe"/>
        <w:tabs>
          <w:tab w:val="clear" w:pos="360"/>
        </w:tabs>
        <w:spacing w:line="280" w:lineRule="exact"/>
        <w:rPr>
          <w:color w:val="000000"/>
          <w:lang w:val="en-CA"/>
        </w:rPr>
      </w:pPr>
      <w:r w:rsidRPr="00515AA2">
        <w:rPr>
          <w:color w:val="000000"/>
          <w:lang w:val="en-CA"/>
        </w:rPr>
        <w:t xml:space="preserve">The judge found that the requirement </w:t>
      </w:r>
      <w:r w:rsidR="006F19FC" w:rsidRPr="00515AA2">
        <w:rPr>
          <w:color w:val="000000"/>
          <w:lang w:val="en-CA"/>
        </w:rPr>
        <w:t>in</w:t>
      </w:r>
      <w:r w:rsidRPr="00515AA2">
        <w:rPr>
          <w:color w:val="000000"/>
          <w:lang w:val="en-CA"/>
        </w:rPr>
        <w:t xml:space="preserve"> paragraph</w:t>
      </w:r>
      <w:r w:rsidR="000F58BB" w:rsidRPr="00515AA2">
        <w:rPr>
          <w:color w:val="000000"/>
          <w:lang w:val="en-CA"/>
        </w:rPr>
        <w:t xml:space="preserve"> </w:t>
      </w:r>
      <w:r w:rsidR="004A70E2" w:rsidRPr="00515AA2">
        <w:rPr>
          <w:color w:val="000000"/>
          <w:lang w:val="en-CA"/>
        </w:rPr>
        <w:t>2</w:t>
      </w:r>
      <w:r w:rsidRPr="00515AA2">
        <w:rPr>
          <w:color w:val="000000"/>
          <w:lang w:val="en-CA"/>
        </w:rPr>
        <w:t xml:space="preserve"> of s. 23.2 of the</w:t>
      </w:r>
      <w:r w:rsidR="004A70E2" w:rsidRPr="00515AA2">
        <w:rPr>
          <w:color w:val="000000"/>
          <w:lang w:val="en-CA"/>
        </w:rPr>
        <w:t xml:space="preserve"> </w:t>
      </w:r>
      <w:r w:rsidR="004A70E2" w:rsidRPr="00515AA2">
        <w:rPr>
          <w:i/>
          <w:color w:val="000000"/>
          <w:lang w:val="en-CA"/>
        </w:rPr>
        <w:t>R</w:t>
      </w:r>
      <w:r w:rsidRPr="00515AA2">
        <w:rPr>
          <w:i/>
          <w:color w:val="000000"/>
          <w:lang w:val="en-CA"/>
        </w:rPr>
        <w:t>egulation</w:t>
      </w:r>
      <w:r w:rsidR="004A70E2" w:rsidRPr="00515AA2">
        <w:rPr>
          <w:rStyle w:val="Appelnotedebasdep"/>
          <w:color w:val="000000"/>
          <w:lang w:val="en-CA"/>
        </w:rPr>
        <w:footnoteReference w:id="65"/>
      </w:r>
      <w:r w:rsidR="004A70E2" w:rsidRPr="00515AA2">
        <w:rPr>
          <w:color w:val="000000"/>
          <w:lang w:val="en-CA"/>
        </w:rPr>
        <w:t xml:space="preserve"> </w:t>
      </w:r>
      <w:r w:rsidR="006F19FC" w:rsidRPr="00515AA2">
        <w:rPr>
          <w:color w:val="000000"/>
          <w:lang w:val="en-CA"/>
        </w:rPr>
        <w:t>that minors</w:t>
      </w:r>
      <w:r w:rsidRPr="00515AA2">
        <w:rPr>
          <w:color w:val="000000"/>
          <w:lang w:val="en-CA"/>
        </w:rPr>
        <w:t xml:space="preserve"> provide a letter from a designated health professional confirming that the </w:t>
      </w:r>
      <w:r w:rsidRPr="00515AA2">
        <w:rPr>
          <w:color w:val="000000"/>
          <w:lang w:val="en-CA"/>
        </w:rPr>
        <w:lastRenderedPageBreak/>
        <w:t>change of the designation of sex applied for is appropriate create</w:t>
      </w:r>
      <w:r w:rsidR="006F19FC" w:rsidRPr="00515AA2">
        <w:rPr>
          <w:color w:val="000000"/>
          <w:lang w:val="en-CA"/>
        </w:rPr>
        <w:t>d</w:t>
      </w:r>
      <w:r w:rsidRPr="00515AA2">
        <w:rPr>
          <w:color w:val="000000"/>
          <w:lang w:val="en-CA"/>
        </w:rPr>
        <w:t xml:space="preserve"> a distinction based on age, </w:t>
      </w:r>
      <w:r w:rsidR="006F19FC" w:rsidRPr="00515AA2">
        <w:rPr>
          <w:color w:val="000000"/>
          <w:lang w:val="en-CA"/>
        </w:rPr>
        <w:t>since</w:t>
      </w:r>
      <w:r w:rsidRPr="00515AA2">
        <w:rPr>
          <w:color w:val="000000"/>
          <w:lang w:val="en-CA"/>
        </w:rPr>
        <w:t xml:space="preserve"> persons of full age need only provide an </w:t>
      </w:r>
      <w:r w:rsidR="009F6601" w:rsidRPr="00515AA2">
        <w:rPr>
          <w:color w:val="000000"/>
          <w:lang w:val="en-CA"/>
        </w:rPr>
        <w:t>affidavit of a person of full age</w:t>
      </w:r>
      <w:r w:rsidR="006F19FC" w:rsidRPr="00515AA2">
        <w:rPr>
          <w:color w:val="000000"/>
          <w:lang w:val="en-CA"/>
        </w:rPr>
        <w:t>,</w:t>
      </w:r>
      <w:r w:rsidR="009F6601" w:rsidRPr="00515AA2">
        <w:rPr>
          <w:color w:val="000000"/>
          <w:lang w:val="en-CA"/>
        </w:rPr>
        <w:t xml:space="preserve"> who has known them for at least one year, who confirms the seriousness of </w:t>
      </w:r>
      <w:r w:rsidR="00E44CEE" w:rsidRPr="00515AA2">
        <w:rPr>
          <w:color w:val="000000"/>
          <w:lang w:val="en-CA"/>
        </w:rPr>
        <w:t>the undertaking</w:t>
      </w:r>
      <w:r w:rsidR="009F6601" w:rsidRPr="00515AA2">
        <w:rPr>
          <w:color w:val="000000"/>
          <w:lang w:val="en-CA"/>
        </w:rPr>
        <w:t>.</w:t>
      </w:r>
      <w:r w:rsidR="000F58BB" w:rsidRPr="00515AA2">
        <w:rPr>
          <w:color w:val="000000"/>
          <w:vertAlign w:val="superscript"/>
          <w:lang w:val="en-CA"/>
        </w:rPr>
        <w:footnoteReference w:id="66"/>
      </w:r>
    </w:p>
    <w:p w14:paraId="7E46733C" w14:textId="0DBB3D04" w:rsidR="000F58BB" w:rsidRPr="00515AA2" w:rsidRDefault="009F6601" w:rsidP="00F846E3">
      <w:pPr>
        <w:pStyle w:val="Paragraphe"/>
        <w:tabs>
          <w:tab w:val="clear" w:pos="360"/>
        </w:tabs>
        <w:spacing w:line="280" w:lineRule="exact"/>
        <w:rPr>
          <w:color w:val="000000"/>
          <w:lang w:val="en-CA"/>
        </w:rPr>
      </w:pPr>
      <w:r w:rsidRPr="00515AA2">
        <w:rPr>
          <w:color w:val="000000"/>
          <w:lang w:val="en-CA"/>
        </w:rPr>
        <w:t>In his view, that</w:t>
      </w:r>
      <w:r w:rsidR="001E503B" w:rsidRPr="00515AA2">
        <w:rPr>
          <w:color w:val="000000"/>
          <w:lang w:val="en-CA"/>
        </w:rPr>
        <w:t xml:space="preserve"> requirement constitute</w:t>
      </w:r>
      <w:r w:rsidR="006F19FC" w:rsidRPr="00515AA2">
        <w:rPr>
          <w:color w:val="000000"/>
          <w:lang w:val="en-CA"/>
        </w:rPr>
        <w:t>d</w:t>
      </w:r>
      <w:r w:rsidR="001E503B" w:rsidRPr="00515AA2">
        <w:rPr>
          <w:color w:val="000000"/>
          <w:lang w:val="en-CA"/>
        </w:rPr>
        <w:t xml:space="preserve"> an administrative </w:t>
      </w:r>
      <w:r w:rsidR="006F19FC" w:rsidRPr="00515AA2">
        <w:rPr>
          <w:color w:val="000000"/>
          <w:lang w:val="en-CA"/>
        </w:rPr>
        <w:t>hurdle</w:t>
      </w:r>
      <w:r w:rsidR="001E503B" w:rsidRPr="00515AA2">
        <w:rPr>
          <w:color w:val="000000"/>
          <w:lang w:val="en-CA"/>
        </w:rPr>
        <w:t xml:space="preserve"> that transgender minors</w:t>
      </w:r>
      <w:r w:rsidR="007B0B1A" w:rsidRPr="00515AA2">
        <w:rPr>
          <w:color w:val="000000"/>
          <w:lang w:val="en-CA"/>
        </w:rPr>
        <w:t xml:space="preserve"> may </w:t>
      </w:r>
      <w:r w:rsidR="006F19FC" w:rsidRPr="00515AA2">
        <w:rPr>
          <w:color w:val="000000"/>
          <w:lang w:val="en-CA"/>
        </w:rPr>
        <w:t>find impossible to overcome</w:t>
      </w:r>
      <w:r w:rsidR="001E503B" w:rsidRPr="00515AA2">
        <w:rPr>
          <w:color w:val="000000"/>
          <w:lang w:val="en-CA"/>
        </w:rPr>
        <w:t xml:space="preserve">, </w:t>
      </w:r>
      <w:r w:rsidR="000F691D" w:rsidRPr="00515AA2">
        <w:rPr>
          <w:color w:val="000000"/>
          <w:lang w:val="en-CA"/>
        </w:rPr>
        <w:t xml:space="preserve">rendering </w:t>
      </w:r>
      <w:r w:rsidR="006F19FC" w:rsidRPr="00515AA2">
        <w:rPr>
          <w:color w:val="000000"/>
          <w:lang w:val="en-CA"/>
        </w:rPr>
        <w:t xml:space="preserve">it </w:t>
      </w:r>
      <w:r w:rsidR="000F691D" w:rsidRPr="00515AA2">
        <w:rPr>
          <w:color w:val="000000"/>
          <w:lang w:val="en-CA"/>
        </w:rPr>
        <w:t xml:space="preserve">more </w:t>
      </w:r>
      <w:r w:rsidR="006F19FC" w:rsidRPr="00515AA2">
        <w:rPr>
          <w:color w:val="000000"/>
          <w:lang w:val="en-CA"/>
        </w:rPr>
        <w:t xml:space="preserve">unlikely that they be able to </w:t>
      </w:r>
      <w:r w:rsidR="001E503B" w:rsidRPr="00515AA2">
        <w:rPr>
          <w:color w:val="000000"/>
          <w:lang w:val="en-CA"/>
        </w:rPr>
        <w:t>obtain a change of designation of sex appearing on their civil status documents</w:t>
      </w:r>
      <w:r w:rsidR="00981855" w:rsidRPr="00515AA2">
        <w:rPr>
          <w:color w:val="000000"/>
          <w:lang w:val="en-CA"/>
        </w:rPr>
        <w:t>,</w:t>
      </w:r>
      <w:r w:rsidR="000F58BB" w:rsidRPr="00515AA2">
        <w:rPr>
          <w:color w:val="000000"/>
          <w:vertAlign w:val="superscript"/>
          <w:lang w:val="en-CA"/>
        </w:rPr>
        <w:footnoteReference w:id="67"/>
      </w:r>
      <w:r w:rsidR="001E503B" w:rsidRPr="00515AA2">
        <w:rPr>
          <w:color w:val="000000"/>
          <w:lang w:val="en-CA"/>
        </w:rPr>
        <w:t xml:space="preserve"> </w:t>
      </w:r>
      <w:r w:rsidR="000F691D" w:rsidRPr="00515AA2">
        <w:rPr>
          <w:color w:val="000000"/>
          <w:lang w:val="en-CA"/>
        </w:rPr>
        <w:t>since</w:t>
      </w:r>
      <w:r w:rsidR="001E503B" w:rsidRPr="00515AA2">
        <w:rPr>
          <w:color w:val="000000"/>
          <w:lang w:val="en-CA"/>
        </w:rPr>
        <w:t xml:space="preserve"> they have to call upon the health and social service</w:t>
      </w:r>
      <w:r w:rsidR="007B0B1A" w:rsidRPr="00515AA2">
        <w:rPr>
          <w:color w:val="000000"/>
          <w:lang w:val="en-CA"/>
        </w:rPr>
        <w:t>s</w:t>
      </w:r>
      <w:r w:rsidR="001E503B" w:rsidRPr="00515AA2">
        <w:rPr>
          <w:color w:val="000000"/>
          <w:lang w:val="en-CA"/>
        </w:rPr>
        <w:t xml:space="preserve"> system to find a designated profession</w:t>
      </w:r>
      <w:r w:rsidR="006F19FC" w:rsidRPr="00515AA2">
        <w:rPr>
          <w:color w:val="000000"/>
          <w:lang w:val="en-CA"/>
        </w:rPr>
        <w:t>al</w:t>
      </w:r>
      <w:r w:rsidR="001E503B" w:rsidRPr="00515AA2">
        <w:rPr>
          <w:color w:val="000000"/>
          <w:lang w:val="en-CA"/>
        </w:rPr>
        <w:t xml:space="preserve"> able to help them, besides having to miss school or work to meet the</w:t>
      </w:r>
      <w:r w:rsidR="007B0B1A" w:rsidRPr="00515AA2">
        <w:rPr>
          <w:color w:val="000000"/>
          <w:lang w:val="en-CA"/>
        </w:rPr>
        <w:t>m, and bear</w:t>
      </w:r>
      <w:r w:rsidR="006F19FC" w:rsidRPr="00515AA2">
        <w:rPr>
          <w:color w:val="000000"/>
          <w:lang w:val="en-CA"/>
        </w:rPr>
        <w:t>ing</w:t>
      </w:r>
      <w:r w:rsidR="007B0B1A" w:rsidRPr="00515AA2">
        <w:rPr>
          <w:color w:val="000000"/>
          <w:lang w:val="en-CA"/>
        </w:rPr>
        <w:t xml:space="preserve"> the costs thereof</w:t>
      </w:r>
      <w:r w:rsidR="00246B6E" w:rsidRPr="00515AA2">
        <w:rPr>
          <w:color w:val="000000"/>
          <w:lang w:val="en-CA"/>
        </w:rPr>
        <w:t>.</w:t>
      </w:r>
    </w:p>
    <w:p w14:paraId="6FBFC525" w14:textId="474D7CEC" w:rsidR="000F58BB" w:rsidRPr="00515AA2" w:rsidRDefault="005E3ECE" w:rsidP="00F846E3">
      <w:pPr>
        <w:pStyle w:val="Paragraphe"/>
        <w:tabs>
          <w:tab w:val="clear" w:pos="360"/>
        </w:tabs>
        <w:spacing w:line="280" w:lineRule="exact"/>
        <w:rPr>
          <w:color w:val="000000"/>
          <w:lang w:val="en-CA"/>
        </w:rPr>
      </w:pPr>
      <w:r w:rsidRPr="00515AA2">
        <w:rPr>
          <w:color w:val="000000"/>
          <w:lang w:val="en-CA"/>
        </w:rPr>
        <w:t xml:space="preserve">He therefore </w:t>
      </w:r>
      <w:r w:rsidR="00421240" w:rsidRPr="00515AA2">
        <w:rPr>
          <w:color w:val="000000"/>
          <w:lang w:val="en-CA"/>
        </w:rPr>
        <w:t>proceeded with the analysis under</w:t>
      </w:r>
      <w:r w:rsidRPr="00515AA2">
        <w:rPr>
          <w:color w:val="000000"/>
          <w:lang w:val="en-CA"/>
        </w:rPr>
        <w:t xml:space="preserve"> s</w:t>
      </w:r>
      <w:r w:rsidR="00A462B7" w:rsidRPr="00515AA2">
        <w:rPr>
          <w:color w:val="000000"/>
          <w:lang w:val="en-CA"/>
        </w:rPr>
        <w:t>ection</w:t>
      </w:r>
      <w:r w:rsidRPr="00515AA2">
        <w:rPr>
          <w:color w:val="000000"/>
          <w:lang w:val="en-CA"/>
        </w:rPr>
        <w:t xml:space="preserve"> 1 of the</w:t>
      </w:r>
      <w:r w:rsidR="000F58BB" w:rsidRPr="00515AA2">
        <w:rPr>
          <w:color w:val="000000"/>
          <w:lang w:val="en-CA"/>
        </w:rPr>
        <w:t xml:space="preserve"> </w:t>
      </w:r>
      <w:r w:rsidRPr="00515AA2">
        <w:rPr>
          <w:i/>
          <w:color w:val="000000"/>
          <w:lang w:val="en-CA"/>
        </w:rPr>
        <w:t>Canadian Charter</w:t>
      </w:r>
      <w:r w:rsidR="00C67E3E" w:rsidRPr="00515AA2">
        <w:rPr>
          <w:color w:val="000000"/>
          <w:lang w:val="en-CA"/>
        </w:rPr>
        <w:t xml:space="preserve"> </w:t>
      </w:r>
      <w:r w:rsidRPr="00515AA2">
        <w:rPr>
          <w:color w:val="000000"/>
          <w:lang w:val="en-CA"/>
        </w:rPr>
        <w:t>a</w:t>
      </w:r>
      <w:r w:rsidR="00875293" w:rsidRPr="00515AA2">
        <w:rPr>
          <w:color w:val="000000"/>
          <w:lang w:val="en-CA"/>
        </w:rPr>
        <w:t>nd</w:t>
      </w:r>
      <w:r w:rsidRPr="00515AA2">
        <w:rPr>
          <w:color w:val="000000"/>
          <w:lang w:val="en-CA"/>
        </w:rPr>
        <w:t xml:space="preserve"> found no rational connection between that requirement and the legislative </w:t>
      </w:r>
      <w:r w:rsidR="00875293" w:rsidRPr="00515AA2">
        <w:rPr>
          <w:color w:val="000000"/>
          <w:lang w:val="en-CA"/>
        </w:rPr>
        <w:t>objective being pursued</w:t>
      </w:r>
      <w:r w:rsidR="00931F6B" w:rsidRPr="00515AA2">
        <w:rPr>
          <w:color w:val="000000"/>
          <w:lang w:val="en-CA"/>
        </w:rPr>
        <w:t xml:space="preserve">, </w:t>
      </w:r>
      <w:r w:rsidRPr="00515AA2">
        <w:rPr>
          <w:color w:val="000000"/>
          <w:lang w:val="en-CA"/>
        </w:rPr>
        <w:t xml:space="preserve">which is that of </w:t>
      </w:r>
      <w:r w:rsidR="00875293" w:rsidRPr="00515AA2">
        <w:rPr>
          <w:color w:val="000000"/>
          <w:lang w:val="en-CA"/>
        </w:rPr>
        <w:t xml:space="preserve">ensuring the seriousness of a transgender youth’s application to change their designation of sex </w:t>
      </w:r>
      <w:r w:rsidR="00E44CEE" w:rsidRPr="00515AA2">
        <w:rPr>
          <w:color w:val="000000"/>
          <w:lang w:val="en-CA"/>
        </w:rPr>
        <w:t xml:space="preserve">that </w:t>
      </w:r>
      <w:r w:rsidR="00875293" w:rsidRPr="00515AA2">
        <w:rPr>
          <w:color w:val="000000"/>
          <w:lang w:val="en-CA"/>
        </w:rPr>
        <w:t>appear</w:t>
      </w:r>
      <w:r w:rsidR="00E44CEE" w:rsidRPr="00515AA2">
        <w:rPr>
          <w:color w:val="000000"/>
          <w:lang w:val="en-CA"/>
        </w:rPr>
        <w:t>s</w:t>
      </w:r>
      <w:r w:rsidR="00875293" w:rsidRPr="00515AA2">
        <w:rPr>
          <w:color w:val="000000"/>
          <w:lang w:val="en-CA"/>
        </w:rPr>
        <w:t xml:space="preserve"> in their act of birth.</w:t>
      </w:r>
      <w:r w:rsidR="000F58BB" w:rsidRPr="00515AA2">
        <w:rPr>
          <w:color w:val="000000"/>
          <w:vertAlign w:val="superscript"/>
          <w:lang w:val="en-CA"/>
        </w:rPr>
        <w:footnoteReference w:id="68"/>
      </w:r>
      <w:r w:rsidR="00875293" w:rsidRPr="00515AA2">
        <w:rPr>
          <w:color w:val="000000"/>
          <w:lang w:val="en-CA"/>
        </w:rPr>
        <w:t xml:space="preserve"> He based </w:t>
      </w:r>
      <w:r w:rsidR="006F19FC" w:rsidRPr="00515AA2">
        <w:rPr>
          <w:color w:val="000000"/>
          <w:lang w:val="en-CA"/>
        </w:rPr>
        <w:t>h</w:t>
      </w:r>
      <w:r w:rsidR="00875293" w:rsidRPr="00515AA2">
        <w:rPr>
          <w:color w:val="000000"/>
          <w:lang w:val="en-CA"/>
        </w:rPr>
        <w:t xml:space="preserve">is conclusion on four </w:t>
      </w:r>
      <w:r w:rsidR="006F19FC" w:rsidRPr="00515AA2">
        <w:rPr>
          <w:color w:val="000000"/>
          <w:lang w:val="en-CA"/>
        </w:rPr>
        <w:t>grounds</w:t>
      </w:r>
      <w:r w:rsidR="000F58BB" w:rsidRPr="00515AA2">
        <w:rPr>
          <w:color w:val="000000"/>
          <w:lang w:val="en-CA"/>
        </w:rPr>
        <w:t xml:space="preserve">: </w:t>
      </w:r>
      <w:bookmarkStart w:id="35" w:name="_Hlk146538539"/>
      <w:r w:rsidR="000F58BB" w:rsidRPr="00515AA2">
        <w:rPr>
          <w:color w:val="000000"/>
          <w:lang w:val="en-CA"/>
        </w:rPr>
        <w:t xml:space="preserve">1) </w:t>
      </w:r>
      <w:r w:rsidR="00CB6A66" w:rsidRPr="00515AA2">
        <w:rPr>
          <w:color w:val="000000"/>
          <w:lang w:val="en-CA"/>
        </w:rPr>
        <w:t xml:space="preserve">the health professional’s declaration that the change is appropriate serves no useful purpose </w:t>
      </w:r>
      <w:r w:rsidR="006F19FC" w:rsidRPr="00515AA2">
        <w:rPr>
          <w:color w:val="000000"/>
          <w:lang w:val="en-CA"/>
        </w:rPr>
        <w:t>in achieving</w:t>
      </w:r>
      <w:r w:rsidR="00CB6A66" w:rsidRPr="00515AA2">
        <w:rPr>
          <w:color w:val="000000"/>
          <w:lang w:val="en-CA"/>
        </w:rPr>
        <w:t xml:space="preserve"> the legislative objective, because only the person concerned by the application is able to affirm or </w:t>
      </w:r>
      <w:r w:rsidR="00BA7E1E" w:rsidRPr="00515AA2">
        <w:rPr>
          <w:color w:val="000000"/>
          <w:lang w:val="en-CA"/>
        </w:rPr>
        <w:t>confirm</w:t>
      </w:r>
      <w:r w:rsidR="00CB6A66" w:rsidRPr="00515AA2">
        <w:rPr>
          <w:color w:val="000000"/>
          <w:lang w:val="en-CA"/>
        </w:rPr>
        <w:t xml:space="preserve"> their gender identity;</w:t>
      </w:r>
      <w:r w:rsidR="000F58BB" w:rsidRPr="00515AA2">
        <w:rPr>
          <w:color w:val="000000"/>
          <w:vertAlign w:val="superscript"/>
          <w:lang w:val="en-CA"/>
        </w:rPr>
        <w:footnoteReference w:id="69"/>
      </w:r>
      <w:r w:rsidR="00CB6A66" w:rsidRPr="00515AA2">
        <w:rPr>
          <w:color w:val="000000"/>
          <w:lang w:val="en-CA"/>
        </w:rPr>
        <w:t xml:space="preserve"> </w:t>
      </w:r>
      <w:r w:rsidR="000F58BB" w:rsidRPr="00515AA2">
        <w:rPr>
          <w:color w:val="000000"/>
          <w:lang w:val="en-CA"/>
        </w:rPr>
        <w:t xml:space="preserve">2) </w:t>
      </w:r>
      <w:r w:rsidR="00BA7E1E" w:rsidRPr="00515AA2">
        <w:rPr>
          <w:color w:val="000000"/>
          <w:lang w:val="en-CA"/>
        </w:rPr>
        <w:t>the legislative provision de</w:t>
      </w:r>
      <w:r w:rsidR="006F19FC" w:rsidRPr="00515AA2">
        <w:rPr>
          <w:color w:val="000000"/>
          <w:lang w:val="en-CA"/>
        </w:rPr>
        <w:t>nie</w:t>
      </w:r>
      <w:r w:rsidR="00BA7E1E" w:rsidRPr="00515AA2">
        <w:rPr>
          <w:color w:val="000000"/>
          <w:lang w:val="en-CA"/>
        </w:rPr>
        <w:t xml:space="preserve">s the minor the power </w:t>
      </w:r>
      <w:r w:rsidR="006F19FC" w:rsidRPr="00515AA2">
        <w:rPr>
          <w:color w:val="000000"/>
          <w:lang w:val="en-CA"/>
        </w:rPr>
        <w:t>to make</w:t>
      </w:r>
      <w:r w:rsidR="00BA7E1E" w:rsidRPr="00515AA2">
        <w:rPr>
          <w:color w:val="000000"/>
          <w:lang w:val="en-CA"/>
        </w:rPr>
        <w:t xml:space="preserve"> a decision </w:t>
      </w:r>
      <w:r w:rsidR="006F19FC" w:rsidRPr="00515AA2">
        <w:rPr>
          <w:color w:val="000000"/>
          <w:lang w:val="en-CA"/>
        </w:rPr>
        <w:t>which concern</w:t>
      </w:r>
      <w:r w:rsidR="00703522" w:rsidRPr="00515AA2">
        <w:rPr>
          <w:color w:val="000000"/>
          <w:lang w:val="en-CA"/>
        </w:rPr>
        <w:t>s</w:t>
      </w:r>
      <w:r w:rsidR="00BA7E1E" w:rsidRPr="00515AA2">
        <w:rPr>
          <w:color w:val="000000"/>
          <w:lang w:val="en-CA"/>
        </w:rPr>
        <w:t xml:space="preserve"> them by entrusting i</w:t>
      </w:r>
      <w:r w:rsidR="001652EE" w:rsidRPr="00515AA2">
        <w:rPr>
          <w:color w:val="000000"/>
          <w:lang w:val="en-CA"/>
        </w:rPr>
        <w:t>t</w:t>
      </w:r>
      <w:r w:rsidR="00BA7E1E" w:rsidRPr="00515AA2">
        <w:rPr>
          <w:color w:val="000000"/>
          <w:lang w:val="en-CA"/>
        </w:rPr>
        <w:t xml:space="preserve"> instead to the health professional</w:t>
      </w:r>
      <w:r w:rsidR="001E4035" w:rsidRPr="00515AA2">
        <w:rPr>
          <w:color w:val="000000"/>
          <w:lang w:val="en-CA"/>
        </w:rPr>
        <w:t xml:space="preserve"> </w:t>
      </w:r>
      <w:r w:rsidR="00BA7E1E" w:rsidRPr="00515AA2">
        <w:rPr>
          <w:color w:val="000000"/>
          <w:lang w:val="en-CA"/>
        </w:rPr>
        <w:t>who</w:t>
      </w:r>
      <w:r w:rsidR="004C006A" w:rsidRPr="00515AA2">
        <w:rPr>
          <w:color w:val="000000"/>
          <w:lang w:val="en-CA"/>
        </w:rPr>
        <w:t xml:space="preserve">, </w:t>
      </w:r>
      <w:r w:rsidR="00BA7E1E" w:rsidRPr="00515AA2">
        <w:rPr>
          <w:color w:val="000000"/>
          <w:lang w:val="en-CA"/>
        </w:rPr>
        <w:t>in many instances</w:t>
      </w:r>
      <w:r w:rsidR="004C006A" w:rsidRPr="00515AA2">
        <w:rPr>
          <w:color w:val="000000"/>
          <w:lang w:val="en-CA"/>
        </w:rPr>
        <w:t xml:space="preserve">, </w:t>
      </w:r>
      <w:r w:rsidR="00BA7E1E" w:rsidRPr="00515AA2">
        <w:rPr>
          <w:color w:val="000000"/>
          <w:lang w:val="en-CA"/>
        </w:rPr>
        <w:t>will only have</w:t>
      </w:r>
      <w:r w:rsidR="000F58BB" w:rsidRPr="00515AA2">
        <w:rPr>
          <w:color w:val="000000"/>
          <w:lang w:val="en-CA"/>
        </w:rPr>
        <w:t xml:space="preserve"> </w:t>
      </w:r>
      <w:r w:rsidR="00BA7E1E" w:rsidRPr="00515AA2">
        <w:rPr>
          <w:color w:val="000000"/>
          <w:lang w:val="en-CA"/>
        </w:rPr>
        <w:t>a fleeting acquaintance with them;</w:t>
      </w:r>
      <w:r w:rsidR="000F58BB" w:rsidRPr="00515AA2">
        <w:rPr>
          <w:color w:val="000000"/>
          <w:vertAlign w:val="superscript"/>
          <w:lang w:val="en-CA"/>
        </w:rPr>
        <w:footnoteReference w:id="70"/>
      </w:r>
      <w:r w:rsidR="00BA7E1E" w:rsidRPr="00515AA2">
        <w:rPr>
          <w:color w:val="000000"/>
          <w:lang w:val="en-CA"/>
        </w:rPr>
        <w:t xml:space="preserve"> </w:t>
      </w:r>
      <w:r w:rsidR="000F58BB" w:rsidRPr="00515AA2">
        <w:rPr>
          <w:color w:val="000000"/>
          <w:lang w:val="en-CA"/>
        </w:rPr>
        <w:t xml:space="preserve">3) </w:t>
      </w:r>
      <w:r w:rsidR="00BA7E1E" w:rsidRPr="00515AA2">
        <w:rPr>
          <w:color w:val="000000"/>
          <w:lang w:val="en-CA"/>
        </w:rPr>
        <w:t>the provision contradicts its enabling legislation by imposing medical treatment without regard to the 2013 legislative amendments,</w:t>
      </w:r>
      <w:r w:rsidR="000F58BB" w:rsidRPr="00515AA2">
        <w:rPr>
          <w:color w:val="000000"/>
          <w:vertAlign w:val="superscript"/>
          <w:lang w:val="en-CA"/>
        </w:rPr>
        <w:footnoteReference w:id="71"/>
      </w:r>
      <w:r w:rsidR="00246B6E" w:rsidRPr="00515AA2">
        <w:rPr>
          <w:color w:val="000000"/>
          <w:lang w:val="en-CA"/>
        </w:rPr>
        <w:t xml:space="preserve"> </w:t>
      </w:r>
      <w:r w:rsidR="00BA7E1E" w:rsidRPr="00515AA2">
        <w:rPr>
          <w:color w:val="000000"/>
          <w:lang w:val="en-CA"/>
        </w:rPr>
        <w:t>whereas nothing in the evidence suggests that being transgender is a health issue</w:t>
      </w:r>
      <w:r w:rsidR="00594E4D" w:rsidRPr="00515AA2">
        <w:rPr>
          <w:color w:val="000000"/>
          <w:lang w:val="en-CA"/>
        </w:rPr>
        <w:t xml:space="preserve">; </w:t>
      </w:r>
      <w:r w:rsidR="00BA7E1E" w:rsidRPr="00515AA2">
        <w:rPr>
          <w:color w:val="000000"/>
          <w:lang w:val="en-CA"/>
        </w:rPr>
        <w:t>and</w:t>
      </w:r>
      <w:r w:rsidR="00594E4D" w:rsidRPr="00515AA2">
        <w:rPr>
          <w:color w:val="000000"/>
          <w:lang w:val="en-CA"/>
        </w:rPr>
        <w:t xml:space="preserve">, </w:t>
      </w:r>
      <w:r w:rsidR="000F58BB" w:rsidRPr="00515AA2">
        <w:rPr>
          <w:color w:val="000000"/>
          <w:lang w:val="en-CA"/>
        </w:rPr>
        <w:t>4)</w:t>
      </w:r>
      <w:r w:rsidR="00C6429F" w:rsidRPr="00515AA2">
        <w:rPr>
          <w:color w:val="000000"/>
          <w:lang w:val="en-CA"/>
        </w:rPr>
        <w:t xml:space="preserve"> </w:t>
      </w:r>
      <w:r w:rsidR="00BA7E1E" w:rsidRPr="00515AA2">
        <w:rPr>
          <w:color w:val="000000"/>
          <w:lang w:val="en-CA"/>
        </w:rPr>
        <w:t>the</w:t>
      </w:r>
      <w:r w:rsidR="000F125E" w:rsidRPr="00515AA2">
        <w:rPr>
          <w:color w:val="000000"/>
          <w:lang w:val="en-CA"/>
        </w:rPr>
        <w:t xml:space="preserve"> </w:t>
      </w:r>
      <w:r w:rsidR="000F125E" w:rsidRPr="00515AA2">
        <w:rPr>
          <w:i/>
          <w:color w:val="000000"/>
          <w:lang w:val="en-CA"/>
        </w:rPr>
        <w:t>R</w:t>
      </w:r>
      <w:r w:rsidR="00BA7E1E" w:rsidRPr="00515AA2">
        <w:rPr>
          <w:i/>
          <w:color w:val="000000"/>
          <w:lang w:val="en-CA"/>
        </w:rPr>
        <w:t>e</w:t>
      </w:r>
      <w:r w:rsidR="000F125E" w:rsidRPr="00515AA2">
        <w:rPr>
          <w:i/>
          <w:color w:val="000000"/>
          <w:lang w:val="en-CA"/>
        </w:rPr>
        <w:t>g</w:t>
      </w:r>
      <w:r w:rsidR="00BA7E1E" w:rsidRPr="00515AA2">
        <w:rPr>
          <w:i/>
          <w:color w:val="000000"/>
          <w:lang w:val="en-CA"/>
        </w:rPr>
        <w:t>ulation</w:t>
      </w:r>
      <w:r w:rsidR="000F125E" w:rsidRPr="00515AA2">
        <w:rPr>
          <w:color w:val="000000"/>
          <w:lang w:val="en-CA"/>
        </w:rPr>
        <w:t xml:space="preserve"> </w:t>
      </w:r>
      <w:r w:rsidR="00230667" w:rsidRPr="00515AA2">
        <w:rPr>
          <w:color w:val="000000"/>
          <w:lang w:val="en-CA"/>
        </w:rPr>
        <w:t xml:space="preserve">does not provide any guidance as to the declaration’s contents, </w:t>
      </w:r>
      <w:r w:rsidR="006F19FC" w:rsidRPr="00515AA2">
        <w:rPr>
          <w:color w:val="000000"/>
          <w:lang w:val="en-CA"/>
        </w:rPr>
        <w:t>thereby</w:t>
      </w:r>
      <w:r w:rsidR="00230667" w:rsidRPr="00515AA2">
        <w:rPr>
          <w:color w:val="000000"/>
          <w:lang w:val="en-CA"/>
        </w:rPr>
        <w:t xml:space="preserve"> show</w:t>
      </w:r>
      <w:r w:rsidR="006F19FC" w:rsidRPr="00515AA2">
        <w:rPr>
          <w:color w:val="000000"/>
          <w:lang w:val="en-CA"/>
        </w:rPr>
        <w:t>ing</w:t>
      </w:r>
      <w:r w:rsidR="00230667" w:rsidRPr="00515AA2">
        <w:rPr>
          <w:color w:val="000000"/>
          <w:lang w:val="en-CA"/>
        </w:rPr>
        <w:t xml:space="preserve"> its limited usefulness.</w:t>
      </w:r>
      <w:r w:rsidR="000F58BB" w:rsidRPr="00515AA2">
        <w:rPr>
          <w:color w:val="000000"/>
          <w:vertAlign w:val="superscript"/>
          <w:lang w:val="en-CA"/>
        </w:rPr>
        <w:footnoteReference w:id="72"/>
      </w:r>
    </w:p>
    <w:bookmarkEnd w:id="35"/>
    <w:p w14:paraId="2AFB227D" w14:textId="2C1E80B5" w:rsidR="000F58BB" w:rsidRPr="00515AA2" w:rsidRDefault="001B1A39" w:rsidP="00F846E3">
      <w:pPr>
        <w:pStyle w:val="Paragraphe"/>
        <w:tabs>
          <w:tab w:val="clear" w:pos="360"/>
        </w:tabs>
        <w:spacing w:line="280" w:lineRule="exact"/>
        <w:rPr>
          <w:color w:val="000000"/>
          <w:lang w:val="en-CA"/>
        </w:rPr>
      </w:pPr>
      <w:r w:rsidRPr="00515AA2">
        <w:rPr>
          <w:color w:val="000000"/>
          <w:lang w:val="en-CA"/>
        </w:rPr>
        <w:lastRenderedPageBreak/>
        <w:t>In his opinion</w:t>
      </w:r>
      <w:r w:rsidR="00594E4D" w:rsidRPr="00515AA2">
        <w:rPr>
          <w:color w:val="000000"/>
          <w:lang w:val="en-CA"/>
        </w:rPr>
        <w:t>,</w:t>
      </w:r>
      <w:r w:rsidR="000F58BB" w:rsidRPr="00515AA2">
        <w:rPr>
          <w:color w:val="000000"/>
          <w:lang w:val="en-CA"/>
        </w:rPr>
        <w:t xml:space="preserve"> </w:t>
      </w:r>
      <w:r w:rsidRPr="00515AA2">
        <w:rPr>
          <w:color w:val="000000"/>
          <w:lang w:val="en-CA"/>
        </w:rPr>
        <w:t xml:space="preserve">requiring such a letter </w:t>
      </w:r>
      <w:r w:rsidR="00483A01" w:rsidRPr="00515AA2">
        <w:rPr>
          <w:color w:val="000000"/>
          <w:lang w:val="en-CA"/>
        </w:rPr>
        <w:t>wa</w:t>
      </w:r>
      <w:r w:rsidRPr="00515AA2">
        <w:rPr>
          <w:color w:val="000000"/>
          <w:lang w:val="en-CA"/>
        </w:rPr>
        <w:t>s not a minimal impairment of the protected rights</w:t>
      </w:r>
      <w:r w:rsidR="00483A01" w:rsidRPr="00515AA2">
        <w:rPr>
          <w:color w:val="000000"/>
          <w:lang w:val="en-CA"/>
        </w:rPr>
        <w:t>,</w:t>
      </w:r>
      <w:r w:rsidRPr="00515AA2">
        <w:rPr>
          <w:color w:val="000000"/>
          <w:lang w:val="en-CA"/>
        </w:rPr>
        <w:t xml:space="preserve"> since transgender minor</w:t>
      </w:r>
      <w:r w:rsidR="009F2EEB" w:rsidRPr="00515AA2">
        <w:rPr>
          <w:color w:val="000000"/>
          <w:lang w:val="en-CA"/>
        </w:rPr>
        <w:t>s</w:t>
      </w:r>
      <w:r w:rsidRPr="00515AA2">
        <w:rPr>
          <w:color w:val="000000"/>
          <w:lang w:val="en-CA"/>
        </w:rPr>
        <w:t xml:space="preserve"> who cannot find, afford, meet with, or confide in a health professional who is knowledgeable about the reality of transgender people will have their application</w:t>
      </w:r>
      <w:r w:rsidR="009F2EEB" w:rsidRPr="00515AA2">
        <w:rPr>
          <w:color w:val="000000"/>
          <w:lang w:val="en-CA"/>
        </w:rPr>
        <w:t>s</w:t>
      </w:r>
      <w:r w:rsidRPr="00515AA2">
        <w:rPr>
          <w:color w:val="000000"/>
          <w:lang w:val="en-CA"/>
        </w:rPr>
        <w:t xml:space="preserve"> rejected and their rights violated.</w:t>
      </w:r>
      <w:r w:rsidR="000F58BB" w:rsidRPr="00515AA2">
        <w:rPr>
          <w:color w:val="000000"/>
          <w:vertAlign w:val="superscript"/>
          <w:lang w:val="en-CA"/>
        </w:rPr>
        <w:footnoteReference w:id="73"/>
      </w:r>
      <w:r w:rsidRPr="00515AA2">
        <w:rPr>
          <w:color w:val="000000"/>
          <w:lang w:val="en-CA"/>
        </w:rPr>
        <w:t xml:space="preserve"> Moreover, the second paragraph of s.</w:t>
      </w:r>
      <w:r w:rsidR="009D5FF2" w:rsidRPr="00515AA2">
        <w:rPr>
          <w:color w:val="000000"/>
          <w:lang w:val="en-CA"/>
        </w:rPr>
        <w:t> </w:t>
      </w:r>
      <w:r w:rsidR="00FD2FCB" w:rsidRPr="00515AA2">
        <w:rPr>
          <w:color w:val="000000"/>
          <w:lang w:val="en-CA"/>
        </w:rPr>
        <w:t xml:space="preserve">23.2 </w:t>
      </w:r>
      <w:r w:rsidRPr="00515AA2">
        <w:rPr>
          <w:color w:val="000000"/>
          <w:lang w:val="en-CA"/>
        </w:rPr>
        <w:t xml:space="preserve">of the </w:t>
      </w:r>
      <w:r w:rsidR="00FD2FCB" w:rsidRPr="00515AA2">
        <w:rPr>
          <w:i/>
          <w:iCs/>
          <w:color w:val="000000"/>
          <w:lang w:val="en-CA"/>
        </w:rPr>
        <w:t>R</w:t>
      </w:r>
      <w:r w:rsidRPr="00515AA2">
        <w:rPr>
          <w:i/>
          <w:iCs/>
          <w:color w:val="000000"/>
          <w:lang w:val="en-CA"/>
        </w:rPr>
        <w:t>egulation</w:t>
      </w:r>
      <w:r w:rsidR="00FD2FCB" w:rsidRPr="00515AA2">
        <w:rPr>
          <w:color w:val="000000"/>
          <w:lang w:val="en-CA"/>
        </w:rPr>
        <w:t xml:space="preserve"> </w:t>
      </w:r>
      <w:r w:rsidRPr="00515AA2">
        <w:rPr>
          <w:color w:val="000000"/>
          <w:lang w:val="en-CA"/>
        </w:rPr>
        <w:t>complicates the recognition of their identity</w:t>
      </w:r>
      <w:r w:rsidR="009F2EEB" w:rsidRPr="00515AA2">
        <w:rPr>
          <w:color w:val="000000"/>
          <w:lang w:val="en-CA"/>
        </w:rPr>
        <w:t xml:space="preserve">, </w:t>
      </w:r>
      <w:r w:rsidR="00703522" w:rsidRPr="00515AA2">
        <w:rPr>
          <w:color w:val="000000"/>
          <w:lang w:val="en-CA"/>
        </w:rPr>
        <w:t xml:space="preserve">when </w:t>
      </w:r>
      <w:r w:rsidR="009F2EEB" w:rsidRPr="00515AA2">
        <w:rPr>
          <w:color w:val="000000"/>
          <w:lang w:val="en-CA"/>
        </w:rPr>
        <w:t>they are particularly vulnerable.</w:t>
      </w:r>
      <w:r w:rsidR="00FD2FCB" w:rsidRPr="00515AA2">
        <w:rPr>
          <w:rStyle w:val="Appelnotedebasdep"/>
          <w:color w:val="000000"/>
          <w:lang w:val="en-CA"/>
        </w:rPr>
        <w:footnoteReference w:id="74"/>
      </w:r>
      <w:r w:rsidR="009F2EEB" w:rsidRPr="00515AA2">
        <w:rPr>
          <w:color w:val="000000"/>
          <w:lang w:val="en-CA"/>
        </w:rPr>
        <w:t xml:space="preserve"> Further, the judge was of the view that the </w:t>
      </w:r>
      <w:r w:rsidR="002A0C93" w:rsidRPr="00515AA2">
        <w:rPr>
          <w:color w:val="000000"/>
          <w:lang w:val="en-CA"/>
        </w:rPr>
        <w:t xml:space="preserve">AGQ </w:t>
      </w:r>
      <w:r w:rsidR="009F2EEB" w:rsidRPr="00515AA2">
        <w:rPr>
          <w:color w:val="000000"/>
          <w:lang w:val="en-CA"/>
        </w:rPr>
        <w:t xml:space="preserve">had not shown how the requirements imposed on adults would be insufficient to demonstrate that </w:t>
      </w:r>
      <w:r w:rsidR="00E44CEE" w:rsidRPr="00515AA2">
        <w:rPr>
          <w:color w:val="000000"/>
          <w:lang w:val="en-CA"/>
        </w:rPr>
        <w:t xml:space="preserve">the undertaking by </w:t>
      </w:r>
      <w:r w:rsidR="009F2EEB" w:rsidRPr="00515AA2">
        <w:rPr>
          <w:color w:val="000000"/>
          <w:lang w:val="en-CA"/>
        </w:rPr>
        <w:t>transgender minor</w:t>
      </w:r>
      <w:r w:rsidR="00E44CEE" w:rsidRPr="00515AA2">
        <w:rPr>
          <w:color w:val="000000"/>
          <w:lang w:val="en-CA"/>
        </w:rPr>
        <w:t xml:space="preserve">s </w:t>
      </w:r>
      <w:r w:rsidR="009F2EEB" w:rsidRPr="00515AA2">
        <w:rPr>
          <w:color w:val="000000"/>
          <w:lang w:val="en-CA"/>
        </w:rPr>
        <w:t>w</w:t>
      </w:r>
      <w:r w:rsidR="00E44CEE" w:rsidRPr="00515AA2">
        <w:rPr>
          <w:color w:val="000000"/>
          <w:lang w:val="en-CA"/>
        </w:rPr>
        <w:t>as</w:t>
      </w:r>
      <w:r w:rsidR="009F2EEB" w:rsidRPr="00515AA2">
        <w:rPr>
          <w:color w:val="000000"/>
          <w:lang w:val="en-CA"/>
        </w:rPr>
        <w:t xml:space="preserve"> serious.</w:t>
      </w:r>
      <w:r w:rsidR="000F58BB" w:rsidRPr="00515AA2">
        <w:rPr>
          <w:color w:val="000000"/>
          <w:vertAlign w:val="superscript"/>
          <w:lang w:val="en-CA"/>
        </w:rPr>
        <w:footnoteReference w:id="75"/>
      </w:r>
    </w:p>
    <w:p w14:paraId="7F66ED99" w14:textId="46608231" w:rsidR="000F58BB" w:rsidRPr="00515AA2" w:rsidRDefault="009F2EEB" w:rsidP="00F846E3">
      <w:pPr>
        <w:pStyle w:val="Paragraphe"/>
        <w:tabs>
          <w:tab w:val="clear" w:pos="360"/>
        </w:tabs>
        <w:spacing w:line="280" w:lineRule="exact"/>
        <w:rPr>
          <w:color w:val="000000"/>
          <w:lang w:val="en-CA"/>
        </w:rPr>
      </w:pPr>
      <w:r w:rsidRPr="00515AA2">
        <w:rPr>
          <w:color w:val="000000"/>
          <w:lang w:val="en-CA"/>
        </w:rPr>
        <w:t>He therefore concluded that s</w:t>
      </w:r>
      <w:r w:rsidR="00451EA1" w:rsidRPr="00515AA2">
        <w:rPr>
          <w:color w:val="000000"/>
          <w:lang w:val="en-CA"/>
        </w:rPr>
        <w:t>ection</w:t>
      </w:r>
      <w:r w:rsidR="00594E4D" w:rsidRPr="00515AA2">
        <w:rPr>
          <w:color w:val="000000"/>
          <w:lang w:val="en-CA"/>
        </w:rPr>
        <w:t xml:space="preserve"> </w:t>
      </w:r>
      <w:r w:rsidR="00FD2FCB" w:rsidRPr="00515AA2">
        <w:rPr>
          <w:color w:val="000000"/>
          <w:lang w:val="en-CA"/>
        </w:rPr>
        <w:t xml:space="preserve">23.2 </w:t>
      </w:r>
      <w:r w:rsidRPr="00515AA2">
        <w:rPr>
          <w:color w:val="000000"/>
          <w:lang w:val="en-CA"/>
        </w:rPr>
        <w:t>of the</w:t>
      </w:r>
      <w:r w:rsidR="00FD2FCB" w:rsidRPr="00515AA2">
        <w:rPr>
          <w:color w:val="000000"/>
          <w:lang w:val="en-CA"/>
        </w:rPr>
        <w:t xml:space="preserve"> </w:t>
      </w:r>
      <w:r w:rsidR="00FD2FCB" w:rsidRPr="00515AA2">
        <w:rPr>
          <w:i/>
          <w:color w:val="000000"/>
          <w:lang w:val="en-CA"/>
        </w:rPr>
        <w:t>R</w:t>
      </w:r>
      <w:r w:rsidRPr="00515AA2">
        <w:rPr>
          <w:i/>
          <w:color w:val="000000"/>
          <w:lang w:val="en-CA"/>
        </w:rPr>
        <w:t>e</w:t>
      </w:r>
      <w:r w:rsidR="00FD2FCB" w:rsidRPr="00515AA2">
        <w:rPr>
          <w:i/>
          <w:color w:val="000000"/>
          <w:lang w:val="en-CA"/>
        </w:rPr>
        <w:t>g</w:t>
      </w:r>
      <w:r w:rsidRPr="00515AA2">
        <w:rPr>
          <w:i/>
          <w:color w:val="000000"/>
          <w:lang w:val="en-CA"/>
        </w:rPr>
        <w:t>ulation</w:t>
      </w:r>
      <w:r w:rsidR="00FD2FCB" w:rsidRPr="00515AA2">
        <w:rPr>
          <w:color w:val="000000"/>
          <w:lang w:val="en-CA"/>
        </w:rPr>
        <w:t xml:space="preserve"> </w:t>
      </w:r>
      <w:r w:rsidRPr="00515AA2">
        <w:rPr>
          <w:color w:val="000000"/>
          <w:lang w:val="en-CA"/>
        </w:rPr>
        <w:t>violate</w:t>
      </w:r>
      <w:r w:rsidR="00483A01" w:rsidRPr="00515AA2">
        <w:rPr>
          <w:color w:val="000000"/>
          <w:lang w:val="en-CA"/>
        </w:rPr>
        <w:t>d</w:t>
      </w:r>
      <w:r w:rsidRPr="00515AA2">
        <w:rPr>
          <w:color w:val="000000"/>
          <w:lang w:val="en-CA"/>
        </w:rPr>
        <w:t xml:space="preserve"> their dignity and equality rights</w:t>
      </w:r>
      <w:r w:rsidR="000963F7" w:rsidRPr="00515AA2">
        <w:rPr>
          <w:color w:val="000000"/>
          <w:lang w:val="en-CA"/>
        </w:rPr>
        <w:t xml:space="preserve"> </w:t>
      </w:r>
      <w:r w:rsidRPr="00515AA2">
        <w:rPr>
          <w:color w:val="000000"/>
          <w:lang w:val="en-CA"/>
        </w:rPr>
        <w:t xml:space="preserve">and that the infringement </w:t>
      </w:r>
      <w:r w:rsidR="00483A01" w:rsidRPr="00515AA2">
        <w:rPr>
          <w:color w:val="000000"/>
          <w:lang w:val="en-CA"/>
        </w:rPr>
        <w:t>wa</w:t>
      </w:r>
      <w:r w:rsidRPr="00515AA2">
        <w:rPr>
          <w:color w:val="000000"/>
          <w:lang w:val="en-CA"/>
        </w:rPr>
        <w:t>s not justified under s. 1 of the</w:t>
      </w:r>
      <w:r w:rsidR="000F58BB" w:rsidRPr="00515AA2">
        <w:rPr>
          <w:color w:val="000000"/>
          <w:lang w:val="en-CA"/>
        </w:rPr>
        <w:t xml:space="preserve"> </w:t>
      </w:r>
      <w:r w:rsidR="000F58BB" w:rsidRPr="00515AA2">
        <w:rPr>
          <w:i/>
          <w:color w:val="000000"/>
          <w:lang w:val="en-CA"/>
        </w:rPr>
        <w:t>C</w:t>
      </w:r>
      <w:r w:rsidR="006E0795" w:rsidRPr="00515AA2">
        <w:rPr>
          <w:i/>
          <w:color w:val="000000"/>
          <w:lang w:val="en-CA"/>
        </w:rPr>
        <w:t>anadian C</w:t>
      </w:r>
      <w:r w:rsidR="000F58BB" w:rsidRPr="00515AA2">
        <w:rPr>
          <w:i/>
          <w:color w:val="000000"/>
          <w:lang w:val="en-CA"/>
        </w:rPr>
        <w:t>harte</w:t>
      </w:r>
      <w:r w:rsidR="006E0795" w:rsidRPr="00515AA2">
        <w:rPr>
          <w:i/>
          <w:color w:val="000000"/>
          <w:lang w:val="en-CA"/>
        </w:rPr>
        <w:t>r</w:t>
      </w:r>
      <w:r w:rsidR="009F498B" w:rsidRPr="00515AA2">
        <w:rPr>
          <w:color w:val="000000"/>
          <w:lang w:val="en-CA"/>
        </w:rPr>
        <w:t xml:space="preserve">. </w:t>
      </w:r>
      <w:r w:rsidR="006E0795" w:rsidRPr="00515AA2">
        <w:rPr>
          <w:color w:val="000000"/>
          <w:lang w:val="en-CA"/>
        </w:rPr>
        <w:t>He therefore declared it invalid and of no force or effect</w:t>
      </w:r>
      <w:r w:rsidR="00E6177A" w:rsidRPr="00515AA2">
        <w:rPr>
          <w:color w:val="000000"/>
          <w:lang w:val="en-CA"/>
        </w:rPr>
        <w:t xml:space="preserve">. </w:t>
      </w:r>
      <w:r w:rsidR="006E0795" w:rsidRPr="00515AA2">
        <w:rPr>
          <w:color w:val="000000"/>
          <w:lang w:val="en-CA"/>
        </w:rPr>
        <w:t xml:space="preserve">After pointing out that </w:t>
      </w:r>
      <w:r w:rsidR="00451EA1" w:rsidRPr="00515AA2">
        <w:rPr>
          <w:color w:val="000000"/>
          <w:lang w:val="en-CA"/>
        </w:rPr>
        <w:t>section</w:t>
      </w:r>
      <w:r w:rsidR="0076197F" w:rsidRPr="00515AA2">
        <w:rPr>
          <w:color w:val="000000"/>
          <w:lang w:val="en-CA"/>
        </w:rPr>
        <w:t> </w:t>
      </w:r>
      <w:r w:rsidR="002213EA" w:rsidRPr="00515AA2">
        <w:rPr>
          <w:color w:val="000000"/>
          <w:lang w:val="en-CA"/>
        </w:rPr>
        <w:t xml:space="preserve">23.2 </w:t>
      </w:r>
      <w:r w:rsidR="006E0795" w:rsidRPr="00515AA2">
        <w:rPr>
          <w:color w:val="000000"/>
          <w:lang w:val="en-CA"/>
        </w:rPr>
        <w:t>of the</w:t>
      </w:r>
      <w:r w:rsidR="002213EA" w:rsidRPr="00515AA2">
        <w:rPr>
          <w:color w:val="000000"/>
          <w:lang w:val="en-CA"/>
        </w:rPr>
        <w:t xml:space="preserve"> </w:t>
      </w:r>
      <w:r w:rsidR="002213EA" w:rsidRPr="00515AA2">
        <w:rPr>
          <w:i/>
          <w:iCs/>
          <w:color w:val="000000"/>
          <w:lang w:val="en-CA"/>
        </w:rPr>
        <w:t>R</w:t>
      </w:r>
      <w:r w:rsidR="006E0795" w:rsidRPr="00515AA2">
        <w:rPr>
          <w:i/>
          <w:iCs/>
          <w:color w:val="000000"/>
          <w:lang w:val="en-CA"/>
        </w:rPr>
        <w:t>egulation</w:t>
      </w:r>
      <w:r w:rsidR="002213EA" w:rsidRPr="00515AA2">
        <w:rPr>
          <w:i/>
          <w:iCs/>
          <w:color w:val="000000"/>
          <w:lang w:val="en-CA"/>
        </w:rPr>
        <w:t xml:space="preserve"> </w:t>
      </w:r>
      <w:r w:rsidR="006E0795" w:rsidRPr="00515AA2">
        <w:rPr>
          <w:color w:val="000000"/>
          <w:lang w:val="en-CA"/>
        </w:rPr>
        <w:t>applie</w:t>
      </w:r>
      <w:r w:rsidR="00483A01" w:rsidRPr="00515AA2">
        <w:rPr>
          <w:color w:val="000000"/>
          <w:lang w:val="en-CA"/>
        </w:rPr>
        <w:t>d</w:t>
      </w:r>
      <w:r w:rsidR="006E0795" w:rsidRPr="00515AA2">
        <w:rPr>
          <w:color w:val="000000"/>
          <w:lang w:val="en-CA"/>
        </w:rPr>
        <w:t xml:space="preserve"> to all minors</w:t>
      </w:r>
      <w:r w:rsidR="002213EA" w:rsidRPr="00515AA2">
        <w:rPr>
          <w:color w:val="000000"/>
          <w:lang w:val="en-CA"/>
        </w:rPr>
        <w:t xml:space="preserve">, </w:t>
      </w:r>
      <w:r w:rsidR="006E0795" w:rsidRPr="00515AA2">
        <w:rPr>
          <w:color w:val="000000"/>
          <w:lang w:val="en-CA"/>
        </w:rPr>
        <w:t>he noted that the concerns</w:t>
      </w:r>
      <w:r w:rsidR="002213EA" w:rsidRPr="00515AA2">
        <w:rPr>
          <w:color w:val="000000"/>
          <w:lang w:val="en-CA"/>
        </w:rPr>
        <w:t xml:space="preserve"> </w:t>
      </w:r>
      <w:r w:rsidR="006E0795" w:rsidRPr="00515AA2">
        <w:rPr>
          <w:color w:val="000000"/>
          <w:lang w:val="en-CA"/>
        </w:rPr>
        <w:t xml:space="preserve">raised with regard to the </w:t>
      </w:r>
      <w:r w:rsidR="001652EE" w:rsidRPr="00515AA2">
        <w:rPr>
          <w:color w:val="000000"/>
          <w:lang w:val="en-CA"/>
        </w:rPr>
        <w:t xml:space="preserve">designated </w:t>
      </w:r>
      <w:r w:rsidR="006E0795" w:rsidRPr="00515AA2">
        <w:rPr>
          <w:color w:val="000000"/>
          <w:lang w:val="en-CA"/>
        </w:rPr>
        <w:t xml:space="preserve">professional’s </w:t>
      </w:r>
      <w:r w:rsidR="001652EE" w:rsidRPr="00515AA2">
        <w:rPr>
          <w:color w:val="000000"/>
          <w:lang w:val="en-CA"/>
        </w:rPr>
        <w:t xml:space="preserve">confirmation </w:t>
      </w:r>
      <w:r w:rsidR="006E0795" w:rsidRPr="00515AA2">
        <w:rPr>
          <w:color w:val="000000"/>
          <w:lang w:val="en-CA"/>
        </w:rPr>
        <w:t xml:space="preserve">letter only </w:t>
      </w:r>
      <w:r w:rsidR="00483A01" w:rsidRPr="00515AA2">
        <w:rPr>
          <w:color w:val="000000"/>
          <w:lang w:val="en-CA"/>
        </w:rPr>
        <w:t>involved</w:t>
      </w:r>
      <w:r w:rsidR="006E0795" w:rsidRPr="00515AA2">
        <w:rPr>
          <w:color w:val="000000"/>
          <w:lang w:val="en-CA"/>
        </w:rPr>
        <w:t xml:space="preserve"> minors 14 years of age or over.</w:t>
      </w:r>
      <w:r w:rsidR="002213EA" w:rsidRPr="00515AA2">
        <w:rPr>
          <w:color w:val="000000"/>
          <w:lang w:val="en-CA"/>
        </w:rPr>
        <w:t xml:space="preserve"> </w:t>
      </w:r>
      <w:r w:rsidR="006E0795" w:rsidRPr="00515AA2">
        <w:rPr>
          <w:color w:val="000000"/>
          <w:lang w:val="en-CA"/>
        </w:rPr>
        <w:t>He suspended the declaration of invalidity until December</w:t>
      </w:r>
      <w:r w:rsidR="000F58BB" w:rsidRPr="00515AA2">
        <w:rPr>
          <w:color w:val="000000"/>
          <w:lang w:val="en-CA"/>
        </w:rPr>
        <w:t xml:space="preserve"> 31</w:t>
      </w:r>
      <w:r w:rsidR="006E0795" w:rsidRPr="00515AA2">
        <w:rPr>
          <w:color w:val="000000"/>
          <w:lang w:val="en-CA"/>
        </w:rPr>
        <w:t>,</w:t>
      </w:r>
      <w:r w:rsidR="000F58BB" w:rsidRPr="00515AA2">
        <w:rPr>
          <w:color w:val="000000"/>
          <w:lang w:val="en-CA"/>
        </w:rPr>
        <w:t> </w:t>
      </w:r>
      <w:r w:rsidR="00451EA1" w:rsidRPr="00515AA2">
        <w:rPr>
          <w:color w:val="000000"/>
          <w:lang w:val="en-CA"/>
        </w:rPr>
        <w:t>2021,</w:t>
      </w:r>
      <w:r w:rsidR="000F58BB" w:rsidRPr="00515AA2">
        <w:rPr>
          <w:color w:val="000000"/>
          <w:lang w:val="en-CA"/>
        </w:rPr>
        <w:t xml:space="preserve"> </w:t>
      </w:r>
      <w:r w:rsidR="006E0795" w:rsidRPr="00515AA2">
        <w:rPr>
          <w:color w:val="000000"/>
          <w:lang w:val="en-CA"/>
        </w:rPr>
        <w:t xml:space="preserve">to allow </w:t>
      </w:r>
      <w:r w:rsidR="00C8650A" w:rsidRPr="00515AA2">
        <w:rPr>
          <w:color w:val="000000"/>
          <w:lang w:val="en-CA"/>
        </w:rPr>
        <w:t xml:space="preserve">the legislator time to develop an alternative means </w:t>
      </w:r>
      <w:r w:rsidR="00483A01" w:rsidRPr="00515AA2">
        <w:rPr>
          <w:color w:val="000000"/>
          <w:lang w:val="en-CA"/>
        </w:rPr>
        <w:t>of</w:t>
      </w:r>
      <w:r w:rsidR="00C8650A" w:rsidRPr="00515AA2">
        <w:rPr>
          <w:color w:val="000000"/>
          <w:lang w:val="en-CA"/>
        </w:rPr>
        <w:t xml:space="preserve"> ensur</w:t>
      </w:r>
      <w:r w:rsidR="00483A01" w:rsidRPr="00515AA2">
        <w:rPr>
          <w:color w:val="000000"/>
          <w:lang w:val="en-CA"/>
        </w:rPr>
        <w:t>ing</w:t>
      </w:r>
      <w:r w:rsidR="00C8650A" w:rsidRPr="00515AA2">
        <w:rPr>
          <w:color w:val="000000"/>
          <w:lang w:val="en-CA"/>
        </w:rPr>
        <w:t xml:space="preserve"> that applicants aged </w:t>
      </w:r>
      <w:r w:rsidR="009D5FF2" w:rsidRPr="00515AA2">
        <w:rPr>
          <w:color w:val="000000"/>
          <w:lang w:val="en-CA"/>
        </w:rPr>
        <w:t xml:space="preserve">14 </w:t>
      </w:r>
      <w:r w:rsidR="00C8650A" w:rsidRPr="00515AA2">
        <w:rPr>
          <w:color w:val="000000"/>
          <w:lang w:val="en-CA"/>
        </w:rPr>
        <w:t xml:space="preserve">to </w:t>
      </w:r>
      <w:r w:rsidR="009D5FF2" w:rsidRPr="00515AA2">
        <w:rPr>
          <w:color w:val="000000"/>
          <w:lang w:val="en-CA"/>
        </w:rPr>
        <w:t xml:space="preserve">17 </w:t>
      </w:r>
      <w:r w:rsidR="00C8650A" w:rsidRPr="00515AA2">
        <w:rPr>
          <w:color w:val="000000"/>
          <w:lang w:val="en-CA"/>
        </w:rPr>
        <w:t>are serious in their desire to correct the designation of sex appearing on their act of birth to conform to their gender identity.</w:t>
      </w:r>
      <w:r w:rsidR="000F58BB" w:rsidRPr="00515AA2">
        <w:rPr>
          <w:color w:val="000000"/>
          <w:vertAlign w:val="superscript"/>
          <w:lang w:val="en-CA"/>
        </w:rPr>
        <w:footnoteReference w:id="76"/>
      </w:r>
    </w:p>
    <w:p w14:paraId="2AB5FEC5" w14:textId="1C79BF53" w:rsidR="00C67E3E" w:rsidRPr="00515AA2" w:rsidRDefault="006875CF" w:rsidP="00F846E3">
      <w:pPr>
        <w:pStyle w:val="Titre3"/>
        <w:numPr>
          <w:ilvl w:val="0"/>
          <w:numId w:val="0"/>
        </w:numPr>
        <w:spacing w:line="280" w:lineRule="exact"/>
        <w:rPr>
          <w:color w:val="000000"/>
          <w:lang w:val="en-CA"/>
        </w:rPr>
      </w:pPr>
      <w:bookmarkStart w:id="36" w:name="_Toc161830105"/>
      <w:r w:rsidRPr="00515AA2">
        <w:rPr>
          <w:color w:val="000000"/>
          <w:lang w:val="en-CA"/>
        </w:rPr>
        <w:t>2.</w:t>
      </w:r>
      <w:r w:rsidRPr="00515AA2">
        <w:rPr>
          <w:color w:val="000000"/>
          <w:lang w:val="en-CA"/>
        </w:rPr>
        <w:tab/>
      </w:r>
      <w:r w:rsidR="000A79F0" w:rsidRPr="00515AA2">
        <w:rPr>
          <w:color w:val="000000"/>
          <w:lang w:val="en-CA"/>
        </w:rPr>
        <w:t xml:space="preserve">On </w:t>
      </w:r>
      <w:r w:rsidR="00483A01" w:rsidRPr="00515AA2">
        <w:rPr>
          <w:color w:val="000000"/>
          <w:lang w:val="en-CA"/>
        </w:rPr>
        <w:t>P</w:t>
      </w:r>
      <w:r w:rsidR="000A79F0" w:rsidRPr="00515AA2">
        <w:rPr>
          <w:color w:val="000000"/>
          <w:lang w:val="en-CA"/>
        </w:rPr>
        <w:t xml:space="preserve">arental </w:t>
      </w:r>
      <w:r w:rsidR="00483A01" w:rsidRPr="00515AA2">
        <w:rPr>
          <w:color w:val="000000"/>
          <w:lang w:val="en-CA"/>
        </w:rPr>
        <w:t>O</w:t>
      </w:r>
      <w:r w:rsidR="000A79F0" w:rsidRPr="00515AA2">
        <w:rPr>
          <w:color w:val="000000"/>
          <w:lang w:val="en-CA"/>
        </w:rPr>
        <w:t xml:space="preserve">bjection to the </w:t>
      </w:r>
      <w:r w:rsidR="00483A01" w:rsidRPr="00515AA2">
        <w:rPr>
          <w:color w:val="000000"/>
          <w:lang w:val="en-CA"/>
        </w:rPr>
        <w:t>C</w:t>
      </w:r>
      <w:r w:rsidR="000A79F0" w:rsidRPr="00515AA2">
        <w:rPr>
          <w:color w:val="000000"/>
          <w:lang w:val="en-CA"/>
        </w:rPr>
        <w:t xml:space="preserve">hange of </w:t>
      </w:r>
      <w:r w:rsidR="00483A01" w:rsidRPr="00515AA2">
        <w:rPr>
          <w:color w:val="000000"/>
          <w:lang w:val="en-CA"/>
        </w:rPr>
        <w:t>N</w:t>
      </w:r>
      <w:r w:rsidR="000A79F0" w:rsidRPr="00515AA2">
        <w:rPr>
          <w:color w:val="000000"/>
          <w:lang w:val="en-CA"/>
        </w:rPr>
        <w:t>ame</w:t>
      </w:r>
      <w:r w:rsidR="00B04E02" w:rsidRPr="00515AA2">
        <w:rPr>
          <w:color w:val="000000"/>
          <w:lang w:val="en-CA"/>
        </w:rPr>
        <w:t xml:space="preserve"> (article</w:t>
      </w:r>
      <w:r w:rsidR="0076197F" w:rsidRPr="00515AA2">
        <w:rPr>
          <w:color w:val="000000"/>
          <w:lang w:val="en-CA"/>
        </w:rPr>
        <w:t> </w:t>
      </w:r>
      <w:r w:rsidR="00B04E02" w:rsidRPr="00515AA2">
        <w:rPr>
          <w:color w:val="000000"/>
          <w:lang w:val="en-CA"/>
        </w:rPr>
        <w:t>6</w:t>
      </w:r>
      <w:r w:rsidR="00DA7DDD" w:rsidRPr="00515AA2">
        <w:rPr>
          <w:color w:val="000000"/>
          <w:lang w:val="en-CA"/>
        </w:rPr>
        <w:t>2 C.</w:t>
      </w:r>
      <w:r w:rsidR="000A79F0" w:rsidRPr="00515AA2">
        <w:rPr>
          <w:color w:val="000000"/>
          <w:lang w:val="en-CA"/>
        </w:rPr>
        <w:t>C</w:t>
      </w:r>
      <w:r w:rsidR="00B04E02" w:rsidRPr="00515AA2">
        <w:rPr>
          <w:color w:val="000000"/>
          <w:lang w:val="en-CA"/>
        </w:rPr>
        <w:t>.Q.)</w:t>
      </w:r>
      <w:bookmarkEnd w:id="36"/>
    </w:p>
    <w:p w14:paraId="22FB8C88" w14:textId="717CBBDB" w:rsidR="00ED2819" w:rsidRPr="00515AA2" w:rsidRDefault="00B21D55" w:rsidP="00F846E3">
      <w:pPr>
        <w:pStyle w:val="Paragraphe"/>
        <w:tabs>
          <w:tab w:val="clear" w:pos="360"/>
        </w:tabs>
        <w:spacing w:line="280" w:lineRule="exact"/>
        <w:rPr>
          <w:color w:val="000000"/>
          <w:lang w:val="en-CA"/>
        </w:rPr>
      </w:pPr>
      <w:r w:rsidRPr="00515AA2">
        <w:rPr>
          <w:color w:val="000000"/>
          <w:lang w:val="en-CA"/>
        </w:rPr>
        <w:t xml:space="preserve">In </w:t>
      </w:r>
      <w:r w:rsidR="00DC15E9" w:rsidRPr="00515AA2">
        <w:rPr>
          <w:color w:val="000000"/>
          <w:lang w:val="en-CA"/>
        </w:rPr>
        <w:t>the judge’s</w:t>
      </w:r>
      <w:r w:rsidRPr="00515AA2">
        <w:rPr>
          <w:color w:val="000000"/>
          <w:lang w:val="en-CA"/>
        </w:rPr>
        <w:t xml:space="preserve"> view, a parent’s right to object to the application for change of their child’s name</w:t>
      </w:r>
      <w:r w:rsidR="000F58BB" w:rsidRPr="00515AA2">
        <w:rPr>
          <w:color w:val="000000"/>
          <w:lang w:val="en-CA"/>
        </w:rPr>
        <w:t xml:space="preserve"> </w:t>
      </w:r>
      <w:r w:rsidRPr="00515AA2">
        <w:rPr>
          <w:color w:val="000000"/>
          <w:lang w:val="en-CA"/>
        </w:rPr>
        <w:t>is not discriminatory within the meaning of s</w:t>
      </w:r>
      <w:r w:rsidR="00451EA1" w:rsidRPr="00515AA2">
        <w:rPr>
          <w:color w:val="000000"/>
          <w:lang w:val="en-CA"/>
        </w:rPr>
        <w:t>ection</w:t>
      </w:r>
      <w:r w:rsidRPr="00515AA2">
        <w:rPr>
          <w:color w:val="000000"/>
          <w:lang w:val="en-CA"/>
        </w:rPr>
        <w:t xml:space="preserve"> </w:t>
      </w:r>
      <w:r w:rsidR="000F58BB" w:rsidRPr="00515AA2">
        <w:rPr>
          <w:color w:val="000000"/>
          <w:lang w:val="en-CA"/>
        </w:rPr>
        <w:t xml:space="preserve">15 </w:t>
      </w:r>
      <w:r w:rsidRPr="00515AA2">
        <w:rPr>
          <w:color w:val="000000"/>
          <w:lang w:val="en-CA"/>
        </w:rPr>
        <w:t>of the</w:t>
      </w:r>
      <w:r w:rsidR="000F58BB" w:rsidRPr="00515AA2">
        <w:rPr>
          <w:color w:val="000000"/>
          <w:lang w:val="en-CA"/>
        </w:rPr>
        <w:t xml:space="preserve"> </w:t>
      </w:r>
      <w:r w:rsidR="000F58BB" w:rsidRPr="00515AA2">
        <w:rPr>
          <w:i/>
          <w:color w:val="000000"/>
          <w:lang w:val="en-CA"/>
        </w:rPr>
        <w:t>C</w:t>
      </w:r>
      <w:r w:rsidRPr="00515AA2">
        <w:rPr>
          <w:i/>
          <w:color w:val="000000"/>
          <w:lang w:val="en-CA"/>
        </w:rPr>
        <w:t>anadian C</w:t>
      </w:r>
      <w:r w:rsidR="000F58BB" w:rsidRPr="00515AA2">
        <w:rPr>
          <w:i/>
          <w:color w:val="000000"/>
          <w:lang w:val="en-CA"/>
        </w:rPr>
        <w:t>harte</w:t>
      </w:r>
      <w:r w:rsidRPr="00515AA2">
        <w:rPr>
          <w:i/>
          <w:color w:val="000000"/>
          <w:lang w:val="en-CA"/>
        </w:rPr>
        <w:t>r</w:t>
      </w:r>
      <w:r w:rsidR="000F58BB" w:rsidRPr="00515AA2">
        <w:rPr>
          <w:i/>
          <w:color w:val="000000"/>
          <w:lang w:val="en-CA"/>
        </w:rPr>
        <w:t xml:space="preserve"> </w:t>
      </w:r>
      <w:r w:rsidRPr="00515AA2">
        <w:rPr>
          <w:color w:val="000000"/>
          <w:lang w:val="en-CA"/>
        </w:rPr>
        <w:t xml:space="preserve">even </w:t>
      </w:r>
      <w:r w:rsidR="00DC15E9" w:rsidRPr="00515AA2">
        <w:rPr>
          <w:color w:val="000000"/>
          <w:lang w:val="en-CA"/>
        </w:rPr>
        <w:t>though</w:t>
      </w:r>
      <w:r w:rsidR="00483A01" w:rsidRPr="00515AA2">
        <w:rPr>
          <w:color w:val="000000"/>
          <w:lang w:val="en-CA"/>
        </w:rPr>
        <w:t xml:space="preserve"> </w:t>
      </w:r>
      <w:r w:rsidR="00D01589" w:rsidRPr="00515AA2">
        <w:rPr>
          <w:color w:val="000000"/>
          <w:lang w:val="en-CA"/>
        </w:rPr>
        <w:t>art</w:t>
      </w:r>
      <w:r w:rsidR="00451EA1" w:rsidRPr="00515AA2">
        <w:rPr>
          <w:color w:val="000000"/>
          <w:lang w:val="en-CA"/>
        </w:rPr>
        <w:t>icle</w:t>
      </w:r>
      <w:r w:rsidR="0076197F" w:rsidRPr="00515AA2">
        <w:rPr>
          <w:color w:val="000000"/>
          <w:lang w:val="en-CA"/>
        </w:rPr>
        <w:t> </w:t>
      </w:r>
      <w:r w:rsidR="00ED2819" w:rsidRPr="00515AA2">
        <w:rPr>
          <w:color w:val="000000"/>
          <w:lang w:val="en-CA"/>
        </w:rPr>
        <w:t xml:space="preserve">62 </w:t>
      </w:r>
      <w:r w:rsidR="00DA7DDD" w:rsidRPr="00515AA2">
        <w:rPr>
          <w:i/>
          <w:color w:val="000000"/>
          <w:lang w:val="en-CA"/>
        </w:rPr>
        <w:t>C.</w:t>
      </w:r>
      <w:r w:rsidR="00D01589" w:rsidRPr="00515AA2">
        <w:rPr>
          <w:i/>
          <w:color w:val="000000"/>
          <w:lang w:val="en-CA"/>
        </w:rPr>
        <w:t>C</w:t>
      </w:r>
      <w:r w:rsidR="00ED2819" w:rsidRPr="00515AA2">
        <w:rPr>
          <w:i/>
          <w:color w:val="000000"/>
          <w:lang w:val="en-CA"/>
        </w:rPr>
        <w:t>.Q.</w:t>
      </w:r>
      <w:r w:rsidR="00AC48A4" w:rsidRPr="00515AA2">
        <w:rPr>
          <w:rStyle w:val="Appelnotedebasdep"/>
          <w:iCs/>
          <w:color w:val="000000"/>
          <w:lang w:val="en-CA"/>
        </w:rPr>
        <w:footnoteReference w:id="77"/>
      </w:r>
      <w:r w:rsidR="000F58BB" w:rsidRPr="00515AA2">
        <w:rPr>
          <w:color w:val="000000"/>
          <w:lang w:val="en-CA"/>
        </w:rPr>
        <w:t xml:space="preserve"> </w:t>
      </w:r>
      <w:r w:rsidR="00D01589" w:rsidRPr="00515AA2">
        <w:rPr>
          <w:color w:val="000000"/>
          <w:lang w:val="en-CA"/>
        </w:rPr>
        <w:t xml:space="preserve">creates a distinction based on age because youth between </w:t>
      </w:r>
      <w:r w:rsidR="00483A01" w:rsidRPr="00515AA2">
        <w:rPr>
          <w:color w:val="000000"/>
          <w:lang w:val="en-CA"/>
        </w:rPr>
        <w:t xml:space="preserve">the ages of </w:t>
      </w:r>
      <w:r w:rsidR="009D5FF2" w:rsidRPr="00515AA2">
        <w:rPr>
          <w:color w:val="000000"/>
          <w:lang w:val="en-CA"/>
        </w:rPr>
        <w:t xml:space="preserve">14 </w:t>
      </w:r>
      <w:r w:rsidR="00D01589" w:rsidRPr="00515AA2">
        <w:rPr>
          <w:color w:val="000000"/>
          <w:lang w:val="en-CA"/>
        </w:rPr>
        <w:t xml:space="preserve">and </w:t>
      </w:r>
      <w:r w:rsidR="009D5FF2" w:rsidRPr="00515AA2">
        <w:rPr>
          <w:color w:val="000000"/>
          <w:lang w:val="en-CA"/>
        </w:rPr>
        <w:t xml:space="preserve">17 </w:t>
      </w:r>
      <w:r w:rsidR="00D01589" w:rsidRPr="00515AA2">
        <w:rPr>
          <w:color w:val="000000"/>
          <w:lang w:val="en-CA"/>
        </w:rPr>
        <w:t>are treated differently from adults and</w:t>
      </w:r>
      <w:r w:rsidR="00483A01" w:rsidRPr="00515AA2">
        <w:rPr>
          <w:color w:val="000000"/>
          <w:lang w:val="en-CA"/>
        </w:rPr>
        <w:t xml:space="preserve"> even though</w:t>
      </w:r>
      <w:r w:rsidR="00D01589" w:rsidRPr="00515AA2">
        <w:rPr>
          <w:color w:val="000000"/>
          <w:lang w:val="en-CA"/>
        </w:rPr>
        <w:t xml:space="preserve"> it leads </w:t>
      </w:r>
      <w:r w:rsidR="00D01589" w:rsidRPr="00515AA2">
        <w:rPr>
          <w:color w:val="000000"/>
          <w:lang w:val="en-CA"/>
        </w:rPr>
        <w:lastRenderedPageBreak/>
        <w:t xml:space="preserve">to a distinction between </w:t>
      </w:r>
      <w:r w:rsidR="00DC15E9" w:rsidRPr="00515AA2">
        <w:rPr>
          <w:color w:val="000000"/>
          <w:lang w:val="en-CA"/>
        </w:rPr>
        <w:t>minors</w:t>
      </w:r>
      <w:r w:rsidR="00D01589" w:rsidRPr="00515AA2">
        <w:rPr>
          <w:color w:val="000000"/>
          <w:lang w:val="en-CA"/>
        </w:rPr>
        <w:t xml:space="preserve"> whose parents object to the change of name </w:t>
      </w:r>
      <w:r w:rsidR="00DC15E9" w:rsidRPr="00515AA2">
        <w:rPr>
          <w:color w:val="000000"/>
          <w:lang w:val="en-CA"/>
        </w:rPr>
        <w:t>and</w:t>
      </w:r>
      <w:r w:rsidR="00D01589" w:rsidRPr="00515AA2">
        <w:rPr>
          <w:color w:val="000000"/>
          <w:lang w:val="en-CA"/>
        </w:rPr>
        <w:t xml:space="preserve"> those whose parents do not.</w:t>
      </w:r>
      <w:r w:rsidR="000F58BB" w:rsidRPr="00515AA2">
        <w:rPr>
          <w:color w:val="000000"/>
          <w:vertAlign w:val="superscript"/>
          <w:lang w:val="en-CA"/>
        </w:rPr>
        <w:footnoteReference w:id="78"/>
      </w:r>
    </w:p>
    <w:p w14:paraId="155AF0D1" w14:textId="7030A1CC" w:rsidR="009F498B" w:rsidRPr="00515AA2" w:rsidRDefault="00DC15E9" w:rsidP="00F846E3">
      <w:pPr>
        <w:pStyle w:val="Paragraphe"/>
        <w:tabs>
          <w:tab w:val="clear" w:pos="360"/>
        </w:tabs>
        <w:spacing w:line="280" w:lineRule="exact"/>
        <w:rPr>
          <w:color w:val="000000"/>
          <w:lang w:val="en-CA"/>
        </w:rPr>
      </w:pPr>
      <w:r w:rsidRPr="00515AA2">
        <w:rPr>
          <w:color w:val="000000"/>
          <w:lang w:val="en-CA"/>
        </w:rPr>
        <w:t xml:space="preserve">He found it possible for a transgender minor to circumvent </w:t>
      </w:r>
      <w:r w:rsidR="00703522" w:rsidRPr="00515AA2">
        <w:rPr>
          <w:color w:val="000000"/>
          <w:lang w:val="en-CA"/>
        </w:rPr>
        <w:t>any parental</w:t>
      </w:r>
      <w:r w:rsidRPr="00515AA2">
        <w:rPr>
          <w:color w:val="000000"/>
          <w:lang w:val="en-CA"/>
        </w:rPr>
        <w:t xml:space="preserve"> objection</w:t>
      </w:r>
      <w:r w:rsidR="00210FE9" w:rsidRPr="00515AA2">
        <w:rPr>
          <w:color w:val="000000"/>
          <w:lang w:val="en-CA"/>
        </w:rPr>
        <w:t>.</w:t>
      </w:r>
      <w:r w:rsidR="000F58BB" w:rsidRPr="00515AA2">
        <w:rPr>
          <w:color w:val="000000"/>
          <w:vertAlign w:val="superscript"/>
          <w:lang w:val="en-CA"/>
        </w:rPr>
        <w:footnoteReference w:id="79"/>
      </w:r>
      <w:r w:rsidR="00210FE9" w:rsidRPr="00515AA2">
        <w:rPr>
          <w:color w:val="000000"/>
          <w:lang w:val="en-CA"/>
        </w:rPr>
        <w:t xml:space="preserve"> First, because art</w:t>
      </w:r>
      <w:r w:rsidR="00451EA1" w:rsidRPr="00515AA2">
        <w:rPr>
          <w:color w:val="000000"/>
          <w:lang w:val="en-CA"/>
        </w:rPr>
        <w:t>icle</w:t>
      </w:r>
      <w:r w:rsidR="0076197F" w:rsidRPr="00515AA2">
        <w:rPr>
          <w:color w:val="000000"/>
          <w:lang w:val="en-CA"/>
        </w:rPr>
        <w:t> </w:t>
      </w:r>
      <w:r w:rsidR="001927BB" w:rsidRPr="00515AA2">
        <w:rPr>
          <w:color w:val="000000"/>
          <w:lang w:val="en-CA"/>
        </w:rPr>
        <w:t xml:space="preserve">62 </w:t>
      </w:r>
      <w:r w:rsidR="00DA7DDD" w:rsidRPr="00515AA2">
        <w:rPr>
          <w:i/>
          <w:color w:val="000000"/>
          <w:lang w:val="en-CA"/>
        </w:rPr>
        <w:t>C.</w:t>
      </w:r>
      <w:r w:rsidR="00210FE9" w:rsidRPr="00515AA2">
        <w:rPr>
          <w:i/>
          <w:color w:val="000000"/>
          <w:lang w:val="en-CA"/>
        </w:rPr>
        <w:t>C</w:t>
      </w:r>
      <w:r w:rsidR="001927BB" w:rsidRPr="00515AA2">
        <w:rPr>
          <w:i/>
          <w:color w:val="000000"/>
          <w:lang w:val="en-CA"/>
        </w:rPr>
        <w:t>.Q.</w:t>
      </w:r>
      <w:r w:rsidR="001927BB" w:rsidRPr="00515AA2">
        <w:rPr>
          <w:color w:val="000000"/>
          <w:lang w:val="en-CA"/>
        </w:rPr>
        <w:t xml:space="preserve"> </w:t>
      </w:r>
      <w:r w:rsidR="00703522" w:rsidRPr="00515AA2">
        <w:rPr>
          <w:color w:val="000000"/>
          <w:lang w:val="en-CA"/>
        </w:rPr>
        <w:t xml:space="preserve">allows </w:t>
      </w:r>
      <w:r w:rsidR="0077019F" w:rsidRPr="00515AA2">
        <w:rPr>
          <w:color w:val="000000"/>
          <w:lang w:val="en-CA"/>
        </w:rPr>
        <w:t xml:space="preserve">them to request permission not to notify </w:t>
      </w:r>
      <w:r w:rsidR="00210FE9" w:rsidRPr="00515AA2">
        <w:rPr>
          <w:color w:val="000000"/>
          <w:lang w:val="en-CA"/>
        </w:rPr>
        <w:t xml:space="preserve">their parents of their application to change their name and to request that </w:t>
      </w:r>
      <w:r w:rsidR="00703522" w:rsidRPr="00515AA2">
        <w:rPr>
          <w:color w:val="000000"/>
          <w:lang w:val="en-CA"/>
        </w:rPr>
        <w:t>any parental</w:t>
      </w:r>
      <w:r w:rsidR="00210FE9" w:rsidRPr="00515AA2">
        <w:rPr>
          <w:color w:val="000000"/>
          <w:lang w:val="en-CA"/>
        </w:rPr>
        <w:t xml:space="preserve"> objection be disregarded</w:t>
      </w:r>
      <w:r w:rsidR="001927BB" w:rsidRPr="00515AA2">
        <w:rPr>
          <w:color w:val="000000"/>
          <w:lang w:val="en-CA"/>
        </w:rPr>
        <w:t xml:space="preserve">. </w:t>
      </w:r>
      <w:r w:rsidR="0077019F" w:rsidRPr="00515AA2">
        <w:rPr>
          <w:color w:val="000000"/>
          <w:lang w:val="en-CA"/>
        </w:rPr>
        <w:t>Second</w:t>
      </w:r>
      <w:r w:rsidR="00210FE9" w:rsidRPr="00515AA2">
        <w:rPr>
          <w:color w:val="000000"/>
          <w:lang w:val="en-CA"/>
        </w:rPr>
        <w:t>, because</w:t>
      </w:r>
      <w:r w:rsidR="00483A01" w:rsidRPr="00515AA2">
        <w:rPr>
          <w:color w:val="000000"/>
          <w:lang w:val="en-CA"/>
        </w:rPr>
        <w:t>,</w:t>
      </w:r>
      <w:r w:rsidR="00210FE9" w:rsidRPr="00515AA2">
        <w:rPr>
          <w:color w:val="000000"/>
          <w:lang w:val="en-CA"/>
        </w:rPr>
        <w:t xml:space="preserve"> </w:t>
      </w:r>
      <w:r w:rsidR="00483A01" w:rsidRPr="00515AA2">
        <w:rPr>
          <w:color w:val="000000"/>
          <w:lang w:val="en-CA"/>
        </w:rPr>
        <w:t>for a</w:t>
      </w:r>
      <w:r w:rsidR="00210FE9" w:rsidRPr="00515AA2">
        <w:rPr>
          <w:color w:val="000000"/>
          <w:lang w:val="en-CA"/>
        </w:rPr>
        <w:t xml:space="preserve"> compelling reason</w:t>
      </w:r>
      <w:r w:rsidR="0077019F" w:rsidRPr="00515AA2">
        <w:rPr>
          <w:color w:val="000000"/>
          <w:lang w:val="en-CA"/>
        </w:rPr>
        <w:t>,</w:t>
      </w:r>
      <w:r w:rsidR="00210FE9" w:rsidRPr="00515AA2">
        <w:rPr>
          <w:color w:val="000000"/>
          <w:lang w:val="en-CA"/>
        </w:rPr>
        <w:t xml:space="preserve"> the registrar of civil status can evaluate their application on its </w:t>
      </w:r>
      <w:r w:rsidR="0077019F" w:rsidRPr="00515AA2">
        <w:rPr>
          <w:color w:val="000000"/>
          <w:lang w:val="en-CA"/>
        </w:rPr>
        <w:t xml:space="preserve">merits </w:t>
      </w:r>
      <w:r w:rsidR="00210FE9" w:rsidRPr="00515AA2">
        <w:rPr>
          <w:color w:val="000000"/>
          <w:lang w:val="en-CA"/>
        </w:rPr>
        <w:t>without the parents having been notified and notwithstanding their objection</w:t>
      </w:r>
      <w:r w:rsidR="00F4314F" w:rsidRPr="00515AA2">
        <w:rPr>
          <w:color w:val="000000"/>
          <w:lang w:val="en-CA"/>
        </w:rPr>
        <w:t>.</w:t>
      </w:r>
      <w:r w:rsidR="001927BB" w:rsidRPr="00515AA2">
        <w:rPr>
          <w:color w:val="000000"/>
          <w:lang w:val="en-CA"/>
        </w:rPr>
        <w:t xml:space="preserve"> </w:t>
      </w:r>
      <w:r w:rsidR="00210FE9" w:rsidRPr="00515AA2">
        <w:rPr>
          <w:color w:val="000000"/>
          <w:lang w:val="en-CA"/>
        </w:rPr>
        <w:t>Moreover</w:t>
      </w:r>
      <w:r w:rsidR="00D24427" w:rsidRPr="00515AA2">
        <w:rPr>
          <w:color w:val="000000"/>
          <w:lang w:val="en-CA"/>
        </w:rPr>
        <w:t xml:space="preserve">, </w:t>
      </w:r>
      <w:r w:rsidR="00210FE9" w:rsidRPr="00515AA2">
        <w:rPr>
          <w:color w:val="000000"/>
          <w:lang w:val="en-CA"/>
        </w:rPr>
        <w:t>art</w:t>
      </w:r>
      <w:r w:rsidR="00E924BE" w:rsidRPr="00515AA2">
        <w:rPr>
          <w:color w:val="000000"/>
          <w:lang w:val="en-CA"/>
        </w:rPr>
        <w:t>icle</w:t>
      </w:r>
      <w:r w:rsidR="0076197F" w:rsidRPr="00515AA2">
        <w:rPr>
          <w:color w:val="000000"/>
          <w:lang w:val="en-CA"/>
        </w:rPr>
        <w:t> </w:t>
      </w:r>
      <w:r w:rsidR="001927BB" w:rsidRPr="00515AA2">
        <w:rPr>
          <w:color w:val="000000"/>
          <w:lang w:val="en-CA"/>
        </w:rPr>
        <w:t xml:space="preserve">66.1 </w:t>
      </w:r>
      <w:r w:rsidR="00DA7DDD" w:rsidRPr="00515AA2">
        <w:rPr>
          <w:i/>
          <w:color w:val="000000"/>
          <w:lang w:val="en-CA"/>
        </w:rPr>
        <w:t>C.</w:t>
      </w:r>
      <w:r w:rsidR="00210FE9" w:rsidRPr="00515AA2">
        <w:rPr>
          <w:i/>
          <w:color w:val="000000"/>
          <w:lang w:val="en-CA"/>
        </w:rPr>
        <w:t>C</w:t>
      </w:r>
      <w:r w:rsidR="00ED2819" w:rsidRPr="00515AA2">
        <w:rPr>
          <w:i/>
          <w:color w:val="000000"/>
          <w:lang w:val="en-CA"/>
        </w:rPr>
        <w:t>.Q.</w:t>
      </w:r>
      <w:r w:rsidR="00ED2819" w:rsidRPr="00515AA2">
        <w:rPr>
          <w:color w:val="000000"/>
          <w:lang w:val="en-CA"/>
        </w:rPr>
        <w:t xml:space="preserve"> </w:t>
      </w:r>
      <w:r w:rsidR="00210FE9" w:rsidRPr="00515AA2">
        <w:rPr>
          <w:color w:val="000000"/>
          <w:lang w:val="en-CA"/>
        </w:rPr>
        <w:t xml:space="preserve">allows a minor who anticipates </w:t>
      </w:r>
      <w:r w:rsidR="00703522" w:rsidRPr="00515AA2">
        <w:rPr>
          <w:color w:val="000000"/>
          <w:lang w:val="en-CA"/>
        </w:rPr>
        <w:t xml:space="preserve">that </w:t>
      </w:r>
      <w:r w:rsidR="00210FE9" w:rsidRPr="00515AA2">
        <w:rPr>
          <w:color w:val="000000"/>
          <w:lang w:val="en-CA"/>
        </w:rPr>
        <w:t xml:space="preserve">their parents </w:t>
      </w:r>
      <w:r w:rsidR="00703522" w:rsidRPr="00515AA2">
        <w:rPr>
          <w:color w:val="000000"/>
          <w:lang w:val="en-CA"/>
        </w:rPr>
        <w:t xml:space="preserve">will </w:t>
      </w:r>
      <w:r w:rsidR="00210FE9" w:rsidRPr="00515AA2">
        <w:rPr>
          <w:color w:val="000000"/>
          <w:lang w:val="en-CA"/>
        </w:rPr>
        <w:t xml:space="preserve">object to file their application to change their name with the court instead of the registrar of civil status, in which case the objection will be subject to cross-examination and </w:t>
      </w:r>
      <w:r w:rsidR="00703522" w:rsidRPr="00515AA2">
        <w:rPr>
          <w:color w:val="000000"/>
          <w:lang w:val="en-CA"/>
        </w:rPr>
        <w:t>may be dismissed</w:t>
      </w:r>
      <w:r w:rsidR="001927BB" w:rsidRPr="00515AA2">
        <w:rPr>
          <w:color w:val="000000"/>
          <w:lang w:val="en-CA"/>
        </w:rPr>
        <w:t xml:space="preserve">. </w:t>
      </w:r>
      <w:r w:rsidR="00210FE9" w:rsidRPr="00515AA2">
        <w:rPr>
          <w:color w:val="000000"/>
          <w:lang w:val="en-CA"/>
        </w:rPr>
        <w:t>Finally</w:t>
      </w:r>
      <w:r w:rsidR="001927BB" w:rsidRPr="00515AA2">
        <w:rPr>
          <w:color w:val="000000"/>
          <w:lang w:val="en-CA"/>
        </w:rPr>
        <w:t xml:space="preserve">, </w:t>
      </w:r>
      <w:r w:rsidR="00210FE9" w:rsidRPr="00515AA2">
        <w:rPr>
          <w:color w:val="000000"/>
          <w:lang w:val="en-CA"/>
        </w:rPr>
        <w:t>art</w:t>
      </w:r>
      <w:r w:rsidR="00E924BE" w:rsidRPr="00515AA2">
        <w:rPr>
          <w:color w:val="000000"/>
          <w:lang w:val="en-CA"/>
        </w:rPr>
        <w:t>icle</w:t>
      </w:r>
      <w:r w:rsidR="00210FE9" w:rsidRPr="00515AA2">
        <w:rPr>
          <w:color w:val="000000"/>
          <w:lang w:val="en-CA"/>
        </w:rPr>
        <w:t xml:space="preserve"> </w:t>
      </w:r>
      <w:r w:rsidR="001927BB" w:rsidRPr="00515AA2">
        <w:rPr>
          <w:color w:val="000000"/>
          <w:lang w:val="en-CA"/>
        </w:rPr>
        <w:t xml:space="preserve">74 </w:t>
      </w:r>
      <w:r w:rsidR="00DA7DDD" w:rsidRPr="00515AA2">
        <w:rPr>
          <w:i/>
          <w:color w:val="000000"/>
          <w:lang w:val="en-CA"/>
        </w:rPr>
        <w:t>C.</w:t>
      </w:r>
      <w:r w:rsidR="0077019F" w:rsidRPr="00515AA2">
        <w:rPr>
          <w:i/>
          <w:color w:val="000000"/>
          <w:lang w:val="en-CA"/>
        </w:rPr>
        <w:t>C</w:t>
      </w:r>
      <w:r w:rsidR="001927BB" w:rsidRPr="00515AA2">
        <w:rPr>
          <w:i/>
          <w:color w:val="000000"/>
          <w:lang w:val="en-CA"/>
        </w:rPr>
        <w:t>.Q.</w:t>
      </w:r>
      <w:r w:rsidR="001927BB" w:rsidRPr="00515AA2">
        <w:rPr>
          <w:color w:val="000000"/>
          <w:lang w:val="en-CA"/>
        </w:rPr>
        <w:t xml:space="preserve"> </w:t>
      </w:r>
      <w:r w:rsidR="00210FE9" w:rsidRPr="00515AA2">
        <w:rPr>
          <w:color w:val="000000"/>
          <w:lang w:val="en-CA"/>
        </w:rPr>
        <w:t>expressly provides that decisions by the registrar of civil status may be reviewed by the court</w:t>
      </w:r>
      <w:r w:rsidR="001927BB" w:rsidRPr="00515AA2">
        <w:rPr>
          <w:color w:val="000000"/>
          <w:lang w:val="en-CA"/>
        </w:rPr>
        <w:t>.</w:t>
      </w:r>
    </w:p>
    <w:p w14:paraId="48456953" w14:textId="79DBC0D8" w:rsidR="00ED3EC2" w:rsidRPr="00515AA2" w:rsidRDefault="001652EE" w:rsidP="00F846E3">
      <w:pPr>
        <w:pStyle w:val="Paragraphe"/>
        <w:tabs>
          <w:tab w:val="clear" w:pos="360"/>
        </w:tabs>
        <w:spacing w:line="280" w:lineRule="exact"/>
        <w:rPr>
          <w:color w:val="000000"/>
          <w:lang w:val="en-CA"/>
        </w:rPr>
      </w:pPr>
      <w:r w:rsidRPr="00515AA2">
        <w:rPr>
          <w:color w:val="000000"/>
          <w:lang w:val="en-CA"/>
        </w:rPr>
        <w:t>The judge</w:t>
      </w:r>
      <w:r w:rsidR="0077019F" w:rsidRPr="00515AA2">
        <w:rPr>
          <w:color w:val="000000"/>
          <w:lang w:val="en-CA"/>
        </w:rPr>
        <w:t xml:space="preserve"> also noted the lack of evidence that an</w:t>
      </w:r>
      <w:r w:rsidR="00703522" w:rsidRPr="00515AA2">
        <w:rPr>
          <w:color w:val="000000"/>
          <w:lang w:val="en-CA"/>
        </w:rPr>
        <w:t>y</w:t>
      </w:r>
      <w:r w:rsidR="0077019F" w:rsidRPr="00515AA2">
        <w:rPr>
          <w:color w:val="000000"/>
          <w:lang w:val="en-CA"/>
        </w:rPr>
        <w:t xml:space="preserve"> application for a change of name would have been denied on the ground</w:t>
      </w:r>
      <w:r w:rsidR="00A7309A" w:rsidRPr="00515AA2">
        <w:rPr>
          <w:color w:val="000000"/>
          <w:lang w:val="en-CA"/>
        </w:rPr>
        <w:t>s</w:t>
      </w:r>
      <w:r w:rsidR="0077019F" w:rsidRPr="00515AA2">
        <w:rPr>
          <w:color w:val="000000"/>
          <w:lang w:val="en-CA"/>
        </w:rPr>
        <w:t xml:space="preserve"> of the parents’ objection.</w:t>
      </w:r>
      <w:r w:rsidR="001927BB" w:rsidRPr="00515AA2">
        <w:rPr>
          <w:color w:val="000000"/>
          <w:vertAlign w:val="superscript"/>
          <w:lang w:val="en-CA"/>
        </w:rPr>
        <w:footnoteReference w:id="80"/>
      </w:r>
    </w:p>
    <w:p w14:paraId="274B0364" w14:textId="29EB5699" w:rsidR="001927BB" w:rsidRPr="00515AA2" w:rsidRDefault="0077019F" w:rsidP="00F846E3">
      <w:pPr>
        <w:pStyle w:val="Paragraphe"/>
        <w:spacing w:line="280" w:lineRule="exact"/>
        <w:rPr>
          <w:color w:val="000000"/>
          <w:lang w:val="en-CA"/>
        </w:rPr>
      </w:pPr>
      <w:r w:rsidRPr="00515AA2">
        <w:rPr>
          <w:color w:val="000000"/>
          <w:lang w:val="en-CA"/>
        </w:rPr>
        <w:t>He therefore concluded that the respondents had failed to demonstrate that art</w:t>
      </w:r>
      <w:r w:rsidR="00E924BE" w:rsidRPr="00515AA2">
        <w:rPr>
          <w:color w:val="000000"/>
          <w:lang w:val="en-CA"/>
        </w:rPr>
        <w:t>icle</w:t>
      </w:r>
      <w:r w:rsidRPr="00515AA2">
        <w:rPr>
          <w:color w:val="000000"/>
          <w:lang w:val="en-CA"/>
        </w:rPr>
        <w:t xml:space="preserve"> 62 </w:t>
      </w:r>
      <w:r w:rsidRPr="00515AA2">
        <w:rPr>
          <w:i/>
          <w:iCs/>
          <w:color w:val="000000"/>
          <w:lang w:val="en-CA"/>
        </w:rPr>
        <w:t>C.C.Q.</w:t>
      </w:r>
      <w:r w:rsidR="000F58BB" w:rsidRPr="00515AA2">
        <w:rPr>
          <w:color w:val="000000"/>
          <w:lang w:val="en-CA"/>
        </w:rPr>
        <w:t xml:space="preserve"> </w:t>
      </w:r>
      <w:r w:rsidR="00E13847" w:rsidRPr="00515AA2">
        <w:rPr>
          <w:color w:val="000000"/>
          <w:lang w:val="en-CA"/>
        </w:rPr>
        <w:t>ha</w:t>
      </w:r>
      <w:r w:rsidR="00A7309A" w:rsidRPr="00515AA2">
        <w:rPr>
          <w:color w:val="000000"/>
          <w:lang w:val="en-CA"/>
        </w:rPr>
        <w:t>d</w:t>
      </w:r>
      <w:r w:rsidR="00E13847" w:rsidRPr="00515AA2">
        <w:rPr>
          <w:color w:val="000000"/>
          <w:lang w:val="en-CA"/>
        </w:rPr>
        <w:t xml:space="preserve"> a discriminatory impact on transgender youth</w:t>
      </w:r>
      <w:r w:rsidR="00897A58" w:rsidRPr="00515AA2">
        <w:rPr>
          <w:color w:val="000000"/>
          <w:lang w:val="en-CA"/>
        </w:rPr>
        <w:t xml:space="preserve"> </w:t>
      </w:r>
      <w:r w:rsidR="00E13847" w:rsidRPr="00515AA2">
        <w:rPr>
          <w:color w:val="000000"/>
          <w:lang w:val="en-CA"/>
        </w:rPr>
        <w:t>who wish to change their name without changing the designation of their sex in their act of birth</w:t>
      </w:r>
      <w:r w:rsidR="001927BB" w:rsidRPr="00515AA2">
        <w:rPr>
          <w:color w:val="000000"/>
          <w:lang w:val="en-CA"/>
        </w:rPr>
        <w:t>.</w:t>
      </w:r>
    </w:p>
    <w:p w14:paraId="64CD52E7" w14:textId="77777777" w:rsidR="001652EE" w:rsidRPr="00515AA2" w:rsidRDefault="001652EE" w:rsidP="009A51C4">
      <w:pPr>
        <w:pStyle w:val="Titre1"/>
        <w:rPr>
          <w:color w:val="000000"/>
        </w:rPr>
      </w:pPr>
      <w:bookmarkStart w:id="38" w:name="_Toc161830106"/>
      <w:r w:rsidRPr="00515AA2">
        <w:rPr>
          <w:color w:val="000000"/>
        </w:rPr>
        <w:t>ISSUES IN DISPUTE</w:t>
      </w:r>
      <w:bookmarkEnd w:id="38"/>
    </w:p>
    <w:p w14:paraId="33F2595C" w14:textId="4F28F574" w:rsidR="001652EE" w:rsidRPr="00515AA2" w:rsidRDefault="001652EE" w:rsidP="0088498D">
      <w:pPr>
        <w:pStyle w:val="PRINCIPALAPPEAL"/>
        <w:rPr>
          <w:color w:val="000000"/>
        </w:rPr>
      </w:pPr>
      <w:bookmarkStart w:id="39" w:name="_Toc161830107"/>
      <w:r w:rsidRPr="00515AA2">
        <w:rPr>
          <w:color w:val="000000"/>
        </w:rPr>
        <w:t xml:space="preserve">A. </w:t>
      </w:r>
      <w:r w:rsidR="004C5ECB" w:rsidRPr="00515AA2">
        <w:rPr>
          <w:color w:val="000000"/>
        </w:rPr>
        <w:t xml:space="preserve"> </w:t>
      </w:r>
      <w:r w:rsidRPr="00515AA2">
        <w:rPr>
          <w:color w:val="000000"/>
        </w:rPr>
        <w:t>Principal Appeal</w:t>
      </w:r>
      <w:bookmarkEnd w:id="39"/>
    </w:p>
    <w:p w14:paraId="24907906" w14:textId="0A311FB9" w:rsidR="00016EAA" w:rsidRPr="00515AA2" w:rsidRDefault="00E13847" w:rsidP="00F846E3">
      <w:pPr>
        <w:pStyle w:val="Paragraphe"/>
        <w:spacing w:line="280" w:lineRule="exact"/>
        <w:rPr>
          <w:color w:val="000000"/>
          <w:lang w:val="en-CA"/>
        </w:rPr>
      </w:pPr>
      <w:r w:rsidRPr="00515AA2">
        <w:rPr>
          <w:color w:val="000000"/>
          <w:lang w:val="en-CA"/>
        </w:rPr>
        <w:t>The AGQ raises two issues in its principal appeal, divided in various sub-issues that can be restated as follows</w:t>
      </w:r>
      <w:r w:rsidR="00016EAA" w:rsidRPr="00515AA2">
        <w:rPr>
          <w:color w:val="000000"/>
          <w:lang w:val="en-CA"/>
        </w:rPr>
        <w:t>:</w:t>
      </w:r>
    </w:p>
    <w:p w14:paraId="3DEF3ADE" w14:textId="466FC151" w:rsidR="00B651DB" w:rsidRPr="00515AA2" w:rsidRDefault="00B651DB" w:rsidP="00D84C5B">
      <w:pPr>
        <w:pStyle w:val="Paragraphe"/>
        <w:numPr>
          <w:ilvl w:val="4"/>
          <w:numId w:val="13"/>
        </w:numPr>
        <w:spacing w:line="280" w:lineRule="exact"/>
        <w:rPr>
          <w:b/>
          <w:bCs/>
          <w:color w:val="000000"/>
          <w:lang w:val="en-CA"/>
        </w:rPr>
      </w:pPr>
      <w:r w:rsidRPr="00515AA2">
        <w:rPr>
          <w:b/>
          <w:bCs/>
          <w:color w:val="000000"/>
          <w:lang w:val="en-CA"/>
        </w:rPr>
        <w:t xml:space="preserve">Did the trial judge err in his interpretation of s. 23.2 of the </w:t>
      </w:r>
      <w:r w:rsidRPr="00515AA2">
        <w:rPr>
          <w:b/>
          <w:bCs/>
          <w:i/>
          <w:color w:val="000000"/>
          <w:lang w:val="en-CA"/>
        </w:rPr>
        <w:t>Regulation</w:t>
      </w:r>
      <w:r w:rsidRPr="00515AA2">
        <w:rPr>
          <w:b/>
          <w:bCs/>
          <w:iCs/>
          <w:color w:val="000000"/>
          <w:lang w:val="en-CA"/>
        </w:rPr>
        <w:t>?</w:t>
      </w:r>
    </w:p>
    <w:p w14:paraId="1DB21C56" w14:textId="3927C9A6" w:rsidR="00B651DB" w:rsidRPr="00515AA2" w:rsidRDefault="00B651DB" w:rsidP="00D84C5B">
      <w:pPr>
        <w:pStyle w:val="Paragraphedeliste"/>
        <w:numPr>
          <w:ilvl w:val="1"/>
          <w:numId w:val="17"/>
        </w:numPr>
        <w:spacing w:before="120" w:after="120"/>
        <w:ind w:right="720"/>
        <w:jc w:val="both"/>
        <w:rPr>
          <w:iCs/>
          <w:color w:val="000000"/>
          <w:kern w:val="24"/>
          <w:szCs w:val="22"/>
          <w:lang w:val="en-CA"/>
        </w:rPr>
      </w:pPr>
      <w:bookmarkStart w:id="40" w:name="_Hlk146540967"/>
      <w:r w:rsidRPr="00515AA2">
        <w:rPr>
          <w:iCs/>
          <w:color w:val="000000"/>
          <w:kern w:val="24"/>
          <w:szCs w:val="22"/>
          <w:lang w:val="en-CA"/>
        </w:rPr>
        <w:t xml:space="preserve">In failing to read s. 23.1 and paragraph 2 of s. 23.2 of the </w:t>
      </w:r>
      <w:r w:rsidRPr="00515AA2">
        <w:rPr>
          <w:i/>
          <w:color w:val="000000"/>
          <w:kern w:val="24"/>
          <w:szCs w:val="22"/>
          <w:lang w:val="en-CA"/>
        </w:rPr>
        <w:t>Regulation</w:t>
      </w:r>
      <w:r w:rsidRPr="00515AA2">
        <w:rPr>
          <w:iCs/>
          <w:color w:val="000000"/>
          <w:kern w:val="24"/>
          <w:szCs w:val="22"/>
          <w:lang w:val="en-CA"/>
        </w:rPr>
        <w:t xml:space="preserve"> together?</w:t>
      </w:r>
    </w:p>
    <w:p w14:paraId="54F5BFDF" w14:textId="77777777" w:rsidR="00B651DB" w:rsidRPr="00515AA2" w:rsidRDefault="00B651DB" w:rsidP="00F846E3">
      <w:pPr>
        <w:spacing w:before="120" w:after="120"/>
        <w:ind w:left="2160" w:right="720" w:hanging="742"/>
        <w:jc w:val="both"/>
        <w:rPr>
          <w:iCs/>
          <w:color w:val="000000"/>
          <w:kern w:val="24"/>
          <w:szCs w:val="22"/>
          <w:lang w:val="en-CA"/>
        </w:rPr>
      </w:pPr>
      <w:r w:rsidRPr="00515AA2">
        <w:rPr>
          <w:iCs/>
          <w:color w:val="000000"/>
          <w:kern w:val="24"/>
          <w:szCs w:val="22"/>
          <w:lang w:val="en-CA"/>
        </w:rPr>
        <w:t>1.2</w:t>
      </w:r>
      <w:r w:rsidRPr="00515AA2">
        <w:rPr>
          <w:iCs/>
          <w:color w:val="000000"/>
          <w:kern w:val="24"/>
          <w:szCs w:val="22"/>
          <w:lang w:val="en-CA"/>
        </w:rPr>
        <w:tab/>
        <w:t xml:space="preserve">In interpreting the condition of having “evaluated or followed the child” contained in paragraph 2 of s. 23.2 of the </w:t>
      </w:r>
      <w:r w:rsidRPr="00515AA2">
        <w:rPr>
          <w:i/>
          <w:color w:val="000000"/>
          <w:kern w:val="24"/>
          <w:szCs w:val="22"/>
          <w:lang w:val="en-CA"/>
        </w:rPr>
        <w:t>Regulation</w:t>
      </w:r>
      <w:r w:rsidRPr="00515AA2">
        <w:rPr>
          <w:iCs/>
          <w:color w:val="000000"/>
          <w:kern w:val="24"/>
          <w:szCs w:val="22"/>
          <w:lang w:val="en-CA"/>
        </w:rPr>
        <w:t xml:space="preserve"> as being in the nature of a medical treatment?</w:t>
      </w:r>
    </w:p>
    <w:p w14:paraId="72CEA36D" w14:textId="2B63EB3D" w:rsidR="00B651DB" w:rsidRPr="00515AA2" w:rsidRDefault="00B651DB" w:rsidP="00F846E3">
      <w:pPr>
        <w:spacing w:before="120" w:after="120"/>
        <w:ind w:left="2160" w:right="720" w:hanging="742"/>
        <w:jc w:val="both"/>
        <w:rPr>
          <w:iCs/>
          <w:color w:val="000000"/>
          <w:kern w:val="24"/>
          <w:szCs w:val="22"/>
          <w:lang w:val="en-CA"/>
        </w:rPr>
      </w:pPr>
      <w:r w:rsidRPr="00515AA2">
        <w:rPr>
          <w:iCs/>
          <w:color w:val="000000"/>
          <w:kern w:val="24"/>
          <w:szCs w:val="22"/>
          <w:lang w:val="en-CA"/>
        </w:rPr>
        <w:t>1.3</w:t>
      </w:r>
      <w:r w:rsidRPr="00515AA2">
        <w:rPr>
          <w:iCs/>
          <w:color w:val="000000"/>
          <w:kern w:val="24"/>
          <w:szCs w:val="22"/>
          <w:lang w:val="en-CA"/>
        </w:rPr>
        <w:tab/>
        <w:t xml:space="preserve">In reading into paragraph 2 of s. 23.2 of the </w:t>
      </w:r>
      <w:r w:rsidRPr="00515AA2">
        <w:rPr>
          <w:i/>
          <w:color w:val="000000"/>
          <w:kern w:val="24"/>
          <w:szCs w:val="22"/>
          <w:lang w:val="en-CA"/>
        </w:rPr>
        <w:t xml:space="preserve">Regulation </w:t>
      </w:r>
      <w:r w:rsidRPr="00515AA2">
        <w:rPr>
          <w:iCs/>
          <w:color w:val="000000"/>
          <w:kern w:val="24"/>
          <w:szCs w:val="22"/>
          <w:lang w:val="en-CA"/>
        </w:rPr>
        <w:t xml:space="preserve">a requirement that the professional be </w:t>
      </w:r>
      <w:r w:rsidR="00AD1037" w:rsidRPr="00515AA2">
        <w:rPr>
          <w:iCs/>
          <w:color w:val="000000"/>
          <w:kern w:val="24"/>
          <w:szCs w:val="22"/>
          <w:lang w:val="en-CA"/>
        </w:rPr>
        <w:t>knowledgeable about</w:t>
      </w:r>
      <w:r w:rsidRPr="00515AA2">
        <w:rPr>
          <w:iCs/>
          <w:color w:val="000000"/>
          <w:kern w:val="24"/>
          <w:szCs w:val="22"/>
          <w:lang w:val="en-CA"/>
        </w:rPr>
        <w:t xml:space="preserve"> transgender and non-binary reality?</w:t>
      </w:r>
    </w:p>
    <w:bookmarkEnd w:id="40"/>
    <w:p w14:paraId="7C608F7E" w14:textId="2275F90D" w:rsidR="00B651DB" w:rsidRPr="00515AA2" w:rsidRDefault="00B651DB" w:rsidP="00D84C5B">
      <w:pPr>
        <w:pStyle w:val="Paragraphe"/>
        <w:numPr>
          <w:ilvl w:val="4"/>
          <w:numId w:val="13"/>
        </w:numPr>
        <w:spacing w:line="280" w:lineRule="exact"/>
        <w:rPr>
          <w:b/>
          <w:bCs/>
          <w:color w:val="000000"/>
          <w:lang w:val="en-CA"/>
        </w:rPr>
      </w:pPr>
      <w:r w:rsidRPr="00515AA2">
        <w:rPr>
          <w:b/>
          <w:bCs/>
          <w:color w:val="000000"/>
          <w:lang w:val="en-CA"/>
        </w:rPr>
        <w:lastRenderedPageBreak/>
        <w:t xml:space="preserve">Did the trial judge err in determining that s. 23.2 of the </w:t>
      </w:r>
      <w:r w:rsidRPr="00515AA2">
        <w:rPr>
          <w:b/>
          <w:bCs/>
          <w:i/>
          <w:iCs/>
          <w:color w:val="000000"/>
          <w:lang w:val="en-CA"/>
        </w:rPr>
        <w:t>Regulation</w:t>
      </w:r>
      <w:r w:rsidRPr="00515AA2">
        <w:rPr>
          <w:b/>
          <w:bCs/>
          <w:color w:val="000000"/>
          <w:lang w:val="en-CA"/>
        </w:rPr>
        <w:t xml:space="preserve"> violated the rights to dignity and equality of transgender minors of 14 years of age </w:t>
      </w:r>
      <w:r w:rsidR="002C7FEF" w:rsidRPr="00515AA2">
        <w:rPr>
          <w:b/>
          <w:bCs/>
          <w:color w:val="000000"/>
          <w:lang w:val="en-CA"/>
        </w:rPr>
        <w:t>or over</w:t>
      </w:r>
      <w:r w:rsidRPr="00515AA2">
        <w:rPr>
          <w:b/>
          <w:bCs/>
          <w:color w:val="000000"/>
          <w:lang w:val="en-CA"/>
        </w:rPr>
        <w:t>?</w:t>
      </w:r>
    </w:p>
    <w:p w14:paraId="1F6DE191" w14:textId="77777777" w:rsidR="00B651DB" w:rsidRPr="00515AA2" w:rsidRDefault="00B651DB" w:rsidP="00F846E3">
      <w:pPr>
        <w:spacing w:before="120" w:after="120"/>
        <w:ind w:left="2160" w:right="720" w:hanging="742"/>
        <w:jc w:val="both"/>
        <w:rPr>
          <w:iCs/>
          <w:color w:val="000000"/>
          <w:kern w:val="24"/>
          <w:szCs w:val="22"/>
          <w:lang w:val="en-CA"/>
        </w:rPr>
      </w:pPr>
      <w:r w:rsidRPr="00515AA2">
        <w:rPr>
          <w:iCs/>
          <w:color w:val="000000"/>
          <w:kern w:val="24"/>
          <w:szCs w:val="22"/>
          <w:lang w:val="en-CA"/>
        </w:rPr>
        <w:t>2.1</w:t>
      </w:r>
      <w:r w:rsidRPr="00515AA2">
        <w:rPr>
          <w:iCs/>
          <w:color w:val="000000"/>
          <w:kern w:val="24"/>
          <w:szCs w:val="22"/>
          <w:lang w:val="en-CA"/>
        </w:rPr>
        <w:tab/>
        <w:t xml:space="preserve">In finding an unjustified violation of the right to equality protected by s. 15 of the </w:t>
      </w:r>
      <w:r w:rsidRPr="00515AA2">
        <w:rPr>
          <w:i/>
          <w:color w:val="000000"/>
          <w:kern w:val="24"/>
          <w:szCs w:val="22"/>
          <w:lang w:val="en-CA"/>
        </w:rPr>
        <w:t>Canadian Charter</w:t>
      </w:r>
      <w:r w:rsidRPr="00515AA2">
        <w:rPr>
          <w:iCs/>
          <w:color w:val="000000"/>
          <w:kern w:val="24"/>
          <w:szCs w:val="22"/>
          <w:lang w:val="en-CA"/>
        </w:rPr>
        <w:t>?</w:t>
      </w:r>
    </w:p>
    <w:p w14:paraId="557336D7" w14:textId="22E02996" w:rsidR="00B651DB" w:rsidRPr="00515AA2" w:rsidRDefault="00B651DB" w:rsidP="00F846E3">
      <w:pPr>
        <w:spacing w:before="120" w:after="120"/>
        <w:ind w:left="2160" w:right="720" w:hanging="742"/>
        <w:jc w:val="both"/>
        <w:rPr>
          <w:iCs/>
          <w:color w:val="000000"/>
          <w:kern w:val="24"/>
          <w:szCs w:val="22"/>
          <w:lang w:val="en-CA"/>
        </w:rPr>
      </w:pPr>
      <w:r w:rsidRPr="00515AA2">
        <w:rPr>
          <w:iCs/>
          <w:color w:val="000000"/>
          <w:kern w:val="24"/>
          <w:szCs w:val="22"/>
          <w:lang w:val="en-CA"/>
        </w:rPr>
        <w:t>2.2</w:t>
      </w:r>
      <w:r w:rsidRPr="00515AA2">
        <w:rPr>
          <w:iCs/>
          <w:color w:val="000000"/>
          <w:kern w:val="24"/>
          <w:szCs w:val="22"/>
          <w:lang w:val="en-CA"/>
        </w:rPr>
        <w:tab/>
        <w:t xml:space="preserve">In finding that age constituted </w:t>
      </w:r>
      <w:r w:rsidRPr="00515AA2">
        <w:rPr>
          <w:i/>
          <w:color w:val="000000"/>
          <w:kern w:val="24"/>
          <w:szCs w:val="22"/>
          <w:lang w:val="en-CA"/>
        </w:rPr>
        <w:t>per se</w:t>
      </w:r>
      <w:r w:rsidRPr="00515AA2">
        <w:rPr>
          <w:iCs/>
          <w:color w:val="000000"/>
          <w:kern w:val="24"/>
          <w:szCs w:val="22"/>
          <w:lang w:val="en-CA"/>
        </w:rPr>
        <w:t xml:space="preserve"> a prohibited ground of distinction within the meaning of s. 10 of the </w:t>
      </w:r>
      <w:r w:rsidRPr="00515AA2">
        <w:rPr>
          <w:i/>
          <w:color w:val="000000"/>
          <w:kern w:val="24"/>
          <w:szCs w:val="22"/>
          <w:lang w:val="en-CA"/>
        </w:rPr>
        <w:t>Quebec Charter</w:t>
      </w:r>
      <w:r w:rsidRPr="00515AA2">
        <w:rPr>
          <w:iCs/>
          <w:color w:val="000000"/>
          <w:kern w:val="24"/>
          <w:szCs w:val="22"/>
          <w:lang w:val="en-CA"/>
        </w:rPr>
        <w:t>?</w:t>
      </w:r>
    </w:p>
    <w:p w14:paraId="400BB4AA" w14:textId="77777777" w:rsidR="00B651DB" w:rsidRPr="00515AA2" w:rsidRDefault="00B651DB" w:rsidP="00F846E3">
      <w:pPr>
        <w:spacing w:before="120" w:after="120"/>
        <w:ind w:left="2160" w:right="720" w:hanging="742"/>
        <w:jc w:val="both"/>
        <w:rPr>
          <w:iCs/>
          <w:color w:val="000000"/>
          <w:kern w:val="24"/>
          <w:szCs w:val="22"/>
          <w:lang w:val="en-CA"/>
        </w:rPr>
      </w:pPr>
      <w:r w:rsidRPr="00515AA2">
        <w:rPr>
          <w:iCs/>
          <w:color w:val="000000"/>
          <w:kern w:val="24"/>
          <w:szCs w:val="22"/>
          <w:lang w:val="en-CA"/>
        </w:rPr>
        <w:t>2.3</w:t>
      </w:r>
      <w:r w:rsidRPr="00515AA2">
        <w:rPr>
          <w:iCs/>
          <w:color w:val="000000"/>
          <w:kern w:val="24"/>
          <w:szCs w:val="22"/>
          <w:lang w:val="en-CA"/>
        </w:rPr>
        <w:tab/>
        <w:t xml:space="preserve">In finding a violation of the right to dignity protected by s. 4 of the </w:t>
      </w:r>
      <w:r w:rsidRPr="00515AA2">
        <w:rPr>
          <w:i/>
          <w:color w:val="000000"/>
          <w:kern w:val="24"/>
          <w:szCs w:val="22"/>
          <w:lang w:val="en-CA"/>
        </w:rPr>
        <w:t>Quebec Charter</w:t>
      </w:r>
      <w:r w:rsidRPr="00515AA2">
        <w:rPr>
          <w:iCs/>
          <w:color w:val="000000"/>
          <w:kern w:val="24"/>
          <w:szCs w:val="22"/>
          <w:lang w:val="en-CA"/>
        </w:rPr>
        <w:t>?</w:t>
      </w:r>
    </w:p>
    <w:p w14:paraId="1C1EC071" w14:textId="4CF32020" w:rsidR="00B651DB" w:rsidRPr="00515AA2" w:rsidRDefault="00B651DB" w:rsidP="0088498D">
      <w:pPr>
        <w:pStyle w:val="PRINCIPALAPPEAL"/>
        <w:rPr>
          <w:color w:val="000000"/>
        </w:rPr>
      </w:pPr>
      <w:bookmarkStart w:id="41" w:name="_Toc161830108"/>
      <w:r w:rsidRPr="00515AA2">
        <w:rPr>
          <w:color w:val="000000"/>
        </w:rPr>
        <w:t xml:space="preserve">B. </w:t>
      </w:r>
      <w:r w:rsidR="004C5ECB" w:rsidRPr="00515AA2">
        <w:rPr>
          <w:color w:val="000000"/>
        </w:rPr>
        <w:t xml:space="preserve"> </w:t>
      </w:r>
      <w:r w:rsidRPr="00515AA2">
        <w:rPr>
          <w:color w:val="000000"/>
        </w:rPr>
        <w:t>Incidental Appeal</w:t>
      </w:r>
      <w:bookmarkEnd w:id="41"/>
    </w:p>
    <w:p w14:paraId="65A312CA" w14:textId="77777777" w:rsidR="00B651DB" w:rsidRPr="00515AA2" w:rsidRDefault="00B651DB" w:rsidP="00F846E3">
      <w:pPr>
        <w:pStyle w:val="Paragraphe"/>
        <w:spacing w:line="280" w:lineRule="exact"/>
        <w:rPr>
          <w:color w:val="000000"/>
          <w:lang w:val="en-CA"/>
        </w:rPr>
      </w:pPr>
      <w:r w:rsidRPr="00515AA2">
        <w:rPr>
          <w:color w:val="000000"/>
          <w:lang w:val="en-CA"/>
        </w:rPr>
        <w:t>For its part, the incidental appellant Centre raises three issues:</w:t>
      </w:r>
    </w:p>
    <w:p w14:paraId="538B1533" w14:textId="5C7293D8" w:rsidR="00B651DB" w:rsidRPr="00515AA2" w:rsidRDefault="00B651DB" w:rsidP="00D84C5B">
      <w:pPr>
        <w:pStyle w:val="Paragraphe"/>
        <w:numPr>
          <w:ilvl w:val="4"/>
          <w:numId w:val="13"/>
        </w:numPr>
        <w:spacing w:line="280" w:lineRule="exact"/>
        <w:rPr>
          <w:b/>
          <w:bCs/>
          <w:color w:val="000000"/>
          <w:lang w:val="en-CA"/>
        </w:rPr>
      </w:pPr>
      <w:r w:rsidRPr="00515AA2">
        <w:rPr>
          <w:b/>
          <w:bCs/>
          <w:color w:val="000000"/>
          <w:lang w:val="en-CA"/>
        </w:rPr>
        <w:t xml:space="preserve">Did the trial judge err in </w:t>
      </w:r>
      <w:r w:rsidR="00A7309A" w:rsidRPr="00515AA2">
        <w:rPr>
          <w:b/>
          <w:bCs/>
          <w:color w:val="000000"/>
          <w:lang w:val="en-CA"/>
        </w:rPr>
        <w:t>holding</w:t>
      </w:r>
      <w:r w:rsidRPr="00515AA2">
        <w:rPr>
          <w:b/>
          <w:bCs/>
          <w:color w:val="000000"/>
          <w:lang w:val="en-CA"/>
        </w:rPr>
        <w:t xml:space="preserve"> that art</w:t>
      </w:r>
      <w:r w:rsidR="00E924BE" w:rsidRPr="00515AA2">
        <w:rPr>
          <w:b/>
          <w:bCs/>
          <w:color w:val="000000"/>
          <w:lang w:val="en-CA"/>
        </w:rPr>
        <w:t>icle</w:t>
      </w:r>
      <w:r w:rsidRPr="00515AA2">
        <w:rPr>
          <w:b/>
          <w:bCs/>
          <w:color w:val="000000"/>
          <w:lang w:val="en-CA"/>
        </w:rPr>
        <w:t xml:space="preserve"> 62 </w:t>
      </w:r>
      <w:r w:rsidRPr="00515AA2">
        <w:rPr>
          <w:b/>
          <w:bCs/>
          <w:i/>
          <w:iCs/>
          <w:color w:val="000000"/>
          <w:lang w:val="en-CA"/>
        </w:rPr>
        <w:t>C.C.Q.</w:t>
      </w:r>
      <w:r w:rsidRPr="00515AA2">
        <w:rPr>
          <w:b/>
          <w:bCs/>
          <w:color w:val="000000"/>
          <w:lang w:val="en-CA"/>
        </w:rPr>
        <w:t xml:space="preserve"> </w:t>
      </w:r>
      <w:r w:rsidR="00A7309A" w:rsidRPr="00515AA2">
        <w:rPr>
          <w:b/>
          <w:bCs/>
          <w:color w:val="000000"/>
          <w:lang w:val="en-CA"/>
        </w:rPr>
        <w:t>did not breach</w:t>
      </w:r>
      <w:r w:rsidRPr="00515AA2">
        <w:rPr>
          <w:b/>
          <w:bCs/>
          <w:color w:val="000000"/>
          <w:lang w:val="en-CA"/>
        </w:rPr>
        <w:t xml:space="preserve"> </w:t>
      </w:r>
      <w:r w:rsidR="00A7309A" w:rsidRPr="00515AA2">
        <w:rPr>
          <w:b/>
          <w:bCs/>
          <w:color w:val="000000"/>
          <w:lang w:val="en-CA"/>
        </w:rPr>
        <w:t xml:space="preserve">transgender minors’ </w:t>
      </w:r>
      <w:r w:rsidRPr="00515AA2">
        <w:rPr>
          <w:b/>
          <w:bCs/>
          <w:color w:val="000000"/>
          <w:lang w:val="en-CA"/>
        </w:rPr>
        <w:t>right to equality guaranteed by s</w:t>
      </w:r>
      <w:r w:rsidR="00E924BE" w:rsidRPr="00515AA2">
        <w:rPr>
          <w:b/>
          <w:bCs/>
          <w:color w:val="000000"/>
          <w:lang w:val="en-CA"/>
        </w:rPr>
        <w:t>ection</w:t>
      </w:r>
      <w:r w:rsidRPr="00515AA2">
        <w:rPr>
          <w:b/>
          <w:bCs/>
          <w:color w:val="000000"/>
          <w:lang w:val="en-CA"/>
        </w:rPr>
        <w:t xml:space="preserve"> 15 of the </w:t>
      </w:r>
      <w:r w:rsidRPr="00515AA2">
        <w:rPr>
          <w:b/>
          <w:bCs/>
          <w:i/>
          <w:iCs/>
          <w:color w:val="000000"/>
          <w:lang w:val="en-CA"/>
        </w:rPr>
        <w:t>Canadian Charter</w:t>
      </w:r>
      <w:r w:rsidRPr="00515AA2">
        <w:rPr>
          <w:b/>
          <w:bCs/>
          <w:color w:val="000000"/>
          <w:lang w:val="en-CA"/>
        </w:rPr>
        <w:t>?</w:t>
      </w:r>
    </w:p>
    <w:p w14:paraId="19B92284" w14:textId="09E81029" w:rsidR="00B651DB" w:rsidRPr="00515AA2" w:rsidRDefault="00B651DB" w:rsidP="00D84C5B">
      <w:pPr>
        <w:pStyle w:val="Paragraphe"/>
        <w:numPr>
          <w:ilvl w:val="4"/>
          <w:numId w:val="13"/>
        </w:numPr>
        <w:spacing w:line="280" w:lineRule="exact"/>
        <w:rPr>
          <w:b/>
          <w:bCs/>
          <w:color w:val="000000"/>
          <w:lang w:val="en-CA"/>
        </w:rPr>
      </w:pPr>
      <w:r w:rsidRPr="00515AA2">
        <w:rPr>
          <w:b/>
          <w:bCs/>
          <w:color w:val="000000"/>
          <w:lang w:val="en-CA"/>
        </w:rPr>
        <w:t xml:space="preserve">Did the trial judge err in </w:t>
      </w:r>
      <w:r w:rsidR="00A7309A" w:rsidRPr="00515AA2">
        <w:rPr>
          <w:b/>
          <w:bCs/>
          <w:color w:val="000000"/>
          <w:lang w:val="en-CA"/>
        </w:rPr>
        <w:t>holding</w:t>
      </w:r>
      <w:r w:rsidRPr="00515AA2">
        <w:rPr>
          <w:b/>
          <w:bCs/>
          <w:color w:val="000000"/>
          <w:lang w:val="en-CA"/>
        </w:rPr>
        <w:t xml:space="preserve"> that art</w:t>
      </w:r>
      <w:r w:rsidR="00E924BE" w:rsidRPr="00515AA2">
        <w:rPr>
          <w:b/>
          <w:bCs/>
          <w:color w:val="000000"/>
          <w:lang w:val="en-CA"/>
        </w:rPr>
        <w:t>icle</w:t>
      </w:r>
      <w:r w:rsidRPr="00515AA2">
        <w:rPr>
          <w:b/>
          <w:bCs/>
          <w:color w:val="000000"/>
          <w:lang w:val="en-CA"/>
        </w:rPr>
        <w:t xml:space="preserve"> 62 </w:t>
      </w:r>
      <w:r w:rsidRPr="00515AA2">
        <w:rPr>
          <w:b/>
          <w:bCs/>
          <w:i/>
          <w:iCs/>
          <w:color w:val="000000"/>
          <w:lang w:val="en-CA"/>
        </w:rPr>
        <w:t>C.C.Q.</w:t>
      </w:r>
      <w:r w:rsidRPr="00515AA2">
        <w:rPr>
          <w:b/>
          <w:bCs/>
          <w:color w:val="000000"/>
          <w:lang w:val="en-CA"/>
        </w:rPr>
        <w:t xml:space="preserve"> </w:t>
      </w:r>
      <w:r w:rsidR="00A7309A" w:rsidRPr="00515AA2">
        <w:rPr>
          <w:b/>
          <w:bCs/>
          <w:color w:val="000000"/>
          <w:lang w:val="en-CA"/>
        </w:rPr>
        <w:t>did</w:t>
      </w:r>
      <w:r w:rsidRPr="00515AA2">
        <w:rPr>
          <w:b/>
          <w:bCs/>
          <w:color w:val="000000"/>
          <w:lang w:val="en-CA"/>
        </w:rPr>
        <w:t xml:space="preserve"> not </w:t>
      </w:r>
      <w:r w:rsidR="00A7309A" w:rsidRPr="00515AA2">
        <w:rPr>
          <w:b/>
          <w:bCs/>
          <w:color w:val="000000"/>
          <w:lang w:val="en-CA"/>
        </w:rPr>
        <w:t>breach</w:t>
      </w:r>
      <w:r w:rsidRPr="00515AA2">
        <w:rPr>
          <w:b/>
          <w:bCs/>
          <w:color w:val="000000"/>
          <w:lang w:val="en-CA"/>
        </w:rPr>
        <w:t xml:space="preserve"> </w:t>
      </w:r>
      <w:r w:rsidR="00A7309A" w:rsidRPr="00515AA2">
        <w:rPr>
          <w:b/>
          <w:bCs/>
          <w:color w:val="000000"/>
          <w:lang w:val="en-CA"/>
        </w:rPr>
        <w:t xml:space="preserve">transgender minors’ </w:t>
      </w:r>
      <w:r w:rsidRPr="00515AA2">
        <w:rPr>
          <w:b/>
          <w:bCs/>
          <w:color w:val="000000"/>
          <w:lang w:val="en-CA"/>
        </w:rPr>
        <w:t>rights to equality, dignity, inviolability, freedom, security and privacy conferred by s</w:t>
      </w:r>
      <w:r w:rsidR="00E924BE" w:rsidRPr="00515AA2">
        <w:rPr>
          <w:b/>
          <w:bCs/>
          <w:color w:val="000000"/>
          <w:lang w:val="en-CA"/>
        </w:rPr>
        <w:t>ection</w:t>
      </w:r>
      <w:r w:rsidRPr="00515AA2">
        <w:rPr>
          <w:b/>
          <w:bCs/>
          <w:color w:val="000000"/>
          <w:lang w:val="en-CA"/>
        </w:rPr>
        <w:t xml:space="preserve">s 10, 1, 4 and 5 of the </w:t>
      </w:r>
      <w:r w:rsidRPr="00515AA2">
        <w:rPr>
          <w:b/>
          <w:bCs/>
          <w:i/>
          <w:iCs/>
          <w:color w:val="000000"/>
          <w:lang w:val="en-CA"/>
        </w:rPr>
        <w:t>Quebec Charter</w:t>
      </w:r>
      <w:r w:rsidRPr="00515AA2">
        <w:rPr>
          <w:b/>
          <w:bCs/>
          <w:color w:val="000000"/>
          <w:lang w:val="en-CA"/>
        </w:rPr>
        <w:t>?</w:t>
      </w:r>
    </w:p>
    <w:p w14:paraId="6E6DE563" w14:textId="26C0A6F3" w:rsidR="00B651DB" w:rsidRPr="00515AA2" w:rsidRDefault="00B651DB" w:rsidP="00D84C5B">
      <w:pPr>
        <w:pStyle w:val="Paragraphe"/>
        <w:numPr>
          <w:ilvl w:val="4"/>
          <w:numId w:val="13"/>
        </w:numPr>
        <w:spacing w:line="280" w:lineRule="exact"/>
        <w:rPr>
          <w:b/>
          <w:bCs/>
          <w:color w:val="000000"/>
          <w:lang w:val="en-CA"/>
        </w:rPr>
      </w:pPr>
      <w:r w:rsidRPr="00515AA2">
        <w:rPr>
          <w:b/>
          <w:bCs/>
          <w:color w:val="000000"/>
          <w:lang w:val="en-CA"/>
        </w:rPr>
        <w:t>Can art</w:t>
      </w:r>
      <w:r w:rsidR="00E924BE" w:rsidRPr="00515AA2">
        <w:rPr>
          <w:b/>
          <w:bCs/>
          <w:color w:val="000000"/>
          <w:lang w:val="en-CA"/>
        </w:rPr>
        <w:t>icle</w:t>
      </w:r>
      <w:r w:rsidRPr="00515AA2">
        <w:rPr>
          <w:b/>
          <w:bCs/>
          <w:color w:val="000000"/>
          <w:lang w:val="en-CA"/>
        </w:rPr>
        <w:t xml:space="preserve"> 62 </w:t>
      </w:r>
      <w:r w:rsidRPr="00515AA2">
        <w:rPr>
          <w:b/>
          <w:bCs/>
          <w:i/>
          <w:iCs/>
          <w:color w:val="000000"/>
          <w:lang w:val="en-CA"/>
        </w:rPr>
        <w:t>C.C.Q.</w:t>
      </w:r>
      <w:r w:rsidRPr="00515AA2">
        <w:rPr>
          <w:b/>
          <w:bCs/>
          <w:color w:val="000000"/>
          <w:lang w:val="en-CA"/>
        </w:rPr>
        <w:t xml:space="preserve"> be interpreted </w:t>
      </w:r>
      <w:r w:rsidR="00A7309A" w:rsidRPr="00515AA2">
        <w:rPr>
          <w:b/>
          <w:bCs/>
          <w:color w:val="000000"/>
          <w:lang w:val="en-CA"/>
        </w:rPr>
        <w:t>so as to conform to</w:t>
      </w:r>
      <w:r w:rsidRPr="00515AA2">
        <w:rPr>
          <w:b/>
          <w:bCs/>
          <w:color w:val="000000"/>
          <w:lang w:val="en-CA"/>
        </w:rPr>
        <w:t xml:space="preserve"> the </w:t>
      </w:r>
      <w:r w:rsidRPr="00515AA2">
        <w:rPr>
          <w:b/>
          <w:bCs/>
          <w:i/>
          <w:iCs/>
          <w:color w:val="000000"/>
          <w:lang w:val="en-CA"/>
        </w:rPr>
        <w:t>Charters</w:t>
      </w:r>
      <w:r w:rsidRPr="00515AA2">
        <w:rPr>
          <w:b/>
          <w:bCs/>
          <w:color w:val="000000"/>
          <w:lang w:val="en-CA"/>
        </w:rPr>
        <w:t>?</w:t>
      </w:r>
    </w:p>
    <w:p w14:paraId="34AFD9EA" w14:textId="69234583" w:rsidR="00B651DB" w:rsidRPr="00515AA2" w:rsidRDefault="00B651DB" w:rsidP="0088498D">
      <w:pPr>
        <w:pStyle w:val="PRINCIPALAPPEAL"/>
        <w:rPr>
          <w:color w:val="000000"/>
        </w:rPr>
      </w:pPr>
      <w:bookmarkStart w:id="42" w:name="_Toc161830109"/>
      <w:r w:rsidRPr="00515AA2">
        <w:rPr>
          <w:color w:val="000000"/>
        </w:rPr>
        <w:t>C. Intervention</w:t>
      </w:r>
      <w:bookmarkEnd w:id="42"/>
    </w:p>
    <w:p w14:paraId="67534F09" w14:textId="14BC0FC4" w:rsidR="00016EAA" w:rsidRPr="00515AA2" w:rsidRDefault="00AD6CAC" w:rsidP="00F846E3">
      <w:pPr>
        <w:pStyle w:val="Paragraphe"/>
        <w:spacing w:line="280" w:lineRule="exact"/>
        <w:rPr>
          <w:iCs/>
          <w:color w:val="000000"/>
          <w:kern w:val="24"/>
          <w:szCs w:val="22"/>
          <w:lang w:val="en-CA"/>
        </w:rPr>
      </w:pPr>
      <w:bookmarkStart w:id="43" w:name="_Hlk153269943"/>
      <w:r w:rsidRPr="00515AA2">
        <w:rPr>
          <w:color w:val="000000"/>
          <w:lang w:val="en-CA"/>
        </w:rPr>
        <w:t>The</w:t>
      </w:r>
      <w:r w:rsidR="009F498B" w:rsidRPr="00515AA2">
        <w:rPr>
          <w:color w:val="000000"/>
          <w:lang w:val="en-CA"/>
        </w:rPr>
        <w:t xml:space="preserve"> </w:t>
      </w:r>
      <w:r w:rsidR="00EC6D30" w:rsidRPr="00515AA2">
        <w:rPr>
          <w:color w:val="000000"/>
          <w:lang w:val="en-CA"/>
        </w:rPr>
        <w:t>Coalition d</w:t>
      </w:r>
      <w:r w:rsidR="00016EAA" w:rsidRPr="00515AA2">
        <w:rPr>
          <w:color w:val="000000"/>
          <w:lang w:val="en-CA"/>
        </w:rPr>
        <w:t xml:space="preserve">es </w:t>
      </w:r>
      <w:r w:rsidR="00EC6D30" w:rsidRPr="00515AA2">
        <w:rPr>
          <w:color w:val="000000"/>
          <w:lang w:val="en-CA"/>
        </w:rPr>
        <w:t>p</w:t>
      </w:r>
      <w:r w:rsidR="00016EAA" w:rsidRPr="00515AA2">
        <w:rPr>
          <w:color w:val="000000"/>
          <w:lang w:val="en-CA"/>
        </w:rPr>
        <w:t>rofessionnels</w:t>
      </w:r>
      <w:r w:rsidR="00EC6D30" w:rsidRPr="00515AA2">
        <w:rPr>
          <w:color w:val="000000"/>
          <w:lang w:val="en-CA"/>
        </w:rPr>
        <w:t xml:space="preserve"> en santé</w:t>
      </w:r>
      <w:r w:rsidR="009F498B" w:rsidRPr="00515AA2">
        <w:rPr>
          <w:color w:val="000000"/>
          <w:lang w:val="en-CA"/>
        </w:rPr>
        <w:t xml:space="preserve">, </w:t>
      </w:r>
      <w:r w:rsidRPr="00515AA2">
        <w:rPr>
          <w:color w:val="000000"/>
          <w:lang w:val="en-CA"/>
        </w:rPr>
        <w:t>as an intervener</w:t>
      </w:r>
      <w:r w:rsidR="009F498B" w:rsidRPr="00515AA2">
        <w:rPr>
          <w:color w:val="000000"/>
          <w:lang w:val="en-CA"/>
        </w:rPr>
        <w:t xml:space="preserve"> </w:t>
      </w:r>
      <w:r w:rsidRPr="00515AA2">
        <w:rPr>
          <w:color w:val="000000"/>
          <w:lang w:val="en-CA"/>
        </w:rPr>
        <w:t>in the principal appeal and in the incidental appeal</w:t>
      </w:r>
      <w:r w:rsidR="009F498B" w:rsidRPr="00515AA2">
        <w:rPr>
          <w:color w:val="000000"/>
          <w:lang w:val="en-CA"/>
        </w:rPr>
        <w:t xml:space="preserve">, </w:t>
      </w:r>
      <w:r w:rsidRPr="00515AA2">
        <w:rPr>
          <w:color w:val="000000"/>
          <w:lang w:val="en-CA"/>
        </w:rPr>
        <w:t xml:space="preserve">also </w:t>
      </w:r>
      <w:r w:rsidR="00FE7E2C" w:rsidRPr="00515AA2">
        <w:rPr>
          <w:color w:val="000000"/>
          <w:lang w:val="en-CA"/>
        </w:rPr>
        <w:t>challenge</w:t>
      </w:r>
      <w:r w:rsidRPr="00515AA2">
        <w:rPr>
          <w:color w:val="000000"/>
          <w:lang w:val="en-CA"/>
        </w:rPr>
        <w:t xml:space="preserve"> the</w:t>
      </w:r>
      <w:r w:rsidR="00016EAA" w:rsidRPr="00515AA2">
        <w:rPr>
          <w:color w:val="000000"/>
          <w:lang w:val="en-CA"/>
        </w:rPr>
        <w:t xml:space="preserve"> </w:t>
      </w:r>
      <w:r w:rsidRPr="00515AA2">
        <w:rPr>
          <w:color w:val="000000"/>
          <w:lang w:val="en-CA"/>
        </w:rPr>
        <w:t>validity of paragraph</w:t>
      </w:r>
      <w:r w:rsidR="00016EAA" w:rsidRPr="00515AA2">
        <w:rPr>
          <w:color w:val="000000"/>
          <w:lang w:val="en-CA"/>
        </w:rPr>
        <w:t xml:space="preserve"> 2 </w:t>
      </w:r>
      <w:r w:rsidRPr="00515AA2">
        <w:rPr>
          <w:color w:val="000000"/>
          <w:lang w:val="en-CA"/>
        </w:rPr>
        <w:t>of s</w:t>
      </w:r>
      <w:r w:rsidR="00E924BE" w:rsidRPr="00515AA2">
        <w:rPr>
          <w:color w:val="000000"/>
          <w:lang w:val="en-CA"/>
        </w:rPr>
        <w:t>ection</w:t>
      </w:r>
      <w:r w:rsidR="0076197F" w:rsidRPr="00515AA2">
        <w:rPr>
          <w:color w:val="000000"/>
          <w:lang w:val="en-CA"/>
        </w:rPr>
        <w:t> </w:t>
      </w:r>
      <w:r w:rsidR="00016EAA" w:rsidRPr="00515AA2">
        <w:rPr>
          <w:color w:val="000000"/>
          <w:lang w:val="en-CA"/>
        </w:rPr>
        <w:t xml:space="preserve">23.2 </w:t>
      </w:r>
      <w:r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Pr="00515AA2">
        <w:rPr>
          <w:i/>
          <w:iCs/>
          <w:color w:val="000000"/>
          <w:lang w:val="en-CA"/>
        </w:rPr>
        <w:t>egulation</w:t>
      </w:r>
      <w:r w:rsidR="00016EAA" w:rsidRPr="00515AA2">
        <w:rPr>
          <w:color w:val="000000"/>
          <w:lang w:val="en-CA"/>
        </w:rPr>
        <w:t xml:space="preserve"> </w:t>
      </w:r>
      <w:r w:rsidRPr="00515AA2">
        <w:rPr>
          <w:color w:val="000000"/>
          <w:lang w:val="en-CA"/>
        </w:rPr>
        <w:t>and art</w:t>
      </w:r>
      <w:r w:rsidR="00E924BE" w:rsidRPr="00515AA2">
        <w:rPr>
          <w:color w:val="000000"/>
          <w:lang w:val="en-CA"/>
        </w:rPr>
        <w:t>icle</w:t>
      </w:r>
      <w:r w:rsidR="0076197F" w:rsidRPr="00515AA2">
        <w:rPr>
          <w:color w:val="000000"/>
          <w:lang w:val="en-CA"/>
        </w:rPr>
        <w:t> </w:t>
      </w:r>
      <w:r w:rsidR="00016EAA" w:rsidRPr="00515AA2">
        <w:rPr>
          <w:color w:val="000000"/>
          <w:lang w:val="en-CA"/>
        </w:rPr>
        <w:t xml:space="preserve">62 </w:t>
      </w:r>
      <w:r w:rsidR="00016EAA" w:rsidRPr="00515AA2">
        <w:rPr>
          <w:i/>
          <w:iCs/>
          <w:color w:val="000000"/>
          <w:lang w:val="en-CA"/>
        </w:rPr>
        <w:t>C.</w:t>
      </w:r>
      <w:r w:rsidRPr="00515AA2">
        <w:rPr>
          <w:i/>
          <w:iCs/>
          <w:color w:val="000000"/>
          <w:lang w:val="en-CA"/>
        </w:rPr>
        <w:t>C</w:t>
      </w:r>
      <w:r w:rsidR="00016EAA" w:rsidRPr="00515AA2">
        <w:rPr>
          <w:i/>
          <w:iCs/>
          <w:color w:val="000000"/>
          <w:lang w:val="en-CA"/>
        </w:rPr>
        <w:t>.Q.</w:t>
      </w:r>
      <w:r w:rsidR="006A32E1" w:rsidRPr="00515AA2">
        <w:rPr>
          <w:i/>
          <w:iCs/>
          <w:color w:val="000000"/>
          <w:lang w:val="en-CA"/>
        </w:rPr>
        <w:t>,</w:t>
      </w:r>
      <w:r w:rsidR="00016EAA" w:rsidRPr="00515AA2">
        <w:rPr>
          <w:color w:val="000000"/>
          <w:lang w:val="en-CA"/>
        </w:rPr>
        <w:t xml:space="preserve"> </w:t>
      </w:r>
      <w:r w:rsidRPr="00515AA2">
        <w:rPr>
          <w:color w:val="000000"/>
          <w:lang w:val="en-CA"/>
        </w:rPr>
        <w:t xml:space="preserve">but </w:t>
      </w:r>
      <w:r w:rsidR="00FE7E2C" w:rsidRPr="00515AA2">
        <w:rPr>
          <w:color w:val="000000"/>
          <w:lang w:val="en-CA"/>
        </w:rPr>
        <w:t>by arguing</w:t>
      </w:r>
      <w:r w:rsidRPr="00515AA2">
        <w:rPr>
          <w:color w:val="000000"/>
          <w:lang w:val="en-CA"/>
        </w:rPr>
        <w:t>, rather, that they violate the rights protected by s</w:t>
      </w:r>
      <w:r w:rsidR="00E924BE" w:rsidRPr="00515AA2">
        <w:rPr>
          <w:color w:val="000000"/>
          <w:lang w:val="en-CA"/>
        </w:rPr>
        <w:t>ection</w:t>
      </w:r>
      <w:r w:rsidR="002C0999" w:rsidRPr="00515AA2">
        <w:rPr>
          <w:color w:val="000000"/>
          <w:lang w:val="en-CA"/>
        </w:rPr>
        <w:t xml:space="preserve"> </w:t>
      </w:r>
      <w:r w:rsidR="00016EAA" w:rsidRPr="00515AA2">
        <w:rPr>
          <w:color w:val="000000"/>
          <w:lang w:val="en-CA"/>
        </w:rPr>
        <w:t xml:space="preserve">7 </w:t>
      </w:r>
      <w:r w:rsidR="00D711F1" w:rsidRPr="00515AA2">
        <w:rPr>
          <w:color w:val="000000"/>
          <w:lang w:val="en-CA"/>
        </w:rPr>
        <w:t>of the</w:t>
      </w:r>
      <w:r w:rsidR="00016EAA" w:rsidRPr="00515AA2">
        <w:rPr>
          <w:color w:val="000000"/>
          <w:lang w:val="en-CA"/>
        </w:rPr>
        <w:t xml:space="preserve"> </w:t>
      </w:r>
      <w:r w:rsidR="00016EAA" w:rsidRPr="00515AA2">
        <w:rPr>
          <w:i/>
          <w:iCs/>
          <w:color w:val="000000"/>
          <w:lang w:val="en-CA"/>
        </w:rPr>
        <w:t>C</w:t>
      </w:r>
      <w:r w:rsidR="00D711F1" w:rsidRPr="00515AA2">
        <w:rPr>
          <w:i/>
          <w:iCs/>
          <w:color w:val="000000"/>
          <w:lang w:val="en-CA"/>
        </w:rPr>
        <w:t>anadian C</w:t>
      </w:r>
      <w:r w:rsidR="00016EAA" w:rsidRPr="00515AA2">
        <w:rPr>
          <w:i/>
          <w:iCs/>
          <w:color w:val="000000"/>
          <w:lang w:val="en-CA"/>
        </w:rPr>
        <w:t>harte</w:t>
      </w:r>
      <w:r w:rsidR="00D711F1" w:rsidRPr="00515AA2">
        <w:rPr>
          <w:i/>
          <w:iCs/>
          <w:color w:val="000000"/>
          <w:lang w:val="en-CA"/>
        </w:rPr>
        <w:t>r</w:t>
      </w:r>
      <w:r w:rsidR="00016EAA" w:rsidRPr="00515AA2">
        <w:rPr>
          <w:color w:val="000000"/>
          <w:lang w:val="en-CA"/>
        </w:rPr>
        <w:t>.</w:t>
      </w:r>
    </w:p>
    <w:p w14:paraId="1EA9E4C9" w14:textId="4279A62B" w:rsidR="00016EAA" w:rsidRPr="00515AA2" w:rsidRDefault="00016EAA" w:rsidP="009A51C4">
      <w:pPr>
        <w:pStyle w:val="Titre1"/>
        <w:rPr>
          <w:color w:val="000000"/>
        </w:rPr>
      </w:pPr>
      <w:bookmarkStart w:id="44" w:name="_Toc161830110"/>
      <w:bookmarkEnd w:id="43"/>
      <w:r w:rsidRPr="00515AA2">
        <w:rPr>
          <w:color w:val="000000"/>
        </w:rPr>
        <w:t>ANALYS</w:t>
      </w:r>
      <w:r w:rsidR="00FE7E2C" w:rsidRPr="00515AA2">
        <w:rPr>
          <w:color w:val="000000"/>
        </w:rPr>
        <w:t>IS</w:t>
      </w:r>
      <w:bookmarkEnd w:id="44"/>
    </w:p>
    <w:p w14:paraId="76BAABD1" w14:textId="40C05023" w:rsidR="00016EAA" w:rsidRPr="00515AA2" w:rsidRDefault="00CA14B6" w:rsidP="00D84C5B">
      <w:pPr>
        <w:pStyle w:val="PRINCIPALAPPEAL"/>
        <w:numPr>
          <w:ilvl w:val="0"/>
          <w:numId w:val="20"/>
        </w:numPr>
        <w:ind w:left="993" w:hanging="426"/>
        <w:rPr>
          <w:color w:val="000000"/>
        </w:rPr>
      </w:pPr>
      <w:bookmarkStart w:id="45" w:name="_Toc161830111"/>
      <w:r w:rsidRPr="00515AA2">
        <w:rPr>
          <w:color w:val="000000"/>
        </w:rPr>
        <w:t>Principal Appeal</w:t>
      </w:r>
      <w:bookmarkEnd w:id="45"/>
    </w:p>
    <w:p w14:paraId="725E55A0" w14:textId="6CCC013E" w:rsidR="00016EAA" w:rsidRPr="00515AA2" w:rsidRDefault="00CA14B6" w:rsidP="0088498D">
      <w:pPr>
        <w:pStyle w:val="B1"/>
        <w:rPr>
          <w:color w:val="000000"/>
        </w:rPr>
      </w:pPr>
      <w:bookmarkStart w:id="46" w:name="_Toc161830112"/>
      <w:r w:rsidRPr="00515AA2">
        <w:rPr>
          <w:color w:val="000000"/>
        </w:rPr>
        <w:t>Did the trial judge err in his interpretation of s</w:t>
      </w:r>
      <w:r w:rsidR="00E924BE" w:rsidRPr="00515AA2">
        <w:rPr>
          <w:color w:val="000000"/>
        </w:rPr>
        <w:t>ection</w:t>
      </w:r>
      <w:r w:rsidR="0076197F" w:rsidRPr="00515AA2">
        <w:rPr>
          <w:color w:val="000000"/>
        </w:rPr>
        <w:t> </w:t>
      </w:r>
      <w:r w:rsidR="00CB03C1" w:rsidRPr="00515AA2">
        <w:rPr>
          <w:color w:val="000000"/>
        </w:rPr>
        <w:t>23.2</w:t>
      </w:r>
      <w:r w:rsidR="0076197F" w:rsidRPr="00515AA2">
        <w:rPr>
          <w:color w:val="000000"/>
        </w:rPr>
        <w:t> </w:t>
      </w:r>
      <w:r w:rsidRPr="00515AA2">
        <w:rPr>
          <w:color w:val="000000"/>
        </w:rPr>
        <w:t>of the</w:t>
      </w:r>
      <w:r w:rsidR="00CB03C1" w:rsidRPr="00515AA2">
        <w:rPr>
          <w:color w:val="000000"/>
        </w:rPr>
        <w:t xml:space="preserve"> R</w:t>
      </w:r>
      <w:r w:rsidRPr="00515AA2">
        <w:rPr>
          <w:color w:val="000000"/>
        </w:rPr>
        <w:t>e</w:t>
      </w:r>
      <w:r w:rsidR="00CB03C1" w:rsidRPr="00515AA2">
        <w:rPr>
          <w:color w:val="000000"/>
        </w:rPr>
        <w:t>g</w:t>
      </w:r>
      <w:r w:rsidRPr="00515AA2">
        <w:rPr>
          <w:color w:val="000000"/>
        </w:rPr>
        <w:t>ulation</w:t>
      </w:r>
      <w:r w:rsidR="00CB03C1" w:rsidRPr="00515AA2">
        <w:rPr>
          <w:color w:val="000000"/>
        </w:rPr>
        <w:t>?</w:t>
      </w:r>
      <w:bookmarkEnd w:id="46"/>
      <w:r w:rsidR="00CB03C1" w:rsidRPr="00515AA2">
        <w:rPr>
          <w:color w:val="000000"/>
        </w:rPr>
        <w:t xml:space="preserve"> </w:t>
      </w:r>
    </w:p>
    <w:p w14:paraId="227ABA30" w14:textId="0DB58109" w:rsidR="00C27EBC" w:rsidRPr="00515AA2" w:rsidRDefault="00CA14B6" w:rsidP="00F846E3">
      <w:pPr>
        <w:pStyle w:val="Paragraphe"/>
        <w:spacing w:line="280" w:lineRule="exact"/>
        <w:rPr>
          <w:color w:val="000000"/>
          <w:lang w:val="en-CA"/>
        </w:rPr>
      </w:pPr>
      <w:r w:rsidRPr="00515AA2">
        <w:rPr>
          <w:color w:val="000000"/>
          <w:lang w:val="en-CA"/>
        </w:rPr>
        <w:t>There is no dispute that the interpretation of a provision such as s</w:t>
      </w:r>
      <w:r w:rsidR="00E924BE" w:rsidRPr="00515AA2">
        <w:rPr>
          <w:color w:val="000000"/>
          <w:lang w:val="en-CA"/>
        </w:rPr>
        <w:t>ection</w:t>
      </w:r>
      <w:r w:rsidR="0076197F" w:rsidRPr="00515AA2">
        <w:rPr>
          <w:color w:val="000000"/>
          <w:lang w:val="en-CA"/>
        </w:rPr>
        <w:t> </w:t>
      </w:r>
      <w:r w:rsidR="002C0999" w:rsidRPr="00515AA2">
        <w:rPr>
          <w:color w:val="000000"/>
          <w:lang w:val="en-CA"/>
        </w:rPr>
        <w:t xml:space="preserve">23.2 </w:t>
      </w:r>
      <w:r w:rsidRPr="00515AA2">
        <w:rPr>
          <w:color w:val="000000"/>
          <w:lang w:val="en-CA"/>
        </w:rPr>
        <w:t>of the</w:t>
      </w:r>
      <w:r w:rsidR="002C0999" w:rsidRPr="00515AA2">
        <w:rPr>
          <w:color w:val="000000"/>
          <w:lang w:val="en-CA"/>
        </w:rPr>
        <w:t xml:space="preserve"> </w:t>
      </w:r>
      <w:r w:rsidR="002C0999" w:rsidRPr="00515AA2">
        <w:rPr>
          <w:i/>
          <w:iCs/>
          <w:color w:val="000000"/>
          <w:lang w:val="en-CA"/>
        </w:rPr>
        <w:t>R</w:t>
      </w:r>
      <w:r w:rsidRPr="00515AA2">
        <w:rPr>
          <w:i/>
          <w:iCs/>
          <w:color w:val="000000"/>
          <w:lang w:val="en-CA"/>
        </w:rPr>
        <w:t>egulation</w:t>
      </w:r>
      <w:r w:rsidR="00C06EDB" w:rsidRPr="00515AA2">
        <w:rPr>
          <w:color w:val="000000"/>
          <w:lang w:val="en-CA"/>
        </w:rPr>
        <w:t xml:space="preserve"> </w:t>
      </w:r>
      <w:r w:rsidRPr="00515AA2">
        <w:rPr>
          <w:color w:val="000000"/>
          <w:lang w:val="en-CA"/>
        </w:rPr>
        <w:t xml:space="preserve">is subject </w:t>
      </w:r>
      <w:r w:rsidR="00703522" w:rsidRPr="00515AA2">
        <w:rPr>
          <w:color w:val="000000"/>
          <w:lang w:val="en-CA"/>
        </w:rPr>
        <w:t xml:space="preserve">on appeal </w:t>
      </w:r>
      <w:r w:rsidRPr="00515AA2">
        <w:rPr>
          <w:color w:val="000000"/>
          <w:lang w:val="en-CA"/>
        </w:rPr>
        <w:t>to</w:t>
      </w:r>
      <w:r w:rsidR="0075130D" w:rsidRPr="00515AA2">
        <w:rPr>
          <w:color w:val="000000"/>
          <w:lang w:val="en-CA"/>
        </w:rPr>
        <w:t xml:space="preserve"> the </w:t>
      </w:r>
      <w:r w:rsidRPr="00515AA2">
        <w:rPr>
          <w:color w:val="000000"/>
          <w:lang w:val="en-CA"/>
        </w:rPr>
        <w:t>standard of correctness</w:t>
      </w:r>
      <w:r w:rsidR="00016EAA" w:rsidRPr="00515AA2">
        <w:rPr>
          <w:color w:val="000000"/>
          <w:lang w:val="en-CA"/>
        </w:rPr>
        <w:t>.</w:t>
      </w:r>
    </w:p>
    <w:p w14:paraId="30BF23F7" w14:textId="04AD2BE8" w:rsidR="00983809" w:rsidRPr="00515AA2" w:rsidRDefault="0075130D" w:rsidP="00F846E3">
      <w:pPr>
        <w:pStyle w:val="Paragraphe"/>
        <w:spacing w:line="280" w:lineRule="exact"/>
        <w:rPr>
          <w:color w:val="000000"/>
          <w:lang w:val="en-CA"/>
        </w:rPr>
      </w:pPr>
      <w:r w:rsidRPr="00515AA2">
        <w:rPr>
          <w:color w:val="000000"/>
          <w:lang w:val="en-CA"/>
        </w:rPr>
        <w:lastRenderedPageBreak/>
        <w:t>It is useful to begin our analysis by recalling the language of s</w:t>
      </w:r>
      <w:r w:rsidR="00E924BE" w:rsidRPr="00515AA2">
        <w:rPr>
          <w:color w:val="000000"/>
          <w:lang w:val="en-CA"/>
        </w:rPr>
        <w:t>ection</w:t>
      </w:r>
      <w:r w:rsidRPr="00515AA2">
        <w:rPr>
          <w:color w:val="000000"/>
          <w:lang w:val="en-CA"/>
        </w:rPr>
        <w:t>s</w:t>
      </w:r>
      <w:r w:rsidR="0076197F" w:rsidRPr="00515AA2">
        <w:rPr>
          <w:color w:val="000000"/>
          <w:lang w:val="en-CA"/>
        </w:rPr>
        <w:t> </w:t>
      </w:r>
      <w:r w:rsidR="00983809" w:rsidRPr="00515AA2">
        <w:rPr>
          <w:color w:val="000000"/>
          <w:lang w:val="en-CA"/>
        </w:rPr>
        <w:t xml:space="preserve">23.1 </w:t>
      </w:r>
      <w:r w:rsidRPr="00515AA2">
        <w:rPr>
          <w:color w:val="000000"/>
          <w:lang w:val="en-CA"/>
        </w:rPr>
        <w:t>and</w:t>
      </w:r>
      <w:r w:rsidR="00983809" w:rsidRPr="00515AA2">
        <w:rPr>
          <w:color w:val="000000"/>
          <w:lang w:val="en-CA"/>
        </w:rPr>
        <w:t xml:space="preserve"> 23.2 </w:t>
      </w:r>
      <w:r w:rsidRPr="00515AA2">
        <w:rPr>
          <w:color w:val="000000"/>
          <w:lang w:val="en-CA"/>
        </w:rPr>
        <w:t>of the</w:t>
      </w:r>
      <w:r w:rsidR="00983809" w:rsidRPr="00515AA2">
        <w:rPr>
          <w:color w:val="000000"/>
          <w:lang w:val="en-CA"/>
        </w:rPr>
        <w:t xml:space="preserve"> </w:t>
      </w:r>
      <w:r w:rsidR="00983809" w:rsidRPr="00515AA2">
        <w:rPr>
          <w:i/>
          <w:iCs/>
          <w:color w:val="000000"/>
          <w:lang w:val="en-CA"/>
        </w:rPr>
        <w:t>R</w:t>
      </w:r>
      <w:r w:rsidRPr="00515AA2">
        <w:rPr>
          <w:i/>
          <w:iCs/>
          <w:color w:val="000000"/>
          <w:lang w:val="en-CA"/>
        </w:rPr>
        <w:t>e</w:t>
      </w:r>
      <w:r w:rsidR="00983809" w:rsidRPr="00515AA2">
        <w:rPr>
          <w:i/>
          <w:iCs/>
          <w:color w:val="000000"/>
          <w:lang w:val="en-CA"/>
        </w:rPr>
        <w:t>g</w:t>
      </w:r>
      <w:r w:rsidRPr="00515AA2">
        <w:rPr>
          <w:i/>
          <w:iCs/>
          <w:color w:val="000000"/>
          <w:lang w:val="en-CA"/>
        </w:rPr>
        <w:t>ulation</w:t>
      </w:r>
      <w:r w:rsidR="00983809" w:rsidRPr="00515AA2">
        <w:rPr>
          <w:color w:val="000000"/>
          <w:lang w:val="en-CA"/>
        </w:rPr>
        <w:t>:</w:t>
      </w:r>
    </w:p>
    <w:tbl>
      <w:tblPr>
        <w:tblW w:w="0" w:type="auto"/>
        <w:tblCellMar>
          <w:left w:w="70" w:type="dxa"/>
          <w:right w:w="70" w:type="dxa"/>
        </w:tblCellMar>
        <w:tblLook w:val="0000" w:firstRow="0" w:lastRow="0" w:firstColumn="0" w:lastColumn="0" w:noHBand="0" w:noVBand="0"/>
      </w:tblPr>
      <w:tblGrid>
        <w:gridCol w:w="4683"/>
        <w:gridCol w:w="4679"/>
      </w:tblGrid>
      <w:tr w:rsidR="00515AA2" w:rsidRPr="00515AA2" w14:paraId="73C9228D" w14:textId="77777777" w:rsidTr="005219B1">
        <w:tc>
          <w:tcPr>
            <w:tcW w:w="4683" w:type="dxa"/>
          </w:tcPr>
          <w:p w14:paraId="02D50EAA" w14:textId="77777777" w:rsidR="000A358D" w:rsidRPr="00515AA2" w:rsidRDefault="000A358D" w:rsidP="00710E4C">
            <w:pPr>
              <w:pStyle w:val="Tableaudroiteanglais"/>
              <w:spacing w:line="240" w:lineRule="auto"/>
              <w:ind w:left="776" w:right="84"/>
              <w:rPr>
                <w:color w:val="000000"/>
              </w:rPr>
            </w:pPr>
            <w:r w:rsidRPr="00515AA2">
              <w:rPr>
                <w:b/>
                <w:color w:val="000000"/>
              </w:rPr>
              <w:t>23.1.</w:t>
            </w:r>
            <w:r w:rsidRPr="00515AA2">
              <w:rPr>
                <w:color w:val="000000"/>
              </w:rPr>
              <w:t> If an applicant’s affidavit required under section 1 is in support of an application made by a person 14 years of age or over for a change of the designation of sex that appears in the person’s act of birth, the affidavit must also attest that</w:t>
            </w:r>
          </w:p>
          <w:p w14:paraId="617EE7A7" w14:textId="77426DA3" w:rsidR="00983809" w:rsidRPr="00515AA2" w:rsidRDefault="00983809" w:rsidP="00710E4C">
            <w:pPr>
              <w:pStyle w:val="Tableaugauchefranais"/>
              <w:spacing w:line="240" w:lineRule="auto"/>
              <w:ind w:left="776" w:right="84"/>
              <w:rPr>
                <w:color w:val="000000"/>
                <w:lang w:val="en-CA"/>
              </w:rPr>
            </w:pPr>
          </w:p>
        </w:tc>
        <w:tc>
          <w:tcPr>
            <w:tcW w:w="4679" w:type="dxa"/>
          </w:tcPr>
          <w:p w14:paraId="2DAA27E4" w14:textId="7A8EB640" w:rsidR="000A358D" w:rsidRPr="00515AA2" w:rsidRDefault="00000000" w:rsidP="00710E4C">
            <w:pPr>
              <w:pStyle w:val="Tableaudroiteanglais"/>
              <w:spacing w:line="240" w:lineRule="auto"/>
              <w:rPr>
                <w:color w:val="000000"/>
                <w:szCs w:val="22"/>
                <w:lang w:val="fr-CA"/>
              </w:rPr>
            </w:pPr>
            <w:hyperlink r:id="rId9" w:history="1">
              <w:r w:rsidR="000A358D" w:rsidRPr="00515AA2">
                <w:rPr>
                  <w:b/>
                  <w:color w:val="000000"/>
                  <w:lang w:val="fr-CA"/>
                </w:rPr>
                <w:t>23.1.</w:t>
              </w:r>
            </w:hyperlink>
            <w:r w:rsidR="000A358D" w:rsidRPr="00515AA2">
              <w:rPr>
                <w:color w:val="000000"/>
                <w:lang w:val="fr-CA"/>
              </w:rPr>
              <w:t> Si elle appuie une demande de changement de la mention du sexe figurant à son acte de naissance faite par une personne âgée de 14 ans et plus, la déclaration sous serment du demandeur prévue à l’article 1 doit en outre attester:</w:t>
            </w:r>
          </w:p>
        </w:tc>
      </w:tr>
      <w:tr w:rsidR="00515AA2" w:rsidRPr="00515AA2" w14:paraId="243D3DE4" w14:textId="77777777" w:rsidTr="005219B1">
        <w:tc>
          <w:tcPr>
            <w:tcW w:w="4683" w:type="dxa"/>
          </w:tcPr>
          <w:p w14:paraId="17463D3C" w14:textId="77777777" w:rsidR="000A358D" w:rsidRPr="00515AA2" w:rsidRDefault="000A358D" w:rsidP="00710E4C">
            <w:pPr>
              <w:pStyle w:val="Tableaudroiteanglais"/>
              <w:spacing w:line="240" w:lineRule="auto"/>
              <w:ind w:left="776" w:right="84"/>
              <w:rPr>
                <w:color w:val="000000"/>
              </w:rPr>
            </w:pPr>
            <w:r w:rsidRPr="00515AA2">
              <w:rPr>
                <w:color w:val="000000"/>
              </w:rPr>
              <w:t>(1)  the designation of sex requested is the designation that best corresponds to the applicant’s gender identity;</w:t>
            </w:r>
          </w:p>
          <w:p w14:paraId="4C6ED658" w14:textId="150A3E08" w:rsidR="00983809" w:rsidRPr="00515AA2" w:rsidRDefault="00983809" w:rsidP="00EE6670">
            <w:pPr>
              <w:pStyle w:val="Tableaudroiteanglais"/>
              <w:spacing w:line="240" w:lineRule="auto"/>
              <w:ind w:left="0" w:right="84"/>
              <w:rPr>
                <w:color w:val="000000"/>
              </w:rPr>
            </w:pPr>
          </w:p>
        </w:tc>
        <w:tc>
          <w:tcPr>
            <w:tcW w:w="4679" w:type="dxa"/>
          </w:tcPr>
          <w:p w14:paraId="77C61CD1" w14:textId="77777777" w:rsidR="00983809" w:rsidRPr="00515AA2" w:rsidRDefault="000A358D" w:rsidP="00710E4C">
            <w:pPr>
              <w:pStyle w:val="Tableaudroiteanglais"/>
              <w:spacing w:line="240" w:lineRule="auto"/>
              <w:rPr>
                <w:color w:val="000000"/>
                <w:lang w:val="fr-CA"/>
              </w:rPr>
            </w:pPr>
            <w:r w:rsidRPr="00515AA2">
              <w:rPr>
                <w:color w:val="000000"/>
                <w:lang w:val="fr-CA"/>
              </w:rPr>
              <w:t>1°  que la mention du sexe qu’il demande est celle qui correspond le mieux à son identité de genre</w:t>
            </w:r>
            <w:r w:rsidR="00CC5A6A" w:rsidRPr="00515AA2">
              <w:rPr>
                <w:color w:val="000000"/>
                <w:lang w:val="fr-CA"/>
              </w:rPr>
              <w:t>;</w:t>
            </w:r>
          </w:p>
          <w:p w14:paraId="52F5369E" w14:textId="38AAD94B" w:rsidR="00CC5A6A" w:rsidRPr="00515AA2" w:rsidRDefault="00CC5A6A" w:rsidP="00EE6670">
            <w:pPr>
              <w:pStyle w:val="Tableaugauchefranais"/>
              <w:spacing w:line="240" w:lineRule="auto"/>
              <w:ind w:left="0" w:right="720"/>
              <w:rPr>
                <w:color w:val="000000"/>
              </w:rPr>
            </w:pPr>
          </w:p>
        </w:tc>
      </w:tr>
      <w:tr w:rsidR="00515AA2" w:rsidRPr="00515AA2" w14:paraId="293236B3" w14:textId="77777777" w:rsidTr="005219B1">
        <w:tc>
          <w:tcPr>
            <w:tcW w:w="4683" w:type="dxa"/>
          </w:tcPr>
          <w:p w14:paraId="2055E8CC" w14:textId="44FA6663" w:rsidR="00983809" w:rsidRPr="00515AA2" w:rsidRDefault="00EE6670" w:rsidP="00710E4C">
            <w:pPr>
              <w:pStyle w:val="Tableaugauchefranais"/>
              <w:spacing w:line="240" w:lineRule="auto"/>
              <w:rPr>
                <w:color w:val="000000"/>
                <w:lang w:val="en-CA"/>
              </w:rPr>
            </w:pPr>
            <w:r w:rsidRPr="00515AA2">
              <w:rPr>
                <w:color w:val="000000"/>
                <w:lang w:val="en-CA"/>
              </w:rPr>
              <w:t>(2)  the applicant assumes and intends to continue to assume that gender identity;</w:t>
            </w:r>
          </w:p>
        </w:tc>
        <w:tc>
          <w:tcPr>
            <w:tcW w:w="4679" w:type="dxa"/>
          </w:tcPr>
          <w:p w14:paraId="531008E6" w14:textId="0D5EEB30" w:rsidR="00983809" w:rsidRPr="00515AA2" w:rsidRDefault="00EE6670" w:rsidP="00710E4C">
            <w:pPr>
              <w:pStyle w:val="Tableaudroiteanglais"/>
              <w:spacing w:line="240" w:lineRule="auto"/>
              <w:rPr>
                <w:color w:val="000000"/>
                <w:lang w:val="fr-CA"/>
              </w:rPr>
            </w:pPr>
            <w:r w:rsidRPr="00515AA2">
              <w:rPr>
                <w:color w:val="000000"/>
                <w:lang w:val="fr-CA"/>
              </w:rPr>
              <w:t>2°  qu’il assume et a l’intention de continuer à assumer cette identité de genre;</w:t>
            </w:r>
          </w:p>
        </w:tc>
      </w:tr>
      <w:tr w:rsidR="00515AA2" w:rsidRPr="00515AA2" w14:paraId="5C45DAF3" w14:textId="77777777" w:rsidTr="005219B1">
        <w:tc>
          <w:tcPr>
            <w:tcW w:w="4683" w:type="dxa"/>
          </w:tcPr>
          <w:p w14:paraId="0C174A1D" w14:textId="2A6A7571" w:rsidR="00983809" w:rsidRPr="00515AA2" w:rsidRDefault="00CC5A6A" w:rsidP="00710E4C">
            <w:pPr>
              <w:pStyle w:val="Tableaugauchefranais"/>
              <w:spacing w:line="240" w:lineRule="auto"/>
              <w:rPr>
                <w:color w:val="000000"/>
                <w:lang w:val="en-CA"/>
              </w:rPr>
            </w:pPr>
            <w:r w:rsidRPr="00515AA2">
              <w:rPr>
                <w:color w:val="000000"/>
                <w:lang w:val="en-CA"/>
              </w:rPr>
              <w:t>(3)  the applicant understands the seriousness of the undertaking;</w:t>
            </w:r>
          </w:p>
        </w:tc>
        <w:tc>
          <w:tcPr>
            <w:tcW w:w="4679" w:type="dxa"/>
          </w:tcPr>
          <w:p w14:paraId="7482FB45" w14:textId="31C77E8F" w:rsidR="00983809" w:rsidRPr="00515AA2" w:rsidRDefault="00CC5A6A" w:rsidP="00710E4C">
            <w:pPr>
              <w:pStyle w:val="Tableaugauchefranais"/>
              <w:spacing w:line="240" w:lineRule="auto"/>
              <w:ind w:left="144" w:right="720"/>
              <w:rPr>
                <w:color w:val="000000"/>
              </w:rPr>
            </w:pPr>
            <w:r w:rsidRPr="00515AA2">
              <w:rPr>
                <w:color w:val="000000"/>
              </w:rPr>
              <w:t>3°  qu’il comprend le sérieux de sa démarche;</w:t>
            </w:r>
          </w:p>
          <w:p w14:paraId="5FEE83DF" w14:textId="77777777" w:rsidR="00983809" w:rsidRPr="00515AA2" w:rsidRDefault="00983809" w:rsidP="00710E4C">
            <w:pPr>
              <w:pStyle w:val="Tableaudroiteanglais"/>
              <w:spacing w:line="240" w:lineRule="auto"/>
              <w:rPr>
                <w:color w:val="000000"/>
                <w:lang w:val="fr-CA"/>
              </w:rPr>
            </w:pPr>
          </w:p>
        </w:tc>
      </w:tr>
      <w:tr w:rsidR="00515AA2" w:rsidRPr="00515AA2" w14:paraId="6926BCC8" w14:textId="77777777" w:rsidTr="005219B1">
        <w:tc>
          <w:tcPr>
            <w:tcW w:w="4683" w:type="dxa"/>
          </w:tcPr>
          <w:p w14:paraId="7EED8D6A" w14:textId="6D78FEC3" w:rsidR="00983809" w:rsidRPr="00515AA2" w:rsidRDefault="00CC5A6A" w:rsidP="00710E4C">
            <w:pPr>
              <w:pStyle w:val="Tableaugauchefranais"/>
              <w:spacing w:line="240" w:lineRule="auto"/>
              <w:rPr>
                <w:color w:val="000000"/>
                <w:lang w:val="en-CA"/>
              </w:rPr>
            </w:pPr>
            <w:r w:rsidRPr="00515AA2">
              <w:rPr>
                <w:color w:val="000000"/>
                <w:lang w:val="en-CA"/>
              </w:rPr>
              <w:t xml:space="preserve">(4)  the applicant’s undertaking is voluntary and his or her consent is given in a free and enlightened manner. </w:t>
            </w:r>
          </w:p>
          <w:p w14:paraId="7A572659" w14:textId="77777777" w:rsidR="00983809" w:rsidRPr="00515AA2" w:rsidRDefault="00983809" w:rsidP="00710E4C">
            <w:pPr>
              <w:pStyle w:val="Tableaugauchefranais"/>
              <w:spacing w:line="240" w:lineRule="auto"/>
              <w:rPr>
                <w:color w:val="000000"/>
                <w:lang w:val="en-CA"/>
              </w:rPr>
            </w:pPr>
          </w:p>
        </w:tc>
        <w:tc>
          <w:tcPr>
            <w:tcW w:w="4679" w:type="dxa"/>
          </w:tcPr>
          <w:p w14:paraId="7C67147F" w14:textId="04BA3945" w:rsidR="00983809" w:rsidRPr="00515AA2" w:rsidRDefault="00CC5A6A" w:rsidP="00710E4C">
            <w:pPr>
              <w:pStyle w:val="Tableaudroiteanglais"/>
              <w:spacing w:line="240" w:lineRule="auto"/>
              <w:rPr>
                <w:color w:val="000000"/>
                <w:lang w:val="fr-CA"/>
              </w:rPr>
            </w:pPr>
            <w:r w:rsidRPr="00515AA2">
              <w:rPr>
                <w:color w:val="000000"/>
                <w:lang w:val="fr-CA"/>
              </w:rPr>
              <w:t>4°  que sa démarche est faite de façon volontaire et que son consentement est libre et éclairé.</w:t>
            </w:r>
          </w:p>
          <w:p w14:paraId="198A4932" w14:textId="77777777" w:rsidR="00983809" w:rsidRPr="00515AA2" w:rsidRDefault="00983809" w:rsidP="00710E4C">
            <w:pPr>
              <w:pStyle w:val="Tableaudroiteanglais"/>
              <w:spacing w:line="240" w:lineRule="auto"/>
              <w:rPr>
                <w:color w:val="000000"/>
                <w:lang w:val="fr-CA"/>
              </w:rPr>
            </w:pPr>
          </w:p>
        </w:tc>
      </w:tr>
      <w:tr w:rsidR="00515AA2" w:rsidRPr="00515AA2" w14:paraId="1C8CE92A" w14:textId="77777777" w:rsidTr="005219B1">
        <w:tc>
          <w:tcPr>
            <w:tcW w:w="4683" w:type="dxa"/>
          </w:tcPr>
          <w:p w14:paraId="2D787FE9" w14:textId="77777777" w:rsidR="00CC5A6A" w:rsidRPr="00515AA2" w:rsidRDefault="00CC5A6A" w:rsidP="005E1AB0">
            <w:pPr>
              <w:pStyle w:val="Tableaudroiteanglais"/>
              <w:spacing w:line="240" w:lineRule="auto"/>
              <w:ind w:left="780" w:right="216"/>
              <w:rPr>
                <w:color w:val="000000"/>
              </w:rPr>
            </w:pPr>
            <w:r w:rsidRPr="00515AA2">
              <w:rPr>
                <w:color w:val="000000"/>
              </w:rPr>
              <w:t>If a tutor’s affidavit is in support of an application made by the tutor for a minor child, the affidavit must also attest that</w:t>
            </w:r>
          </w:p>
          <w:p w14:paraId="44FAF2AD" w14:textId="77777777" w:rsidR="00983809" w:rsidRPr="00515AA2" w:rsidRDefault="00983809" w:rsidP="00710E4C">
            <w:pPr>
              <w:pStyle w:val="Tableaugauchefranais"/>
              <w:spacing w:line="240" w:lineRule="auto"/>
              <w:ind w:left="144" w:right="225"/>
              <w:rPr>
                <w:color w:val="000000"/>
                <w:lang w:val="en-CA"/>
              </w:rPr>
            </w:pPr>
          </w:p>
        </w:tc>
        <w:tc>
          <w:tcPr>
            <w:tcW w:w="4679" w:type="dxa"/>
          </w:tcPr>
          <w:p w14:paraId="780DE9F9" w14:textId="77777777" w:rsidR="00CC5A6A" w:rsidRPr="00515AA2" w:rsidRDefault="00CC5A6A" w:rsidP="005E1AB0">
            <w:pPr>
              <w:pStyle w:val="Tableaugauchefranais"/>
              <w:spacing w:line="240" w:lineRule="auto"/>
              <w:ind w:left="207" w:right="646"/>
              <w:rPr>
                <w:color w:val="000000"/>
              </w:rPr>
            </w:pPr>
            <w:r w:rsidRPr="00515AA2">
              <w:rPr>
                <w:color w:val="000000"/>
              </w:rPr>
              <w:t>Si elle appuie une demande faite par le tuteur pour un enfant mineur, cette déclaration sous serment du tuteur doit en outre attester:</w:t>
            </w:r>
          </w:p>
          <w:p w14:paraId="327062D9" w14:textId="77777777" w:rsidR="00983809" w:rsidRPr="00515AA2" w:rsidRDefault="00983809" w:rsidP="00710E4C">
            <w:pPr>
              <w:pStyle w:val="Tableaudroiteanglais"/>
              <w:spacing w:line="240" w:lineRule="auto"/>
              <w:ind w:left="207" w:right="144"/>
              <w:rPr>
                <w:color w:val="000000"/>
                <w:lang w:val="fr-CA"/>
              </w:rPr>
            </w:pPr>
          </w:p>
        </w:tc>
      </w:tr>
      <w:tr w:rsidR="00515AA2" w:rsidRPr="00515AA2" w14:paraId="78B4629A" w14:textId="77777777" w:rsidTr="005219B1">
        <w:tc>
          <w:tcPr>
            <w:tcW w:w="4683" w:type="dxa"/>
          </w:tcPr>
          <w:p w14:paraId="4FDC3A1B" w14:textId="77777777" w:rsidR="000A358D" w:rsidRPr="00515AA2" w:rsidRDefault="000A358D" w:rsidP="005E1AB0">
            <w:pPr>
              <w:pStyle w:val="Tableaudroiteanglais"/>
              <w:spacing w:line="240" w:lineRule="auto"/>
              <w:ind w:left="780" w:right="225"/>
              <w:rPr>
                <w:color w:val="000000"/>
              </w:rPr>
            </w:pPr>
            <w:r w:rsidRPr="00515AA2">
              <w:rPr>
                <w:color w:val="000000"/>
              </w:rPr>
              <w:t>(1)  the designation of sex requested for the minor child is the designation that best corresponds to the child’s gender identity;</w:t>
            </w:r>
          </w:p>
          <w:p w14:paraId="0D7F288F" w14:textId="77777777" w:rsidR="00983809" w:rsidRPr="00515AA2" w:rsidRDefault="00983809" w:rsidP="005E1AB0">
            <w:pPr>
              <w:pStyle w:val="Tableaugauchefranais"/>
              <w:spacing w:line="240" w:lineRule="auto"/>
              <w:ind w:left="780" w:right="225"/>
              <w:rPr>
                <w:color w:val="000000"/>
                <w:lang w:val="en-CA"/>
              </w:rPr>
            </w:pPr>
          </w:p>
        </w:tc>
        <w:tc>
          <w:tcPr>
            <w:tcW w:w="4679" w:type="dxa"/>
          </w:tcPr>
          <w:p w14:paraId="056F510C" w14:textId="77777777" w:rsidR="000A358D" w:rsidRPr="00515AA2" w:rsidRDefault="000A358D" w:rsidP="005E1AB0">
            <w:pPr>
              <w:pStyle w:val="Tableaugauchefranais"/>
              <w:spacing w:line="240" w:lineRule="auto"/>
              <w:ind w:left="207" w:right="646"/>
              <w:rPr>
                <w:color w:val="000000"/>
              </w:rPr>
            </w:pPr>
            <w:r w:rsidRPr="00515AA2">
              <w:rPr>
                <w:color w:val="000000"/>
              </w:rPr>
              <w:t>1°  que la mention du sexe qu’il demande pour l’enfant mineur est celle qui correspond le mieux à l’identité de genre de cet enfant;</w:t>
            </w:r>
          </w:p>
          <w:p w14:paraId="56EA61BD" w14:textId="77777777" w:rsidR="00983809" w:rsidRPr="00515AA2" w:rsidRDefault="00983809" w:rsidP="005E1AB0">
            <w:pPr>
              <w:pStyle w:val="Tableaudroiteanglais"/>
              <w:spacing w:line="240" w:lineRule="auto"/>
              <w:ind w:left="207" w:right="646"/>
              <w:rPr>
                <w:color w:val="000000"/>
                <w:lang w:val="fr-CA"/>
              </w:rPr>
            </w:pPr>
          </w:p>
        </w:tc>
      </w:tr>
      <w:tr w:rsidR="00515AA2" w:rsidRPr="00515AA2" w14:paraId="50B43584" w14:textId="77777777" w:rsidTr="005219B1">
        <w:tc>
          <w:tcPr>
            <w:tcW w:w="4683" w:type="dxa"/>
          </w:tcPr>
          <w:p w14:paraId="6D47CE21" w14:textId="77777777" w:rsidR="000A358D" w:rsidRPr="00515AA2" w:rsidRDefault="000A358D" w:rsidP="005E1AB0">
            <w:pPr>
              <w:pStyle w:val="Tableaudroiteanglais"/>
              <w:spacing w:line="240" w:lineRule="auto"/>
              <w:ind w:left="780" w:right="225"/>
              <w:rPr>
                <w:color w:val="000000"/>
              </w:rPr>
            </w:pPr>
            <w:r w:rsidRPr="00515AA2">
              <w:rPr>
                <w:color w:val="000000"/>
              </w:rPr>
              <w:t>(2)  the minor child assumes that gender identity;</w:t>
            </w:r>
          </w:p>
          <w:p w14:paraId="6290D495" w14:textId="77777777" w:rsidR="00983809" w:rsidRPr="00515AA2" w:rsidRDefault="00983809" w:rsidP="005E1AB0">
            <w:pPr>
              <w:pStyle w:val="Tableaugauchefranais"/>
              <w:spacing w:line="240" w:lineRule="auto"/>
              <w:ind w:left="780" w:right="225"/>
              <w:rPr>
                <w:color w:val="000000"/>
                <w:lang w:val="en-CA"/>
              </w:rPr>
            </w:pPr>
          </w:p>
        </w:tc>
        <w:tc>
          <w:tcPr>
            <w:tcW w:w="4679" w:type="dxa"/>
          </w:tcPr>
          <w:p w14:paraId="1A49F097" w14:textId="77777777" w:rsidR="000A358D" w:rsidRPr="00515AA2" w:rsidRDefault="000A358D" w:rsidP="005E1AB0">
            <w:pPr>
              <w:pStyle w:val="Tableaugauchefranais"/>
              <w:spacing w:line="240" w:lineRule="auto"/>
              <w:ind w:left="207" w:right="646"/>
              <w:rPr>
                <w:color w:val="000000"/>
              </w:rPr>
            </w:pPr>
            <w:r w:rsidRPr="00515AA2">
              <w:rPr>
                <w:color w:val="000000"/>
              </w:rPr>
              <w:t>2°  que l’enfant mineur assume cette identité de genre;</w:t>
            </w:r>
          </w:p>
          <w:p w14:paraId="2CD05E08" w14:textId="77777777" w:rsidR="00983809" w:rsidRPr="00515AA2" w:rsidRDefault="00983809" w:rsidP="005E1AB0">
            <w:pPr>
              <w:pStyle w:val="Tableaudroiteanglais"/>
              <w:spacing w:line="240" w:lineRule="auto"/>
              <w:ind w:left="207" w:right="646"/>
              <w:rPr>
                <w:color w:val="000000"/>
                <w:lang w:val="fr-CA"/>
              </w:rPr>
            </w:pPr>
          </w:p>
        </w:tc>
      </w:tr>
      <w:tr w:rsidR="00515AA2" w:rsidRPr="00515AA2" w14:paraId="5D0CDF5E" w14:textId="77777777" w:rsidTr="005219B1">
        <w:tc>
          <w:tcPr>
            <w:tcW w:w="4683" w:type="dxa"/>
          </w:tcPr>
          <w:p w14:paraId="266381C4" w14:textId="77777777" w:rsidR="000A358D" w:rsidRPr="00515AA2" w:rsidRDefault="000A358D" w:rsidP="005E1AB0">
            <w:pPr>
              <w:pStyle w:val="Tableaudroiteanglais"/>
              <w:spacing w:line="240" w:lineRule="auto"/>
              <w:ind w:left="780" w:right="225"/>
              <w:rPr>
                <w:color w:val="000000"/>
              </w:rPr>
            </w:pPr>
            <w:r w:rsidRPr="00515AA2">
              <w:rPr>
                <w:color w:val="000000"/>
              </w:rPr>
              <w:t>(3)  the tutor understands the seriousness of the minor child’s undertaking; and</w:t>
            </w:r>
          </w:p>
          <w:p w14:paraId="4475B5CB" w14:textId="77777777" w:rsidR="00983809" w:rsidRPr="00515AA2" w:rsidRDefault="00983809" w:rsidP="005E1AB0">
            <w:pPr>
              <w:pStyle w:val="Tableaugauchefranais"/>
              <w:spacing w:line="240" w:lineRule="auto"/>
              <w:ind w:left="780" w:right="225"/>
              <w:rPr>
                <w:color w:val="000000"/>
                <w:lang w:val="en-CA"/>
              </w:rPr>
            </w:pPr>
          </w:p>
        </w:tc>
        <w:tc>
          <w:tcPr>
            <w:tcW w:w="4679" w:type="dxa"/>
          </w:tcPr>
          <w:p w14:paraId="15838954" w14:textId="77777777" w:rsidR="000A358D" w:rsidRPr="00515AA2" w:rsidRDefault="000A358D" w:rsidP="005E1AB0">
            <w:pPr>
              <w:pStyle w:val="Tableaugauchefranais"/>
              <w:spacing w:line="240" w:lineRule="auto"/>
              <w:ind w:left="207" w:right="646"/>
              <w:rPr>
                <w:color w:val="000000"/>
              </w:rPr>
            </w:pPr>
            <w:r w:rsidRPr="00515AA2">
              <w:rPr>
                <w:color w:val="000000"/>
              </w:rPr>
              <w:t>3°  qu’il comprend le sérieux de la démarche de l’enfant mineur;</w:t>
            </w:r>
          </w:p>
          <w:p w14:paraId="187BB649" w14:textId="77777777" w:rsidR="00983809" w:rsidRPr="00515AA2" w:rsidRDefault="00983809" w:rsidP="005E1AB0">
            <w:pPr>
              <w:pStyle w:val="Tableaudroiteanglais"/>
              <w:spacing w:line="240" w:lineRule="auto"/>
              <w:ind w:left="207" w:right="646"/>
              <w:rPr>
                <w:color w:val="000000"/>
                <w:lang w:val="fr-CA"/>
              </w:rPr>
            </w:pPr>
          </w:p>
        </w:tc>
      </w:tr>
      <w:tr w:rsidR="00515AA2" w:rsidRPr="00515AA2" w14:paraId="578B4567" w14:textId="77777777" w:rsidTr="005219B1">
        <w:tc>
          <w:tcPr>
            <w:tcW w:w="4683" w:type="dxa"/>
          </w:tcPr>
          <w:p w14:paraId="51E1F29D" w14:textId="6754F778" w:rsidR="00983809" w:rsidRPr="00515AA2" w:rsidRDefault="000A358D" w:rsidP="005E1AB0">
            <w:pPr>
              <w:pStyle w:val="Tableaudroiteanglais"/>
              <w:spacing w:line="240" w:lineRule="auto"/>
              <w:ind w:left="780" w:right="225"/>
              <w:rPr>
                <w:color w:val="000000"/>
              </w:rPr>
            </w:pPr>
            <w:r w:rsidRPr="00515AA2">
              <w:rPr>
                <w:color w:val="000000"/>
              </w:rPr>
              <w:t>(4)  the tutor’s undertaking for the minor child is voluntary and his or her consent is given in a free and enlightened manner.</w:t>
            </w:r>
          </w:p>
          <w:p w14:paraId="6425463A" w14:textId="77777777" w:rsidR="00983809" w:rsidRPr="00515AA2" w:rsidRDefault="00983809" w:rsidP="005E1AB0">
            <w:pPr>
              <w:pStyle w:val="Tableaugauchefranais"/>
              <w:spacing w:line="240" w:lineRule="auto"/>
              <w:ind w:left="780" w:right="225"/>
              <w:rPr>
                <w:color w:val="000000"/>
                <w:lang w:val="en-CA"/>
              </w:rPr>
            </w:pPr>
          </w:p>
        </w:tc>
        <w:tc>
          <w:tcPr>
            <w:tcW w:w="4679" w:type="dxa"/>
          </w:tcPr>
          <w:p w14:paraId="07761188" w14:textId="37BB1301" w:rsidR="00983809" w:rsidRPr="00515AA2" w:rsidRDefault="000A358D" w:rsidP="005E1AB0">
            <w:pPr>
              <w:pStyle w:val="Tableaudroiteanglais"/>
              <w:spacing w:line="240" w:lineRule="auto"/>
              <w:ind w:left="207" w:right="646"/>
              <w:rPr>
                <w:color w:val="000000"/>
                <w:lang w:val="fr-CA"/>
              </w:rPr>
            </w:pPr>
            <w:r w:rsidRPr="00515AA2">
              <w:rPr>
                <w:color w:val="000000"/>
                <w:lang w:val="fr-CA"/>
              </w:rPr>
              <w:lastRenderedPageBreak/>
              <w:t>4°  que sa démarche pour l’enfant mineur est faite de façon volontaire et que son consentement est libre et éclairé.</w:t>
            </w:r>
          </w:p>
        </w:tc>
      </w:tr>
      <w:tr w:rsidR="00515AA2" w:rsidRPr="00515AA2" w14:paraId="220C33D6" w14:textId="77777777" w:rsidTr="005219B1">
        <w:tc>
          <w:tcPr>
            <w:tcW w:w="4683" w:type="dxa"/>
          </w:tcPr>
          <w:p w14:paraId="71E147D7" w14:textId="38074599" w:rsidR="000A358D" w:rsidRPr="00515AA2" w:rsidRDefault="000A358D" w:rsidP="00D84C5B">
            <w:pPr>
              <w:pStyle w:val="Tableaudroiteanglais"/>
              <w:spacing w:line="240" w:lineRule="auto"/>
              <w:ind w:left="780" w:right="216"/>
              <w:rPr>
                <w:color w:val="000000"/>
              </w:rPr>
            </w:pPr>
            <w:r w:rsidRPr="00515AA2">
              <w:rPr>
                <w:b/>
                <w:color w:val="000000"/>
              </w:rPr>
              <w:t>23.2.</w:t>
            </w:r>
            <w:r w:rsidRPr="00515AA2">
              <w:rPr>
                <w:color w:val="000000"/>
              </w:rPr>
              <w:t xml:space="preserve"> An application for a change of the designation of sex that appears in an act of birth of a person of full age must be accompanied by, in addition to the documents referred to in section 4, an affidavit of a person of full age who attests to having known the applicant for at least one year and who confirms that the applicant is fully aware of the seriousness of the application.</w:t>
            </w:r>
          </w:p>
          <w:p w14:paraId="325A922E" w14:textId="62673ECC" w:rsidR="00983809" w:rsidRPr="00515AA2" w:rsidRDefault="00983809" w:rsidP="00D84C5B">
            <w:pPr>
              <w:pStyle w:val="Tableaugauchefranais"/>
              <w:spacing w:line="240" w:lineRule="auto"/>
              <w:ind w:left="780" w:right="216"/>
              <w:rPr>
                <w:b/>
                <w:color w:val="000000"/>
                <w:lang w:val="en-CA"/>
              </w:rPr>
            </w:pPr>
          </w:p>
        </w:tc>
        <w:tc>
          <w:tcPr>
            <w:tcW w:w="4679" w:type="dxa"/>
          </w:tcPr>
          <w:p w14:paraId="354E908D" w14:textId="2DE0F579" w:rsidR="00F83313" w:rsidRPr="00515AA2" w:rsidRDefault="000A358D" w:rsidP="00D84C5B">
            <w:pPr>
              <w:pStyle w:val="Tableaudroiteanglais"/>
              <w:spacing w:line="240" w:lineRule="auto"/>
              <w:ind w:left="207" w:right="646"/>
              <w:rPr>
                <w:b/>
                <w:color w:val="000000"/>
                <w:lang w:val="fr-CA"/>
              </w:rPr>
            </w:pPr>
            <w:r w:rsidRPr="00515AA2">
              <w:rPr>
                <w:b/>
                <w:color w:val="000000"/>
                <w:lang w:val="fr-CA"/>
              </w:rPr>
              <w:t>23.2.</w:t>
            </w:r>
            <w:r w:rsidRPr="00515AA2">
              <w:rPr>
                <w:color w:val="000000"/>
                <w:lang w:val="fr-CA"/>
              </w:rPr>
              <w:t xml:space="preserve"> La demande de changement de la mention du sexe figurant à un acte de naissance d’une personne majeure, outre les documents prévus à l’article 4, doit être accompagnée d’une déclaration sous serment d’une personne majeure qui atteste connaître le demandeur depuis au moins un an et qui confirme que le demandeur reconnaît le sérieux de sa demande.</w:t>
            </w:r>
          </w:p>
        </w:tc>
      </w:tr>
      <w:tr w:rsidR="00515AA2" w:rsidRPr="00515AA2" w14:paraId="3AD6140E" w14:textId="77777777" w:rsidTr="005219B1">
        <w:tc>
          <w:tcPr>
            <w:tcW w:w="4683" w:type="dxa"/>
          </w:tcPr>
          <w:p w14:paraId="75C1E1B6" w14:textId="77777777" w:rsidR="000A358D" w:rsidRPr="00515AA2" w:rsidRDefault="000A358D" w:rsidP="00D84C5B">
            <w:pPr>
              <w:pStyle w:val="Tableaudroiteanglais"/>
              <w:spacing w:line="240" w:lineRule="auto"/>
              <w:ind w:left="780" w:right="216"/>
              <w:rPr>
                <w:color w:val="000000"/>
              </w:rPr>
            </w:pPr>
            <w:r w:rsidRPr="00515AA2">
              <w:rPr>
                <w:color w:val="000000"/>
              </w:rPr>
              <w:t>An application for a change of the designation of sex for a minor child must be accompanied by, in addition to the documents referred to in section 4, a letter from a physician, a psychologist, a psychiatrist, a sexologist or a social worker authorized to practise in Canada or in the State in which the child is domiciled who declares having evaluated or followed the child and is of the opinion that the change of designation is appropriate.</w:t>
            </w:r>
          </w:p>
          <w:p w14:paraId="492D5E93" w14:textId="6BCE2304" w:rsidR="00983809" w:rsidRPr="00515AA2" w:rsidRDefault="00983809" w:rsidP="00D84C5B">
            <w:pPr>
              <w:pStyle w:val="Tableaugauchefranais"/>
              <w:spacing w:line="240" w:lineRule="auto"/>
              <w:ind w:left="780" w:right="216"/>
              <w:rPr>
                <w:b/>
                <w:color w:val="000000"/>
                <w:lang w:val="en-CA"/>
              </w:rPr>
            </w:pPr>
          </w:p>
        </w:tc>
        <w:tc>
          <w:tcPr>
            <w:tcW w:w="4679" w:type="dxa"/>
          </w:tcPr>
          <w:p w14:paraId="5F0A2337" w14:textId="5E223501" w:rsidR="000A358D" w:rsidRPr="00515AA2" w:rsidRDefault="000A358D" w:rsidP="00D84C5B">
            <w:pPr>
              <w:pStyle w:val="Tableaudroiteanglais"/>
              <w:spacing w:line="240" w:lineRule="auto"/>
              <w:ind w:right="646"/>
              <w:rPr>
                <w:color w:val="000000"/>
                <w:lang w:val="fr-CA"/>
              </w:rPr>
            </w:pPr>
            <w:r w:rsidRPr="00515AA2">
              <w:rPr>
                <w:color w:val="000000"/>
                <w:lang w:val="fr-CA"/>
              </w:rPr>
              <w:t xml:space="preserve">La demande de changement de la mention du sexe d’un enfant mineur doit, outre les documents prévus à l’article 4, être accompagnée d’une lettre d’un médecin, d’un psychologue, d’un psychiatre, d’un sexologue ou d’un travailleur social autorisé à exercer au Canada ou dans l’État du domicile de l’enfant, </w:t>
            </w:r>
            <w:bookmarkStart w:id="47" w:name="_Hlk137125374"/>
            <w:r w:rsidRPr="00515AA2">
              <w:rPr>
                <w:color w:val="000000"/>
                <w:lang w:val="fr-CA"/>
              </w:rPr>
              <w:t>qui déclare avoir évalué ou suivi l’enfant</w:t>
            </w:r>
            <w:bookmarkEnd w:id="47"/>
            <w:r w:rsidRPr="00515AA2">
              <w:rPr>
                <w:color w:val="000000"/>
                <w:lang w:val="fr-CA"/>
              </w:rPr>
              <w:t xml:space="preserve"> et qui est d’avis </w:t>
            </w:r>
            <w:bookmarkStart w:id="48" w:name="_Hlk137646439"/>
            <w:r w:rsidRPr="00515AA2">
              <w:rPr>
                <w:color w:val="000000"/>
                <w:lang w:val="fr-CA"/>
              </w:rPr>
              <w:t>que le changement de cette mention est approprié</w:t>
            </w:r>
            <w:bookmarkEnd w:id="48"/>
            <w:r w:rsidRPr="00515AA2">
              <w:rPr>
                <w:color w:val="000000"/>
                <w:lang w:val="fr-CA"/>
              </w:rPr>
              <w:t>.</w:t>
            </w:r>
          </w:p>
          <w:p w14:paraId="4C3FC920" w14:textId="77777777" w:rsidR="000A358D" w:rsidRPr="00515AA2" w:rsidRDefault="000A358D" w:rsidP="00710E4C">
            <w:pPr>
              <w:pStyle w:val="Tableaudroiteanglais"/>
              <w:spacing w:line="240" w:lineRule="auto"/>
              <w:rPr>
                <w:color w:val="000000"/>
                <w:lang w:val="fr-CA"/>
              </w:rPr>
            </w:pPr>
          </w:p>
          <w:p w14:paraId="6C921254" w14:textId="70C954D6" w:rsidR="000A358D" w:rsidRPr="00515AA2" w:rsidRDefault="000A358D" w:rsidP="00710E4C">
            <w:pPr>
              <w:pStyle w:val="Tableaudroiteanglais"/>
              <w:spacing w:line="240" w:lineRule="auto"/>
              <w:rPr>
                <w:b/>
                <w:color w:val="000000"/>
                <w:lang w:val="fr-CA"/>
              </w:rPr>
            </w:pPr>
          </w:p>
        </w:tc>
      </w:tr>
    </w:tbl>
    <w:p w14:paraId="41CC3A86" w14:textId="2B4EBFF7" w:rsidR="00983809" w:rsidRPr="00515AA2" w:rsidRDefault="004E0A5B" w:rsidP="00F846E3">
      <w:pPr>
        <w:pStyle w:val="Paragraphe"/>
        <w:spacing w:line="280" w:lineRule="exact"/>
        <w:rPr>
          <w:color w:val="000000"/>
          <w:lang w:val="en-CA"/>
        </w:rPr>
      </w:pPr>
      <w:r w:rsidRPr="00515AA2">
        <w:rPr>
          <w:color w:val="000000"/>
          <w:lang w:val="en-CA"/>
        </w:rPr>
        <w:t>We note that s</w:t>
      </w:r>
      <w:r w:rsidR="00E924BE" w:rsidRPr="00515AA2">
        <w:rPr>
          <w:color w:val="000000"/>
          <w:lang w:val="en-CA"/>
        </w:rPr>
        <w:t>ection</w:t>
      </w:r>
      <w:r w:rsidRPr="00515AA2">
        <w:rPr>
          <w:color w:val="000000"/>
          <w:lang w:val="en-CA"/>
        </w:rPr>
        <w:t xml:space="preserve"> </w:t>
      </w:r>
      <w:r w:rsidR="00983809" w:rsidRPr="00515AA2">
        <w:rPr>
          <w:color w:val="000000"/>
          <w:lang w:val="en-CA"/>
        </w:rPr>
        <w:t xml:space="preserve">23.1 </w:t>
      </w:r>
      <w:r w:rsidRPr="00515AA2">
        <w:rPr>
          <w:color w:val="000000"/>
          <w:lang w:val="en-CA"/>
        </w:rPr>
        <w:t>and the first paragraph of s</w:t>
      </w:r>
      <w:r w:rsidR="00E924BE" w:rsidRPr="00515AA2">
        <w:rPr>
          <w:color w:val="000000"/>
          <w:lang w:val="en-CA"/>
        </w:rPr>
        <w:t>ection</w:t>
      </w:r>
      <w:r w:rsidR="0076197F" w:rsidRPr="00515AA2">
        <w:rPr>
          <w:color w:val="000000"/>
          <w:lang w:val="en-CA"/>
        </w:rPr>
        <w:t> </w:t>
      </w:r>
      <w:r w:rsidR="00983809" w:rsidRPr="00515AA2">
        <w:rPr>
          <w:color w:val="000000"/>
          <w:lang w:val="en-CA"/>
        </w:rPr>
        <w:t xml:space="preserve">23.2 </w:t>
      </w:r>
      <w:r w:rsidRPr="00515AA2">
        <w:rPr>
          <w:color w:val="000000"/>
          <w:lang w:val="en-CA"/>
        </w:rPr>
        <w:t>were enacted in</w:t>
      </w:r>
      <w:r w:rsidR="00983809" w:rsidRPr="00515AA2">
        <w:rPr>
          <w:color w:val="000000"/>
          <w:lang w:val="en-CA"/>
        </w:rPr>
        <w:t xml:space="preserve"> 2015 </w:t>
      </w:r>
      <w:r w:rsidRPr="00515AA2">
        <w:rPr>
          <w:color w:val="000000"/>
          <w:lang w:val="en-CA"/>
        </w:rPr>
        <w:t>when art</w:t>
      </w:r>
      <w:r w:rsidR="00E924BE" w:rsidRPr="00515AA2">
        <w:rPr>
          <w:color w:val="000000"/>
          <w:lang w:val="en-CA"/>
        </w:rPr>
        <w:t>icle</w:t>
      </w:r>
      <w:r w:rsidR="0076197F" w:rsidRPr="00515AA2">
        <w:rPr>
          <w:color w:val="000000"/>
          <w:lang w:val="en-CA"/>
        </w:rPr>
        <w:t> </w:t>
      </w:r>
      <w:r w:rsidR="00983809" w:rsidRPr="00515AA2">
        <w:rPr>
          <w:color w:val="000000"/>
          <w:lang w:val="en-CA"/>
        </w:rPr>
        <w:t xml:space="preserve">71 </w:t>
      </w:r>
      <w:r w:rsidR="00983809" w:rsidRPr="00515AA2">
        <w:rPr>
          <w:i/>
          <w:iCs/>
          <w:color w:val="000000"/>
          <w:lang w:val="en-CA"/>
        </w:rPr>
        <w:t>C.</w:t>
      </w:r>
      <w:r w:rsidRPr="00515AA2">
        <w:rPr>
          <w:i/>
          <w:iCs/>
          <w:color w:val="000000"/>
          <w:lang w:val="en-CA"/>
        </w:rPr>
        <w:t>C</w:t>
      </w:r>
      <w:r w:rsidR="00983809" w:rsidRPr="00515AA2">
        <w:rPr>
          <w:i/>
          <w:iCs/>
          <w:color w:val="000000"/>
          <w:lang w:val="en-CA"/>
        </w:rPr>
        <w:t>.Q.</w:t>
      </w:r>
      <w:r w:rsidR="00983809" w:rsidRPr="00515AA2">
        <w:rPr>
          <w:color w:val="000000"/>
          <w:lang w:val="en-CA"/>
        </w:rPr>
        <w:t xml:space="preserve"> </w:t>
      </w:r>
      <w:r w:rsidR="0095340E" w:rsidRPr="00515AA2">
        <w:rPr>
          <w:color w:val="000000"/>
          <w:lang w:val="en-CA"/>
        </w:rPr>
        <w:t xml:space="preserve">was amended </w:t>
      </w:r>
      <w:r w:rsidRPr="00515AA2">
        <w:rPr>
          <w:color w:val="000000"/>
          <w:lang w:val="en-CA"/>
        </w:rPr>
        <w:t xml:space="preserve">to allow </w:t>
      </w:r>
      <w:r w:rsidR="0095340E" w:rsidRPr="00515AA2">
        <w:rPr>
          <w:color w:val="000000"/>
          <w:lang w:val="en-CA"/>
        </w:rPr>
        <w:t>a</w:t>
      </w:r>
      <w:r w:rsidRPr="00515AA2">
        <w:rPr>
          <w:color w:val="000000"/>
          <w:lang w:val="en-CA"/>
        </w:rPr>
        <w:t xml:space="preserve"> change of the designation of sex of a person of full age without </w:t>
      </w:r>
      <w:r w:rsidR="0095340E" w:rsidRPr="00515AA2">
        <w:rPr>
          <w:color w:val="000000"/>
          <w:lang w:val="en-CA"/>
        </w:rPr>
        <w:t xml:space="preserve">requiring </w:t>
      </w:r>
      <w:r w:rsidRPr="00515AA2">
        <w:rPr>
          <w:color w:val="000000"/>
          <w:lang w:val="en-CA"/>
        </w:rPr>
        <w:t xml:space="preserve">them </w:t>
      </w:r>
      <w:r w:rsidR="0095340E" w:rsidRPr="00515AA2">
        <w:rPr>
          <w:color w:val="000000"/>
          <w:lang w:val="en-CA"/>
        </w:rPr>
        <w:t>to have</w:t>
      </w:r>
      <w:r w:rsidR="00983809" w:rsidRPr="00515AA2">
        <w:rPr>
          <w:color w:val="000000"/>
          <w:lang w:val="en-CA"/>
        </w:rPr>
        <w:t xml:space="preserve"> </w:t>
      </w:r>
      <w:r w:rsidR="0095340E" w:rsidRPr="00515AA2">
        <w:rPr>
          <w:color w:val="000000"/>
          <w:lang w:val="en-CA"/>
        </w:rPr>
        <w:t>undergone “medical treatments and surgical operations involving a structural modification of the sexual organs intended to change their secondary sexual characteristics.”</w:t>
      </w:r>
    </w:p>
    <w:p w14:paraId="52EDED90" w14:textId="1DF9CE5D" w:rsidR="00983809" w:rsidRPr="00515AA2" w:rsidRDefault="0095340E" w:rsidP="00F846E3">
      <w:pPr>
        <w:pStyle w:val="Paragraphe"/>
        <w:spacing w:line="280" w:lineRule="exact"/>
        <w:rPr>
          <w:color w:val="000000"/>
          <w:lang w:val="en-CA"/>
        </w:rPr>
      </w:pPr>
      <w:r w:rsidRPr="00515AA2">
        <w:rPr>
          <w:color w:val="000000"/>
          <w:lang w:val="en-CA"/>
        </w:rPr>
        <w:t>For its part, the second paragraph of s</w:t>
      </w:r>
      <w:r w:rsidR="00E924BE" w:rsidRPr="00515AA2">
        <w:rPr>
          <w:color w:val="000000"/>
          <w:lang w:val="en-CA"/>
        </w:rPr>
        <w:t>ection</w:t>
      </w:r>
      <w:r w:rsidR="0076197F" w:rsidRPr="00515AA2">
        <w:rPr>
          <w:color w:val="000000"/>
          <w:lang w:val="en-CA"/>
        </w:rPr>
        <w:t> </w:t>
      </w:r>
      <w:r w:rsidR="00983809" w:rsidRPr="00515AA2">
        <w:rPr>
          <w:color w:val="000000"/>
          <w:lang w:val="en-CA"/>
        </w:rPr>
        <w:t xml:space="preserve">23.2 </w:t>
      </w:r>
      <w:r w:rsidRPr="00515AA2">
        <w:rPr>
          <w:color w:val="000000"/>
          <w:lang w:val="en-CA"/>
        </w:rPr>
        <w:t>was added in</w:t>
      </w:r>
      <w:r w:rsidR="00983809" w:rsidRPr="00515AA2">
        <w:rPr>
          <w:color w:val="000000"/>
          <w:lang w:val="en-CA"/>
        </w:rPr>
        <w:t xml:space="preserve"> 2016 </w:t>
      </w:r>
      <w:r w:rsidRPr="00515AA2">
        <w:rPr>
          <w:color w:val="000000"/>
          <w:lang w:val="en-CA"/>
        </w:rPr>
        <w:t>when art</w:t>
      </w:r>
      <w:r w:rsidR="00E924BE" w:rsidRPr="00515AA2">
        <w:rPr>
          <w:color w:val="000000"/>
          <w:lang w:val="en-CA"/>
        </w:rPr>
        <w:t>icle</w:t>
      </w:r>
      <w:r w:rsidR="0076197F" w:rsidRPr="00515AA2">
        <w:rPr>
          <w:color w:val="000000"/>
          <w:lang w:val="en-CA"/>
        </w:rPr>
        <w:t> </w:t>
      </w:r>
      <w:r w:rsidR="00983809" w:rsidRPr="00515AA2">
        <w:rPr>
          <w:color w:val="000000"/>
          <w:lang w:val="en-CA"/>
        </w:rPr>
        <w:t xml:space="preserve">71 </w:t>
      </w:r>
      <w:r w:rsidR="00983809" w:rsidRPr="00515AA2">
        <w:rPr>
          <w:i/>
          <w:iCs/>
          <w:color w:val="000000"/>
          <w:lang w:val="en-CA"/>
        </w:rPr>
        <w:t>C.</w:t>
      </w:r>
      <w:r w:rsidRPr="00515AA2">
        <w:rPr>
          <w:i/>
          <w:iCs/>
          <w:color w:val="000000"/>
          <w:lang w:val="en-CA"/>
        </w:rPr>
        <w:t>C</w:t>
      </w:r>
      <w:r w:rsidR="00983809" w:rsidRPr="00515AA2">
        <w:rPr>
          <w:i/>
          <w:iCs/>
          <w:color w:val="000000"/>
          <w:lang w:val="en-CA"/>
        </w:rPr>
        <w:t xml:space="preserve">.Q. </w:t>
      </w:r>
      <w:r w:rsidRPr="00515AA2">
        <w:rPr>
          <w:color w:val="000000"/>
          <w:lang w:val="en-CA"/>
        </w:rPr>
        <w:t>was further amended and</w:t>
      </w:r>
      <w:r w:rsidR="00983809" w:rsidRPr="00515AA2">
        <w:rPr>
          <w:color w:val="000000"/>
          <w:lang w:val="en-CA"/>
        </w:rPr>
        <w:t xml:space="preserve"> </w:t>
      </w:r>
      <w:r w:rsidR="00E924BE" w:rsidRPr="00515AA2">
        <w:rPr>
          <w:color w:val="000000"/>
          <w:lang w:val="en-CA"/>
        </w:rPr>
        <w:t xml:space="preserve">article </w:t>
      </w:r>
      <w:r w:rsidR="00983809" w:rsidRPr="00515AA2">
        <w:rPr>
          <w:color w:val="000000"/>
          <w:lang w:val="en-CA"/>
        </w:rPr>
        <w:t xml:space="preserve">71.1 </w:t>
      </w:r>
      <w:r w:rsidR="00983809" w:rsidRPr="00515AA2">
        <w:rPr>
          <w:i/>
          <w:iCs/>
          <w:color w:val="000000"/>
          <w:lang w:val="en-CA"/>
        </w:rPr>
        <w:t>C.</w:t>
      </w:r>
      <w:r w:rsidRPr="00515AA2">
        <w:rPr>
          <w:i/>
          <w:iCs/>
          <w:color w:val="000000"/>
          <w:lang w:val="en-CA"/>
        </w:rPr>
        <w:t>C</w:t>
      </w:r>
      <w:r w:rsidR="00983809" w:rsidRPr="00515AA2">
        <w:rPr>
          <w:i/>
          <w:iCs/>
          <w:color w:val="000000"/>
          <w:lang w:val="en-CA"/>
        </w:rPr>
        <w:t xml:space="preserve">.Q. </w:t>
      </w:r>
      <w:r w:rsidRPr="00515AA2">
        <w:rPr>
          <w:color w:val="000000"/>
          <w:lang w:val="en-CA"/>
        </w:rPr>
        <w:t xml:space="preserve">was added to </w:t>
      </w:r>
      <w:r w:rsidR="00703522" w:rsidRPr="00515AA2">
        <w:rPr>
          <w:color w:val="000000"/>
          <w:lang w:val="en-CA"/>
        </w:rPr>
        <w:t>henceforth allow</w:t>
      </w:r>
      <w:r w:rsidR="00681F1E" w:rsidRPr="00515AA2">
        <w:rPr>
          <w:color w:val="000000"/>
          <w:lang w:val="en-CA"/>
        </w:rPr>
        <w:t xml:space="preserve"> the</w:t>
      </w:r>
      <w:r w:rsidRPr="00515AA2">
        <w:rPr>
          <w:color w:val="000000"/>
          <w:lang w:val="en-CA"/>
        </w:rPr>
        <w:t xml:space="preserve"> change </w:t>
      </w:r>
      <w:r w:rsidR="00840511" w:rsidRPr="00515AA2">
        <w:rPr>
          <w:color w:val="000000"/>
          <w:lang w:val="en-CA"/>
        </w:rPr>
        <w:t>of</w:t>
      </w:r>
      <w:r w:rsidRPr="00515AA2">
        <w:rPr>
          <w:color w:val="000000"/>
          <w:lang w:val="en-CA"/>
        </w:rPr>
        <w:t xml:space="preserve"> designation of sex of a minor</w:t>
      </w:r>
      <w:r w:rsidR="00840511" w:rsidRPr="00515AA2">
        <w:rPr>
          <w:color w:val="000000"/>
          <w:lang w:val="en-CA"/>
        </w:rPr>
        <w:t xml:space="preserve"> person</w:t>
      </w:r>
      <w:r w:rsidR="00983809" w:rsidRPr="00515AA2">
        <w:rPr>
          <w:color w:val="000000"/>
          <w:lang w:val="en-CA"/>
        </w:rPr>
        <w:t>.</w:t>
      </w:r>
    </w:p>
    <w:p w14:paraId="0CBF80B6" w14:textId="3A0DB9A8" w:rsidR="00983809" w:rsidRPr="00515AA2" w:rsidRDefault="00840511" w:rsidP="00D84C5B">
      <w:pPr>
        <w:pStyle w:val="Titre6"/>
        <w:numPr>
          <w:ilvl w:val="1"/>
          <w:numId w:val="19"/>
        </w:numPr>
        <w:ind w:left="1418" w:hanging="851"/>
        <w:rPr>
          <w:i/>
          <w:iCs/>
          <w:color w:val="000000"/>
          <w:lang w:val="en-CA"/>
        </w:rPr>
      </w:pPr>
      <w:bookmarkStart w:id="49" w:name="_Toc161830113"/>
      <w:r w:rsidRPr="00515AA2">
        <w:rPr>
          <w:i/>
          <w:iCs/>
          <w:color w:val="000000"/>
          <w:lang w:val="en-CA"/>
        </w:rPr>
        <w:t>Did the trial judge err</w:t>
      </w:r>
      <w:r w:rsidR="00681F1E" w:rsidRPr="00515AA2">
        <w:rPr>
          <w:i/>
          <w:iCs/>
          <w:color w:val="000000"/>
          <w:lang w:val="en-CA"/>
        </w:rPr>
        <w:t xml:space="preserve"> in</w:t>
      </w:r>
      <w:r w:rsidRPr="00515AA2">
        <w:rPr>
          <w:i/>
          <w:iCs/>
          <w:color w:val="000000"/>
          <w:lang w:val="en-CA"/>
        </w:rPr>
        <w:t xml:space="preserve"> failing to read s</w:t>
      </w:r>
      <w:r w:rsidR="00E924BE" w:rsidRPr="00515AA2">
        <w:rPr>
          <w:i/>
          <w:iCs/>
          <w:color w:val="000000"/>
          <w:lang w:val="en-CA"/>
        </w:rPr>
        <w:t>ection</w:t>
      </w:r>
      <w:r w:rsidRPr="00515AA2">
        <w:rPr>
          <w:i/>
          <w:iCs/>
          <w:color w:val="000000"/>
          <w:lang w:val="en-CA"/>
        </w:rPr>
        <w:t xml:space="preserve"> 23.1 and paragraph 2 of s</w:t>
      </w:r>
      <w:r w:rsidR="00E924BE" w:rsidRPr="00515AA2">
        <w:rPr>
          <w:i/>
          <w:iCs/>
          <w:color w:val="000000"/>
          <w:lang w:val="en-CA"/>
        </w:rPr>
        <w:t>ection</w:t>
      </w:r>
      <w:r w:rsidRPr="00515AA2">
        <w:rPr>
          <w:i/>
          <w:iCs/>
          <w:color w:val="000000"/>
          <w:lang w:val="en-CA"/>
        </w:rPr>
        <w:t xml:space="preserve"> 23.2 of the Regulation together</w:t>
      </w:r>
      <w:r w:rsidR="00F917E2" w:rsidRPr="00515AA2">
        <w:rPr>
          <w:i/>
          <w:iCs/>
          <w:color w:val="000000"/>
          <w:lang w:val="en-CA"/>
        </w:rPr>
        <w:t>?</w:t>
      </w:r>
      <w:bookmarkEnd w:id="49"/>
    </w:p>
    <w:p w14:paraId="39449B1C" w14:textId="4909B8D1" w:rsidR="00016EAA" w:rsidRPr="00515AA2" w:rsidRDefault="00840511" w:rsidP="00F846E3">
      <w:pPr>
        <w:pStyle w:val="Paragraphe"/>
        <w:spacing w:line="280" w:lineRule="exact"/>
        <w:rPr>
          <w:color w:val="000000"/>
          <w:lang w:val="en-CA"/>
        </w:rPr>
      </w:pPr>
      <w:r w:rsidRPr="00515AA2">
        <w:rPr>
          <w:color w:val="000000"/>
          <w:lang w:val="en-CA"/>
        </w:rPr>
        <w:t xml:space="preserve">The AGQ argues that the judge </w:t>
      </w:r>
      <w:r w:rsidR="002F2C07" w:rsidRPr="00515AA2">
        <w:rPr>
          <w:color w:val="000000"/>
          <w:lang w:val="en-CA"/>
        </w:rPr>
        <w:t>committed a</w:t>
      </w:r>
      <w:r w:rsidR="00AA2CA0" w:rsidRPr="00515AA2">
        <w:rPr>
          <w:color w:val="000000"/>
          <w:lang w:val="en-CA"/>
        </w:rPr>
        <w:t>n overriding</w:t>
      </w:r>
      <w:r w:rsidR="002F2C07" w:rsidRPr="00515AA2">
        <w:rPr>
          <w:color w:val="000000"/>
          <w:lang w:val="en-CA"/>
        </w:rPr>
        <w:t xml:space="preserve"> error of law </w:t>
      </w:r>
      <w:r w:rsidR="00681F1E" w:rsidRPr="00515AA2">
        <w:rPr>
          <w:color w:val="000000"/>
          <w:lang w:val="en-CA"/>
        </w:rPr>
        <w:t>in</w:t>
      </w:r>
      <w:r w:rsidR="002F2C07" w:rsidRPr="00515AA2">
        <w:rPr>
          <w:color w:val="000000"/>
          <w:lang w:val="en-CA"/>
        </w:rPr>
        <w:t xml:space="preserve"> failing to read</w:t>
      </w:r>
      <w:r w:rsidR="00016EAA" w:rsidRPr="00515AA2">
        <w:rPr>
          <w:color w:val="000000"/>
          <w:lang w:val="en-CA"/>
        </w:rPr>
        <w:t xml:space="preserve"> </w:t>
      </w:r>
      <w:r w:rsidR="002F2C07" w:rsidRPr="00515AA2">
        <w:rPr>
          <w:color w:val="000000"/>
          <w:lang w:val="en-CA"/>
        </w:rPr>
        <w:t>s</w:t>
      </w:r>
      <w:r w:rsidR="00E924BE" w:rsidRPr="00515AA2">
        <w:rPr>
          <w:color w:val="000000"/>
          <w:lang w:val="en-CA"/>
        </w:rPr>
        <w:t>ection</w:t>
      </w:r>
      <w:r w:rsidR="002F2C07" w:rsidRPr="00515AA2">
        <w:rPr>
          <w:color w:val="000000"/>
          <w:lang w:val="en-CA"/>
        </w:rPr>
        <w:t>s</w:t>
      </w:r>
      <w:r w:rsidR="0076197F" w:rsidRPr="00515AA2">
        <w:rPr>
          <w:color w:val="000000"/>
          <w:lang w:val="en-CA"/>
        </w:rPr>
        <w:t> </w:t>
      </w:r>
      <w:r w:rsidR="00016EAA" w:rsidRPr="00515AA2">
        <w:rPr>
          <w:color w:val="000000"/>
          <w:lang w:val="en-CA"/>
        </w:rPr>
        <w:t xml:space="preserve">23.1 </w:t>
      </w:r>
      <w:r w:rsidR="002F2C07" w:rsidRPr="00515AA2">
        <w:rPr>
          <w:color w:val="000000"/>
          <w:lang w:val="en-CA"/>
        </w:rPr>
        <w:t>and</w:t>
      </w:r>
      <w:r w:rsidR="00016EAA" w:rsidRPr="00515AA2">
        <w:rPr>
          <w:color w:val="000000"/>
          <w:lang w:val="en-CA"/>
        </w:rPr>
        <w:t xml:space="preserve"> 23.2 </w:t>
      </w:r>
      <w:r w:rsidR="002F2C07"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2F2C07" w:rsidRPr="00515AA2">
        <w:rPr>
          <w:i/>
          <w:iCs/>
          <w:color w:val="000000"/>
          <w:lang w:val="en-CA"/>
        </w:rPr>
        <w:t>egulation</w:t>
      </w:r>
      <w:r w:rsidR="002F2C07" w:rsidRPr="00515AA2">
        <w:rPr>
          <w:color w:val="000000"/>
          <w:lang w:val="en-CA"/>
        </w:rPr>
        <w:t xml:space="preserve"> together</w:t>
      </w:r>
      <w:r w:rsidR="00046B15" w:rsidRPr="00515AA2">
        <w:rPr>
          <w:color w:val="000000"/>
          <w:lang w:val="en-CA"/>
        </w:rPr>
        <w:t>, as a whole</w:t>
      </w:r>
      <w:r w:rsidR="002F2C07" w:rsidRPr="00515AA2">
        <w:rPr>
          <w:color w:val="000000"/>
          <w:lang w:val="en-CA"/>
        </w:rPr>
        <w:t>. In its view, the term “appropriate” in the second paragraph of s</w:t>
      </w:r>
      <w:r w:rsidR="00E924BE" w:rsidRPr="00515AA2">
        <w:rPr>
          <w:color w:val="000000"/>
          <w:lang w:val="en-CA"/>
        </w:rPr>
        <w:t>ection</w:t>
      </w:r>
      <w:r w:rsidR="00016EAA" w:rsidRPr="00515AA2">
        <w:rPr>
          <w:color w:val="000000"/>
          <w:lang w:val="en-CA"/>
        </w:rPr>
        <w:t xml:space="preserve"> 23.2 </w:t>
      </w:r>
      <w:r w:rsidR="002F2C07" w:rsidRPr="00515AA2">
        <w:rPr>
          <w:color w:val="000000"/>
          <w:lang w:val="en-CA"/>
        </w:rPr>
        <w:t>refers exclusively to the general conditions of s</w:t>
      </w:r>
      <w:r w:rsidR="00E924BE" w:rsidRPr="00515AA2">
        <w:rPr>
          <w:color w:val="000000"/>
          <w:lang w:val="en-CA"/>
        </w:rPr>
        <w:t>ection</w:t>
      </w:r>
      <w:r w:rsidR="002F2C07" w:rsidRPr="00515AA2">
        <w:rPr>
          <w:color w:val="000000"/>
          <w:lang w:val="en-CA"/>
        </w:rPr>
        <w:t xml:space="preserve"> </w:t>
      </w:r>
      <w:r w:rsidR="00016EAA" w:rsidRPr="00515AA2">
        <w:rPr>
          <w:color w:val="000000"/>
          <w:lang w:val="en-CA"/>
        </w:rPr>
        <w:t>23.1</w:t>
      </w:r>
      <w:r w:rsidR="005767E9" w:rsidRPr="00515AA2">
        <w:rPr>
          <w:color w:val="000000"/>
          <w:lang w:val="en-CA"/>
        </w:rPr>
        <w:t>,</w:t>
      </w:r>
      <w:r w:rsidR="00016EAA" w:rsidRPr="00515AA2">
        <w:rPr>
          <w:color w:val="000000"/>
          <w:lang w:val="en-CA"/>
        </w:rPr>
        <w:t xml:space="preserve"> </w:t>
      </w:r>
      <w:r w:rsidR="002F2C07" w:rsidRPr="00515AA2">
        <w:rPr>
          <w:color w:val="000000"/>
          <w:lang w:val="en-CA"/>
        </w:rPr>
        <w:t>to which are subject both persons of full age as well</w:t>
      </w:r>
      <w:r w:rsidR="00AA5749" w:rsidRPr="00515AA2">
        <w:rPr>
          <w:color w:val="000000"/>
          <w:lang w:val="en-CA"/>
        </w:rPr>
        <w:t xml:space="preserve"> as</w:t>
      </w:r>
      <w:r w:rsidR="002F2C07" w:rsidRPr="00515AA2">
        <w:rPr>
          <w:color w:val="000000"/>
          <w:lang w:val="en-CA"/>
        </w:rPr>
        <w:t xml:space="preserve"> minor persons </w:t>
      </w:r>
      <w:r w:rsidR="00AA5749" w:rsidRPr="00515AA2">
        <w:rPr>
          <w:color w:val="000000"/>
          <w:lang w:val="en-CA"/>
        </w:rPr>
        <w:t>14 years of age or over</w:t>
      </w:r>
      <w:r w:rsidR="00016EAA" w:rsidRPr="00515AA2">
        <w:rPr>
          <w:color w:val="000000"/>
          <w:lang w:val="en-CA"/>
        </w:rPr>
        <w:t xml:space="preserve">. </w:t>
      </w:r>
      <w:r w:rsidR="00AA5749" w:rsidRPr="00515AA2">
        <w:rPr>
          <w:color w:val="000000"/>
          <w:lang w:val="en-CA"/>
        </w:rPr>
        <w:t>Consequently, it submits that the second paragraph of s</w:t>
      </w:r>
      <w:r w:rsidR="00E924BE" w:rsidRPr="00515AA2">
        <w:rPr>
          <w:color w:val="000000"/>
          <w:lang w:val="en-CA"/>
        </w:rPr>
        <w:t>ection</w:t>
      </w:r>
      <w:r w:rsidR="00AA5749" w:rsidRPr="00515AA2">
        <w:rPr>
          <w:color w:val="000000"/>
          <w:lang w:val="en-CA"/>
        </w:rPr>
        <w:t xml:space="preserve"> 23.2 does not add any </w:t>
      </w:r>
      <w:r w:rsidR="00CE00A8" w:rsidRPr="00515AA2">
        <w:rPr>
          <w:color w:val="000000"/>
          <w:lang w:val="en-CA"/>
        </w:rPr>
        <w:t>further</w:t>
      </w:r>
      <w:r w:rsidR="00AA5749" w:rsidRPr="00515AA2">
        <w:rPr>
          <w:color w:val="000000"/>
          <w:lang w:val="en-CA"/>
        </w:rPr>
        <w:t xml:space="preserve"> condition to that imposed upon persons of full age </w:t>
      </w:r>
      <w:r w:rsidR="00AA5749" w:rsidRPr="00515AA2">
        <w:rPr>
          <w:color w:val="000000"/>
          <w:lang w:val="en-CA"/>
        </w:rPr>
        <w:lastRenderedPageBreak/>
        <w:t>under the first paragraph, but is intended</w:t>
      </w:r>
      <w:r w:rsidR="00681F1E" w:rsidRPr="00515AA2">
        <w:rPr>
          <w:color w:val="000000"/>
          <w:lang w:val="en-CA"/>
        </w:rPr>
        <w:t>,</w:t>
      </w:r>
      <w:r w:rsidR="00AA5749" w:rsidRPr="00515AA2">
        <w:rPr>
          <w:color w:val="000000"/>
          <w:lang w:val="en-CA"/>
        </w:rPr>
        <w:t xml:space="preserve"> rather</w:t>
      </w:r>
      <w:r w:rsidR="00681F1E" w:rsidRPr="00515AA2">
        <w:rPr>
          <w:color w:val="000000"/>
          <w:lang w:val="en-CA"/>
        </w:rPr>
        <w:t>,</w:t>
      </w:r>
      <w:r w:rsidR="00AA5749" w:rsidRPr="00515AA2">
        <w:rPr>
          <w:color w:val="000000"/>
          <w:lang w:val="en-CA"/>
        </w:rPr>
        <w:t xml:space="preserve"> to tailor it to the reality of minor persons who may have difficulty in obtain</w:t>
      </w:r>
      <w:r w:rsidR="00CE00A8" w:rsidRPr="00515AA2">
        <w:rPr>
          <w:color w:val="000000"/>
          <w:lang w:val="en-CA"/>
        </w:rPr>
        <w:t>ing</w:t>
      </w:r>
      <w:r w:rsidR="00AA5749" w:rsidRPr="00515AA2">
        <w:rPr>
          <w:color w:val="000000"/>
          <w:lang w:val="en-CA"/>
        </w:rPr>
        <w:t xml:space="preserve"> their parents’ consent</w:t>
      </w:r>
      <w:r w:rsidR="00016EAA" w:rsidRPr="00515AA2">
        <w:rPr>
          <w:color w:val="000000"/>
          <w:lang w:val="en-CA"/>
        </w:rPr>
        <w:t>.</w:t>
      </w:r>
    </w:p>
    <w:p w14:paraId="38FD4327" w14:textId="467D074B" w:rsidR="00016EAA" w:rsidRPr="00515AA2" w:rsidRDefault="00CE00A8" w:rsidP="00F846E3">
      <w:pPr>
        <w:pStyle w:val="Paragraphe"/>
        <w:spacing w:line="280" w:lineRule="exact"/>
        <w:rPr>
          <w:color w:val="000000"/>
          <w:lang w:val="en-CA"/>
        </w:rPr>
      </w:pPr>
      <w:r w:rsidRPr="00515AA2">
        <w:rPr>
          <w:color w:val="000000"/>
          <w:lang w:val="en-CA"/>
        </w:rPr>
        <w:t xml:space="preserve">The respondents, for their part, argue that the AGQ’s reasoning is inconsistent with the </w:t>
      </w:r>
      <w:r w:rsidR="00046B15" w:rsidRPr="00515AA2">
        <w:rPr>
          <w:color w:val="000000"/>
          <w:lang w:val="en-CA"/>
        </w:rPr>
        <w:t xml:space="preserve">interpretive principles that it </w:t>
      </w:r>
      <w:r w:rsidR="00681F1E" w:rsidRPr="00515AA2">
        <w:rPr>
          <w:color w:val="000000"/>
          <w:lang w:val="en-CA"/>
        </w:rPr>
        <w:t>relies upon</w:t>
      </w:r>
      <w:r w:rsidR="00016EAA" w:rsidRPr="00515AA2">
        <w:rPr>
          <w:color w:val="000000"/>
          <w:lang w:val="en-CA"/>
        </w:rPr>
        <w:t xml:space="preserve">. </w:t>
      </w:r>
      <w:r w:rsidR="00046B15" w:rsidRPr="00515AA2">
        <w:rPr>
          <w:color w:val="000000"/>
          <w:lang w:val="en-CA"/>
        </w:rPr>
        <w:t xml:space="preserve">Under the systematic and logical method pursuant to which </w:t>
      </w:r>
      <w:r w:rsidR="00953897" w:rsidRPr="00515AA2">
        <w:rPr>
          <w:color w:val="000000"/>
          <w:lang w:val="en-CA"/>
        </w:rPr>
        <w:t>legislation</w:t>
      </w:r>
      <w:r w:rsidR="00046B15" w:rsidRPr="00515AA2">
        <w:rPr>
          <w:color w:val="000000"/>
          <w:lang w:val="en-CA"/>
        </w:rPr>
        <w:t xml:space="preserve"> </w:t>
      </w:r>
      <w:bookmarkStart w:id="50" w:name="_Hlk157091841"/>
      <w:r w:rsidR="00046B15" w:rsidRPr="00515AA2">
        <w:rPr>
          <w:color w:val="000000"/>
          <w:lang w:val="en-CA"/>
        </w:rPr>
        <w:t xml:space="preserve">must be read as a whole </w:t>
      </w:r>
      <w:bookmarkEnd w:id="50"/>
      <w:r w:rsidR="00046B15" w:rsidRPr="00515AA2">
        <w:rPr>
          <w:color w:val="000000"/>
          <w:lang w:val="en-CA"/>
        </w:rPr>
        <w:t>and taking into account the interpretive principle that the use of distinct terms suggests that they have a different meaning, the use of distinct terms in</w:t>
      </w:r>
      <w:r w:rsidR="00EA153C" w:rsidRPr="00515AA2">
        <w:rPr>
          <w:color w:val="000000"/>
          <w:lang w:val="en-CA"/>
        </w:rPr>
        <w:t xml:space="preserve"> paragraphs one and two of s</w:t>
      </w:r>
      <w:r w:rsidR="00E924BE" w:rsidRPr="00515AA2">
        <w:rPr>
          <w:color w:val="000000"/>
          <w:lang w:val="en-CA"/>
        </w:rPr>
        <w:t>ection</w:t>
      </w:r>
      <w:r w:rsidR="00EA153C" w:rsidRPr="00515AA2">
        <w:rPr>
          <w:color w:val="000000"/>
          <w:lang w:val="en-CA"/>
        </w:rPr>
        <w:t xml:space="preserve"> </w:t>
      </w:r>
      <w:r w:rsidR="00016EAA" w:rsidRPr="00515AA2">
        <w:rPr>
          <w:color w:val="000000"/>
          <w:lang w:val="en-CA"/>
        </w:rPr>
        <w:t xml:space="preserve">23.2 </w:t>
      </w:r>
      <w:r w:rsidR="00EA153C"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EA153C" w:rsidRPr="00515AA2">
        <w:rPr>
          <w:i/>
          <w:iCs/>
          <w:color w:val="000000"/>
          <w:lang w:val="en-CA"/>
        </w:rPr>
        <w:t>egulation</w:t>
      </w:r>
      <w:r w:rsidR="00016EAA" w:rsidRPr="00515AA2">
        <w:rPr>
          <w:color w:val="000000"/>
          <w:lang w:val="en-CA"/>
        </w:rPr>
        <w:t xml:space="preserve"> </w:t>
      </w:r>
      <w:r w:rsidR="00EA153C" w:rsidRPr="00515AA2">
        <w:rPr>
          <w:color w:val="000000"/>
          <w:lang w:val="en-CA"/>
        </w:rPr>
        <w:t>must necessarily refer to different conditions</w:t>
      </w:r>
      <w:r w:rsidR="00016EAA" w:rsidRPr="00515AA2">
        <w:rPr>
          <w:color w:val="000000"/>
          <w:lang w:val="en-CA"/>
        </w:rPr>
        <w:t xml:space="preserve">. </w:t>
      </w:r>
      <w:r w:rsidR="00EA153C" w:rsidRPr="00515AA2">
        <w:rPr>
          <w:color w:val="000000"/>
          <w:lang w:val="en-CA"/>
        </w:rPr>
        <w:t xml:space="preserve">Further, they submit that the judge committed no error in finding that the requirement that a professional declare having followed or evaluated the person concerned and </w:t>
      </w:r>
      <w:r w:rsidR="00A74164" w:rsidRPr="00515AA2">
        <w:rPr>
          <w:color w:val="000000"/>
          <w:lang w:val="en-CA"/>
        </w:rPr>
        <w:t>confirm</w:t>
      </w:r>
      <w:r w:rsidR="00EA153C" w:rsidRPr="00515AA2">
        <w:rPr>
          <w:color w:val="000000"/>
          <w:lang w:val="en-CA"/>
        </w:rPr>
        <w:t xml:space="preserve"> that the change of sex is appropriate constitutes </w:t>
      </w:r>
      <w:r w:rsidR="00681F1E" w:rsidRPr="00515AA2">
        <w:rPr>
          <w:color w:val="000000"/>
          <w:lang w:val="en-CA"/>
        </w:rPr>
        <w:t xml:space="preserve">a </w:t>
      </w:r>
      <w:r w:rsidR="00EA153C" w:rsidRPr="00515AA2">
        <w:rPr>
          <w:color w:val="000000"/>
          <w:lang w:val="en-CA"/>
        </w:rPr>
        <w:t>condition that is different from that provided in the first paragraph for transgender people of full age</w:t>
      </w:r>
      <w:r w:rsidR="00016EAA" w:rsidRPr="00515AA2">
        <w:rPr>
          <w:color w:val="000000"/>
          <w:lang w:val="en-CA"/>
        </w:rPr>
        <w:t>.</w:t>
      </w:r>
    </w:p>
    <w:p w14:paraId="30A211F9" w14:textId="3C6CADDF" w:rsidR="00994DD3" w:rsidRPr="00515AA2" w:rsidRDefault="00994DD3" w:rsidP="00F846E3">
      <w:pPr>
        <w:spacing w:after="120"/>
        <w:ind w:left="4320"/>
        <w:jc w:val="both"/>
        <w:rPr>
          <w:color w:val="000000"/>
          <w:kern w:val="28"/>
          <w:lang w:val="en-CA"/>
        </w:rPr>
      </w:pPr>
      <w:r w:rsidRPr="00515AA2">
        <w:rPr>
          <w:color w:val="000000"/>
          <w:kern w:val="28"/>
          <w:lang w:val="en-CA"/>
        </w:rPr>
        <w:t>***</w:t>
      </w:r>
    </w:p>
    <w:p w14:paraId="0E4490DE" w14:textId="21F7643F" w:rsidR="00983809" w:rsidRPr="00515AA2" w:rsidRDefault="00A10337" w:rsidP="00F846E3">
      <w:pPr>
        <w:pStyle w:val="Paragraphe"/>
        <w:spacing w:line="280" w:lineRule="exact"/>
        <w:rPr>
          <w:color w:val="000000"/>
          <w:lang w:val="en-CA"/>
        </w:rPr>
      </w:pPr>
      <w:bookmarkStart w:id="51" w:name="_Hlk142908096"/>
      <w:r w:rsidRPr="00515AA2">
        <w:rPr>
          <w:color w:val="000000"/>
          <w:lang w:val="en-CA"/>
        </w:rPr>
        <w:t>As to the applicable interpretive principles, both parties are correct</w:t>
      </w:r>
      <w:r w:rsidR="00983809" w:rsidRPr="00515AA2">
        <w:rPr>
          <w:color w:val="000000"/>
          <w:lang w:val="en-CA"/>
        </w:rPr>
        <w:t xml:space="preserve">: </w:t>
      </w:r>
      <w:r w:rsidRPr="00515AA2">
        <w:rPr>
          <w:color w:val="000000"/>
          <w:lang w:val="en-CA"/>
        </w:rPr>
        <w:t>paragraph</w:t>
      </w:r>
      <w:r w:rsidR="00983809" w:rsidRPr="00515AA2">
        <w:rPr>
          <w:color w:val="000000"/>
          <w:lang w:val="en-CA"/>
        </w:rPr>
        <w:t xml:space="preserve"> 2 </w:t>
      </w:r>
      <w:r w:rsidRPr="00515AA2">
        <w:rPr>
          <w:color w:val="000000"/>
          <w:lang w:val="en-CA"/>
        </w:rPr>
        <w:t>of s</w:t>
      </w:r>
      <w:r w:rsidR="00E924BE" w:rsidRPr="00515AA2">
        <w:rPr>
          <w:color w:val="000000"/>
          <w:lang w:val="en-CA"/>
        </w:rPr>
        <w:t>ection</w:t>
      </w:r>
      <w:r w:rsidR="0076197F" w:rsidRPr="00515AA2">
        <w:rPr>
          <w:color w:val="000000"/>
          <w:lang w:val="en-CA"/>
        </w:rPr>
        <w:t> </w:t>
      </w:r>
      <w:r w:rsidR="00983809" w:rsidRPr="00515AA2">
        <w:rPr>
          <w:color w:val="000000"/>
          <w:lang w:val="en-CA"/>
        </w:rPr>
        <w:t xml:space="preserve">23.2 </w:t>
      </w:r>
      <w:r w:rsidRPr="00515AA2">
        <w:rPr>
          <w:color w:val="000000"/>
          <w:lang w:val="en-CA"/>
        </w:rPr>
        <w:t>of the</w:t>
      </w:r>
      <w:r w:rsidR="00983809" w:rsidRPr="00515AA2">
        <w:rPr>
          <w:color w:val="000000"/>
          <w:lang w:val="en-CA"/>
        </w:rPr>
        <w:t xml:space="preserve"> </w:t>
      </w:r>
      <w:r w:rsidR="00983809" w:rsidRPr="00515AA2">
        <w:rPr>
          <w:i/>
          <w:iCs/>
          <w:color w:val="000000"/>
          <w:lang w:val="en-CA"/>
        </w:rPr>
        <w:t>R</w:t>
      </w:r>
      <w:r w:rsidRPr="00515AA2">
        <w:rPr>
          <w:i/>
          <w:iCs/>
          <w:color w:val="000000"/>
          <w:lang w:val="en-CA"/>
        </w:rPr>
        <w:t>egulation</w:t>
      </w:r>
      <w:r w:rsidR="00983809" w:rsidRPr="00515AA2">
        <w:rPr>
          <w:color w:val="000000"/>
          <w:lang w:val="en-CA"/>
        </w:rPr>
        <w:t xml:space="preserve"> </w:t>
      </w:r>
      <w:r w:rsidR="0098455B" w:rsidRPr="00515AA2">
        <w:rPr>
          <w:color w:val="000000"/>
          <w:lang w:val="en-CA"/>
        </w:rPr>
        <w:t>must</w:t>
      </w:r>
      <w:r w:rsidRPr="00515AA2">
        <w:rPr>
          <w:color w:val="000000"/>
          <w:lang w:val="en-CA"/>
        </w:rPr>
        <w:t xml:space="preserve"> be read </w:t>
      </w:r>
      <w:r w:rsidR="0098455B" w:rsidRPr="00515AA2">
        <w:rPr>
          <w:color w:val="000000"/>
          <w:lang w:val="en-CA"/>
        </w:rPr>
        <w:t xml:space="preserve">together </w:t>
      </w:r>
      <w:r w:rsidRPr="00515AA2">
        <w:rPr>
          <w:color w:val="000000"/>
          <w:lang w:val="en-CA"/>
        </w:rPr>
        <w:t>with its first paragraph and with s</w:t>
      </w:r>
      <w:r w:rsidR="00E924BE" w:rsidRPr="00515AA2">
        <w:rPr>
          <w:color w:val="000000"/>
          <w:lang w:val="en-CA"/>
        </w:rPr>
        <w:t>ection</w:t>
      </w:r>
      <w:r w:rsidR="00983809" w:rsidRPr="00515AA2">
        <w:rPr>
          <w:color w:val="000000"/>
          <w:lang w:val="en-CA"/>
        </w:rPr>
        <w:t xml:space="preserve"> 23.1, </w:t>
      </w:r>
      <w:r w:rsidR="00043D1A" w:rsidRPr="00515AA2">
        <w:rPr>
          <w:color w:val="000000"/>
          <w:lang w:val="en-CA"/>
        </w:rPr>
        <w:t>considering</w:t>
      </w:r>
      <w:r w:rsidRPr="00515AA2">
        <w:rPr>
          <w:color w:val="000000"/>
          <w:lang w:val="en-CA"/>
        </w:rPr>
        <w:t xml:space="preserve"> their respective terminology as well as the </w:t>
      </w:r>
      <w:r w:rsidR="0053209A" w:rsidRPr="00515AA2">
        <w:rPr>
          <w:i/>
          <w:iCs/>
          <w:color w:val="000000"/>
          <w:lang w:val="en-CA"/>
        </w:rPr>
        <w:t>R</w:t>
      </w:r>
      <w:r w:rsidRPr="00515AA2">
        <w:rPr>
          <w:i/>
          <w:iCs/>
          <w:color w:val="000000"/>
          <w:lang w:val="en-CA"/>
        </w:rPr>
        <w:t>egulation</w:t>
      </w:r>
      <w:r w:rsidRPr="00515AA2">
        <w:rPr>
          <w:color w:val="000000"/>
          <w:lang w:val="en-CA"/>
        </w:rPr>
        <w:t xml:space="preserve"> </w:t>
      </w:r>
      <w:r w:rsidR="0098455B" w:rsidRPr="00515AA2">
        <w:rPr>
          <w:color w:val="000000"/>
          <w:lang w:val="en-CA"/>
        </w:rPr>
        <w:t>as a whole</w:t>
      </w:r>
      <w:r w:rsidRPr="00515AA2">
        <w:rPr>
          <w:color w:val="000000"/>
          <w:lang w:val="en-CA"/>
        </w:rPr>
        <w:t>.</w:t>
      </w:r>
    </w:p>
    <w:p w14:paraId="0ABFC78C" w14:textId="2ACD80FB" w:rsidR="00016EAA" w:rsidRPr="00515AA2" w:rsidRDefault="00A10337" w:rsidP="00F846E3">
      <w:pPr>
        <w:pStyle w:val="Paragraphe"/>
        <w:spacing w:line="280" w:lineRule="exact"/>
        <w:rPr>
          <w:color w:val="000000"/>
          <w:lang w:val="en-CA"/>
        </w:rPr>
      </w:pPr>
      <w:r w:rsidRPr="00515AA2">
        <w:rPr>
          <w:color w:val="000000"/>
          <w:lang w:val="en-CA"/>
        </w:rPr>
        <w:t>The conditions set out in the first paragraph of s.</w:t>
      </w:r>
      <w:r w:rsidR="0076197F" w:rsidRPr="00515AA2">
        <w:rPr>
          <w:color w:val="000000"/>
          <w:lang w:val="en-CA"/>
        </w:rPr>
        <w:t> </w:t>
      </w:r>
      <w:r w:rsidR="00016EAA" w:rsidRPr="00515AA2">
        <w:rPr>
          <w:color w:val="000000"/>
          <w:lang w:val="en-CA"/>
        </w:rPr>
        <w:t xml:space="preserve">23.1 </w:t>
      </w:r>
      <w:r w:rsidRPr="00515AA2">
        <w:rPr>
          <w:color w:val="000000"/>
          <w:lang w:val="en-CA"/>
        </w:rPr>
        <w:t xml:space="preserve">are common substantive conditions that must be satisfied in order </w:t>
      </w:r>
      <w:r w:rsidR="00193D5E" w:rsidRPr="00515AA2">
        <w:rPr>
          <w:color w:val="000000"/>
          <w:lang w:val="en-CA"/>
        </w:rPr>
        <w:t>to vary</w:t>
      </w:r>
      <w:r w:rsidRPr="00515AA2">
        <w:rPr>
          <w:color w:val="000000"/>
          <w:lang w:val="en-CA"/>
        </w:rPr>
        <w:t xml:space="preserve"> the designation of sex</w:t>
      </w:r>
      <w:r w:rsidR="00193D5E" w:rsidRPr="00515AA2">
        <w:rPr>
          <w:color w:val="000000"/>
          <w:lang w:val="en-CA"/>
        </w:rPr>
        <w:t xml:space="preserve"> that appears in a civil status document</w:t>
      </w:r>
      <w:r w:rsidRPr="00515AA2">
        <w:rPr>
          <w:color w:val="000000"/>
          <w:lang w:val="en-CA"/>
        </w:rPr>
        <w:t>, regardless of whether the person concerned is of full age or a minor</w:t>
      </w:r>
      <w:r w:rsidR="001E46CC" w:rsidRPr="00515AA2">
        <w:rPr>
          <w:color w:val="000000"/>
          <w:lang w:val="en-CA"/>
        </w:rPr>
        <w:t>:</w:t>
      </w:r>
      <w:r w:rsidR="00016EAA" w:rsidRPr="00515AA2">
        <w:rPr>
          <w:color w:val="000000"/>
          <w:lang w:val="en-CA"/>
        </w:rPr>
        <w:t xml:space="preserve"> 1) </w:t>
      </w:r>
      <w:r w:rsidR="001E46CC" w:rsidRPr="00515AA2">
        <w:rPr>
          <w:color w:val="000000"/>
          <w:lang w:val="en-CA"/>
        </w:rPr>
        <w:t>the designation of sex requested must best correspond to the person’s gender identity</w:t>
      </w:r>
      <w:r w:rsidR="00016EAA" w:rsidRPr="00515AA2">
        <w:rPr>
          <w:color w:val="000000"/>
          <w:lang w:val="en-CA"/>
        </w:rPr>
        <w:t xml:space="preserve">; 2) </w:t>
      </w:r>
      <w:r w:rsidR="001E46CC" w:rsidRPr="00515AA2">
        <w:rPr>
          <w:color w:val="000000"/>
          <w:lang w:val="en-CA"/>
        </w:rPr>
        <w:t xml:space="preserve">the person must </w:t>
      </w:r>
      <w:r w:rsidR="00016EAA" w:rsidRPr="00515AA2">
        <w:rPr>
          <w:color w:val="000000"/>
          <w:lang w:val="en-CA"/>
        </w:rPr>
        <w:t xml:space="preserve">assume </w:t>
      </w:r>
      <w:r w:rsidR="001E46CC" w:rsidRPr="00515AA2">
        <w:rPr>
          <w:color w:val="000000"/>
          <w:lang w:val="en-CA"/>
        </w:rPr>
        <w:t>and intend to continue to assume that gender identity</w:t>
      </w:r>
      <w:r w:rsidR="00016EAA" w:rsidRPr="00515AA2">
        <w:rPr>
          <w:color w:val="000000"/>
          <w:lang w:val="en-CA"/>
        </w:rPr>
        <w:t xml:space="preserve">; 3) </w:t>
      </w:r>
      <w:r w:rsidR="001E46CC" w:rsidRPr="00515AA2">
        <w:rPr>
          <w:color w:val="000000"/>
          <w:lang w:val="en-CA"/>
        </w:rPr>
        <w:t>the person must understand the seriousness of the undertaking</w:t>
      </w:r>
      <w:r w:rsidR="00016EAA" w:rsidRPr="00515AA2">
        <w:rPr>
          <w:color w:val="000000"/>
          <w:lang w:val="en-CA"/>
        </w:rPr>
        <w:t xml:space="preserve">; </w:t>
      </w:r>
      <w:r w:rsidR="001E46CC" w:rsidRPr="00515AA2">
        <w:rPr>
          <w:color w:val="000000"/>
          <w:lang w:val="en-CA"/>
        </w:rPr>
        <w:t>and</w:t>
      </w:r>
      <w:r w:rsidR="00016EAA" w:rsidRPr="00515AA2">
        <w:rPr>
          <w:color w:val="000000"/>
          <w:lang w:val="en-CA"/>
        </w:rPr>
        <w:t xml:space="preserve"> 4)</w:t>
      </w:r>
      <w:r w:rsidR="00B55C93" w:rsidRPr="00515AA2">
        <w:rPr>
          <w:color w:val="000000"/>
          <w:lang w:val="en-CA"/>
        </w:rPr>
        <w:t xml:space="preserve"> </w:t>
      </w:r>
      <w:r w:rsidR="001E46CC" w:rsidRPr="00515AA2">
        <w:rPr>
          <w:color w:val="000000"/>
          <w:lang w:val="en-CA"/>
        </w:rPr>
        <w:t xml:space="preserve">the person’s undertaking must be voluntary and </w:t>
      </w:r>
      <w:r w:rsidR="00043D1A" w:rsidRPr="00515AA2">
        <w:rPr>
          <w:color w:val="000000"/>
          <w:lang w:val="en-CA"/>
        </w:rPr>
        <w:t>their</w:t>
      </w:r>
      <w:r w:rsidR="001E46CC" w:rsidRPr="00515AA2">
        <w:rPr>
          <w:color w:val="000000"/>
          <w:lang w:val="en-CA"/>
        </w:rPr>
        <w:t xml:space="preserve"> consent must be given in a free and enlightened manner</w:t>
      </w:r>
      <w:r w:rsidR="00016EAA" w:rsidRPr="00515AA2">
        <w:rPr>
          <w:color w:val="000000"/>
          <w:lang w:val="en-CA"/>
        </w:rPr>
        <w:t xml:space="preserve">. </w:t>
      </w:r>
      <w:r w:rsidR="001E46CC" w:rsidRPr="00515AA2">
        <w:rPr>
          <w:color w:val="000000"/>
          <w:lang w:val="en-CA"/>
        </w:rPr>
        <w:t xml:space="preserve">Whether the person is of full age or a minor 14 years of age or over, </w:t>
      </w:r>
      <w:r w:rsidR="00F339AD" w:rsidRPr="00515AA2">
        <w:rPr>
          <w:color w:val="000000"/>
          <w:lang w:val="en-CA"/>
        </w:rPr>
        <w:t xml:space="preserve">they must </w:t>
      </w:r>
      <w:r w:rsidR="001E46CC" w:rsidRPr="00515AA2">
        <w:rPr>
          <w:color w:val="000000"/>
          <w:lang w:val="en-CA"/>
        </w:rPr>
        <w:t xml:space="preserve">state in an affidavit that </w:t>
      </w:r>
      <w:r w:rsidR="00F339AD" w:rsidRPr="00515AA2">
        <w:rPr>
          <w:color w:val="000000"/>
          <w:lang w:val="en-CA"/>
        </w:rPr>
        <w:t>they</w:t>
      </w:r>
      <w:r w:rsidR="001E46CC" w:rsidRPr="00515AA2">
        <w:rPr>
          <w:color w:val="000000"/>
          <w:lang w:val="en-CA"/>
        </w:rPr>
        <w:t xml:space="preserve"> </w:t>
      </w:r>
      <w:r w:rsidR="00193D5E" w:rsidRPr="00515AA2">
        <w:rPr>
          <w:color w:val="000000"/>
          <w:lang w:val="en-CA"/>
        </w:rPr>
        <w:t>compl</w:t>
      </w:r>
      <w:r w:rsidR="00F339AD" w:rsidRPr="00515AA2">
        <w:rPr>
          <w:color w:val="000000"/>
          <w:lang w:val="en-CA"/>
        </w:rPr>
        <w:t>y</w:t>
      </w:r>
      <w:r w:rsidR="00193D5E" w:rsidRPr="00515AA2">
        <w:rPr>
          <w:color w:val="000000"/>
          <w:lang w:val="en-CA"/>
        </w:rPr>
        <w:t xml:space="preserve"> with those conditions.</w:t>
      </w:r>
      <w:r w:rsidR="00952737" w:rsidRPr="00515AA2">
        <w:rPr>
          <w:rStyle w:val="Appelnotedebasdep"/>
          <w:color w:val="000000"/>
          <w:lang w:val="en-CA"/>
        </w:rPr>
        <w:footnoteReference w:id="81"/>
      </w:r>
    </w:p>
    <w:p w14:paraId="1EEE6557" w14:textId="4711E7B9" w:rsidR="00D46E5C" w:rsidRPr="00515AA2" w:rsidRDefault="00F339AD" w:rsidP="00F846E3">
      <w:pPr>
        <w:pStyle w:val="Paragraphe"/>
        <w:spacing w:line="280" w:lineRule="exact"/>
        <w:rPr>
          <w:color w:val="000000"/>
          <w:lang w:val="en-CA"/>
        </w:rPr>
      </w:pPr>
      <w:bookmarkStart w:id="52" w:name="_Hlk137477110"/>
      <w:bookmarkEnd w:id="51"/>
      <w:r w:rsidRPr="00515AA2">
        <w:rPr>
          <w:color w:val="000000"/>
          <w:lang w:val="en-CA"/>
        </w:rPr>
        <w:t>For its part, s</w:t>
      </w:r>
      <w:r w:rsidR="00E63764" w:rsidRPr="00515AA2">
        <w:rPr>
          <w:color w:val="000000"/>
          <w:lang w:val="en-CA"/>
        </w:rPr>
        <w:t>ection</w:t>
      </w:r>
      <w:r w:rsidR="0076197F" w:rsidRPr="00515AA2">
        <w:rPr>
          <w:color w:val="000000"/>
          <w:lang w:val="en-CA"/>
        </w:rPr>
        <w:t> </w:t>
      </w:r>
      <w:r w:rsidR="00016EAA" w:rsidRPr="00515AA2">
        <w:rPr>
          <w:color w:val="000000"/>
          <w:lang w:val="en-CA"/>
        </w:rPr>
        <w:t>23.2</w:t>
      </w:r>
      <w:r w:rsidRPr="00515AA2">
        <w:rPr>
          <w:color w:val="000000"/>
          <w:lang w:val="en-CA"/>
        </w:rPr>
        <w:t xml:space="preserve"> requires that a third party corroborate a part of that statement</w:t>
      </w:r>
      <w:r w:rsidR="007F6475" w:rsidRPr="00515AA2">
        <w:rPr>
          <w:color w:val="000000"/>
          <w:lang w:val="en-CA"/>
        </w:rPr>
        <w:t>.</w:t>
      </w:r>
    </w:p>
    <w:p w14:paraId="7A56F330" w14:textId="22FC828C" w:rsidR="00016EAA" w:rsidRPr="00515AA2" w:rsidRDefault="00F339AD" w:rsidP="00F846E3">
      <w:pPr>
        <w:pStyle w:val="Paragraphe"/>
        <w:spacing w:line="280" w:lineRule="exact"/>
        <w:rPr>
          <w:color w:val="000000"/>
          <w:lang w:val="en-CA"/>
        </w:rPr>
      </w:pPr>
      <w:r w:rsidRPr="00515AA2">
        <w:rPr>
          <w:color w:val="000000"/>
          <w:lang w:val="en-CA"/>
        </w:rPr>
        <w:t>For person</w:t>
      </w:r>
      <w:r w:rsidR="00E372B2" w:rsidRPr="00515AA2">
        <w:rPr>
          <w:color w:val="000000"/>
          <w:lang w:val="en-CA"/>
        </w:rPr>
        <w:t>s</w:t>
      </w:r>
      <w:r w:rsidRPr="00515AA2">
        <w:rPr>
          <w:color w:val="000000"/>
          <w:lang w:val="en-CA"/>
        </w:rPr>
        <w:t xml:space="preserve"> of full age</w:t>
      </w:r>
      <w:r w:rsidR="00016EAA" w:rsidRPr="00515AA2">
        <w:rPr>
          <w:color w:val="000000"/>
          <w:lang w:val="en-CA"/>
        </w:rPr>
        <w:t xml:space="preserve">, </w:t>
      </w:r>
      <w:r w:rsidRPr="00515AA2">
        <w:rPr>
          <w:color w:val="000000"/>
          <w:lang w:val="en-CA"/>
        </w:rPr>
        <w:t xml:space="preserve">that corroboration </w:t>
      </w:r>
      <w:r w:rsidR="00E372B2" w:rsidRPr="00515AA2">
        <w:rPr>
          <w:color w:val="000000"/>
          <w:lang w:val="en-CA"/>
        </w:rPr>
        <w:t>takes the form of</w:t>
      </w:r>
      <w:r w:rsidRPr="00515AA2">
        <w:rPr>
          <w:color w:val="000000"/>
          <w:lang w:val="en-CA"/>
        </w:rPr>
        <w:t xml:space="preserve"> an “affidavit”</w:t>
      </w:r>
      <w:r w:rsidR="00016EAA" w:rsidRPr="00515AA2">
        <w:rPr>
          <w:color w:val="000000"/>
          <w:lang w:val="en-CA"/>
        </w:rPr>
        <w:t xml:space="preserve"> </w:t>
      </w:r>
      <w:r w:rsidRPr="00515AA2">
        <w:rPr>
          <w:color w:val="000000"/>
          <w:lang w:val="en-CA"/>
        </w:rPr>
        <w:t>from “a person of full age who attests to having known the applicant for at least one year and who confirms that the applicant is fully aware of the seriousness of the application”</w:t>
      </w:r>
      <w:r w:rsidR="003F0960" w:rsidRPr="00515AA2">
        <w:rPr>
          <w:color w:val="000000"/>
          <w:lang w:val="en-CA"/>
        </w:rPr>
        <w:t xml:space="preserve">. </w:t>
      </w:r>
      <w:r w:rsidRPr="00515AA2">
        <w:rPr>
          <w:color w:val="000000"/>
          <w:lang w:val="en-CA"/>
        </w:rPr>
        <w:t xml:space="preserve">That person is thus required to corroborate the veracity of </w:t>
      </w:r>
      <w:r w:rsidR="00E372B2" w:rsidRPr="00515AA2">
        <w:rPr>
          <w:color w:val="000000"/>
          <w:lang w:val="en-CA"/>
        </w:rPr>
        <w:t>only one of the</w:t>
      </w:r>
      <w:r w:rsidR="0098455B" w:rsidRPr="00515AA2">
        <w:rPr>
          <w:color w:val="000000"/>
          <w:lang w:val="en-CA"/>
        </w:rPr>
        <w:t xml:space="preserve"> four</w:t>
      </w:r>
      <w:r w:rsidR="00E372B2" w:rsidRPr="00515AA2">
        <w:rPr>
          <w:color w:val="000000"/>
          <w:lang w:val="en-CA"/>
        </w:rPr>
        <w:t xml:space="preserve"> conditions provided in s. </w:t>
      </w:r>
      <w:r w:rsidR="00016EAA" w:rsidRPr="00515AA2">
        <w:rPr>
          <w:color w:val="000000"/>
          <w:lang w:val="en-CA"/>
        </w:rPr>
        <w:t>23.1.</w:t>
      </w:r>
    </w:p>
    <w:p w14:paraId="74BC7484" w14:textId="4C28F200" w:rsidR="00016EAA" w:rsidRPr="00515AA2" w:rsidRDefault="00E372B2" w:rsidP="00F846E3">
      <w:pPr>
        <w:pStyle w:val="Paragraphe"/>
        <w:spacing w:line="280" w:lineRule="exact"/>
        <w:rPr>
          <w:color w:val="000000"/>
          <w:lang w:val="en-CA"/>
        </w:rPr>
      </w:pPr>
      <w:r w:rsidRPr="00515AA2">
        <w:rPr>
          <w:color w:val="000000"/>
          <w:lang w:val="en-CA"/>
        </w:rPr>
        <w:t>For minors</w:t>
      </w:r>
      <w:r w:rsidR="008F66E6" w:rsidRPr="00515AA2">
        <w:rPr>
          <w:color w:val="000000"/>
          <w:lang w:val="en-CA"/>
        </w:rPr>
        <w:t xml:space="preserve"> </w:t>
      </w:r>
      <w:r w:rsidRPr="00515AA2">
        <w:rPr>
          <w:color w:val="000000"/>
          <w:lang w:val="en-CA"/>
        </w:rPr>
        <w:t>14 years of age or over</w:t>
      </w:r>
      <w:r w:rsidR="00016EAA" w:rsidRPr="00515AA2">
        <w:rPr>
          <w:color w:val="000000"/>
          <w:lang w:val="en-CA"/>
        </w:rPr>
        <w:t xml:space="preserve">, </w:t>
      </w:r>
      <w:r w:rsidRPr="00515AA2">
        <w:rPr>
          <w:color w:val="000000"/>
          <w:lang w:val="en-CA"/>
        </w:rPr>
        <w:t xml:space="preserve">that corroboration </w:t>
      </w:r>
      <w:r w:rsidR="006B7BF9" w:rsidRPr="00515AA2">
        <w:rPr>
          <w:color w:val="000000"/>
          <w:lang w:val="en-CA"/>
        </w:rPr>
        <w:t xml:space="preserve">instead </w:t>
      </w:r>
      <w:r w:rsidRPr="00515AA2">
        <w:rPr>
          <w:color w:val="000000"/>
          <w:lang w:val="en-CA"/>
        </w:rPr>
        <w:t>takes the form of a “letter”</w:t>
      </w:r>
      <w:r w:rsidR="005A02CD" w:rsidRPr="00515AA2">
        <w:rPr>
          <w:color w:val="000000"/>
          <w:lang w:val="en-CA"/>
        </w:rPr>
        <w:t xml:space="preserve"> </w:t>
      </w:r>
      <w:r w:rsidRPr="00515AA2">
        <w:rPr>
          <w:color w:val="000000"/>
          <w:lang w:val="en-CA"/>
        </w:rPr>
        <w:t>from a person practicing one of the five professions</w:t>
      </w:r>
      <w:r w:rsidR="006B7BF9" w:rsidRPr="00515AA2">
        <w:rPr>
          <w:color w:val="000000"/>
          <w:lang w:val="en-CA"/>
        </w:rPr>
        <w:t xml:space="preserve"> </w:t>
      </w:r>
      <w:r w:rsidR="00A74164" w:rsidRPr="00515AA2">
        <w:rPr>
          <w:color w:val="000000"/>
          <w:lang w:val="en-CA"/>
        </w:rPr>
        <w:t>listed</w:t>
      </w:r>
      <w:r w:rsidRPr="00515AA2">
        <w:rPr>
          <w:color w:val="000000"/>
          <w:lang w:val="en-CA"/>
        </w:rPr>
        <w:t>,</w:t>
      </w:r>
      <w:r w:rsidR="00016EAA" w:rsidRPr="00515AA2">
        <w:rPr>
          <w:color w:val="000000"/>
          <w:lang w:val="en-CA"/>
        </w:rPr>
        <w:t xml:space="preserve"> </w:t>
      </w:r>
      <w:r w:rsidR="006B7BF9" w:rsidRPr="00515AA2">
        <w:rPr>
          <w:color w:val="000000"/>
          <w:lang w:val="en-CA"/>
        </w:rPr>
        <w:t xml:space="preserve">“who [must] declare </w:t>
      </w:r>
      <w:r w:rsidR="006B7BF9" w:rsidRPr="00515AA2">
        <w:rPr>
          <w:color w:val="000000"/>
          <w:lang w:val="en-CA"/>
        </w:rPr>
        <w:lastRenderedPageBreak/>
        <w:t xml:space="preserve">having evaluated or followed [the minor].” The professional must further declare </w:t>
      </w:r>
      <w:r w:rsidR="00016EAA" w:rsidRPr="00515AA2">
        <w:rPr>
          <w:color w:val="000000"/>
          <w:lang w:val="en-CA"/>
        </w:rPr>
        <w:t>« </w:t>
      </w:r>
      <w:r w:rsidR="006B7BF9" w:rsidRPr="00515AA2">
        <w:rPr>
          <w:color w:val="000000"/>
          <w:lang w:val="en-CA"/>
        </w:rPr>
        <w:t>[being]</w:t>
      </w:r>
      <w:r w:rsidR="00016EAA" w:rsidRPr="00515AA2">
        <w:rPr>
          <w:color w:val="000000"/>
          <w:lang w:val="en-CA"/>
        </w:rPr>
        <w:t xml:space="preserve"> </w:t>
      </w:r>
      <w:r w:rsidR="006B7BF9" w:rsidRPr="00515AA2">
        <w:rPr>
          <w:color w:val="000000"/>
          <w:lang w:val="en-CA"/>
        </w:rPr>
        <w:t>of the opinion that the change of designation is appropriate.”</w:t>
      </w:r>
    </w:p>
    <w:p w14:paraId="7CCEE45C" w14:textId="4B094852" w:rsidR="00016EAA" w:rsidRPr="00515AA2" w:rsidRDefault="006B7BF9" w:rsidP="00F846E3">
      <w:pPr>
        <w:pStyle w:val="Paragraphe"/>
        <w:spacing w:line="280" w:lineRule="exact"/>
        <w:rPr>
          <w:color w:val="000000"/>
          <w:lang w:val="en-CA"/>
        </w:rPr>
      </w:pPr>
      <w:r w:rsidRPr="00515AA2">
        <w:rPr>
          <w:color w:val="000000"/>
          <w:lang w:val="en-CA"/>
        </w:rPr>
        <w:t xml:space="preserve">There </w:t>
      </w:r>
      <w:r w:rsidR="00DF3F1E" w:rsidRPr="00515AA2">
        <w:rPr>
          <w:color w:val="000000"/>
          <w:lang w:val="en-CA"/>
        </w:rPr>
        <w:t xml:space="preserve">are </w:t>
      </w:r>
      <w:r w:rsidR="00907EF2" w:rsidRPr="00515AA2">
        <w:rPr>
          <w:color w:val="000000"/>
          <w:lang w:val="en-CA"/>
        </w:rPr>
        <w:t>thus</w:t>
      </w:r>
      <w:r w:rsidRPr="00515AA2">
        <w:rPr>
          <w:color w:val="000000"/>
          <w:lang w:val="en-CA"/>
        </w:rPr>
        <w:t xml:space="preserve"> important differences</w:t>
      </w:r>
      <w:r w:rsidR="00DF3F1E" w:rsidRPr="00515AA2">
        <w:rPr>
          <w:color w:val="000000"/>
          <w:lang w:val="en-CA"/>
        </w:rPr>
        <w:t xml:space="preserve"> between the requirements set forth in the first and second paragraphs of s</w:t>
      </w:r>
      <w:r w:rsidR="00E63764" w:rsidRPr="00515AA2">
        <w:rPr>
          <w:color w:val="000000"/>
          <w:lang w:val="en-CA"/>
        </w:rPr>
        <w:t>ection</w:t>
      </w:r>
      <w:r w:rsidR="00DF3F1E" w:rsidRPr="00515AA2">
        <w:rPr>
          <w:color w:val="000000"/>
          <w:lang w:val="en-CA"/>
        </w:rPr>
        <w:t xml:space="preserve"> </w:t>
      </w:r>
      <w:r w:rsidR="00016EAA" w:rsidRPr="00515AA2">
        <w:rPr>
          <w:color w:val="000000"/>
          <w:lang w:val="en-CA"/>
        </w:rPr>
        <w:t xml:space="preserve">23.2 </w:t>
      </w:r>
      <w:r w:rsidR="00DF3F1E"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DF3F1E" w:rsidRPr="00515AA2">
        <w:rPr>
          <w:i/>
          <w:iCs/>
          <w:color w:val="000000"/>
          <w:lang w:val="en-CA"/>
        </w:rPr>
        <w:t>egulation</w:t>
      </w:r>
      <w:r w:rsidR="00016EAA" w:rsidRPr="00515AA2">
        <w:rPr>
          <w:color w:val="000000"/>
          <w:lang w:val="en-CA"/>
        </w:rPr>
        <w:t xml:space="preserve"> </w:t>
      </w:r>
      <w:r w:rsidR="00DF3F1E" w:rsidRPr="00515AA2">
        <w:rPr>
          <w:color w:val="000000"/>
          <w:lang w:val="en-CA"/>
        </w:rPr>
        <w:t>as to the form of the document and its author’s identity</w:t>
      </w:r>
      <w:r w:rsidR="00016EAA" w:rsidRPr="00515AA2">
        <w:rPr>
          <w:color w:val="000000"/>
          <w:lang w:val="en-CA"/>
        </w:rPr>
        <w:t>.</w:t>
      </w:r>
    </w:p>
    <w:p w14:paraId="281B99BB" w14:textId="14F3792E" w:rsidR="00016EAA" w:rsidRPr="00515AA2" w:rsidRDefault="00DF3F1E" w:rsidP="00F846E3">
      <w:pPr>
        <w:pStyle w:val="Paragraphe"/>
        <w:spacing w:line="280" w:lineRule="exact"/>
        <w:rPr>
          <w:color w:val="000000"/>
          <w:lang w:val="en-CA"/>
        </w:rPr>
      </w:pPr>
      <w:r w:rsidRPr="00515AA2">
        <w:rPr>
          <w:color w:val="000000"/>
          <w:lang w:val="en-CA"/>
        </w:rPr>
        <w:t>As for its substance</w:t>
      </w:r>
      <w:r w:rsidR="00016EAA" w:rsidRPr="00515AA2">
        <w:rPr>
          <w:color w:val="000000"/>
          <w:lang w:val="en-CA"/>
        </w:rPr>
        <w:t>,</w:t>
      </w:r>
      <w:r w:rsidR="000E4DEA" w:rsidRPr="00515AA2">
        <w:rPr>
          <w:color w:val="000000"/>
          <w:lang w:val="en-CA"/>
        </w:rPr>
        <w:t xml:space="preserve"> </w:t>
      </w:r>
      <w:r w:rsidRPr="00515AA2">
        <w:rPr>
          <w:color w:val="000000"/>
          <w:lang w:val="en-CA"/>
        </w:rPr>
        <w:t>we note that the term “appropriate”</w:t>
      </w:r>
      <w:r w:rsidR="005A02CD" w:rsidRPr="00515AA2">
        <w:rPr>
          <w:color w:val="000000"/>
          <w:lang w:val="en-CA"/>
        </w:rPr>
        <w:t xml:space="preserve"> </w:t>
      </w:r>
      <w:r w:rsidRPr="00515AA2">
        <w:rPr>
          <w:color w:val="000000"/>
          <w:lang w:val="en-CA"/>
        </w:rPr>
        <w:t>appearing in the second paragraph of s</w:t>
      </w:r>
      <w:r w:rsidR="00E63764" w:rsidRPr="00515AA2">
        <w:rPr>
          <w:color w:val="000000"/>
          <w:lang w:val="en-CA"/>
        </w:rPr>
        <w:t>ection</w:t>
      </w:r>
      <w:r w:rsidR="0076197F" w:rsidRPr="00515AA2">
        <w:rPr>
          <w:color w:val="000000"/>
          <w:lang w:val="en-CA"/>
        </w:rPr>
        <w:t> </w:t>
      </w:r>
      <w:r w:rsidR="00FA40A4" w:rsidRPr="00515AA2">
        <w:rPr>
          <w:color w:val="000000"/>
          <w:lang w:val="en-CA"/>
        </w:rPr>
        <w:t xml:space="preserve">23.2 </w:t>
      </w:r>
      <w:r w:rsidRPr="00515AA2">
        <w:rPr>
          <w:color w:val="000000"/>
          <w:lang w:val="en-CA"/>
        </w:rPr>
        <w:t>of the</w:t>
      </w:r>
      <w:r w:rsidR="00FA40A4" w:rsidRPr="00515AA2">
        <w:rPr>
          <w:color w:val="000000"/>
          <w:lang w:val="en-CA"/>
        </w:rPr>
        <w:t xml:space="preserve"> </w:t>
      </w:r>
      <w:r w:rsidR="00FA40A4" w:rsidRPr="00515AA2">
        <w:rPr>
          <w:i/>
          <w:iCs/>
          <w:color w:val="000000"/>
          <w:lang w:val="en-CA"/>
        </w:rPr>
        <w:t>R</w:t>
      </w:r>
      <w:r w:rsidRPr="00515AA2">
        <w:rPr>
          <w:i/>
          <w:iCs/>
          <w:color w:val="000000"/>
          <w:lang w:val="en-CA"/>
        </w:rPr>
        <w:t>egulation</w:t>
      </w:r>
      <w:r w:rsidR="00016EAA" w:rsidRPr="00515AA2">
        <w:rPr>
          <w:color w:val="000000"/>
          <w:lang w:val="en-CA"/>
        </w:rPr>
        <w:t xml:space="preserve"> </w:t>
      </w:r>
      <w:r w:rsidRPr="00515AA2">
        <w:rPr>
          <w:color w:val="000000"/>
          <w:lang w:val="en-CA"/>
        </w:rPr>
        <w:t>is not defined</w:t>
      </w:r>
      <w:r w:rsidR="00994DD3" w:rsidRPr="00515AA2">
        <w:rPr>
          <w:color w:val="000000"/>
          <w:lang w:val="en-CA"/>
        </w:rPr>
        <w:t>.</w:t>
      </w:r>
      <w:r w:rsidR="005A02CD" w:rsidRPr="00515AA2">
        <w:rPr>
          <w:color w:val="000000"/>
          <w:lang w:val="en-CA"/>
        </w:rPr>
        <w:t xml:space="preserve"> </w:t>
      </w:r>
      <w:r w:rsidR="0098455B" w:rsidRPr="00515AA2">
        <w:rPr>
          <w:color w:val="000000"/>
          <w:lang w:val="en-CA"/>
        </w:rPr>
        <w:t>Some could infer from this</w:t>
      </w:r>
      <w:r w:rsidRPr="00515AA2">
        <w:rPr>
          <w:color w:val="000000"/>
          <w:lang w:val="en-CA"/>
        </w:rPr>
        <w:t xml:space="preserve"> that the change of the designation of sex must be “appropriate” according to the subjective </w:t>
      </w:r>
      <w:r w:rsidR="00907EF2" w:rsidRPr="00515AA2">
        <w:rPr>
          <w:color w:val="000000"/>
          <w:lang w:val="en-CA"/>
        </w:rPr>
        <w:t>assessment</w:t>
      </w:r>
      <w:r w:rsidRPr="00515AA2">
        <w:rPr>
          <w:color w:val="000000"/>
          <w:lang w:val="en-CA"/>
        </w:rPr>
        <w:t xml:space="preserve"> of the designated professional</w:t>
      </w:r>
      <w:r w:rsidR="00994DD3" w:rsidRPr="00515AA2">
        <w:rPr>
          <w:color w:val="000000"/>
          <w:lang w:val="en-CA"/>
        </w:rPr>
        <w:t xml:space="preserve">, </w:t>
      </w:r>
      <w:r w:rsidR="00907EF2" w:rsidRPr="00515AA2">
        <w:rPr>
          <w:color w:val="000000"/>
          <w:lang w:val="en-CA"/>
        </w:rPr>
        <w:t>but by construing that requirement in light of what is set forth in s</w:t>
      </w:r>
      <w:r w:rsidR="00E63764" w:rsidRPr="00515AA2">
        <w:rPr>
          <w:color w:val="000000"/>
          <w:lang w:val="en-CA"/>
        </w:rPr>
        <w:t>ection</w:t>
      </w:r>
      <w:r w:rsidR="00907EF2" w:rsidRPr="00515AA2">
        <w:rPr>
          <w:color w:val="000000"/>
          <w:lang w:val="en-CA"/>
        </w:rPr>
        <w:t xml:space="preserve"> 23.1,</w:t>
      </w:r>
      <w:r w:rsidR="005A02CD" w:rsidRPr="00515AA2">
        <w:rPr>
          <w:color w:val="000000"/>
          <w:lang w:val="en-CA"/>
        </w:rPr>
        <w:t xml:space="preserve"> </w:t>
      </w:r>
      <w:r w:rsidR="00907EF2" w:rsidRPr="00515AA2">
        <w:rPr>
          <w:color w:val="000000"/>
          <w:lang w:val="en-CA"/>
        </w:rPr>
        <w:t>one understands</w:t>
      </w:r>
      <w:r w:rsidR="007F6475" w:rsidRPr="00515AA2">
        <w:rPr>
          <w:color w:val="000000"/>
          <w:lang w:val="en-CA"/>
        </w:rPr>
        <w:t> </w:t>
      </w:r>
      <w:r w:rsidR="00907EF2" w:rsidRPr="00515AA2">
        <w:rPr>
          <w:color w:val="000000"/>
          <w:lang w:val="en-CA"/>
        </w:rPr>
        <w:t>that the change in the designation of sex is “appropriate” if it satisfies the four conditions of s</w:t>
      </w:r>
      <w:r w:rsidR="00E63764" w:rsidRPr="00515AA2">
        <w:rPr>
          <w:color w:val="000000"/>
          <w:lang w:val="en-CA"/>
        </w:rPr>
        <w:t>ection</w:t>
      </w:r>
      <w:r w:rsidR="0076197F" w:rsidRPr="00515AA2">
        <w:rPr>
          <w:color w:val="000000"/>
          <w:lang w:val="en-CA"/>
        </w:rPr>
        <w:t> </w:t>
      </w:r>
      <w:r w:rsidR="00016EAA" w:rsidRPr="00515AA2">
        <w:rPr>
          <w:color w:val="000000"/>
          <w:lang w:val="en-CA"/>
        </w:rPr>
        <w:t>23.1.</w:t>
      </w:r>
    </w:p>
    <w:p w14:paraId="45E55B99" w14:textId="5B7CA370" w:rsidR="00016EAA" w:rsidRPr="00515AA2" w:rsidRDefault="00907EF2" w:rsidP="00F846E3">
      <w:pPr>
        <w:pStyle w:val="Paragraphe"/>
        <w:spacing w:line="280" w:lineRule="exact"/>
        <w:rPr>
          <w:color w:val="000000"/>
          <w:lang w:val="en-CA"/>
        </w:rPr>
      </w:pPr>
      <w:r w:rsidRPr="00515AA2">
        <w:rPr>
          <w:color w:val="000000"/>
          <w:lang w:val="en-CA"/>
        </w:rPr>
        <w:t>Consequently</w:t>
      </w:r>
      <w:r w:rsidR="00016EAA" w:rsidRPr="00515AA2">
        <w:rPr>
          <w:color w:val="000000"/>
          <w:lang w:val="en-CA"/>
        </w:rPr>
        <w:t xml:space="preserve">, </w:t>
      </w:r>
      <w:r w:rsidRPr="00515AA2">
        <w:rPr>
          <w:color w:val="000000"/>
          <w:lang w:val="en-CA"/>
        </w:rPr>
        <w:t>the AGQ correct</w:t>
      </w:r>
      <w:r w:rsidR="007E782A" w:rsidRPr="00515AA2">
        <w:rPr>
          <w:color w:val="000000"/>
          <w:lang w:val="en-CA"/>
        </w:rPr>
        <w:t>ly</w:t>
      </w:r>
      <w:r w:rsidRPr="00515AA2">
        <w:rPr>
          <w:color w:val="000000"/>
          <w:lang w:val="en-CA"/>
        </w:rPr>
        <w:t xml:space="preserve"> </w:t>
      </w:r>
      <w:r w:rsidR="007E782A" w:rsidRPr="00515AA2">
        <w:rPr>
          <w:color w:val="000000"/>
          <w:lang w:val="en-CA"/>
        </w:rPr>
        <w:t>argues</w:t>
      </w:r>
      <w:r w:rsidRPr="00515AA2">
        <w:rPr>
          <w:color w:val="000000"/>
          <w:lang w:val="en-CA"/>
        </w:rPr>
        <w:t xml:space="preserve"> that s</w:t>
      </w:r>
      <w:r w:rsidR="00E63764" w:rsidRPr="00515AA2">
        <w:rPr>
          <w:color w:val="000000"/>
          <w:lang w:val="en-CA"/>
        </w:rPr>
        <w:t>ection</w:t>
      </w:r>
      <w:r w:rsidR="00016EAA" w:rsidRPr="00515AA2">
        <w:rPr>
          <w:color w:val="000000"/>
          <w:lang w:val="en-CA"/>
        </w:rPr>
        <w:t xml:space="preserve"> 23.2 </w:t>
      </w:r>
      <w:r w:rsidRPr="00515AA2">
        <w:rPr>
          <w:color w:val="000000"/>
          <w:lang w:val="en-CA"/>
        </w:rPr>
        <w:t>adds no condition to s</w:t>
      </w:r>
      <w:r w:rsidR="00E63764" w:rsidRPr="00515AA2">
        <w:rPr>
          <w:color w:val="000000"/>
          <w:lang w:val="en-CA"/>
        </w:rPr>
        <w:t>ection</w:t>
      </w:r>
      <w:r w:rsidR="005A02CD" w:rsidRPr="00515AA2">
        <w:rPr>
          <w:color w:val="000000"/>
          <w:lang w:val="en-CA"/>
        </w:rPr>
        <w:t xml:space="preserve"> </w:t>
      </w:r>
      <w:r w:rsidR="00016EAA" w:rsidRPr="00515AA2">
        <w:rPr>
          <w:color w:val="000000"/>
          <w:lang w:val="en-CA"/>
        </w:rPr>
        <w:t>23.1</w:t>
      </w:r>
      <w:r w:rsidR="007E782A" w:rsidRPr="00515AA2">
        <w:rPr>
          <w:color w:val="000000"/>
          <w:lang w:val="en-CA"/>
        </w:rPr>
        <w:t>,</w:t>
      </w:r>
      <w:r w:rsidR="00016EAA" w:rsidRPr="00515AA2">
        <w:rPr>
          <w:color w:val="000000"/>
          <w:lang w:val="en-CA"/>
        </w:rPr>
        <w:t xml:space="preserve"> </w:t>
      </w:r>
      <w:r w:rsidRPr="00515AA2">
        <w:rPr>
          <w:color w:val="000000"/>
          <w:lang w:val="en-CA"/>
        </w:rPr>
        <w:t xml:space="preserve">since the </w:t>
      </w:r>
      <w:r w:rsidR="007E782A" w:rsidRPr="00515AA2">
        <w:rPr>
          <w:color w:val="000000"/>
          <w:lang w:val="en-CA"/>
        </w:rPr>
        <w:t xml:space="preserve">corroboration required from the third-party </w:t>
      </w:r>
      <w:r w:rsidR="0098455B" w:rsidRPr="00515AA2">
        <w:rPr>
          <w:color w:val="000000"/>
          <w:lang w:val="en-CA"/>
        </w:rPr>
        <w:t xml:space="preserve">only </w:t>
      </w:r>
      <w:r w:rsidR="007E782A" w:rsidRPr="00515AA2">
        <w:rPr>
          <w:color w:val="000000"/>
          <w:lang w:val="en-CA"/>
        </w:rPr>
        <w:t>concerns the conditions enumerated in s</w:t>
      </w:r>
      <w:r w:rsidR="00E63764" w:rsidRPr="00515AA2">
        <w:rPr>
          <w:color w:val="000000"/>
          <w:lang w:val="en-CA"/>
        </w:rPr>
        <w:t>ection</w:t>
      </w:r>
      <w:r w:rsidR="007E782A" w:rsidRPr="00515AA2">
        <w:rPr>
          <w:color w:val="000000"/>
          <w:lang w:val="en-CA"/>
        </w:rPr>
        <w:t xml:space="preserve"> </w:t>
      </w:r>
      <w:r w:rsidR="00016EAA" w:rsidRPr="00515AA2">
        <w:rPr>
          <w:color w:val="000000"/>
          <w:lang w:val="en-CA"/>
        </w:rPr>
        <w:t xml:space="preserve">23.1. </w:t>
      </w:r>
      <w:r w:rsidR="007E782A" w:rsidRPr="00515AA2">
        <w:rPr>
          <w:color w:val="000000"/>
          <w:lang w:val="en-CA"/>
        </w:rPr>
        <w:t>At the same time</w:t>
      </w:r>
      <w:r w:rsidR="005D0A05" w:rsidRPr="00515AA2">
        <w:rPr>
          <w:color w:val="000000"/>
          <w:lang w:val="en-CA"/>
        </w:rPr>
        <w:t xml:space="preserve">, </w:t>
      </w:r>
      <w:r w:rsidR="007E782A" w:rsidRPr="00515AA2">
        <w:rPr>
          <w:color w:val="000000"/>
          <w:lang w:val="en-CA"/>
        </w:rPr>
        <w:t>we nevertheless recognize that the second paragraph of s</w:t>
      </w:r>
      <w:r w:rsidR="00E63764" w:rsidRPr="00515AA2">
        <w:rPr>
          <w:color w:val="000000"/>
          <w:lang w:val="en-CA"/>
        </w:rPr>
        <w:t>ection</w:t>
      </w:r>
      <w:r w:rsidR="0076197F" w:rsidRPr="00515AA2">
        <w:rPr>
          <w:color w:val="000000"/>
          <w:lang w:val="en-CA"/>
        </w:rPr>
        <w:t> </w:t>
      </w:r>
      <w:r w:rsidR="00016EAA" w:rsidRPr="00515AA2">
        <w:rPr>
          <w:color w:val="000000"/>
          <w:lang w:val="en-CA"/>
        </w:rPr>
        <w:t xml:space="preserve">23.2 </w:t>
      </w:r>
      <w:r w:rsidR="007E782A" w:rsidRPr="00515AA2">
        <w:rPr>
          <w:color w:val="000000"/>
          <w:lang w:val="en-CA"/>
        </w:rPr>
        <w:t>sets forth a requirement that is different from that found in the first paragraph when the person involved is of full age</w:t>
      </w:r>
      <w:r w:rsidR="00016EAA" w:rsidRPr="00515AA2">
        <w:rPr>
          <w:color w:val="000000"/>
          <w:lang w:val="en-CA"/>
        </w:rPr>
        <w:t>.</w:t>
      </w:r>
    </w:p>
    <w:bookmarkEnd w:id="52"/>
    <w:p w14:paraId="7BF3FAB7" w14:textId="7DC5549C" w:rsidR="00F86A1A" w:rsidRPr="00515AA2" w:rsidRDefault="007E782A" w:rsidP="00F846E3">
      <w:pPr>
        <w:pStyle w:val="Paragraphe"/>
        <w:spacing w:line="280" w:lineRule="exact"/>
        <w:rPr>
          <w:rStyle w:val="ParagrapheCar"/>
          <w:color w:val="000000"/>
          <w:lang w:val="en-CA"/>
        </w:rPr>
      </w:pPr>
      <w:r w:rsidRPr="00515AA2">
        <w:rPr>
          <w:rStyle w:val="ParagrapheCar"/>
          <w:color w:val="000000"/>
          <w:lang w:val="en-CA"/>
        </w:rPr>
        <w:t xml:space="preserve">The judge </w:t>
      </w:r>
      <w:r w:rsidR="007770CF" w:rsidRPr="00515AA2">
        <w:rPr>
          <w:rStyle w:val="ParagrapheCar"/>
          <w:color w:val="000000"/>
          <w:lang w:val="en-CA"/>
        </w:rPr>
        <w:t>offered</w:t>
      </w:r>
      <w:r w:rsidRPr="00515AA2">
        <w:rPr>
          <w:rStyle w:val="ParagrapheCar"/>
          <w:color w:val="000000"/>
          <w:lang w:val="en-CA"/>
        </w:rPr>
        <w:t xml:space="preserve"> no analysis </w:t>
      </w:r>
      <w:r w:rsidR="0098455B" w:rsidRPr="00515AA2">
        <w:rPr>
          <w:rStyle w:val="ParagrapheCar"/>
          <w:color w:val="000000"/>
          <w:lang w:val="en-CA"/>
        </w:rPr>
        <w:t>in attempting</w:t>
      </w:r>
      <w:r w:rsidRPr="00515AA2">
        <w:rPr>
          <w:rStyle w:val="ParagrapheCar"/>
          <w:color w:val="000000"/>
          <w:lang w:val="en-CA"/>
        </w:rPr>
        <w:t xml:space="preserve"> to understand the meaning of the second paragraph of s</w:t>
      </w:r>
      <w:r w:rsidR="00E63764" w:rsidRPr="00515AA2">
        <w:rPr>
          <w:rStyle w:val="ParagrapheCar"/>
          <w:color w:val="000000"/>
          <w:lang w:val="en-CA"/>
        </w:rPr>
        <w:t>ection</w:t>
      </w:r>
      <w:r w:rsidRPr="00515AA2">
        <w:rPr>
          <w:rStyle w:val="ParagrapheCar"/>
          <w:color w:val="000000"/>
          <w:lang w:val="en-CA"/>
        </w:rPr>
        <w:t xml:space="preserve"> </w:t>
      </w:r>
      <w:r w:rsidR="00052535" w:rsidRPr="00515AA2">
        <w:rPr>
          <w:rStyle w:val="ParagrapheCar"/>
          <w:color w:val="000000"/>
          <w:lang w:val="en-CA"/>
        </w:rPr>
        <w:t xml:space="preserve">23.2 </w:t>
      </w:r>
      <w:r w:rsidRPr="00515AA2">
        <w:rPr>
          <w:rStyle w:val="ParagrapheCar"/>
          <w:color w:val="000000"/>
          <w:lang w:val="en-CA"/>
        </w:rPr>
        <w:t>of the</w:t>
      </w:r>
      <w:r w:rsidR="00052535" w:rsidRPr="00515AA2">
        <w:rPr>
          <w:rStyle w:val="ParagrapheCar"/>
          <w:color w:val="000000"/>
          <w:lang w:val="en-CA"/>
        </w:rPr>
        <w:t xml:space="preserve"> </w:t>
      </w:r>
      <w:r w:rsidR="00052535" w:rsidRPr="00515AA2">
        <w:rPr>
          <w:rStyle w:val="ParagrapheCar"/>
          <w:i/>
          <w:iCs/>
          <w:color w:val="000000"/>
          <w:lang w:val="en-CA"/>
        </w:rPr>
        <w:t>R</w:t>
      </w:r>
      <w:r w:rsidRPr="00515AA2">
        <w:rPr>
          <w:rStyle w:val="ParagrapheCar"/>
          <w:i/>
          <w:iCs/>
          <w:color w:val="000000"/>
          <w:lang w:val="en-CA"/>
        </w:rPr>
        <w:t>egulation</w:t>
      </w:r>
      <w:r w:rsidR="00052535" w:rsidRPr="00515AA2">
        <w:rPr>
          <w:rStyle w:val="ParagrapheCar"/>
          <w:color w:val="000000"/>
          <w:lang w:val="en-CA"/>
        </w:rPr>
        <w:t xml:space="preserve"> </w:t>
      </w:r>
      <w:r w:rsidRPr="00515AA2">
        <w:rPr>
          <w:rStyle w:val="ParagrapheCar"/>
          <w:color w:val="000000"/>
          <w:lang w:val="en-CA"/>
        </w:rPr>
        <w:t xml:space="preserve">before addressing the issue of its validity, whereas such an analysis would have been </w:t>
      </w:r>
      <w:r w:rsidR="007770CF" w:rsidRPr="00515AA2">
        <w:rPr>
          <w:rStyle w:val="ParagrapheCar"/>
          <w:color w:val="000000"/>
          <w:lang w:val="en-CA"/>
        </w:rPr>
        <w:t>apposit</w:t>
      </w:r>
      <w:r w:rsidRPr="00515AA2">
        <w:rPr>
          <w:rStyle w:val="ParagrapheCar"/>
          <w:color w:val="000000"/>
          <w:lang w:val="en-CA"/>
        </w:rPr>
        <w:t>e</w:t>
      </w:r>
      <w:r w:rsidR="00052535" w:rsidRPr="00515AA2">
        <w:rPr>
          <w:rStyle w:val="ParagrapheCar"/>
          <w:color w:val="000000"/>
          <w:lang w:val="en-CA"/>
        </w:rPr>
        <w:t>.</w:t>
      </w:r>
    </w:p>
    <w:p w14:paraId="4E0D4E7E" w14:textId="03183D50" w:rsidR="00F70DF0" w:rsidRPr="00515AA2" w:rsidRDefault="007770CF" w:rsidP="00F846E3">
      <w:pPr>
        <w:pStyle w:val="Paragraphe"/>
        <w:spacing w:line="280" w:lineRule="exact"/>
        <w:rPr>
          <w:color w:val="000000"/>
          <w:lang w:val="en-CA"/>
        </w:rPr>
      </w:pPr>
      <w:r w:rsidRPr="00515AA2">
        <w:rPr>
          <w:rStyle w:val="ParagrapheCar"/>
          <w:color w:val="000000"/>
          <w:lang w:val="en-CA"/>
        </w:rPr>
        <w:t>In his analysis under s</w:t>
      </w:r>
      <w:r w:rsidR="00E63764" w:rsidRPr="00515AA2">
        <w:rPr>
          <w:rStyle w:val="ParagrapheCar"/>
          <w:color w:val="000000"/>
          <w:lang w:val="en-CA"/>
        </w:rPr>
        <w:t>ection</w:t>
      </w:r>
      <w:r w:rsidR="00FD6C6B" w:rsidRPr="00515AA2">
        <w:rPr>
          <w:rStyle w:val="ParagrapheCar"/>
          <w:color w:val="000000"/>
          <w:lang w:val="en-CA"/>
        </w:rPr>
        <w:t xml:space="preserve">15 </w:t>
      </w:r>
      <w:r w:rsidRPr="00515AA2">
        <w:rPr>
          <w:rStyle w:val="ParagrapheCar"/>
          <w:color w:val="000000"/>
          <w:lang w:val="en-CA"/>
        </w:rPr>
        <w:t>of the</w:t>
      </w:r>
      <w:r w:rsidR="00FD6C6B" w:rsidRPr="00515AA2">
        <w:rPr>
          <w:rStyle w:val="ParagrapheCar"/>
          <w:color w:val="000000"/>
          <w:lang w:val="en-CA"/>
        </w:rPr>
        <w:t xml:space="preserve"> </w:t>
      </w:r>
      <w:r w:rsidRPr="00515AA2">
        <w:rPr>
          <w:rStyle w:val="ParagrapheCar"/>
          <w:i/>
          <w:iCs/>
          <w:color w:val="000000"/>
          <w:lang w:val="en-CA"/>
        </w:rPr>
        <w:t>Canadian Charter</w:t>
      </w:r>
      <w:r w:rsidR="00FD6C6B" w:rsidRPr="00515AA2">
        <w:rPr>
          <w:rStyle w:val="ParagrapheCar"/>
          <w:color w:val="000000"/>
          <w:lang w:val="en-CA"/>
        </w:rPr>
        <w:t xml:space="preserve">, </w:t>
      </w:r>
      <w:r w:rsidRPr="00515AA2">
        <w:rPr>
          <w:rStyle w:val="ParagrapheCar"/>
          <w:color w:val="000000"/>
          <w:lang w:val="en-CA"/>
        </w:rPr>
        <w:t>the judge simply held that there is a difference between the requirements set forth in the two paragraphs of</w:t>
      </w:r>
      <w:r w:rsidR="00052535" w:rsidRPr="00515AA2">
        <w:rPr>
          <w:color w:val="000000"/>
          <w:lang w:val="en-CA"/>
        </w:rPr>
        <w:t xml:space="preserve"> </w:t>
      </w:r>
      <w:r w:rsidRPr="00515AA2">
        <w:rPr>
          <w:color w:val="000000"/>
          <w:lang w:val="en-CA"/>
        </w:rPr>
        <w:t>s</w:t>
      </w:r>
      <w:r w:rsidR="00E63764" w:rsidRPr="00515AA2">
        <w:rPr>
          <w:color w:val="000000"/>
          <w:lang w:val="en-CA"/>
        </w:rPr>
        <w:t>ection</w:t>
      </w:r>
      <w:r w:rsidR="00052535" w:rsidRPr="00515AA2">
        <w:rPr>
          <w:color w:val="000000"/>
          <w:lang w:val="en-CA"/>
        </w:rPr>
        <w:t xml:space="preserve"> 23.2</w:t>
      </w:r>
      <w:r w:rsidR="00052535" w:rsidRPr="00515AA2">
        <w:rPr>
          <w:rStyle w:val="Appelnotedebasdep"/>
          <w:color w:val="000000"/>
          <w:lang w:val="en-CA"/>
        </w:rPr>
        <w:footnoteReference w:id="82"/>
      </w:r>
      <w:r w:rsidR="00F86A1A" w:rsidRPr="00515AA2">
        <w:rPr>
          <w:color w:val="000000"/>
          <w:lang w:val="en-CA"/>
        </w:rPr>
        <w:t xml:space="preserve"> </w:t>
      </w:r>
      <w:r w:rsidRPr="00515AA2">
        <w:rPr>
          <w:color w:val="000000"/>
          <w:lang w:val="en-CA"/>
        </w:rPr>
        <w:t xml:space="preserve">and thereupon </w:t>
      </w:r>
      <w:r w:rsidR="00863CF5" w:rsidRPr="00515AA2">
        <w:rPr>
          <w:color w:val="000000"/>
          <w:lang w:val="en-CA"/>
        </w:rPr>
        <w:t>engaged in</w:t>
      </w:r>
      <w:r w:rsidRPr="00515AA2">
        <w:rPr>
          <w:color w:val="000000"/>
          <w:lang w:val="en-CA"/>
        </w:rPr>
        <w:t xml:space="preserve"> his analysis based on s</w:t>
      </w:r>
      <w:r w:rsidR="00E63764" w:rsidRPr="00515AA2">
        <w:rPr>
          <w:color w:val="000000"/>
          <w:lang w:val="en-CA"/>
        </w:rPr>
        <w:t>ection</w:t>
      </w:r>
      <w:r w:rsidRPr="00515AA2">
        <w:rPr>
          <w:color w:val="000000"/>
          <w:lang w:val="en-CA"/>
        </w:rPr>
        <w:t xml:space="preserve"> 1 of the</w:t>
      </w:r>
      <w:r w:rsidR="00052535" w:rsidRPr="00515AA2">
        <w:rPr>
          <w:color w:val="000000"/>
          <w:lang w:val="en-CA"/>
        </w:rPr>
        <w:t xml:space="preserve"> </w:t>
      </w:r>
      <w:r w:rsidR="00052535" w:rsidRPr="00515AA2">
        <w:rPr>
          <w:i/>
          <w:iCs/>
          <w:color w:val="000000"/>
          <w:lang w:val="en-CA"/>
        </w:rPr>
        <w:t>C</w:t>
      </w:r>
      <w:r w:rsidRPr="00515AA2">
        <w:rPr>
          <w:i/>
          <w:iCs/>
          <w:color w:val="000000"/>
          <w:lang w:val="en-CA"/>
        </w:rPr>
        <w:t>anadian C</w:t>
      </w:r>
      <w:r w:rsidR="00052535" w:rsidRPr="00515AA2">
        <w:rPr>
          <w:i/>
          <w:iCs/>
          <w:color w:val="000000"/>
          <w:lang w:val="en-CA"/>
        </w:rPr>
        <w:t>harte</w:t>
      </w:r>
      <w:r w:rsidRPr="00515AA2">
        <w:rPr>
          <w:i/>
          <w:iCs/>
          <w:color w:val="000000"/>
          <w:lang w:val="en-CA"/>
        </w:rPr>
        <w:t>r</w:t>
      </w:r>
      <w:r w:rsidR="00052535" w:rsidRPr="00515AA2">
        <w:rPr>
          <w:color w:val="000000"/>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15AA2" w:rsidRPr="00515AA2" w14:paraId="2649A04F" w14:textId="77777777" w:rsidTr="00F70DF0">
        <w:tc>
          <w:tcPr>
            <w:tcW w:w="4681" w:type="dxa"/>
            <w:shd w:val="clear" w:color="auto" w:fill="auto"/>
          </w:tcPr>
          <w:p w14:paraId="31A2E179" w14:textId="06D33BA6" w:rsidR="00690D26" w:rsidRPr="00515AA2" w:rsidDel="00D249BF" w:rsidRDefault="00690D26" w:rsidP="00D84C5B">
            <w:pPr>
              <w:pStyle w:val="Paragrdouble"/>
              <w:spacing w:before="0" w:after="0" w:line="240" w:lineRule="auto"/>
              <w:ind w:left="639" w:right="216"/>
              <w:rPr>
                <w:color w:val="000000"/>
                <w:sz w:val="22"/>
                <w:szCs w:val="22"/>
              </w:rPr>
            </w:pPr>
            <w:r w:rsidRPr="00515AA2">
              <w:rPr>
                <w:color w:val="000000"/>
                <w:sz w:val="22"/>
                <w:szCs w:val="22"/>
              </w:rPr>
              <w:t>[267]</w:t>
            </w:r>
            <w:r w:rsidRPr="00515AA2">
              <w:rPr>
                <w:color w:val="000000"/>
                <w:sz w:val="22"/>
                <w:szCs w:val="22"/>
              </w:rPr>
              <w:tab/>
              <w:t xml:space="preserve">First, the legislative objective seeks to ensure that the young person is </w:t>
            </w:r>
            <w:r w:rsidRPr="00515AA2">
              <w:rPr>
                <w:color w:val="000000"/>
                <w:sz w:val="22"/>
                <w:szCs w:val="22"/>
                <w:u w:val="single"/>
              </w:rPr>
              <w:t>serious</w:t>
            </w:r>
            <w:r w:rsidRPr="00515AA2">
              <w:rPr>
                <w:color w:val="000000"/>
                <w:sz w:val="22"/>
                <w:szCs w:val="22"/>
              </w:rPr>
              <w:t xml:space="preserve"> in their desire to change their designation of sex but section 23.2 asks a health professional to determine if the change is appropriate. Only the applicant can determine whether the change is </w:t>
            </w:r>
            <w:r w:rsidRPr="00515AA2">
              <w:rPr>
                <w:color w:val="000000"/>
                <w:sz w:val="22"/>
                <w:szCs w:val="22"/>
                <w:u w:val="single"/>
              </w:rPr>
              <w:t>appropriate</w:t>
            </w:r>
            <w:r w:rsidRPr="00515AA2">
              <w:rPr>
                <w:color w:val="000000"/>
                <w:sz w:val="22"/>
                <w:szCs w:val="22"/>
              </w:rPr>
              <w:t xml:space="preserve">. Moreover, youth aged fourteen and over can determine their best interests and make important decisions in line with them. Article 23.2 takes this decision away from the young person and imposes it on a health professional, who may, as will be </w:t>
            </w:r>
            <w:r w:rsidRPr="00515AA2">
              <w:rPr>
                <w:color w:val="000000"/>
                <w:sz w:val="22"/>
                <w:szCs w:val="22"/>
              </w:rPr>
              <w:lastRenderedPageBreak/>
              <w:t>demonstrated below, have only a fleeting acquaintance with the young person and their gender identity.</w:t>
            </w:r>
          </w:p>
        </w:tc>
        <w:tc>
          <w:tcPr>
            <w:tcW w:w="4681" w:type="dxa"/>
            <w:shd w:val="clear" w:color="auto" w:fill="auto"/>
          </w:tcPr>
          <w:p w14:paraId="625FBD41" w14:textId="77777777" w:rsidR="00690D26" w:rsidRPr="00515AA2" w:rsidRDefault="00690D26" w:rsidP="00D84C5B">
            <w:pPr>
              <w:pStyle w:val="Paragrdouble"/>
              <w:numPr>
                <w:ilvl w:val="0"/>
                <w:numId w:val="14"/>
              </w:numPr>
              <w:tabs>
                <w:tab w:val="clear" w:pos="360"/>
              </w:tabs>
              <w:spacing w:before="0" w:after="0" w:line="240" w:lineRule="auto"/>
              <w:ind w:left="209" w:right="646"/>
              <w:rPr>
                <w:color w:val="000000"/>
                <w:sz w:val="22"/>
                <w:szCs w:val="22"/>
                <w:lang w:val="fr-CA"/>
              </w:rPr>
            </w:pPr>
            <w:r w:rsidRPr="00515AA2">
              <w:rPr>
                <w:color w:val="000000"/>
                <w:sz w:val="22"/>
                <w:szCs w:val="22"/>
                <w:lang w:val="fr-CA"/>
              </w:rPr>
              <w:lastRenderedPageBreak/>
              <w:t xml:space="preserve">Premièrement, l’objectif législatif cherche à garantir que le mineur est </w:t>
            </w:r>
            <w:r w:rsidRPr="00515AA2">
              <w:rPr>
                <w:color w:val="000000"/>
                <w:sz w:val="22"/>
                <w:szCs w:val="22"/>
                <w:u w:val="single"/>
                <w:lang w:val="fr-CA"/>
              </w:rPr>
              <w:t>sérieux</w:t>
            </w:r>
            <w:r w:rsidRPr="00515AA2">
              <w:rPr>
                <w:color w:val="000000"/>
                <w:sz w:val="22"/>
                <w:szCs w:val="22"/>
                <w:lang w:val="fr-CA"/>
              </w:rPr>
              <w:t xml:space="preserve"> dans son désir de changer la mention de son sexe, mais l’article 23.2 demande au professionnel de la santé de déterminer si le changement est </w:t>
            </w:r>
            <w:r w:rsidRPr="00515AA2">
              <w:rPr>
                <w:color w:val="000000"/>
                <w:sz w:val="22"/>
                <w:szCs w:val="22"/>
                <w:u w:val="single"/>
                <w:lang w:val="fr-CA"/>
              </w:rPr>
              <w:t>approprié</w:t>
            </w:r>
            <w:r w:rsidRPr="00515AA2">
              <w:rPr>
                <w:color w:val="000000"/>
                <w:sz w:val="22"/>
                <w:szCs w:val="22"/>
                <w:lang w:val="fr-CA"/>
              </w:rPr>
              <w:t xml:space="preserve">. Seul le demandeur peut déterminer si le changement est approprié. De plus, les jeunes âgées de 14 à 17 ans peuvent déterminer leurs meilleurs intérêts et prendre des décisions importantes en lien avec ceux-ci. L’article 23.2 retire la prise de décision du mineur et l’impose au professionnel de la santé, qui peut, </w:t>
            </w:r>
            <w:r w:rsidRPr="00515AA2">
              <w:rPr>
                <w:color w:val="000000"/>
                <w:sz w:val="22"/>
                <w:szCs w:val="22"/>
                <w:lang w:val="fr-CA"/>
              </w:rPr>
              <w:lastRenderedPageBreak/>
              <w:t xml:space="preserve">comme il le sera démontré ci-dessous, avoir une connaissance superficielle du mineur et de son identité de genre. </w:t>
            </w:r>
          </w:p>
          <w:p w14:paraId="50B0B62C" w14:textId="77777777" w:rsidR="00690D26" w:rsidRPr="00515AA2" w:rsidRDefault="00690D26" w:rsidP="00D84C5B">
            <w:pPr>
              <w:pStyle w:val="Citationenretrait"/>
              <w:spacing w:before="0" w:after="0" w:line="240" w:lineRule="auto"/>
              <w:ind w:left="209" w:right="646"/>
              <w:jc w:val="right"/>
              <w:rPr>
                <w:color w:val="000000"/>
                <w:szCs w:val="22"/>
              </w:rPr>
            </w:pPr>
          </w:p>
        </w:tc>
      </w:tr>
      <w:tr w:rsidR="00515AA2" w:rsidRPr="00515AA2" w14:paraId="79E8695F" w14:textId="77777777" w:rsidTr="00F70DF0">
        <w:tc>
          <w:tcPr>
            <w:tcW w:w="4681" w:type="dxa"/>
            <w:shd w:val="clear" w:color="auto" w:fill="auto"/>
          </w:tcPr>
          <w:p w14:paraId="0B291649" w14:textId="77777777" w:rsidR="00690D26" w:rsidRPr="00515AA2" w:rsidDel="00D249BF" w:rsidRDefault="00690D26" w:rsidP="00690D26">
            <w:pPr>
              <w:pStyle w:val="Paragrdouble"/>
              <w:spacing w:after="0" w:line="280" w:lineRule="exact"/>
              <w:ind w:left="639"/>
              <w:jc w:val="right"/>
              <w:rPr>
                <w:color w:val="000000"/>
                <w:sz w:val="22"/>
                <w:szCs w:val="22"/>
                <w:lang w:val="fr-CA"/>
              </w:rPr>
            </w:pPr>
          </w:p>
        </w:tc>
        <w:tc>
          <w:tcPr>
            <w:tcW w:w="4681" w:type="dxa"/>
            <w:shd w:val="clear" w:color="auto" w:fill="auto"/>
          </w:tcPr>
          <w:p w14:paraId="4248B22E" w14:textId="1F235157" w:rsidR="00690D26" w:rsidRPr="00515AA2" w:rsidRDefault="00690D26" w:rsidP="00690D26">
            <w:pPr>
              <w:pStyle w:val="Citationenretrait"/>
              <w:spacing w:after="0"/>
              <w:ind w:left="353" w:right="501"/>
              <w:jc w:val="right"/>
              <w:rPr>
                <w:color w:val="000000"/>
                <w:szCs w:val="22"/>
              </w:rPr>
            </w:pPr>
            <w:r w:rsidRPr="00515AA2">
              <w:rPr>
                <w:color w:val="000000"/>
                <w:szCs w:val="22"/>
              </w:rPr>
              <w:t xml:space="preserve">[Emphasis </w:t>
            </w:r>
            <w:r w:rsidR="004434E9" w:rsidRPr="00515AA2">
              <w:rPr>
                <w:color w:val="000000"/>
                <w:szCs w:val="22"/>
              </w:rPr>
              <w:t>in original</w:t>
            </w:r>
            <w:r w:rsidRPr="00515AA2">
              <w:rPr>
                <w:color w:val="000000"/>
                <w:szCs w:val="22"/>
              </w:rPr>
              <w:t>]</w:t>
            </w:r>
          </w:p>
        </w:tc>
      </w:tr>
    </w:tbl>
    <w:p w14:paraId="334EA3D0" w14:textId="74D14337" w:rsidR="00FD6C6B" w:rsidRPr="00515AA2" w:rsidRDefault="00863CF5" w:rsidP="00F846E3">
      <w:pPr>
        <w:pStyle w:val="Paragraphe"/>
        <w:spacing w:line="280" w:lineRule="exact"/>
        <w:rPr>
          <w:color w:val="000000"/>
          <w:lang w:val="en-CA"/>
        </w:rPr>
      </w:pPr>
      <w:r w:rsidRPr="00515AA2">
        <w:rPr>
          <w:color w:val="000000"/>
          <w:lang w:val="en-CA"/>
        </w:rPr>
        <w:t>In our opinion, the judge misunderstood the meaning of the second paragraph of s</w:t>
      </w:r>
      <w:r w:rsidR="00E63764" w:rsidRPr="00515AA2">
        <w:rPr>
          <w:color w:val="000000"/>
          <w:lang w:val="en-CA"/>
        </w:rPr>
        <w:t>ection</w:t>
      </w:r>
      <w:r w:rsidR="00A21F0E" w:rsidRPr="00515AA2">
        <w:rPr>
          <w:color w:val="000000"/>
          <w:lang w:val="en-CA"/>
        </w:rPr>
        <w:t> </w:t>
      </w:r>
      <w:r w:rsidR="00FD6C6B" w:rsidRPr="00515AA2">
        <w:rPr>
          <w:color w:val="000000"/>
          <w:lang w:val="en-CA"/>
        </w:rPr>
        <w:t xml:space="preserve">23.2 </w:t>
      </w:r>
      <w:r w:rsidRPr="00515AA2">
        <w:rPr>
          <w:color w:val="000000"/>
          <w:lang w:val="en-CA"/>
        </w:rPr>
        <w:t>of the</w:t>
      </w:r>
      <w:r w:rsidR="00FD6C6B" w:rsidRPr="00515AA2">
        <w:rPr>
          <w:color w:val="000000"/>
          <w:lang w:val="en-CA"/>
        </w:rPr>
        <w:t xml:space="preserve"> </w:t>
      </w:r>
      <w:r w:rsidR="00FD6C6B" w:rsidRPr="00515AA2">
        <w:rPr>
          <w:i/>
          <w:iCs/>
          <w:color w:val="000000"/>
          <w:lang w:val="en-CA"/>
        </w:rPr>
        <w:t>R</w:t>
      </w:r>
      <w:r w:rsidRPr="00515AA2">
        <w:rPr>
          <w:i/>
          <w:iCs/>
          <w:color w:val="000000"/>
          <w:lang w:val="en-CA"/>
        </w:rPr>
        <w:t>e</w:t>
      </w:r>
      <w:r w:rsidR="00FD6C6B" w:rsidRPr="00515AA2">
        <w:rPr>
          <w:i/>
          <w:iCs/>
          <w:color w:val="000000"/>
          <w:lang w:val="en-CA"/>
        </w:rPr>
        <w:t>g</w:t>
      </w:r>
      <w:r w:rsidRPr="00515AA2">
        <w:rPr>
          <w:i/>
          <w:iCs/>
          <w:color w:val="000000"/>
          <w:lang w:val="en-CA"/>
        </w:rPr>
        <w:t>ulation</w:t>
      </w:r>
      <w:r w:rsidR="00FD6C6B" w:rsidRPr="00515AA2">
        <w:rPr>
          <w:i/>
          <w:iCs/>
          <w:color w:val="000000"/>
          <w:lang w:val="en-CA"/>
        </w:rPr>
        <w:t xml:space="preserve"> </w:t>
      </w:r>
      <w:r w:rsidRPr="00515AA2">
        <w:rPr>
          <w:color w:val="000000"/>
          <w:lang w:val="en-CA"/>
        </w:rPr>
        <w:t>and the role of the designated professional</w:t>
      </w:r>
      <w:r w:rsidR="00FD6C6B" w:rsidRPr="00515AA2">
        <w:rPr>
          <w:color w:val="000000"/>
          <w:lang w:val="en-CA"/>
        </w:rPr>
        <w:t xml:space="preserve">. </w:t>
      </w:r>
      <w:r w:rsidRPr="00515AA2">
        <w:rPr>
          <w:color w:val="000000"/>
          <w:lang w:val="en-CA"/>
        </w:rPr>
        <w:t xml:space="preserve">In our view, he erred in suggesting that the </w:t>
      </w:r>
      <w:r w:rsidR="00FD6C6B" w:rsidRPr="00515AA2">
        <w:rPr>
          <w:i/>
          <w:iCs/>
          <w:color w:val="000000"/>
          <w:lang w:val="en-CA"/>
        </w:rPr>
        <w:t>R</w:t>
      </w:r>
      <w:r w:rsidRPr="00515AA2">
        <w:rPr>
          <w:i/>
          <w:iCs/>
          <w:color w:val="000000"/>
          <w:lang w:val="en-CA"/>
        </w:rPr>
        <w:t>egulation</w:t>
      </w:r>
      <w:r w:rsidR="00FD6C6B" w:rsidRPr="00515AA2">
        <w:rPr>
          <w:i/>
          <w:iCs/>
          <w:color w:val="000000"/>
          <w:lang w:val="en-CA"/>
        </w:rPr>
        <w:t xml:space="preserve"> </w:t>
      </w:r>
      <w:r w:rsidR="00453C7C" w:rsidRPr="00515AA2">
        <w:rPr>
          <w:color w:val="000000"/>
          <w:lang w:val="en-CA"/>
        </w:rPr>
        <w:t>gives</w:t>
      </w:r>
      <w:r w:rsidRPr="00515AA2">
        <w:rPr>
          <w:color w:val="000000"/>
          <w:lang w:val="en-CA"/>
        </w:rPr>
        <w:t xml:space="preserve"> the professional</w:t>
      </w:r>
      <w:r w:rsidR="00453C7C" w:rsidRPr="00515AA2">
        <w:rPr>
          <w:color w:val="000000"/>
          <w:lang w:val="en-CA"/>
        </w:rPr>
        <w:t xml:space="preserve"> authority</w:t>
      </w:r>
      <w:r w:rsidRPr="00515AA2">
        <w:rPr>
          <w:color w:val="000000"/>
          <w:lang w:val="en-CA"/>
        </w:rPr>
        <w:t xml:space="preserve"> to decide for the minor if the change in the designation of sex is appropriate, whereas the professional’s task is limited to determining whether the change of the designation of sex is “appropriate” in light of the four conditions enumerated in s</w:t>
      </w:r>
      <w:r w:rsidR="00E63764" w:rsidRPr="00515AA2">
        <w:rPr>
          <w:color w:val="000000"/>
          <w:lang w:val="en-CA"/>
        </w:rPr>
        <w:t>ection</w:t>
      </w:r>
      <w:r w:rsidRPr="00515AA2">
        <w:rPr>
          <w:color w:val="000000"/>
          <w:lang w:val="en-CA"/>
        </w:rPr>
        <w:t xml:space="preserve"> </w:t>
      </w:r>
      <w:r w:rsidR="00FD6C6B" w:rsidRPr="00515AA2">
        <w:rPr>
          <w:color w:val="000000"/>
          <w:lang w:val="en-CA"/>
        </w:rPr>
        <w:t xml:space="preserve">23.1 </w:t>
      </w:r>
      <w:r w:rsidRPr="00515AA2">
        <w:rPr>
          <w:color w:val="000000"/>
          <w:lang w:val="en-CA"/>
        </w:rPr>
        <w:t>of the</w:t>
      </w:r>
      <w:r w:rsidR="00FD6C6B" w:rsidRPr="00515AA2">
        <w:rPr>
          <w:color w:val="000000"/>
          <w:lang w:val="en-CA"/>
        </w:rPr>
        <w:t xml:space="preserve"> </w:t>
      </w:r>
      <w:r w:rsidR="00FD6C6B" w:rsidRPr="00515AA2">
        <w:rPr>
          <w:i/>
          <w:iCs/>
          <w:color w:val="000000"/>
          <w:lang w:val="en-CA"/>
        </w:rPr>
        <w:t>R</w:t>
      </w:r>
      <w:r w:rsidRPr="00515AA2">
        <w:rPr>
          <w:i/>
          <w:iCs/>
          <w:color w:val="000000"/>
          <w:lang w:val="en-CA"/>
        </w:rPr>
        <w:t>egulation</w:t>
      </w:r>
      <w:r w:rsidR="00FD6C6B" w:rsidRPr="00515AA2">
        <w:rPr>
          <w:color w:val="000000"/>
          <w:lang w:val="en-CA"/>
        </w:rPr>
        <w:t>.</w:t>
      </w:r>
    </w:p>
    <w:p w14:paraId="1D3366E4" w14:textId="5F39D89F" w:rsidR="00152D36" w:rsidRPr="00515AA2" w:rsidRDefault="001973CE" w:rsidP="00F846E3">
      <w:pPr>
        <w:pStyle w:val="Paragraphe"/>
        <w:spacing w:line="280" w:lineRule="exact"/>
        <w:rPr>
          <w:color w:val="000000"/>
          <w:lang w:val="en-CA"/>
        </w:rPr>
      </w:pPr>
      <w:r w:rsidRPr="00515AA2">
        <w:rPr>
          <w:color w:val="000000"/>
          <w:kern w:val="24"/>
          <w:szCs w:val="24"/>
          <w:lang w:val="en-CA"/>
        </w:rPr>
        <w:t>That mistaken interpretation</w:t>
      </w:r>
      <w:r w:rsidR="001C1811" w:rsidRPr="00515AA2">
        <w:rPr>
          <w:color w:val="000000"/>
          <w:szCs w:val="24"/>
          <w:lang w:val="en-CA"/>
        </w:rPr>
        <w:t xml:space="preserve">, </w:t>
      </w:r>
      <w:r w:rsidR="00DE13F4" w:rsidRPr="00515AA2">
        <w:rPr>
          <w:color w:val="000000"/>
          <w:szCs w:val="24"/>
          <w:lang w:val="en-CA"/>
        </w:rPr>
        <w:t>while</w:t>
      </w:r>
      <w:r w:rsidR="00DE13F4" w:rsidRPr="00515AA2">
        <w:rPr>
          <w:color w:val="000000"/>
          <w:lang w:val="en-CA"/>
        </w:rPr>
        <w:t xml:space="preserve"> not determinative</w:t>
      </w:r>
      <w:r w:rsidR="001C1811" w:rsidRPr="00515AA2">
        <w:rPr>
          <w:color w:val="000000"/>
          <w:lang w:val="en-CA"/>
        </w:rPr>
        <w:t>,</w:t>
      </w:r>
      <w:r w:rsidR="00152D36" w:rsidRPr="00515AA2">
        <w:rPr>
          <w:color w:val="000000"/>
          <w:lang w:val="en-CA"/>
        </w:rPr>
        <w:t xml:space="preserve"> </w:t>
      </w:r>
      <w:r w:rsidR="00DE13F4" w:rsidRPr="00515AA2">
        <w:rPr>
          <w:color w:val="000000"/>
          <w:lang w:val="en-CA"/>
        </w:rPr>
        <w:t>will have an impact on the constitutional analysis that he engaged in afterwards</w:t>
      </w:r>
      <w:r w:rsidR="00152D36" w:rsidRPr="00515AA2">
        <w:rPr>
          <w:color w:val="000000"/>
          <w:lang w:val="en-CA"/>
        </w:rPr>
        <w:t xml:space="preserve">. </w:t>
      </w:r>
      <w:r w:rsidR="00DE13F4" w:rsidRPr="00515AA2">
        <w:rPr>
          <w:color w:val="000000"/>
          <w:lang w:val="en-CA"/>
        </w:rPr>
        <w:t xml:space="preserve">We will </w:t>
      </w:r>
      <w:r w:rsidRPr="00515AA2">
        <w:rPr>
          <w:color w:val="000000"/>
          <w:lang w:val="en-CA"/>
        </w:rPr>
        <w:t>return to this point</w:t>
      </w:r>
      <w:r w:rsidR="00DE13F4" w:rsidRPr="00515AA2">
        <w:rPr>
          <w:color w:val="000000"/>
          <w:lang w:val="en-CA"/>
        </w:rPr>
        <w:t xml:space="preserve"> below</w:t>
      </w:r>
      <w:r w:rsidR="00152D36" w:rsidRPr="00515AA2">
        <w:rPr>
          <w:color w:val="000000"/>
          <w:lang w:val="en-CA"/>
        </w:rPr>
        <w:t>.</w:t>
      </w:r>
    </w:p>
    <w:p w14:paraId="5F826F12" w14:textId="1B0C945C" w:rsidR="00016EAA" w:rsidRPr="00515AA2" w:rsidRDefault="000F2862" w:rsidP="00F944E0">
      <w:pPr>
        <w:pStyle w:val="Titre6"/>
        <w:numPr>
          <w:ilvl w:val="0"/>
          <w:numId w:val="0"/>
        </w:numPr>
        <w:ind w:left="1440" w:hanging="720"/>
        <w:rPr>
          <w:i/>
          <w:iCs/>
          <w:color w:val="000000"/>
          <w:lang w:val="en-CA"/>
        </w:rPr>
      </w:pPr>
      <w:bookmarkStart w:id="53" w:name="_Toc161830114"/>
      <w:r w:rsidRPr="00515AA2">
        <w:rPr>
          <w:i/>
          <w:iCs/>
          <w:color w:val="000000"/>
          <w:lang w:val="en-CA"/>
        </w:rPr>
        <w:t>1.2</w:t>
      </w:r>
      <w:r w:rsidRPr="00515AA2">
        <w:rPr>
          <w:i/>
          <w:iCs/>
          <w:color w:val="000000"/>
          <w:lang w:val="en-CA"/>
        </w:rPr>
        <w:tab/>
      </w:r>
      <w:r w:rsidR="00F13F2B" w:rsidRPr="00515AA2">
        <w:rPr>
          <w:i/>
          <w:iCs/>
          <w:color w:val="000000"/>
          <w:lang w:val="en-CA"/>
        </w:rPr>
        <w:t>Did the trial judge err in</w:t>
      </w:r>
      <w:r w:rsidR="00016EAA" w:rsidRPr="00515AA2">
        <w:rPr>
          <w:i/>
          <w:iCs/>
          <w:color w:val="000000"/>
          <w:lang w:val="en-CA"/>
        </w:rPr>
        <w:t xml:space="preserve"> </w:t>
      </w:r>
      <w:r w:rsidR="00F13F2B" w:rsidRPr="00515AA2">
        <w:rPr>
          <w:i/>
          <w:iCs/>
          <w:color w:val="000000"/>
          <w:lang w:val="en-CA"/>
        </w:rPr>
        <w:t>interpreting the condition of having “evaluated or followed the child” contained in paragraph 2 of s</w:t>
      </w:r>
      <w:r w:rsidR="00E63764" w:rsidRPr="00515AA2">
        <w:rPr>
          <w:i/>
          <w:iCs/>
          <w:color w:val="000000"/>
          <w:lang w:val="en-CA"/>
        </w:rPr>
        <w:t>ection</w:t>
      </w:r>
      <w:r w:rsidR="00F13F2B" w:rsidRPr="00515AA2">
        <w:rPr>
          <w:i/>
          <w:iCs/>
          <w:color w:val="000000"/>
          <w:lang w:val="en-CA"/>
        </w:rPr>
        <w:t xml:space="preserve"> 23.2 of the Regulation as being in the nature of a medical treatment</w:t>
      </w:r>
      <w:r w:rsidRPr="00515AA2">
        <w:rPr>
          <w:i/>
          <w:iCs/>
          <w:color w:val="000000"/>
          <w:lang w:val="en-CA"/>
        </w:rPr>
        <w:t>?</w:t>
      </w:r>
      <w:bookmarkEnd w:id="53"/>
      <w:r w:rsidR="00016EAA" w:rsidRPr="00515AA2">
        <w:rPr>
          <w:i/>
          <w:iCs/>
          <w:color w:val="000000"/>
          <w:lang w:val="en-CA"/>
        </w:rPr>
        <w:t xml:space="preserve"> </w:t>
      </w:r>
    </w:p>
    <w:p w14:paraId="5B49A25D" w14:textId="1E9A4EA8" w:rsidR="00016EAA" w:rsidRPr="00515AA2" w:rsidRDefault="00F13F2B" w:rsidP="00F846E3">
      <w:pPr>
        <w:pStyle w:val="Paragraphe"/>
        <w:spacing w:line="280" w:lineRule="exact"/>
        <w:rPr>
          <w:color w:val="000000"/>
          <w:lang w:val="en-CA"/>
        </w:rPr>
      </w:pPr>
      <w:r w:rsidRPr="00515AA2">
        <w:rPr>
          <w:rStyle w:val="ParagrapheCar"/>
          <w:color w:val="000000"/>
          <w:lang w:val="en-CA"/>
        </w:rPr>
        <w:t xml:space="preserve">The AGQ submits that the judge </w:t>
      </w:r>
      <w:r w:rsidR="00CF5910" w:rsidRPr="00515AA2">
        <w:rPr>
          <w:rStyle w:val="ParagrapheCar"/>
          <w:color w:val="000000"/>
          <w:lang w:val="en-CA"/>
        </w:rPr>
        <w:t>erred</w:t>
      </w:r>
      <w:r w:rsidRPr="00515AA2">
        <w:rPr>
          <w:rStyle w:val="ParagrapheCar"/>
          <w:color w:val="000000"/>
          <w:lang w:val="en-CA"/>
        </w:rPr>
        <w:t xml:space="preserve"> in finding that the requirement provided in paragraph 2 of s</w:t>
      </w:r>
      <w:r w:rsidR="00E63764" w:rsidRPr="00515AA2">
        <w:rPr>
          <w:rStyle w:val="ParagrapheCar"/>
          <w:color w:val="000000"/>
          <w:lang w:val="en-CA"/>
        </w:rPr>
        <w:t>ection</w:t>
      </w:r>
      <w:r w:rsidR="00016EAA" w:rsidRPr="00515AA2">
        <w:rPr>
          <w:rStyle w:val="ParagrapheCar"/>
          <w:color w:val="000000"/>
          <w:lang w:val="en-CA"/>
        </w:rPr>
        <w:t xml:space="preserve"> 23.2 </w:t>
      </w:r>
      <w:r w:rsidRPr="00515AA2">
        <w:rPr>
          <w:rStyle w:val="ParagrapheCar"/>
          <w:color w:val="000000"/>
          <w:lang w:val="en-CA"/>
        </w:rPr>
        <w:t>of the</w:t>
      </w:r>
      <w:r w:rsidR="00016EAA" w:rsidRPr="00515AA2">
        <w:rPr>
          <w:rStyle w:val="ParagrapheCar"/>
          <w:color w:val="000000"/>
          <w:lang w:val="en-CA"/>
        </w:rPr>
        <w:t xml:space="preserve"> </w:t>
      </w:r>
      <w:r w:rsidR="00016EAA" w:rsidRPr="00515AA2">
        <w:rPr>
          <w:rStyle w:val="ParagrapheCar"/>
          <w:i/>
          <w:iCs/>
          <w:color w:val="000000"/>
          <w:lang w:val="en-CA"/>
        </w:rPr>
        <w:t>R</w:t>
      </w:r>
      <w:r w:rsidRPr="00515AA2">
        <w:rPr>
          <w:rStyle w:val="ParagrapheCar"/>
          <w:i/>
          <w:iCs/>
          <w:color w:val="000000"/>
          <w:lang w:val="en-CA"/>
        </w:rPr>
        <w:t>e</w:t>
      </w:r>
      <w:r w:rsidR="00016EAA" w:rsidRPr="00515AA2">
        <w:rPr>
          <w:rStyle w:val="ParagrapheCar"/>
          <w:i/>
          <w:iCs/>
          <w:color w:val="000000"/>
          <w:lang w:val="en-CA"/>
        </w:rPr>
        <w:t>g</w:t>
      </w:r>
      <w:r w:rsidRPr="00515AA2">
        <w:rPr>
          <w:rStyle w:val="ParagrapheCar"/>
          <w:i/>
          <w:iCs/>
          <w:color w:val="000000"/>
          <w:lang w:val="en-CA"/>
        </w:rPr>
        <w:t>ulation</w:t>
      </w:r>
      <w:r w:rsidR="00016EAA" w:rsidRPr="00515AA2">
        <w:rPr>
          <w:rStyle w:val="ParagrapheCar"/>
          <w:i/>
          <w:iCs/>
          <w:color w:val="000000"/>
          <w:lang w:val="en-CA"/>
        </w:rPr>
        <w:t xml:space="preserve"> </w:t>
      </w:r>
      <w:r w:rsidR="009F0C7A" w:rsidRPr="00515AA2">
        <w:rPr>
          <w:rStyle w:val="ParagrapheCar"/>
          <w:color w:val="000000"/>
          <w:lang w:val="en-CA"/>
        </w:rPr>
        <w:t>t</w:t>
      </w:r>
      <w:r w:rsidRPr="00515AA2">
        <w:rPr>
          <w:rStyle w:val="ParagrapheCar"/>
          <w:color w:val="000000"/>
          <w:lang w:val="en-CA"/>
        </w:rPr>
        <w:t>hat the professional “evaluate</w:t>
      </w:r>
      <w:r w:rsidR="004434E9" w:rsidRPr="00515AA2">
        <w:rPr>
          <w:rStyle w:val="ParagrapheCar"/>
          <w:color w:val="000000"/>
          <w:lang w:val="en-CA"/>
        </w:rPr>
        <w:t xml:space="preserve">(…) </w:t>
      </w:r>
      <w:r w:rsidRPr="00515AA2">
        <w:rPr>
          <w:rStyle w:val="ParagrapheCar"/>
          <w:color w:val="000000"/>
          <w:lang w:val="en-CA"/>
        </w:rPr>
        <w:t>or follow</w:t>
      </w:r>
      <w:r w:rsidR="004434E9" w:rsidRPr="00515AA2">
        <w:rPr>
          <w:rStyle w:val="ParagrapheCar"/>
          <w:color w:val="000000"/>
          <w:lang w:val="en-CA"/>
        </w:rPr>
        <w:t xml:space="preserve">(…) </w:t>
      </w:r>
      <w:r w:rsidRPr="00515AA2">
        <w:rPr>
          <w:rStyle w:val="ParagrapheCar"/>
          <w:color w:val="000000"/>
          <w:lang w:val="en-CA"/>
        </w:rPr>
        <w:t>the child” implies that this is a medical treatment, which would be contrary to the</w:t>
      </w:r>
      <w:r w:rsidR="00A8623E" w:rsidRPr="00515AA2">
        <w:rPr>
          <w:rStyle w:val="ParagrapheCar"/>
          <w:color w:val="000000"/>
          <w:lang w:val="en-CA"/>
        </w:rPr>
        <w:t xml:space="preserve"> </w:t>
      </w:r>
      <w:r w:rsidR="00BE2EAD" w:rsidRPr="00515AA2">
        <w:rPr>
          <w:i/>
          <w:iCs/>
          <w:color w:val="000000"/>
          <w:lang w:val="en-CA"/>
        </w:rPr>
        <w:t>R</w:t>
      </w:r>
      <w:r w:rsidRPr="00515AA2">
        <w:rPr>
          <w:i/>
          <w:iCs/>
          <w:color w:val="000000"/>
          <w:lang w:val="en-CA"/>
        </w:rPr>
        <w:t>e</w:t>
      </w:r>
      <w:r w:rsidR="00BE2EAD" w:rsidRPr="00515AA2">
        <w:rPr>
          <w:i/>
          <w:iCs/>
          <w:color w:val="000000"/>
          <w:lang w:val="en-CA"/>
        </w:rPr>
        <w:t>g</w:t>
      </w:r>
      <w:r w:rsidRPr="00515AA2">
        <w:rPr>
          <w:i/>
          <w:iCs/>
          <w:color w:val="000000"/>
          <w:lang w:val="en-CA"/>
        </w:rPr>
        <w:t>ulation</w:t>
      </w:r>
      <w:r w:rsidRPr="00515AA2">
        <w:rPr>
          <w:color w:val="000000"/>
          <w:lang w:val="en-CA"/>
        </w:rPr>
        <w:t>’s enabling provision, art</w:t>
      </w:r>
      <w:r w:rsidR="00E63764" w:rsidRPr="00515AA2">
        <w:rPr>
          <w:color w:val="000000"/>
          <w:lang w:val="en-CA"/>
        </w:rPr>
        <w:t>icle</w:t>
      </w:r>
      <w:r w:rsidR="0076197F" w:rsidRPr="00515AA2">
        <w:rPr>
          <w:color w:val="000000"/>
          <w:lang w:val="en-CA"/>
        </w:rPr>
        <w:t> </w:t>
      </w:r>
      <w:r w:rsidR="00016EAA" w:rsidRPr="00515AA2">
        <w:rPr>
          <w:color w:val="000000"/>
          <w:lang w:val="en-CA"/>
        </w:rPr>
        <w:t xml:space="preserve">71 </w:t>
      </w:r>
      <w:r w:rsidR="00016EAA" w:rsidRPr="00515AA2">
        <w:rPr>
          <w:i/>
          <w:iCs/>
          <w:color w:val="000000"/>
          <w:lang w:val="en-CA"/>
        </w:rPr>
        <w:t>C.</w:t>
      </w:r>
      <w:r w:rsidRPr="00515AA2">
        <w:rPr>
          <w:i/>
          <w:iCs/>
          <w:color w:val="000000"/>
          <w:lang w:val="en-CA"/>
        </w:rPr>
        <w:t>C</w:t>
      </w:r>
      <w:r w:rsidR="00016EAA" w:rsidRPr="00515AA2">
        <w:rPr>
          <w:i/>
          <w:iCs/>
          <w:color w:val="000000"/>
          <w:lang w:val="en-CA"/>
        </w:rPr>
        <w:t>.Q.</w:t>
      </w:r>
      <w:r w:rsidR="00016EAA" w:rsidRPr="00515AA2">
        <w:rPr>
          <w:color w:val="000000"/>
          <w:lang w:val="en-CA"/>
        </w:rPr>
        <w:t xml:space="preserve"> </w:t>
      </w:r>
      <w:r w:rsidRPr="00515AA2">
        <w:rPr>
          <w:color w:val="000000"/>
          <w:lang w:val="en-CA"/>
        </w:rPr>
        <w:t xml:space="preserve">In </w:t>
      </w:r>
      <w:r w:rsidR="00CF5910" w:rsidRPr="00515AA2">
        <w:rPr>
          <w:color w:val="000000"/>
          <w:lang w:val="en-CA"/>
        </w:rPr>
        <w:t>its</w:t>
      </w:r>
      <w:r w:rsidRPr="00515AA2">
        <w:rPr>
          <w:color w:val="000000"/>
          <w:lang w:val="en-CA"/>
        </w:rPr>
        <w:t xml:space="preserve"> view, all of the definitions of “medical treatment”, whether </w:t>
      </w:r>
      <w:r w:rsidR="009F0C7A" w:rsidRPr="00515AA2">
        <w:rPr>
          <w:color w:val="000000"/>
          <w:lang w:val="en-CA"/>
        </w:rPr>
        <w:t xml:space="preserve">established by the </w:t>
      </w:r>
      <w:r w:rsidRPr="00515AA2">
        <w:rPr>
          <w:color w:val="000000"/>
          <w:lang w:val="en-CA"/>
        </w:rPr>
        <w:t>case law or legislation, distinguish</w:t>
      </w:r>
      <w:r w:rsidR="009F0C7A" w:rsidRPr="00515AA2">
        <w:rPr>
          <w:color w:val="000000"/>
          <w:lang w:val="en-CA"/>
        </w:rPr>
        <w:t xml:space="preserve"> between </w:t>
      </w:r>
      <w:r w:rsidR="00EA6000" w:rsidRPr="00515AA2">
        <w:rPr>
          <w:color w:val="000000"/>
          <w:lang w:val="en-CA"/>
        </w:rPr>
        <w:t>such treatment</w:t>
      </w:r>
      <w:r w:rsidR="009F0C7A" w:rsidRPr="00515AA2">
        <w:rPr>
          <w:color w:val="000000"/>
          <w:lang w:val="en-CA"/>
        </w:rPr>
        <w:t xml:space="preserve"> and the</w:t>
      </w:r>
      <w:r w:rsidRPr="00515AA2">
        <w:rPr>
          <w:color w:val="000000"/>
          <w:lang w:val="en-CA"/>
        </w:rPr>
        <w:t xml:space="preserve"> follow-up o</w:t>
      </w:r>
      <w:r w:rsidR="00CF5910" w:rsidRPr="00515AA2">
        <w:rPr>
          <w:color w:val="000000"/>
          <w:lang w:val="en-CA"/>
        </w:rPr>
        <w:t>r</w:t>
      </w:r>
      <w:r w:rsidRPr="00515AA2">
        <w:rPr>
          <w:color w:val="000000"/>
          <w:lang w:val="en-CA"/>
        </w:rPr>
        <w:t xml:space="preserve"> evaluation provided </w:t>
      </w:r>
      <w:r w:rsidR="00CF5910" w:rsidRPr="00515AA2">
        <w:rPr>
          <w:color w:val="000000"/>
          <w:lang w:val="en-CA"/>
        </w:rPr>
        <w:t xml:space="preserve">in the </w:t>
      </w:r>
      <w:r w:rsidR="00CF5910" w:rsidRPr="00515AA2">
        <w:rPr>
          <w:i/>
          <w:iCs/>
          <w:color w:val="000000"/>
          <w:lang w:val="en-CA"/>
        </w:rPr>
        <w:t>Regulation</w:t>
      </w:r>
      <w:r w:rsidR="00CF5910" w:rsidRPr="00515AA2">
        <w:rPr>
          <w:color w:val="000000"/>
          <w:lang w:val="en-CA"/>
        </w:rPr>
        <w:t>,</w:t>
      </w:r>
      <w:r w:rsidR="0081563A" w:rsidRPr="00515AA2">
        <w:rPr>
          <w:color w:val="000000"/>
          <w:lang w:val="en-CA"/>
        </w:rPr>
        <w:t xml:space="preserve"> </w:t>
      </w:r>
      <w:r w:rsidR="00CF5910" w:rsidRPr="00515AA2">
        <w:rPr>
          <w:color w:val="000000"/>
          <w:lang w:val="en-CA"/>
        </w:rPr>
        <w:t>so that by requiring a letter from a designated professional, the legislator is not subjecting the minor person to any medical treatment</w:t>
      </w:r>
      <w:r w:rsidR="00016EAA" w:rsidRPr="00515AA2">
        <w:rPr>
          <w:color w:val="000000"/>
          <w:lang w:val="en-CA"/>
        </w:rPr>
        <w:t>.</w:t>
      </w:r>
    </w:p>
    <w:p w14:paraId="55BE1BAF" w14:textId="5412143D" w:rsidR="00016EAA" w:rsidRPr="00515AA2" w:rsidRDefault="00EA6000" w:rsidP="00F846E3">
      <w:pPr>
        <w:pStyle w:val="Paragraphe"/>
        <w:spacing w:line="280" w:lineRule="exact"/>
        <w:rPr>
          <w:color w:val="000000"/>
          <w:lang w:val="en-CA"/>
        </w:rPr>
      </w:pPr>
      <w:r w:rsidRPr="00515AA2">
        <w:rPr>
          <w:color w:val="000000"/>
          <w:lang w:val="en-CA"/>
        </w:rPr>
        <w:t xml:space="preserve">The respondents </w:t>
      </w:r>
      <w:r w:rsidR="00CF5EAE" w:rsidRPr="00515AA2">
        <w:rPr>
          <w:color w:val="000000"/>
          <w:lang w:val="en-CA"/>
        </w:rPr>
        <w:t>counter</w:t>
      </w:r>
      <w:r w:rsidRPr="00515AA2">
        <w:rPr>
          <w:color w:val="000000"/>
          <w:lang w:val="en-CA"/>
        </w:rPr>
        <w:t xml:space="preserve"> that the judge committed no error, since the evidence shows that two or three sessions are required before a professional agrees to provide such </w:t>
      </w:r>
      <w:r w:rsidR="001D319C" w:rsidRPr="00515AA2">
        <w:rPr>
          <w:color w:val="000000"/>
          <w:lang w:val="en-CA"/>
        </w:rPr>
        <w:t>a</w:t>
      </w:r>
      <w:r w:rsidR="002E461F" w:rsidRPr="00515AA2">
        <w:rPr>
          <w:color w:val="000000"/>
          <w:lang w:val="en-CA"/>
        </w:rPr>
        <w:t xml:space="preserve"> letter</w:t>
      </w:r>
      <w:r w:rsidRPr="00515AA2">
        <w:rPr>
          <w:color w:val="000000"/>
          <w:lang w:val="en-CA"/>
        </w:rPr>
        <w:t xml:space="preserve">. Ultimately, those sessions are of no </w:t>
      </w:r>
      <w:r w:rsidR="00CF5EAE" w:rsidRPr="00515AA2">
        <w:rPr>
          <w:color w:val="000000"/>
          <w:lang w:val="en-CA"/>
        </w:rPr>
        <w:t>value</w:t>
      </w:r>
      <w:r w:rsidRPr="00515AA2">
        <w:rPr>
          <w:color w:val="000000"/>
          <w:lang w:val="en-CA"/>
        </w:rPr>
        <w:t xml:space="preserve"> and constitute an additional burden </w:t>
      </w:r>
      <w:r w:rsidR="001D319C" w:rsidRPr="00515AA2">
        <w:rPr>
          <w:color w:val="000000"/>
          <w:lang w:val="en-CA"/>
        </w:rPr>
        <w:t>on</w:t>
      </w:r>
      <w:r w:rsidRPr="00515AA2">
        <w:rPr>
          <w:color w:val="000000"/>
          <w:lang w:val="en-CA"/>
        </w:rPr>
        <w:t xml:space="preserve"> transgender minors, which consequently medicalizes the process</w:t>
      </w:r>
      <w:r w:rsidR="00016EAA" w:rsidRPr="00515AA2">
        <w:rPr>
          <w:color w:val="000000"/>
          <w:lang w:val="en-CA"/>
        </w:rPr>
        <w:t>.</w:t>
      </w:r>
    </w:p>
    <w:p w14:paraId="16C8A8E1" w14:textId="1BF0F12F" w:rsidR="00016EAA" w:rsidRPr="00515AA2" w:rsidRDefault="008100DD" w:rsidP="00F846E3">
      <w:pPr>
        <w:pStyle w:val="Paragraphe"/>
        <w:spacing w:line="280" w:lineRule="exact"/>
        <w:rPr>
          <w:color w:val="000000"/>
          <w:lang w:val="en-CA"/>
        </w:rPr>
      </w:pPr>
      <w:r>
        <w:rPr>
          <w:color w:val="000000"/>
          <w:lang w:val="en-CA" w:eastAsia="fr-CA"/>
        </w:rPr>
        <w:t>GCK</w:t>
      </w:r>
      <w:r w:rsidR="003B6F73" w:rsidRPr="00515AA2">
        <w:rPr>
          <w:color w:val="000000"/>
          <w:lang w:val="en-CA"/>
        </w:rPr>
        <w:t xml:space="preserve">, </w:t>
      </w:r>
      <w:r w:rsidR="004A55A4" w:rsidRPr="00515AA2">
        <w:rPr>
          <w:color w:val="000000"/>
          <w:lang w:val="en-CA"/>
        </w:rPr>
        <w:t xml:space="preserve">which supports the respondents’ </w:t>
      </w:r>
      <w:r w:rsidR="00C36E2E" w:rsidRPr="00515AA2">
        <w:rPr>
          <w:color w:val="000000"/>
          <w:lang w:val="en-CA"/>
        </w:rPr>
        <w:t>argument</w:t>
      </w:r>
      <w:r w:rsidR="004A55A4" w:rsidRPr="00515AA2">
        <w:rPr>
          <w:color w:val="000000"/>
          <w:lang w:val="en-CA"/>
        </w:rPr>
        <w:t>s</w:t>
      </w:r>
      <w:r w:rsidR="003B6F73" w:rsidRPr="00515AA2">
        <w:rPr>
          <w:color w:val="000000"/>
          <w:lang w:val="en-CA"/>
        </w:rPr>
        <w:t>,</w:t>
      </w:r>
      <w:r w:rsidR="00016EAA" w:rsidRPr="00515AA2">
        <w:rPr>
          <w:color w:val="000000"/>
          <w:lang w:val="en-CA"/>
        </w:rPr>
        <w:t xml:space="preserve"> </w:t>
      </w:r>
      <w:r w:rsidR="004A55A4" w:rsidRPr="00515AA2">
        <w:rPr>
          <w:color w:val="000000"/>
          <w:lang w:val="en-CA"/>
        </w:rPr>
        <w:t>adds that paragraph 2 of s</w:t>
      </w:r>
      <w:r w:rsidR="00E63764" w:rsidRPr="00515AA2">
        <w:rPr>
          <w:color w:val="000000"/>
          <w:lang w:val="en-CA"/>
        </w:rPr>
        <w:t>ection</w:t>
      </w:r>
      <w:r w:rsidR="0076197F" w:rsidRPr="00515AA2">
        <w:rPr>
          <w:color w:val="000000"/>
          <w:lang w:val="en-CA"/>
        </w:rPr>
        <w:t> </w:t>
      </w:r>
      <w:r w:rsidR="00016EAA" w:rsidRPr="00515AA2">
        <w:rPr>
          <w:color w:val="000000"/>
          <w:lang w:val="en-CA"/>
        </w:rPr>
        <w:t xml:space="preserve">23.2 </w:t>
      </w:r>
      <w:r w:rsidR="004A55A4"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4A55A4" w:rsidRPr="00515AA2">
        <w:rPr>
          <w:i/>
          <w:iCs/>
          <w:color w:val="000000"/>
          <w:lang w:val="en-CA"/>
        </w:rPr>
        <w:t>egulation</w:t>
      </w:r>
      <w:r w:rsidR="00016EAA" w:rsidRPr="00515AA2">
        <w:rPr>
          <w:color w:val="000000"/>
          <w:lang w:val="en-CA"/>
        </w:rPr>
        <w:t xml:space="preserve"> </w:t>
      </w:r>
      <w:r w:rsidR="004A55A4" w:rsidRPr="00515AA2">
        <w:rPr>
          <w:color w:val="000000"/>
          <w:lang w:val="en-CA"/>
        </w:rPr>
        <w:t>is contrary to its enabling legislation and that it is</w:t>
      </w:r>
      <w:r w:rsidR="00016EAA" w:rsidRPr="00515AA2">
        <w:rPr>
          <w:color w:val="000000"/>
          <w:lang w:val="en-CA"/>
        </w:rPr>
        <w:t xml:space="preserve"> </w:t>
      </w:r>
      <w:r w:rsidR="00016EAA" w:rsidRPr="00515AA2">
        <w:rPr>
          <w:i/>
          <w:iCs/>
          <w:color w:val="000000"/>
          <w:lang w:val="en-CA"/>
        </w:rPr>
        <w:t>ultra vires</w:t>
      </w:r>
      <w:r w:rsidR="00016EAA" w:rsidRPr="00515AA2">
        <w:rPr>
          <w:color w:val="000000"/>
          <w:lang w:val="en-CA"/>
        </w:rPr>
        <w:t xml:space="preserve">. </w:t>
      </w:r>
      <w:r w:rsidR="004A55A4" w:rsidRPr="00515AA2">
        <w:rPr>
          <w:color w:val="000000"/>
          <w:lang w:val="en-CA"/>
        </w:rPr>
        <w:t>To the extent that “medical treatment” is not defined in the</w:t>
      </w:r>
      <w:r w:rsidR="00016EAA" w:rsidRPr="00515AA2">
        <w:rPr>
          <w:color w:val="000000"/>
          <w:lang w:val="en-CA"/>
        </w:rPr>
        <w:t xml:space="preserve"> </w:t>
      </w:r>
      <w:r w:rsidR="00016EAA" w:rsidRPr="00515AA2">
        <w:rPr>
          <w:i/>
          <w:iCs/>
          <w:color w:val="000000"/>
          <w:lang w:val="en-CA"/>
        </w:rPr>
        <w:t>C.</w:t>
      </w:r>
      <w:r w:rsidR="004A55A4" w:rsidRPr="00515AA2">
        <w:rPr>
          <w:i/>
          <w:iCs/>
          <w:color w:val="000000"/>
          <w:lang w:val="en-CA"/>
        </w:rPr>
        <w:t>C</w:t>
      </w:r>
      <w:r w:rsidR="00016EAA" w:rsidRPr="00515AA2">
        <w:rPr>
          <w:i/>
          <w:iCs/>
          <w:color w:val="000000"/>
          <w:lang w:val="en-CA"/>
        </w:rPr>
        <w:t>.Q.</w:t>
      </w:r>
      <w:r w:rsidR="00016EAA" w:rsidRPr="00515AA2">
        <w:rPr>
          <w:color w:val="000000"/>
          <w:lang w:val="en-CA"/>
        </w:rPr>
        <w:t xml:space="preserve">, </w:t>
      </w:r>
      <w:r w:rsidR="004A55A4" w:rsidRPr="00515AA2">
        <w:rPr>
          <w:color w:val="000000"/>
          <w:lang w:val="en-CA"/>
        </w:rPr>
        <w:t xml:space="preserve">it </w:t>
      </w:r>
      <w:r w:rsidR="00C36E2E" w:rsidRPr="00515AA2">
        <w:rPr>
          <w:color w:val="000000"/>
          <w:lang w:val="en-CA"/>
        </w:rPr>
        <w:t>submits</w:t>
      </w:r>
      <w:r w:rsidR="004A55A4" w:rsidRPr="00515AA2">
        <w:rPr>
          <w:color w:val="000000"/>
          <w:lang w:val="en-CA"/>
        </w:rPr>
        <w:t xml:space="preserve"> that </w:t>
      </w:r>
      <w:r w:rsidR="00357729" w:rsidRPr="00515AA2">
        <w:rPr>
          <w:color w:val="000000"/>
          <w:lang w:val="en-CA"/>
        </w:rPr>
        <w:t>the expression</w:t>
      </w:r>
      <w:r w:rsidR="004A55A4" w:rsidRPr="00515AA2">
        <w:rPr>
          <w:color w:val="000000"/>
          <w:lang w:val="en-CA"/>
        </w:rPr>
        <w:t xml:space="preserve"> </w:t>
      </w:r>
      <w:r w:rsidR="00357729" w:rsidRPr="00515AA2">
        <w:rPr>
          <w:color w:val="000000"/>
          <w:lang w:val="en-CA"/>
        </w:rPr>
        <w:t>is to</w:t>
      </w:r>
      <w:r w:rsidR="004A55A4" w:rsidRPr="00515AA2">
        <w:rPr>
          <w:color w:val="000000"/>
          <w:lang w:val="en-CA"/>
        </w:rPr>
        <w:t xml:space="preserve"> be interpreted o</w:t>
      </w:r>
      <w:r w:rsidR="00E97493" w:rsidRPr="00515AA2">
        <w:rPr>
          <w:color w:val="000000"/>
          <w:lang w:val="en-CA"/>
        </w:rPr>
        <w:t>n the basis of</w:t>
      </w:r>
      <w:r w:rsidR="00E65EFC" w:rsidRPr="00515AA2">
        <w:rPr>
          <w:color w:val="000000"/>
          <w:lang w:val="en-CA"/>
        </w:rPr>
        <w:t xml:space="preserve"> </w:t>
      </w:r>
      <w:r w:rsidR="00E97493" w:rsidRPr="00515AA2">
        <w:rPr>
          <w:color w:val="000000"/>
          <w:lang w:val="en-CA"/>
        </w:rPr>
        <w:t>the grammatical and ordinary meaning of the words, ta</w:t>
      </w:r>
      <w:r w:rsidR="00C36E2E" w:rsidRPr="00515AA2">
        <w:rPr>
          <w:color w:val="000000"/>
          <w:lang w:val="en-CA"/>
        </w:rPr>
        <w:t>k</w:t>
      </w:r>
      <w:r w:rsidR="00E97493" w:rsidRPr="00515AA2">
        <w:rPr>
          <w:color w:val="000000"/>
          <w:lang w:val="en-CA"/>
        </w:rPr>
        <w:t xml:space="preserve">ing into account the statute’s </w:t>
      </w:r>
      <w:r w:rsidR="00357729" w:rsidRPr="00515AA2">
        <w:rPr>
          <w:color w:val="000000"/>
          <w:lang w:val="en-CA"/>
        </w:rPr>
        <w:t>entire</w:t>
      </w:r>
      <w:r w:rsidR="00C36E2E" w:rsidRPr="00515AA2">
        <w:rPr>
          <w:color w:val="000000"/>
          <w:lang w:val="en-CA"/>
        </w:rPr>
        <w:t xml:space="preserve"> </w:t>
      </w:r>
      <w:r w:rsidR="00E97493" w:rsidRPr="00515AA2">
        <w:rPr>
          <w:color w:val="000000"/>
          <w:lang w:val="en-CA"/>
        </w:rPr>
        <w:t>context</w:t>
      </w:r>
      <w:r w:rsidR="00C36E2E" w:rsidRPr="00515AA2">
        <w:rPr>
          <w:color w:val="000000"/>
          <w:lang w:val="en-CA"/>
        </w:rPr>
        <w:t>, scheme</w:t>
      </w:r>
      <w:r w:rsidR="00E97493" w:rsidRPr="00515AA2">
        <w:rPr>
          <w:color w:val="000000"/>
          <w:lang w:val="en-CA"/>
        </w:rPr>
        <w:t xml:space="preserve"> and purpose</w:t>
      </w:r>
      <w:r w:rsidR="00016EAA" w:rsidRPr="00515AA2">
        <w:rPr>
          <w:color w:val="000000"/>
          <w:lang w:val="en-CA"/>
        </w:rPr>
        <w:t xml:space="preserve">. </w:t>
      </w:r>
      <w:r w:rsidR="00E97493" w:rsidRPr="00515AA2">
        <w:rPr>
          <w:color w:val="000000"/>
          <w:lang w:val="en-CA"/>
        </w:rPr>
        <w:t xml:space="preserve">In its second paragraph, </w:t>
      </w:r>
      <w:r w:rsidR="001D319C" w:rsidRPr="00515AA2">
        <w:rPr>
          <w:color w:val="000000"/>
          <w:lang w:val="en-CA"/>
        </w:rPr>
        <w:t xml:space="preserve">however, </w:t>
      </w:r>
      <w:r w:rsidR="00E97493" w:rsidRPr="00515AA2">
        <w:rPr>
          <w:color w:val="000000"/>
          <w:lang w:val="en-CA"/>
        </w:rPr>
        <w:t>art</w:t>
      </w:r>
      <w:r w:rsidR="00E63764" w:rsidRPr="00515AA2">
        <w:rPr>
          <w:color w:val="000000"/>
          <w:lang w:val="en-CA"/>
        </w:rPr>
        <w:t>icle</w:t>
      </w:r>
      <w:r w:rsidR="0076197F" w:rsidRPr="00515AA2">
        <w:rPr>
          <w:color w:val="000000"/>
          <w:lang w:val="en-CA"/>
        </w:rPr>
        <w:t> </w:t>
      </w:r>
      <w:r w:rsidR="00016EAA" w:rsidRPr="00515AA2">
        <w:rPr>
          <w:color w:val="000000"/>
          <w:lang w:val="en-CA"/>
        </w:rPr>
        <w:t>71</w:t>
      </w:r>
      <w:r w:rsidR="0076197F" w:rsidRPr="00515AA2">
        <w:rPr>
          <w:color w:val="000000"/>
          <w:lang w:val="en-CA"/>
        </w:rPr>
        <w:t> </w:t>
      </w:r>
      <w:r w:rsidR="00016EAA" w:rsidRPr="00515AA2">
        <w:rPr>
          <w:i/>
          <w:iCs/>
          <w:color w:val="000000"/>
          <w:lang w:val="en-CA"/>
        </w:rPr>
        <w:t>C.</w:t>
      </w:r>
      <w:r w:rsidR="00E97493" w:rsidRPr="00515AA2">
        <w:rPr>
          <w:i/>
          <w:iCs/>
          <w:color w:val="000000"/>
          <w:lang w:val="en-CA"/>
        </w:rPr>
        <w:t>C</w:t>
      </w:r>
      <w:r w:rsidR="00016EAA" w:rsidRPr="00515AA2">
        <w:rPr>
          <w:i/>
          <w:iCs/>
          <w:color w:val="000000"/>
          <w:lang w:val="en-CA"/>
        </w:rPr>
        <w:t>.Q.</w:t>
      </w:r>
      <w:r w:rsidR="00016EAA" w:rsidRPr="00515AA2">
        <w:rPr>
          <w:color w:val="000000"/>
          <w:lang w:val="en-CA"/>
        </w:rPr>
        <w:t xml:space="preserve"> </w:t>
      </w:r>
      <w:r w:rsidR="00E97493" w:rsidRPr="00515AA2">
        <w:rPr>
          <w:color w:val="000000"/>
          <w:lang w:val="en-CA"/>
        </w:rPr>
        <w:t>provides that changes to the designation of sex</w:t>
      </w:r>
      <w:r w:rsidR="00016EAA" w:rsidRPr="00515AA2">
        <w:rPr>
          <w:color w:val="000000"/>
          <w:lang w:val="en-CA"/>
        </w:rPr>
        <w:t xml:space="preserve"> </w:t>
      </w:r>
      <w:r w:rsidR="00E97493" w:rsidRPr="00515AA2">
        <w:rPr>
          <w:color w:val="000000"/>
          <w:lang w:val="en-CA"/>
        </w:rPr>
        <w:t>may in no case be made dependent on the requirement to have undergone any medical treatment or surgical operation whatsoever</w:t>
      </w:r>
      <w:r w:rsidR="00016EAA" w:rsidRPr="00515AA2">
        <w:rPr>
          <w:color w:val="000000"/>
          <w:lang w:val="en-CA"/>
        </w:rPr>
        <w:t xml:space="preserve">. </w:t>
      </w:r>
      <w:r w:rsidR="00E97493" w:rsidRPr="00515AA2">
        <w:rPr>
          <w:color w:val="000000"/>
          <w:lang w:val="en-CA"/>
        </w:rPr>
        <w:t xml:space="preserve">In its view, the context of that article suggests a </w:t>
      </w:r>
      <w:r w:rsidR="00C36E2E" w:rsidRPr="00515AA2">
        <w:rPr>
          <w:color w:val="000000"/>
          <w:lang w:val="en-CA"/>
        </w:rPr>
        <w:t>broader</w:t>
      </w:r>
      <w:r w:rsidR="00E97493" w:rsidRPr="00515AA2">
        <w:rPr>
          <w:color w:val="000000"/>
          <w:lang w:val="en-CA"/>
        </w:rPr>
        <w:t xml:space="preserve"> concep</w:t>
      </w:r>
      <w:r w:rsidR="00C36E2E" w:rsidRPr="00515AA2">
        <w:rPr>
          <w:color w:val="000000"/>
          <w:lang w:val="en-CA"/>
        </w:rPr>
        <w:t>t</w:t>
      </w:r>
      <w:r w:rsidR="00357729" w:rsidRPr="00515AA2">
        <w:rPr>
          <w:color w:val="000000"/>
          <w:lang w:val="en-CA"/>
        </w:rPr>
        <w:t>ion</w:t>
      </w:r>
      <w:r w:rsidR="00E97493" w:rsidRPr="00515AA2">
        <w:rPr>
          <w:color w:val="000000"/>
          <w:lang w:val="en-CA"/>
        </w:rPr>
        <w:t xml:space="preserve"> of the notion of “medical treatment” that includ</w:t>
      </w:r>
      <w:r w:rsidR="00BE47B5" w:rsidRPr="00515AA2">
        <w:rPr>
          <w:color w:val="000000"/>
          <w:lang w:val="en-CA"/>
        </w:rPr>
        <w:t>es the evaluations and follow-ups required under s</w:t>
      </w:r>
      <w:r w:rsidR="00E63764" w:rsidRPr="00515AA2">
        <w:rPr>
          <w:color w:val="000000"/>
          <w:lang w:val="en-CA"/>
        </w:rPr>
        <w:t>ection</w:t>
      </w:r>
      <w:r w:rsidR="00E97493" w:rsidRPr="00515AA2">
        <w:rPr>
          <w:color w:val="000000"/>
          <w:lang w:val="en-CA"/>
        </w:rPr>
        <w:t xml:space="preserve"> </w:t>
      </w:r>
      <w:r w:rsidR="00016EAA" w:rsidRPr="00515AA2">
        <w:rPr>
          <w:color w:val="000000"/>
          <w:lang w:val="en-CA"/>
        </w:rPr>
        <w:t xml:space="preserve">23.2 </w:t>
      </w:r>
      <w:r w:rsidR="00BE47B5"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BE47B5" w:rsidRPr="00515AA2">
        <w:rPr>
          <w:i/>
          <w:iCs/>
          <w:color w:val="000000"/>
          <w:lang w:val="en-CA"/>
        </w:rPr>
        <w:t>egulation</w:t>
      </w:r>
      <w:r w:rsidR="00016EAA" w:rsidRPr="00515AA2">
        <w:rPr>
          <w:color w:val="000000"/>
          <w:lang w:val="en-CA"/>
        </w:rPr>
        <w:t xml:space="preserve">. </w:t>
      </w:r>
      <w:r w:rsidR="00BE47B5" w:rsidRPr="00515AA2">
        <w:rPr>
          <w:color w:val="000000"/>
          <w:lang w:val="en-CA"/>
        </w:rPr>
        <w:t xml:space="preserve">It relies in that </w:t>
      </w:r>
      <w:r w:rsidR="00BE47B5" w:rsidRPr="00515AA2">
        <w:rPr>
          <w:color w:val="000000"/>
          <w:lang w:val="en-CA"/>
        </w:rPr>
        <w:lastRenderedPageBreak/>
        <w:t xml:space="preserve">regard on the legal literature which, addressing the former </w:t>
      </w:r>
      <w:r w:rsidR="00357729" w:rsidRPr="00515AA2">
        <w:rPr>
          <w:color w:val="000000"/>
          <w:lang w:val="en-CA"/>
        </w:rPr>
        <w:t>version</w:t>
      </w:r>
      <w:r w:rsidR="00BE47B5" w:rsidRPr="00515AA2">
        <w:rPr>
          <w:color w:val="000000"/>
          <w:lang w:val="en-CA"/>
        </w:rPr>
        <w:t xml:space="preserve"> of art</w:t>
      </w:r>
      <w:r w:rsidR="00E63764" w:rsidRPr="00515AA2">
        <w:rPr>
          <w:color w:val="000000"/>
          <w:lang w:val="en-CA"/>
        </w:rPr>
        <w:t>icle</w:t>
      </w:r>
      <w:r w:rsidR="00BE47B5" w:rsidRPr="00515AA2">
        <w:rPr>
          <w:color w:val="000000"/>
          <w:lang w:val="en-CA"/>
        </w:rPr>
        <w:t xml:space="preserve"> </w:t>
      </w:r>
      <w:r w:rsidR="00016EAA" w:rsidRPr="00515AA2">
        <w:rPr>
          <w:color w:val="000000"/>
          <w:lang w:val="en-CA"/>
        </w:rPr>
        <w:t xml:space="preserve">71 </w:t>
      </w:r>
      <w:r w:rsidR="00016EAA" w:rsidRPr="00515AA2">
        <w:rPr>
          <w:i/>
          <w:iCs/>
          <w:color w:val="000000"/>
          <w:lang w:val="en-CA"/>
        </w:rPr>
        <w:t>C.</w:t>
      </w:r>
      <w:r w:rsidR="00BE47B5" w:rsidRPr="00515AA2">
        <w:rPr>
          <w:i/>
          <w:iCs/>
          <w:color w:val="000000"/>
          <w:lang w:val="en-CA"/>
        </w:rPr>
        <w:t>C</w:t>
      </w:r>
      <w:r w:rsidR="00016EAA" w:rsidRPr="00515AA2">
        <w:rPr>
          <w:i/>
          <w:iCs/>
          <w:color w:val="000000"/>
          <w:lang w:val="en-CA"/>
        </w:rPr>
        <w:t>.Q</w:t>
      </w:r>
      <w:r w:rsidR="00621F57" w:rsidRPr="00515AA2">
        <w:rPr>
          <w:i/>
          <w:iCs/>
          <w:color w:val="000000"/>
          <w:lang w:val="en-CA"/>
        </w:rPr>
        <w:t>.,</w:t>
      </w:r>
      <w:r w:rsidR="00016EAA" w:rsidRPr="00515AA2">
        <w:rPr>
          <w:color w:val="000000"/>
          <w:lang w:val="en-CA"/>
        </w:rPr>
        <w:t xml:space="preserve"> </w:t>
      </w:r>
      <w:r w:rsidR="00BE47B5" w:rsidRPr="00515AA2">
        <w:rPr>
          <w:color w:val="000000"/>
          <w:lang w:val="en-CA"/>
        </w:rPr>
        <w:t>states that “medical treatment” includes [</w:t>
      </w:r>
      <w:r w:rsidR="00BE47B5" w:rsidRPr="00515AA2">
        <w:rPr>
          <w:smallCaps/>
          <w:color w:val="000000"/>
          <w:lang w:val="en-CA"/>
        </w:rPr>
        <w:t>translation</w:t>
      </w:r>
      <w:r w:rsidR="00BE47B5" w:rsidRPr="00515AA2">
        <w:rPr>
          <w:color w:val="000000"/>
          <w:lang w:val="en-CA"/>
        </w:rPr>
        <w:t>] “psychological follow-up to ensure that the patient</w:t>
      </w:r>
      <w:r w:rsidR="00357729" w:rsidRPr="00515AA2">
        <w:rPr>
          <w:color w:val="000000"/>
          <w:lang w:val="en-CA"/>
        </w:rPr>
        <w:t xml:space="preserve"> presents a</w:t>
      </w:r>
      <w:r w:rsidR="00BE47B5" w:rsidRPr="00515AA2">
        <w:rPr>
          <w:color w:val="000000"/>
          <w:lang w:val="en-CA"/>
        </w:rPr>
        <w:t xml:space="preserve"> real case of transsexualism.”</w:t>
      </w:r>
      <w:r w:rsidR="00016EAA" w:rsidRPr="00515AA2">
        <w:rPr>
          <w:color w:val="000000"/>
          <w:vertAlign w:val="superscript"/>
          <w:lang w:val="en-CA"/>
        </w:rPr>
        <w:footnoteReference w:id="83"/>
      </w:r>
      <w:r w:rsidR="00016EAA" w:rsidRPr="00515AA2">
        <w:rPr>
          <w:color w:val="000000"/>
          <w:lang w:val="en-CA"/>
        </w:rPr>
        <w:t xml:space="preserve"> </w:t>
      </w:r>
      <w:r w:rsidR="00BE47B5" w:rsidRPr="00515AA2">
        <w:rPr>
          <w:color w:val="000000"/>
          <w:lang w:val="en-CA"/>
        </w:rPr>
        <w:t>It submits that by using that expression again in the current version of art</w:t>
      </w:r>
      <w:r w:rsidR="00E63764" w:rsidRPr="00515AA2">
        <w:rPr>
          <w:color w:val="000000"/>
          <w:lang w:val="en-CA"/>
        </w:rPr>
        <w:t>icle</w:t>
      </w:r>
      <w:r w:rsidR="00BE47B5" w:rsidRPr="00515AA2">
        <w:rPr>
          <w:color w:val="000000"/>
          <w:lang w:val="en-CA"/>
        </w:rPr>
        <w:t xml:space="preserve"> </w:t>
      </w:r>
      <w:r w:rsidR="00EE3A2D" w:rsidRPr="00515AA2">
        <w:rPr>
          <w:color w:val="000000"/>
          <w:lang w:val="en-CA"/>
        </w:rPr>
        <w:t xml:space="preserve">71 </w:t>
      </w:r>
      <w:r w:rsidR="00EE3A2D" w:rsidRPr="00515AA2">
        <w:rPr>
          <w:i/>
          <w:iCs/>
          <w:color w:val="000000"/>
          <w:lang w:val="en-CA"/>
        </w:rPr>
        <w:t>C.</w:t>
      </w:r>
      <w:r w:rsidR="00BE47B5" w:rsidRPr="00515AA2">
        <w:rPr>
          <w:i/>
          <w:iCs/>
          <w:color w:val="000000"/>
          <w:lang w:val="en-CA"/>
        </w:rPr>
        <w:t>C</w:t>
      </w:r>
      <w:r w:rsidR="00EE3A2D" w:rsidRPr="00515AA2">
        <w:rPr>
          <w:i/>
          <w:iCs/>
          <w:color w:val="000000"/>
          <w:lang w:val="en-CA"/>
        </w:rPr>
        <w:t>.Q</w:t>
      </w:r>
      <w:r w:rsidR="00EE3A2D" w:rsidRPr="00515AA2">
        <w:rPr>
          <w:color w:val="000000"/>
          <w:lang w:val="en-CA"/>
        </w:rPr>
        <w:t>.</w:t>
      </w:r>
      <w:r w:rsidR="00016EAA" w:rsidRPr="00515AA2">
        <w:rPr>
          <w:color w:val="000000"/>
          <w:lang w:val="en-CA"/>
        </w:rPr>
        <w:t xml:space="preserve">, </w:t>
      </w:r>
      <w:r w:rsidR="00BE47B5" w:rsidRPr="00515AA2">
        <w:rPr>
          <w:color w:val="000000"/>
          <w:lang w:val="en-CA"/>
        </w:rPr>
        <w:t>the legislator intended to maintain the meaning</w:t>
      </w:r>
      <w:r w:rsidR="003257F4" w:rsidRPr="00515AA2">
        <w:rPr>
          <w:color w:val="000000"/>
          <w:lang w:val="en-CA"/>
        </w:rPr>
        <w:t xml:space="preserve"> given in its previous version</w:t>
      </w:r>
      <w:r w:rsidR="00016EAA" w:rsidRPr="00515AA2">
        <w:rPr>
          <w:color w:val="000000"/>
          <w:lang w:val="en-CA"/>
        </w:rPr>
        <w:t>.</w:t>
      </w:r>
    </w:p>
    <w:p w14:paraId="2B0389B2" w14:textId="0534B1A8" w:rsidR="00016EAA" w:rsidRPr="00515AA2" w:rsidRDefault="00357729" w:rsidP="00F846E3">
      <w:pPr>
        <w:pStyle w:val="Paragraphe"/>
        <w:spacing w:line="280" w:lineRule="exact"/>
        <w:rPr>
          <w:color w:val="000000"/>
          <w:lang w:val="en-CA"/>
        </w:rPr>
      </w:pPr>
      <w:r w:rsidRPr="00515AA2">
        <w:rPr>
          <w:color w:val="000000"/>
          <w:lang w:val="en-CA"/>
        </w:rPr>
        <w:t>It adds that, in any event</w:t>
      </w:r>
      <w:r w:rsidR="00016EAA" w:rsidRPr="00515AA2">
        <w:rPr>
          <w:color w:val="000000"/>
          <w:lang w:val="en-CA"/>
        </w:rPr>
        <w:t xml:space="preserve">, </w:t>
      </w:r>
      <w:r w:rsidRPr="00515AA2">
        <w:rPr>
          <w:color w:val="000000"/>
          <w:lang w:val="en-CA"/>
        </w:rPr>
        <w:t xml:space="preserve">even if it </w:t>
      </w:r>
      <w:r w:rsidR="00AA2CA0" w:rsidRPr="00515AA2">
        <w:rPr>
          <w:color w:val="000000"/>
          <w:lang w:val="en-CA"/>
        </w:rPr>
        <w:t>were to be</w:t>
      </w:r>
      <w:r w:rsidRPr="00515AA2">
        <w:rPr>
          <w:color w:val="000000"/>
          <w:lang w:val="en-CA"/>
        </w:rPr>
        <w:t xml:space="preserve"> found that the judge erred in his interpretation of s</w:t>
      </w:r>
      <w:r w:rsidR="00E63764" w:rsidRPr="00515AA2">
        <w:rPr>
          <w:color w:val="000000"/>
          <w:lang w:val="en-CA"/>
        </w:rPr>
        <w:t>ection</w:t>
      </w:r>
      <w:r w:rsidR="0076197F" w:rsidRPr="00515AA2">
        <w:rPr>
          <w:color w:val="000000"/>
          <w:lang w:val="en-CA"/>
        </w:rPr>
        <w:t> </w:t>
      </w:r>
      <w:r w:rsidR="00016EAA" w:rsidRPr="00515AA2">
        <w:rPr>
          <w:color w:val="000000"/>
          <w:lang w:val="en-CA"/>
        </w:rPr>
        <w:t xml:space="preserve">23.2 </w:t>
      </w:r>
      <w:r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Pr="00515AA2">
        <w:rPr>
          <w:i/>
          <w:iCs/>
          <w:color w:val="000000"/>
          <w:lang w:val="en-CA"/>
        </w:rPr>
        <w:t>e</w:t>
      </w:r>
      <w:r w:rsidR="00016EAA" w:rsidRPr="00515AA2">
        <w:rPr>
          <w:i/>
          <w:iCs/>
          <w:color w:val="000000"/>
          <w:lang w:val="en-CA"/>
        </w:rPr>
        <w:t>g</w:t>
      </w:r>
      <w:r w:rsidRPr="00515AA2">
        <w:rPr>
          <w:i/>
          <w:iCs/>
          <w:color w:val="000000"/>
          <w:lang w:val="en-CA"/>
        </w:rPr>
        <w:t>ulation</w:t>
      </w:r>
      <w:r w:rsidR="00016EAA" w:rsidRPr="00515AA2">
        <w:rPr>
          <w:color w:val="000000"/>
          <w:lang w:val="en-CA"/>
        </w:rPr>
        <w:t xml:space="preserve">, </w:t>
      </w:r>
      <w:r w:rsidRPr="00515AA2">
        <w:rPr>
          <w:color w:val="000000"/>
          <w:lang w:val="en-CA"/>
        </w:rPr>
        <w:t xml:space="preserve">that would not be an overriding error since it related to only one of </w:t>
      </w:r>
      <w:r w:rsidR="001D319C" w:rsidRPr="00515AA2">
        <w:rPr>
          <w:color w:val="000000"/>
          <w:lang w:val="en-CA"/>
        </w:rPr>
        <w:t>the grounds on which he relied in finding</w:t>
      </w:r>
      <w:r w:rsidRPr="00515AA2">
        <w:rPr>
          <w:color w:val="000000"/>
          <w:lang w:val="en-CA"/>
        </w:rPr>
        <w:t xml:space="preserve"> no rational connection between the provision and the legislator’s objective</w:t>
      </w:r>
      <w:r w:rsidR="00016EAA" w:rsidRPr="00515AA2">
        <w:rPr>
          <w:color w:val="000000"/>
          <w:lang w:val="en-CA"/>
        </w:rPr>
        <w:t xml:space="preserve">. </w:t>
      </w:r>
      <w:r w:rsidR="003138FE" w:rsidRPr="00515AA2">
        <w:rPr>
          <w:color w:val="000000"/>
          <w:lang w:val="en-CA"/>
        </w:rPr>
        <w:t xml:space="preserve">Moreover, even if the declaration required is not characterized as a medical treatment </w:t>
      </w:r>
      <w:r w:rsidR="001D319C" w:rsidRPr="00515AA2">
        <w:rPr>
          <w:color w:val="000000"/>
          <w:lang w:val="en-CA"/>
        </w:rPr>
        <w:t>strictly speaking</w:t>
      </w:r>
      <w:r w:rsidR="00016EAA" w:rsidRPr="00515AA2">
        <w:rPr>
          <w:color w:val="000000"/>
          <w:lang w:val="en-CA"/>
        </w:rPr>
        <w:t xml:space="preserve">, </w:t>
      </w:r>
      <w:r w:rsidR="003138FE" w:rsidRPr="00515AA2">
        <w:rPr>
          <w:color w:val="000000"/>
          <w:lang w:val="en-CA"/>
        </w:rPr>
        <w:t xml:space="preserve">the fact remains that </w:t>
      </w:r>
      <w:r w:rsidR="00E63764" w:rsidRPr="00515AA2">
        <w:rPr>
          <w:color w:val="000000"/>
          <w:lang w:val="en-CA"/>
        </w:rPr>
        <w:t>section</w:t>
      </w:r>
      <w:r w:rsidR="003138FE" w:rsidRPr="00515AA2">
        <w:rPr>
          <w:color w:val="000000"/>
          <w:lang w:val="en-CA"/>
        </w:rPr>
        <w:t xml:space="preserve"> </w:t>
      </w:r>
      <w:r w:rsidR="00016EAA" w:rsidRPr="00515AA2">
        <w:rPr>
          <w:color w:val="000000"/>
          <w:lang w:val="en-CA"/>
        </w:rPr>
        <w:t xml:space="preserve">23.2 </w:t>
      </w:r>
      <w:r w:rsidR="003138FE"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3138FE" w:rsidRPr="00515AA2">
        <w:rPr>
          <w:i/>
          <w:iCs/>
          <w:color w:val="000000"/>
          <w:lang w:val="en-CA"/>
        </w:rPr>
        <w:t xml:space="preserve">egulation </w:t>
      </w:r>
      <w:r w:rsidR="003138FE" w:rsidRPr="00515AA2">
        <w:rPr>
          <w:color w:val="000000"/>
          <w:lang w:val="en-CA"/>
        </w:rPr>
        <w:t xml:space="preserve">“medicalizes” </w:t>
      </w:r>
      <w:r w:rsidR="00703522" w:rsidRPr="00515AA2">
        <w:rPr>
          <w:color w:val="000000"/>
          <w:lang w:val="en-CA"/>
        </w:rPr>
        <w:t xml:space="preserve">the condition of </w:t>
      </w:r>
      <w:r w:rsidR="003138FE" w:rsidRPr="00515AA2">
        <w:rPr>
          <w:color w:val="000000"/>
          <w:lang w:val="en-CA"/>
        </w:rPr>
        <w:t xml:space="preserve">transgender persons by limiting </w:t>
      </w:r>
      <w:r w:rsidR="00AA2CA0" w:rsidRPr="00515AA2">
        <w:rPr>
          <w:color w:val="000000"/>
          <w:lang w:val="en-CA"/>
        </w:rPr>
        <w:t xml:space="preserve">the list of professionals able to make that declaration </w:t>
      </w:r>
      <w:r w:rsidR="003138FE" w:rsidRPr="00515AA2">
        <w:rPr>
          <w:color w:val="000000"/>
          <w:lang w:val="en-CA"/>
        </w:rPr>
        <w:t>to health and social services professionals</w:t>
      </w:r>
      <w:r w:rsidR="00E25A8A" w:rsidRPr="00515AA2">
        <w:rPr>
          <w:color w:val="000000"/>
          <w:lang w:val="en-CA"/>
        </w:rPr>
        <w:t>,</w:t>
      </w:r>
      <w:r w:rsidR="00016EAA" w:rsidRPr="00515AA2">
        <w:rPr>
          <w:color w:val="000000"/>
          <w:lang w:val="en-CA"/>
        </w:rPr>
        <w:t xml:space="preserve"> </w:t>
      </w:r>
      <w:r w:rsidR="003138FE" w:rsidRPr="00515AA2">
        <w:rPr>
          <w:color w:val="000000"/>
          <w:lang w:val="en-CA"/>
        </w:rPr>
        <w:t>without there being a rational connection with the legislative objective</w:t>
      </w:r>
      <w:r w:rsidR="001D319C" w:rsidRPr="00515AA2">
        <w:rPr>
          <w:color w:val="000000"/>
          <w:lang w:val="en-CA"/>
        </w:rPr>
        <w:t xml:space="preserve"> </w:t>
      </w:r>
      <w:r w:rsidR="003138FE" w:rsidRPr="00515AA2">
        <w:rPr>
          <w:color w:val="000000"/>
          <w:lang w:val="en-CA"/>
        </w:rPr>
        <w:t>sought</w:t>
      </w:r>
      <w:r w:rsidR="00016EAA" w:rsidRPr="00515AA2">
        <w:rPr>
          <w:color w:val="000000"/>
          <w:lang w:val="en-CA"/>
        </w:rPr>
        <w:t>.</w:t>
      </w:r>
    </w:p>
    <w:p w14:paraId="16C77C46" w14:textId="4B715FB7" w:rsidR="003B6F73" w:rsidRPr="00515AA2" w:rsidRDefault="003B6F73" w:rsidP="00F846E3">
      <w:pPr>
        <w:spacing w:before="120" w:after="120"/>
        <w:ind w:left="5040"/>
        <w:jc w:val="both"/>
        <w:rPr>
          <w:color w:val="000000"/>
          <w:kern w:val="28"/>
          <w:lang w:val="en-CA"/>
        </w:rPr>
      </w:pPr>
      <w:r w:rsidRPr="00515AA2">
        <w:rPr>
          <w:color w:val="000000"/>
          <w:kern w:val="28"/>
          <w:lang w:val="en-CA"/>
        </w:rPr>
        <w:t>***</w:t>
      </w:r>
    </w:p>
    <w:p w14:paraId="6B26B541" w14:textId="51903AC5" w:rsidR="00016EAA" w:rsidRPr="00515AA2" w:rsidRDefault="00E25A8A" w:rsidP="00F846E3">
      <w:pPr>
        <w:pStyle w:val="Paragraphe"/>
        <w:spacing w:line="280" w:lineRule="exact"/>
        <w:rPr>
          <w:color w:val="000000"/>
          <w:lang w:val="en-CA"/>
        </w:rPr>
      </w:pPr>
      <w:r w:rsidRPr="00515AA2">
        <w:rPr>
          <w:color w:val="000000"/>
          <w:lang w:val="en-CA"/>
        </w:rPr>
        <w:t>The issue raised requires us to interpret what is meant by “medical treatment”</w:t>
      </w:r>
      <w:r w:rsidR="003F2C46" w:rsidRPr="00515AA2">
        <w:rPr>
          <w:color w:val="000000"/>
          <w:lang w:val="en-CA"/>
        </w:rPr>
        <w:t xml:space="preserve"> </w:t>
      </w:r>
      <w:r w:rsidRPr="00515AA2">
        <w:rPr>
          <w:color w:val="000000"/>
          <w:lang w:val="en-CA"/>
        </w:rPr>
        <w:t>in the second paragraph of art</w:t>
      </w:r>
      <w:r w:rsidR="00E63764" w:rsidRPr="00515AA2">
        <w:rPr>
          <w:color w:val="000000"/>
          <w:lang w:val="en-CA"/>
        </w:rPr>
        <w:t>icle</w:t>
      </w:r>
      <w:r w:rsidR="0076197F" w:rsidRPr="00515AA2">
        <w:rPr>
          <w:color w:val="000000"/>
          <w:lang w:val="en-CA"/>
        </w:rPr>
        <w:t> </w:t>
      </w:r>
      <w:r w:rsidR="00016EAA" w:rsidRPr="00515AA2">
        <w:rPr>
          <w:color w:val="000000"/>
          <w:lang w:val="en-CA"/>
        </w:rPr>
        <w:t xml:space="preserve">71 </w:t>
      </w:r>
      <w:r w:rsidR="00016EAA" w:rsidRPr="00515AA2">
        <w:rPr>
          <w:i/>
          <w:iCs/>
          <w:color w:val="000000"/>
          <w:lang w:val="en-CA"/>
        </w:rPr>
        <w:t>C.</w:t>
      </w:r>
      <w:r w:rsidRPr="00515AA2">
        <w:rPr>
          <w:i/>
          <w:iCs/>
          <w:color w:val="000000"/>
          <w:lang w:val="en-CA"/>
        </w:rPr>
        <w:t>C</w:t>
      </w:r>
      <w:r w:rsidR="00016EAA" w:rsidRPr="00515AA2">
        <w:rPr>
          <w:i/>
          <w:iCs/>
          <w:color w:val="000000"/>
          <w:lang w:val="en-CA"/>
        </w:rPr>
        <w:t>.Q</w:t>
      </w:r>
      <w:r w:rsidRPr="00515AA2">
        <w:rPr>
          <w:i/>
          <w:iCs/>
          <w:color w:val="000000"/>
          <w:lang w:val="en-CA"/>
        </w:rPr>
        <w:t>.</w:t>
      </w:r>
      <w:r w:rsidR="00016EAA" w:rsidRPr="00515AA2">
        <w:rPr>
          <w:color w:val="000000"/>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15AA2" w:rsidRPr="00515AA2" w14:paraId="52A53ED9" w14:textId="77777777" w:rsidTr="0092400D">
        <w:tc>
          <w:tcPr>
            <w:tcW w:w="4681" w:type="dxa"/>
            <w:shd w:val="clear" w:color="auto" w:fill="auto"/>
          </w:tcPr>
          <w:p w14:paraId="56626ADB" w14:textId="00CE28E9" w:rsidR="00016EAA" w:rsidRPr="00515AA2" w:rsidRDefault="00CC5A6A" w:rsidP="00C902A9">
            <w:pPr>
              <w:pStyle w:val="Tableaugauchefranais"/>
              <w:spacing w:line="240" w:lineRule="auto"/>
              <w:rPr>
                <w:color w:val="000000"/>
                <w:lang w:val="en-CA"/>
              </w:rPr>
            </w:pPr>
            <w:r w:rsidRPr="00515AA2">
              <w:rPr>
                <w:color w:val="000000"/>
                <w:lang w:val="en-CA"/>
              </w:rPr>
              <w:t xml:space="preserve">These changes [to the designation of sex and name in their birth certificate] may in no case be made dependent on the requirement to have undergone </w:t>
            </w:r>
            <w:r w:rsidRPr="00515AA2">
              <w:rPr>
                <w:color w:val="000000"/>
                <w:u w:val="single"/>
                <w:lang w:val="en-CA"/>
              </w:rPr>
              <w:t>any medical treatment or surgical operation whatsoever</w:t>
            </w:r>
            <w:r w:rsidRPr="00515AA2">
              <w:rPr>
                <w:color w:val="000000"/>
                <w:lang w:val="en-CA"/>
              </w:rPr>
              <w:t>.</w:t>
            </w:r>
          </w:p>
        </w:tc>
        <w:tc>
          <w:tcPr>
            <w:tcW w:w="4681" w:type="dxa"/>
            <w:shd w:val="clear" w:color="auto" w:fill="auto"/>
          </w:tcPr>
          <w:p w14:paraId="682912A9" w14:textId="77777777" w:rsidR="00CC5A6A" w:rsidRPr="00515AA2" w:rsidRDefault="00CC5A6A" w:rsidP="00C902A9">
            <w:pPr>
              <w:pStyle w:val="Tableaugauchefranais"/>
              <w:tabs>
                <w:tab w:val="left" w:pos="3892"/>
              </w:tabs>
              <w:spacing w:line="240" w:lineRule="auto"/>
              <w:ind w:left="207" w:right="638"/>
              <w:rPr>
                <w:color w:val="000000"/>
              </w:rPr>
            </w:pPr>
            <w:r w:rsidRPr="00515AA2">
              <w:rPr>
                <w:color w:val="000000"/>
              </w:rPr>
              <w:t xml:space="preserve">Ces modifications [de la mention du sexe figurant à son acte de naissance et de ses prénoms] ne peuvent en aucun cas être subordonnées à l’exigence que la personne ait subi </w:t>
            </w:r>
            <w:r w:rsidRPr="00515AA2">
              <w:rPr>
                <w:color w:val="000000"/>
                <w:u w:val="single"/>
              </w:rPr>
              <w:t>quelque traitement médical ou intervention chirurgicale que ce soit</w:t>
            </w:r>
            <w:r w:rsidRPr="00515AA2">
              <w:rPr>
                <w:color w:val="000000"/>
              </w:rPr>
              <w:t>.</w:t>
            </w:r>
          </w:p>
          <w:p w14:paraId="18AA26F5" w14:textId="304FCF3D" w:rsidR="00016EAA" w:rsidRPr="00515AA2" w:rsidRDefault="00016EAA" w:rsidP="00C902A9">
            <w:pPr>
              <w:pStyle w:val="Tableaudroiteanglais"/>
              <w:spacing w:line="240" w:lineRule="auto"/>
              <w:rPr>
                <w:color w:val="000000"/>
                <w:lang w:val="fr-CA"/>
              </w:rPr>
            </w:pPr>
          </w:p>
        </w:tc>
      </w:tr>
      <w:tr w:rsidR="00515AA2" w:rsidRPr="00515AA2" w14:paraId="5E59C9EC" w14:textId="77777777" w:rsidTr="0092400D">
        <w:tc>
          <w:tcPr>
            <w:tcW w:w="4681" w:type="dxa"/>
            <w:shd w:val="clear" w:color="auto" w:fill="auto"/>
          </w:tcPr>
          <w:p w14:paraId="5C66DD27" w14:textId="45649ABD" w:rsidR="00016EAA" w:rsidRPr="00515AA2" w:rsidRDefault="00016EAA" w:rsidP="00F846E3">
            <w:pPr>
              <w:ind w:left="720" w:right="144"/>
              <w:jc w:val="right"/>
              <w:rPr>
                <w:color w:val="000000"/>
                <w:sz w:val="22"/>
              </w:rPr>
            </w:pPr>
          </w:p>
        </w:tc>
        <w:tc>
          <w:tcPr>
            <w:tcW w:w="4681" w:type="dxa"/>
            <w:shd w:val="clear" w:color="auto" w:fill="auto"/>
          </w:tcPr>
          <w:p w14:paraId="1B386A7C" w14:textId="4CD2BAAD" w:rsidR="00016EAA" w:rsidRPr="00515AA2" w:rsidRDefault="004434E9" w:rsidP="00F846E3">
            <w:pPr>
              <w:ind w:left="144" w:right="720"/>
              <w:jc w:val="right"/>
              <w:rPr>
                <w:color w:val="000000"/>
                <w:sz w:val="22"/>
                <w:lang w:val="en-CA"/>
              </w:rPr>
            </w:pPr>
            <w:r w:rsidRPr="00515AA2">
              <w:rPr>
                <w:color w:val="000000"/>
                <w:sz w:val="22"/>
                <w:lang w:val="en-CA"/>
              </w:rPr>
              <w:t>(Emphasis added)</w:t>
            </w:r>
          </w:p>
        </w:tc>
      </w:tr>
    </w:tbl>
    <w:p w14:paraId="35A44963" w14:textId="5C04A956" w:rsidR="00016EAA" w:rsidRPr="00515AA2" w:rsidRDefault="00E25A8A" w:rsidP="00F846E3">
      <w:pPr>
        <w:pStyle w:val="Paragraphe"/>
        <w:spacing w:line="280" w:lineRule="exact"/>
        <w:rPr>
          <w:color w:val="000000"/>
          <w:lang w:val="en-CA"/>
        </w:rPr>
      </w:pPr>
      <w:r w:rsidRPr="00515AA2">
        <w:rPr>
          <w:color w:val="000000"/>
          <w:lang w:val="en-CA"/>
        </w:rPr>
        <w:t>As we have already seen, this provision replaced that which existed when the</w:t>
      </w:r>
      <w:r w:rsidR="00016EAA" w:rsidRPr="00515AA2">
        <w:rPr>
          <w:color w:val="000000"/>
          <w:lang w:val="en-CA"/>
        </w:rPr>
        <w:t xml:space="preserve"> </w:t>
      </w:r>
      <w:r w:rsidR="00016EAA" w:rsidRPr="00515AA2">
        <w:rPr>
          <w:i/>
          <w:iCs/>
          <w:color w:val="000000"/>
          <w:lang w:val="en-CA"/>
        </w:rPr>
        <w:t>C</w:t>
      </w:r>
      <w:r w:rsidRPr="00515AA2">
        <w:rPr>
          <w:i/>
          <w:iCs/>
          <w:color w:val="000000"/>
          <w:lang w:val="en-CA"/>
        </w:rPr>
        <w:t>ivil Code of</w:t>
      </w:r>
      <w:r w:rsidR="00016EAA" w:rsidRPr="00515AA2">
        <w:rPr>
          <w:i/>
          <w:iCs/>
          <w:color w:val="000000"/>
          <w:lang w:val="en-CA"/>
        </w:rPr>
        <w:t xml:space="preserve"> Québec</w:t>
      </w:r>
      <w:r w:rsidR="001C1811" w:rsidRPr="00515AA2">
        <w:rPr>
          <w:i/>
          <w:iCs/>
          <w:color w:val="000000"/>
          <w:lang w:val="en-CA"/>
        </w:rPr>
        <w:t xml:space="preserve"> </w:t>
      </w:r>
      <w:r w:rsidRPr="00515AA2">
        <w:rPr>
          <w:color w:val="000000"/>
          <w:lang w:val="en-CA"/>
        </w:rPr>
        <w:t>came into force in</w:t>
      </w:r>
      <w:r w:rsidR="001C1811" w:rsidRPr="00515AA2">
        <w:rPr>
          <w:color w:val="000000"/>
          <w:lang w:val="en-CA"/>
        </w:rPr>
        <w:t xml:space="preserve"> 1994</w:t>
      </w:r>
      <w:r w:rsidR="00016EAA" w:rsidRPr="00515AA2">
        <w:rPr>
          <w:color w:val="000000"/>
          <w:lang w:val="en-CA"/>
        </w:rPr>
        <w:t>:</w:t>
      </w:r>
    </w:p>
    <w:tbl>
      <w:tblPr>
        <w:tblW w:w="9362" w:type="dxa"/>
        <w:tblLayout w:type="fixed"/>
        <w:tblCellMar>
          <w:left w:w="70" w:type="dxa"/>
          <w:right w:w="70" w:type="dxa"/>
        </w:tblCellMar>
        <w:tblLook w:val="0000" w:firstRow="0" w:lastRow="0" w:firstColumn="0" w:lastColumn="0" w:noHBand="0" w:noVBand="0"/>
      </w:tblPr>
      <w:tblGrid>
        <w:gridCol w:w="4681"/>
        <w:gridCol w:w="4681"/>
      </w:tblGrid>
      <w:tr w:rsidR="00515AA2" w:rsidRPr="00515AA2" w14:paraId="1118C3E3" w14:textId="77777777" w:rsidTr="0092400D">
        <w:tc>
          <w:tcPr>
            <w:tcW w:w="4681" w:type="dxa"/>
            <w:shd w:val="clear" w:color="auto" w:fill="auto"/>
          </w:tcPr>
          <w:p w14:paraId="16667471" w14:textId="6E7F7E0C" w:rsidR="00016EAA" w:rsidRPr="00515AA2" w:rsidRDefault="00705E06" w:rsidP="00C902A9">
            <w:pPr>
              <w:pStyle w:val="Tableaugauchefranais"/>
              <w:spacing w:line="240" w:lineRule="auto"/>
              <w:rPr>
                <w:color w:val="000000"/>
                <w:lang w:val="en-CA"/>
              </w:rPr>
            </w:pPr>
            <w:r w:rsidRPr="00515AA2">
              <w:rPr>
                <w:b/>
                <w:color w:val="000000"/>
                <w:lang w:val="en-CA"/>
              </w:rPr>
              <w:t>Art.</w:t>
            </w:r>
            <w:r w:rsidR="00656C29" w:rsidRPr="00515AA2">
              <w:rPr>
                <w:b/>
                <w:color w:val="000000"/>
                <w:lang w:val="en-CA"/>
              </w:rPr>
              <w:t> </w:t>
            </w:r>
            <w:r w:rsidR="00016EAA" w:rsidRPr="00515AA2">
              <w:rPr>
                <w:b/>
                <w:color w:val="000000"/>
                <w:lang w:val="en-CA"/>
              </w:rPr>
              <w:t>71.</w:t>
            </w:r>
            <w:r w:rsidR="00016EAA" w:rsidRPr="00515AA2">
              <w:rPr>
                <w:color w:val="000000"/>
                <w:lang w:val="en-CA"/>
              </w:rPr>
              <w:t xml:space="preserve"> </w:t>
            </w:r>
            <w:r w:rsidR="00CC5A6A" w:rsidRPr="00515AA2">
              <w:rPr>
                <w:color w:val="000000"/>
                <w:u w:val="single"/>
                <w:lang w:val="en-CA"/>
              </w:rPr>
              <w:t>Every person who has successfully undergone medical treatments and surgical operations involving a structural modification of the sexual organs intended to change his secondary sexual characteristics</w:t>
            </w:r>
            <w:r w:rsidR="00CC5A6A" w:rsidRPr="00515AA2">
              <w:rPr>
                <w:color w:val="000000"/>
                <w:lang w:val="en-CA"/>
              </w:rPr>
              <w:t xml:space="preserve"> may have the designation of sex which appears on his act of birth and, if necessary, his given names changed. </w:t>
            </w:r>
          </w:p>
          <w:p w14:paraId="7AA02EF5" w14:textId="4C16812D" w:rsidR="00F83313" w:rsidRPr="00515AA2" w:rsidRDefault="00F83313" w:rsidP="00C902A9">
            <w:pPr>
              <w:spacing w:line="240" w:lineRule="auto"/>
              <w:ind w:left="720" w:right="144"/>
              <w:jc w:val="both"/>
              <w:rPr>
                <w:rFonts w:ascii="Calibri" w:hAnsi="Calibri"/>
                <w:color w:val="000000"/>
                <w:sz w:val="22"/>
                <w:lang w:val="en-CA" w:eastAsia="en-US"/>
              </w:rPr>
            </w:pPr>
          </w:p>
        </w:tc>
        <w:tc>
          <w:tcPr>
            <w:tcW w:w="4681" w:type="dxa"/>
            <w:shd w:val="clear" w:color="auto" w:fill="auto"/>
          </w:tcPr>
          <w:p w14:paraId="36D7D525" w14:textId="2C137F88" w:rsidR="00016EAA" w:rsidRPr="00515AA2" w:rsidRDefault="00016EAA" w:rsidP="00C902A9">
            <w:pPr>
              <w:pStyle w:val="Tableaudroiteanglais"/>
              <w:spacing w:line="240" w:lineRule="auto"/>
              <w:rPr>
                <w:rFonts w:ascii="Calibri" w:hAnsi="Calibri"/>
                <w:color w:val="000000"/>
                <w:lang w:val="fr-CA" w:eastAsia="en-US"/>
              </w:rPr>
            </w:pPr>
            <w:r w:rsidRPr="00515AA2">
              <w:rPr>
                <w:b/>
                <w:color w:val="000000"/>
                <w:lang w:val="fr-CA"/>
              </w:rPr>
              <w:t>Art.</w:t>
            </w:r>
            <w:r w:rsidR="00656C29" w:rsidRPr="00515AA2">
              <w:rPr>
                <w:b/>
                <w:color w:val="000000"/>
                <w:lang w:val="fr-CA"/>
              </w:rPr>
              <w:t> </w:t>
            </w:r>
            <w:r w:rsidRPr="00515AA2">
              <w:rPr>
                <w:b/>
                <w:color w:val="000000"/>
                <w:lang w:val="fr-CA"/>
              </w:rPr>
              <w:t>71.</w:t>
            </w:r>
            <w:r w:rsidR="00656C29" w:rsidRPr="00515AA2">
              <w:rPr>
                <w:color w:val="000000"/>
                <w:lang w:val="fr-CA"/>
              </w:rPr>
              <w:t> </w:t>
            </w:r>
            <w:r w:rsidR="00CC5A6A" w:rsidRPr="00515AA2">
              <w:rPr>
                <w:color w:val="000000"/>
                <w:u w:val="single"/>
                <w:lang w:val="fr-CA"/>
              </w:rPr>
              <w:t>La personne qui a subi avec succès des traitements médicaux et des interventions chirurgicales impliquant une modification structurale des organes sexuels, et destinés à changer ses caractères sexuels apparents</w:t>
            </w:r>
            <w:r w:rsidR="00CC5A6A" w:rsidRPr="00515AA2">
              <w:rPr>
                <w:color w:val="000000"/>
                <w:lang w:val="fr-CA"/>
              </w:rPr>
              <w:t>, peut obtenir la modification de la mention du sexe figurant sur son acte de naissance et, s’il y a lieu, de ses prénoms.</w:t>
            </w:r>
          </w:p>
        </w:tc>
      </w:tr>
      <w:tr w:rsidR="00515AA2" w:rsidRPr="00515AA2" w14:paraId="663D1B8A" w14:textId="77777777" w:rsidTr="0092400D">
        <w:tc>
          <w:tcPr>
            <w:tcW w:w="4681" w:type="dxa"/>
            <w:shd w:val="clear" w:color="auto" w:fill="auto"/>
          </w:tcPr>
          <w:p w14:paraId="455D5E04" w14:textId="77777777" w:rsidR="00CC5A6A" w:rsidRPr="00515AA2" w:rsidRDefault="00CC5A6A" w:rsidP="00C902A9">
            <w:pPr>
              <w:pStyle w:val="Tableaudroiteanglais"/>
              <w:spacing w:line="240" w:lineRule="auto"/>
              <w:ind w:left="720" w:right="210"/>
              <w:rPr>
                <w:color w:val="000000"/>
              </w:rPr>
            </w:pPr>
            <w:r w:rsidRPr="00515AA2">
              <w:rPr>
                <w:color w:val="000000"/>
              </w:rPr>
              <w:lastRenderedPageBreak/>
              <w:t>Only an unmarried person of full age who has been domiciled in Québec for at least one year and is a Canadian citizen may make an application under this article.</w:t>
            </w:r>
          </w:p>
          <w:p w14:paraId="7E1F8DF7" w14:textId="72C7BAAD" w:rsidR="00016EAA" w:rsidRPr="00515AA2" w:rsidRDefault="00016EAA" w:rsidP="00C902A9">
            <w:pPr>
              <w:pStyle w:val="Tableaugauchefranais"/>
              <w:spacing w:line="240" w:lineRule="auto"/>
              <w:rPr>
                <w:b/>
                <w:color w:val="000000"/>
                <w:lang w:val="en-CA"/>
              </w:rPr>
            </w:pPr>
          </w:p>
        </w:tc>
        <w:tc>
          <w:tcPr>
            <w:tcW w:w="4681" w:type="dxa"/>
            <w:shd w:val="clear" w:color="auto" w:fill="auto"/>
          </w:tcPr>
          <w:p w14:paraId="6A5F5497" w14:textId="73517B00" w:rsidR="00016EAA" w:rsidRPr="00515AA2" w:rsidRDefault="00CC5A6A" w:rsidP="00C902A9">
            <w:pPr>
              <w:pStyle w:val="Tableaudroiteanglais"/>
              <w:spacing w:line="240" w:lineRule="auto"/>
              <w:rPr>
                <w:b/>
                <w:color w:val="000000"/>
                <w:lang w:val="fr-CA"/>
              </w:rPr>
            </w:pPr>
            <w:r w:rsidRPr="00515AA2">
              <w:rPr>
                <w:color w:val="000000"/>
                <w:lang w:val="fr-CA"/>
              </w:rPr>
              <w:t>Seul un majeur, non marié, domicilié au Québec depuis au moins un an et ayant la citoyenneté canadienne, peut faire cette demande.</w:t>
            </w:r>
          </w:p>
        </w:tc>
      </w:tr>
      <w:tr w:rsidR="00515AA2" w:rsidRPr="00515AA2" w14:paraId="36D3E325" w14:textId="77777777" w:rsidTr="0092400D">
        <w:tc>
          <w:tcPr>
            <w:tcW w:w="4681" w:type="dxa"/>
            <w:shd w:val="clear" w:color="auto" w:fill="auto"/>
          </w:tcPr>
          <w:p w14:paraId="5156728B" w14:textId="6069E281" w:rsidR="00016EAA" w:rsidRPr="00515AA2" w:rsidRDefault="00016EAA" w:rsidP="00F846E3">
            <w:pPr>
              <w:ind w:left="720" w:right="144"/>
              <w:jc w:val="right"/>
              <w:rPr>
                <w:b/>
                <w:color w:val="000000"/>
                <w:sz w:val="22"/>
                <w:szCs w:val="22"/>
              </w:rPr>
            </w:pPr>
          </w:p>
        </w:tc>
        <w:tc>
          <w:tcPr>
            <w:tcW w:w="4681" w:type="dxa"/>
            <w:shd w:val="clear" w:color="auto" w:fill="auto"/>
          </w:tcPr>
          <w:p w14:paraId="7C753089" w14:textId="3A98725B" w:rsidR="00016EAA" w:rsidRPr="00515AA2" w:rsidRDefault="004434E9" w:rsidP="00F846E3">
            <w:pPr>
              <w:ind w:left="144" w:right="720"/>
              <w:jc w:val="right"/>
              <w:rPr>
                <w:b/>
                <w:color w:val="000000"/>
                <w:sz w:val="22"/>
                <w:lang w:val="en-CA"/>
              </w:rPr>
            </w:pPr>
            <w:r w:rsidRPr="00515AA2">
              <w:rPr>
                <w:color w:val="000000"/>
                <w:sz w:val="22"/>
                <w:lang w:val="en-CA"/>
              </w:rPr>
              <w:t>(Emphasis added)</w:t>
            </w:r>
          </w:p>
        </w:tc>
      </w:tr>
    </w:tbl>
    <w:p w14:paraId="79BDC127" w14:textId="0567CE7A" w:rsidR="00016EAA" w:rsidRPr="00515AA2" w:rsidRDefault="009A4BC3" w:rsidP="00F846E3">
      <w:pPr>
        <w:pStyle w:val="Paragraphe"/>
        <w:spacing w:line="280" w:lineRule="exact"/>
        <w:rPr>
          <w:color w:val="000000"/>
          <w:lang w:val="en-CA"/>
        </w:rPr>
      </w:pPr>
      <w:r w:rsidRPr="00515AA2">
        <w:rPr>
          <w:color w:val="000000"/>
          <w:lang w:val="en-CA"/>
        </w:rPr>
        <w:t>I</w:t>
      </w:r>
      <w:r w:rsidR="00EE3A2D" w:rsidRPr="00515AA2">
        <w:rPr>
          <w:color w:val="000000"/>
          <w:lang w:val="en-CA"/>
        </w:rPr>
        <w:t xml:space="preserve">n 2013, </w:t>
      </w:r>
      <w:r w:rsidRPr="00515AA2">
        <w:rPr>
          <w:color w:val="000000"/>
          <w:lang w:val="en-CA"/>
        </w:rPr>
        <w:t>when the legislator amended</w:t>
      </w:r>
      <w:r w:rsidR="00CE6DA1" w:rsidRPr="00515AA2">
        <w:rPr>
          <w:color w:val="000000"/>
          <w:lang w:val="en-CA"/>
        </w:rPr>
        <w:t xml:space="preserve"> </w:t>
      </w:r>
      <w:r w:rsidRPr="00515AA2">
        <w:rPr>
          <w:color w:val="000000"/>
          <w:lang w:val="en-CA"/>
        </w:rPr>
        <w:t>art</w:t>
      </w:r>
      <w:r w:rsidR="00E63764" w:rsidRPr="00515AA2">
        <w:rPr>
          <w:color w:val="000000"/>
          <w:lang w:val="en-CA"/>
        </w:rPr>
        <w:t>icle</w:t>
      </w:r>
      <w:r w:rsidR="0076197F" w:rsidRPr="00515AA2">
        <w:rPr>
          <w:color w:val="000000"/>
          <w:lang w:val="en-CA"/>
        </w:rPr>
        <w:t> </w:t>
      </w:r>
      <w:r w:rsidR="00016EAA" w:rsidRPr="00515AA2">
        <w:rPr>
          <w:color w:val="000000"/>
          <w:lang w:val="en-CA"/>
        </w:rPr>
        <w:t xml:space="preserve">71 </w:t>
      </w:r>
      <w:r w:rsidRPr="00515AA2">
        <w:rPr>
          <w:color w:val="000000"/>
          <w:lang w:val="en-CA"/>
        </w:rPr>
        <w:t>to provide that the change could no longer</w:t>
      </w:r>
      <w:r w:rsidR="00016EAA" w:rsidRPr="00515AA2">
        <w:rPr>
          <w:color w:val="000000"/>
          <w:lang w:val="en-CA"/>
        </w:rPr>
        <w:t xml:space="preserve"> </w:t>
      </w:r>
      <w:r w:rsidRPr="00515AA2">
        <w:rPr>
          <w:color w:val="000000"/>
          <w:lang w:val="en-CA"/>
        </w:rPr>
        <w:t xml:space="preserve">be made dependent on the requirement </w:t>
      </w:r>
      <w:r w:rsidR="001D319C" w:rsidRPr="00515AA2">
        <w:rPr>
          <w:color w:val="000000"/>
          <w:lang w:val="en-CA"/>
        </w:rPr>
        <w:t>of having</w:t>
      </w:r>
      <w:r w:rsidRPr="00515AA2">
        <w:rPr>
          <w:color w:val="000000"/>
          <w:lang w:val="en-CA"/>
        </w:rPr>
        <w:t xml:space="preserve"> undergone “any medical treatment or surgical operation whatsoever,”</w:t>
      </w:r>
      <w:r w:rsidR="00450F55" w:rsidRPr="00515AA2">
        <w:rPr>
          <w:rStyle w:val="Appelnotedebasdep"/>
          <w:color w:val="000000"/>
          <w:lang w:val="en-CA"/>
        </w:rPr>
        <w:footnoteReference w:id="84"/>
      </w:r>
      <w:r w:rsidRPr="00515AA2">
        <w:rPr>
          <w:color w:val="000000"/>
          <w:lang w:val="en-CA"/>
        </w:rPr>
        <w:t xml:space="preserve"> it wished to abolish the obligation of having to</w:t>
      </w:r>
      <w:r w:rsidR="00016EAA" w:rsidRPr="00515AA2">
        <w:rPr>
          <w:color w:val="000000"/>
          <w:lang w:val="en-CA"/>
        </w:rPr>
        <w:t xml:space="preserve"> </w:t>
      </w:r>
      <w:r w:rsidRPr="00515AA2">
        <w:rPr>
          <w:color w:val="000000"/>
          <w:lang w:val="en-CA"/>
        </w:rPr>
        <w:t>“successfully undergo</w:t>
      </w:r>
      <w:r w:rsidR="004434E9" w:rsidRPr="00515AA2">
        <w:rPr>
          <w:color w:val="000000"/>
          <w:lang w:val="en-CA"/>
        </w:rPr>
        <w:t xml:space="preserve">(…) </w:t>
      </w:r>
      <w:r w:rsidRPr="00515AA2">
        <w:rPr>
          <w:color w:val="000000"/>
          <w:lang w:val="en-CA"/>
        </w:rPr>
        <w:t>medical treatments and surgical operations involving a structural modification of the sexual organs intended to change his secondary sexual characteristics”</w:t>
      </w:r>
      <w:r w:rsidR="00016EAA" w:rsidRPr="00515AA2">
        <w:rPr>
          <w:color w:val="000000"/>
          <w:lang w:val="en-CA"/>
        </w:rPr>
        <w:t xml:space="preserve"> </w:t>
      </w:r>
      <w:r w:rsidRPr="00515AA2">
        <w:rPr>
          <w:color w:val="000000"/>
          <w:lang w:val="en-CA"/>
        </w:rPr>
        <w:t xml:space="preserve">that appeared in the </w:t>
      </w:r>
      <w:r w:rsidR="00016EAA" w:rsidRPr="00515AA2">
        <w:rPr>
          <w:color w:val="000000"/>
          <w:lang w:val="en-CA"/>
        </w:rPr>
        <w:t>1994</w:t>
      </w:r>
      <w:r w:rsidRPr="00515AA2">
        <w:rPr>
          <w:color w:val="000000"/>
          <w:lang w:val="en-CA"/>
        </w:rPr>
        <w:t xml:space="preserve"> version</w:t>
      </w:r>
      <w:r w:rsidR="00016EAA" w:rsidRPr="00515AA2">
        <w:rPr>
          <w:color w:val="000000"/>
          <w:lang w:val="en-CA"/>
        </w:rPr>
        <w:t xml:space="preserve">. </w:t>
      </w:r>
      <w:r w:rsidRPr="00515AA2">
        <w:rPr>
          <w:color w:val="000000"/>
          <w:lang w:val="en-CA"/>
        </w:rPr>
        <w:t>In this latter version</w:t>
      </w:r>
      <w:r w:rsidR="00016EAA" w:rsidRPr="00515AA2">
        <w:rPr>
          <w:color w:val="000000"/>
          <w:lang w:val="en-CA"/>
        </w:rPr>
        <w:t xml:space="preserve">, </w:t>
      </w:r>
      <w:r w:rsidRPr="00515AA2">
        <w:rPr>
          <w:color w:val="000000"/>
          <w:lang w:val="en-CA"/>
        </w:rPr>
        <w:t>“medical treatment”</w:t>
      </w:r>
      <w:r w:rsidR="00016EAA" w:rsidRPr="00515AA2">
        <w:rPr>
          <w:color w:val="000000"/>
          <w:lang w:val="en-CA"/>
        </w:rPr>
        <w:t xml:space="preserve"> </w:t>
      </w:r>
      <w:r w:rsidR="009F6A81" w:rsidRPr="00515AA2">
        <w:rPr>
          <w:color w:val="000000"/>
          <w:lang w:val="en-CA"/>
        </w:rPr>
        <w:t>include</w:t>
      </w:r>
      <w:r w:rsidR="001D319C" w:rsidRPr="00515AA2">
        <w:rPr>
          <w:color w:val="000000"/>
          <w:lang w:val="en-CA"/>
        </w:rPr>
        <w:t>d</w:t>
      </w:r>
      <w:r w:rsidRPr="00515AA2">
        <w:rPr>
          <w:color w:val="000000"/>
          <w:lang w:val="en-CA"/>
        </w:rPr>
        <w:t xml:space="preserve"> more intrusive medical treatment</w:t>
      </w:r>
      <w:r w:rsidR="009410D2" w:rsidRPr="00515AA2">
        <w:rPr>
          <w:color w:val="000000"/>
          <w:lang w:val="en-CA"/>
        </w:rPr>
        <w:t xml:space="preserve"> which, without being a surgical operation,</w:t>
      </w:r>
      <w:r w:rsidR="00016EAA" w:rsidRPr="00515AA2">
        <w:rPr>
          <w:color w:val="000000"/>
          <w:lang w:val="en-CA"/>
        </w:rPr>
        <w:t xml:space="preserve"> </w:t>
      </w:r>
      <w:r w:rsidR="009F6A81" w:rsidRPr="00515AA2">
        <w:rPr>
          <w:color w:val="000000"/>
          <w:lang w:val="en-CA"/>
        </w:rPr>
        <w:t>was</w:t>
      </w:r>
      <w:r w:rsidR="009410D2" w:rsidRPr="00515AA2">
        <w:rPr>
          <w:color w:val="000000"/>
          <w:lang w:val="en-CA"/>
        </w:rPr>
        <w:t xml:space="preserve"> inten</w:t>
      </w:r>
      <w:r w:rsidR="009F6A81" w:rsidRPr="00515AA2">
        <w:rPr>
          <w:color w:val="000000"/>
          <w:lang w:val="en-CA"/>
        </w:rPr>
        <w:t>d</w:t>
      </w:r>
      <w:r w:rsidR="009410D2" w:rsidRPr="00515AA2">
        <w:rPr>
          <w:color w:val="000000"/>
          <w:lang w:val="en-CA"/>
        </w:rPr>
        <w:t>ed to change a person’s secondary sexual characteristics</w:t>
      </w:r>
      <w:r w:rsidR="00016EAA" w:rsidRPr="00515AA2">
        <w:rPr>
          <w:color w:val="000000"/>
          <w:lang w:val="en-CA"/>
        </w:rPr>
        <w:t xml:space="preserve">, </w:t>
      </w:r>
      <w:r w:rsidR="009410D2" w:rsidRPr="00515AA2">
        <w:rPr>
          <w:color w:val="000000"/>
          <w:lang w:val="en-CA"/>
        </w:rPr>
        <w:t xml:space="preserve">such as </w:t>
      </w:r>
      <w:r w:rsidR="009F6A81" w:rsidRPr="00515AA2">
        <w:rPr>
          <w:color w:val="000000"/>
          <w:lang w:val="en-CA"/>
        </w:rPr>
        <w:t>drug treatment</w:t>
      </w:r>
      <w:r w:rsidR="00016EAA" w:rsidRPr="00515AA2">
        <w:rPr>
          <w:color w:val="000000"/>
          <w:lang w:val="en-CA"/>
        </w:rPr>
        <w:t xml:space="preserve">. </w:t>
      </w:r>
      <w:r w:rsidR="009410D2" w:rsidRPr="00515AA2">
        <w:rPr>
          <w:color w:val="000000"/>
          <w:lang w:val="en-CA"/>
        </w:rPr>
        <w:t xml:space="preserve">There is therefore no contradiction between </w:t>
      </w:r>
      <w:r w:rsidR="009F6A81" w:rsidRPr="00515AA2">
        <w:rPr>
          <w:color w:val="000000"/>
          <w:lang w:val="en-CA"/>
        </w:rPr>
        <w:t>the abolition of</w:t>
      </w:r>
      <w:r w:rsidR="009410D2" w:rsidRPr="00515AA2">
        <w:rPr>
          <w:color w:val="000000"/>
          <w:lang w:val="en-CA"/>
        </w:rPr>
        <w:t xml:space="preserve"> the requirement of having already undergone such medical treatments and surgical operations</w:t>
      </w:r>
      <w:r w:rsidR="00F04025" w:rsidRPr="00515AA2">
        <w:rPr>
          <w:color w:val="000000"/>
          <w:lang w:val="en-CA"/>
        </w:rPr>
        <w:t xml:space="preserve">, </w:t>
      </w:r>
      <w:r w:rsidR="009410D2" w:rsidRPr="00515AA2">
        <w:rPr>
          <w:color w:val="000000"/>
          <w:lang w:val="en-CA"/>
        </w:rPr>
        <w:t>and the enactment</w:t>
      </w:r>
      <w:r w:rsidR="00FF3557" w:rsidRPr="00515AA2">
        <w:rPr>
          <w:color w:val="000000"/>
          <w:lang w:val="en-CA"/>
        </w:rPr>
        <w:t>,</w:t>
      </w:r>
      <w:r w:rsidR="00016EAA" w:rsidRPr="00515AA2">
        <w:rPr>
          <w:color w:val="000000"/>
          <w:lang w:val="en-CA"/>
        </w:rPr>
        <w:t xml:space="preserve"> </w:t>
      </w:r>
      <w:r w:rsidR="009410D2" w:rsidRPr="00515AA2">
        <w:rPr>
          <w:color w:val="000000"/>
          <w:lang w:val="en-CA"/>
        </w:rPr>
        <w:t>i</w:t>
      </w:r>
      <w:r w:rsidR="00006F54" w:rsidRPr="00515AA2">
        <w:rPr>
          <w:color w:val="000000"/>
          <w:lang w:val="en-CA"/>
        </w:rPr>
        <w:t>n 2016</w:t>
      </w:r>
      <w:r w:rsidR="00FF3557" w:rsidRPr="00515AA2">
        <w:rPr>
          <w:color w:val="000000"/>
          <w:lang w:val="en-CA"/>
        </w:rPr>
        <w:t>,</w:t>
      </w:r>
      <w:r w:rsidR="00006F54" w:rsidRPr="00515AA2">
        <w:rPr>
          <w:color w:val="000000"/>
          <w:lang w:val="en-CA"/>
        </w:rPr>
        <w:t xml:space="preserve"> </w:t>
      </w:r>
      <w:r w:rsidR="009410D2" w:rsidRPr="00515AA2">
        <w:rPr>
          <w:color w:val="000000"/>
          <w:lang w:val="en-CA"/>
        </w:rPr>
        <w:t>of the second paragraph of s</w:t>
      </w:r>
      <w:r w:rsidR="00400D5D" w:rsidRPr="00515AA2">
        <w:rPr>
          <w:color w:val="000000"/>
          <w:lang w:val="en-CA"/>
        </w:rPr>
        <w:t>ection</w:t>
      </w:r>
      <w:r w:rsidR="00016EAA" w:rsidRPr="00515AA2">
        <w:rPr>
          <w:color w:val="000000"/>
          <w:lang w:val="en-CA"/>
        </w:rPr>
        <w:t xml:space="preserve"> 23.2 </w:t>
      </w:r>
      <w:r w:rsidR="009410D2"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9410D2" w:rsidRPr="00515AA2">
        <w:rPr>
          <w:i/>
          <w:iCs/>
          <w:color w:val="000000"/>
          <w:lang w:val="en-CA"/>
        </w:rPr>
        <w:t>egulation</w:t>
      </w:r>
      <w:r w:rsidR="00016EAA" w:rsidRPr="00515AA2">
        <w:rPr>
          <w:color w:val="000000"/>
          <w:lang w:val="en-CA"/>
        </w:rPr>
        <w:t xml:space="preserve"> </w:t>
      </w:r>
      <w:r w:rsidR="009410D2" w:rsidRPr="00515AA2">
        <w:rPr>
          <w:color w:val="000000"/>
          <w:lang w:val="en-CA"/>
        </w:rPr>
        <w:t>that requires providing a letter from a designated professional who has declared having evaluated or followed the child and is of the opinion that the change of designation of sex is appropriate</w:t>
      </w:r>
      <w:r w:rsidR="00952737" w:rsidRPr="00515AA2">
        <w:rPr>
          <w:color w:val="000000"/>
          <w:lang w:val="en-CA"/>
        </w:rPr>
        <w:t>.</w:t>
      </w:r>
    </w:p>
    <w:p w14:paraId="7FA7F6A4" w14:textId="73752307" w:rsidR="00016EAA" w:rsidRPr="00515AA2" w:rsidRDefault="009F6A81" w:rsidP="00F846E3">
      <w:pPr>
        <w:pStyle w:val="Paragraphe"/>
        <w:spacing w:line="280" w:lineRule="exact"/>
        <w:rPr>
          <w:color w:val="000000"/>
          <w:lang w:val="en-CA"/>
        </w:rPr>
      </w:pPr>
      <w:r w:rsidRPr="00515AA2">
        <w:rPr>
          <w:color w:val="000000"/>
          <w:lang w:val="en-CA"/>
        </w:rPr>
        <w:t>Moreover</w:t>
      </w:r>
      <w:r w:rsidR="00016EAA" w:rsidRPr="00515AA2">
        <w:rPr>
          <w:color w:val="000000"/>
          <w:lang w:val="en-CA"/>
        </w:rPr>
        <w:t xml:space="preserve">, </w:t>
      </w:r>
      <w:r w:rsidRPr="00515AA2">
        <w:rPr>
          <w:color w:val="000000"/>
          <w:lang w:val="en-CA"/>
        </w:rPr>
        <w:t xml:space="preserve">the professionals designated in </w:t>
      </w:r>
      <w:r w:rsidR="00400D5D" w:rsidRPr="00515AA2">
        <w:rPr>
          <w:color w:val="000000"/>
          <w:lang w:val="en-CA"/>
        </w:rPr>
        <w:t>section</w:t>
      </w:r>
      <w:r w:rsidRPr="00515AA2">
        <w:rPr>
          <w:color w:val="000000"/>
          <w:lang w:val="en-CA"/>
        </w:rPr>
        <w:t>.</w:t>
      </w:r>
      <w:r w:rsidR="0076197F" w:rsidRPr="00515AA2">
        <w:rPr>
          <w:color w:val="000000"/>
          <w:lang w:val="en-CA"/>
        </w:rPr>
        <w:t> </w:t>
      </w:r>
      <w:r w:rsidR="00D65AD7" w:rsidRPr="00515AA2">
        <w:rPr>
          <w:color w:val="000000"/>
          <w:lang w:val="en-CA"/>
        </w:rPr>
        <w:t xml:space="preserve">23.2 </w:t>
      </w:r>
      <w:r w:rsidRPr="00515AA2">
        <w:rPr>
          <w:color w:val="000000"/>
          <w:lang w:val="en-CA"/>
        </w:rPr>
        <w:t>of the</w:t>
      </w:r>
      <w:r w:rsidR="00D65AD7" w:rsidRPr="00515AA2">
        <w:rPr>
          <w:color w:val="000000"/>
          <w:lang w:val="en-CA"/>
        </w:rPr>
        <w:t xml:space="preserve"> </w:t>
      </w:r>
      <w:r w:rsidR="00D65AD7" w:rsidRPr="00515AA2">
        <w:rPr>
          <w:i/>
          <w:iCs/>
          <w:color w:val="000000"/>
          <w:lang w:val="en-CA"/>
        </w:rPr>
        <w:t>R</w:t>
      </w:r>
      <w:r w:rsidRPr="00515AA2">
        <w:rPr>
          <w:i/>
          <w:iCs/>
          <w:color w:val="000000"/>
          <w:lang w:val="en-CA"/>
        </w:rPr>
        <w:t>egulation</w:t>
      </w:r>
      <w:r w:rsidR="00D65AD7" w:rsidRPr="00515AA2">
        <w:rPr>
          <w:i/>
          <w:iCs/>
          <w:color w:val="000000"/>
          <w:lang w:val="en-CA"/>
        </w:rPr>
        <w:t xml:space="preserve"> </w:t>
      </w:r>
      <w:r w:rsidRPr="00515AA2">
        <w:rPr>
          <w:color w:val="000000"/>
          <w:lang w:val="en-CA"/>
        </w:rPr>
        <w:t xml:space="preserve">include not only health professionals, but also social workers who are </w:t>
      </w:r>
      <w:r w:rsidR="00AD1037" w:rsidRPr="00515AA2">
        <w:rPr>
          <w:color w:val="000000"/>
          <w:lang w:val="en-CA"/>
        </w:rPr>
        <w:t>neither</w:t>
      </w:r>
      <w:r w:rsidRPr="00515AA2">
        <w:rPr>
          <w:color w:val="000000"/>
          <w:lang w:val="en-CA"/>
        </w:rPr>
        <w:t xml:space="preserve"> authorized nor able to deliver “medical treatment.”</w:t>
      </w:r>
    </w:p>
    <w:p w14:paraId="69ADECFC" w14:textId="6FCDAC24" w:rsidR="00016EAA" w:rsidRPr="00515AA2" w:rsidRDefault="009F6A81" w:rsidP="00F846E3">
      <w:pPr>
        <w:pStyle w:val="Paragraphe"/>
        <w:spacing w:line="280" w:lineRule="exact"/>
        <w:rPr>
          <w:color w:val="000000"/>
          <w:lang w:val="en-CA"/>
        </w:rPr>
      </w:pPr>
      <w:r w:rsidRPr="00515AA2">
        <w:rPr>
          <w:color w:val="000000"/>
          <w:lang w:val="en-CA"/>
        </w:rPr>
        <w:t>Finally, the debates in parliamentary committee indicate that the legislator had no intention of “medicalizing” the situation when it enacted the second paragraph of s</w:t>
      </w:r>
      <w:r w:rsidR="00400D5D" w:rsidRPr="00515AA2">
        <w:rPr>
          <w:color w:val="000000"/>
          <w:lang w:val="en-CA"/>
        </w:rPr>
        <w:t>ection</w:t>
      </w:r>
      <w:r w:rsidR="0076197F" w:rsidRPr="00515AA2">
        <w:rPr>
          <w:color w:val="000000"/>
          <w:lang w:val="en-CA"/>
        </w:rPr>
        <w:t> </w:t>
      </w:r>
      <w:r w:rsidR="00983809" w:rsidRPr="00515AA2">
        <w:rPr>
          <w:color w:val="000000"/>
          <w:lang w:val="en-CA"/>
        </w:rPr>
        <w:t xml:space="preserve">23.2 </w:t>
      </w:r>
      <w:r w:rsidRPr="00515AA2">
        <w:rPr>
          <w:color w:val="000000"/>
          <w:lang w:val="en-CA"/>
        </w:rPr>
        <w:t>of the</w:t>
      </w:r>
      <w:r w:rsidR="00983809" w:rsidRPr="00515AA2">
        <w:rPr>
          <w:color w:val="000000"/>
          <w:lang w:val="en-CA"/>
        </w:rPr>
        <w:t xml:space="preserve"> </w:t>
      </w:r>
      <w:r w:rsidR="00983809" w:rsidRPr="00515AA2">
        <w:rPr>
          <w:i/>
          <w:iCs/>
          <w:color w:val="000000"/>
          <w:lang w:val="en-CA"/>
        </w:rPr>
        <w:t>R</w:t>
      </w:r>
      <w:r w:rsidRPr="00515AA2">
        <w:rPr>
          <w:i/>
          <w:iCs/>
          <w:color w:val="000000"/>
          <w:lang w:val="en-CA"/>
        </w:rPr>
        <w:t>egulation</w:t>
      </w:r>
      <w:r w:rsidR="00033611" w:rsidRPr="00515AA2">
        <w:rPr>
          <w:color w:val="000000"/>
          <w:lang w:val="en-CA"/>
        </w:rPr>
        <w:t>.</w:t>
      </w:r>
      <w:r w:rsidR="00952737" w:rsidRPr="00515AA2">
        <w:rPr>
          <w:rStyle w:val="Appelnotedebasdep"/>
          <w:color w:val="000000"/>
          <w:lang w:val="en-CA"/>
        </w:rPr>
        <w:footnoteReference w:id="85"/>
      </w:r>
    </w:p>
    <w:p w14:paraId="50695FAE" w14:textId="4051D0CC" w:rsidR="00016EAA" w:rsidRPr="00515AA2" w:rsidRDefault="00033611" w:rsidP="00F846E3">
      <w:pPr>
        <w:pStyle w:val="Paragraphe"/>
        <w:spacing w:line="280" w:lineRule="exact"/>
        <w:rPr>
          <w:color w:val="000000"/>
          <w:lang w:val="en-CA"/>
        </w:rPr>
      </w:pPr>
      <w:r w:rsidRPr="00515AA2">
        <w:rPr>
          <w:color w:val="000000"/>
          <w:lang w:val="en-CA"/>
        </w:rPr>
        <w:t>The judge therefore erred</w:t>
      </w:r>
      <w:r w:rsidR="00016EAA" w:rsidRPr="00515AA2">
        <w:rPr>
          <w:color w:val="000000"/>
          <w:lang w:val="en-CA"/>
        </w:rPr>
        <w:t> </w:t>
      </w:r>
      <w:r w:rsidRPr="00515AA2">
        <w:rPr>
          <w:color w:val="000000"/>
          <w:lang w:val="en-CA"/>
        </w:rPr>
        <w:t>in finding that s</w:t>
      </w:r>
      <w:r w:rsidR="00400D5D" w:rsidRPr="00515AA2">
        <w:rPr>
          <w:color w:val="000000"/>
          <w:lang w:val="en-CA"/>
        </w:rPr>
        <w:t>ection</w:t>
      </w:r>
      <w:r w:rsidRPr="00515AA2">
        <w:rPr>
          <w:color w:val="000000"/>
          <w:lang w:val="en-CA"/>
        </w:rPr>
        <w:t xml:space="preserve"> </w:t>
      </w:r>
      <w:r w:rsidR="00B638AC" w:rsidRPr="00515AA2">
        <w:rPr>
          <w:color w:val="000000"/>
          <w:lang w:val="en-CA"/>
        </w:rPr>
        <w:t xml:space="preserve">23.2 </w:t>
      </w:r>
      <w:r w:rsidRPr="00515AA2">
        <w:rPr>
          <w:color w:val="000000"/>
          <w:lang w:val="en-CA"/>
        </w:rPr>
        <w:t>of the</w:t>
      </w:r>
      <w:r w:rsidR="00B638AC" w:rsidRPr="00515AA2">
        <w:rPr>
          <w:color w:val="000000"/>
          <w:lang w:val="en-CA"/>
        </w:rPr>
        <w:t xml:space="preserve"> </w:t>
      </w:r>
      <w:r w:rsidR="00AE22EE" w:rsidRPr="00515AA2">
        <w:rPr>
          <w:i/>
          <w:iCs/>
          <w:color w:val="000000"/>
          <w:lang w:val="en-CA"/>
        </w:rPr>
        <w:t>R</w:t>
      </w:r>
      <w:r w:rsidRPr="00515AA2">
        <w:rPr>
          <w:i/>
          <w:iCs/>
          <w:color w:val="000000"/>
          <w:lang w:val="en-CA"/>
        </w:rPr>
        <w:t>egulation</w:t>
      </w:r>
      <w:r w:rsidR="00B638AC" w:rsidRPr="00515AA2">
        <w:rPr>
          <w:color w:val="000000"/>
          <w:lang w:val="en-CA"/>
        </w:rPr>
        <w:t xml:space="preserve"> </w:t>
      </w:r>
      <w:r w:rsidRPr="00515AA2">
        <w:rPr>
          <w:color w:val="000000"/>
          <w:lang w:val="en-CA"/>
        </w:rPr>
        <w:t xml:space="preserve">is contrary to its enabling legislation and that it subjects transgender or non-binary youths to the law as it </w:t>
      </w:r>
      <w:r w:rsidR="00AD1037" w:rsidRPr="00515AA2">
        <w:rPr>
          <w:color w:val="000000"/>
          <w:lang w:val="en-CA"/>
        </w:rPr>
        <w:t>stood</w:t>
      </w:r>
      <w:r w:rsidRPr="00515AA2">
        <w:rPr>
          <w:color w:val="000000"/>
          <w:lang w:val="en-CA"/>
        </w:rPr>
        <w:t xml:space="preserve"> </w:t>
      </w:r>
      <w:r w:rsidR="00AD1037" w:rsidRPr="00515AA2">
        <w:rPr>
          <w:color w:val="000000"/>
          <w:lang w:val="en-CA"/>
        </w:rPr>
        <w:t>prior to</w:t>
      </w:r>
      <w:r w:rsidRPr="00515AA2">
        <w:rPr>
          <w:color w:val="000000"/>
          <w:lang w:val="en-CA"/>
        </w:rPr>
        <w:t xml:space="preserve"> the</w:t>
      </w:r>
      <w:r w:rsidR="00B638AC" w:rsidRPr="00515AA2">
        <w:rPr>
          <w:color w:val="000000"/>
          <w:lang w:val="en-CA"/>
        </w:rPr>
        <w:t xml:space="preserve"> 2013</w:t>
      </w:r>
      <w:r w:rsidRPr="00515AA2">
        <w:rPr>
          <w:color w:val="000000"/>
          <w:lang w:val="en-CA"/>
        </w:rPr>
        <w:t xml:space="preserve"> amendment.</w:t>
      </w:r>
      <w:r w:rsidR="00450F55" w:rsidRPr="00515AA2">
        <w:rPr>
          <w:rStyle w:val="Appelnotedebasdep"/>
          <w:color w:val="000000"/>
          <w:lang w:val="en-CA"/>
        </w:rPr>
        <w:footnoteReference w:id="86"/>
      </w:r>
    </w:p>
    <w:p w14:paraId="2EC9B9A4" w14:textId="1D056C73" w:rsidR="00C930CE" w:rsidRPr="00515AA2" w:rsidRDefault="00064971" w:rsidP="00F846E3">
      <w:pPr>
        <w:pStyle w:val="Paragraphe"/>
        <w:spacing w:line="280" w:lineRule="exact"/>
        <w:rPr>
          <w:color w:val="000000"/>
          <w:lang w:val="en-CA"/>
        </w:rPr>
      </w:pPr>
      <w:r w:rsidRPr="00515AA2">
        <w:rPr>
          <w:color w:val="000000"/>
          <w:kern w:val="24"/>
          <w:szCs w:val="24"/>
          <w:lang w:val="en-CA"/>
        </w:rPr>
        <w:t>T</w:t>
      </w:r>
      <w:r w:rsidR="00033611" w:rsidRPr="00515AA2">
        <w:rPr>
          <w:color w:val="000000"/>
          <w:kern w:val="24"/>
          <w:szCs w:val="24"/>
          <w:lang w:val="en-CA"/>
        </w:rPr>
        <w:t>hat erroneous finding</w:t>
      </w:r>
      <w:r w:rsidRPr="00515AA2">
        <w:rPr>
          <w:color w:val="000000"/>
          <w:kern w:val="24"/>
          <w:szCs w:val="24"/>
          <w:lang w:val="en-CA"/>
        </w:rPr>
        <w:t xml:space="preserve"> </w:t>
      </w:r>
      <w:r w:rsidR="00033611" w:rsidRPr="00515AA2">
        <w:rPr>
          <w:color w:val="000000"/>
          <w:szCs w:val="24"/>
          <w:lang w:val="en-CA"/>
        </w:rPr>
        <w:t>also</w:t>
      </w:r>
      <w:r w:rsidR="00033611" w:rsidRPr="00515AA2">
        <w:rPr>
          <w:color w:val="000000"/>
          <w:lang w:val="en-CA"/>
        </w:rPr>
        <w:t xml:space="preserve"> ha</w:t>
      </w:r>
      <w:r w:rsidR="00AD1037" w:rsidRPr="00515AA2">
        <w:rPr>
          <w:color w:val="000000"/>
          <w:lang w:val="en-CA"/>
        </w:rPr>
        <w:t>d</w:t>
      </w:r>
      <w:r w:rsidR="00033611" w:rsidRPr="00515AA2">
        <w:rPr>
          <w:color w:val="000000"/>
          <w:lang w:val="en-CA"/>
        </w:rPr>
        <w:t xml:space="preserve"> an impact on his</w:t>
      </w:r>
      <w:r w:rsidRPr="00515AA2">
        <w:rPr>
          <w:color w:val="000000"/>
          <w:lang w:val="en-CA"/>
        </w:rPr>
        <w:t xml:space="preserve"> constitutional</w:t>
      </w:r>
      <w:r w:rsidR="00033611" w:rsidRPr="00515AA2">
        <w:rPr>
          <w:color w:val="000000"/>
          <w:lang w:val="en-CA"/>
        </w:rPr>
        <w:t xml:space="preserve"> analysis</w:t>
      </w:r>
      <w:r w:rsidRPr="00515AA2">
        <w:rPr>
          <w:color w:val="000000"/>
          <w:lang w:val="en-CA"/>
        </w:rPr>
        <w:t xml:space="preserve"> because it </w:t>
      </w:r>
      <w:r w:rsidR="00AD1037" w:rsidRPr="00515AA2">
        <w:rPr>
          <w:color w:val="000000"/>
          <w:lang w:val="en-CA"/>
        </w:rPr>
        <w:t>wa</w:t>
      </w:r>
      <w:r w:rsidRPr="00515AA2">
        <w:rPr>
          <w:color w:val="000000"/>
          <w:lang w:val="en-CA"/>
        </w:rPr>
        <w:t xml:space="preserve">s one of the four </w:t>
      </w:r>
      <w:r w:rsidR="00AD1037" w:rsidRPr="00515AA2">
        <w:rPr>
          <w:color w:val="000000"/>
          <w:lang w:val="en-CA"/>
        </w:rPr>
        <w:t>grounds on which he relied</w:t>
      </w:r>
      <w:r w:rsidRPr="00515AA2">
        <w:rPr>
          <w:color w:val="000000"/>
          <w:lang w:val="en-CA"/>
        </w:rPr>
        <w:t xml:space="preserve"> in finding that there </w:t>
      </w:r>
      <w:r w:rsidR="00AD1037" w:rsidRPr="00515AA2">
        <w:rPr>
          <w:color w:val="000000"/>
          <w:lang w:val="en-CA"/>
        </w:rPr>
        <w:t>wa</w:t>
      </w:r>
      <w:r w:rsidRPr="00515AA2">
        <w:rPr>
          <w:color w:val="000000"/>
          <w:lang w:val="en-CA"/>
        </w:rPr>
        <w:t xml:space="preserve">s no </w:t>
      </w:r>
      <w:r w:rsidR="00FE7ADC" w:rsidRPr="00515AA2">
        <w:rPr>
          <w:color w:val="000000"/>
          <w:lang w:val="en-CA"/>
        </w:rPr>
        <w:t>ration</w:t>
      </w:r>
      <w:r w:rsidRPr="00515AA2">
        <w:rPr>
          <w:color w:val="000000"/>
          <w:lang w:val="en-CA"/>
        </w:rPr>
        <w:t>al</w:t>
      </w:r>
      <w:r w:rsidR="00FE7ADC" w:rsidRPr="00515AA2">
        <w:rPr>
          <w:color w:val="000000"/>
          <w:lang w:val="en-CA"/>
        </w:rPr>
        <w:t xml:space="preserve"> </w:t>
      </w:r>
      <w:r w:rsidR="00AD1037" w:rsidRPr="00515AA2">
        <w:rPr>
          <w:color w:val="000000"/>
          <w:lang w:val="en-CA"/>
        </w:rPr>
        <w:t xml:space="preserve">connection </w:t>
      </w:r>
      <w:r w:rsidRPr="00515AA2">
        <w:rPr>
          <w:color w:val="000000"/>
          <w:lang w:val="en-CA"/>
        </w:rPr>
        <w:t>between the impugned provision and the legislative objective being pursued in his application of the proportionality test under s</w:t>
      </w:r>
      <w:r w:rsidR="00400D5D" w:rsidRPr="00515AA2">
        <w:rPr>
          <w:color w:val="000000"/>
          <w:lang w:val="en-CA"/>
        </w:rPr>
        <w:t>ection</w:t>
      </w:r>
      <w:r w:rsidRPr="00515AA2">
        <w:rPr>
          <w:color w:val="000000"/>
          <w:lang w:val="en-CA"/>
        </w:rPr>
        <w:t xml:space="preserve"> 1 of the</w:t>
      </w:r>
      <w:r w:rsidR="00450F55" w:rsidRPr="00515AA2">
        <w:rPr>
          <w:color w:val="000000"/>
          <w:lang w:val="en-CA"/>
        </w:rPr>
        <w:t xml:space="preserve"> </w:t>
      </w:r>
      <w:r w:rsidR="00B638AC" w:rsidRPr="00515AA2">
        <w:rPr>
          <w:i/>
          <w:iCs/>
          <w:color w:val="000000"/>
          <w:lang w:val="en-CA"/>
        </w:rPr>
        <w:t>C</w:t>
      </w:r>
      <w:r w:rsidRPr="00515AA2">
        <w:rPr>
          <w:i/>
          <w:iCs/>
          <w:color w:val="000000"/>
          <w:lang w:val="en-CA"/>
        </w:rPr>
        <w:t>anadian C</w:t>
      </w:r>
      <w:r w:rsidR="00B638AC" w:rsidRPr="00515AA2">
        <w:rPr>
          <w:i/>
          <w:iCs/>
          <w:color w:val="000000"/>
          <w:lang w:val="en-CA"/>
        </w:rPr>
        <w:t>harte</w:t>
      </w:r>
      <w:r w:rsidRPr="00515AA2">
        <w:rPr>
          <w:i/>
          <w:iCs/>
          <w:color w:val="000000"/>
          <w:lang w:val="en-CA"/>
        </w:rPr>
        <w:t>r</w:t>
      </w:r>
      <w:r w:rsidR="00B638AC" w:rsidRPr="00515AA2">
        <w:rPr>
          <w:color w:val="000000"/>
          <w:lang w:val="en-CA"/>
        </w:rPr>
        <w:t>.</w:t>
      </w:r>
    </w:p>
    <w:p w14:paraId="346DD07A" w14:textId="741E4600" w:rsidR="00C930CE" w:rsidRPr="00515AA2" w:rsidRDefault="00064971" w:rsidP="00F846E3">
      <w:pPr>
        <w:pStyle w:val="Paragraphe"/>
        <w:spacing w:line="280" w:lineRule="exact"/>
        <w:rPr>
          <w:color w:val="000000"/>
          <w:lang w:val="en-CA"/>
        </w:rPr>
      </w:pPr>
      <w:r w:rsidRPr="00515AA2">
        <w:rPr>
          <w:color w:val="000000"/>
          <w:lang w:val="en-CA"/>
        </w:rPr>
        <w:lastRenderedPageBreak/>
        <w:t>We will determine below</w:t>
      </w:r>
      <w:r w:rsidR="001C1811" w:rsidRPr="00515AA2">
        <w:rPr>
          <w:color w:val="000000"/>
          <w:lang w:val="en-CA"/>
        </w:rPr>
        <w:t xml:space="preserve">, </w:t>
      </w:r>
      <w:r w:rsidRPr="00515AA2">
        <w:rPr>
          <w:color w:val="000000"/>
          <w:lang w:val="en-CA"/>
        </w:rPr>
        <w:t>in our s</w:t>
      </w:r>
      <w:r w:rsidR="00043D1A" w:rsidRPr="00515AA2">
        <w:rPr>
          <w:color w:val="000000"/>
          <w:lang w:val="en-CA"/>
        </w:rPr>
        <w:t>ection</w:t>
      </w:r>
      <w:r w:rsidRPr="00515AA2">
        <w:rPr>
          <w:color w:val="000000"/>
          <w:lang w:val="en-CA"/>
        </w:rPr>
        <w:t xml:space="preserve"> 1 analysis, if this </w:t>
      </w:r>
      <w:r w:rsidR="00CC6D3C" w:rsidRPr="00515AA2">
        <w:rPr>
          <w:color w:val="000000"/>
          <w:lang w:val="en-CA"/>
        </w:rPr>
        <w:t>was an overriding error</w:t>
      </w:r>
      <w:r w:rsidR="009D0624" w:rsidRPr="00515AA2">
        <w:rPr>
          <w:color w:val="000000"/>
          <w:lang w:val="en-CA"/>
        </w:rPr>
        <w:t xml:space="preserve">. </w:t>
      </w:r>
      <w:r w:rsidR="00CC6D3C" w:rsidRPr="00515AA2">
        <w:rPr>
          <w:color w:val="000000"/>
          <w:lang w:val="en-CA"/>
        </w:rPr>
        <w:t>To decide this, it will</w:t>
      </w:r>
      <w:r w:rsidR="00AD1037" w:rsidRPr="00515AA2">
        <w:rPr>
          <w:color w:val="000000"/>
          <w:lang w:val="en-CA"/>
        </w:rPr>
        <w:t xml:space="preserve"> indeed</w:t>
      </w:r>
      <w:r w:rsidR="00CC6D3C" w:rsidRPr="00515AA2">
        <w:rPr>
          <w:color w:val="000000"/>
          <w:lang w:val="en-CA"/>
        </w:rPr>
        <w:t xml:space="preserve"> be necessary to examine to what extent the three other </w:t>
      </w:r>
      <w:r w:rsidR="00AD1037" w:rsidRPr="00515AA2">
        <w:rPr>
          <w:color w:val="000000"/>
          <w:lang w:val="en-CA"/>
        </w:rPr>
        <w:t>ground</w:t>
      </w:r>
      <w:r w:rsidR="00CC6D3C" w:rsidRPr="00515AA2">
        <w:rPr>
          <w:color w:val="000000"/>
          <w:lang w:val="en-CA"/>
        </w:rPr>
        <w:t>s relied upon are sufficient to support his finding</w:t>
      </w:r>
      <w:r w:rsidR="00131C57" w:rsidRPr="00515AA2">
        <w:rPr>
          <w:color w:val="000000"/>
          <w:lang w:val="en-CA"/>
        </w:rPr>
        <w:t>.</w:t>
      </w:r>
    </w:p>
    <w:p w14:paraId="1BB4A3A5" w14:textId="0EC96C35" w:rsidR="00016EAA" w:rsidRPr="00515AA2" w:rsidRDefault="00F944E0" w:rsidP="0088498D">
      <w:pPr>
        <w:pStyle w:val="SOUS-PARA11"/>
        <w:rPr>
          <w:color w:val="000000"/>
        </w:rPr>
      </w:pPr>
      <w:bookmarkStart w:id="55" w:name="_Hlk155358488"/>
      <w:r w:rsidRPr="00515AA2">
        <w:rPr>
          <w:color w:val="000000"/>
        </w:rPr>
        <w:tab/>
      </w:r>
      <w:bookmarkStart w:id="56" w:name="_Toc161830115"/>
      <w:r w:rsidR="00F750A1" w:rsidRPr="00515AA2">
        <w:rPr>
          <w:color w:val="000000"/>
        </w:rPr>
        <w:t>Did the judge read into paragraph 2 of s</w:t>
      </w:r>
      <w:r w:rsidR="00400D5D" w:rsidRPr="00515AA2">
        <w:rPr>
          <w:color w:val="000000"/>
        </w:rPr>
        <w:t>ection</w:t>
      </w:r>
      <w:r w:rsidR="00F750A1" w:rsidRPr="00515AA2">
        <w:rPr>
          <w:color w:val="000000"/>
        </w:rPr>
        <w:t xml:space="preserve"> 23.2 of the Regulation a requirement that the professional be </w:t>
      </w:r>
      <w:r w:rsidR="00AD1037" w:rsidRPr="00515AA2">
        <w:rPr>
          <w:color w:val="000000"/>
        </w:rPr>
        <w:t>knowledgeable about</w:t>
      </w:r>
      <w:r w:rsidR="00F750A1" w:rsidRPr="00515AA2">
        <w:rPr>
          <w:color w:val="000000"/>
        </w:rPr>
        <w:t xml:space="preserve"> transgender and non-binary reality</w:t>
      </w:r>
      <w:r w:rsidR="000F2862" w:rsidRPr="00515AA2">
        <w:rPr>
          <w:color w:val="000000"/>
        </w:rPr>
        <w:t>?</w:t>
      </w:r>
      <w:bookmarkEnd w:id="56"/>
    </w:p>
    <w:bookmarkEnd w:id="55"/>
    <w:p w14:paraId="2A16F370" w14:textId="06628566" w:rsidR="0049694A" w:rsidRPr="00515AA2" w:rsidRDefault="000C7693" w:rsidP="00F846E3">
      <w:pPr>
        <w:pStyle w:val="Paragraphe"/>
        <w:spacing w:line="280" w:lineRule="exact"/>
        <w:rPr>
          <w:color w:val="000000"/>
          <w:lang w:val="en-CA"/>
        </w:rPr>
      </w:pPr>
      <w:r w:rsidRPr="00515AA2">
        <w:rPr>
          <w:rStyle w:val="ParagrapheCar"/>
          <w:color w:val="000000"/>
          <w:lang w:val="en-CA"/>
        </w:rPr>
        <w:t>The AGQ argues</w:t>
      </w:r>
      <w:r w:rsidR="0068600A" w:rsidRPr="00515AA2">
        <w:rPr>
          <w:rStyle w:val="ParagrapheCar"/>
          <w:color w:val="000000"/>
          <w:lang w:val="en-CA"/>
        </w:rPr>
        <w:t>, rightly,</w:t>
      </w:r>
      <w:r w:rsidRPr="00515AA2">
        <w:rPr>
          <w:rStyle w:val="ParagrapheCar"/>
          <w:color w:val="000000"/>
          <w:lang w:val="en-CA"/>
        </w:rPr>
        <w:t xml:space="preserve"> that s</w:t>
      </w:r>
      <w:r w:rsidR="00400D5D" w:rsidRPr="00515AA2">
        <w:rPr>
          <w:rStyle w:val="ParagrapheCar"/>
          <w:color w:val="000000"/>
          <w:lang w:val="en-CA"/>
        </w:rPr>
        <w:t>ection</w:t>
      </w:r>
      <w:r w:rsidRPr="00515AA2">
        <w:rPr>
          <w:rStyle w:val="ParagrapheCar"/>
          <w:color w:val="000000"/>
          <w:lang w:val="en-CA"/>
        </w:rPr>
        <w:t xml:space="preserve"> </w:t>
      </w:r>
      <w:r w:rsidR="00016EAA" w:rsidRPr="00515AA2">
        <w:rPr>
          <w:rStyle w:val="ParagrapheCar"/>
          <w:color w:val="000000"/>
          <w:lang w:val="en-CA"/>
        </w:rPr>
        <w:t xml:space="preserve">23.2 </w:t>
      </w:r>
      <w:r w:rsidRPr="00515AA2">
        <w:rPr>
          <w:rStyle w:val="ParagrapheCar"/>
          <w:color w:val="000000"/>
          <w:lang w:val="en-CA"/>
        </w:rPr>
        <w:t xml:space="preserve">of the </w:t>
      </w:r>
      <w:r w:rsidRPr="00515AA2">
        <w:rPr>
          <w:rStyle w:val="ParagrapheCar"/>
          <w:i/>
          <w:iCs/>
          <w:color w:val="000000"/>
          <w:lang w:val="en-CA"/>
        </w:rPr>
        <w:t>Regulation</w:t>
      </w:r>
      <w:r w:rsidRPr="00515AA2">
        <w:rPr>
          <w:rStyle w:val="ParagrapheCar"/>
          <w:color w:val="000000"/>
          <w:lang w:val="en-CA"/>
        </w:rPr>
        <w:t xml:space="preserve"> does not require that the professional</w:t>
      </w:r>
      <w:r w:rsidR="00016EAA" w:rsidRPr="00515AA2">
        <w:rPr>
          <w:rStyle w:val="ParagrapheCar"/>
          <w:color w:val="000000"/>
          <w:lang w:val="en-CA"/>
        </w:rPr>
        <w:t xml:space="preserve"> </w:t>
      </w:r>
      <w:r w:rsidR="0068600A" w:rsidRPr="00515AA2">
        <w:rPr>
          <w:rStyle w:val="ParagrapheCar"/>
          <w:color w:val="000000"/>
          <w:lang w:val="en-CA"/>
        </w:rPr>
        <w:t>be knowledgeable</w:t>
      </w:r>
      <w:r w:rsidRPr="00515AA2">
        <w:rPr>
          <w:rStyle w:val="ParagrapheCar"/>
          <w:color w:val="000000"/>
          <w:lang w:val="en-CA"/>
        </w:rPr>
        <w:t xml:space="preserve"> about transgender or non-binary reality to be able to provide the required letter</w:t>
      </w:r>
      <w:r w:rsidR="00016EAA" w:rsidRPr="00515AA2">
        <w:rPr>
          <w:rStyle w:val="ParagrapheCar"/>
          <w:color w:val="000000"/>
          <w:lang w:val="en-CA"/>
        </w:rPr>
        <w:t xml:space="preserve">. </w:t>
      </w:r>
      <w:r w:rsidRPr="00515AA2">
        <w:rPr>
          <w:rStyle w:val="ParagrapheCar"/>
          <w:color w:val="000000"/>
          <w:lang w:val="en-CA"/>
        </w:rPr>
        <w:t>Contrary to what it maintains, however, the judge did not read in such a condition</w:t>
      </w:r>
      <w:r w:rsidR="002F4C40" w:rsidRPr="00515AA2">
        <w:rPr>
          <w:rStyle w:val="ParagrapheCar"/>
          <w:color w:val="000000"/>
          <w:lang w:val="en-CA"/>
        </w:rPr>
        <w:t xml:space="preserve"> </w:t>
      </w:r>
      <w:r w:rsidRPr="00515AA2">
        <w:rPr>
          <w:rStyle w:val="ParagrapheCar"/>
          <w:color w:val="000000"/>
          <w:lang w:val="en-CA"/>
        </w:rPr>
        <w:t>in s</w:t>
      </w:r>
      <w:r w:rsidR="00400D5D" w:rsidRPr="00515AA2">
        <w:rPr>
          <w:rStyle w:val="ParagrapheCar"/>
          <w:color w:val="000000"/>
          <w:lang w:val="en-CA"/>
        </w:rPr>
        <w:t>ection</w:t>
      </w:r>
      <w:r w:rsidR="0076197F" w:rsidRPr="00515AA2">
        <w:rPr>
          <w:rStyle w:val="ParagrapheCar"/>
          <w:color w:val="000000"/>
          <w:lang w:val="en-CA"/>
        </w:rPr>
        <w:t> </w:t>
      </w:r>
      <w:r w:rsidR="00834458" w:rsidRPr="00515AA2">
        <w:rPr>
          <w:rStyle w:val="ParagrapheCar"/>
          <w:color w:val="000000"/>
          <w:lang w:val="en-CA"/>
        </w:rPr>
        <w:t>23.2</w:t>
      </w:r>
      <w:r w:rsidR="00FF3557" w:rsidRPr="00515AA2">
        <w:rPr>
          <w:rStyle w:val="ParagrapheCar"/>
          <w:color w:val="000000"/>
          <w:lang w:val="en-CA"/>
        </w:rPr>
        <w:t xml:space="preserve">. </w:t>
      </w:r>
      <w:r w:rsidRPr="00515AA2">
        <w:rPr>
          <w:rStyle w:val="ParagrapheCar"/>
          <w:color w:val="000000"/>
          <w:lang w:val="en-CA"/>
        </w:rPr>
        <w:t>He simply found that</w:t>
      </w:r>
      <w:r w:rsidR="007B44F3" w:rsidRPr="00515AA2">
        <w:rPr>
          <w:color w:val="000000"/>
          <w:lang w:val="en-CA"/>
        </w:rPr>
        <w:t>:</w:t>
      </w:r>
      <w:r w:rsidR="00016EAA" w:rsidRPr="00515AA2">
        <w:rPr>
          <w:color w:val="000000"/>
          <w:lang w:val="en-CA"/>
        </w:rPr>
        <w:t xml:space="preserve"> </w:t>
      </w:r>
      <w:r w:rsidR="00705E06" w:rsidRPr="00515AA2">
        <w:rPr>
          <w:color w:val="000000"/>
          <w:lang w:val="en-CA"/>
        </w:rPr>
        <w:t xml:space="preserve">1) </w:t>
      </w:r>
      <w:r w:rsidRPr="00515AA2">
        <w:rPr>
          <w:color w:val="000000"/>
          <w:lang w:val="en-CA"/>
        </w:rPr>
        <w:t>it could be difficult to find a designated professional who is familiar with</w:t>
      </w:r>
      <w:r w:rsidR="00016EAA" w:rsidRPr="00515AA2">
        <w:rPr>
          <w:color w:val="000000"/>
          <w:vertAlign w:val="superscript"/>
          <w:lang w:val="en-CA"/>
        </w:rPr>
        <w:footnoteReference w:id="87"/>
      </w:r>
      <w:r w:rsidR="00016EAA" w:rsidRPr="00515AA2">
        <w:rPr>
          <w:color w:val="000000"/>
          <w:lang w:val="en-CA"/>
        </w:rPr>
        <w:t xml:space="preserve"> </w:t>
      </w:r>
      <w:r w:rsidRPr="00515AA2">
        <w:rPr>
          <w:color w:val="000000"/>
          <w:lang w:val="en-CA"/>
        </w:rPr>
        <w:t xml:space="preserve">or who </w:t>
      </w:r>
      <w:r w:rsidR="0068600A" w:rsidRPr="00515AA2">
        <w:rPr>
          <w:color w:val="000000"/>
          <w:lang w:val="en-CA"/>
        </w:rPr>
        <w:t xml:space="preserve">is </w:t>
      </w:r>
      <w:r w:rsidRPr="00515AA2">
        <w:rPr>
          <w:color w:val="000000"/>
          <w:lang w:val="en-CA"/>
        </w:rPr>
        <w:t>knowledge</w:t>
      </w:r>
      <w:r w:rsidR="00AD1037" w:rsidRPr="00515AA2">
        <w:rPr>
          <w:color w:val="000000"/>
          <w:lang w:val="en-CA"/>
        </w:rPr>
        <w:t>able</w:t>
      </w:r>
      <w:r w:rsidRPr="00515AA2">
        <w:rPr>
          <w:color w:val="000000"/>
          <w:lang w:val="en-CA"/>
        </w:rPr>
        <w:t xml:space="preserve"> </w:t>
      </w:r>
      <w:r w:rsidR="0068600A" w:rsidRPr="00515AA2">
        <w:rPr>
          <w:color w:val="000000"/>
          <w:lang w:val="en-CA"/>
        </w:rPr>
        <w:t>about</w:t>
      </w:r>
      <w:r w:rsidR="00016EAA" w:rsidRPr="00515AA2">
        <w:rPr>
          <w:color w:val="000000"/>
          <w:vertAlign w:val="superscript"/>
          <w:lang w:val="en-CA"/>
        </w:rPr>
        <w:footnoteReference w:id="88"/>
      </w:r>
      <w:r w:rsidR="00016EAA" w:rsidRPr="00515AA2">
        <w:rPr>
          <w:color w:val="000000"/>
          <w:lang w:val="en-CA"/>
        </w:rPr>
        <w:t xml:space="preserve"> </w:t>
      </w:r>
      <w:r w:rsidR="0068600A" w:rsidRPr="00515AA2">
        <w:rPr>
          <w:color w:val="000000"/>
          <w:lang w:val="en-CA"/>
        </w:rPr>
        <w:t>the realit</w:t>
      </w:r>
      <w:r w:rsidR="00AD1037" w:rsidRPr="00515AA2">
        <w:rPr>
          <w:color w:val="000000"/>
          <w:lang w:val="en-CA"/>
        </w:rPr>
        <w:t>y</w:t>
      </w:r>
      <w:r w:rsidR="0068600A" w:rsidRPr="00515AA2">
        <w:rPr>
          <w:color w:val="000000"/>
          <w:lang w:val="en-CA"/>
        </w:rPr>
        <w:t xml:space="preserve"> of transgender or non-binary people</w:t>
      </w:r>
      <w:r w:rsidR="004434E9" w:rsidRPr="00515AA2">
        <w:rPr>
          <w:color w:val="000000"/>
          <w:lang w:val="en-CA"/>
        </w:rPr>
        <w:t>;</w:t>
      </w:r>
      <w:r w:rsidR="0068600A" w:rsidRPr="00515AA2">
        <w:rPr>
          <w:color w:val="000000"/>
          <w:lang w:val="en-CA"/>
        </w:rPr>
        <w:t xml:space="preserve"> and</w:t>
      </w:r>
      <w:r w:rsidR="00705E06" w:rsidRPr="00515AA2">
        <w:rPr>
          <w:color w:val="000000"/>
          <w:lang w:val="en-CA"/>
        </w:rPr>
        <w:t xml:space="preserve"> 2) </w:t>
      </w:r>
      <w:r w:rsidR="0068600A" w:rsidRPr="00515AA2">
        <w:rPr>
          <w:color w:val="000000"/>
          <w:lang w:val="en-CA"/>
        </w:rPr>
        <w:t>anyone who is unfamiliar with or who is not sufficiently knowledgeable about that reality would probably not agree to sign a letter declaring that a change to the designation of sex was appropriate.</w:t>
      </w:r>
      <w:r w:rsidR="00120EAC" w:rsidRPr="00515AA2">
        <w:rPr>
          <w:rStyle w:val="Appelnotedebasdep"/>
          <w:color w:val="000000"/>
          <w:lang w:val="en-CA"/>
        </w:rPr>
        <w:footnoteReference w:id="89"/>
      </w:r>
    </w:p>
    <w:p w14:paraId="78909420" w14:textId="3F4E6D49" w:rsidR="00C902A9" w:rsidRPr="00515AA2" w:rsidRDefault="0068600A" w:rsidP="00C902A9">
      <w:pPr>
        <w:pStyle w:val="Paragraphe"/>
        <w:spacing w:line="280" w:lineRule="exact"/>
        <w:rPr>
          <w:color w:val="000000"/>
          <w:lang w:val="en-CA"/>
        </w:rPr>
      </w:pPr>
      <w:r w:rsidRPr="00515AA2">
        <w:rPr>
          <w:color w:val="000000"/>
          <w:lang w:val="en-CA"/>
        </w:rPr>
        <w:t>Moreover</w:t>
      </w:r>
      <w:r w:rsidR="000B1778" w:rsidRPr="00515AA2">
        <w:rPr>
          <w:color w:val="000000"/>
          <w:lang w:val="en-CA"/>
        </w:rPr>
        <w:t xml:space="preserve">, </w:t>
      </w:r>
      <w:r w:rsidRPr="00515AA2">
        <w:rPr>
          <w:color w:val="000000"/>
          <w:lang w:val="en-CA"/>
        </w:rPr>
        <w:t>the various professions listed in the second paragraph of s</w:t>
      </w:r>
      <w:r w:rsidR="00400D5D" w:rsidRPr="00515AA2">
        <w:rPr>
          <w:color w:val="000000"/>
          <w:lang w:val="en-CA"/>
        </w:rPr>
        <w:t>ection</w:t>
      </w:r>
      <w:r w:rsidR="00985DA1" w:rsidRPr="00515AA2">
        <w:rPr>
          <w:color w:val="000000"/>
          <w:lang w:val="en-CA"/>
        </w:rPr>
        <w:t> </w:t>
      </w:r>
      <w:r w:rsidR="00016EAA" w:rsidRPr="00515AA2">
        <w:rPr>
          <w:color w:val="000000"/>
          <w:lang w:val="en-CA"/>
        </w:rPr>
        <w:t xml:space="preserve">23.2 </w:t>
      </w:r>
      <w:r w:rsidRPr="00515AA2">
        <w:rPr>
          <w:color w:val="000000"/>
          <w:lang w:val="en-CA"/>
        </w:rPr>
        <w:t xml:space="preserve">each have a code of ethics </w:t>
      </w:r>
      <w:r w:rsidR="00AD1037" w:rsidRPr="00515AA2">
        <w:rPr>
          <w:color w:val="000000"/>
          <w:lang w:val="en-CA"/>
        </w:rPr>
        <w:t>which</w:t>
      </w:r>
      <w:r w:rsidRPr="00515AA2">
        <w:rPr>
          <w:color w:val="000000"/>
          <w:lang w:val="en-CA"/>
        </w:rPr>
        <w:t xml:space="preserve"> require</w:t>
      </w:r>
      <w:r w:rsidR="00A07A8B" w:rsidRPr="00515AA2">
        <w:rPr>
          <w:color w:val="000000"/>
          <w:lang w:val="en-CA"/>
        </w:rPr>
        <w:t>s, generally, that the professional give their opinion only on questions of which they have sufficient knowledge</w:t>
      </w:r>
      <w:r w:rsidR="00016EAA" w:rsidRPr="00515AA2">
        <w:rPr>
          <w:color w:val="000000"/>
          <w:lang w:val="en-CA"/>
        </w:rPr>
        <w:t>.</w:t>
      </w:r>
    </w:p>
    <w:p w14:paraId="5E03A640" w14:textId="3EC359D8" w:rsidR="00016EAA" w:rsidRPr="00515AA2" w:rsidRDefault="00A07A8B" w:rsidP="00F846E3">
      <w:pPr>
        <w:pStyle w:val="Paragraphe"/>
        <w:spacing w:line="280" w:lineRule="exact"/>
        <w:rPr>
          <w:color w:val="000000"/>
          <w:lang w:val="en-CA"/>
        </w:rPr>
      </w:pPr>
      <w:r w:rsidRPr="00515AA2">
        <w:rPr>
          <w:color w:val="000000"/>
          <w:lang w:val="en-CA"/>
        </w:rPr>
        <w:t>Consequently</w:t>
      </w:r>
      <w:r w:rsidR="008647D7" w:rsidRPr="00515AA2">
        <w:rPr>
          <w:color w:val="000000"/>
          <w:lang w:val="en-CA"/>
        </w:rPr>
        <w:t xml:space="preserve">, </w:t>
      </w:r>
      <w:r w:rsidRPr="00515AA2">
        <w:rPr>
          <w:color w:val="000000"/>
          <w:lang w:val="en-CA"/>
        </w:rPr>
        <w:t>without concluding that the</w:t>
      </w:r>
      <w:r w:rsidR="00324EF8" w:rsidRPr="00515AA2">
        <w:rPr>
          <w:color w:val="000000"/>
          <w:lang w:val="en-CA"/>
        </w:rPr>
        <w:t xml:space="preserve"> </w:t>
      </w:r>
      <w:r w:rsidR="00324EF8" w:rsidRPr="00515AA2">
        <w:rPr>
          <w:i/>
          <w:iCs/>
          <w:color w:val="000000"/>
          <w:lang w:val="en-CA"/>
        </w:rPr>
        <w:t>R</w:t>
      </w:r>
      <w:r w:rsidRPr="00515AA2">
        <w:rPr>
          <w:i/>
          <w:iCs/>
          <w:color w:val="000000"/>
          <w:lang w:val="en-CA"/>
        </w:rPr>
        <w:t>egulation</w:t>
      </w:r>
      <w:r w:rsidR="00324EF8" w:rsidRPr="00515AA2">
        <w:rPr>
          <w:color w:val="000000"/>
          <w:lang w:val="en-CA"/>
        </w:rPr>
        <w:t xml:space="preserve"> </w:t>
      </w:r>
      <w:r w:rsidRPr="00515AA2">
        <w:rPr>
          <w:color w:val="000000"/>
          <w:lang w:val="en-CA"/>
        </w:rPr>
        <w:t xml:space="preserve">requires that the designated professional be </w:t>
      </w:r>
      <w:r w:rsidR="000C756A" w:rsidRPr="00515AA2">
        <w:rPr>
          <w:color w:val="000000"/>
          <w:lang w:val="en-CA"/>
        </w:rPr>
        <w:t>knowledgeable about</w:t>
      </w:r>
      <w:r w:rsidRPr="00515AA2">
        <w:rPr>
          <w:color w:val="000000"/>
          <w:lang w:val="en-CA"/>
        </w:rPr>
        <w:t xml:space="preserve"> transgender or non-binary </w:t>
      </w:r>
      <w:r w:rsidR="000C756A" w:rsidRPr="00515AA2">
        <w:rPr>
          <w:color w:val="000000"/>
          <w:lang w:val="en-CA"/>
        </w:rPr>
        <w:t>reality</w:t>
      </w:r>
      <w:r w:rsidRPr="00515AA2">
        <w:rPr>
          <w:color w:val="000000"/>
          <w:lang w:val="en-CA"/>
        </w:rPr>
        <w:t>, we reco</w:t>
      </w:r>
      <w:r w:rsidR="000C756A" w:rsidRPr="00515AA2">
        <w:rPr>
          <w:color w:val="000000"/>
          <w:lang w:val="en-CA"/>
        </w:rPr>
        <w:t>g</w:t>
      </w:r>
      <w:r w:rsidRPr="00515AA2">
        <w:rPr>
          <w:color w:val="000000"/>
          <w:lang w:val="en-CA"/>
        </w:rPr>
        <w:t xml:space="preserve">nize that </w:t>
      </w:r>
      <w:r w:rsidR="000C756A" w:rsidRPr="00515AA2">
        <w:rPr>
          <w:color w:val="000000"/>
          <w:lang w:val="en-CA"/>
        </w:rPr>
        <w:t>a</w:t>
      </w:r>
      <w:r w:rsidRPr="00515AA2">
        <w:rPr>
          <w:color w:val="000000"/>
          <w:lang w:val="en-CA"/>
        </w:rPr>
        <w:t xml:space="preserve"> lack of knowledge may sometimes </w:t>
      </w:r>
      <w:r w:rsidR="000C756A" w:rsidRPr="00515AA2">
        <w:rPr>
          <w:color w:val="000000"/>
          <w:lang w:val="en-CA"/>
        </w:rPr>
        <w:t>make it difficult to obtain</w:t>
      </w:r>
      <w:r w:rsidRPr="00515AA2">
        <w:rPr>
          <w:color w:val="000000"/>
          <w:lang w:val="en-CA"/>
        </w:rPr>
        <w:t xml:space="preserve"> the required letter</w:t>
      </w:r>
      <w:r w:rsidR="00D936DD" w:rsidRPr="00515AA2">
        <w:rPr>
          <w:color w:val="000000"/>
          <w:lang w:val="en-CA"/>
        </w:rPr>
        <w:t>.</w:t>
      </w:r>
    </w:p>
    <w:p w14:paraId="4D0DBF03" w14:textId="4C8440B2" w:rsidR="00016EAA" w:rsidRPr="00515AA2" w:rsidRDefault="0061714D" w:rsidP="00F846E3">
      <w:pPr>
        <w:pStyle w:val="Paragraphe"/>
        <w:spacing w:line="280" w:lineRule="exact"/>
        <w:rPr>
          <w:color w:val="000000"/>
          <w:lang w:val="en-CA"/>
        </w:rPr>
      </w:pPr>
      <w:r w:rsidRPr="00515AA2">
        <w:rPr>
          <w:color w:val="000000"/>
          <w:lang w:val="en-CA"/>
        </w:rPr>
        <w:t xml:space="preserve">The judge therefore </w:t>
      </w:r>
      <w:r w:rsidR="00AD1037" w:rsidRPr="00515AA2">
        <w:rPr>
          <w:color w:val="000000"/>
          <w:lang w:val="en-CA"/>
        </w:rPr>
        <w:t>did not err</w:t>
      </w:r>
      <w:r w:rsidRPr="00515AA2">
        <w:rPr>
          <w:color w:val="000000"/>
          <w:lang w:val="en-CA"/>
        </w:rPr>
        <w:t xml:space="preserve"> on that point</w:t>
      </w:r>
      <w:r w:rsidR="00016EAA" w:rsidRPr="00515AA2">
        <w:rPr>
          <w:color w:val="000000"/>
          <w:lang w:val="en-CA"/>
        </w:rPr>
        <w:t>.</w:t>
      </w:r>
    </w:p>
    <w:p w14:paraId="2365C729" w14:textId="7D7E582D" w:rsidR="00016EAA" w:rsidRPr="00515AA2" w:rsidRDefault="0061714D" w:rsidP="00835915">
      <w:pPr>
        <w:pStyle w:val="Titre5"/>
        <w:rPr>
          <w:color w:val="000000"/>
        </w:rPr>
      </w:pPr>
      <w:bookmarkStart w:id="57" w:name="_Hlk137206147"/>
      <w:bookmarkStart w:id="58" w:name="_Toc161830116"/>
      <w:r w:rsidRPr="00515AA2">
        <w:rPr>
          <w:color w:val="000000"/>
        </w:rPr>
        <w:t>Section</w:t>
      </w:r>
      <w:r w:rsidR="00B22793" w:rsidRPr="00515AA2">
        <w:rPr>
          <w:color w:val="000000"/>
        </w:rPr>
        <w:t> </w:t>
      </w:r>
      <w:r w:rsidR="00016EAA" w:rsidRPr="00515AA2">
        <w:rPr>
          <w:color w:val="000000"/>
        </w:rPr>
        <w:t xml:space="preserve">23.2 </w:t>
      </w:r>
      <w:bookmarkEnd w:id="57"/>
      <w:r w:rsidRPr="00515AA2">
        <w:rPr>
          <w:color w:val="000000"/>
        </w:rPr>
        <w:t>of the Regulation and the Rights Guaranteed by the Canadian Charter and the Quebec Charter</w:t>
      </w:r>
      <w:bookmarkEnd w:id="58"/>
    </w:p>
    <w:p w14:paraId="674E746D" w14:textId="6B7BF37C" w:rsidR="00F8654F" w:rsidRPr="00515AA2" w:rsidRDefault="00EC6216" w:rsidP="00F846E3">
      <w:pPr>
        <w:pStyle w:val="Paragraphe"/>
        <w:spacing w:line="280" w:lineRule="exact"/>
        <w:rPr>
          <w:color w:val="000000"/>
          <w:lang w:val="en-CA"/>
        </w:rPr>
      </w:pPr>
      <w:r w:rsidRPr="00515AA2">
        <w:rPr>
          <w:color w:val="000000"/>
          <w:lang w:val="en-CA"/>
        </w:rPr>
        <w:t>At trial</w:t>
      </w:r>
      <w:r w:rsidR="00F8654F" w:rsidRPr="00515AA2">
        <w:rPr>
          <w:color w:val="000000"/>
          <w:lang w:val="en-CA"/>
        </w:rPr>
        <w:t xml:space="preserve">, </w:t>
      </w:r>
      <w:r w:rsidRPr="00515AA2">
        <w:rPr>
          <w:color w:val="000000"/>
          <w:lang w:val="en-CA"/>
        </w:rPr>
        <w:t>the respondents alleged that the second paragraph of s</w:t>
      </w:r>
      <w:r w:rsidR="00400D5D" w:rsidRPr="00515AA2">
        <w:rPr>
          <w:color w:val="000000"/>
          <w:lang w:val="en-CA"/>
        </w:rPr>
        <w:t>ection</w:t>
      </w:r>
      <w:r w:rsidR="00B208BA" w:rsidRPr="00515AA2">
        <w:rPr>
          <w:color w:val="000000"/>
          <w:lang w:val="en-CA"/>
        </w:rPr>
        <w:t xml:space="preserve"> 23.2 </w:t>
      </w:r>
      <w:r w:rsidRPr="00515AA2">
        <w:rPr>
          <w:color w:val="000000"/>
          <w:lang w:val="en-CA"/>
        </w:rPr>
        <w:t>of the</w:t>
      </w:r>
      <w:r w:rsidR="00B208BA" w:rsidRPr="00515AA2">
        <w:rPr>
          <w:color w:val="000000"/>
          <w:lang w:val="en-CA"/>
        </w:rPr>
        <w:t xml:space="preserve"> </w:t>
      </w:r>
      <w:r w:rsidR="00B208BA" w:rsidRPr="00515AA2">
        <w:rPr>
          <w:i/>
          <w:iCs/>
          <w:color w:val="000000"/>
          <w:lang w:val="en-CA"/>
        </w:rPr>
        <w:t>R</w:t>
      </w:r>
      <w:r w:rsidRPr="00515AA2">
        <w:rPr>
          <w:i/>
          <w:iCs/>
          <w:color w:val="000000"/>
          <w:lang w:val="en-CA"/>
        </w:rPr>
        <w:t>egulation</w:t>
      </w:r>
      <w:r w:rsidR="00B208BA" w:rsidRPr="00515AA2">
        <w:rPr>
          <w:color w:val="000000"/>
          <w:lang w:val="en-CA"/>
        </w:rPr>
        <w:t xml:space="preserve"> </w:t>
      </w:r>
      <w:r w:rsidRPr="00515AA2">
        <w:rPr>
          <w:color w:val="000000"/>
          <w:lang w:val="en-CA"/>
        </w:rPr>
        <w:t>violated several rights guaranteed by the</w:t>
      </w:r>
      <w:r w:rsidR="00F8654F" w:rsidRPr="00515AA2">
        <w:rPr>
          <w:color w:val="000000"/>
          <w:lang w:val="en-CA"/>
        </w:rPr>
        <w:t xml:space="preserve"> </w:t>
      </w:r>
      <w:r w:rsidR="00F8654F" w:rsidRPr="00515AA2">
        <w:rPr>
          <w:i/>
          <w:iCs/>
          <w:color w:val="000000"/>
          <w:lang w:val="en-CA"/>
        </w:rPr>
        <w:t>C</w:t>
      </w:r>
      <w:r w:rsidRPr="00515AA2">
        <w:rPr>
          <w:i/>
          <w:iCs/>
          <w:color w:val="000000"/>
          <w:lang w:val="en-CA"/>
        </w:rPr>
        <w:t>anadian C</w:t>
      </w:r>
      <w:r w:rsidR="00F8654F" w:rsidRPr="00515AA2">
        <w:rPr>
          <w:i/>
          <w:iCs/>
          <w:color w:val="000000"/>
          <w:lang w:val="en-CA"/>
        </w:rPr>
        <w:t>harte</w:t>
      </w:r>
      <w:r w:rsidRPr="00515AA2">
        <w:rPr>
          <w:i/>
          <w:iCs/>
          <w:color w:val="000000"/>
          <w:lang w:val="en-CA"/>
        </w:rPr>
        <w:t>r</w:t>
      </w:r>
      <w:r w:rsidR="00F8654F" w:rsidRPr="00515AA2">
        <w:rPr>
          <w:color w:val="000000"/>
          <w:lang w:val="en-CA"/>
        </w:rPr>
        <w:t xml:space="preserve"> </w:t>
      </w:r>
      <w:r w:rsidRPr="00515AA2">
        <w:rPr>
          <w:color w:val="000000"/>
          <w:lang w:val="en-CA"/>
        </w:rPr>
        <w:t>and the</w:t>
      </w:r>
      <w:r w:rsidR="00F8654F" w:rsidRPr="00515AA2">
        <w:rPr>
          <w:color w:val="000000"/>
          <w:lang w:val="en-CA"/>
        </w:rPr>
        <w:t xml:space="preserve"> </w:t>
      </w:r>
      <w:r w:rsidRPr="00515AA2">
        <w:rPr>
          <w:i/>
          <w:iCs/>
          <w:color w:val="000000"/>
          <w:lang w:val="en-CA"/>
        </w:rPr>
        <w:t>Quebec C</w:t>
      </w:r>
      <w:r w:rsidR="00F8654F" w:rsidRPr="00515AA2">
        <w:rPr>
          <w:i/>
          <w:iCs/>
          <w:color w:val="000000"/>
          <w:lang w:val="en-CA"/>
        </w:rPr>
        <w:t>harte</w:t>
      </w:r>
      <w:r w:rsidRPr="00515AA2">
        <w:rPr>
          <w:i/>
          <w:iCs/>
          <w:color w:val="000000"/>
          <w:lang w:val="en-CA"/>
        </w:rPr>
        <w:t>r</w:t>
      </w:r>
      <w:r w:rsidR="00F8654F" w:rsidRPr="00515AA2">
        <w:rPr>
          <w:color w:val="000000"/>
          <w:lang w:val="en-CA"/>
        </w:rPr>
        <w:t>:</w:t>
      </w:r>
    </w:p>
    <w:p w14:paraId="0F475595" w14:textId="781A85D3" w:rsidR="00F8654F" w:rsidRPr="00515AA2" w:rsidRDefault="00EC6216" w:rsidP="00D84C5B">
      <w:pPr>
        <w:pStyle w:val="Paragraphedeliste"/>
        <w:numPr>
          <w:ilvl w:val="0"/>
          <w:numId w:val="9"/>
        </w:numPr>
        <w:jc w:val="both"/>
        <w:rPr>
          <w:color w:val="000000"/>
          <w:kern w:val="28"/>
          <w:lang w:val="en-CA"/>
        </w:rPr>
      </w:pPr>
      <w:r w:rsidRPr="00515AA2">
        <w:rPr>
          <w:color w:val="000000"/>
          <w:kern w:val="28"/>
          <w:lang w:val="en-CA"/>
        </w:rPr>
        <w:t xml:space="preserve">The right to life, and to personal security, inviolability and freedom </w:t>
      </w:r>
      <w:r w:rsidR="00F8654F" w:rsidRPr="00515AA2">
        <w:rPr>
          <w:color w:val="000000"/>
          <w:kern w:val="28"/>
          <w:lang w:val="en-CA"/>
        </w:rPr>
        <w:t>(</w:t>
      </w:r>
      <w:r w:rsidRPr="00515AA2">
        <w:rPr>
          <w:color w:val="000000"/>
          <w:kern w:val="28"/>
          <w:lang w:val="en-CA"/>
        </w:rPr>
        <w:t>s</w:t>
      </w:r>
      <w:r w:rsidR="00F8654F" w:rsidRPr="00515AA2">
        <w:rPr>
          <w:color w:val="000000"/>
          <w:kern w:val="28"/>
          <w:lang w:val="en-CA"/>
        </w:rPr>
        <w:t>.</w:t>
      </w:r>
      <w:r w:rsidR="00B22793" w:rsidRPr="00515AA2">
        <w:rPr>
          <w:color w:val="000000"/>
          <w:kern w:val="28"/>
          <w:lang w:val="en-CA"/>
        </w:rPr>
        <w:t> </w:t>
      </w:r>
      <w:r w:rsidR="00F8654F" w:rsidRPr="00515AA2">
        <w:rPr>
          <w:color w:val="000000"/>
          <w:kern w:val="28"/>
          <w:lang w:val="en-CA"/>
        </w:rPr>
        <w:t xml:space="preserve">1 </w:t>
      </w:r>
      <w:r w:rsidRPr="00515AA2">
        <w:rPr>
          <w:color w:val="000000"/>
          <w:kern w:val="28"/>
          <w:lang w:val="en-CA"/>
        </w:rPr>
        <w:t>of the</w:t>
      </w:r>
      <w:r w:rsidR="00F8654F" w:rsidRPr="00515AA2">
        <w:rPr>
          <w:color w:val="000000"/>
          <w:kern w:val="28"/>
          <w:lang w:val="en-CA"/>
        </w:rPr>
        <w:t xml:space="preserve"> </w:t>
      </w:r>
      <w:r w:rsidRPr="00515AA2">
        <w:rPr>
          <w:i/>
          <w:iCs/>
          <w:color w:val="000000"/>
          <w:kern w:val="28"/>
          <w:lang w:val="en-CA"/>
        </w:rPr>
        <w:t>Quebec C</w:t>
      </w:r>
      <w:r w:rsidR="00F8654F" w:rsidRPr="00515AA2">
        <w:rPr>
          <w:i/>
          <w:iCs/>
          <w:color w:val="000000"/>
          <w:kern w:val="28"/>
          <w:lang w:val="en-CA"/>
        </w:rPr>
        <w:t>harte</w:t>
      </w:r>
      <w:r w:rsidRPr="00515AA2">
        <w:rPr>
          <w:i/>
          <w:iCs/>
          <w:color w:val="000000"/>
          <w:kern w:val="28"/>
          <w:lang w:val="en-CA"/>
        </w:rPr>
        <w:t>r</w:t>
      </w:r>
      <w:r w:rsidR="00F8654F" w:rsidRPr="00515AA2">
        <w:rPr>
          <w:color w:val="000000"/>
          <w:kern w:val="28"/>
          <w:lang w:val="en-CA"/>
        </w:rPr>
        <w:t>)</w:t>
      </w:r>
      <w:r w:rsidR="009D0624" w:rsidRPr="00515AA2">
        <w:rPr>
          <w:color w:val="000000"/>
          <w:kern w:val="28"/>
          <w:lang w:val="en-CA"/>
        </w:rPr>
        <w:t xml:space="preserve"> </w:t>
      </w:r>
      <w:r w:rsidR="008D27B6" w:rsidRPr="00515AA2">
        <w:rPr>
          <w:color w:val="000000"/>
          <w:kern w:val="28"/>
          <w:lang w:val="en-CA"/>
        </w:rPr>
        <w:t>and the right to life, liberty</w:t>
      </w:r>
      <w:r w:rsidR="00AD1037" w:rsidRPr="00515AA2">
        <w:rPr>
          <w:color w:val="000000"/>
          <w:kern w:val="28"/>
          <w:lang w:val="en-CA"/>
        </w:rPr>
        <w:t xml:space="preserve"> and</w:t>
      </w:r>
      <w:r w:rsidR="008D27B6" w:rsidRPr="00515AA2">
        <w:rPr>
          <w:color w:val="000000"/>
          <w:kern w:val="28"/>
          <w:lang w:val="en-CA"/>
        </w:rPr>
        <w:t xml:space="preserve"> security of the person</w:t>
      </w:r>
      <w:r w:rsidR="00F8654F" w:rsidRPr="00515AA2">
        <w:rPr>
          <w:color w:val="000000"/>
          <w:kern w:val="28"/>
          <w:lang w:val="en-CA"/>
        </w:rPr>
        <w:t xml:space="preserve"> (</w:t>
      </w:r>
      <w:r w:rsidR="008D27B6" w:rsidRPr="00515AA2">
        <w:rPr>
          <w:color w:val="000000"/>
          <w:kern w:val="28"/>
          <w:lang w:val="en-CA"/>
        </w:rPr>
        <w:t>s</w:t>
      </w:r>
      <w:r w:rsidR="00F8654F" w:rsidRPr="00515AA2">
        <w:rPr>
          <w:color w:val="000000"/>
          <w:kern w:val="28"/>
          <w:lang w:val="en-CA"/>
        </w:rPr>
        <w:t>.</w:t>
      </w:r>
      <w:r w:rsidR="00B22793" w:rsidRPr="00515AA2">
        <w:rPr>
          <w:color w:val="000000"/>
          <w:kern w:val="28"/>
          <w:lang w:val="en-CA"/>
        </w:rPr>
        <w:t> </w:t>
      </w:r>
      <w:r w:rsidR="00F8654F" w:rsidRPr="00515AA2">
        <w:rPr>
          <w:color w:val="000000"/>
          <w:kern w:val="28"/>
          <w:lang w:val="en-CA"/>
        </w:rPr>
        <w:t xml:space="preserve">7 </w:t>
      </w:r>
      <w:r w:rsidR="008D27B6" w:rsidRPr="00515AA2">
        <w:rPr>
          <w:color w:val="000000"/>
          <w:kern w:val="28"/>
          <w:lang w:val="en-CA"/>
        </w:rPr>
        <w:t>of the</w:t>
      </w:r>
      <w:r w:rsidR="00F8654F" w:rsidRPr="00515AA2">
        <w:rPr>
          <w:color w:val="000000"/>
          <w:kern w:val="28"/>
          <w:lang w:val="en-CA"/>
        </w:rPr>
        <w:t xml:space="preserve"> </w:t>
      </w:r>
      <w:r w:rsidR="00F8654F" w:rsidRPr="00515AA2">
        <w:rPr>
          <w:i/>
          <w:iCs/>
          <w:color w:val="000000"/>
          <w:kern w:val="28"/>
          <w:lang w:val="en-CA"/>
        </w:rPr>
        <w:t>C</w:t>
      </w:r>
      <w:r w:rsidR="008D27B6" w:rsidRPr="00515AA2">
        <w:rPr>
          <w:i/>
          <w:iCs/>
          <w:color w:val="000000"/>
          <w:kern w:val="28"/>
          <w:lang w:val="en-CA"/>
        </w:rPr>
        <w:t>anadian C</w:t>
      </w:r>
      <w:r w:rsidR="00F8654F" w:rsidRPr="00515AA2">
        <w:rPr>
          <w:i/>
          <w:iCs/>
          <w:color w:val="000000"/>
          <w:kern w:val="28"/>
          <w:lang w:val="en-CA"/>
        </w:rPr>
        <w:t>harte</w:t>
      </w:r>
      <w:r w:rsidR="008D27B6" w:rsidRPr="00515AA2">
        <w:rPr>
          <w:i/>
          <w:iCs/>
          <w:color w:val="000000"/>
          <w:kern w:val="28"/>
          <w:lang w:val="en-CA"/>
        </w:rPr>
        <w:t>r</w:t>
      </w:r>
      <w:r w:rsidR="00F8654F" w:rsidRPr="00515AA2">
        <w:rPr>
          <w:color w:val="000000"/>
          <w:kern w:val="28"/>
          <w:lang w:val="en-CA"/>
        </w:rPr>
        <w:t>)</w:t>
      </w:r>
    </w:p>
    <w:p w14:paraId="3EAAEFA6" w14:textId="2BE305D0" w:rsidR="00F8654F" w:rsidRPr="00515AA2" w:rsidRDefault="008D27B6" w:rsidP="00D84C5B">
      <w:pPr>
        <w:pStyle w:val="Paragraphedeliste"/>
        <w:numPr>
          <w:ilvl w:val="0"/>
          <w:numId w:val="9"/>
        </w:numPr>
        <w:spacing w:before="120" w:after="120"/>
        <w:jc w:val="both"/>
        <w:rPr>
          <w:color w:val="000000"/>
          <w:kern w:val="28"/>
          <w:lang w:val="en-CA"/>
        </w:rPr>
      </w:pPr>
      <w:r w:rsidRPr="00515AA2">
        <w:rPr>
          <w:color w:val="000000"/>
          <w:kern w:val="28"/>
          <w:lang w:val="en-CA"/>
        </w:rPr>
        <w:t>The</w:t>
      </w:r>
      <w:r w:rsidR="00000C07" w:rsidRPr="00515AA2">
        <w:rPr>
          <w:color w:val="000000"/>
          <w:kern w:val="28"/>
          <w:lang w:val="en-CA"/>
        </w:rPr>
        <w:t xml:space="preserve"> </w:t>
      </w:r>
      <w:r w:rsidRPr="00515AA2">
        <w:rPr>
          <w:color w:val="000000"/>
          <w:kern w:val="28"/>
          <w:lang w:val="en-CA"/>
        </w:rPr>
        <w:t xml:space="preserve">right to the safeguard of their dignity, honour and reputation </w:t>
      </w:r>
      <w:r w:rsidR="00F8654F" w:rsidRPr="00515AA2">
        <w:rPr>
          <w:color w:val="000000"/>
          <w:kern w:val="28"/>
          <w:lang w:val="en-CA"/>
        </w:rPr>
        <w:t>(</w:t>
      </w:r>
      <w:r w:rsidRPr="00515AA2">
        <w:rPr>
          <w:color w:val="000000"/>
          <w:kern w:val="28"/>
          <w:lang w:val="en-CA"/>
        </w:rPr>
        <w:t>s</w:t>
      </w:r>
      <w:r w:rsidR="00F8654F" w:rsidRPr="00515AA2">
        <w:rPr>
          <w:color w:val="000000"/>
          <w:kern w:val="28"/>
          <w:lang w:val="en-CA"/>
        </w:rPr>
        <w:t>.</w:t>
      </w:r>
      <w:r w:rsidR="00B22793" w:rsidRPr="00515AA2">
        <w:rPr>
          <w:color w:val="000000"/>
          <w:kern w:val="28"/>
          <w:lang w:val="en-CA"/>
        </w:rPr>
        <w:t> </w:t>
      </w:r>
      <w:r w:rsidR="00F8654F" w:rsidRPr="00515AA2">
        <w:rPr>
          <w:color w:val="000000"/>
          <w:kern w:val="28"/>
          <w:lang w:val="en-CA"/>
        </w:rPr>
        <w:t xml:space="preserve">4 </w:t>
      </w:r>
      <w:r w:rsidRPr="00515AA2">
        <w:rPr>
          <w:color w:val="000000"/>
          <w:kern w:val="28"/>
          <w:lang w:val="en-CA"/>
        </w:rPr>
        <w:t>of the</w:t>
      </w:r>
      <w:r w:rsidR="00F8654F" w:rsidRPr="00515AA2">
        <w:rPr>
          <w:color w:val="000000"/>
          <w:kern w:val="28"/>
          <w:lang w:val="en-CA"/>
        </w:rPr>
        <w:t xml:space="preserve"> </w:t>
      </w:r>
      <w:r w:rsidRPr="00515AA2">
        <w:rPr>
          <w:i/>
          <w:iCs/>
          <w:color w:val="000000"/>
          <w:kern w:val="28"/>
          <w:lang w:val="en-CA"/>
        </w:rPr>
        <w:t>Quebec Charter</w:t>
      </w:r>
      <w:r w:rsidR="00F8654F" w:rsidRPr="00515AA2">
        <w:rPr>
          <w:color w:val="000000"/>
          <w:kern w:val="28"/>
          <w:lang w:val="en-CA"/>
        </w:rPr>
        <w:t>)</w:t>
      </w:r>
    </w:p>
    <w:p w14:paraId="3EB887D3" w14:textId="73033B0F" w:rsidR="00F8654F" w:rsidRPr="00515AA2" w:rsidRDefault="008D27B6" w:rsidP="00D84C5B">
      <w:pPr>
        <w:pStyle w:val="Paragraphedeliste"/>
        <w:numPr>
          <w:ilvl w:val="0"/>
          <w:numId w:val="9"/>
        </w:numPr>
        <w:spacing w:before="120" w:after="120"/>
        <w:jc w:val="both"/>
        <w:rPr>
          <w:color w:val="000000"/>
          <w:kern w:val="28"/>
          <w:lang w:val="en-CA"/>
        </w:rPr>
      </w:pPr>
      <w:r w:rsidRPr="00515AA2">
        <w:rPr>
          <w:color w:val="000000"/>
          <w:kern w:val="28"/>
          <w:lang w:val="en-CA"/>
        </w:rPr>
        <w:t>The</w:t>
      </w:r>
      <w:r w:rsidR="00000C07" w:rsidRPr="00515AA2">
        <w:rPr>
          <w:color w:val="000000"/>
          <w:kern w:val="28"/>
          <w:lang w:val="en-CA"/>
        </w:rPr>
        <w:t xml:space="preserve"> </w:t>
      </w:r>
      <w:r w:rsidRPr="00515AA2">
        <w:rPr>
          <w:color w:val="000000"/>
          <w:kern w:val="28"/>
          <w:lang w:val="en-CA"/>
        </w:rPr>
        <w:t xml:space="preserve">right to respect for their private life </w:t>
      </w:r>
      <w:r w:rsidR="00F8654F" w:rsidRPr="00515AA2">
        <w:rPr>
          <w:color w:val="000000"/>
          <w:kern w:val="28"/>
          <w:lang w:val="en-CA"/>
        </w:rPr>
        <w:t>(</w:t>
      </w:r>
      <w:r w:rsidRPr="00515AA2">
        <w:rPr>
          <w:color w:val="000000"/>
          <w:kern w:val="28"/>
          <w:lang w:val="en-CA"/>
        </w:rPr>
        <w:t>s</w:t>
      </w:r>
      <w:r w:rsidR="00F8654F" w:rsidRPr="00515AA2">
        <w:rPr>
          <w:color w:val="000000"/>
          <w:kern w:val="28"/>
          <w:lang w:val="en-CA"/>
        </w:rPr>
        <w:t>.</w:t>
      </w:r>
      <w:r w:rsidR="00B22793" w:rsidRPr="00515AA2">
        <w:rPr>
          <w:color w:val="000000"/>
          <w:kern w:val="28"/>
          <w:lang w:val="en-CA"/>
        </w:rPr>
        <w:t> </w:t>
      </w:r>
      <w:r w:rsidR="00F8654F" w:rsidRPr="00515AA2">
        <w:rPr>
          <w:color w:val="000000"/>
          <w:kern w:val="28"/>
          <w:lang w:val="en-CA"/>
        </w:rPr>
        <w:t xml:space="preserve">5 </w:t>
      </w:r>
      <w:r w:rsidRPr="00515AA2">
        <w:rPr>
          <w:color w:val="000000"/>
          <w:kern w:val="28"/>
          <w:lang w:val="en-CA"/>
        </w:rPr>
        <w:t>of the</w:t>
      </w:r>
      <w:r w:rsidR="00F8654F" w:rsidRPr="00515AA2">
        <w:rPr>
          <w:color w:val="000000"/>
          <w:kern w:val="28"/>
          <w:lang w:val="en-CA"/>
        </w:rPr>
        <w:t xml:space="preserve"> </w:t>
      </w:r>
      <w:r w:rsidRPr="00515AA2">
        <w:rPr>
          <w:i/>
          <w:iCs/>
          <w:color w:val="000000"/>
          <w:kern w:val="28"/>
          <w:lang w:val="en-CA"/>
        </w:rPr>
        <w:t>Quebec Charter</w:t>
      </w:r>
      <w:r w:rsidR="00F8654F" w:rsidRPr="00515AA2">
        <w:rPr>
          <w:color w:val="000000"/>
          <w:kern w:val="28"/>
          <w:lang w:val="en-CA"/>
        </w:rPr>
        <w:t>)</w:t>
      </w:r>
    </w:p>
    <w:p w14:paraId="378758CA" w14:textId="375F8406" w:rsidR="00F8654F" w:rsidRPr="00515AA2" w:rsidRDefault="008D27B6" w:rsidP="00D84C5B">
      <w:pPr>
        <w:pStyle w:val="Paragraphedeliste"/>
        <w:numPr>
          <w:ilvl w:val="0"/>
          <w:numId w:val="9"/>
        </w:numPr>
        <w:spacing w:before="120" w:after="120"/>
        <w:jc w:val="both"/>
        <w:rPr>
          <w:color w:val="000000"/>
          <w:kern w:val="28"/>
          <w:lang w:val="en-CA"/>
        </w:rPr>
      </w:pPr>
      <w:r w:rsidRPr="00515AA2">
        <w:rPr>
          <w:color w:val="000000"/>
          <w:kern w:val="28"/>
          <w:lang w:val="en-CA"/>
        </w:rPr>
        <w:lastRenderedPageBreak/>
        <w:t>The right to equal recognition and exercise of rights and freedoms</w:t>
      </w:r>
      <w:r w:rsidR="00EF6908" w:rsidRPr="00515AA2">
        <w:rPr>
          <w:color w:val="000000"/>
          <w:kern w:val="28"/>
          <w:lang w:val="en-CA"/>
        </w:rPr>
        <w:t xml:space="preserve"> </w:t>
      </w:r>
      <w:r w:rsidR="00F8654F" w:rsidRPr="00515AA2">
        <w:rPr>
          <w:color w:val="000000"/>
          <w:kern w:val="28"/>
          <w:lang w:val="en-CA"/>
        </w:rPr>
        <w:t>(</w:t>
      </w:r>
      <w:r w:rsidRPr="00515AA2">
        <w:rPr>
          <w:color w:val="000000"/>
          <w:kern w:val="28"/>
          <w:lang w:val="en-CA"/>
        </w:rPr>
        <w:t>s</w:t>
      </w:r>
      <w:r w:rsidR="00F8654F" w:rsidRPr="00515AA2">
        <w:rPr>
          <w:color w:val="000000"/>
          <w:kern w:val="28"/>
          <w:lang w:val="en-CA"/>
        </w:rPr>
        <w:t>.</w:t>
      </w:r>
      <w:r w:rsidR="00B22793" w:rsidRPr="00515AA2">
        <w:rPr>
          <w:color w:val="000000"/>
          <w:kern w:val="28"/>
          <w:lang w:val="en-CA"/>
        </w:rPr>
        <w:t> </w:t>
      </w:r>
      <w:r w:rsidR="00F8654F" w:rsidRPr="00515AA2">
        <w:rPr>
          <w:color w:val="000000"/>
          <w:kern w:val="28"/>
          <w:lang w:val="en-CA"/>
        </w:rPr>
        <w:t xml:space="preserve">10 </w:t>
      </w:r>
      <w:r w:rsidRPr="00515AA2">
        <w:rPr>
          <w:color w:val="000000"/>
          <w:kern w:val="28"/>
          <w:lang w:val="en-CA"/>
        </w:rPr>
        <w:t>of the</w:t>
      </w:r>
      <w:r w:rsidR="00F8654F" w:rsidRPr="00515AA2">
        <w:rPr>
          <w:color w:val="000000"/>
          <w:kern w:val="28"/>
          <w:lang w:val="en-CA"/>
        </w:rPr>
        <w:t xml:space="preserve"> </w:t>
      </w:r>
      <w:r w:rsidRPr="00515AA2">
        <w:rPr>
          <w:i/>
          <w:iCs/>
          <w:color w:val="000000"/>
          <w:kern w:val="28"/>
          <w:lang w:val="en-CA"/>
        </w:rPr>
        <w:t>Quebec Charter</w:t>
      </w:r>
      <w:r w:rsidR="009D0624" w:rsidRPr="00515AA2">
        <w:rPr>
          <w:color w:val="000000"/>
          <w:kern w:val="28"/>
          <w:lang w:val="en-CA"/>
        </w:rPr>
        <w:t xml:space="preserve"> </w:t>
      </w:r>
      <w:r w:rsidRPr="00515AA2">
        <w:rPr>
          <w:color w:val="000000"/>
          <w:kern w:val="28"/>
          <w:lang w:val="en-CA"/>
        </w:rPr>
        <w:t>and s. 15 of the</w:t>
      </w:r>
      <w:r w:rsidR="00F8654F" w:rsidRPr="00515AA2">
        <w:rPr>
          <w:i/>
          <w:iCs/>
          <w:color w:val="000000"/>
          <w:kern w:val="28"/>
          <w:lang w:val="en-CA"/>
        </w:rPr>
        <w:t xml:space="preserve"> </w:t>
      </w:r>
      <w:r w:rsidRPr="00515AA2">
        <w:rPr>
          <w:i/>
          <w:iCs/>
          <w:color w:val="000000"/>
          <w:kern w:val="28"/>
          <w:lang w:val="en-CA"/>
        </w:rPr>
        <w:t>Canadian Charter</w:t>
      </w:r>
      <w:r w:rsidR="00F8654F" w:rsidRPr="00515AA2">
        <w:rPr>
          <w:color w:val="000000"/>
          <w:kern w:val="28"/>
          <w:lang w:val="en-CA"/>
        </w:rPr>
        <w:t>)</w:t>
      </w:r>
    </w:p>
    <w:p w14:paraId="47363746" w14:textId="3FAA3BC2" w:rsidR="00F8654F" w:rsidRPr="00515AA2" w:rsidRDefault="008D27B6" w:rsidP="00F846E3">
      <w:pPr>
        <w:pStyle w:val="Paragraphe"/>
        <w:spacing w:line="280" w:lineRule="exact"/>
        <w:rPr>
          <w:color w:val="000000"/>
          <w:lang w:val="en-CA"/>
        </w:rPr>
      </w:pPr>
      <w:r w:rsidRPr="00515AA2">
        <w:rPr>
          <w:color w:val="000000"/>
          <w:lang w:val="en-CA"/>
        </w:rPr>
        <w:t xml:space="preserve">In light of his conclusions, the judge limited his analysis to the rights to equality and to dignity, although he </w:t>
      </w:r>
      <w:r w:rsidR="001867C1" w:rsidRPr="00515AA2">
        <w:rPr>
          <w:color w:val="000000"/>
          <w:lang w:val="en-CA"/>
        </w:rPr>
        <w:t>did deal briefly with</w:t>
      </w:r>
      <w:r w:rsidRPr="00515AA2">
        <w:rPr>
          <w:color w:val="000000"/>
          <w:lang w:val="en-CA"/>
        </w:rPr>
        <w:t xml:space="preserve"> the rights to life, to security and to inviolability</w:t>
      </w:r>
      <w:r w:rsidR="00F8654F" w:rsidRPr="00515AA2">
        <w:rPr>
          <w:color w:val="000000"/>
          <w:lang w:val="en-CA"/>
        </w:rPr>
        <w:t>.</w:t>
      </w:r>
    </w:p>
    <w:p w14:paraId="251EAA81" w14:textId="675A8284" w:rsidR="00DB6FEC" w:rsidRPr="00515AA2" w:rsidRDefault="001867C1" w:rsidP="00F846E3">
      <w:pPr>
        <w:pStyle w:val="Paragraphe"/>
        <w:spacing w:line="280" w:lineRule="exact"/>
        <w:rPr>
          <w:b/>
          <w:bCs/>
          <w:iCs/>
          <w:color w:val="000000"/>
          <w:kern w:val="24"/>
          <w:szCs w:val="22"/>
          <w:lang w:val="en-CA"/>
        </w:rPr>
      </w:pPr>
      <w:r w:rsidRPr="00515AA2">
        <w:rPr>
          <w:color w:val="000000"/>
          <w:lang w:val="en-CA"/>
        </w:rPr>
        <w:t>On appeal</w:t>
      </w:r>
      <w:r w:rsidR="00DB6FEC" w:rsidRPr="00515AA2">
        <w:rPr>
          <w:color w:val="000000"/>
          <w:lang w:val="en-CA"/>
        </w:rPr>
        <w:t xml:space="preserve">, </w:t>
      </w:r>
      <w:r w:rsidRPr="00515AA2">
        <w:rPr>
          <w:color w:val="000000"/>
          <w:lang w:val="en-CA"/>
        </w:rPr>
        <w:t xml:space="preserve">the </w:t>
      </w:r>
      <w:r w:rsidR="00703522" w:rsidRPr="00515AA2">
        <w:rPr>
          <w:color w:val="000000"/>
          <w:lang w:val="en-CA"/>
        </w:rPr>
        <w:t xml:space="preserve">debate </w:t>
      </w:r>
      <w:r w:rsidRPr="00515AA2">
        <w:rPr>
          <w:color w:val="000000"/>
          <w:lang w:val="en-CA"/>
        </w:rPr>
        <w:t>focussed on the right to equality guaranteed by s</w:t>
      </w:r>
      <w:r w:rsidR="00400D5D" w:rsidRPr="00515AA2">
        <w:rPr>
          <w:color w:val="000000"/>
          <w:lang w:val="en-CA"/>
        </w:rPr>
        <w:t>ection</w:t>
      </w:r>
      <w:r w:rsidR="00DB6FEC" w:rsidRPr="00515AA2">
        <w:rPr>
          <w:color w:val="000000"/>
          <w:lang w:val="en-CA"/>
        </w:rPr>
        <w:t xml:space="preserve"> </w:t>
      </w:r>
      <w:r w:rsidR="00B208BA" w:rsidRPr="00515AA2">
        <w:rPr>
          <w:color w:val="000000"/>
          <w:lang w:val="en-CA"/>
        </w:rPr>
        <w:t xml:space="preserve">15 </w:t>
      </w:r>
      <w:r w:rsidRPr="00515AA2">
        <w:rPr>
          <w:color w:val="000000"/>
          <w:lang w:val="en-CA"/>
        </w:rPr>
        <w:t>of</w:t>
      </w:r>
      <w:r w:rsidR="00B208BA" w:rsidRPr="00515AA2">
        <w:rPr>
          <w:color w:val="000000"/>
          <w:lang w:val="en-CA"/>
        </w:rPr>
        <w:t xml:space="preserve"> </w:t>
      </w:r>
      <w:r w:rsidRPr="00515AA2">
        <w:rPr>
          <w:color w:val="000000"/>
          <w:lang w:val="en-CA"/>
        </w:rPr>
        <w:t>the</w:t>
      </w:r>
      <w:r w:rsidR="00B208BA" w:rsidRPr="00515AA2">
        <w:rPr>
          <w:color w:val="000000"/>
          <w:lang w:val="en-CA"/>
        </w:rPr>
        <w:t xml:space="preserve"> </w:t>
      </w:r>
      <w:r w:rsidRPr="00515AA2">
        <w:rPr>
          <w:i/>
          <w:iCs/>
          <w:color w:val="000000"/>
          <w:lang w:val="en-CA"/>
        </w:rPr>
        <w:t>Canadian Charter</w:t>
      </w:r>
      <w:r w:rsidR="00000C07" w:rsidRPr="00515AA2">
        <w:rPr>
          <w:color w:val="000000"/>
          <w:lang w:val="en-CA"/>
        </w:rPr>
        <w:t xml:space="preserve"> </w:t>
      </w:r>
      <w:r w:rsidRPr="00515AA2">
        <w:rPr>
          <w:color w:val="000000"/>
          <w:lang w:val="en-CA"/>
        </w:rPr>
        <w:t>and by s</w:t>
      </w:r>
      <w:r w:rsidR="00400D5D" w:rsidRPr="00515AA2">
        <w:rPr>
          <w:color w:val="000000"/>
          <w:lang w:val="en-CA"/>
        </w:rPr>
        <w:t>ection</w:t>
      </w:r>
      <w:r w:rsidR="00B22793" w:rsidRPr="00515AA2">
        <w:rPr>
          <w:color w:val="000000"/>
          <w:lang w:val="en-CA"/>
        </w:rPr>
        <w:t> </w:t>
      </w:r>
      <w:r w:rsidR="00DB6FEC" w:rsidRPr="00515AA2">
        <w:rPr>
          <w:color w:val="000000"/>
          <w:lang w:val="en-CA"/>
        </w:rPr>
        <w:t xml:space="preserve">10 </w:t>
      </w:r>
      <w:r w:rsidRPr="00515AA2">
        <w:rPr>
          <w:color w:val="000000"/>
          <w:lang w:val="en-CA"/>
        </w:rPr>
        <w:t>of the</w:t>
      </w:r>
      <w:r w:rsidR="00DB6FEC" w:rsidRPr="00515AA2">
        <w:rPr>
          <w:color w:val="000000"/>
          <w:lang w:val="en-CA"/>
        </w:rPr>
        <w:t xml:space="preserve"> </w:t>
      </w:r>
      <w:r w:rsidRPr="00515AA2">
        <w:rPr>
          <w:i/>
          <w:iCs/>
          <w:color w:val="000000"/>
          <w:lang w:val="en-CA"/>
        </w:rPr>
        <w:t>Quebec Charter</w:t>
      </w:r>
      <w:r w:rsidR="00DB6FEC" w:rsidRPr="00515AA2">
        <w:rPr>
          <w:color w:val="000000"/>
          <w:lang w:val="en-CA"/>
        </w:rPr>
        <w:t xml:space="preserve"> </w:t>
      </w:r>
      <w:r w:rsidRPr="00515AA2">
        <w:rPr>
          <w:color w:val="000000"/>
          <w:lang w:val="en-CA"/>
        </w:rPr>
        <w:t xml:space="preserve">as well as on the safeguard of </w:t>
      </w:r>
      <w:r w:rsidR="00AD1037" w:rsidRPr="00515AA2">
        <w:rPr>
          <w:color w:val="000000"/>
          <w:lang w:val="en-CA"/>
        </w:rPr>
        <w:t>one’s</w:t>
      </w:r>
      <w:r w:rsidRPr="00515AA2">
        <w:rPr>
          <w:color w:val="000000"/>
          <w:lang w:val="en-CA"/>
        </w:rPr>
        <w:t xml:space="preserve"> dignity</w:t>
      </w:r>
      <w:r w:rsidR="008B32FD" w:rsidRPr="00515AA2">
        <w:rPr>
          <w:color w:val="000000"/>
          <w:lang w:val="en-CA"/>
        </w:rPr>
        <w:t>,</w:t>
      </w:r>
      <w:r w:rsidR="00DB6FEC" w:rsidRPr="00515AA2">
        <w:rPr>
          <w:color w:val="000000"/>
          <w:lang w:val="en-CA"/>
        </w:rPr>
        <w:t xml:space="preserve"> </w:t>
      </w:r>
      <w:r w:rsidRPr="00515AA2">
        <w:rPr>
          <w:color w:val="000000"/>
          <w:lang w:val="en-CA"/>
        </w:rPr>
        <w:t>protected by s</w:t>
      </w:r>
      <w:r w:rsidR="00400D5D" w:rsidRPr="00515AA2">
        <w:rPr>
          <w:color w:val="000000"/>
          <w:lang w:val="en-CA"/>
        </w:rPr>
        <w:t>ection</w:t>
      </w:r>
      <w:r w:rsidR="00B22793" w:rsidRPr="00515AA2">
        <w:rPr>
          <w:color w:val="000000"/>
          <w:lang w:val="en-CA"/>
        </w:rPr>
        <w:t> </w:t>
      </w:r>
      <w:r w:rsidR="00DB6FEC" w:rsidRPr="00515AA2">
        <w:rPr>
          <w:color w:val="000000"/>
          <w:lang w:val="en-CA"/>
        </w:rPr>
        <w:t xml:space="preserve">4 </w:t>
      </w:r>
      <w:r w:rsidRPr="00515AA2">
        <w:rPr>
          <w:color w:val="000000"/>
          <w:lang w:val="en-CA"/>
        </w:rPr>
        <w:t>of the</w:t>
      </w:r>
      <w:r w:rsidR="00DB6FEC" w:rsidRPr="00515AA2">
        <w:rPr>
          <w:color w:val="000000"/>
          <w:lang w:val="en-CA"/>
        </w:rPr>
        <w:t xml:space="preserve"> </w:t>
      </w:r>
      <w:r w:rsidRPr="00515AA2">
        <w:rPr>
          <w:i/>
          <w:iCs/>
          <w:color w:val="000000"/>
          <w:lang w:val="en-CA"/>
        </w:rPr>
        <w:t>Quebec Charter</w:t>
      </w:r>
      <w:r w:rsidR="00DB6FEC" w:rsidRPr="00515AA2">
        <w:rPr>
          <w:color w:val="000000"/>
          <w:lang w:val="en-CA"/>
        </w:rPr>
        <w:t xml:space="preserve">. </w:t>
      </w:r>
      <w:r w:rsidRPr="00515AA2">
        <w:rPr>
          <w:color w:val="000000"/>
          <w:lang w:val="en-CA"/>
        </w:rPr>
        <w:t>The</w:t>
      </w:r>
      <w:r w:rsidR="00DB6FEC" w:rsidRPr="00515AA2">
        <w:rPr>
          <w:color w:val="000000"/>
          <w:lang w:val="en-CA"/>
        </w:rPr>
        <w:t xml:space="preserve"> Coalition des professionnels en santé, </w:t>
      </w:r>
      <w:r w:rsidRPr="00515AA2">
        <w:rPr>
          <w:color w:val="000000"/>
          <w:lang w:val="en-CA"/>
        </w:rPr>
        <w:t>as an intervener</w:t>
      </w:r>
      <w:r w:rsidR="009D0624" w:rsidRPr="00515AA2">
        <w:rPr>
          <w:color w:val="000000"/>
          <w:lang w:val="en-CA"/>
        </w:rPr>
        <w:t>,</w:t>
      </w:r>
      <w:r w:rsidR="00DB6FEC" w:rsidRPr="00515AA2">
        <w:rPr>
          <w:color w:val="000000"/>
          <w:lang w:val="en-CA"/>
        </w:rPr>
        <w:t xml:space="preserve"> </w:t>
      </w:r>
      <w:r w:rsidRPr="00515AA2">
        <w:rPr>
          <w:color w:val="000000"/>
          <w:lang w:val="en-CA"/>
        </w:rPr>
        <w:t>submits</w:t>
      </w:r>
      <w:r w:rsidR="005C69A9" w:rsidRPr="00515AA2">
        <w:rPr>
          <w:color w:val="000000"/>
          <w:lang w:val="en-CA"/>
        </w:rPr>
        <w:t xml:space="preserve"> </w:t>
      </w:r>
      <w:r w:rsidR="00AD1037" w:rsidRPr="00515AA2">
        <w:rPr>
          <w:color w:val="000000"/>
          <w:lang w:val="en-CA"/>
        </w:rPr>
        <w:t>for its part</w:t>
      </w:r>
      <w:r w:rsidR="005C69A9" w:rsidRPr="00515AA2">
        <w:rPr>
          <w:color w:val="000000"/>
          <w:lang w:val="en-CA"/>
        </w:rPr>
        <w:t xml:space="preserve"> </w:t>
      </w:r>
      <w:r w:rsidRPr="00515AA2">
        <w:rPr>
          <w:color w:val="000000"/>
          <w:lang w:val="en-CA"/>
        </w:rPr>
        <w:t>that paragraph</w:t>
      </w:r>
      <w:r w:rsidR="00000C07" w:rsidRPr="00515AA2">
        <w:rPr>
          <w:color w:val="000000"/>
          <w:lang w:val="en-CA"/>
        </w:rPr>
        <w:t xml:space="preserve"> 2 </w:t>
      </w:r>
      <w:r w:rsidRPr="00515AA2">
        <w:rPr>
          <w:color w:val="000000"/>
          <w:lang w:val="en-CA"/>
        </w:rPr>
        <w:t>of s</w:t>
      </w:r>
      <w:r w:rsidR="00400D5D" w:rsidRPr="00515AA2">
        <w:rPr>
          <w:color w:val="000000"/>
          <w:lang w:val="en-CA"/>
        </w:rPr>
        <w:t>ection</w:t>
      </w:r>
      <w:r w:rsidR="00000C07" w:rsidRPr="00515AA2">
        <w:rPr>
          <w:color w:val="000000"/>
          <w:lang w:val="en-CA"/>
        </w:rPr>
        <w:t xml:space="preserve"> 23.2 </w:t>
      </w:r>
      <w:r w:rsidRPr="00515AA2">
        <w:rPr>
          <w:color w:val="000000"/>
          <w:lang w:val="en-CA"/>
        </w:rPr>
        <w:t>of the</w:t>
      </w:r>
      <w:r w:rsidR="00000C07" w:rsidRPr="00515AA2">
        <w:rPr>
          <w:color w:val="000000"/>
          <w:lang w:val="en-CA"/>
        </w:rPr>
        <w:t xml:space="preserve"> </w:t>
      </w:r>
      <w:r w:rsidRPr="00515AA2">
        <w:rPr>
          <w:i/>
          <w:iCs/>
          <w:color w:val="000000"/>
          <w:lang w:val="en-CA"/>
        </w:rPr>
        <w:t>Regulation</w:t>
      </w:r>
      <w:r w:rsidR="00000C07" w:rsidRPr="00515AA2">
        <w:rPr>
          <w:color w:val="000000"/>
          <w:lang w:val="en-CA"/>
        </w:rPr>
        <w:t xml:space="preserve"> </w:t>
      </w:r>
      <w:r w:rsidRPr="00515AA2">
        <w:rPr>
          <w:color w:val="000000"/>
          <w:lang w:val="en-CA"/>
        </w:rPr>
        <w:t>violates</w:t>
      </w:r>
      <w:r w:rsidR="00AD1037" w:rsidRPr="00515AA2">
        <w:rPr>
          <w:color w:val="000000"/>
          <w:lang w:val="en-CA"/>
        </w:rPr>
        <w:t>, rather,</w:t>
      </w:r>
      <w:r w:rsidRPr="00515AA2">
        <w:rPr>
          <w:color w:val="000000"/>
          <w:lang w:val="en-CA"/>
        </w:rPr>
        <w:t xml:space="preserve"> </w:t>
      </w:r>
      <w:r w:rsidR="005C69A9" w:rsidRPr="00515AA2">
        <w:rPr>
          <w:color w:val="000000"/>
          <w:lang w:val="en-CA"/>
        </w:rPr>
        <w:t>the rights protected by s</w:t>
      </w:r>
      <w:r w:rsidR="00400D5D" w:rsidRPr="00515AA2">
        <w:rPr>
          <w:color w:val="000000"/>
          <w:lang w:val="en-CA"/>
        </w:rPr>
        <w:t>ection</w:t>
      </w:r>
      <w:r w:rsidR="00B22793" w:rsidRPr="00515AA2">
        <w:rPr>
          <w:color w:val="000000"/>
          <w:lang w:val="en-CA"/>
        </w:rPr>
        <w:t> </w:t>
      </w:r>
      <w:r w:rsidR="00DB6FEC" w:rsidRPr="00515AA2">
        <w:rPr>
          <w:color w:val="000000"/>
          <w:lang w:val="en-CA"/>
        </w:rPr>
        <w:t xml:space="preserve">7 </w:t>
      </w:r>
      <w:r w:rsidR="005C69A9" w:rsidRPr="00515AA2">
        <w:rPr>
          <w:color w:val="000000"/>
          <w:lang w:val="en-CA"/>
        </w:rPr>
        <w:t>of the</w:t>
      </w:r>
      <w:r w:rsidR="00DB6FEC" w:rsidRPr="00515AA2">
        <w:rPr>
          <w:color w:val="000000"/>
          <w:lang w:val="en-CA"/>
        </w:rPr>
        <w:t xml:space="preserve"> </w:t>
      </w:r>
      <w:r w:rsidR="005C69A9" w:rsidRPr="00515AA2">
        <w:rPr>
          <w:i/>
          <w:iCs/>
          <w:color w:val="000000"/>
          <w:lang w:val="en-CA"/>
        </w:rPr>
        <w:t>Canadian Charter</w:t>
      </w:r>
      <w:r w:rsidR="00DB6FEC" w:rsidRPr="00515AA2">
        <w:rPr>
          <w:color w:val="000000"/>
          <w:lang w:val="en-CA"/>
        </w:rPr>
        <w:t>.</w:t>
      </w:r>
    </w:p>
    <w:p w14:paraId="12C12C4E" w14:textId="77777777" w:rsidR="00630600" w:rsidRPr="00515AA2" w:rsidRDefault="005C69A9" w:rsidP="00630600">
      <w:pPr>
        <w:pStyle w:val="Paragraphe"/>
        <w:spacing w:line="280" w:lineRule="exact"/>
        <w:rPr>
          <w:color w:val="000000"/>
          <w:lang w:val="en-CA"/>
        </w:rPr>
      </w:pPr>
      <w:r w:rsidRPr="00515AA2">
        <w:rPr>
          <w:color w:val="000000"/>
          <w:lang w:val="en-CA"/>
        </w:rPr>
        <w:t>We will deal with the alleged violations in that order</w:t>
      </w:r>
      <w:r w:rsidR="00906A83" w:rsidRPr="00515AA2">
        <w:rPr>
          <w:color w:val="000000"/>
          <w:lang w:val="en-CA"/>
        </w:rPr>
        <w:t>.</w:t>
      </w:r>
    </w:p>
    <w:p w14:paraId="3BA67E64" w14:textId="5D0643C1" w:rsidR="00016EAA" w:rsidRPr="00515AA2" w:rsidRDefault="005C69A9" w:rsidP="00D84C5B">
      <w:pPr>
        <w:pStyle w:val="SOUS-PARA11"/>
        <w:numPr>
          <w:ilvl w:val="1"/>
          <w:numId w:val="19"/>
        </w:numPr>
        <w:ind w:left="1418" w:hanging="709"/>
        <w:rPr>
          <w:color w:val="000000"/>
        </w:rPr>
      </w:pPr>
      <w:bookmarkStart w:id="59" w:name="_Toc161830117"/>
      <w:r w:rsidRPr="00515AA2">
        <w:rPr>
          <w:color w:val="000000"/>
        </w:rPr>
        <w:t>The Right to Equality</w:t>
      </w:r>
      <w:bookmarkEnd w:id="59"/>
    </w:p>
    <w:p w14:paraId="3FF5B6BC" w14:textId="21E7C673" w:rsidR="00906A83" w:rsidRPr="00515AA2" w:rsidRDefault="00187496" w:rsidP="00F846E3">
      <w:pPr>
        <w:pStyle w:val="Paragraphe"/>
        <w:spacing w:line="280" w:lineRule="exact"/>
        <w:rPr>
          <w:color w:val="000000"/>
          <w:lang w:val="en-CA"/>
        </w:rPr>
      </w:pPr>
      <w:r w:rsidRPr="00515AA2">
        <w:rPr>
          <w:color w:val="000000"/>
          <w:lang w:val="en-CA"/>
        </w:rPr>
        <w:t>We begin the analysis by first exam</w:t>
      </w:r>
      <w:r w:rsidR="001A55B1" w:rsidRPr="00515AA2">
        <w:rPr>
          <w:color w:val="000000"/>
          <w:lang w:val="en-CA"/>
        </w:rPr>
        <w:t>ini</w:t>
      </w:r>
      <w:r w:rsidRPr="00515AA2">
        <w:rPr>
          <w:color w:val="000000"/>
          <w:lang w:val="en-CA"/>
        </w:rPr>
        <w:t>ng</w:t>
      </w:r>
      <w:r w:rsidR="00D13C8A" w:rsidRPr="00515AA2">
        <w:rPr>
          <w:color w:val="000000"/>
          <w:lang w:val="en-CA"/>
        </w:rPr>
        <w:t xml:space="preserve"> </w:t>
      </w:r>
      <w:r w:rsidR="001A55B1" w:rsidRPr="00515AA2">
        <w:rPr>
          <w:color w:val="000000"/>
          <w:lang w:val="en-CA"/>
        </w:rPr>
        <w:t>the right to equality as protected by s</w:t>
      </w:r>
      <w:r w:rsidR="00400D5D" w:rsidRPr="00515AA2">
        <w:rPr>
          <w:color w:val="000000"/>
          <w:lang w:val="en-CA"/>
        </w:rPr>
        <w:t>ection</w:t>
      </w:r>
      <w:r w:rsidR="001A55B1" w:rsidRPr="00515AA2">
        <w:rPr>
          <w:color w:val="000000"/>
          <w:lang w:val="en-CA"/>
        </w:rPr>
        <w:t xml:space="preserve"> </w:t>
      </w:r>
      <w:r w:rsidR="00906A83" w:rsidRPr="00515AA2">
        <w:rPr>
          <w:color w:val="000000"/>
          <w:lang w:val="en-CA"/>
        </w:rPr>
        <w:t xml:space="preserve">15 </w:t>
      </w:r>
      <w:r w:rsidR="001A55B1" w:rsidRPr="00515AA2">
        <w:rPr>
          <w:color w:val="000000"/>
          <w:lang w:val="en-CA"/>
        </w:rPr>
        <w:t>of the</w:t>
      </w:r>
      <w:r w:rsidR="00906A83" w:rsidRPr="00515AA2">
        <w:rPr>
          <w:color w:val="000000"/>
          <w:lang w:val="en-CA"/>
        </w:rPr>
        <w:t xml:space="preserve"> </w:t>
      </w:r>
      <w:r w:rsidR="001A55B1" w:rsidRPr="00515AA2">
        <w:rPr>
          <w:i/>
          <w:iCs/>
          <w:color w:val="000000"/>
          <w:lang w:val="en-CA"/>
        </w:rPr>
        <w:t>Canadian Charter</w:t>
      </w:r>
      <w:r w:rsidR="00030C45" w:rsidRPr="00515AA2">
        <w:rPr>
          <w:color w:val="000000"/>
          <w:lang w:val="en-CA"/>
        </w:rPr>
        <w:t xml:space="preserve">. </w:t>
      </w:r>
      <w:r w:rsidR="001A55B1" w:rsidRPr="00515AA2">
        <w:rPr>
          <w:color w:val="000000"/>
          <w:lang w:val="en-CA"/>
        </w:rPr>
        <w:t xml:space="preserve">Such an analysis </w:t>
      </w:r>
      <w:r w:rsidR="009020E9" w:rsidRPr="00515AA2">
        <w:rPr>
          <w:color w:val="000000"/>
          <w:lang w:val="en-CA"/>
        </w:rPr>
        <w:t xml:space="preserve">entails </w:t>
      </w:r>
      <w:r w:rsidR="001A55B1" w:rsidRPr="00515AA2">
        <w:rPr>
          <w:color w:val="000000"/>
          <w:lang w:val="en-CA"/>
        </w:rPr>
        <w:t>two sub-</w:t>
      </w:r>
      <w:r w:rsidR="009020E9" w:rsidRPr="00515AA2">
        <w:rPr>
          <w:color w:val="000000"/>
          <w:lang w:val="en-CA"/>
        </w:rPr>
        <w:t>issue</w:t>
      </w:r>
      <w:r w:rsidR="001A55B1" w:rsidRPr="00515AA2">
        <w:rPr>
          <w:color w:val="000000"/>
          <w:lang w:val="en-CA"/>
        </w:rPr>
        <w:t>s</w:t>
      </w:r>
      <w:r w:rsidR="00906A83" w:rsidRPr="00515AA2">
        <w:rPr>
          <w:color w:val="000000"/>
          <w:lang w:val="en-CA"/>
        </w:rPr>
        <w:t xml:space="preserve">: 1) </w:t>
      </w:r>
      <w:r w:rsidR="009020E9" w:rsidRPr="00515AA2">
        <w:rPr>
          <w:color w:val="000000"/>
          <w:lang w:val="en-CA"/>
        </w:rPr>
        <w:t>whether</w:t>
      </w:r>
      <w:r w:rsidR="001A55B1" w:rsidRPr="00515AA2">
        <w:rPr>
          <w:color w:val="000000"/>
          <w:lang w:val="en-CA"/>
        </w:rPr>
        <w:t xml:space="preserve"> the second paragraph of s</w:t>
      </w:r>
      <w:r w:rsidR="00400D5D" w:rsidRPr="00515AA2">
        <w:rPr>
          <w:color w:val="000000"/>
          <w:lang w:val="en-CA"/>
        </w:rPr>
        <w:t>ection</w:t>
      </w:r>
      <w:r w:rsidR="00B22793" w:rsidRPr="00515AA2">
        <w:rPr>
          <w:color w:val="000000"/>
          <w:lang w:val="en-CA"/>
        </w:rPr>
        <w:t> </w:t>
      </w:r>
      <w:r w:rsidR="00906A83" w:rsidRPr="00515AA2">
        <w:rPr>
          <w:color w:val="000000"/>
          <w:lang w:val="en-CA"/>
        </w:rPr>
        <w:t xml:space="preserve">23.2 </w:t>
      </w:r>
      <w:r w:rsidR="001A55B1" w:rsidRPr="00515AA2">
        <w:rPr>
          <w:color w:val="000000"/>
          <w:lang w:val="en-CA"/>
        </w:rPr>
        <w:t>of the</w:t>
      </w:r>
      <w:r w:rsidR="00906A83" w:rsidRPr="00515AA2">
        <w:rPr>
          <w:color w:val="000000"/>
          <w:lang w:val="en-CA"/>
        </w:rPr>
        <w:t xml:space="preserve"> </w:t>
      </w:r>
      <w:r w:rsidR="001A55B1" w:rsidRPr="00515AA2">
        <w:rPr>
          <w:i/>
          <w:iCs/>
          <w:color w:val="000000"/>
          <w:lang w:val="en-CA"/>
        </w:rPr>
        <w:t>Regulation</w:t>
      </w:r>
      <w:r w:rsidR="00906A83" w:rsidRPr="00515AA2">
        <w:rPr>
          <w:color w:val="000000"/>
          <w:lang w:val="en-CA"/>
        </w:rPr>
        <w:t xml:space="preserve"> </w:t>
      </w:r>
      <w:r w:rsidR="001A55B1" w:rsidRPr="00515AA2">
        <w:rPr>
          <w:color w:val="000000"/>
          <w:lang w:val="en-CA"/>
        </w:rPr>
        <w:t>violate</w:t>
      </w:r>
      <w:r w:rsidR="009020E9" w:rsidRPr="00515AA2">
        <w:rPr>
          <w:color w:val="000000"/>
          <w:lang w:val="en-CA"/>
        </w:rPr>
        <w:t>s</w:t>
      </w:r>
      <w:r w:rsidR="001A55B1" w:rsidRPr="00515AA2">
        <w:rPr>
          <w:color w:val="000000"/>
          <w:lang w:val="en-CA"/>
        </w:rPr>
        <w:t xml:space="preserve"> the right to equality protected by s</w:t>
      </w:r>
      <w:r w:rsidR="00400D5D" w:rsidRPr="00515AA2">
        <w:rPr>
          <w:color w:val="000000"/>
          <w:lang w:val="en-CA"/>
        </w:rPr>
        <w:t>ection</w:t>
      </w:r>
      <w:r w:rsidR="00B22793" w:rsidRPr="00515AA2">
        <w:rPr>
          <w:color w:val="000000"/>
          <w:lang w:val="en-CA"/>
        </w:rPr>
        <w:t> </w:t>
      </w:r>
      <w:r w:rsidR="00906A83" w:rsidRPr="00515AA2">
        <w:rPr>
          <w:color w:val="000000"/>
          <w:lang w:val="en-CA"/>
        </w:rPr>
        <w:t xml:space="preserve">15 </w:t>
      </w:r>
      <w:r w:rsidR="001A55B1" w:rsidRPr="00515AA2">
        <w:rPr>
          <w:color w:val="000000"/>
          <w:lang w:val="en-CA"/>
        </w:rPr>
        <w:t>of the</w:t>
      </w:r>
      <w:r w:rsidR="00906A83" w:rsidRPr="00515AA2">
        <w:rPr>
          <w:color w:val="000000"/>
          <w:lang w:val="en-CA"/>
        </w:rPr>
        <w:t xml:space="preserve"> </w:t>
      </w:r>
      <w:r w:rsidR="001A55B1" w:rsidRPr="00515AA2">
        <w:rPr>
          <w:i/>
          <w:iCs/>
          <w:color w:val="000000"/>
          <w:lang w:val="en-CA"/>
        </w:rPr>
        <w:t>Canadian Charter</w:t>
      </w:r>
      <w:r w:rsidR="004434E9" w:rsidRPr="00515AA2">
        <w:rPr>
          <w:color w:val="000000"/>
          <w:lang w:val="en-CA"/>
        </w:rPr>
        <w:t>;</w:t>
      </w:r>
      <w:r w:rsidR="00906A83" w:rsidRPr="00515AA2">
        <w:rPr>
          <w:color w:val="000000"/>
          <w:lang w:val="en-CA"/>
        </w:rPr>
        <w:t xml:space="preserve"> </w:t>
      </w:r>
      <w:r w:rsidR="001A55B1" w:rsidRPr="00515AA2">
        <w:rPr>
          <w:color w:val="000000"/>
          <w:lang w:val="en-CA"/>
        </w:rPr>
        <w:t xml:space="preserve">and </w:t>
      </w:r>
      <w:r w:rsidR="00906A83" w:rsidRPr="00515AA2">
        <w:rPr>
          <w:color w:val="000000"/>
          <w:lang w:val="en-CA"/>
        </w:rPr>
        <w:t xml:space="preserve">2) </w:t>
      </w:r>
      <w:r w:rsidR="001A55B1" w:rsidRPr="00515AA2">
        <w:rPr>
          <w:color w:val="000000"/>
          <w:lang w:val="en-CA"/>
        </w:rPr>
        <w:t xml:space="preserve">in the affirmative, </w:t>
      </w:r>
      <w:r w:rsidR="009020E9" w:rsidRPr="00515AA2">
        <w:rPr>
          <w:color w:val="000000"/>
          <w:lang w:val="en-CA"/>
        </w:rPr>
        <w:t>whether</w:t>
      </w:r>
      <w:r w:rsidR="001A55B1" w:rsidRPr="00515AA2">
        <w:rPr>
          <w:color w:val="000000"/>
          <w:lang w:val="en-CA"/>
        </w:rPr>
        <w:t xml:space="preserve"> that violation</w:t>
      </w:r>
      <w:r w:rsidR="009020E9" w:rsidRPr="00515AA2">
        <w:rPr>
          <w:color w:val="000000"/>
          <w:lang w:val="en-CA"/>
        </w:rPr>
        <w:t xml:space="preserve"> is</w:t>
      </w:r>
      <w:r w:rsidR="001A55B1" w:rsidRPr="00515AA2">
        <w:rPr>
          <w:color w:val="000000"/>
          <w:lang w:val="en-CA"/>
        </w:rPr>
        <w:t xml:space="preserve"> justified under s</w:t>
      </w:r>
      <w:r w:rsidR="00400D5D" w:rsidRPr="00515AA2">
        <w:rPr>
          <w:color w:val="000000"/>
          <w:lang w:val="en-CA"/>
        </w:rPr>
        <w:t>ection</w:t>
      </w:r>
      <w:r w:rsidR="001A55B1" w:rsidRPr="00515AA2">
        <w:rPr>
          <w:color w:val="000000"/>
          <w:lang w:val="en-CA"/>
        </w:rPr>
        <w:t xml:space="preserve"> 1</w:t>
      </w:r>
      <w:r w:rsidR="000C7C63" w:rsidRPr="00515AA2">
        <w:rPr>
          <w:color w:val="000000"/>
          <w:lang w:val="en-CA"/>
        </w:rPr>
        <w:t>.</w:t>
      </w:r>
    </w:p>
    <w:p w14:paraId="50701E97" w14:textId="6D23289D" w:rsidR="00906A83" w:rsidRPr="00515AA2" w:rsidRDefault="00227991" w:rsidP="00F846E3">
      <w:pPr>
        <w:pStyle w:val="Paragraphe"/>
        <w:spacing w:line="280" w:lineRule="exact"/>
        <w:rPr>
          <w:color w:val="000000"/>
          <w:lang w:val="en-CA"/>
        </w:rPr>
      </w:pPr>
      <w:r w:rsidRPr="00515AA2">
        <w:rPr>
          <w:color w:val="000000"/>
          <w:lang w:val="en-CA"/>
        </w:rPr>
        <w:t xml:space="preserve">The respondents have the </w:t>
      </w:r>
      <w:r w:rsidRPr="00515AA2">
        <w:rPr>
          <w:i/>
          <w:iCs/>
          <w:color w:val="000000"/>
          <w:lang w:val="en-CA"/>
        </w:rPr>
        <w:t>onus</w:t>
      </w:r>
      <w:r w:rsidRPr="00515AA2">
        <w:rPr>
          <w:color w:val="000000"/>
          <w:lang w:val="en-CA"/>
        </w:rPr>
        <w:t xml:space="preserve"> of</w:t>
      </w:r>
      <w:r w:rsidR="009020E9" w:rsidRPr="00515AA2">
        <w:rPr>
          <w:color w:val="000000"/>
          <w:lang w:val="en-CA"/>
        </w:rPr>
        <w:t xml:space="preserve"> showing </w:t>
      </w:r>
      <w:r w:rsidRPr="00515AA2">
        <w:rPr>
          <w:color w:val="000000"/>
          <w:lang w:val="en-CA"/>
        </w:rPr>
        <w:t>that</w:t>
      </w:r>
      <w:r w:rsidR="009020E9" w:rsidRPr="00515AA2">
        <w:rPr>
          <w:color w:val="000000"/>
          <w:lang w:val="en-CA"/>
        </w:rPr>
        <w:t xml:space="preserve"> the right to equality</w:t>
      </w:r>
      <w:r w:rsidRPr="00515AA2">
        <w:rPr>
          <w:color w:val="000000"/>
          <w:lang w:val="en-CA"/>
        </w:rPr>
        <w:t xml:space="preserve"> has been violated,</w:t>
      </w:r>
      <w:r w:rsidR="009020E9" w:rsidRPr="00515AA2">
        <w:rPr>
          <w:color w:val="000000"/>
          <w:lang w:val="en-CA"/>
        </w:rPr>
        <w:t xml:space="preserve"> whereas the burden of showing the reasonable</w:t>
      </w:r>
      <w:r w:rsidRPr="00515AA2">
        <w:rPr>
          <w:color w:val="000000"/>
          <w:lang w:val="en-CA"/>
        </w:rPr>
        <w:t>ness</w:t>
      </w:r>
      <w:r w:rsidR="009020E9" w:rsidRPr="00515AA2">
        <w:rPr>
          <w:color w:val="000000"/>
          <w:lang w:val="en-CA"/>
        </w:rPr>
        <w:t xml:space="preserve"> of the violation and its justification, if any, falls on the AGQ</w:t>
      </w:r>
      <w:r w:rsidR="00906A83" w:rsidRPr="00515AA2">
        <w:rPr>
          <w:color w:val="000000"/>
          <w:lang w:val="en-CA"/>
        </w:rPr>
        <w:t xml:space="preserve">. </w:t>
      </w:r>
      <w:r w:rsidR="009020E9" w:rsidRPr="00515AA2">
        <w:rPr>
          <w:color w:val="000000"/>
          <w:lang w:val="en-CA"/>
        </w:rPr>
        <w:t xml:space="preserve">As </w:t>
      </w:r>
      <w:r w:rsidR="001C633B" w:rsidRPr="00515AA2">
        <w:rPr>
          <w:color w:val="000000"/>
          <w:lang w:val="en-CA"/>
        </w:rPr>
        <w:t>discussed above</w:t>
      </w:r>
      <w:r w:rsidR="009020E9" w:rsidRPr="00515AA2">
        <w:rPr>
          <w:color w:val="000000"/>
          <w:lang w:val="en-CA"/>
        </w:rPr>
        <w:t>, on appeal</w:t>
      </w:r>
      <w:r w:rsidRPr="00515AA2">
        <w:rPr>
          <w:color w:val="000000"/>
          <w:lang w:val="en-CA"/>
        </w:rPr>
        <w:t>,</w:t>
      </w:r>
      <w:r w:rsidR="009020E9" w:rsidRPr="00515AA2">
        <w:rPr>
          <w:color w:val="000000"/>
          <w:lang w:val="en-CA"/>
        </w:rPr>
        <w:t xml:space="preserve"> such issues are to by </w:t>
      </w:r>
      <w:r w:rsidR="000C7C63" w:rsidRPr="00515AA2">
        <w:rPr>
          <w:color w:val="000000"/>
          <w:lang w:val="en-CA"/>
        </w:rPr>
        <w:t>reviewed for</w:t>
      </w:r>
      <w:r w:rsidR="009020E9" w:rsidRPr="00515AA2">
        <w:rPr>
          <w:color w:val="000000"/>
          <w:lang w:val="en-CA"/>
        </w:rPr>
        <w:t xml:space="preserve"> correctness</w:t>
      </w:r>
      <w:r w:rsidR="001C633B" w:rsidRPr="00515AA2">
        <w:rPr>
          <w:color w:val="000000"/>
          <w:lang w:val="en-CA"/>
        </w:rPr>
        <w:t>,</w:t>
      </w:r>
      <w:r w:rsidR="00906A83" w:rsidRPr="00515AA2">
        <w:rPr>
          <w:color w:val="000000"/>
          <w:vertAlign w:val="superscript"/>
          <w:lang w:val="en-CA"/>
        </w:rPr>
        <w:footnoteReference w:id="90"/>
      </w:r>
      <w:r w:rsidR="001C633B" w:rsidRPr="00515AA2">
        <w:rPr>
          <w:color w:val="000000"/>
          <w:lang w:val="en-CA"/>
        </w:rPr>
        <w:t xml:space="preserve"> whereas the judge’s findings of fact remain subject, for their part,</w:t>
      </w:r>
      <w:r w:rsidR="00906A83" w:rsidRPr="00515AA2">
        <w:rPr>
          <w:color w:val="000000"/>
          <w:lang w:val="en-CA"/>
        </w:rPr>
        <w:t xml:space="preserve"> </w:t>
      </w:r>
      <w:r w:rsidR="001C633B" w:rsidRPr="00515AA2">
        <w:rPr>
          <w:color w:val="000000"/>
          <w:lang w:val="en-CA"/>
        </w:rPr>
        <w:t>to the standard of palpable and overriding error</w:t>
      </w:r>
      <w:r w:rsidR="00906A83" w:rsidRPr="00515AA2">
        <w:rPr>
          <w:color w:val="000000"/>
          <w:lang w:val="en-CA"/>
        </w:rPr>
        <w:t>.</w:t>
      </w:r>
    </w:p>
    <w:p w14:paraId="7D4BA155" w14:textId="4941557D" w:rsidR="00016EAA" w:rsidRPr="00515AA2" w:rsidRDefault="00227991" w:rsidP="00F846E3">
      <w:pPr>
        <w:pStyle w:val="Paragraphe"/>
        <w:spacing w:line="280" w:lineRule="exact"/>
        <w:rPr>
          <w:color w:val="000000"/>
          <w:lang w:val="en-CA"/>
        </w:rPr>
      </w:pPr>
      <w:r w:rsidRPr="00515AA2">
        <w:rPr>
          <w:color w:val="000000"/>
          <w:lang w:val="en-CA"/>
        </w:rPr>
        <w:t>According the AGQ</w:t>
      </w:r>
      <w:r w:rsidR="0049694A" w:rsidRPr="00515AA2">
        <w:rPr>
          <w:color w:val="000000"/>
          <w:lang w:val="en-CA"/>
        </w:rPr>
        <w:t xml:space="preserve">, </w:t>
      </w:r>
      <w:r w:rsidRPr="00515AA2">
        <w:rPr>
          <w:color w:val="000000"/>
          <w:lang w:val="en-CA"/>
        </w:rPr>
        <w:t>the respondents have not shown any violation of s</w:t>
      </w:r>
      <w:r w:rsidR="00400D5D" w:rsidRPr="00515AA2">
        <w:rPr>
          <w:color w:val="000000"/>
          <w:lang w:val="en-CA"/>
        </w:rPr>
        <w:t>ection</w:t>
      </w:r>
      <w:r w:rsidRPr="00515AA2">
        <w:rPr>
          <w:color w:val="000000"/>
          <w:lang w:val="en-CA"/>
        </w:rPr>
        <w:t xml:space="preserve"> 15 of the</w:t>
      </w:r>
      <w:r w:rsidR="00016EAA" w:rsidRPr="00515AA2">
        <w:rPr>
          <w:color w:val="000000"/>
          <w:lang w:val="en-CA"/>
        </w:rPr>
        <w:t xml:space="preserve"> </w:t>
      </w:r>
      <w:r w:rsidRPr="00515AA2">
        <w:rPr>
          <w:i/>
          <w:iCs/>
          <w:color w:val="000000"/>
          <w:lang w:val="en-CA"/>
        </w:rPr>
        <w:t>Canadian Charter</w:t>
      </w:r>
      <w:r w:rsidR="00016EAA" w:rsidRPr="00515AA2">
        <w:rPr>
          <w:color w:val="000000"/>
          <w:lang w:val="en-CA"/>
        </w:rPr>
        <w:t xml:space="preserve"> </w:t>
      </w:r>
      <w:r w:rsidRPr="00515AA2">
        <w:rPr>
          <w:color w:val="000000"/>
          <w:lang w:val="en-CA"/>
        </w:rPr>
        <w:t>because</w:t>
      </w:r>
      <w:r w:rsidR="000B1778" w:rsidRPr="00515AA2">
        <w:rPr>
          <w:color w:val="000000"/>
          <w:lang w:val="en-CA"/>
        </w:rPr>
        <w:t>,</w:t>
      </w:r>
      <w:r w:rsidR="00016EAA" w:rsidRPr="00515AA2">
        <w:rPr>
          <w:color w:val="000000"/>
          <w:lang w:val="en-CA"/>
        </w:rPr>
        <w:t xml:space="preserve"> </w:t>
      </w:r>
      <w:r w:rsidRPr="00515AA2">
        <w:rPr>
          <w:color w:val="000000"/>
          <w:lang w:val="en-CA"/>
        </w:rPr>
        <w:t>even if s</w:t>
      </w:r>
      <w:r w:rsidR="00400D5D" w:rsidRPr="00515AA2">
        <w:rPr>
          <w:color w:val="000000"/>
          <w:lang w:val="en-CA"/>
        </w:rPr>
        <w:t>ection</w:t>
      </w:r>
      <w:r w:rsidR="00B22793" w:rsidRPr="00515AA2">
        <w:rPr>
          <w:color w:val="000000"/>
          <w:lang w:val="en-CA"/>
        </w:rPr>
        <w:t> </w:t>
      </w:r>
      <w:r w:rsidR="00016EAA" w:rsidRPr="00515AA2">
        <w:rPr>
          <w:color w:val="000000"/>
          <w:lang w:val="en-CA"/>
        </w:rPr>
        <w:t xml:space="preserve">23.2 </w:t>
      </w:r>
      <w:r w:rsidR="000C7C63"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00C016B2" w:rsidRPr="00515AA2">
        <w:rPr>
          <w:i/>
          <w:iCs/>
          <w:color w:val="000000"/>
          <w:lang w:val="en-CA"/>
        </w:rPr>
        <w:t>egulation</w:t>
      </w:r>
      <w:r w:rsidR="00016EAA" w:rsidRPr="00515AA2">
        <w:rPr>
          <w:color w:val="000000"/>
          <w:lang w:val="en-CA"/>
        </w:rPr>
        <w:t xml:space="preserve"> </w:t>
      </w:r>
      <w:r w:rsidR="00C016B2" w:rsidRPr="00515AA2">
        <w:rPr>
          <w:color w:val="000000"/>
          <w:lang w:val="en-CA"/>
        </w:rPr>
        <w:t xml:space="preserve">draws a distinction based on age by requiring different documents depending on whether </w:t>
      </w:r>
      <w:r w:rsidR="000C7C63" w:rsidRPr="00515AA2">
        <w:rPr>
          <w:color w:val="000000"/>
          <w:lang w:val="en-CA"/>
        </w:rPr>
        <w:t>the</w:t>
      </w:r>
      <w:r w:rsidR="00C016B2" w:rsidRPr="00515AA2">
        <w:rPr>
          <w:color w:val="000000"/>
          <w:lang w:val="en-CA"/>
        </w:rPr>
        <w:t xml:space="preserve"> person</w:t>
      </w:r>
      <w:r w:rsidR="000C7C63" w:rsidRPr="00515AA2">
        <w:rPr>
          <w:color w:val="000000"/>
          <w:lang w:val="en-CA"/>
        </w:rPr>
        <w:t xml:space="preserve"> involved is</w:t>
      </w:r>
      <w:r w:rsidR="00C016B2" w:rsidRPr="00515AA2">
        <w:rPr>
          <w:color w:val="000000"/>
          <w:lang w:val="en-CA"/>
        </w:rPr>
        <w:t xml:space="preserve"> of full age or a minor, they have not proven that </w:t>
      </w:r>
      <w:r w:rsidR="00043D1A" w:rsidRPr="00515AA2">
        <w:rPr>
          <w:color w:val="000000"/>
          <w:lang w:val="en-CA"/>
        </w:rPr>
        <w:t>it</w:t>
      </w:r>
      <w:r w:rsidR="00C016B2" w:rsidRPr="00515AA2">
        <w:rPr>
          <w:color w:val="000000"/>
          <w:lang w:val="en-CA"/>
        </w:rPr>
        <w:t xml:space="preserve"> imposes a burden or denies a benefit in a manner that has the effect of reinforcing, perpetuating or exacerbating a disadvantage, </w:t>
      </w:r>
      <w:r w:rsidR="00043D1A" w:rsidRPr="00515AA2">
        <w:rPr>
          <w:color w:val="000000"/>
          <w:lang w:val="en-CA"/>
        </w:rPr>
        <w:t xml:space="preserve">whether or not </w:t>
      </w:r>
      <w:r w:rsidR="00C016B2" w:rsidRPr="00515AA2">
        <w:rPr>
          <w:color w:val="000000"/>
          <w:lang w:val="en-CA"/>
        </w:rPr>
        <w:t>historical</w:t>
      </w:r>
      <w:r w:rsidR="00016EAA" w:rsidRPr="00515AA2">
        <w:rPr>
          <w:color w:val="000000"/>
          <w:lang w:val="en-CA"/>
        </w:rPr>
        <w:t xml:space="preserve">. </w:t>
      </w:r>
      <w:r w:rsidR="00C016B2" w:rsidRPr="00515AA2">
        <w:rPr>
          <w:color w:val="000000"/>
          <w:lang w:val="en-CA"/>
        </w:rPr>
        <w:t>In its view, the legislator is merely</w:t>
      </w:r>
      <w:r w:rsidR="002F6A0A" w:rsidRPr="00515AA2">
        <w:rPr>
          <w:color w:val="000000"/>
          <w:lang w:val="en-CA"/>
        </w:rPr>
        <w:t xml:space="preserve"> considering that, over time, minors acquire [</w:t>
      </w:r>
      <w:r w:rsidR="002F6A0A" w:rsidRPr="00515AA2">
        <w:rPr>
          <w:smallCaps/>
          <w:color w:val="000000"/>
          <w:lang w:val="en-CA"/>
        </w:rPr>
        <w:t>translation</w:t>
      </w:r>
      <w:r w:rsidR="002F6A0A" w:rsidRPr="00515AA2">
        <w:rPr>
          <w:color w:val="000000"/>
          <w:lang w:val="en-CA"/>
        </w:rPr>
        <w:t>]</w:t>
      </w:r>
      <w:r w:rsidR="00016EAA" w:rsidRPr="00515AA2">
        <w:rPr>
          <w:color w:val="000000"/>
          <w:lang w:val="en-CA"/>
        </w:rPr>
        <w:t xml:space="preserve"> </w:t>
      </w:r>
      <w:r w:rsidR="002F6A0A" w:rsidRPr="00515AA2">
        <w:rPr>
          <w:color w:val="000000"/>
          <w:lang w:val="en-CA"/>
        </w:rPr>
        <w:t>“</w:t>
      </w:r>
      <w:r w:rsidR="00016EAA" w:rsidRPr="00515AA2">
        <w:rPr>
          <w:color w:val="000000"/>
          <w:lang w:val="en-CA"/>
        </w:rPr>
        <w:t>science, ju</w:t>
      </w:r>
      <w:r w:rsidR="002F6A0A" w:rsidRPr="00515AA2">
        <w:rPr>
          <w:color w:val="000000"/>
          <w:lang w:val="en-CA"/>
        </w:rPr>
        <w:t>d</w:t>
      </w:r>
      <w:r w:rsidR="00016EAA" w:rsidRPr="00515AA2">
        <w:rPr>
          <w:color w:val="000000"/>
          <w:lang w:val="en-CA"/>
        </w:rPr>
        <w:t>gment, maturit</w:t>
      </w:r>
      <w:r w:rsidR="002F6A0A" w:rsidRPr="00515AA2">
        <w:rPr>
          <w:color w:val="000000"/>
          <w:lang w:val="en-CA"/>
        </w:rPr>
        <w:t>y</w:t>
      </w:r>
      <w:r w:rsidR="00016EAA" w:rsidRPr="00515AA2">
        <w:rPr>
          <w:color w:val="000000"/>
          <w:lang w:val="en-CA"/>
        </w:rPr>
        <w:t xml:space="preserve"> </w:t>
      </w:r>
      <w:r w:rsidR="002F6A0A" w:rsidRPr="00515AA2">
        <w:rPr>
          <w:color w:val="000000"/>
          <w:lang w:val="en-CA"/>
        </w:rPr>
        <w:t>and wisdom</w:t>
      </w:r>
      <w:r w:rsidR="00016EAA" w:rsidRPr="00515AA2">
        <w:rPr>
          <w:color w:val="000000"/>
          <w:lang w:val="en-CA"/>
        </w:rPr>
        <w:t xml:space="preserve"> </w:t>
      </w:r>
      <w:r w:rsidR="002F6A0A" w:rsidRPr="00515AA2">
        <w:rPr>
          <w:color w:val="000000"/>
          <w:lang w:val="en-CA"/>
        </w:rPr>
        <w:t>and thus grants them rights as they evolve.”</w:t>
      </w:r>
      <w:r w:rsidR="00016EAA" w:rsidRPr="00515AA2">
        <w:rPr>
          <w:color w:val="000000"/>
          <w:lang w:val="en-CA"/>
        </w:rPr>
        <w:t xml:space="preserve"> </w:t>
      </w:r>
      <w:r w:rsidR="002F6A0A" w:rsidRPr="00515AA2">
        <w:rPr>
          <w:color w:val="000000"/>
          <w:lang w:val="en-CA"/>
        </w:rPr>
        <w:t xml:space="preserve">It also points to other provisions of the </w:t>
      </w:r>
      <w:r w:rsidR="00016EAA" w:rsidRPr="00515AA2">
        <w:rPr>
          <w:i/>
          <w:iCs/>
          <w:color w:val="000000"/>
          <w:lang w:val="en-CA"/>
        </w:rPr>
        <w:t>C</w:t>
      </w:r>
      <w:r w:rsidR="002F6A0A" w:rsidRPr="00515AA2">
        <w:rPr>
          <w:i/>
          <w:iCs/>
          <w:color w:val="000000"/>
          <w:lang w:val="en-CA"/>
        </w:rPr>
        <w:t>ivil C</w:t>
      </w:r>
      <w:r w:rsidR="000506D0" w:rsidRPr="00515AA2">
        <w:rPr>
          <w:i/>
          <w:iCs/>
          <w:color w:val="000000"/>
          <w:lang w:val="en-CA"/>
        </w:rPr>
        <w:t xml:space="preserve">ode </w:t>
      </w:r>
      <w:r w:rsidR="002F6A0A" w:rsidRPr="00515AA2">
        <w:rPr>
          <w:i/>
          <w:iCs/>
          <w:color w:val="000000"/>
          <w:lang w:val="en-CA"/>
        </w:rPr>
        <w:t>of</w:t>
      </w:r>
      <w:r w:rsidR="000506D0" w:rsidRPr="00515AA2">
        <w:rPr>
          <w:i/>
          <w:iCs/>
          <w:color w:val="000000"/>
          <w:lang w:val="en-CA"/>
        </w:rPr>
        <w:t xml:space="preserve"> Québec</w:t>
      </w:r>
      <w:r w:rsidR="00016EAA" w:rsidRPr="00515AA2">
        <w:rPr>
          <w:color w:val="000000"/>
          <w:lang w:val="en-CA"/>
        </w:rPr>
        <w:t xml:space="preserve"> </w:t>
      </w:r>
      <w:r w:rsidR="002F6A0A" w:rsidRPr="00515AA2">
        <w:rPr>
          <w:color w:val="000000"/>
          <w:lang w:val="en-CA"/>
        </w:rPr>
        <w:t>that establish distinctions based on age as well</w:t>
      </w:r>
      <w:r w:rsidR="00016EAA" w:rsidRPr="00515AA2">
        <w:rPr>
          <w:color w:val="000000"/>
          <w:lang w:val="en-CA"/>
        </w:rPr>
        <w:t>.</w:t>
      </w:r>
    </w:p>
    <w:p w14:paraId="5979465E" w14:textId="6A79690F" w:rsidR="00016EAA" w:rsidRPr="00515AA2" w:rsidRDefault="0001726F" w:rsidP="00F846E3">
      <w:pPr>
        <w:pStyle w:val="Paragraphe"/>
        <w:spacing w:line="280" w:lineRule="exact"/>
        <w:rPr>
          <w:color w:val="000000"/>
          <w:lang w:val="en-CA"/>
        </w:rPr>
      </w:pPr>
      <w:r w:rsidRPr="00515AA2">
        <w:rPr>
          <w:color w:val="000000"/>
          <w:lang w:val="en-CA"/>
        </w:rPr>
        <w:t>Consequently, in the AGQ’s view,</w:t>
      </w:r>
      <w:r w:rsidR="00016EAA" w:rsidRPr="00515AA2">
        <w:rPr>
          <w:color w:val="000000"/>
          <w:lang w:val="en-CA"/>
        </w:rPr>
        <w:t xml:space="preserve"> </w:t>
      </w:r>
      <w:r w:rsidRPr="00515AA2">
        <w:rPr>
          <w:color w:val="000000"/>
          <w:lang w:val="en-CA"/>
        </w:rPr>
        <w:t>the judge erred in finding that paragraph</w:t>
      </w:r>
      <w:r w:rsidR="00016EAA" w:rsidRPr="00515AA2">
        <w:rPr>
          <w:color w:val="000000"/>
          <w:lang w:val="en-CA"/>
        </w:rPr>
        <w:t xml:space="preserve"> 2 </w:t>
      </w:r>
      <w:r w:rsidRPr="00515AA2">
        <w:rPr>
          <w:color w:val="000000"/>
          <w:lang w:val="en-CA"/>
        </w:rPr>
        <w:t>of s</w:t>
      </w:r>
      <w:r w:rsidR="00400D5D" w:rsidRPr="00515AA2">
        <w:rPr>
          <w:color w:val="000000"/>
          <w:lang w:val="en-CA"/>
        </w:rPr>
        <w:t>ection</w:t>
      </w:r>
      <w:r w:rsidR="00B22793" w:rsidRPr="00515AA2">
        <w:rPr>
          <w:color w:val="000000"/>
          <w:lang w:val="en-CA"/>
        </w:rPr>
        <w:t> </w:t>
      </w:r>
      <w:r w:rsidR="00016EAA" w:rsidRPr="00515AA2">
        <w:rPr>
          <w:color w:val="000000"/>
          <w:lang w:val="en-CA"/>
        </w:rPr>
        <w:t xml:space="preserve">23.2 </w:t>
      </w:r>
      <w:r w:rsidRPr="00515AA2">
        <w:rPr>
          <w:color w:val="000000"/>
          <w:lang w:val="en-CA"/>
        </w:rPr>
        <w:t>impose</w:t>
      </w:r>
      <w:r w:rsidR="000C7C63" w:rsidRPr="00515AA2">
        <w:rPr>
          <w:color w:val="000000"/>
          <w:lang w:val="en-CA"/>
        </w:rPr>
        <w:t>d</w:t>
      </w:r>
      <w:r w:rsidRPr="00515AA2">
        <w:rPr>
          <w:color w:val="000000"/>
          <w:lang w:val="en-CA"/>
        </w:rPr>
        <w:t xml:space="preserve"> a burden on the respondents</w:t>
      </w:r>
      <w:r w:rsidR="00016EAA" w:rsidRPr="00515AA2">
        <w:rPr>
          <w:color w:val="000000"/>
          <w:lang w:val="en-CA"/>
        </w:rPr>
        <w:t xml:space="preserve">, </w:t>
      </w:r>
      <w:r w:rsidR="00710D9A" w:rsidRPr="00515AA2">
        <w:rPr>
          <w:color w:val="000000"/>
          <w:lang w:val="en-CA"/>
        </w:rPr>
        <w:t xml:space="preserve">especially </w:t>
      </w:r>
      <w:r w:rsidR="00237E9A" w:rsidRPr="00515AA2">
        <w:rPr>
          <w:color w:val="000000"/>
          <w:lang w:val="en-CA"/>
        </w:rPr>
        <w:t>when he had</w:t>
      </w:r>
      <w:r w:rsidR="00710D9A" w:rsidRPr="00515AA2">
        <w:rPr>
          <w:color w:val="000000"/>
          <w:lang w:val="en-CA"/>
        </w:rPr>
        <w:t xml:space="preserve"> determin</w:t>
      </w:r>
      <w:r w:rsidR="00237E9A" w:rsidRPr="00515AA2">
        <w:rPr>
          <w:color w:val="000000"/>
          <w:lang w:val="en-CA"/>
        </w:rPr>
        <w:t>ed</w:t>
      </w:r>
      <w:r w:rsidRPr="00515AA2">
        <w:rPr>
          <w:color w:val="000000"/>
          <w:lang w:val="en-CA"/>
        </w:rPr>
        <w:t xml:space="preserve"> that paragraph 2 is less </w:t>
      </w:r>
      <w:r w:rsidR="00710D9A" w:rsidRPr="00515AA2">
        <w:rPr>
          <w:color w:val="000000"/>
          <w:lang w:val="en-CA"/>
        </w:rPr>
        <w:t>stringent</w:t>
      </w:r>
      <w:r w:rsidRPr="00515AA2">
        <w:rPr>
          <w:color w:val="000000"/>
          <w:lang w:val="en-CA"/>
        </w:rPr>
        <w:t xml:space="preserve"> as to the contents of the professional’s letter than is paragraph 1 as to the third-party’s declaration that must accompany the application by </w:t>
      </w:r>
      <w:r w:rsidRPr="00515AA2">
        <w:rPr>
          <w:color w:val="000000"/>
          <w:lang w:val="en-CA"/>
        </w:rPr>
        <w:lastRenderedPageBreak/>
        <w:t>persons of full age</w:t>
      </w:r>
      <w:r w:rsidR="00016EAA" w:rsidRPr="00515AA2">
        <w:rPr>
          <w:color w:val="000000"/>
          <w:lang w:val="en-CA"/>
        </w:rPr>
        <w:t xml:space="preserve">. </w:t>
      </w:r>
      <w:r w:rsidRPr="00515AA2">
        <w:rPr>
          <w:color w:val="000000"/>
          <w:lang w:val="en-CA"/>
        </w:rPr>
        <w:t>According to the</w:t>
      </w:r>
      <w:r w:rsidR="004D5637" w:rsidRPr="00515AA2">
        <w:rPr>
          <w:color w:val="000000"/>
          <w:lang w:val="en-CA"/>
        </w:rPr>
        <w:t xml:space="preserve"> </w:t>
      </w:r>
      <w:r w:rsidRPr="00515AA2">
        <w:rPr>
          <w:color w:val="000000"/>
          <w:lang w:val="en-CA"/>
        </w:rPr>
        <w:t>AGC</w:t>
      </w:r>
      <w:r w:rsidR="000506D0" w:rsidRPr="00515AA2">
        <w:rPr>
          <w:color w:val="000000"/>
          <w:lang w:val="en-CA"/>
        </w:rPr>
        <w:t xml:space="preserve">, </w:t>
      </w:r>
      <w:r w:rsidR="000C7C63" w:rsidRPr="00515AA2">
        <w:rPr>
          <w:color w:val="000000"/>
          <w:lang w:val="en-CA"/>
        </w:rPr>
        <w:t>far from being</w:t>
      </w:r>
      <w:r w:rsidRPr="00515AA2">
        <w:rPr>
          <w:color w:val="000000"/>
          <w:lang w:val="en-CA"/>
        </w:rPr>
        <w:t xml:space="preserve"> a disadvantage for transgender or non-binary minors, paragraph 2 provides a simple procedure </w:t>
      </w:r>
      <w:r w:rsidR="000C7C63" w:rsidRPr="00515AA2">
        <w:rPr>
          <w:color w:val="000000"/>
          <w:lang w:val="en-CA"/>
        </w:rPr>
        <w:t>tailored</w:t>
      </w:r>
      <w:r w:rsidRPr="00515AA2">
        <w:rPr>
          <w:color w:val="000000"/>
          <w:lang w:val="en-CA"/>
        </w:rPr>
        <w:t xml:space="preserve"> to their needs or situation</w:t>
      </w:r>
      <w:r w:rsidR="000C7C63" w:rsidRPr="00515AA2">
        <w:rPr>
          <w:color w:val="000000"/>
          <w:lang w:val="en-CA"/>
        </w:rPr>
        <w:t>,</w:t>
      </w:r>
      <w:r w:rsidRPr="00515AA2">
        <w:rPr>
          <w:color w:val="000000"/>
          <w:lang w:val="en-CA"/>
        </w:rPr>
        <w:t xml:space="preserve"> </w:t>
      </w:r>
      <w:r w:rsidR="000C7C63" w:rsidRPr="00515AA2">
        <w:rPr>
          <w:color w:val="000000"/>
          <w:lang w:val="en-CA"/>
        </w:rPr>
        <w:t>chosen</w:t>
      </w:r>
      <w:r w:rsidRPr="00515AA2">
        <w:rPr>
          <w:color w:val="000000"/>
          <w:lang w:val="en-CA"/>
        </w:rPr>
        <w:t xml:space="preserve"> by the legislator after it</w:t>
      </w:r>
      <w:r w:rsidR="000C7C63" w:rsidRPr="00515AA2">
        <w:rPr>
          <w:color w:val="000000"/>
          <w:lang w:val="en-CA"/>
        </w:rPr>
        <w:t xml:space="preserve"> </w:t>
      </w:r>
      <w:r w:rsidRPr="00515AA2">
        <w:rPr>
          <w:color w:val="000000"/>
          <w:lang w:val="en-CA"/>
        </w:rPr>
        <w:t>found, following public consultations, that the families of transgender or non-binary children often benefit from professional guidance</w:t>
      </w:r>
      <w:r w:rsidR="00016EAA" w:rsidRPr="00515AA2">
        <w:rPr>
          <w:color w:val="000000"/>
          <w:lang w:val="en-CA"/>
        </w:rPr>
        <w:t>.</w:t>
      </w:r>
    </w:p>
    <w:p w14:paraId="31649128" w14:textId="78D9EEDE" w:rsidR="00016EAA" w:rsidRPr="00515AA2" w:rsidRDefault="00237E9A" w:rsidP="00F846E3">
      <w:pPr>
        <w:pStyle w:val="Paragraphe"/>
        <w:spacing w:line="280" w:lineRule="exact"/>
        <w:rPr>
          <w:color w:val="000000"/>
          <w:lang w:val="en-CA"/>
        </w:rPr>
      </w:pPr>
      <w:r w:rsidRPr="00515AA2">
        <w:rPr>
          <w:color w:val="000000"/>
          <w:lang w:val="en-CA"/>
        </w:rPr>
        <w:t>The respondents reply</w:t>
      </w:r>
      <w:r w:rsidR="002B1127" w:rsidRPr="00515AA2">
        <w:rPr>
          <w:color w:val="000000"/>
          <w:lang w:val="en-CA"/>
        </w:rPr>
        <w:t xml:space="preserve"> that while age, sex or gender identity alone would each be sufficient grounds of discrimination, the intersection of these various grounds provides a more accurate picture of the various discriminatory effects visited upon a </w:t>
      </w:r>
      <w:r w:rsidR="00703522" w:rsidRPr="00515AA2">
        <w:rPr>
          <w:color w:val="000000"/>
          <w:lang w:val="en-CA"/>
        </w:rPr>
        <w:t xml:space="preserve">specific </w:t>
      </w:r>
      <w:r w:rsidR="002B1127" w:rsidRPr="00515AA2">
        <w:rPr>
          <w:color w:val="000000"/>
          <w:lang w:val="en-CA"/>
        </w:rPr>
        <w:t>group.</w:t>
      </w:r>
      <w:r w:rsidR="00016EAA" w:rsidRPr="00515AA2">
        <w:rPr>
          <w:color w:val="000000"/>
          <w:lang w:val="en-CA"/>
        </w:rPr>
        <w:t xml:space="preserve"> </w:t>
      </w:r>
      <w:r w:rsidR="002B1127" w:rsidRPr="00515AA2">
        <w:rPr>
          <w:color w:val="000000"/>
          <w:lang w:val="en-CA"/>
        </w:rPr>
        <w:t xml:space="preserve">Consequently, </w:t>
      </w:r>
      <w:r w:rsidR="000C7C63" w:rsidRPr="00515AA2">
        <w:rPr>
          <w:color w:val="000000"/>
          <w:lang w:val="en-CA"/>
        </w:rPr>
        <w:t>they submit that</w:t>
      </w:r>
      <w:r w:rsidR="002B1127" w:rsidRPr="00515AA2">
        <w:rPr>
          <w:color w:val="000000"/>
          <w:lang w:val="en-CA"/>
        </w:rPr>
        <w:t xml:space="preserve"> the judge </w:t>
      </w:r>
      <w:r w:rsidR="00525027" w:rsidRPr="00515AA2">
        <w:rPr>
          <w:color w:val="000000"/>
          <w:lang w:val="en-CA"/>
        </w:rPr>
        <w:t>correctly held</w:t>
      </w:r>
      <w:r w:rsidR="002B1127" w:rsidRPr="00515AA2">
        <w:rPr>
          <w:color w:val="000000"/>
          <w:lang w:val="en-CA"/>
        </w:rPr>
        <w:t xml:space="preserve"> that requiring a letter from a professional imposes a burden upon transgender or non-binary minors and</w:t>
      </w:r>
      <w:r w:rsidR="00525027" w:rsidRPr="00515AA2">
        <w:rPr>
          <w:color w:val="000000"/>
          <w:lang w:val="en-CA"/>
        </w:rPr>
        <w:t xml:space="preserve">, to the extent that the AGQ does not allege any error in those findings of fact, the Court ought not to </w:t>
      </w:r>
      <w:r w:rsidR="00703522" w:rsidRPr="00515AA2">
        <w:rPr>
          <w:color w:val="000000"/>
          <w:lang w:val="en-CA"/>
        </w:rPr>
        <w:t>intervene</w:t>
      </w:r>
      <w:r w:rsidR="00016EAA" w:rsidRPr="00515AA2">
        <w:rPr>
          <w:color w:val="000000"/>
          <w:lang w:val="en-CA"/>
        </w:rPr>
        <w:t>.</w:t>
      </w:r>
    </w:p>
    <w:p w14:paraId="4A8F989A" w14:textId="3D1B9B3A" w:rsidR="00AD6D69" w:rsidRPr="00515AA2" w:rsidRDefault="000C7C63" w:rsidP="00F846E3">
      <w:pPr>
        <w:pStyle w:val="Paragraphe"/>
        <w:spacing w:line="280" w:lineRule="exact"/>
        <w:rPr>
          <w:color w:val="000000"/>
          <w:lang w:val="en-CA"/>
        </w:rPr>
      </w:pPr>
      <w:r w:rsidRPr="00515AA2">
        <w:rPr>
          <w:color w:val="000000"/>
          <w:lang w:val="en-CA"/>
        </w:rPr>
        <w:t>Furthermore</w:t>
      </w:r>
      <w:r w:rsidR="00525027" w:rsidRPr="00515AA2">
        <w:rPr>
          <w:color w:val="000000"/>
          <w:lang w:val="en-CA"/>
        </w:rPr>
        <w:t xml:space="preserve">, the fact that some youths are accompanied by a professional, even though this may make it easier to obtain the required letter, </w:t>
      </w:r>
      <w:r w:rsidR="00084770" w:rsidRPr="00515AA2">
        <w:rPr>
          <w:color w:val="000000"/>
          <w:lang w:val="en-CA"/>
        </w:rPr>
        <w:t xml:space="preserve">in no way </w:t>
      </w:r>
      <w:r w:rsidR="00525027" w:rsidRPr="00515AA2">
        <w:rPr>
          <w:color w:val="000000"/>
          <w:lang w:val="en-CA"/>
        </w:rPr>
        <w:t>changes, in their view,</w:t>
      </w:r>
      <w:r w:rsidR="00084770" w:rsidRPr="00515AA2">
        <w:rPr>
          <w:color w:val="000000"/>
          <w:lang w:val="en-CA"/>
        </w:rPr>
        <w:t xml:space="preserve"> the burden that such a requirement imposes upon those </w:t>
      </w:r>
      <w:r w:rsidRPr="00515AA2">
        <w:rPr>
          <w:color w:val="000000"/>
          <w:lang w:val="en-CA"/>
        </w:rPr>
        <w:t>who</w:t>
      </w:r>
      <w:r w:rsidR="00084770" w:rsidRPr="00515AA2">
        <w:rPr>
          <w:color w:val="000000"/>
          <w:lang w:val="en-CA"/>
        </w:rPr>
        <w:t xml:space="preserve"> are not.</w:t>
      </w:r>
    </w:p>
    <w:p w14:paraId="70AABA57" w14:textId="12BF84C7" w:rsidR="00016EAA" w:rsidRPr="00515AA2" w:rsidRDefault="00084770" w:rsidP="00F846E3">
      <w:pPr>
        <w:pStyle w:val="Paragraphe"/>
        <w:spacing w:line="280" w:lineRule="exact"/>
        <w:rPr>
          <w:color w:val="000000"/>
          <w:lang w:val="en-CA"/>
        </w:rPr>
      </w:pPr>
      <w:r w:rsidRPr="00515AA2">
        <w:rPr>
          <w:color w:val="000000"/>
          <w:lang w:val="en-CA"/>
        </w:rPr>
        <w:t xml:space="preserve">Moreover, they </w:t>
      </w:r>
      <w:r w:rsidR="00B4657E" w:rsidRPr="00515AA2">
        <w:rPr>
          <w:color w:val="000000"/>
          <w:lang w:val="en-CA"/>
        </w:rPr>
        <w:t>add</w:t>
      </w:r>
      <w:r w:rsidRPr="00515AA2">
        <w:rPr>
          <w:color w:val="000000"/>
          <w:lang w:val="en-CA"/>
        </w:rPr>
        <w:t>, the judge did not err in finding that the distinction between minors and persons of full age exacerbate</w:t>
      </w:r>
      <w:r w:rsidR="00703522" w:rsidRPr="00515AA2">
        <w:rPr>
          <w:color w:val="000000"/>
          <w:lang w:val="en-CA"/>
        </w:rPr>
        <w:t>s</w:t>
      </w:r>
      <w:r w:rsidRPr="00515AA2">
        <w:rPr>
          <w:color w:val="000000"/>
          <w:lang w:val="en-CA"/>
        </w:rPr>
        <w:t xml:space="preserve"> the disadvantages and prejudices that transgender or non-binary people otherwise face</w:t>
      </w:r>
      <w:r w:rsidR="00016EAA" w:rsidRPr="00515AA2">
        <w:rPr>
          <w:color w:val="000000"/>
          <w:lang w:val="en-CA"/>
        </w:rPr>
        <w:t xml:space="preserve">. </w:t>
      </w:r>
      <w:r w:rsidRPr="00515AA2">
        <w:rPr>
          <w:color w:val="000000"/>
          <w:lang w:val="en-CA"/>
        </w:rPr>
        <w:t xml:space="preserve">Also, the AGQ’s argument that the legislator is justified in </w:t>
      </w:r>
      <w:r w:rsidR="00B4657E" w:rsidRPr="00515AA2">
        <w:rPr>
          <w:color w:val="000000"/>
          <w:lang w:val="en-CA"/>
        </w:rPr>
        <w:t>“modulating”</w:t>
      </w:r>
      <w:r w:rsidRPr="00515AA2">
        <w:rPr>
          <w:color w:val="000000"/>
          <w:lang w:val="en-CA"/>
        </w:rPr>
        <w:t xml:space="preserve"> the rights of transgender or non-binary people on the basis of age, </w:t>
      </w:r>
      <w:r w:rsidR="006351B5" w:rsidRPr="00515AA2">
        <w:rPr>
          <w:color w:val="000000"/>
          <w:lang w:val="en-CA"/>
        </w:rPr>
        <w:t>as</w:t>
      </w:r>
      <w:r w:rsidRPr="00515AA2">
        <w:rPr>
          <w:color w:val="000000"/>
          <w:lang w:val="en-CA"/>
        </w:rPr>
        <w:t xml:space="preserve"> this reflects the fact</w:t>
      </w:r>
      <w:r w:rsidR="006351B5" w:rsidRPr="00515AA2">
        <w:rPr>
          <w:color w:val="000000"/>
          <w:lang w:val="en-CA"/>
        </w:rPr>
        <w:t xml:space="preserve"> that [</w:t>
      </w:r>
      <w:r w:rsidR="006351B5" w:rsidRPr="00515AA2">
        <w:rPr>
          <w:smallCaps/>
          <w:color w:val="000000"/>
          <w:lang w:val="en-CA"/>
        </w:rPr>
        <w:t>translation</w:t>
      </w:r>
      <w:r w:rsidR="006351B5" w:rsidRPr="00515AA2">
        <w:rPr>
          <w:color w:val="000000"/>
          <w:lang w:val="en-CA"/>
        </w:rPr>
        <w:t>]</w:t>
      </w:r>
      <w:r w:rsidRPr="00515AA2">
        <w:rPr>
          <w:color w:val="000000"/>
          <w:lang w:val="en-CA"/>
        </w:rPr>
        <w:t xml:space="preserve"> “</w:t>
      </w:r>
      <w:r w:rsidR="006351B5" w:rsidRPr="00515AA2">
        <w:rPr>
          <w:color w:val="000000"/>
          <w:lang w:val="en-CA"/>
        </w:rPr>
        <w:t>they acquire over time</w:t>
      </w:r>
      <w:r w:rsidR="00016EAA" w:rsidRPr="00515AA2">
        <w:rPr>
          <w:color w:val="000000"/>
          <w:lang w:val="en-CA"/>
        </w:rPr>
        <w:t xml:space="preserve"> </w:t>
      </w:r>
      <w:r w:rsidR="006351B5" w:rsidRPr="00515AA2">
        <w:rPr>
          <w:color w:val="000000"/>
          <w:lang w:val="en-CA"/>
        </w:rPr>
        <w:t>science, judgment, maturity and wisdom”</w:t>
      </w:r>
      <w:r w:rsidR="00016EAA" w:rsidRPr="00515AA2">
        <w:rPr>
          <w:color w:val="000000"/>
          <w:lang w:val="en-CA"/>
        </w:rPr>
        <w:t xml:space="preserve"> </w:t>
      </w:r>
      <w:r w:rsidR="006351B5" w:rsidRPr="00515AA2">
        <w:rPr>
          <w:color w:val="000000"/>
          <w:lang w:val="en-CA"/>
        </w:rPr>
        <w:t>simply perpetuates stereotypes, which are indicative of discrimination</w:t>
      </w:r>
      <w:r w:rsidR="00016EAA" w:rsidRPr="00515AA2">
        <w:rPr>
          <w:color w:val="000000"/>
          <w:lang w:val="en-CA"/>
        </w:rPr>
        <w:t xml:space="preserve">, </w:t>
      </w:r>
      <w:r w:rsidR="006351B5" w:rsidRPr="00515AA2">
        <w:rPr>
          <w:color w:val="000000"/>
          <w:lang w:val="en-CA"/>
        </w:rPr>
        <w:t>even though it is not necessary to prove that the discrimination stems from such stereotypes</w:t>
      </w:r>
      <w:r w:rsidR="00016EAA" w:rsidRPr="00515AA2">
        <w:rPr>
          <w:color w:val="000000"/>
          <w:lang w:val="en-CA"/>
        </w:rPr>
        <w:t>.</w:t>
      </w:r>
    </w:p>
    <w:p w14:paraId="5A2DC09C" w14:textId="2246D470" w:rsidR="00614B71" w:rsidRPr="00515AA2" w:rsidRDefault="00614B71" w:rsidP="00F846E3">
      <w:pPr>
        <w:spacing w:before="120" w:after="120"/>
        <w:ind w:left="5040"/>
        <w:jc w:val="both"/>
        <w:rPr>
          <w:color w:val="000000"/>
          <w:kern w:val="28"/>
          <w:lang w:val="en-CA"/>
        </w:rPr>
      </w:pPr>
      <w:r w:rsidRPr="00515AA2">
        <w:rPr>
          <w:color w:val="000000"/>
          <w:kern w:val="28"/>
          <w:lang w:val="en-CA"/>
        </w:rPr>
        <w:t>***</w:t>
      </w:r>
    </w:p>
    <w:p w14:paraId="5C4BB97E" w14:textId="5BADA0C6" w:rsidR="00016EAA" w:rsidRPr="00515AA2" w:rsidRDefault="008E4DB7" w:rsidP="00F846E3">
      <w:pPr>
        <w:pStyle w:val="Paragraphe"/>
        <w:spacing w:line="280" w:lineRule="exact"/>
        <w:rPr>
          <w:color w:val="000000"/>
          <w:lang w:val="en-CA"/>
        </w:rPr>
      </w:pPr>
      <w:bookmarkStart w:id="60" w:name="_Ref98865936"/>
      <w:r w:rsidRPr="00515AA2">
        <w:rPr>
          <w:color w:val="000000"/>
          <w:lang w:val="en-CA"/>
        </w:rPr>
        <w:t xml:space="preserve">It is </w:t>
      </w:r>
      <w:r w:rsidR="00614E57" w:rsidRPr="00515AA2">
        <w:rPr>
          <w:color w:val="000000"/>
          <w:lang w:val="en-CA"/>
        </w:rPr>
        <w:t xml:space="preserve">settled </w:t>
      </w:r>
      <w:r w:rsidR="000C7C63" w:rsidRPr="00515AA2">
        <w:rPr>
          <w:color w:val="000000"/>
          <w:lang w:val="en-CA"/>
        </w:rPr>
        <w:t>law</w:t>
      </w:r>
      <w:r w:rsidRPr="00515AA2">
        <w:rPr>
          <w:color w:val="000000"/>
          <w:lang w:val="en-CA"/>
        </w:rPr>
        <w:t xml:space="preserve"> that the purpose of the right to equality, protected by the </w:t>
      </w:r>
      <w:r w:rsidRPr="00515AA2">
        <w:rPr>
          <w:i/>
          <w:iCs/>
          <w:color w:val="000000"/>
          <w:lang w:val="en-CA"/>
        </w:rPr>
        <w:t>Canadian Charter</w:t>
      </w:r>
      <w:r w:rsidRPr="00515AA2">
        <w:rPr>
          <w:color w:val="000000"/>
          <w:lang w:val="en-CA"/>
        </w:rPr>
        <w:t>, is</w:t>
      </w:r>
      <w:r w:rsidR="00016EAA" w:rsidRPr="00515AA2">
        <w:rPr>
          <w:color w:val="000000"/>
          <w:lang w:val="en-CA"/>
        </w:rPr>
        <w:t xml:space="preserve"> </w:t>
      </w:r>
      <w:r w:rsidRPr="00515AA2">
        <w:rPr>
          <w:color w:val="000000"/>
          <w:lang w:val="en-CA"/>
        </w:rPr>
        <w:t>the “promotion of a society in which all are secure in the knowledge that they are recognized at law as human beings equally deserving of concern, respect and consideration.”</w:t>
      </w:r>
      <w:bookmarkStart w:id="61" w:name="_Ref157504404"/>
      <w:r w:rsidR="00016EAA" w:rsidRPr="00515AA2">
        <w:rPr>
          <w:color w:val="000000"/>
          <w:vertAlign w:val="superscript"/>
          <w:lang w:val="en-CA"/>
        </w:rPr>
        <w:footnoteReference w:id="91"/>
      </w:r>
      <w:bookmarkEnd w:id="61"/>
      <w:r w:rsidR="00EC0FCD" w:rsidRPr="00515AA2">
        <w:rPr>
          <w:color w:val="000000"/>
          <w:lang w:val="en-CA"/>
        </w:rPr>
        <w:t xml:space="preserve"> </w:t>
      </w:r>
      <w:r w:rsidRPr="00515AA2">
        <w:rPr>
          <w:color w:val="000000"/>
          <w:lang w:val="en-CA"/>
        </w:rPr>
        <w:t xml:space="preserve">That right must </w:t>
      </w:r>
      <w:r w:rsidR="00EF378D" w:rsidRPr="00515AA2">
        <w:rPr>
          <w:color w:val="000000"/>
          <w:lang w:val="en-CA"/>
        </w:rPr>
        <w:t>be interpreted in a broad manner.</w:t>
      </w:r>
      <w:r w:rsidR="00184D4F" w:rsidRPr="00515AA2">
        <w:rPr>
          <w:color w:val="000000"/>
          <w:vertAlign w:val="superscript"/>
          <w:lang w:val="en-CA"/>
        </w:rPr>
        <w:footnoteReference w:id="92"/>
      </w:r>
      <w:r w:rsidR="00EF378D" w:rsidRPr="00515AA2">
        <w:rPr>
          <w:color w:val="000000"/>
          <w:lang w:val="en-CA"/>
        </w:rPr>
        <w:t xml:space="preserve"> It does not always presuppose identical treatment</w:t>
      </w:r>
      <w:r w:rsidR="0042399B" w:rsidRPr="00515AA2">
        <w:rPr>
          <w:color w:val="000000"/>
          <w:lang w:val="en-CA"/>
        </w:rPr>
        <w:t xml:space="preserve">, </w:t>
      </w:r>
      <w:r w:rsidR="00EF378D" w:rsidRPr="00515AA2">
        <w:rPr>
          <w:color w:val="000000"/>
          <w:lang w:val="en-CA"/>
        </w:rPr>
        <w:t>because there may be circumstances where substantive equality requires, rather, th</w:t>
      </w:r>
      <w:r w:rsidR="008A4CF7" w:rsidRPr="00515AA2">
        <w:rPr>
          <w:color w:val="000000"/>
          <w:lang w:val="en-CA"/>
        </w:rPr>
        <w:t>at</w:t>
      </w:r>
      <w:r w:rsidR="00EF378D" w:rsidRPr="00515AA2">
        <w:rPr>
          <w:color w:val="000000"/>
          <w:lang w:val="en-CA"/>
        </w:rPr>
        <w:t xml:space="preserve"> persons or groups be treated different</w:t>
      </w:r>
      <w:r w:rsidR="000C7C63" w:rsidRPr="00515AA2">
        <w:rPr>
          <w:color w:val="000000"/>
          <w:lang w:val="en-CA"/>
        </w:rPr>
        <w:t>ly</w:t>
      </w:r>
      <w:r w:rsidR="00EF378D" w:rsidRPr="00515AA2">
        <w:rPr>
          <w:color w:val="000000"/>
          <w:lang w:val="en-CA"/>
        </w:rPr>
        <w:t xml:space="preserve">, to ensure </w:t>
      </w:r>
      <w:r w:rsidR="00E31DEC" w:rsidRPr="00515AA2">
        <w:rPr>
          <w:color w:val="000000"/>
          <w:lang w:val="en-CA"/>
        </w:rPr>
        <w:t xml:space="preserve">the accommodation of differences that may exist between them and to respond to their </w:t>
      </w:r>
      <w:r w:rsidR="00E31DEC" w:rsidRPr="00515AA2">
        <w:rPr>
          <w:color w:val="000000"/>
          <w:lang w:val="en-CA"/>
        </w:rPr>
        <w:lastRenderedPageBreak/>
        <w:t>specific needs.</w:t>
      </w:r>
      <w:r w:rsidR="00184D4F" w:rsidRPr="00515AA2">
        <w:rPr>
          <w:color w:val="000000"/>
          <w:vertAlign w:val="superscript"/>
          <w:lang w:val="en-CA"/>
        </w:rPr>
        <w:footnoteReference w:id="93"/>
      </w:r>
      <w:r w:rsidR="00184D4F" w:rsidRPr="00515AA2">
        <w:rPr>
          <w:color w:val="000000"/>
          <w:lang w:val="en-CA"/>
        </w:rPr>
        <w:t xml:space="preserve"> </w:t>
      </w:r>
      <w:r w:rsidR="00E31DEC" w:rsidRPr="00515AA2">
        <w:rPr>
          <w:color w:val="000000"/>
          <w:lang w:val="en-CA"/>
        </w:rPr>
        <w:t xml:space="preserve">The Supreme Court thus recognized that “not only does the </w:t>
      </w:r>
      <w:r w:rsidR="00E31DEC" w:rsidRPr="00515AA2">
        <w:rPr>
          <w:i/>
          <w:iCs/>
          <w:color w:val="000000"/>
          <w:lang w:val="en-CA"/>
        </w:rPr>
        <w:t>Charter</w:t>
      </w:r>
      <w:r w:rsidR="00E31DEC" w:rsidRPr="00515AA2">
        <w:rPr>
          <w:color w:val="000000"/>
          <w:lang w:val="en-CA"/>
        </w:rPr>
        <w:t xml:space="preserve"> protect from direct or intentional discrimination, it also protects from adverse impact discrimination,”</w:t>
      </w:r>
      <w:r w:rsidR="00016EAA" w:rsidRPr="00515AA2">
        <w:rPr>
          <w:color w:val="000000"/>
          <w:vertAlign w:val="superscript"/>
          <w:lang w:val="en-CA"/>
        </w:rPr>
        <w:footnoteReference w:id="94"/>
      </w:r>
      <w:r w:rsidR="00E31DEC" w:rsidRPr="00515AA2">
        <w:rPr>
          <w:color w:val="000000"/>
          <w:lang w:val="en-CA"/>
        </w:rPr>
        <w:t xml:space="preserve"> </w:t>
      </w:r>
      <w:r w:rsidR="008402A5" w:rsidRPr="00515AA2">
        <w:rPr>
          <w:color w:val="000000"/>
          <w:lang w:val="en-CA"/>
        </w:rPr>
        <w:t>because</w:t>
      </w:r>
      <w:r w:rsidR="00E31DEC" w:rsidRPr="00515AA2">
        <w:rPr>
          <w:color w:val="000000"/>
          <w:lang w:val="en-CA"/>
        </w:rPr>
        <w:t xml:space="preserve"> </w:t>
      </w:r>
      <w:r w:rsidR="008402A5" w:rsidRPr="00515AA2">
        <w:rPr>
          <w:color w:val="000000"/>
          <w:lang w:val="en-CA"/>
        </w:rPr>
        <w:t>“[a]t the heart of substantive equality is the recognition that identical or facially neutral treatment may frequently produce serious inequality.”</w:t>
      </w:r>
      <w:r w:rsidR="00016EAA" w:rsidRPr="00515AA2">
        <w:rPr>
          <w:color w:val="000000"/>
          <w:vertAlign w:val="superscript"/>
          <w:lang w:val="en-CA"/>
        </w:rPr>
        <w:footnoteReference w:id="95"/>
      </w:r>
    </w:p>
    <w:p w14:paraId="6017EE4A" w14:textId="572021F5" w:rsidR="00016EAA" w:rsidRPr="00515AA2" w:rsidRDefault="00C51838" w:rsidP="00F846E3">
      <w:pPr>
        <w:pStyle w:val="Paragraphe"/>
        <w:spacing w:line="280" w:lineRule="exact"/>
        <w:rPr>
          <w:color w:val="000000"/>
          <w:lang w:val="en-CA"/>
        </w:rPr>
      </w:pPr>
      <w:r w:rsidRPr="00515AA2">
        <w:rPr>
          <w:color w:val="000000"/>
          <w:lang w:val="en-CA"/>
        </w:rPr>
        <w:t>Consequently, the issue at the heart of the right to equality analysis is whether “the impugned law violates the animating norm of s</w:t>
      </w:r>
      <w:r w:rsidR="003B2473" w:rsidRPr="00515AA2">
        <w:rPr>
          <w:color w:val="000000"/>
          <w:lang w:val="en-CA"/>
        </w:rPr>
        <w:t>ection</w:t>
      </w:r>
      <w:r w:rsidRPr="00515AA2">
        <w:rPr>
          <w:color w:val="000000"/>
          <w:lang w:val="en-CA"/>
        </w:rPr>
        <w:t xml:space="preserve"> 15(1), substantive equality.”</w:t>
      </w:r>
      <w:r w:rsidR="00016EAA" w:rsidRPr="00515AA2">
        <w:rPr>
          <w:color w:val="000000"/>
          <w:vertAlign w:val="superscript"/>
          <w:lang w:val="en-CA"/>
        </w:rPr>
        <w:footnoteReference w:id="96"/>
      </w:r>
    </w:p>
    <w:bookmarkEnd w:id="60"/>
    <w:p w14:paraId="7E5A2DBF" w14:textId="3F24D1C4" w:rsidR="006D419A" w:rsidRPr="00515AA2" w:rsidRDefault="00C51838" w:rsidP="00F846E3">
      <w:pPr>
        <w:pStyle w:val="Paragraphe"/>
        <w:spacing w:line="280" w:lineRule="exact"/>
        <w:rPr>
          <w:color w:val="000000"/>
          <w:lang w:val="en-CA"/>
        </w:rPr>
      </w:pPr>
      <w:r w:rsidRPr="00515AA2">
        <w:rPr>
          <w:color w:val="000000"/>
          <w:lang w:val="en-CA"/>
        </w:rPr>
        <w:t>In deciding that issue</w:t>
      </w:r>
      <w:r w:rsidR="00834C7E" w:rsidRPr="00515AA2">
        <w:rPr>
          <w:color w:val="000000"/>
          <w:lang w:val="en-CA"/>
        </w:rPr>
        <w:t xml:space="preserve">, </w:t>
      </w:r>
      <w:r w:rsidRPr="00515AA2">
        <w:rPr>
          <w:color w:val="000000"/>
          <w:lang w:val="en-CA"/>
        </w:rPr>
        <w:t>the Supreme Court proposes a two-part analysis:</w:t>
      </w:r>
      <w:r w:rsidR="008F1A64" w:rsidRPr="00515AA2">
        <w:rPr>
          <w:rStyle w:val="Appelnotedebasdep"/>
          <w:color w:val="000000"/>
          <w:lang w:val="en-CA"/>
        </w:rPr>
        <w:footnoteReference w:id="97"/>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15AA2" w:rsidRPr="00515AA2" w14:paraId="4D66F182" w14:textId="77777777" w:rsidTr="006D419A">
        <w:tc>
          <w:tcPr>
            <w:tcW w:w="4681" w:type="dxa"/>
            <w:shd w:val="clear" w:color="auto" w:fill="auto"/>
          </w:tcPr>
          <w:p w14:paraId="18878F6D" w14:textId="77777777" w:rsidR="008D2F42" w:rsidRPr="00515AA2" w:rsidRDefault="008D2F42" w:rsidP="00D84C5B">
            <w:pPr>
              <w:pStyle w:val="Tableaudroiteanglais"/>
              <w:spacing w:line="240" w:lineRule="auto"/>
              <w:ind w:left="638" w:right="216"/>
              <w:rPr>
                <w:color w:val="000000"/>
                <w:szCs w:val="22"/>
              </w:rPr>
            </w:pPr>
            <w:r w:rsidRPr="00515AA2">
              <w:rPr>
                <w:color w:val="000000"/>
                <w:szCs w:val="22"/>
              </w:rPr>
              <w:t>[19]</w:t>
            </w:r>
            <w:r w:rsidRPr="00515AA2">
              <w:rPr>
                <w:b/>
                <w:bCs/>
                <w:color w:val="000000"/>
                <w:szCs w:val="22"/>
              </w:rPr>
              <w:tab/>
            </w:r>
            <w:r w:rsidRPr="00515AA2">
              <w:rPr>
                <w:color w:val="000000"/>
                <w:szCs w:val="22"/>
              </w:rPr>
              <w:t>The first part of the s. 15 analysis therefore asks whether, on its face or in its impact, a law creates a distinction on the basis of an enumerated or analogous ground. Limiting claims to enumerated or analogous grounds, which “stand as constant markers of suspect decision making or potential discrimination”, screens out those claims “having nothing to do with substantive equality and helps keep the focus on equality for groups that are disadvantaged in the larger social and economic context”. Claimants may frame their claim in terms of one protected ground or several, depending on the conduct at issue and how it interacts with the disadvantage imposed on members of the claimant’s group.</w:t>
            </w:r>
          </w:p>
          <w:p w14:paraId="645BF9F4" w14:textId="77777777" w:rsidR="008D2F42" w:rsidRPr="00515AA2" w:rsidRDefault="008D2F42" w:rsidP="00D84C5B">
            <w:pPr>
              <w:pStyle w:val="Tableaugauchefranais"/>
              <w:tabs>
                <w:tab w:val="right" w:pos="4323"/>
              </w:tabs>
              <w:ind w:left="638" w:right="216"/>
              <w:rPr>
                <w:color w:val="000000"/>
                <w:szCs w:val="22"/>
                <w:lang w:val="en-CA"/>
              </w:rPr>
            </w:pPr>
          </w:p>
        </w:tc>
        <w:tc>
          <w:tcPr>
            <w:tcW w:w="4681" w:type="dxa"/>
            <w:shd w:val="clear" w:color="auto" w:fill="auto"/>
          </w:tcPr>
          <w:p w14:paraId="23267BF3" w14:textId="62C4190F" w:rsidR="008D2F42" w:rsidRPr="00515AA2" w:rsidRDefault="008D2F42" w:rsidP="00D84C5B">
            <w:pPr>
              <w:pStyle w:val="Tableaugauchefranais"/>
              <w:spacing w:line="240" w:lineRule="auto"/>
              <w:ind w:left="209" w:right="646"/>
              <w:rPr>
                <w:color w:val="000000"/>
                <w:szCs w:val="22"/>
              </w:rPr>
            </w:pPr>
            <w:r w:rsidRPr="00515AA2">
              <w:rPr>
                <w:color w:val="000000"/>
                <w:szCs w:val="22"/>
              </w:rPr>
              <w:t>[19]</w:t>
            </w:r>
            <w:r w:rsidRPr="00515AA2">
              <w:rPr>
                <w:b/>
                <w:bCs/>
                <w:color w:val="000000"/>
                <w:szCs w:val="22"/>
              </w:rPr>
              <w:tab/>
            </w:r>
            <w:r w:rsidR="000F6EBB" w:rsidRPr="00515AA2">
              <w:rPr>
                <w:b/>
                <w:bCs/>
                <w:color w:val="000000"/>
                <w:szCs w:val="22"/>
              </w:rPr>
              <w:t xml:space="preserve">     </w:t>
            </w:r>
            <w:r w:rsidRPr="00515AA2">
              <w:rPr>
                <w:color w:val="000000"/>
                <w:szCs w:val="22"/>
              </w:rPr>
              <w:t>Le premier volet de l’analyse fondée sur l’art. 15 consiste donc à se demander si, à première vue ou de par son effet, une loi crée une distinction fondée sur un motif énuméré ou analogue. Limiter les demandes à celles fondées sur des motifs énumérés ou analogues — qui « constituent des indicateurs permanents de l’existence d’un processus décisionnel suspect ou de discrimination potentielle » —, permet d’écarter « les demandes [traduction] qui n’ont rien à voir avec l’égalité réelle et de mettre l’accent sur l’égalité dans le cas de groupes qui sont défavorisés dans un contexte social et économique plus large ». Le demandeur peut fonder son allégation sur un ou sur plusieurs motifs, selon l’acte de l’État en cause et son interaction avec le désavantage infligé aux membres du groupe dont il fait partie.</w:t>
            </w:r>
          </w:p>
          <w:p w14:paraId="3790E9D2" w14:textId="77777777" w:rsidR="008D2F42" w:rsidRPr="00515AA2" w:rsidRDefault="008D2F42" w:rsidP="00D84C5B">
            <w:pPr>
              <w:pStyle w:val="Tableaudroiteanglais"/>
              <w:tabs>
                <w:tab w:val="right" w:pos="3753"/>
              </w:tabs>
              <w:ind w:left="209" w:right="646"/>
              <w:rPr>
                <w:color w:val="000000"/>
                <w:szCs w:val="22"/>
                <w:lang w:val="fr-CA"/>
              </w:rPr>
            </w:pPr>
          </w:p>
        </w:tc>
      </w:tr>
      <w:tr w:rsidR="00515AA2" w:rsidRPr="00515AA2" w14:paraId="1D88A6B7" w14:textId="77777777" w:rsidTr="006D419A">
        <w:tc>
          <w:tcPr>
            <w:tcW w:w="4681" w:type="dxa"/>
            <w:shd w:val="clear" w:color="auto" w:fill="auto"/>
          </w:tcPr>
          <w:p w14:paraId="44E562CC" w14:textId="111D015E" w:rsidR="008D2F42" w:rsidRPr="00515AA2" w:rsidRDefault="008D2F42" w:rsidP="00D84C5B">
            <w:pPr>
              <w:pStyle w:val="Tableaudroiteanglais"/>
              <w:spacing w:line="240" w:lineRule="auto"/>
              <w:ind w:left="638" w:right="216"/>
              <w:rPr>
                <w:color w:val="000000"/>
              </w:rPr>
            </w:pPr>
            <w:r w:rsidRPr="00515AA2">
              <w:rPr>
                <w:color w:val="000000"/>
              </w:rPr>
              <w:t xml:space="preserve">[20] The second part of the analysis focuses on arbitrary — or discriminatory — disadvantage, that is, whether the impugned law fails to </w:t>
            </w:r>
            <w:r w:rsidRPr="00515AA2">
              <w:rPr>
                <w:color w:val="000000"/>
              </w:rPr>
              <w:lastRenderedPageBreak/>
              <w:t xml:space="preserve">respond to the actual capacities and needs of the members of the group and instead imposes burdens or denies a benefit in a manner that has the effect of reinforcing, perpetuating or exacerbating their disadvantage: </w:t>
            </w:r>
          </w:p>
          <w:p w14:paraId="113B61E1" w14:textId="77777777" w:rsidR="008D2F42" w:rsidRPr="00515AA2" w:rsidRDefault="008D2F42" w:rsidP="00D84C5B">
            <w:pPr>
              <w:pStyle w:val="Tableaugauchefranais"/>
              <w:tabs>
                <w:tab w:val="right" w:pos="4323"/>
              </w:tabs>
              <w:ind w:left="638" w:right="216"/>
              <w:rPr>
                <w:color w:val="000000"/>
                <w:lang w:val="en-CA"/>
              </w:rPr>
            </w:pPr>
          </w:p>
        </w:tc>
        <w:tc>
          <w:tcPr>
            <w:tcW w:w="4681" w:type="dxa"/>
            <w:shd w:val="clear" w:color="auto" w:fill="auto"/>
          </w:tcPr>
          <w:p w14:paraId="3FBD97CD" w14:textId="77777777" w:rsidR="008D2F42" w:rsidRPr="00515AA2" w:rsidRDefault="008D2F42" w:rsidP="00D84C5B">
            <w:pPr>
              <w:pStyle w:val="Tableaugauchefranais"/>
              <w:spacing w:line="240" w:lineRule="auto"/>
              <w:ind w:left="209" w:right="504"/>
              <w:rPr>
                <w:color w:val="000000"/>
              </w:rPr>
            </w:pPr>
            <w:r w:rsidRPr="00515AA2">
              <w:rPr>
                <w:color w:val="000000"/>
              </w:rPr>
              <w:lastRenderedPageBreak/>
              <w:t>[20]</w:t>
            </w:r>
            <w:r w:rsidRPr="00515AA2">
              <w:rPr>
                <w:color w:val="000000"/>
              </w:rPr>
              <w:tab/>
              <w:t xml:space="preserve">Le second volet de l’analyse est axé sur les désavantages arbitraires — ou discriminatoires —, c’est-à-dire sur la question de savoir si la loi contestée </w:t>
            </w:r>
            <w:r w:rsidRPr="00515AA2">
              <w:rPr>
                <w:color w:val="000000"/>
              </w:rPr>
              <w:lastRenderedPageBreak/>
              <w:t>ne répond pas aux capacités et aux besoins concrets des membres du groupe et leur impose plutôt un fardeau ou leur nie un avantage d’une manière qui a pour effet de renforcer, de perpétuer ou d’accentuer le désavantage dont ils sont victimes :</w:t>
            </w:r>
          </w:p>
          <w:p w14:paraId="2E26B208" w14:textId="77777777" w:rsidR="008D2F42" w:rsidRPr="00515AA2" w:rsidRDefault="008D2F42" w:rsidP="00D84C5B">
            <w:pPr>
              <w:pStyle w:val="Tableaudroiteanglais"/>
              <w:tabs>
                <w:tab w:val="right" w:pos="3753"/>
              </w:tabs>
              <w:ind w:left="209"/>
              <w:rPr>
                <w:color w:val="000000"/>
                <w:lang w:val="fr-CA"/>
              </w:rPr>
            </w:pPr>
          </w:p>
        </w:tc>
      </w:tr>
      <w:tr w:rsidR="00515AA2" w:rsidRPr="00515AA2" w14:paraId="35E4713A" w14:textId="77777777" w:rsidTr="006D419A">
        <w:tc>
          <w:tcPr>
            <w:tcW w:w="4681" w:type="dxa"/>
            <w:shd w:val="clear" w:color="auto" w:fill="auto"/>
          </w:tcPr>
          <w:p w14:paraId="01E3BB22" w14:textId="2402B5BE" w:rsidR="008D2F42" w:rsidRPr="00515AA2" w:rsidRDefault="008D2F42" w:rsidP="005F5EE8">
            <w:pPr>
              <w:pStyle w:val="Tableaugauchefranais"/>
              <w:spacing w:line="240" w:lineRule="auto"/>
              <w:ind w:left="922" w:right="358"/>
              <w:rPr>
                <w:color w:val="000000"/>
                <w:lang w:val="en-CA"/>
              </w:rPr>
            </w:pPr>
            <w:r w:rsidRPr="00515AA2">
              <w:rPr>
                <w:color w:val="000000"/>
                <w:lang w:val="en-CA"/>
              </w:rPr>
              <w:lastRenderedPageBreak/>
              <w:t>The root of s. 15 is our awareness that certain groups have been historically discriminated against, and that the perpetuation of such discrimination should be curtailed. If the state conduct widens the gap between the historically disadvantaged group and the rest of society rather than narrowing it, then it is discriminatory.</w:t>
            </w:r>
          </w:p>
        </w:tc>
        <w:tc>
          <w:tcPr>
            <w:tcW w:w="4681" w:type="dxa"/>
            <w:shd w:val="clear" w:color="auto" w:fill="auto"/>
          </w:tcPr>
          <w:p w14:paraId="188EB5E3" w14:textId="7107550B" w:rsidR="008D2F42" w:rsidRPr="00515AA2" w:rsidRDefault="008D2F42" w:rsidP="005F5EE8">
            <w:pPr>
              <w:pStyle w:val="Tableaudroiteanglais"/>
              <w:spacing w:line="240" w:lineRule="auto"/>
              <w:ind w:left="776" w:right="504"/>
              <w:rPr>
                <w:color w:val="000000"/>
                <w:lang w:val="fr-CA"/>
              </w:rPr>
            </w:pPr>
            <w:r w:rsidRPr="00515AA2">
              <w:rPr>
                <w:color w:val="000000"/>
                <w:lang w:val="fr-CA"/>
              </w:rPr>
              <w:t>À la base, l’art. 15 résulte d’une prise de conscience que certains groupes ont depuis longtemps été victimes de discrimination, et qu’il faut mettre fin à la perpétuation de cette discrimination. Les actes de l’État qui ont pour effet d’élargir, au lieu de rétrécir, l’écart entre le groupe historiquement défavorisé et le reste de la société sont discriminatoires.</w:t>
            </w:r>
          </w:p>
        </w:tc>
      </w:tr>
      <w:tr w:rsidR="00515AA2" w:rsidRPr="00515AA2" w14:paraId="18644D6E" w14:textId="77777777" w:rsidTr="006D419A">
        <w:tc>
          <w:tcPr>
            <w:tcW w:w="4681" w:type="dxa"/>
            <w:shd w:val="clear" w:color="auto" w:fill="auto"/>
          </w:tcPr>
          <w:p w14:paraId="34E0F8CE" w14:textId="77777777" w:rsidR="008D2F42" w:rsidRPr="00515AA2" w:rsidRDefault="008D2F42" w:rsidP="00F846E3">
            <w:pPr>
              <w:pStyle w:val="Tableaugauchefranais"/>
              <w:tabs>
                <w:tab w:val="right" w:pos="4323"/>
              </w:tabs>
              <w:rPr>
                <w:color w:val="000000"/>
              </w:rPr>
            </w:pPr>
          </w:p>
        </w:tc>
        <w:tc>
          <w:tcPr>
            <w:tcW w:w="4681" w:type="dxa"/>
            <w:shd w:val="clear" w:color="auto" w:fill="auto"/>
          </w:tcPr>
          <w:p w14:paraId="35B5BEC5" w14:textId="6E4AC845" w:rsidR="008D2F42" w:rsidRPr="00515AA2" w:rsidRDefault="008D2F42" w:rsidP="000F693A">
            <w:pPr>
              <w:pStyle w:val="Tableaudroiteanglais"/>
              <w:tabs>
                <w:tab w:val="right" w:pos="3753"/>
              </w:tabs>
              <w:jc w:val="right"/>
              <w:rPr>
                <w:color w:val="000000"/>
                <w:lang w:val="fr-CA"/>
              </w:rPr>
            </w:pPr>
            <w:r w:rsidRPr="00515AA2">
              <w:rPr>
                <w:color w:val="000000"/>
              </w:rPr>
              <w:t>[References omitted]</w:t>
            </w:r>
          </w:p>
        </w:tc>
      </w:tr>
    </w:tbl>
    <w:p w14:paraId="37B6D2CB" w14:textId="226769A4" w:rsidR="00016EAA" w:rsidRPr="00515AA2" w:rsidRDefault="00D53E02" w:rsidP="00F846E3">
      <w:pPr>
        <w:pStyle w:val="Paragraphe"/>
        <w:spacing w:line="280" w:lineRule="exact"/>
        <w:rPr>
          <w:color w:val="000000"/>
          <w:lang w:val="en-CA"/>
        </w:rPr>
      </w:pPr>
      <w:r w:rsidRPr="00515AA2">
        <w:rPr>
          <w:color w:val="000000"/>
          <w:lang w:val="en-CA"/>
        </w:rPr>
        <w:t>As it noted more recently in</w:t>
      </w:r>
      <w:r w:rsidR="00946A8E" w:rsidRPr="00515AA2">
        <w:rPr>
          <w:color w:val="000000"/>
          <w:lang w:val="en-CA"/>
        </w:rPr>
        <w:t xml:space="preserve"> </w:t>
      </w:r>
      <w:r w:rsidR="00946A8E" w:rsidRPr="00515AA2">
        <w:rPr>
          <w:i/>
          <w:iCs/>
          <w:color w:val="000000"/>
          <w:lang w:val="en-CA"/>
        </w:rPr>
        <w:t>Fraser</w:t>
      </w:r>
      <w:r w:rsidR="00016EAA" w:rsidRPr="00515AA2">
        <w:rPr>
          <w:color w:val="000000"/>
          <w:lang w:val="en-CA"/>
        </w:rPr>
        <w:t xml:space="preserve">, </w:t>
      </w:r>
      <w:r w:rsidRPr="00515AA2">
        <w:rPr>
          <w:color w:val="000000"/>
          <w:lang w:val="en-CA"/>
        </w:rPr>
        <w:t>the test requires that the party relying on it show</w:t>
      </w:r>
      <w:r w:rsidR="00016EAA" w:rsidRPr="00515AA2">
        <w:rPr>
          <w:color w:val="000000"/>
          <w:lang w:val="en-CA"/>
        </w:rPr>
        <w:t xml:space="preserve"> </w:t>
      </w:r>
      <w:r w:rsidRPr="00515AA2">
        <w:rPr>
          <w:color w:val="000000"/>
          <w:lang w:val="en-CA"/>
        </w:rPr>
        <w:t>“that a law or policy creates a distinction based on a protected ground, and that the law perpetuates, reinforces or exacerbates disadvantage.”</w:t>
      </w:r>
      <w:r w:rsidR="00016EAA" w:rsidRPr="00515AA2">
        <w:rPr>
          <w:color w:val="000000"/>
          <w:vertAlign w:val="superscript"/>
          <w:lang w:val="en-CA"/>
        </w:rPr>
        <w:footnoteReference w:id="98"/>
      </w:r>
    </w:p>
    <w:p w14:paraId="76F7B5E7" w14:textId="531FB1DE" w:rsidR="00485159" w:rsidRPr="00515AA2" w:rsidRDefault="00D53E02" w:rsidP="00F846E3">
      <w:pPr>
        <w:pStyle w:val="Paragraphe"/>
        <w:spacing w:line="280" w:lineRule="exact"/>
        <w:rPr>
          <w:color w:val="000000"/>
          <w:lang w:val="en-CA"/>
        </w:rPr>
      </w:pPr>
      <w:r w:rsidRPr="00515AA2">
        <w:rPr>
          <w:color w:val="000000"/>
          <w:lang w:val="en-CA"/>
        </w:rPr>
        <w:t>Here</w:t>
      </w:r>
      <w:r w:rsidR="00DC562D" w:rsidRPr="00515AA2">
        <w:rPr>
          <w:color w:val="000000"/>
          <w:lang w:val="en-CA"/>
        </w:rPr>
        <w:t xml:space="preserve">, </w:t>
      </w:r>
      <w:r w:rsidRPr="00515AA2">
        <w:rPr>
          <w:color w:val="000000"/>
          <w:lang w:val="en-CA"/>
        </w:rPr>
        <w:t>the judge’s finding that s</w:t>
      </w:r>
      <w:r w:rsidR="003B2473" w:rsidRPr="00515AA2">
        <w:rPr>
          <w:color w:val="000000"/>
          <w:lang w:val="en-CA"/>
        </w:rPr>
        <w:t>ection</w:t>
      </w:r>
      <w:r w:rsidR="00485159" w:rsidRPr="00515AA2">
        <w:rPr>
          <w:color w:val="000000"/>
          <w:lang w:val="en-CA"/>
        </w:rPr>
        <w:t xml:space="preserve"> 23.2 </w:t>
      </w:r>
      <w:r w:rsidR="009767D3" w:rsidRPr="00515AA2">
        <w:rPr>
          <w:color w:val="000000"/>
          <w:lang w:val="en-CA"/>
        </w:rPr>
        <w:t>of the</w:t>
      </w:r>
      <w:r w:rsidR="00485159" w:rsidRPr="00515AA2">
        <w:rPr>
          <w:color w:val="000000"/>
          <w:lang w:val="en-CA"/>
        </w:rPr>
        <w:t xml:space="preserve"> </w:t>
      </w:r>
      <w:r w:rsidR="00485159" w:rsidRPr="00515AA2">
        <w:rPr>
          <w:i/>
          <w:iCs/>
          <w:color w:val="000000"/>
          <w:lang w:val="en-CA"/>
        </w:rPr>
        <w:t>R</w:t>
      </w:r>
      <w:r w:rsidR="009767D3" w:rsidRPr="00515AA2">
        <w:rPr>
          <w:i/>
          <w:iCs/>
          <w:color w:val="000000"/>
          <w:lang w:val="en-CA"/>
        </w:rPr>
        <w:t>egulation</w:t>
      </w:r>
      <w:r w:rsidR="00485159" w:rsidRPr="00515AA2">
        <w:rPr>
          <w:color w:val="000000"/>
          <w:lang w:val="en-CA"/>
        </w:rPr>
        <w:t xml:space="preserve"> </w:t>
      </w:r>
      <w:r w:rsidR="009767D3" w:rsidRPr="00515AA2">
        <w:rPr>
          <w:color w:val="000000"/>
          <w:lang w:val="en-CA"/>
        </w:rPr>
        <w:t>creates a distinction on the basis of age is not challenged</w:t>
      </w:r>
      <w:r w:rsidR="00016EAA" w:rsidRPr="00515AA2">
        <w:rPr>
          <w:color w:val="000000"/>
          <w:lang w:val="en-CA"/>
        </w:rPr>
        <w:t xml:space="preserve">: </w:t>
      </w:r>
      <w:r w:rsidR="009767D3" w:rsidRPr="00515AA2">
        <w:rPr>
          <w:color w:val="000000"/>
          <w:lang w:val="en-CA"/>
        </w:rPr>
        <w:t xml:space="preserve">on its face, the documents required are different depending on whether </w:t>
      </w:r>
      <w:r w:rsidR="00580948" w:rsidRPr="00515AA2">
        <w:rPr>
          <w:color w:val="000000"/>
          <w:lang w:val="en-CA"/>
        </w:rPr>
        <w:t>the</w:t>
      </w:r>
      <w:r w:rsidR="009767D3" w:rsidRPr="00515AA2">
        <w:rPr>
          <w:color w:val="000000"/>
          <w:lang w:val="en-CA"/>
        </w:rPr>
        <w:t xml:space="preserve"> person</w:t>
      </w:r>
      <w:r w:rsidR="00580948" w:rsidRPr="00515AA2">
        <w:rPr>
          <w:color w:val="000000"/>
          <w:lang w:val="en-CA"/>
        </w:rPr>
        <w:t xml:space="preserve"> involved is</w:t>
      </w:r>
      <w:r w:rsidR="009767D3" w:rsidRPr="00515AA2">
        <w:rPr>
          <w:color w:val="000000"/>
          <w:lang w:val="en-CA"/>
        </w:rPr>
        <w:t xml:space="preserve"> of full age or a minor</w:t>
      </w:r>
      <w:r w:rsidR="00016EAA" w:rsidRPr="00515AA2">
        <w:rPr>
          <w:color w:val="000000"/>
          <w:lang w:val="en-CA"/>
        </w:rPr>
        <w:t xml:space="preserve">. </w:t>
      </w:r>
      <w:r w:rsidR="009767D3" w:rsidRPr="00515AA2">
        <w:rPr>
          <w:color w:val="000000"/>
          <w:lang w:val="en-CA"/>
        </w:rPr>
        <w:t>Indeed, that distinction is expressly authorized by paragraph 5 of art</w:t>
      </w:r>
      <w:r w:rsidR="003B2473" w:rsidRPr="00515AA2">
        <w:rPr>
          <w:color w:val="000000"/>
          <w:lang w:val="en-CA"/>
        </w:rPr>
        <w:t>icle</w:t>
      </w:r>
      <w:r w:rsidR="00730AD4" w:rsidRPr="00515AA2">
        <w:rPr>
          <w:color w:val="000000"/>
          <w:lang w:val="en-CA"/>
        </w:rPr>
        <w:t xml:space="preserve"> </w:t>
      </w:r>
      <w:r w:rsidR="00485159" w:rsidRPr="00515AA2">
        <w:rPr>
          <w:color w:val="000000"/>
          <w:lang w:val="en-CA"/>
        </w:rPr>
        <w:t>71</w:t>
      </w:r>
      <w:r w:rsidR="00D73B49" w:rsidRPr="00515AA2">
        <w:rPr>
          <w:color w:val="000000"/>
          <w:lang w:val="en-CA"/>
        </w:rPr>
        <w:t> </w:t>
      </w:r>
      <w:r w:rsidR="00485159" w:rsidRPr="00515AA2">
        <w:rPr>
          <w:i/>
          <w:iCs/>
          <w:color w:val="000000"/>
          <w:lang w:val="en-CA"/>
        </w:rPr>
        <w:t>C.</w:t>
      </w:r>
      <w:r w:rsidR="009767D3" w:rsidRPr="00515AA2">
        <w:rPr>
          <w:i/>
          <w:iCs/>
          <w:color w:val="000000"/>
          <w:lang w:val="en-CA"/>
        </w:rPr>
        <w:t>C</w:t>
      </w:r>
      <w:r w:rsidR="00485159" w:rsidRPr="00515AA2">
        <w:rPr>
          <w:i/>
          <w:iCs/>
          <w:color w:val="000000"/>
          <w:lang w:val="en-CA"/>
        </w:rPr>
        <w:t>.Q.</w:t>
      </w:r>
      <w:r w:rsidR="00485159" w:rsidRPr="00515AA2">
        <w:rPr>
          <w:color w:val="000000"/>
          <w:lang w:val="en-CA"/>
        </w:rPr>
        <w:t> </w:t>
      </w:r>
      <w:r w:rsidR="009767D3" w:rsidRPr="00515AA2">
        <w:rPr>
          <w:color w:val="000000"/>
          <w:lang w:val="en-CA"/>
        </w:rPr>
        <w:t>whose constitutionality is not in question</w:t>
      </w:r>
      <w:r w:rsidR="00C738A8" w:rsidRPr="00515AA2">
        <w:rPr>
          <w:color w:val="000000"/>
          <w:lang w:val="en-CA"/>
        </w:rPr>
        <w:t>.</w:t>
      </w:r>
      <w:r w:rsidR="005E5834" w:rsidRPr="00515AA2">
        <w:rPr>
          <w:color w:val="000000"/>
          <w:lang w:val="en-CA"/>
        </w:rPr>
        <w:t xml:space="preserve"> </w:t>
      </w:r>
      <w:r w:rsidR="009767D3" w:rsidRPr="00515AA2">
        <w:rPr>
          <w:color w:val="000000"/>
          <w:lang w:val="en-CA"/>
        </w:rPr>
        <w:t>It provides</w:t>
      </w:r>
      <w:r w:rsidR="00485159" w:rsidRPr="00515AA2">
        <w:rPr>
          <w:color w:val="000000"/>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15AA2" w:rsidRPr="00515AA2" w14:paraId="09ED09A9" w14:textId="77777777" w:rsidTr="00D047C0">
        <w:tc>
          <w:tcPr>
            <w:tcW w:w="4681" w:type="dxa"/>
            <w:shd w:val="clear" w:color="auto" w:fill="auto"/>
          </w:tcPr>
          <w:p w14:paraId="6A404B7E" w14:textId="6F2C0B75" w:rsidR="00E40E14" w:rsidRPr="00515AA2" w:rsidRDefault="00E40E14" w:rsidP="00866F02">
            <w:pPr>
              <w:pStyle w:val="Tableaugauchefranais"/>
              <w:spacing w:line="240" w:lineRule="auto"/>
              <w:rPr>
                <w:color w:val="000000"/>
                <w:lang w:val="en-CA"/>
              </w:rPr>
            </w:pPr>
            <w:r w:rsidRPr="00515AA2">
              <w:rPr>
                <w:color w:val="000000"/>
                <w:lang w:val="en-CA"/>
              </w:rPr>
              <w:t>The conditions prescribed by government regulation that must be met to obtain such changes may vary, in particular according to the age of the person who is the subject of the application.</w:t>
            </w:r>
          </w:p>
        </w:tc>
        <w:tc>
          <w:tcPr>
            <w:tcW w:w="4681" w:type="dxa"/>
            <w:shd w:val="clear" w:color="auto" w:fill="auto"/>
          </w:tcPr>
          <w:p w14:paraId="3F9D204D" w14:textId="45F069FF" w:rsidR="00E40E14" w:rsidRPr="00515AA2" w:rsidRDefault="00E40E14" w:rsidP="00866F02">
            <w:pPr>
              <w:pStyle w:val="Tableaudroiteanglais"/>
              <w:spacing w:line="240" w:lineRule="auto"/>
              <w:rPr>
                <w:color w:val="000000"/>
                <w:lang w:val="fr-CA"/>
              </w:rPr>
            </w:pPr>
            <w:r w:rsidRPr="00515AA2">
              <w:rPr>
                <w:color w:val="000000"/>
                <w:lang w:val="fr-CA"/>
              </w:rPr>
              <w:t>Les conditions déterminées par règlement du gouvernement qui doivent être satisfaites pour obtenir de telles modifications peuvent varier notamment en fonction de l’âge de la personne visée par la demande.</w:t>
            </w:r>
          </w:p>
        </w:tc>
      </w:tr>
    </w:tbl>
    <w:p w14:paraId="07AE75B6" w14:textId="1226460B" w:rsidR="00494636" w:rsidRPr="00515AA2" w:rsidRDefault="009767D3" w:rsidP="00F846E3">
      <w:pPr>
        <w:pStyle w:val="Paragraphe"/>
        <w:spacing w:line="280" w:lineRule="exact"/>
        <w:rPr>
          <w:color w:val="000000"/>
          <w:lang w:val="en-CA"/>
        </w:rPr>
      </w:pPr>
      <w:r w:rsidRPr="00515AA2">
        <w:rPr>
          <w:color w:val="000000"/>
          <w:lang w:val="en-CA"/>
        </w:rPr>
        <w:t>However, the respondent</w:t>
      </w:r>
      <w:r w:rsidR="00DA3631" w:rsidRPr="00515AA2">
        <w:rPr>
          <w:color w:val="000000"/>
          <w:lang w:val="en-CA"/>
        </w:rPr>
        <w:t>s</w:t>
      </w:r>
      <w:r w:rsidRPr="00515AA2">
        <w:rPr>
          <w:color w:val="000000"/>
          <w:lang w:val="en-CA"/>
        </w:rPr>
        <w:t xml:space="preserve"> argue that </w:t>
      </w:r>
      <w:r w:rsidR="00DA3631" w:rsidRPr="00515AA2">
        <w:rPr>
          <w:color w:val="000000"/>
          <w:lang w:val="en-CA"/>
        </w:rPr>
        <w:t xml:space="preserve">what is at stake </w:t>
      </w:r>
      <w:r w:rsidR="00580948" w:rsidRPr="00515AA2">
        <w:rPr>
          <w:color w:val="000000"/>
          <w:lang w:val="en-CA"/>
        </w:rPr>
        <w:t xml:space="preserve">here </w:t>
      </w:r>
      <w:r w:rsidR="00DA3631" w:rsidRPr="00515AA2">
        <w:rPr>
          <w:color w:val="000000"/>
          <w:lang w:val="en-CA"/>
        </w:rPr>
        <w:t>goes beyond the sole issue of age-based discrimination and that the provision discriminates against transgender and non-binary people</w:t>
      </w:r>
      <w:r w:rsidR="00331DFF" w:rsidRPr="00515AA2">
        <w:rPr>
          <w:color w:val="000000"/>
          <w:lang w:val="en-CA"/>
        </w:rPr>
        <w:t>.</w:t>
      </w:r>
    </w:p>
    <w:p w14:paraId="37796E0F" w14:textId="0E0B08D2" w:rsidR="00BD33DF" w:rsidRPr="00515AA2" w:rsidRDefault="00DA3631" w:rsidP="00F846E3">
      <w:pPr>
        <w:pStyle w:val="Paragraphe"/>
        <w:spacing w:line="280" w:lineRule="exact"/>
        <w:rPr>
          <w:color w:val="000000"/>
          <w:lang w:val="en-CA"/>
        </w:rPr>
      </w:pPr>
      <w:r w:rsidRPr="00515AA2">
        <w:rPr>
          <w:color w:val="000000"/>
          <w:lang w:val="en-CA"/>
        </w:rPr>
        <w:t>We disagree</w:t>
      </w:r>
      <w:r w:rsidR="00580948" w:rsidRPr="00515AA2">
        <w:rPr>
          <w:color w:val="000000"/>
          <w:lang w:val="en-CA"/>
        </w:rPr>
        <w:t>.</w:t>
      </w:r>
      <w:r w:rsidRPr="00515AA2">
        <w:rPr>
          <w:color w:val="000000"/>
          <w:lang w:val="en-CA"/>
        </w:rPr>
        <w:t xml:space="preserve"> </w:t>
      </w:r>
      <w:r w:rsidR="00580948" w:rsidRPr="00515AA2">
        <w:rPr>
          <w:color w:val="000000"/>
          <w:lang w:val="en-CA"/>
        </w:rPr>
        <w:t>I</w:t>
      </w:r>
      <w:r w:rsidRPr="00515AA2">
        <w:rPr>
          <w:color w:val="000000"/>
          <w:lang w:val="en-CA"/>
        </w:rPr>
        <w:t>n our view</w:t>
      </w:r>
      <w:r w:rsidR="00D3600A" w:rsidRPr="00515AA2">
        <w:rPr>
          <w:color w:val="000000"/>
          <w:lang w:val="en-CA"/>
        </w:rPr>
        <w:t xml:space="preserve">, </w:t>
      </w:r>
      <w:r w:rsidRPr="00515AA2">
        <w:rPr>
          <w:color w:val="000000"/>
          <w:lang w:val="en-CA"/>
        </w:rPr>
        <w:t>the</w:t>
      </w:r>
      <w:r w:rsidR="004C71CE" w:rsidRPr="00515AA2">
        <w:rPr>
          <w:color w:val="000000"/>
          <w:lang w:val="en-CA"/>
        </w:rPr>
        <w:t xml:space="preserve"> </w:t>
      </w:r>
      <w:r w:rsidRPr="00515AA2">
        <w:rPr>
          <w:i/>
          <w:iCs/>
          <w:color w:val="000000"/>
          <w:lang w:val="en-CA"/>
        </w:rPr>
        <w:t xml:space="preserve">Regulation </w:t>
      </w:r>
      <w:r w:rsidRPr="00515AA2">
        <w:rPr>
          <w:color w:val="000000"/>
          <w:lang w:val="en-CA"/>
        </w:rPr>
        <w:t>creates no distinction based on gender identity</w:t>
      </w:r>
      <w:r w:rsidR="00D3600A" w:rsidRPr="00515AA2">
        <w:rPr>
          <w:color w:val="000000"/>
          <w:lang w:val="en-CA"/>
        </w:rPr>
        <w:t xml:space="preserve">. </w:t>
      </w:r>
      <w:r w:rsidRPr="00515AA2">
        <w:rPr>
          <w:color w:val="000000"/>
          <w:lang w:val="en-CA"/>
        </w:rPr>
        <w:t>It allows any person wishing to change the designation of sex that appears in their act of birth to do so by complying with certain condition</w:t>
      </w:r>
      <w:r w:rsidR="00A60C9D" w:rsidRPr="00515AA2">
        <w:rPr>
          <w:color w:val="000000"/>
          <w:lang w:val="en-CA"/>
        </w:rPr>
        <w:t>s</w:t>
      </w:r>
      <w:r w:rsidRPr="00515AA2">
        <w:rPr>
          <w:color w:val="000000"/>
          <w:lang w:val="en-CA"/>
        </w:rPr>
        <w:t xml:space="preserve"> without making any distinction other than a distinction based on age</w:t>
      </w:r>
      <w:r w:rsidR="00F369DA" w:rsidRPr="00515AA2">
        <w:rPr>
          <w:color w:val="000000"/>
          <w:lang w:val="en-CA"/>
        </w:rPr>
        <w:t xml:space="preserve">. </w:t>
      </w:r>
      <w:r w:rsidR="009439C0" w:rsidRPr="00515AA2">
        <w:rPr>
          <w:color w:val="000000"/>
          <w:lang w:val="en-CA"/>
        </w:rPr>
        <w:t>Of course</w:t>
      </w:r>
      <w:r w:rsidRPr="00515AA2">
        <w:rPr>
          <w:color w:val="000000"/>
          <w:lang w:val="en-CA"/>
        </w:rPr>
        <w:t xml:space="preserve">, those conditions </w:t>
      </w:r>
      <w:r w:rsidR="009439C0" w:rsidRPr="00515AA2">
        <w:rPr>
          <w:color w:val="000000"/>
          <w:lang w:val="en-CA"/>
        </w:rPr>
        <w:t xml:space="preserve">effectively </w:t>
      </w:r>
      <w:r w:rsidRPr="00515AA2">
        <w:rPr>
          <w:color w:val="000000"/>
          <w:lang w:val="en-CA"/>
        </w:rPr>
        <w:lastRenderedPageBreak/>
        <w:t xml:space="preserve">apply only to people who wish to change the designation of their sex in their act of birth, </w:t>
      </w:r>
      <w:r w:rsidR="00580948" w:rsidRPr="00515AA2">
        <w:rPr>
          <w:color w:val="000000"/>
          <w:lang w:val="en-CA"/>
        </w:rPr>
        <w:t>that is,</w:t>
      </w:r>
      <w:r w:rsidRPr="00515AA2">
        <w:rPr>
          <w:color w:val="000000"/>
          <w:lang w:val="en-CA"/>
        </w:rPr>
        <w:t xml:space="preserve"> </w:t>
      </w:r>
      <w:r w:rsidR="005677B0" w:rsidRPr="00515AA2">
        <w:rPr>
          <w:color w:val="000000"/>
          <w:lang w:val="en-CA"/>
        </w:rPr>
        <w:t xml:space="preserve">only </w:t>
      </w:r>
      <w:r w:rsidRPr="00515AA2">
        <w:rPr>
          <w:color w:val="000000"/>
          <w:lang w:val="en-CA"/>
        </w:rPr>
        <w:t>transgender and/or non-binary people</w:t>
      </w:r>
      <w:r w:rsidR="00DD22EE" w:rsidRPr="00515AA2">
        <w:rPr>
          <w:color w:val="000000"/>
          <w:lang w:val="en-CA"/>
        </w:rPr>
        <w:t xml:space="preserve">. </w:t>
      </w:r>
      <w:r w:rsidRPr="00515AA2">
        <w:rPr>
          <w:color w:val="000000"/>
          <w:lang w:val="en-CA"/>
        </w:rPr>
        <w:t xml:space="preserve">However, </w:t>
      </w:r>
      <w:r w:rsidR="00A60C9D" w:rsidRPr="00515AA2">
        <w:rPr>
          <w:color w:val="000000"/>
          <w:lang w:val="en-CA"/>
        </w:rPr>
        <w:t xml:space="preserve">subjecting such a change to certain conditions is not </w:t>
      </w:r>
      <w:r w:rsidR="00A60C9D" w:rsidRPr="00515AA2">
        <w:rPr>
          <w:i/>
          <w:iCs/>
          <w:color w:val="000000"/>
          <w:lang w:val="en-CA"/>
        </w:rPr>
        <w:t>per se</w:t>
      </w:r>
      <w:r w:rsidR="00A60C9D" w:rsidRPr="00515AA2">
        <w:rPr>
          <w:color w:val="000000"/>
          <w:lang w:val="en-CA"/>
        </w:rPr>
        <w:t xml:space="preserve"> discriminatory and it cannot be argued that the </w:t>
      </w:r>
      <w:r w:rsidR="007034C8" w:rsidRPr="00515AA2">
        <w:rPr>
          <w:i/>
          <w:iCs/>
          <w:color w:val="000000"/>
          <w:lang w:val="en-CA"/>
        </w:rPr>
        <w:t>R</w:t>
      </w:r>
      <w:r w:rsidR="00A60C9D" w:rsidRPr="00515AA2">
        <w:rPr>
          <w:i/>
          <w:iCs/>
          <w:color w:val="000000"/>
          <w:lang w:val="en-CA"/>
        </w:rPr>
        <w:t>egulation</w:t>
      </w:r>
      <w:r w:rsidR="007034C8" w:rsidRPr="00515AA2">
        <w:rPr>
          <w:i/>
          <w:iCs/>
          <w:color w:val="000000"/>
          <w:lang w:val="en-CA"/>
        </w:rPr>
        <w:t xml:space="preserve"> </w:t>
      </w:r>
      <w:r w:rsidR="00A60C9D" w:rsidRPr="00515AA2">
        <w:rPr>
          <w:color w:val="000000"/>
          <w:lang w:val="en-CA"/>
        </w:rPr>
        <w:t>thus creates inequality</w:t>
      </w:r>
      <w:r w:rsidR="007034C8" w:rsidRPr="00515AA2">
        <w:rPr>
          <w:color w:val="000000"/>
          <w:lang w:val="en-CA"/>
        </w:rPr>
        <w:t xml:space="preserve"> </w:t>
      </w:r>
      <w:r w:rsidR="00A60C9D" w:rsidRPr="00515AA2">
        <w:rPr>
          <w:color w:val="000000"/>
          <w:lang w:val="en-CA"/>
        </w:rPr>
        <w:t>with cisgender people or that i</w:t>
      </w:r>
      <w:r w:rsidR="00580948" w:rsidRPr="00515AA2">
        <w:rPr>
          <w:color w:val="000000"/>
          <w:lang w:val="en-CA"/>
        </w:rPr>
        <w:t>t</w:t>
      </w:r>
      <w:r w:rsidR="00A60C9D" w:rsidRPr="00515AA2">
        <w:rPr>
          <w:color w:val="000000"/>
          <w:lang w:val="en-CA"/>
        </w:rPr>
        <w:t xml:space="preserve"> imposes upon transgender o</w:t>
      </w:r>
      <w:r w:rsidR="009439C0" w:rsidRPr="00515AA2">
        <w:rPr>
          <w:color w:val="000000"/>
          <w:lang w:val="en-CA"/>
        </w:rPr>
        <w:t>r</w:t>
      </w:r>
      <w:r w:rsidR="00A60C9D" w:rsidRPr="00515AA2">
        <w:rPr>
          <w:color w:val="000000"/>
          <w:lang w:val="en-CA"/>
        </w:rPr>
        <w:t xml:space="preserve"> non-binary people more stringent conditions than</w:t>
      </w:r>
      <w:r w:rsidR="009439C0" w:rsidRPr="00515AA2">
        <w:rPr>
          <w:color w:val="000000"/>
          <w:lang w:val="en-CA"/>
        </w:rPr>
        <w:t xml:space="preserve"> those that apply</w:t>
      </w:r>
      <w:r w:rsidR="00A60C9D" w:rsidRPr="00515AA2">
        <w:rPr>
          <w:color w:val="000000"/>
          <w:lang w:val="en-CA"/>
        </w:rPr>
        <w:t xml:space="preserve"> to cisgender people</w:t>
      </w:r>
      <w:r w:rsidR="007034C8" w:rsidRPr="00515AA2">
        <w:rPr>
          <w:color w:val="000000"/>
          <w:lang w:val="en-CA"/>
        </w:rPr>
        <w:t xml:space="preserve">. </w:t>
      </w:r>
      <w:r w:rsidR="00764453" w:rsidRPr="00515AA2">
        <w:rPr>
          <w:color w:val="000000"/>
          <w:lang w:val="en-CA"/>
        </w:rPr>
        <w:t>Accepting this</w:t>
      </w:r>
      <w:r w:rsidR="00A60C9D" w:rsidRPr="00515AA2">
        <w:rPr>
          <w:color w:val="000000"/>
          <w:lang w:val="en-CA"/>
        </w:rPr>
        <w:t xml:space="preserve"> argument</w:t>
      </w:r>
      <w:r w:rsidR="00BD33DF" w:rsidRPr="00515AA2">
        <w:rPr>
          <w:color w:val="000000"/>
          <w:lang w:val="en-CA"/>
        </w:rPr>
        <w:t xml:space="preserve"> </w:t>
      </w:r>
      <w:r w:rsidR="00A60C9D" w:rsidRPr="00515AA2">
        <w:rPr>
          <w:color w:val="000000"/>
          <w:lang w:val="en-CA"/>
        </w:rPr>
        <w:t xml:space="preserve">would </w:t>
      </w:r>
      <w:r w:rsidR="00764453" w:rsidRPr="00515AA2">
        <w:rPr>
          <w:color w:val="000000"/>
          <w:lang w:val="en-CA"/>
        </w:rPr>
        <w:t>compel</w:t>
      </w:r>
      <w:r w:rsidR="00A60C9D" w:rsidRPr="00515AA2">
        <w:rPr>
          <w:color w:val="000000"/>
          <w:lang w:val="en-CA"/>
        </w:rPr>
        <w:t xml:space="preserve"> us to conclude that by allowing transgender or non-binary people to change the designation of sex that appears in their act of birth, upon certain conditions, </w:t>
      </w:r>
      <w:r w:rsidR="00BD33DF" w:rsidRPr="00515AA2">
        <w:rPr>
          <w:color w:val="000000"/>
          <w:lang w:val="en-CA"/>
        </w:rPr>
        <w:t>art</w:t>
      </w:r>
      <w:r w:rsidR="003B2473" w:rsidRPr="00515AA2">
        <w:rPr>
          <w:color w:val="000000"/>
          <w:lang w:val="en-CA"/>
        </w:rPr>
        <w:t>icle</w:t>
      </w:r>
      <w:r w:rsidR="00BD33DF" w:rsidRPr="00515AA2">
        <w:rPr>
          <w:color w:val="000000"/>
          <w:lang w:val="en-CA"/>
        </w:rPr>
        <w:t xml:space="preserve"> 71</w:t>
      </w:r>
      <w:r w:rsidR="00061665" w:rsidRPr="00515AA2">
        <w:rPr>
          <w:color w:val="000000"/>
          <w:lang w:val="en-CA"/>
        </w:rPr>
        <w:t> </w:t>
      </w:r>
      <w:r w:rsidR="00BD33DF" w:rsidRPr="00515AA2">
        <w:rPr>
          <w:i/>
          <w:iCs/>
          <w:color w:val="000000"/>
          <w:lang w:val="en-CA"/>
        </w:rPr>
        <w:t>C.</w:t>
      </w:r>
      <w:r w:rsidR="00A60C9D" w:rsidRPr="00515AA2">
        <w:rPr>
          <w:i/>
          <w:iCs/>
          <w:color w:val="000000"/>
          <w:lang w:val="en-CA"/>
        </w:rPr>
        <w:t>C</w:t>
      </w:r>
      <w:r w:rsidR="00BD33DF" w:rsidRPr="00515AA2">
        <w:rPr>
          <w:i/>
          <w:iCs/>
          <w:color w:val="000000"/>
          <w:lang w:val="en-CA"/>
        </w:rPr>
        <w:t>.Q.</w:t>
      </w:r>
      <w:r w:rsidR="00BD33DF" w:rsidRPr="00515AA2">
        <w:rPr>
          <w:color w:val="000000"/>
          <w:lang w:val="en-CA"/>
        </w:rPr>
        <w:t xml:space="preserve"> </w:t>
      </w:r>
      <w:r w:rsidR="00A60C9D" w:rsidRPr="00515AA2">
        <w:rPr>
          <w:color w:val="000000"/>
          <w:lang w:val="en-CA"/>
        </w:rPr>
        <w:t>violate</w:t>
      </w:r>
      <w:r w:rsidR="00F34DA7" w:rsidRPr="00515AA2">
        <w:rPr>
          <w:color w:val="000000"/>
          <w:lang w:val="en-CA"/>
        </w:rPr>
        <w:t>s</w:t>
      </w:r>
      <w:r w:rsidR="00A60C9D" w:rsidRPr="00515AA2">
        <w:rPr>
          <w:color w:val="000000"/>
          <w:lang w:val="en-CA"/>
        </w:rPr>
        <w:t xml:space="preserve"> the right to equality </w:t>
      </w:r>
      <w:r w:rsidR="00264CDD" w:rsidRPr="00515AA2">
        <w:rPr>
          <w:color w:val="000000"/>
          <w:lang w:val="en-CA"/>
        </w:rPr>
        <w:t xml:space="preserve">and </w:t>
      </w:r>
      <w:r w:rsidR="00F34DA7" w:rsidRPr="00515AA2">
        <w:rPr>
          <w:color w:val="000000"/>
          <w:lang w:val="en-CA"/>
        </w:rPr>
        <w:t xml:space="preserve">that </w:t>
      </w:r>
      <w:r w:rsidR="00E40E14" w:rsidRPr="00515AA2">
        <w:rPr>
          <w:color w:val="000000"/>
          <w:lang w:val="en-CA"/>
        </w:rPr>
        <w:t xml:space="preserve">it </w:t>
      </w:r>
      <w:r w:rsidR="00F34DA7" w:rsidRPr="00515AA2">
        <w:rPr>
          <w:color w:val="000000"/>
          <w:lang w:val="en-CA"/>
        </w:rPr>
        <w:t>could only be respected if</w:t>
      </w:r>
      <w:r w:rsidR="00764453" w:rsidRPr="00515AA2">
        <w:rPr>
          <w:color w:val="000000"/>
          <w:lang w:val="en-CA"/>
        </w:rPr>
        <w:t xml:space="preserve"> </w:t>
      </w:r>
      <w:r w:rsidR="00F34DA7" w:rsidRPr="00515AA2">
        <w:rPr>
          <w:color w:val="000000"/>
          <w:lang w:val="en-CA"/>
        </w:rPr>
        <w:t xml:space="preserve">the right </w:t>
      </w:r>
      <w:r w:rsidR="003B4E5A" w:rsidRPr="00515AA2">
        <w:rPr>
          <w:color w:val="000000"/>
          <w:lang w:val="en-CA"/>
        </w:rPr>
        <w:t xml:space="preserve">to change the designation of sex </w:t>
      </w:r>
      <w:r w:rsidR="00F34DA7" w:rsidRPr="00515AA2">
        <w:rPr>
          <w:color w:val="000000"/>
          <w:lang w:val="en-CA"/>
        </w:rPr>
        <w:t>was</w:t>
      </w:r>
      <w:r w:rsidR="00A60C9D" w:rsidRPr="00515AA2">
        <w:rPr>
          <w:color w:val="000000"/>
          <w:lang w:val="en-CA"/>
        </w:rPr>
        <w:t xml:space="preserve"> absolute</w:t>
      </w:r>
      <w:r w:rsidR="00F34DA7" w:rsidRPr="00515AA2">
        <w:rPr>
          <w:color w:val="000000"/>
          <w:lang w:val="en-CA"/>
        </w:rPr>
        <w:t xml:space="preserve"> and</w:t>
      </w:r>
      <w:r w:rsidR="00A60C9D" w:rsidRPr="00515AA2">
        <w:rPr>
          <w:color w:val="000000"/>
          <w:lang w:val="en-CA"/>
        </w:rPr>
        <w:t xml:space="preserve"> unconditional</w:t>
      </w:r>
      <w:r w:rsidR="00764453" w:rsidRPr="00515AA2">
        <w:rPr>
          <w:color w:val="000000"/>
          <w:lang w:val="en-CA"/>
        </w:rPr>
        <w:t xml:space="preserve">. </w:t>
      </w:r>
      <w:r w:rsidR="00A60C9D" w:rsidRPr="00515AA2">
        <w:rPr>
          <w:color w:val="000000"/>
          <w:lang w:val="en-CA"/>
        </w:rPr>
        <w:t xml:space="preserve">We </w:t>
      </w:r>
      <w:r w:rsidR="00043D1A" w:rsidRPr="00515AA2">
        <w:rPr>
          <w:color w:val="000000"/>
          <w:lang w:val="en-CA"/>
        </w:rPr>
        <w:t xml:space="preserve">disagree with such a </w:t>
      </w:r>
      <w:r w:rsidR="00264CDD" w:rsidRPr="00515AA2">
        <w:rPr>
          <w:color w:val="000000"/>
          <w:lang w:val="en-CA"/>
        </w:rPr>
        <w:t>proposition</w:t>
      </w:r>
      <w:r w:rsidR="00043D1A" w:rsidRPr="00515AA2">
        <w:rPr>
          <w:color w:val="000000"/>
          <w:lang w:val="en-CA"/>
        </w:rPr>
        <w:t>.</w:t>
      </w:r>
    </w:p>
    <w:p w14:paraId="55D8FD94" w14:textId="6645B58E" w:rsidR="00016EAA" w:rsidRPr="00515AA2" w:rsidRDefault="007D1068" w:rsidP="00F846E3">
      <w:pPr>
        <w:pStyle w:val="Paragraphe"/>
        <w:spacing w:line="280" w:lineRule="exact"/>
        <w:rPr>
          <w:color w:val="000000"/>
          <w:lang w:val="en-CA"/>
        </w:rPr>
      </w:pPr>
      <w:r w:rsidRPr="00515AA2">
        <w:rPr>
          <w:color w:val="000000"/>
          <w:lang w:val="en-CA"/>
        </w:rPr>
        <w:t>The second paragraph of s</w:t>
      </w:r>
      <w:r w:rsidR="00300CD8" w:rsidRPr="00515AA2">
        <w:rPr>
          <w:color w:val="000000"/>
          <w:lang w:val="en-CA"/>
        </w:rPr>
        <w:t>ection</w:t>
      </w:r>
      <w:r w:rsidR="00BD33DF" w:rsidRPr="00515AA2">
        <w:rPr>
          <w:color w:val="000000"/>
          <w:lang w:val="en-CA"/>
        </w:rPr>
        <w:t xml:space="preserve"> 23.2 </w:t>
      </w:r>
      <w:r w:rsidRPr="00515AA2">
        <w:rPr>
          <w:color w:val="000000"/>
          <w:lang w:val="en-CA"/>
        </w:rPr>
        <w:t>of the</w:t>
      </w:r>
      <w:r w:rsidR="00BD33DF" w:rsidRPr="00515AA2">
        <w:rPr>
          <w:color w:val="000000"/>
          <w:lang w:val="en-CA"/>
        </w:rPr>
        <w:t xml:space="preserve"> </w:t>
      </w:r>
      <w:r w:rsidR="00BD33DF" w:rsidRPr="00515AA2">
        <w:rPr>
          <w:i/>
          <w:iCs/>
          <w:color w:val="000000"/>
          <w:lang w:val="en-CA"/>
        </w:rPr>
        <w:t>R</w:t>
      </w:r>
      <w:r w:rsidRPr="00515AA2">
        <w:rPr>
          <w:i/>
          <w:iCs/>
          <w:color w:val="000000"/>
          <w:lang w:val="en-CA"/>
        </w:rPr>
        <w:t>egulation</w:t>
      </w:r>
      <w:r w:rsidR="00BD33DF" w:rsidRPr="00515AA2">
        <w:rPr>
          <w:color w:val="000000"/>
          <w:lang w:val="en-CA"/>
        </w:rPr>
        <w:t xml:space="preserve"> </w:t>
      </w:r>
      <w:r w:rsidRPr="00515AA2">
        <w:rPr>
          <w:color w:val="000000"/>
          <w:lang w:val="en-CA"/>
        </w:rPr>
        <w:t>assuredly creates a</w:t>
      </w:r>
      <w:r w:rsidR="0022054F" w:rsidRPr="00515AA2">
        <w:rPr>
          <w:color w:val="000000"/>
          <w:lang w:val="en-CA"/>
        </w:rPr>
        <w:t xml:space="preserve"> distinction</w:t>
      </w:r>
      <w:r w:rsidR="00C350E8" w:rsidRPr="00515AA2">
        <w:rPr>
          <w:color w:val="000000"/>
          <w:lang w:val="en-CA"/>
        </w:rPr>
        <w:t xml:space="preserve">, </w:t>
      </w:r>
      <w:r w:rsidRPr="00515AA2">
        <w:rPr>
          <w:color w:val="000000"/>
          <w:lang w:val="en-CA"/>
        </w:rPr>
        <w:t>but on the basis of age, which, in our view, is not illegal</w:t>
      </w:r>
      <w:r w:rsidR="00AC7986" w:rsidRPr="00515AA2">
        <w:rPr>
          <w:color w:val="000000"/>
          <w:lang w:val="en-CA"/>
        </w:rPr>
        <w:t>.</w:t>
      </w:r>
    </w:p>
    <w:p w14:paraId="59740D01" w14:textId="6159CF1D" w:rsidR="0022054F" w:rsidRPr="00515AA2" w:rsidRDefault="007D1068" w:rsidP="00F846E3">
      <w:pPr>
        <w:pStyle w:val="Paragraphe"/>
        <w:spacing w:line="280" w:lineRule="exact"/>
        <w:rPr>
          <w:color w:val="000000"/>
          <w:lang w:val="en-CA"/>
        </w:rPr>
      </w:pPr>
      <w:r w:rsidRPr="00515AA2">
        <w:rPr>
          <w:color w:val="000000"/>
          <w:lang w:val="en-CA"/>
        </w:rPr>
        <w:t>The</w:t>
      </w:r>
      <w:r w:rsidR="007D419C" w:rsidRPr="00515AA2">
        <w:rPr>
          <w:color w:val="000000"/>
          <w:lang w:val="en-CA"/>
        </w:rPr>
        <w:t xml:space="preserve"> </w:t>
      </w:r>
      <w:r w:rsidRPr="00515AA2">
        <w:rPr>
          <w:color w:val="000000"/>
          <w:lang w:val="en-CA"/>
        </w:rPr>
        <w:t>AG</w:t>
      </w:r>
      <w:r w:rsidR="007D419C" w:rsidRPr="00515AA2">
        <w:rPr>
          <w:color w:val="000000"/>
          <w:lang w:val="en-CA"/>
        </w:rPr>
        <w:t xml:space="preserve">Q </w:t>
      </w:r>
      <w:r w:rsidRPr="00515AA2">
        <w:rPr>
          <w:color w:val="000000"/>
          <w:lang w:val="en-CA"/>
        </w:rPr>
        <w:t>notes, correctly</w:t>
      </w:r>
      <w:r w:rsidR="007D419C" w:rsidRPr="00515AA2">
        <w:rPr>
          <w:color w:val="000000"/>
          <w:lang w:val="en-CA"/>
        </w:rPr>
        <w:t xml:space="preserve">, </w:t>
      </w:r>
      <w:r w:rsidRPr="00515AA2">
        <w:rPr>
          <w:color w:val="000000"/>
          <w:lang w:val="en-CA"/>
        </w:rPr>
        <w:t xml:space="preserve">that the law often sets an age </w:t>
      </w:r>
      <w:r w:rsidR="00614E57" w:rsidRPr="00515AA2">
        <w:rPr>
          <w:color w:val="000000"/>
          <w:lang w:val="en-CA"/>
        </w:rPr>
        <w:t>from</w:t>
      </w:r>
      <w:r w:rsidRPr="00515AA2">
        <w:rPr>
          <w:color w:val="000000"/>
          <w:lang w:val="en-CA"/>
        </w:rPr>
        <w:t xml:space="preserve"> which a person may exercise certain rights</w:t>
      </w:r>
      <w:r w:rsidR="007D419C" w:rsidRPr="00515AA2">
        <w:rPr>
          <w:color w:val="000000"/>
          <w:lang w:val="en-CA"/>
        </w:rPr>
        <w:t xml:space="preserve"> – </w:t>
      </w:r>
      <w:r w:rsidRPr="00515AA2">
        <w:rPr>
          <w:color w:val="000000"/>
          <w:lang w:val="en-CA"/>
        </w:rPr>
        <w:t>the right to vote, the right to consume alcohol or cannabis, the right to drive</w:t>
      </w:r>
      <w:r w:rsidR="00061665" w:rsidRPr="00515AA2">
        <w:rPr>
          <w:color w:val="000000"/>
          <w:lang w:val="en-CA"/>
        </w:rPr>
        <w:t>,</w:t>
      </w:r>
      <w:r w:rsidR="007D419C" w:rsidRPr="00515AA2">
        <w:rPr>
          <w:color w:val="000000"/>
          <w:lang w:val="en-CA"/>
        </w:rPr>
        <w:t xml:space="preserve"> etc. </w:t>
      </w:r>
      <w:r w:rsidRPr="00515AA2">
        <w:rPr>
          <w:color w:val="000000"/>
          <w:lang w:val="en-CA"/>
        </w:rPr>
        <w:t>Such rules are generally based on the premise that human beings acquire maturity and develop an enhanced capacity to make decisions and exercise certain rights over time.</w:t>
      </w:r>
      <w:r w:rsidR="007D419C" w:rsidRPr="00515AA2">
        <w:rPr>
          <w:rStyle w:val="Appelnotedebasdep"/>
          <w:color w:val="000000"/>
          <w:lang w:val="en-CA"/>
        </w:rPr>
        <w:footnoteReference w:id="99"/>
      </w:r>
      <w:r w:rsidRPr="00515AA2">
        <w:rPr>
          <w:color w:val="000000"/>
          <w:lang w:val="en-CA"/>
        </w:rPr>
        <w:t xml:space="preserve"> Although some maintain that </w:t>
      </w:r>
      <w:r w:rsidR="00300CD8" w:rsidRPr="00515AA2">
        <w:rPr>
          <w:color w:val="000000"/>
          <w:lang w:val="en-CA"/>
        </w:rPr>
        <w:t xml:space="preserve">such </w:t>
      </w:r>
      <w:r w:rsidRPr="00515AA2">
        <w:rPr>
          <w:color w:val="000000"/>
          <w:lang w:val="en-CA"/>
        </w:rPr>
        <w:t xml:space="preserve">premise stems from a stereotype, we are of the view that this is a truth, while recognizing, on the other hand, that the precise age at which a given person may acquire full capacity to decide </w:t>
      </w:r>
      <w:r w:rsidR="00580948" w:rsidRPr="00515AA2">
        <w:rPr>
          <w:color w:val="000000"/>
          <w:lang w:val="en-CA"/>
        </w:rPr>
        <w:t>may</w:t>
      </w:r>
      <w:r w:rsidRPr="00515AA2">
        <w:rPr>
          <w:color w:val="000000"/>
          <w:lang w:val="en-CA"/>
        </w:rPr>
        <w:t xml:space="preserve"> vary</w:t>
      </w:r>
      <w:r w:rsidR="00C350E8" w:rsidRPr="00515AA2">
        <w:rPr>
          <w:color w:val="000000"/>
          <w:lang w:val="en-CA"/>
        </w:rPr>
        <w:t>.</w:t>
      </w:r>
    </w:p>
    <w:p w14:paraId="5B5B558A" w14:textId="4D6B7170" w:rsidR="0022054F" w:rsidRPr="00515AA2" w:rsidRDefault="00BB2BBC" w:rsidP="00F846E3">
      <w:pPr>
        <w:pStyle w:val="Paragraphe"/>
        <w:spacing w:line="280" w:lineRule="exact"/>
        <w:rPr>
          <w:color w:val="000000"/>
          <w:lang w:val="en-CA"/>
        </w:rPr>
      </w:pPr>
      <w:r w:rsidRPr="00515AA2">
        <w:rPr>
          <w:color w:val="000000"/>
          <w:lang w:val="en-CA"/>
        </w:rPr>
        <w:t xml:space="preserve">It is in fact the realization that human beings only acquire </w:t>
      </w:r>
      <w:r w:rsidR="00614E57" w:rsidRPr="00515AA2">
        <w:rPr>
          <w:color w:val="000000"/>
          <w:lang w:val="en-CA"/>
        </w:rPr>
        <w:t xml:space="preserve">the necessary </w:t>
      </w:r>
      <w:r w:rsidRPr="00515AA2">
        <w:rPr>
          <w:color w:val="000000"/>
          <w:lang w:val="en-CA"/>
        </w:rPr>
        <w:t>maturity over time</w:t>
      </w:r>
      <w:r w:rsidR="0016473E" w:rsidRPr="00515AA2">
        <w:rPr>
          <w:color w:val="000000"/>
          <w:lang w:val="en-CA"/>
        </w:rPr>
        <w:t xml:space="preserve"> </w:t>
      </w:r>
      <w:r w:rsidRPr="00515AA2">
        <w:rPr>
          <w:color w:val="000000"/>
          <w:lang w:val="en-CA"/>
        </w:rPr>
        <w:t xml:space="preserve">that explains </w:t>
      </w:r>
      <w:r w:rsidR="00087645" w:rsidRPr="00515AA2">
        <w:rPr>
          <w:color w:val="000000"/>
          <w:lang w:val="en-CA"/>
        </w:rPr>
        <w:t>why</w:t>
      </w:r>
      <w:r w:rsidRPr="00515AA2">
        <w:rPr>
          <w:color w:val="000000"/>
          <w:lang w:val="en-CA"/>
        </w:rPr>
        <w:t xml:space="preserve"> the courts generally acknowledge the validity of provisions that </w:t>
      </w:r>
      <w:r w:rsidR="00742ED5" w:rsidRPr="00515AA2">
        <w:rPr>
          <w:color w:val="000000"/>
          <w:lang w:val="en-CA"/>
        </w:rPr>
        <w:t>impose a minimum age for the exercise of certain rights</w:t>
      </w:r>
      <w:r w:rsidRPr="00515AA2">
        <w:rPr>
          <w:color w:val="000000"/>
          <w:lang w:val="en-CA"/>
        </w:rPr>
        <w:t xml:space="preserve">, being of the view that they are </w:t>
      </w:r>
      <w:r w:rsidR="00043D1A" w:rsidRPr="00515AA2">
        <w:rPr>
          <w:color w:val="000000"/>
          <w:lang w:val="en-CA"/>
        </w:rPr>
        <w:t>required to maintain order in</w:t>
      </w:r>
      <w:r w:rsidRPr="00515AA2">
        <w:rPr>
          <w:color w:val="000000"/>
          <w:lang w:val="en-CA"/>
        </w:rPr>
        <w:t xml:space="preserve"> our society.</w:t>
      </w:r>
      <w:r w:rsidR="007D419C" w:rsidRPr="00515AA2">
        <w:rPr>
          <w:color w:val="000000"/>
          <w:vertAlign w:val="superscript"/>
          <w:lang w:val="en-CA"/>
        </w:rPr>
        <w:footnoteReference w:id="100"/>
      </w:r>
    </w:p>
    <w:p w14:paraId="50AD00DD" w14:textId="6E5E7676" w:rsidR="007D419C" w:rsidRPr="00515AA2" w:rsidRDefault="00087645" w:rsidP="00F846E3">
      <w:pPr>
        <w:pStyle w:val="Paragraphe"/>
        <w:spacing w:line="280" w:lineRule="exact"/>
        <w:rPr>
          <w:color w:val="000000"/>
          <w:lang w:val="en-CA"/>
        </w:rPr>
      </w:pPr>
      <w:r w:rsidRPr="00515AA2">
        <w:rPr>
          <w:color w:val="000000"/>
          <w:lang w:val="en-CA"/>
        </w:rPr>
        <w:t xml:space="preserve">Transgender and non-binary youths between the ages of </w:t>
      </w:r>
      <w:r w:rsidR="00E40E14" w:rsidRPr="00515AA2">
        <w:rPr>
          <w:color w:val="000000"/>
          <w:lang w:val="en-CA"/>
        </w:rPr>
        <w:t xml:space="preserve">14 </w:t>
      </w:r>
      <w:r w:rsidRPr="00515AA2">
        <w:rPr>
          <w:color w:val="000000"/>
          <w:lang w:val="en-CA"/>
        </w:rPr>
        <w:t xml:space="preserve">and </w:t>
      </w:r>
      <w:r w:rsidR="00E40E14" w:rsidRPr="00515AA2">
        <w:rPr>
          <w:color w:val="000000"/>
          <w:lang w:val="en-CA"/>
        </w:rPr>
        <w:t xml:space="preserve">17 </w:t>
      </w:r>
      <w:r w:rsidRPr="00515AA2">
        <w:rPr>
          <w:color w:val="000000"/>
          <w:lang w:val="en-CA"/>
        </w:rPr>
        <w:t xml:space="preserve">are certainly part of a protected group, transgender and non-binary people having </w:t>
      </w:r>
      <w:r w:rsidR="00580948" w:rsidRPr="00515AA2">
        <w:rPr>
          <w:color w:val="000000"/>
          <w:lang w:val="en-CA"/>
        </w:rPr>
        <w:t>undisputedly</w:t>
      </w:r>
      <w:r w:rsidRPr="00515AA2">
        <w:rPr>
          <w:color w:val="000000"/>
          <w:lang w:val="en-CA"/>
        </w:rPr>
        <w:t xml:space="preserve"> been disadvantaged on account of their gender identity</w:t>
      </w:r>
      <w:r w:rsidR="00043D1A" w:rsidRPr="00515AA2">
        <w:rPr>
          <w:color w:val="000000"/>
          <w:lang w:val="en-CA"/>
        </w:rPr>
        <w:t xml:space="preserve">. However, </w:t>
      </w:r>
      <w:r w:rsidRPr="00515AA2">
        <w:rPr>
          <w:color w:val="000000"/>
          <w:lang w:val="en-CA"/>
        </w:rPr>
        <w:t xml:space="preserve">the </w:t>
      </w:r>
      <w:r w:rsidR="00614E57" w:rsidRPr="00515AA2">
        <w:rPr>
          <w:i/>
          <w:iCs/>
          <w:color w:val="000000"/>
          <w:lang w:val="en-CA"/>
        </w:rPr>
        <w:t>Regulation</w:t>
      </w:r>
      <w:r w:rsidR="00614E57" w:rsidRPr="00515AA2">
        <w:rPr>
          <w:color w:val="000000"/>
          <w:lang w:val="en-CA"/>
        </w:rPr>
        <w:t xml:space="preserve"> </w:t>
      </w:r>
      <w:r w:rsidRPr="00515AA2">
        <w:rPr>
          <w:color w:val="000000"/>
          <w:lang w:val="en-CA"/>
        </w:rPr>
        <w:t>does not reinforce, perpetuate or exacerbate</w:t>
      </w:r>
      <w:r w:rsidR="0022054F" w:rsidRPr="00515AA2">
        <w:rPr>
          <w:color w:val="000000"/>
          <w:lang w:val="en-CA"/>
        </w:rPr>
        <w:t xml:space="preserve"> </w:t>
      </w:r>
      <w:r w:rsidRPr="00515AA2">
        <w:rPr>
          <w:color w:val="000000"/>
          <w:lang w:val="en-CA"/>
        </w:rPr>
        <w:t>such a disadvantage</w:t>
      </w:r>
      <w:r w:rsidR="0022054F" w:rsidRPr="00515AA2">
        <w:rPr>
          <w:color w:val="000000"/>
          <w:lang w:val="en-CA"/>
        </w:rPr>
        <w:t>.</w:t>
      </w:r>
    </w:p>
    <w:p w14:paraId="1806F2E2" w14:textId="45E79DA5" w:rsidR="007D419C" w:rsidRPr="00515AA2" w:rsidRDefault="00173FBC" w:rsidP="00F846E3">
      <w:pPr>
        <w:pStyle w:val="Paragraphe"/>
        <w:spacing w:line="280" w:lineRule="exact"/>
        <w:rPr>
          <w:color w:val="000000"/>
          <w:lang w:val="en-CA"/>
        </w:rPr>
      </w:pPr>
      <w:r w:rsidRPr="00515AA2">
        <w:rPr>
          <w:color w:val="000000"/>
          <w:lang w:val="en-CA"/>
        </w:rPr>
        <w:t>The</w:t>
      </w:r>
      <w:r w:rsidR="007D419C" w:rsidRPr="00515AA2">
        <w:rPr>
          <w:color w:val="000000"/>
          <w:lang w:val="en-CA"/>
        </w:rPr>
        <w:t xml:space="preserve"> </w:t>
      </w:r>
      <w:r w:rsidRPr="00515AA2">
        <w:rPr>
          <w:i/>
          <w:iCs/>
          <w:color w:val="000000"/>
          <w:lang w:val="en-CA"/>
        </w:rPr>
        <w:t>Quebec Charter</w:t>
      </w:r>
      <w:r w:rsidR="0016473E" w:rsidRPr="00515AA2">
        <w:rPr>
          <w:i/>
          <w:iCs/>
          <w:color w:val="000000"/>
          <w:lang w:val="en-CA"/>
        </w:rPr>
        <w:t xml:space="preserve">, </w:t>
      </w:r>
      <w:r w:rsidRPr="00515AA2">
        <w:rPr>
          <w:color w:val="000000"/>
          <w:lang w:val="en-CA"/>
        </w:rPr>
        <w:t>for its</w:t>
      </w:r>
      <w:r w:rsidR="0016473E" w:rsidRPr="00515AA2">
        <w:rPr>
          <w:color w:val="000000"/>
          <w:lang w:val="en-CA"/>
        </w:rPr>
        <w:t xml:space="preserve"> part,</w:t>
      </w:r>
      <w:r w:rsidR="007D419C" w:rsidRPr="00515AA2">
        <w:rPr>
          <w:color w:val="000000"/>
          <w:lang w:val="en-CA"/>
        </w:rPr>
        <w:t xml:space="preserve"> </w:t>
      </w:r>
      <w:r w:rsidRPr="00515AA2">
        <w:rPr>
          <w:color w:val="000000"/>
          <w:lang w:val="en-CA"/>
        </w:rPr>
        <w:t>provides in its s</w:t>
      </w:r>
      <w:r w:rsidR="00300CD8" w:rsidRPr="00515AA2">
        <w:rPr>
          <w:color w:val="000000"/>
          <w:lang w:val="en-CA"/>
        </w:rPr>
        <w:t>ection</w:t>
      </w:r>
      <w:r w:rsidR="00B22793" w:rsidRPr="00515AA2">
        <w:rPr>
          <w:color w:val="000000"/>
          <w:lang w:val="en-CA"/>
        </w:rPr>
        <w:t> </w:t>
      </w:r>
      <w:r w:rsidR="007D419C" w:rsidRPr="00515AA2">
        <w:rPr>
          <w:color w:val="000000"/>
          <w:lang w:val="en-CA"/>
        </w:rPr>
        <w:t xml:space="preserve">10 </w:t>
      </w:r>
      <w:r w:rsidRPr="00515AA2">
        <w:rPr>
          <w:color w:val="000000"/>
          <w:lang w:val="en-CA"/>
        </w:rPr>
        <w:t>that age is a ground of discrimination “except as provided by law</w:t>
      </w:r>
      <w:r w:rsidR="007001D3" w:rsidRPr="00515AA2">
        <w:rPr>
          <w:color w:val="000000"/>
          <w:lang w:val="en-CA"/>
        </w:rPr>
        <w:t>,” thus recognizing the legislator’s right to make distinctions based on ag</w:t>
      </w:r>
      <w:r w:rsidR="007D419C" w:rsidRPr="00515AA2">
        <w:rPr>
          <w:color w:val="000000"/>
          <w:lang w:val="en-CA"/>
        </w:rPr>
        <w:t>e.</w:t>
      </w:r>
    </w:p>
    <w:p w14:paraId="4E809D29" w14:textId="6197A71E" w:rsidR="00BD33DF" w:rsidRPr="00515AA2" w:rsidRDefault="007001D3" w:rsidP="00F846E3">
      <w:pPr>
        <w:pStyle w:val="Paragraphe"/>
        <w:spacing w:line="280" w:lineRule="exact"/>
        <w:rPr>
          <w:color w:val="000000"/>
          <w:lang w:val="en-CA"/>
        </w:rPr>
      </w:pPr>
      <w:r w:rsidRPr="00515AA2">
        <w:rPr>
          <w:color w:val="000000"/>
          <w:lang w:val="en-CA"/>
        </w:rPr>
        <w:t xml:space="preserve">To the extent that the legislator chose to provide specific conditions for minors </w:t>
      </w:r>
      <w:r w:rsidR="00614E57" w:rsidRPr="00515AA2">
        <w:rPr>
          <w:color w:val="000000"/>
          <w:lang w:val="en-CA"/>
        </w:rPr>
        <w:t xml:space="preserve">who </w:t>
      </w:r>
      <w:r w:rsidRPr="00515AA2">
        <w:rPr>
          <w:color w:val="000000"/>
          <w:lang w:val="en-CA"/>
        </w:rPr>
        <w:t>request that the designation of their sex be changed</w:t>
      </w:r>
      <w:r w:rsidR="00580948" w:rsidRPr="00515AA2">
        <w:rPr>
          <w:color w:val="000000"/>
          <w:lang w:val="en-CA"/>
        </w:rPr>
        <w:t>,</w:t>
      </w:r>
      <w:r w:rsidRPr="00515AA2">
        <w:rPr>
          <w:color w:val="000000"/>
          <w:lang w:val="en-CA"/>
        </w:rPr>
        <w:t xml:space="preserve"> and that the </w:t>
      </w:r>
      <w:r w:rsidRPr="00515AA2">
        <w:rPr>
          <w:i/>
          <w:iCs/>
          <w:color w:val="000000"/>
          <w:lang w:val="en-CA"/>
        </w:rPr>
        <w:t>Quebec Charter</w:t>
      </w:r>
      <w:r w:rsidRPr="00515AA2">
        <w:rPr>
          <w:color w:val="000000"/>
          <w:lang w:val="en-CA"/>
        </w:rPr>
        <w:t xml:space="preserve"> </w:t>
      </w:r>
      <w:r w:rsidRPr="00515AA2">
        <w:rPr>
          <w:color w:val="000000"/>
          <w:lang w:val="en-CA"/>
        </w:rPr>
        <w:lastRenderedPageBreak/>
        <w:t>provides for such a possibility, there is, in our view, no basis</w:t>
      </w:r>
      <w:r w:rsidR="0016096C" w:rsidRPr="00515AA2">
        <w:rPr>
          <w:color w:val="000000"/>
          <w:lang w:val="en-CA"/>
        </w:rPr>
        <w:t xml:space="preserve"> here</w:t>
      </w:r>
      <w:r w:rsidRPr="00515AA2">
        <w:rPr>
          <w:color w:val="000000"/>
          <w:lang w:val="en-CA"/>
        </w:rPr>
        <w:t xml:space="preserve"> for </w:t>
      </w:r>
      <w:r w:rsidR="0016096C" w:rsidRPr="00515AA2">
        <w:rPr>
          <w:color w:val="000000"/>
          <w:lang w:val="en-CA"/>
        </w:rPr>
        <w:t>finding a violation of</w:t>
      </w:r>
      <w:r w:rsidRPr="00515AA2">
        <w:rPr>
          <w:color w:val="000000"/>
          <w:lang w:val="en-CA"/>
        </w:rPr>
        <w:t xml:space="preserve"> the right to equality on the basis of age</w:t>
      </w:r>
      <w:r w:rsidR="00AC7986" w:rsidRPr="00515AA2">
        <w:rPr>
          <w:color w:val="000000"/>
          <w:lang w:val="en-CA"/>
        </w:rPr>
        <w:t>.</w:t>
      </w:r>
    </w:p>
    <w:p w14:paraId="5688EC5E" w14:textId="12756873" w:rsidR="00AD6D69" w:rsidRPr="00515AA2" w:rsidRDefault="00AB0719" w:rsidP="00F846E3">
      <w:pPr>
        <w:pStyle w:val="Paragraphe"/>
        <w:spacing w:line="280" w:lineRule="exact"/>
        <w:rPr>
          <w:color w:val="000000"/>
          <w:lang w:val="en-CA"/>
        </w:rPr>
      </w:pPr>
      <w:r w:rsidRPr="00515AA2">
        <w:rPr>
          <w:color w:val="000000"/>
          <w:lang w:val="en-CA"/>
        </w:rPr>
        <w:t>To the extent that we find no violation of the right to equality, there is no need to address the second question of whether the violation is justified under s</w:t>
      </w:r>
      <w:r w:rsidR="00300CD8" w:rsidRPr="00515AA2">
        <w:rPr>
          <w:color w:val="000000"/>
          <w:lang w:val="en-CA"/>
        </w:rPr>
        <w:t>ection</w:t>
      </w:r>
      <w:r w:rsidR="00AD6D69" w:rsidRPr="00515AA2">
        <w:rPr>
          <w:color w:val="000000"/>
          <w:lang w:val="en-CA"/>
        </w:rPr>
        <w:t xml:space="preserve"> </w:t>
      </w:r>
      <w:r w:rsidRPr="00515AA2">
        <w:rPr>
          <w:color w:val="000000"/>
          <w:lang w:val="en-CA"/>
        </w:rPr>
        <w:t>1</w:t>
      </w:r>
      <w:r w:rsidR="00AD6D69" w:rsidRPr="00515AA2">
        <w:rPr>
          <w:color w:val="000000"/>
          <w:lang w:val="en-CA"/>
        </w:rPr>
        <w:t>.</w:t>
      </w:r>
    </w:p>
    <w:p w14:paraId="1DD102CD" w14:textId="5411BAA3" w:rsidR="0019291B" w:rsidRPr="00515AA2" w:rsidRDefault="00AB0719" w:rsidP="00F846E3">
      <w:pPr>
        <w:pStyle w:val="Paragraphe"/>
        <w:spacing w:line="280" w:lineRule="exact"/>
        <w:rPr>
          <w:color w:val="000000"/>
          <w:lang w:val="en-CA"/>
        </w:rPr>
      </w:pPr>
      <w:r w:rsidRPr="00515AA2">
        <w:rPr>
          <w:color w:val="000000"/>
          <w:lang w:val="en-CA"/>
        </w:rPr>
        <w:t>However, in our view, the right to the safeguard of their dignity is a different matter</w:t>
      </w:r>
      <w:r w:rsidR="0019291B" w:rsidRPr="00515AA2">
        <w:rPr>
          <w:color w:val="000000"/>
          <w:lang w:val="en-CA"/>
        </w:rPr>
        <w:t>.</w:t>
      </w:r>
    </w:p>
    <w:p w14:paraId="4A4B7CDB" w14:textId="55CA27E7" w:rsidR="003B1D22" w:rsidRPr="00515AA2" w:rsidRDefault="005D3AE5" w:rsidP="00D84C5B">
      <w:pPr>
        <w:pStyle w:val="SOUS-PARA11"/>
        <w:numPr>
          <w:ilvl w:val="1"/>
          <w:numId w:val="19"/>
        </w:numPr>
        <w:ind w:left="1418" w:hanging="709"/>
        <w:rPr>
          <w:color w:val="000000"/>
        </w:rPr>
      </w:pPr>
      <w:r w:rsidRPr="00515AA2">
        <w:rPr>
          <w:color w:val="000000"/>
        </w:rPr>
        <w:t xml:space="preserve"> </w:t>
      </w:r>
      <w:bookmarkStart w:id="62" w:name="_Toc161830118"/>
      <w:r w:rsidR="00A509AB" w:rsidRPr="00515AA2">
        <w:rPr>
          <w:color w:val="000000"/>
        </w:rPr>
        <w:t xml:space="preserve">The </w:t>
      </w:r>
      <w:r w:rsidR="00580948" w:rsidRPr="00515AA2">
        <w:rPr>
          <w:color w:val="000000"/>
        </w:rPr>
        <w:t>R</w:t>
      </w:r>
      <w:r w:rsidR="00A509AB" w:rsidRPr="00515AA2">
        <w:rPr>
          <w:color w:val="000000"/>
        </w:rPr>
        <w:t xml:space="preserve">ight to the </w:t>
      </w:r>
      <w:r w:rsidR="00580948" w:rsidRPr="00515AA2">
        <w:rPr>
          <w:color w:val="000000"/>
        </w:rPr>
        <w:t>S</w:t>
      </w:r>
      <w:r w:rsidR="00A509AB" w:rsidRPr="00515AA2">
        <w:rPr>
          <w:color w:val="000000"/>
        </w:rPr>
        <w:t xml:space="preserve">afeguard of </w:t>
      </w:r>
      <w:r w:rsidR="00580948" w:rsidRPr="00515AA2">
        <w:rPr>
          <w:color w:val="000000"/>
        </w:rPr>
        <w:t>One’s</w:t>
      </w:r>
      <w:r w:rsidR="00A509AB" w:rsidRPr="00515AA2">
        <w:rPr>
          <w:color w:val="000000"/>
        </w:rPr>
        <w:t xml:space="preserve"> </w:t>
      </w:r>
      <w:r w:rsidR="00580948" w:rsidRPr="00515AA2">
        <w:rPr>
          <w:color w:val="000000"/>
        </w:rPr>
        <w:t>D</w:t>
      </w:r>
      <w:r w:rsidR="00A509AB" w:rsidRPr="00515AA2">
        <w:rPr>
          <w:color w:val="000000"/>
        </w:rPr>
        <w:t>ignity</w:t>
      </w:r>
      <w:bookmarkEnd w:id="62"/>
    </w:p>
    <w:p w14:paraId="5CD8593B" w14:textId="511607FA" w:rsidR="003B1D22" w:rsidRPr="00515AA2" w:rsidRDefault="00580948" w:rsidP="00F846E3">
      <w:pPr>
        <w:pStyle w:val="Paragraphe"/>
        <w:spacing w:line="280" w:lineRule="exact"/>
        <w:rPr>
          <w:color w:val="000000"/>
          <w:lang w:val="en-CA"/>
        </w:rPr>
      </w:pPr>
      <w:r w:rsidRPr="00515AA2">
        <w:rPr>
          <w:color w:val="000000"/>
          <w:lang w:val="en-CA"/>
        </w:rPr>
        <w:t>Section 4 of t</w:t>
      </w:r>
      <w:r w:rsidR="00A509AB" w:rsidRPr="00515AA2">
        <w:rPr>
          <w:color w:val="000000"/>
          <w:lang w:val="en-CA"/>
        </w:rPr>
        <w:t>he</w:t>
      </w:r>
      <w:r w:rsidR="00FF1CAA" w:rsidRPr="00515AA2">
        <w:rPr>
          <w:color w:val="000000"/>
          <w:lang w:val="en-CA"/>
        </w:rPr>
        <w:t xml:space="preserve"> </w:t>
      </w:r>
      <w:r w:rsidR="00A509AB" w:rsidRPr="00515AA2">
        <w:rPr>
          <w:i/>
          <w:color w:val="000000"/>
          <w:lang w:val="en-CA"/>
        </w:rPr>
        <w:t>Quebec Charter</w:t>
      </w:r>
      <w:r w:rsidRPr="00515AA2">
        <w:rPr>
          <w:i/>
          <w:color w:val="000000"/>
          <w:lang w:val="en-CA"/>
        </w:rPr>
        <w:t xml:space="preserve"> </w:t>
      </w:r>
      <w:r w:rsidR="00A509AB" w:rsidRPr="00515AA2">
        <w:rPr>
          <w:color w:val="000000"/>
          <w:lang w:val="en-CA"/>
        </w:rPr>
        <w:t>entrenches the right of every person “to the safeguard of his dignity.”</w:t>
      </w:r>
    </w:p>
    <w:p w14:paraId="4CA5B9B0" w14:textId="2D97658F" w:rsidR="00FF1CAA" w:rsidRPr="00515AA2" w:rsidRDefault="00A509AB" w:rsidP="00F846E3">
      <w:pPr>
        <w:pStyle w:val="Paragraphe"/>
        <w:spacing w:line="280" w:lineRule="exact"/>
        <w:rPr>
          <w:color w:val="000000"/>
          <w:lang w:val="en-CA"/>
        </w:rPr>
      </w:pPr>
      <w:r w:rsidRPr="00515AA2">
        <w:rPr>
          <w:color w:val="000000"/>
          <w:lang w:val="en-CA"/>
        </w:rPr>
        <w:t xml:space="preserve">The Supreme Court </w:t>
      </w:r>
      <w:r w:rsidR="00D6291A" w:rsidRPr="00515AA2">
        <w:rPr>
          <w:color w:val="000000"/>
          <w:lang w:val="en-CA"/>
        </w:rPr>
        <w:t>discussed</w:t>
      </w:r>
      <w:r w:rsidRPr="00515AA2">
        <w:rPr>
          <w:color w:val="000000"/>
          <w:lang w:val="en-CA"/>
        </w:rPr>
        <w:t xml:space="preserve"> the scope of that right in</w:t>
      </w:r>
      <w:r w:rsidR="00FF1CAA" w:rsidRPr="00515AA2">
        <w:rPr>
          <w:color w:val="000000"/>
          <w:lang w:val="en-CA"/>
        </w:rPr>
        <w:t xml:space="preserve"> </w:t>
      </w:r>
      <w:r w:rsidR="00FF1CAA" w:rsidRPr="00515AA2">
        <w:rPr>
          <w:i/>
          <w:color w:val="000000"/>
          <w:lang w:val="en-CA"/>
        </w:rPr>
        <w:t>Ward</w:t>
      </w:r>
      <w:r w:rsidRPr="00515AA2">
        <w:rPr>
          <w:color w:val="000000"/>
          <w:lang w:val="en-CA"/>
        </w:rPr>
        <w:t>.</w:t>
      </w:r>
      <w:bookmarkStart w:id="63" w:name="_Ref157505212"/>
      <w:r w:rsidR="00290638" w:rsidRPr="00515AA2">
        <w:rPr>
          <w:rStyle w:val="Appelnotedebasdep"/>
          <w:iCs/>
          <w:color w:val="000000"/>
          <w:lang w:val="en-CA"/>
        </w:rPr>
        <w:footnoteReference w:id="101"/>
      </w:r>
      <w:bookmarkEnd w:id="63"/>
      <w:r w:rsidR="00290638" w:rsidRPr="00515AA2">
        <w:rPr>
          <w:color w:val="000000"/>
          <w:lang w:val="en-CA"/>
        </w:rPr>
        <w:t xml:space="preserve"> Wagner</w:t>
      </w:r>
      <w:r w:rsidR="00033B55" w:rsidRPr="00515AA2">
        <w:rPr>
          <w:color w:val="000000"/>
          <w:lang w:val="en-CA"/>
        </w:rPr>
        <w:t>, C</w:t>
      </w:r>
      <w:r w:rsidR="00D6291A" w:rsidRPr="00515AA2">
        <w:rPr>
          <w:color w:val="000000"/>
          <w:lang w:val="en-CA"/>
        </w:rPr>
        <w:t>.</w:t>
      </w:r>
      <w:r w:rsidR="00033B55" w:rsidRPr="00515AA2">
        <w:rPr>
          <w:color w:val="000000"/>
          <w:lang w:val="en-CA"/>
        </w:rPr>
        <w:t>J.</w:t>
      </w:r>
      <w:r w:rsidR="00290638" w:rsidRPr="00515AA2">
        <w:rPr>
          <w:color w:val="000000"/>
          <w:lang w:val="en-CA"/>
        </w:rPr>
        <w:t xml:space="preserve"> </w:t>
      </w:r>
      <w:r w:rsidR="00033B55" w:rsidRPr="00515AA2">
        <w:rPr>
          <w:color w:val="000000"/>
          <w:lang w:val="en-CA"/>
        </w:rPr>
        <w:t>and</w:t>
      </w:r>
      <w:r w:rsidR="00290638" w:rsidRPr="00515AA2">
        <w:rPr>
          <w:color w:val="000000"/>
          <w:lang w:val="en-CA"/>
        </w:rPr>
        <w:t xml:space="preserve"> Côté,</w:t>
      </w:r>
      <w:r w:rsidR="00033B55" w:rsidRPr="00515AA2">
        <w:rPr>
          <w:color w:val="000000"/>
          <w:lang w:val="en-CA"/>
        </w:rPr>
        <w:t xml:space="preserve"> J.</w:t>
      </w:r>
      <w:r w:rsidR="00D6291A" w:rsidRPr="00515AA2">
        <w:rPr>
          <w:color w:val="000000"/>
          <w:lang w:val="en-CA"/>
        </w:rPr>
        <w:t>,</w:t>
      </w:r>
      <w:r w:rsidR="00290638" w:rsidRPr="00515AA2">
        <w:rPr>
          <w:color w:val="000000"/>
          <w:lang w:val="en-CA"/>
        </w:rPr>
        <w:t xml:space="preserve"> </w:t>
      </w:r>
      <w:r w:rsidR="00033B55" w:rsidRPr="00515AA2">
        <w:rPr>
          <w:color w:val="000000"/>
          <w:lang w:val="en-CA"/>
        </w:rPr>
        <w:t>for the majority</w:t>
      </w:r>
      <w:r w:rsidR="00290638" w:rsidRPr="00515AA2">
        <w:rPr>
          <w:color w:val="000000"/>
          <w:lang w:val="en-CA"/>
        </w:rPr>
        <w:t xml:space="preserve">, </w:t>
      </w:r>
      <w:r w:rsidR="00033B55" w:rsidRPr="00515AA2">
        <w:rPr>
          <w:color w:val="000000"/>
          <w:lang w:val="en-CA"/>
        </w:rPr>
        <w:t>noted that such right to the safeguard of dignity protects the humanity of every person in its most fundamental attributes.</w:t>
      </w:r>
      <w:r w:rsidR="0007001D" w:rsidRPr="00515AA2">
        <w:rPr>
          <w:rStyle w:val="Appelnotedebasdep"/>
          <w:color w:val="000000"/>
          <w:lang w:val="en-CA"/>
        </w:rPr>
        <w:footnoteReference w:id="102"/>
      </w:r>
      <w:r w:rsidR="0007001D" w:rsidRPr="00515AA2">
        <w:rPr>
          <w:color w:val="000000"/>
          <w:lang w:val="en-CA"/>
        </w:rPr>
        <w:t xml:space="preserve"> </w:t>
      </w:r>
      <w:r w:rsidR="00033B55" w:rsidRPr="00515AA2">
        <w:rPr>
          <w:color w:val="000000"/>
          <w:lang w:val="en-CA"/>
        </w:rPr>
        <w:t xml:space="preserve">It </w:t>
      </w:r>
      <w:r w:rsidR="00043D1A" w:rsidRPr="00515AA2">
        <w:rPr>
          <w:color w:val="000000"/>
          <w:lang w:val="en-CA"/>
        </w:rPr>
        <w:t xml:space="preserve">allows </w:t>
      </w:r>
      <w:r w:rsidR="00033B55" w:rsidRPr="00515AA2">
        <w:rPr>
          <w:color w:val="000000"/>
          <w:lang w:val="en-CA"/>
        </w:rPr>
        <w:t>a person to claim</w:t>
      </w:r>
      <w:r w:rsidR="00FF1CAA" w:rsidRPr="00515AA2">
        <w:rPr>
          <w:color w:val="000000"/>
          <w:lang w:val="en-CA"/>
        </w:rPr>
        <w:t xml:space="preserve"> </w:t>
      </w:r>
      <w:r w:rsidR="00033B55" w:rsidRPr="00515AA2">
        <w:rPr>
          <w:color w:val="000000"/>
          <w:lang w:val="en-CA"/>
        </w:rPr>
        <w:t>“protection from the denial of their worth as a human being.”</w:t>
      </w:r>
      <w:r w:rsidR="0007001D" w:rsidRPr="00515AA2">
        <w:rPr>
          <w:rStyle w:val="Appelnotedebasdep"/>
          <w:color w:val="000000"/>
          <w:lang w:val="en-CA"/>
        </w:rPr>
        <w:footnoteReference w:id="103"/>
      </w:r>
      <w:r w:rsidR="00033B55" w:rsidRPr="00515AA2">
        <w:rPr>
          <w:color w:val="000000"/>
          <w:lang w:val="en-CA"/>
        </w:rPr>
        <w:t xml:space="preserve"> That being so, </w:t>
      </w:r>
      <w:r w:rsidR="008E13D7" w:rsidRPr="00515AA2">
        <w:rPr>
          <w:color w:val="000000"/>
          <w:lang w:val="en-CA"/>
        </w:rPr>
        <w:t>t</w:t>
      </w:r>
      <w:r w:rsidR="00033B55" w:rsidRPr="00515AA2">
        <w:rPr>
          <w:color w:val="000000"/>
          <w:lang w:val="en-CA"/>
        </w:rPr>
        <w:t>o be contrary to s</w:t>
      </w:r>
      <w:r w:rsidR="00805071" w:rsidRPr="00515AA2">
        <w:rPr>
          <w:color w:val="000000"/>
          <w:lang w:val="en-CA"/>
        </w:rPr>
        <w:t>ection</w:t>
      </w:r>
      <w:r w:rsidR="00033B55" w:rsidRPr="00515AA2">
        <w:rPr>
          <w:color w:val="000000"/>
          <w:lang w:val="en-CA"/>
        </w:rPr>
        <w:t xml:space="preserve"> 4 of the </w:t>
      </w:r>
      <w:r w:rsidR="00033B55" w:rsidRPr="00515AA2">
        <w:rPr>
          <w:i/>
          <w:color w:val="000000"/>
          <w:lang w:val="en-CA"/>
        </w:rPr>
        <w:t>Quebec Charter</w:t>
      </w:r>
      <w:r w:rsidR="00033B55" w:rsidRPr="00515AA2">
        <w:rPr>
          <w:color w:val="000000"/>
          <w:lang w:val="en-CA"/>
        </w:rPr>
        <w:t xml:space="preserve">, conduct must reach a high level of gravity that does not trivialize </w:t>
      </w:r>
      <w:r w:rsidR="00D6291A" w:rsidRPr="00515AA2">
        <w:rPr>
          <w:color w:val="000000"/>
          <w:lang w:val="en-CA"/>
        </w:rPr>
        <w:t>the</w:t>
      </w:r>
      <w:r w:rsidR="00033B55" w:rsidRPr="00515AA2">
        <w:rPr>
          <w:color w:val="000000"/>
          <w:lang w:val="en-CA"/>
        </w:rPr>
        <w:t xml:space="preserve"> concept</w:t>
      </w:r>
      <w:r w:rsidR="00D6291A" w:rsidRPr="00515AA2">
        <w:rPr>
          <w:color w:val="000000"/>
          <w:lang w:val="en-CA"/>
        </w:rPr>
        <w:t xml:space="preserve"> of dignity</w:t>
      </w:r>
      <w:r w:rsidR="0019291B" w:rsidRPr="00515AA2">
        <w:rPr>
          <w:color w:val="000000"/>
          <w:lang w:val="en-CA"/>
        </w:rPr>
        <w:t xml:space="preserve">. </w:t>
      </w:r>
      <w:r w:rsidR="00D6291A" w:rsidRPr="00515AA2">
        <w:rPr>
          <w:color w:val="000000"/>
          <w:lang w:val="en-CA"/>
        </w:rPr>
        <w:t>In finding such conduct</w:t>
      </w:r>
      <w:r w:rsidR="0019291B" w:rsidRPr="00515AA2">
        <w:rPr>
          <w:color w:val="000000"/>
          <w:lang w:val="en-CA"/>
        </w:rPr>
        <w:t xml:space="preserve">, </w:t>
      </w:r>
      <w:r w:rsidR="00D6291A" w:rsidRPr="00515AA2">
        <w:rPr>
          <w:color w:val="000000"/>
          <w:lang w:val="en-CA"/>
        </w:rPr>
        <w:t>an objective analysis is required</w:t>
      </w:r>
      <w:r w:rsidR="00FF1CAA" w:rsidRPr="00515AA2">
        <w:rPr>
          <w:color w:val="000000"/>
          <w:lang w:val="en-CA"/>
        </w:rPr>
        <w:t xml:space="preserve">. </w:t>
      </w:r>
      <w:r w:rsidR="00D6291A" w:rsidRPr="00515AA2">
        <w:rPr>
          <w:color w:val="000000"/>
          <w:lang w:val="en-CA"/>
        </w:rPr>
        <w:t>Ultimately</w:t>
      </w:r>
      <w:r w:rsidR="0019291B" w:rsidRPr="00515AA2">
        <w:rPr>
          <w:color w:val="000000"/>
          <w:lang w:val="en-CA"/>
        </w:rPr>
        <w:t xml:space="preserve">, </w:t>
      </w:r>
      <w:r w:rsidR="00D6291A" w:rsidRPr="00515AA2">
        <w:rPr>
          <w:color w:val="000000"/>
          <w:lang w:val="en-CA"/>
        </w:rPr>
        <w:t>it must be shown that</w:t>
      </w:r>
      <w:r w:rsidR="0019291B" w:rsidRPr="00515AA2">
        <w:rPr>
          <w:color w:val="000000"/>
          <w:lang w:val="en-CA"/>
        </w:rPr>
        <w:t> </w:t>
      </w:r>
      <w:r w:rsidR="00D6291A" w:rsidRPr="00515AA2">
        <w:rPr>
          <w:color w:val="000000"/>
          <w:lang w:val="en-CA"/>
        </w:rPr>
        <w:t>“a person is stripped of their humanity by being subjected to treatment that debases, subjugates, objectifies, humiliates or degrades them, there is no question that their dignity is violated. In this sense, the right to the safeguard of dignity is a shield against this type of interference that does no less than outrage the conscience of society</w:t>
      </w:r>
      <w:r w:rsidR="00D6291A" w:rsidRPr="00515AA2">
        <w:rPr>
          <w:rStyle w:val="Appelnotedebasdep"/>
          <w:color w:val="000000"/>
          <w:vertAlign w:val="baseline"/>
          <w:lang w:val="en-CA"/>
        </w:rPr>
        <w:t>.”</w:t>
      </w:r>
      <w:r w:rsidR="0019291B" w:rsidRPr="00515AA2">
        <w:rPr>
          <w:rStyle w:val="Appelnotedebasdep"/>
          <w:color w:val="000000"/>
          <w:lang w:val="en-CA"/>
        </w:rPr>
        <w:footnoteReference w:id="104"/>
      </w:r>
    </w:p>
    <w:p w14:paraId="5785B2F4" w14:textId="11F3247C" w:rsidR="00AC7986" w:rsidRPr="00515AA2" w:rsidRDefault="008E13D7" w:rsidP="00F846E3">
      <w:pPr>
        <w:pStyle w:val="Paragraphe"/>
        <w:spacing w:line="280" w:lineRule="exact"/>
        <w:rPr>
          <w:color w:val="000000"/>
          <w:lang w:val="en-CA"/>
        </w:rPr>
      </w:pPr>
      <w:r w:rsidRPr="00515AA2">
        <w:rPr>
          <w:color w:val="000000"/>
          <w:lang w:val="en-CA"/>
        </w:rPr>
        <w:t>In the case at bar</w:t>
      </w:r>
      <w:r w:rsidR="00AD1F36" w:rsidRPr="00515AA2">
        <w:rPr>
          <w:color w:val="000000"/>
          <w:lang w:val="en-CA"/>
        </w:rPr>
        <w:t xml:space="preserve">, </w:t>
      </w:r>
      <w:r w:rsidRPr="00515AA2">
        <w:rPr>
          <w:color w:val="000000"/>
          <w:lang w:val="en-CA"/>
        </w:rPr>
        <w:t>after having hear</w:t>
      </w:r>
      <w:r w:rsidR="00AF7526" w:rsidRPr="00515AA2">
        <w:rPr>
          <w:color w:val="000000"/>
          <w:lang w:val="en-CA"/>
        </w:rPr>
        <w:t>d</w:t>
      </w:r>
      <w:r w:rsidRPr="00515AA2">
        <w:rPr>
          <w:color w:val="000000"/>
          <w:lang w:val="en-CA"/>
        </w:rPr>
        <w:t xml:space="preserve"> transgender or non-binary people testify </w:t>
      </w:r>
      <w:r w:rsidR="00AF7526" w:rsidRPr="00515AA2">
        <w:rPr>
          <w:color w:val="000000"/>
          <w:lang w:val="en-CA"/>
        </w:rPr>
        <w:t>as to</w:t>
      </w:r>
      <w:r w:rsidRPr="00515AA2">
        <w:rPr>
          <w:color w:val="000000"/>
          <w:lang w:val="en-CA"/>
        </w:rPr>
        <w:t xml:space="preserve"> the difficulties that they experienced, the judge acknowledged that they [</w:t>
      </w:r>
      <w:r w:rsidRPr="00515AA2">
        <w:rPr>
          <w:smallCaps/>
          <w:color w:val="000000"/>
          <w:lang w:val="en-CA"/>
        </w:rPr>
        <w:t>translation</w:t>
      </w:r>
      <w:r w:rsidRPr="00515AA2">
        <w:rPr>
          <w:color w:val="000000"/>
          <w:lang w:val="en-CA"/>
        </w:rPr>
        <w:t>] “are among the people who experience the highest levels of stigmatization, harassment, discrimination and violence, not only in the public sphere, but all too often within their own families.”</w:t>
      </w:r>
      <w:r w:rsidR="009E0B0A" w:rsidRPr="00515AA2">
        <w:rPr>
          <w:color w:val="000000"/>
          <w:vertAlign w:val="superscript"/>
          <w:lang w:val="en-CA"/>
        </w:rPr>
        <w:footnoteReference w:id="105"/>
      </w:r>
      <w:r w:rsidRPr="00515AA2">
        <w:rPr>
          <w:color w:val="000000"/>
          <w:lang w:val="en-CA"/>
        </w:rPr>
        <w:t xml:space="preserve"> He noted </w:t>
      </w:r>
      <w:r w:rsidR="00AF7526" w:rsidRPr="00515AA2">
        <w:rPr>
          <w:color w:val="000000"/>
          <w:lang w:val="en-CA"/>
        </w:rPr>
        <w:t xml:space="preserve">that </w:t>
      </w:r>
      <w:r w:rsidRPr="00515AA2">
        <w:rPr>
          <w:color w:val="000000"/>
          <w:lang w:val="en-CA"/>
        </w:rPr>
        <w:t xml:space="preserve">the non-concordance between the designations that appeared in their documents of civil status and their </w:t>
      </w:r>
      <w:r w:rsidR="0036075C" w:rsidRPr="00515AA2">
        <w:rPr>
          <w:color w:val="000000"/>
          <w:lang w:val="en-CA"/>
        </w:rPr>
        <w:t>true</w:t>
      </w:r>
      <w:r w:rsidRPr="00515AA2">
        <w:rPr>
          <w:color w:val="000000"/>
          <w:lang w:val="en-CA"/>
        </w:rPr>
        <w:t xml:space="preserve"> identity</w:t>
      </w:r>
      <w:r w:rsidR="0036075C" w:rsidRPr="00515AA2">
        <w:rPr>
          <w:color w:val="000000"/>
          <w:lang w:val="en-CA"/>
        </w:rPr>
        <w:t xml:space="preserve"> contributes to that situation</w:t>
      </w:r>
      <w:r w:rsidR="009E0B0A" w:rsidRPr="00515AA2">
        <w:rPr>
          <w:color w:val="000000"/>
          <w:lang w:val="en-CA"/>
        </w:rPr>
        <w:t xml:space="preserve">. </w:t>
      </w:r>
      <w:r w:rsidR="0036075C" w:rsidRPr="00515AA2">
        <w:rPr>
          <w:color w:val="000000"/>
          <w:lang w:val="en-CA"/>
        </w:rPr>
        <w:t xml:space="preserve">Moreover, several transgender or non-binary people testified </w:t>
      </w:r>
      <w:r w:rsidR="00AF7526" w:rsidRPr="00515AA2">
        <w:rPr>
          <w:color w:val="000000"/>
          <w:lang w:val="en-CA"/>
        </w:rPr>
        <w:t>as to</w:t>
      </w:r>
      <w:r w:rsidR="0036075C" w:rsidRPr="00515AA2">
        <w:rPr>
          <w:color w:val="000000"/>
          <w:lang w:val="en-CA"/>
        </w:rPr>
        <w:t xml:space="preserve"> the difficulties that such non-concordance caused them in their everyday lives: every time that a transgender or non-binary person submits a document that does not correspond to their reality (for instance, to work, to register or register their child for school, to vote or to see a doctor</w:t>
      </w:r>
      <w:r w:rsidR="009E0B0A" w:rsidRPr="00515AA2">
        <w:rPr>
          <w:color w:val="000000"/>
          <w:lang w:val="en-CA"/>
        </w:rPr>
        <w:t xml:space="preserve">), </w:t>
      </w:r>
      <w:r w:rsidR="0036075C" w:rsidRPr="00515AA2">
        <w:rPr>
          <w:color w:val="000000"/>
          <w:lang w:val="en-CA"/>
        </w:rPr>
        <w:t>they disclose the fact that they are transgender or non-binary</w:t>
      </w:r>
      <w:r w:rsidR="009E0B0A" w:rsidRPr="00515AA2">
        <w:rPr>
          <w:color w:val="000000"/>
          <w:lang w:val="en-CA"/>
        </w:rPr>
        <w:t xml:space="preserve">. </w:t>
      </w:r>
      <w:r w:rsidR="00FE2AF8" w:rsidRPr="00515AA2">
        <w:rPr>
          <w:color w:val="000000"/>
          <w:lang w:val="en-CA"/>
        </w:rPr>
        <w:t xml:space="preserve">According to the experts heard by the trial judge, all those activities consequently become distressing, which may </w:t>
      </w:r>
      <w:r w:rsidR="00FE2AF8" w:rsidRPr="00515AA2">
        <w:rPr>
          <w:color w:val="000000"/>
          <w:lang w:val="en-CA"/>
        </w:rPr>
        <w:lastRenderedPageBreak/>
        <w:t xml:space="preserve">lead a transgender or non-binary person to withdraw from many aspects of daily life in order to avoid </w:t>
      </w:r>
      <w:r w:rsidR="00244ACF" w:rsidRPr="00515AA2">
        <w:rPr>
          <w:color w:val="000000"/>
          <w:lang w:val="en-CA"/>
        </w:rPr>
        <w:t>these hardships</w:t>
      </w:r>
      <w:r w:rsidR="009E0B0A" w:rsidRPr="00515AA2">
        <w:rPr>
          <w:color w:val="000000"/>
          <w:lang w:val="en-CA"/>
        </w:rPr>
        <w:t xml:space="preserve">. </w:t>
      </w:r>
      <w:r w:rsidR="00FE2AF8" w:rsidRPr="00515AA2">
        <w:rPr>
          <w:color w:val="000000"/>
          <w:lang w:val="en-CA"/>
        </w:rPr>
        <w:t>Indeed, the experts reported an elevated rate of suicidal ideation and suicide attempts among those people, and several fact witnesses also confirmed having had suicidal thoughts and</w:t>
      </w:r>
      <w:r w:rsidR="00AF7526" w:rsidRPr="00515AA2">
        <w:rPr>
          <w:color w:val="000000"/>
          <w:lang w:val="en-CA"/>
        </w:rPr>
        <w:t xml:space="preserve"> committed suicidal acts</w:t>
      </w:r>
      <w:r w:rsidR="009E0B0A" w:rsidRPr="00515AA2">
        <w:rPr>
          <w:color w:val="000000"/>
          <w:lang w:val="en-CA"/>
        </w:rPr>
        <w:t>.</w:t>
      </w:r>
    </w:p>
    <w:p w14:paraId="630EAC94" w14:textId="65F768C6" w:rsidR="009E0B0A" w:rsidRPr="00515AA2" w:rsidRDefault="00FE2AF8" w:rsidP="00F846E3">
      <w:pPr>
        <w:pStyle w:val="Paragraphe"/>
        <w:spacing w:line="280" w:lineRule="exact"/>
        <w:rPr>
          <w:color w:val="000000"/>
          <w:lang w:val="en-CA"/>
        </w:rPr>
      </w:pPr>
      <w:r w:rsidRPr="00515AA2">
        <w:rPr>
          <w:color w:val="000000"/>
          <w:lang w:val="en-CA"/>
        </w:rPr>
        <w:t>The judge summarized the situation as follows</w:t>
      </w:r>
      <w:r w:rsidR="009E0B0A" w:rsidRPr="00515AA2">
        <w:rPr>
          <w:color w:val="000000"/>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15AA2" w:rsidRPr="00515AA2" w14:paraId="7D4536A2" w14:textId="77777777" w:rsidTr="00706104">
        <w:tc>
          <w:tcPr>
            <w:tcW w:w="4681" w:type="dxa"/>
            <w:shd w:val="clear" w:color="auto" w:fill="auto"/>
          </w:tcPr>
          <w:p w14:paraId="0AB88E2F" w14:textId="1E556EF2" w:rsidR="00E40E14" w:rsidRPr="00515AA2" w:rsidRDefault="00E40E14" w:rsidP="00866F02">
            <w:pPr>
              <w:pStyle w:val="Tableaugauchefranais"/>
              <w:spacing w:line="240" w:lineRule="auto"/>
              <w:rPr>
                <w:color w:val="000000"/>
                <w:lang w:val="en-CA"/>
              </w:rPr>
            </w:pPr>
            <w:r w:rsidRPr="00515AA2">
              <w:rPr>
                <w:color w:val="000000"/>
                <w:lang w:val="en-CA"/>
              </w:rPr>
              <w:t>[16]</w:t>
            </w:r>
            <w:r w:rsidRPr="00515AA2">
              <w:rPr>
                <w:color w:val="000000"/>
                <w:lang w:val="en-CA"/>
              </w:rPr>
              <w:tab/>
              <w:t>These articles lead to the misidentification of transgender and non-binary people and create confusion about their true identity.</w:t>
            </w:r>
          </w:p>
        </w:tc>
        <w:tc>
          <w:tcPr>
            <w:tcW w:w="4681" w:type="dxa"/>
            <w:shd w:val="clear" w:color="auto" w:fill="auto"/>
          </w:tcPr>
          <w:p w14:paraId="569FD9FD" w14:textId="77777777" w:rsidR="00E40E14" w:rsidRPr="00515AA2" w:rsidRDefault="00E40E14" w:rsidP="00D6502D">
            <w:pPr>
              <w:pStyle w:val="Tableaugauchefranais"/>
              <w:spacing w:line="240" w:lineRule="auto"/>
              <w:ind w:left="209" w:right="646"/>
              <w:rPr>
                <w:color w:val="000000"/>
              </w:rPr>
            </w:pPr>
            <w:r w:rsidRPr="00515AA2">
              <w:rPr>
                <w:color w:val="000000"/>
              </w:rPr>
              <w:t>[16]</w:t>
            </w:r>
            <w:r w:rsidRPr="00515AA2">
              <w:rPr>
                <w:color w:val="000000"/>
              </w:rPr>
              <w:tab/>
              <w:t xml:space="preserve">Ces articles entraînent l’identification erronée des personnes transgenres ou non binaires et créent de la confusion à propos de leur identité réelle. </w:t>
            </w:r>
          </w:p>
          <w:p w14:paraId="653354B3" w14:textId="77777777" w:rsidR="00E40E14" w:rsidRPr="00515AA2" w:rsidRDefault="00E40E14" w:rsidP="00D6502D">
            <w:pPr>
              <w:pStyle w:val="Tableaudroiteanglais"/>
              <w:spacing w:line="240" w:lineRule="auto"/>
              <w:ind w:right="646"/>
              <w:rPr>
                <w:color w:val="000000"/>
                <w:lang w:val="fr-CA"/>
              </w:rPr>
            </w:pPr>
          </w:p>
        </w:tc>
      </w:tr>
      <w:tr w:rsidR="00515AA2" w:rsidRPr="00515AA2" w14:paraId="0DCC8F5A" w14:textId="77777777" w:rsidTr="00706104">
        <w:tc>
          <w:tcPr>
            <w:tcW w:w="4681" w:type="dxa"/>
            <w:shd w:val="clear" w:color="auto" w:fill="auto"/>
          </w:tcPr>
          <w:p w14:paraId="043C8159" w14:textId="27ED0749" w:rsidR="00E40E14" w:rsidRPr="00515AA2" w:rsidRDefault="00E40E14" w:rsidP="00866F02">
            <w:pPr>
              <w:pStyle w:val="Tableaugauchefranais"/>
              <w:spacing w:line="240" w:lineRule="auto"/>
              <w:rPr>
                <w:color w:val="000000"/>
                <w:lang w:val="en-CA"/>
              </w:rPr>
            </w:pPr>
            <w:r w:rsidRPr="00515AA2">
              <w:rPr>
                <w:color w:val="000000"/>
                <w:lang w:val="en-CA"/>
              </w:rPr>
              <w:t>[17]</w:t>
            </w:r>
            <w:r w:rsidRPr="00515AA2">
              <w:rPr>
                <w:color w:val="000000"/>
                <w:lang w:val="en-CA"/>
              </w:rPr>
              <w:tab/>
              <w:t>Confusion, misunderstanding and intolerance of transgender and non-binary people can lead to persecution and violence, which some try to avoid by withdrawing from situations that require the presentation of a government-issued identity document, such as registering for school, applying for a job, or seeking medical help. Being under-educated, under-employed, and unhealthy can create new, exponential problems for transgender and non-binary people. They frequently turn to suicide to end the suffering caused by living in a world that does not acknowledge their identity and that fights their attempts to affirm it.</w:t>
            </w:r>
          </w:p>
        </w:tc>
        <w:tc>
          <w:tcPr>
            <w:tcW w:w="4681" w:type="dxa"/>
            <w:shd w:val="clear" w:color="auto" w:fill="auto"/>
          </w:tcPr>
          <w:p w14:paraId="13DA0DEA" w14:textId="77777777" w:rsidR="00E40E14" w:rsidRPr="00515AA2" w:rsidRDefault="00E40E14" w:rsidP="00D6502D">
            <w:pPr>
              <w:pStyle w:val="Tableaugauchefranais"/>
              <w:spacing w:line="240" w:lineRule="auto"/>
              <w:ind w:left="209" w:right="646"/>
              <w:rPr>
                <w:color w:val="000000"/>
              </w:rPr>
            </w:pPr>
            <w:r w:rsidRPr="00515AA2">
              <w:rPr>
                <w:color w:val="000000"/>
              </w:rPr>
              <w:t>[17]</w:t>
            </w:r>
            <w:r w:rsidRPr="00515AA2">
              <w:rPr>
                <w:color w:val="000000"/>
              </w:rPr>
              <w:tab/>
              <w:t xml:space="preserve">La confusion, l’incompréhension et l’intolérance à l’égard des personnes transgenres ou non binaires peuvent entraîner de la persécution et de la violence, que certains tentent d’éviter en se retirant des situations qui exigent de présenter un document d’identité délivré par le gouvernement, par exemple s’inscrire à l’école, postuler un emploi ou demander de l’aide médicale. Le fait d’être sous-éduqué, sous-employé et en mauvaise santé peut causer des problèmes exponentiels aux personnes transgenres ou non binaires. Elles ont souvent recours au suicide pour mettre fin à leur souffrance de vivre dans un monde qui ne reconnaît pas leur identité et qui combat leurs tentatives d’affirmer celle-ci. </w:t>
            </w:r>
          </w:p>
          <w:p w14:paraId="203AE0BE" w14:textId="77777777" w:rsidR="00E40E14" w:rsidRPr="00515AA2" w:rsidRDefault="00E40E14" w:rsidP="00D6502D">
            <w:pPr>
              <w:pStyle w:val="Tableaudroiteanglais"/>
              <w:spacing w:line="240" w:lineRule="auto"/>
              <w:ind w:left="209" w:right="646"/>
              <w:rPr>
                <w:color w:val="000000"/>
                <w:lang w:val="fr-CA"/>
              </w:rPr>
            </w:pPr>
          </w:p>
        </w:tc>
      </w:tr>
    </w:tbl>
    <w:p w14:paraId="453DB199" w14:textId="322E863F" w:rsidR="00700F74" w:rsidRPr="00515AA2" w:rsidRDefault="00AF7526" w:rsidP="00F846E3">
      <w:pPr>
        <w:pStyle w:val="Paragraphe"/>
        <w:spacing w:line="280" w:lineRule="exact"/>
        <w:rPr>
          <w:color w:val="000000"/>
          <w:lang w:val="en-CA"/>
        </w:rPr>
      </w:pPr>
      <w:r w:rsidRPr="00515AA2">
        <w:rPr>
          <w:color w:val="000000"/>
          <w:lang w:val="en-CA"/>
        </w:rPr>
        <w:t>In our view</w:t>
      </w:r>
      <w:r w:rsidR="00873DFA" w:rsidRPr="00515AA2">
        <w:rPr>
          <w:color w:val="000000"/>
          <w:lang w:val="en-CA"/>
        </w:rPr>
        <w:t xml:space="preserve">, </w:t>
      </w:r>
      <w:r w:rsidR="00CA4143" w:rsidRPr="00515AA2">
        <w:rPr>
          <w:color w:val="000000"/>
          <w:lang w:val="en-CA"/>
        </w:rPr>
        <w:t xml:space="preserve">the judge’s findings are supported by </w:t>
      </w:r>
      <w:r w:rsidR="00317048" w:rsidRPr="00515AA2">
        <w:rPr>
          <w:color w:val="000000"/>
          <w:lang w:val="en-CA"/>
        </w:rPr>
        <w:t>the evidence</w:t>
      </w:r>
      <w:r w:rsidR="00CA4143" w:rsidRPr="00515AA2">
        <w:rPr>
          <w:color w:val="000000"/>
          <w:lang w:val="en-CA"/>
        </w:rPr>
        <w:t xml:space="preserve"> </w:t>
      </w:r>
      <w:r w:rsidR="00317048" w:rsidRPr="00515AA2">
        <w:rPr>
          <w:color w:val="000000"/>
          <w:lang w:val="en-CA"/>
        </w:rPr>
        <w:t xml:space="preserve">and the AGQ has not shown that they are tainted by a palpable and </w:t>
      </w:r>
      <w:r w:rsidR="00E667A8" w:rsidRPr="00515AA2">
        <w:rPr>
          <w:color w:val="000000"/>
          <w:lang w:val="en-CA"/>
        </w:rPr>
        <w:t xml:space="preserve">overriding </w:t>
      </w:r>
      <w:r w:rsidR="00317048" w:rsidRPr="00515AA2">
        <w:rPr>
          <w:color w:val="000000"/>
          <w:lang w:val="en-CA"/>
        </w:rPr>
        <w:t>error</w:t>
      </w:r>
      <w:r w:rsidR="00743AE9" w:rsidRPr="00515AA2">
        <w:rPr>
          <w:color w:val="000000"/>
          <w:lang w:val="en-CA"/>
        </w:rPr>
        <w:t xml:space="preserve">. </w:t>
      </w:r>
      <w:r w:rsidR="00317048" w:rsidRPr="00515AA2">
        <w:rPr>
          <w:color w:val="000000"/>
          <w:lang w:val="en-CA"/>
        </w:rPr>
        <w:t xml:space="preserve">Indeed, based on those findings, the judge determined that </w:t>
      </w:r>
      <w:r w:rsidR="00A81B28" w:rsidRPr="00515AA2">
        <w:rPr>
          <w:color w:val="000000"/>
          <w:lang w:val="en-CA"/>
        </w:rPr>
        <w:t>being able</w:t>
      </w:r>
      <w:r w:rsidR="00317048" w:rsidRPr="00515AA2">
        <w:rPr>
          <w:color w:val="000000"/>
          <w:lang w:val="en-CA"/>
        </w:rPr>
        <w:t xml:space="preserve"> </w:t>
      </w:r>
      <w:r w:rsidR="00CA4143" w:rsidRPr="00515AA2">
        <w:rPr>
          <w:color w:val="000000"/>
          <w:lang w:val="en-CA"/>
        </w:rPr>
        <w:t>to</w:t>
      </w:r>
      <w:r w:rsidR="00317048" w:rsidRPr="00515AA2">
        <w:rPr>
          <w:color w:val="000000"/>
          <w:lang w:val="en-CA"/>
        </w:rPr>
        <w:t xml:space="preserve"> chang</w:t>
      </w:r>
      <w:r w:rsidR="00CA4143" w:rsidRPr="00515AA2">
        <w:rPr>
          <w:color w:val="000000"/>
          <w:lang w:val="en-CA"/>
        </w:rPr>
        <w:t xml:space="preserve">e </w:t>
      </w:r>
      <w:r w:rsidR="00317048" w:rsidRPr="00515AA2">
        <w:rPr>
          <w:color w:val="000000"/>
          <w:lang w:val="en-CA"/>
        </w:rPr>
        <w:t>the designation of sex that appears on the</w:t>
      </w:r>
      <w:r w:rsidR="00CA4143" w:rsidRPr="00515AA2">
        <w:rPr>
          <w:color w:val="000000"/>
          <w:lang w:val="en-CA"/>
        </w:rPr>
        <w:t>ir</w:t>
      </w:r>
      <w:r w:rsidR="00317048" w:rsidRPr="00515AA2">
        <w:rPr>
          <w:color w:val="000000"/>
          <w:lang w:val="en-CA"/>
        </w:rPr>
        <w:t xml:space="preserve"> civil status documents is essential </w:t>
      </w:r>
      <w:r w:rsidR="00614E57" w:rsidRPr="00515AA2">
        <w:rPr>
          <w:color w:val="000000"/>
          <w:lang w:val="en-CA"/>
        </w:rPr>
        <w:t>to allow</w:t>
      </w:r>
      <w:r w:rsidR="00317048" w:rsidRPr="00515AA2">
        <w:rPr>
          <w:color w:val="000000"/>
          <w:lang w:val="en-CA"/>
        </w:rPr>
        <w:t xml:space="preserve"> transgender or non-binary people to participate fully in society</w:t>
      </w:r>
      <w:r w:rsidR="00700F74" w:rsidRPr="00515AA2">
        <w:rPr>
          <w:rStyle w:val="Appelnotedebasdep"/>
          <w:color w:val="000000"/>
          <w:lang w:val="en-CA"/>
        </w:rPr>
        <w:footnoteReference w:id="106"/>
      </w:r>
      <w:r w:rsidR="00AD1F36" w:rsidRPr="00515AA2">
        <w:rPr>
          <w:color w:val="000000"/>
          <w:lang w:val="en-CA"/>
        </w:rPr>
        <w:t xml:space="preserve"> </w:t>
      </w:r>
      <w:r w:rsidR="00317048" w:rsidRPr="00515AA2">
        <w:rPr>
          <w:color w:val="000000"/>
          <w:lang w:val="en-CA"/>
        </w:rPr>
        <w:t xml:space="preserve">and the fact of not having an act of birth that reflects their reality </w:t>
      </w:r>
      <w:r w:rsidR="00CA4143" w:rsidRPr="00515AA2">
        <w:rPr>
          <w:color w:val="000000"/>
          <w:lang w:val="en-CA"/>
        </w:rPr>
        <w:t xml:space="preserve">leaves them without legal existence </w:t>
      </w:r>
      <w:r w:rsidR="00317048" w:rsidRPr="00515AA2">
        <w:rPr>
          <w:color w:val="000000"/>
          <w:lang w:val="en-CA"/>
        </w:rPr>
        <w:t xml:space="preserve">and </w:t>
      </w:r>
      <w:r w:rsidR="00CA4143" w:rsidRPr="00515AA2">
        <w:rPr>
          <w:color w:val="000000"/>
          <w:lang w:val="en-CA"/>
        </w:rPr>
        <w:t>prevents them from e</w:t>
      </w:r>
      <w:r w:rsidR="00317048" w:rsidRPr="00515AA2">
        <w:rPr>
          <w:color w:val="000000"/>
          <w:lang w:val="en-CA"/>
        </w:rPr>
        <w:t>njoy</w:t>
      </w:r>
      <w:r w:rsidR="00CA4143" w:rsidRPr="00515AA2">
        <w:rPr>
          <w:color w:val="000000"/>
          <w:lang w:val="en-CA"/>
        </w:rPr>
        <w:t>ing</w:t>
      </w:r>
      <w:r w:rsidR="00317048" w:rsidRPr="00515AA2">
        <w:rPr>
          <w:color w:val="000000"/>
          <w:lang w:val="en-CA"/>
        </w:rPr>
        <w:t xml:space="preserve"> the fundamental attributes of a person</w:t>
      </w:r>
      <w:r w:rsidR="004D4A6C" w:rsidRPr="00515AA2">
        <w:rPr>
          <w:color w:val="000000"/>
          <w:lang w:val="en-CA"/>
        </w:rPr>
        <w:t>.</w:t>
      </w:r>
    </w:p>
    <w:p w14:paraId="02FA1031" w14:textId="75AD15CC" w:rsidR="003B1D71" w:rsidRPr="00515AA2" w:rsidRDefault="00A81B28" w:rsidP="00F846E3">
      <w:pPr>
        <w:pStyle w:val="Paragraphe"/>
        <w:spacing w:line="280" w:lineRule="exact"/>
        <w:rPr>
          <w:color w:val="000000"/>
          <w:lang w:val="en-CA"/>
        </w:rPr>
      </w:pPr>
      <w:r w:rsidRPr="00515AA2">
        <w:rPr>
          <w:color w:val="000000"/>
          <w:lang w:val="en-CA"/>
        </w:rPr>
        <w:t>While</w:t>
      </w:r>
      <w:r w:rsidR="003909C6" w:rsidRPr="00515AA2">
        <w:rPr>
          <w:color w:val="000000"/>
          <w:lang w:val="en-CA"/>
        </w:rPr>
        <w:t xml:space="preserve"> </w:t>
      </w:r>
      <w:r w:rsidR="00CA4143" w:rsidRPr="00515AA2">
        <w:rPr>
          <w:color w:val="000000"/>
          <w:lang w:val="en-CA"/>
        </w:rPr>
        <w:t>art</w:t>
      </w:r>
      <w:r w:rsidR="00F16DB7" w:rsidRPr="00515AA2">
        <w:rPr>
          <w:color w:val="000000"/>
          <w:lang w:val="en-CA"/>
        </w:rPr>
        <w:t>icle</w:t>
      </w:r>
      <w:r w:rsidR="00B22793" w:rsidRPr="00515AA2">
        <w:rPr>
          <w:color w:val="000000"/>
          <w:lang w:val="en-CA"/>
        </w:rPr>
        <w:t> </w:t>
      </w:r>
      <w:r w:rsidR="00700F74" w:rsidRPr="00515AA2">
        <w:rPr>
          <w:color w:val="000000"/>
          <w:lang w:val="en-CA"/>
        </w:rPr>
        <w:t xml:space="preserve">71 </w:t>
      </w:r>
      <w:r w:rsidR="00700F74" w:rsidRPr="00515AA2">
        <w:rPr>
          <w:i/>
          <w:iCs/>
          <w:color w:val="000000"/>
          <w:lang w:val="en-CA"/>
        </w:rPr>
        <w:t>C.</w:t>
      </w:r>
      <w:r w:rsidR="00CA4143" w:rsidRPr="00515AA2">
        <w:rPr>
          <w:i/>
          <w:iCs/>
          <w:color w:val="000000"/>
          <w:lang w:val="en-CA"/>
        </w:rPr>
        <w:t>C</w:t>
      </w:r>
      <w:r w:rsidR="00700F74" w:rsidRPr="00515AA2">
        <w:rPr>
          <w:i/>
          <w:iCs/>
          <w:color w:val="000000"/>
          <w:lang w:val="en-CA"/>
        </w:rPr>
        <w:t>.Q.</w:t>
      </w:r>
      <w:r w:rsidR="003909C6" w:rsidRPr="00515AA2">
        <w:rPr>
          <w:i/>
          <w:iCs/>
          <w:color w:val="000000"/>
          <w:lang w:val="en-CA"/>
        </w:rPr>
        <w:t xml:space="preserve"> </w:t>
      </w:r>
      <w:r w:rsidRPr="00515AA2">
        <w:rPr>
          <w:color w:val="000000"/>
          <w:lang w:val="en-CA"/>
        </w:rPr>
        <w:t>begins by a</w:t>
      </w:r>
      <w:r w:rsidR="00CA4143" w:rsidRPr="00515AA2">
        <w:rPr>
          <w:color w:val="000000"/>
          <w:lang w:val="en-CA"/>
        </w:rPr>
        <w:t>llow</w:t>
      </w:r>
      <w:r w:rsidRPr="00515AA2">
        <w:rPr>
          <w:color w:val="000000"/>
          <w:lang w:val="en-CA"/>
        </w:rPr>
        <w:t>ing</w:t>
      </w:r>
      <w:r w:rsidR="00CA4143" w:rsidRPr="00515AA2">
        <w:rPr>
          <w:color w:val="000000"/>
          <w:lang w:val="en-CA"/>
        </w:rPr>
        <w:t xml:space="preserve"> transgender or non-binary people the right to change the designation of sex that appears on their civil status documents</w:t>
      </w:r>
      <w:r w:rsidR="003909C6" w:rsidRPr="00515AA2">
        <w:rPr>
          <w:color w:val="000000"/>
          <w:lang w:val="en-CA"/>
        </w:rPr>
        <w:t xml:space="preserve"> and </w:t>
      </w:r>
      <w:r w:rsidR="003909C6" w:rsidRPr="00515AA2">
        <w:rPr>
          <w:color w:val="000000"/>
          <w:lang w:val="en-CA"/>
        </w:rPr>
        <w:lastRenderedPageBreak/>
        <w:t xml:space="preserve">represents in that regard an important and undeniable </w:t>
      </w:r>
      <w:r w:rsidR="001E0B46" w:rsidRPr="00515AA2">
        <w:rPr>
          <w:color w:val="000000"/>
          <w:lang w:val="en-CA"/>
        </w:rPr>
        <w:t>advance</w:t>
      </w:r>
      <w:r w:rsidR="003909C6" w:rsidRPr="00515AA2">
        <w:rPr>
          <w:color w:val="000000"/>
          <w:lang w:val="en-CA"/>
        </w:rPr>
        <w:t xml:space="preserve"> </w:t>
      </w:r>
      <w:r w:rsidR="001E0B46" w:rsidRPr="00515AA2">
        <w:rPr>
          <w:color w:val="000000"/>
          <w:lang w:val="en-CA"/>
        </w:rPr>
        <w:t>in</w:t>
      </w:r>
      <w:r w:rsidR="003909C6" w:rsidRPr="00515AA2">
        <w:rPr>
          <w:color w:val="000000"/>
          <w:lang w:val="en-CA"/>
        </w:rPr>
        <w:t xml:space="preserve"> reducing the difficulties experienced by that group, the second paragraph of s</w:t>
      </w:r>
      <w:r w:rsidR="00F16DB7" w:rsidRPr="00515AA2">
        <w:rPr>
          <w:color w:val="000000"/>
          <w:lang w:val="en-CA"/>
        </w:rPr>
        <w:t>ection</w:t>
      </w:r>
      <w:r w:rsidR="003909C6" w:rsidRPr="00515AA2">
        <w:rPr>
          <w:color w:val="000000"/>
          <w:lang w:val="en-CA"/>
        </w:rPr>
        <w:t xml:space="preserve"> </w:t>
      </w:r>
      <w:r w:rsidR="00700F74" w:rsidRPr="00515AA2">
        <w:rPr>
          <w:color w:val="000000"/>
          <w:lang w:val="en-CA"/>
        </w:rPr>
        <w:t xml:space="preserve">23.2 </w:t>
      </w:r>
      <w:r w:rsidR="003909C6" w:rsidRPr="00515AA2">
        <w:rPr>
          <w:color w:val="000000"/>
          <w:lang w:val="en-CA"/>
        </w:rPr>
        <w:t>of the</w:t>
      </w:r>
      <w:r w:rsidR="00700F74" w:rsidRPr="00515AA2">
        <w:rPr>
          <w:color w:val="000000"/>
          <w:lang w:val="en-CA"/>
        </w:rPr>
        <w:t xml:space="preserve"> </w:t>
      </w:r>
      <w:r w:rsidR="00700F74" w:rsidRPr="00515AA2">
        <w:rPr>
          <w:i/>
          <w:iCs/>
          <w:color w:val="000000"/>
          <w:lang w:val="en-CA"/>
        </w:rPr>
        <w:t>R</w:t>
      </w:r>
      <w:r w:rsidR="003909C6" w:rsidRPr="00515AA2">
        <w:rPr>
          <w:i/>
          <w:iCs/>
          <w:color w:val="000000"/>
          <w:lang w:val="en-CA"/>
        </w:rPr>
        <w:t>egulation</w:t>
      </w:r>
      <w:r w:rsidR="001E0B46" w:rsidRPr="00515AA2">
        <w:rPr>
          <w:color w:val="000000"/>
          <w:lang w:val="en-CA"/>
        </w:rPr>
        <w:t>,</w:t>
      </w:r>
      <w:r w:rsidR="001E0B46" w:rsidRPr="00515AA2">
        <w:rPr>
          <w:i/>
          <w:iCs/>
          <w:color w:val="000000"/>
          <w:lang w:val="en-CA"/>
        </w:rPr>
        <w:t xml:space="preserve"> </w:t>
      </w:r>
      <w:r w:rsidR="003909C6" w:rsidRPr="00515AA2">
        <w:rPr>
          <w:color w:val="000000"/>
          <w:lang w:val="en-CA"/>
        </w:rPr>
        <w:t>for its part</w:t>
      </w:r>
      <w:r w:rsidR="001E0B46" w:rsidRPr="00515AA2">
        <w:rPr>
          <w:color w:val="000000"/>
          <w:lang w:val="en-CA"/>
        </w:rPr>
        <w:t>,</w:t>
      </w:r>
      <w:r w:rsidR="003909C6" w:rsidRPr="00515AA2">
        <w:rPr>
          <w:color w:val="000000"/>
          <w:lang w:val="en-CA"/>
        </w:rPr>
        <w:t xml:space="preserve"> </w:t>
      </w:r>
      <w:r w:rsidR="001E0B46" w:rsidRPr="00515AA2">
        <w:rPr>
          <w:color w:val="000000"/>
          <w:lang w:val="en-CA"/>
        </w:rPr>
        <w:t>limits t</w:t>
      </w:r>
      <w:r w:rsidR="003909C6" w:rsidRPr="00515AA2">
        <w:rPr>
          <w:color w:val="000000"/>
          <w:lang w:val="en-CA"/>
        </w:rPr>
        <w:t xml:space="preserve">hat right in the case of minors, notably those aged fourteen </w:t>
      </w:r>
      <w:r w:rsidR="00E82E6B" w:rsidRPr="00515AA2">
        <w:rPr>
          <w:color w:val="000000"/>
          <w:lang w:val="en-CA"/>
        </w:rPr>
        <w:t>or over</w:t>
      </w:r>
      <w:r w:rsidR="00700F74" w:rsidRPr="00515AA2">
        <w:rPr>
          <w:color w:val="000000"/>
          <w:lang w:val="en-CA"/>
        </w:rPr>
        <w:t>.</w:t>
      </w:r>
    </w:p>
    <w:p w14:paraId="7C98209B" w14:textId="73388C41" w:rsidR="00700F74" w:rsidRPr="00515AA2" w:rsidRDefault="001E0B46" w:rsidP="00F846E3">
      <w:pPr>
        <w:pStyle w:val="Paragraphe"/>
        <w:spacing w:line="280" w:lineRule="exact"/>
        <w:rPr>
          <w:color w:val="000000"/>
          <w:lang w:val="en-CA"/>
        </w:rPr>
      </w:pPr>
      <w:r w:rsidRPr="00515AA2">
        <w:rPr>
          <w:color w:val="000000"/>
          <w:lang w:val="en-CA"/>
        </w:rPr>
        <w:t>The judge conclude</w:t>
      </w:r>
      <w:r w:rsidR="00A81B28" w:rsidRPr="00515AA2">
        <w:rPr>
          <w:color w:val="000000"/>
          <w:lang w:val="en-CA"/>
        </w:rPr>
        <w:t>d</w:t>
      </w:r>
      <w:r w:rsidRPr="00515AA2">
        <w:rPr>
          <w:color w:val="000000"/>
          <w:lang w:val="en-CA"/>
        </w:rPr>
        <w:t xml:space="preserve"> that this impose</w:t>
      </w:r>
      <w:r w:rsidR="00A81B28" w:rsidRPr="00515AA2">
        <w:rPr>
          <w:color w:val="000000"/>
          <w:lang w:val="en-CA"/>
        </w:rPr>
        <w:t>d</w:t>
      </w:r>
      <w:r w:rsidRPr="00515AA2">
        <w:rPr>
          <w:color w:val="000000"/>
          <w:lang w:val="en-CA"/>
        </w:rPr>
        <w:t xml:space="preserve"> on them an additional burden</w:t>
      </w:r>
      <w:r w:rsidR="00A81B28" w:rsidRPr="00515AA2">
        <w:rPr>
          <w:color w:val="000000"/>
          <w:lang w:val="en-CA"/>
        </w:rPr>
        <w:t>,</w:t>
      </w:r>
      <w:r w:rsidRPr="00515AA2">
        <w:rPr>
          <w:color w:val="000000"/>
          <w:lang w:val="en-CA"/>
        </w:rPr>
        <w:t xml:space="preserve"> </w:t>
      </w:r>
      <w:r w:rsidR="00A81B28" w:rsidRPr="00515AA2">
        <w:rPr>
          <w:color w:val="000000"/>
          <w:lang w:val="en-CA"/>
        </w:rPr>
        <w:t>which may</w:t>
      </w:r>
      <w:r w:rsidRPr="00515AA2">
        <w:rPr>
          <w:color w:val="000000"/>
          <w:lang w:val="en-CA"/>
        </w:rPr>
        <w:t xml:space="preserve"> prevent them from undertaking, or at least delay, the steps required to have their civil status documents changed</w:t>
      </w:r>
      <w:r w:rsidR="00700F74" w:rsidRPr="00515AA2">
        <w:rPr>
          <w:color w:val="000000"/>
          <w:lang w:val="en-CA"/>
        </w:rPr>
        <w:t>.</w:t>
      </w:r>
    </w:p>
    <w:p w14:paraId="76EDE382" w14:textId="7AECEA85" w:rsidR="00700F74" w:rsidRPr="00515AA2" w:rsidRDefault="001E0B46" w:rsidP="00F846E3">
      <w:pPr>
        <w:pStyle w:val="Paragraphe"/>
        <w:spacing w:line="280" w:lineRule="exact"/>
        <w:rPr>
          <w:color w:val="000000"/>
          <w:lang w:val="en-CA"/>
        </w:rPr>
      </w:pPr>
      <w:r w:rsidRPr="00515AA2">
        <w:rPr>
          <w:color w:val="000000"/>
          <w:lang w:val="en-CA"/>
        </w:rPr>
        <w:t>In his view, this results in a violation of the right to dignity that he describes as follows</w:t>
      </w:r>
      <w:r w:rsidR="00700F74" w:rsidRPr="00515AA2">
        <w:rPr>
          <w:color w:val="000000"/>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15AA2" w:rsidRPr="00515AA2" w14:paraId="1DA788D8" w14:textId="77777777" w:rsidTr="007522E0">
        <w:tc>
          <w:tcPr>
            <w:tcW w:w="4681" w:type="dxa"/>
            <w:shd w:val="clear" w:color="auto" w:fill="auto"/>
          </w:tcPr>
          <w:p w14:paraId="0D95DC3C" w14:textId="6A17D64E" w:rsidR="007522E0" w:rsidRPr="00515AA2" w:rsidRDefault="007522E0" w:rsidP="00F8482B">
            <w:pPr>
              <w:pStyle w:val="Tableaugauchefranais"/>
              <w:spacing w:line="240" w:lineRule="auto"/>
              <w:rPr>
                <w:color w:val="000000"/>
                <w:lang w:val="en-CA"/>
              </w:rPr>
            </w:pPr>
            <w:r w:rsidRPr="00515AA2">
              <w:rPr>
                <w:color w:val="000000"/>
                <w:lang w:val="en-CA"/>
              </w:rPr>
              <w:t>[140]</w:t>
            </w:r>
            <w:r w:rsidRPr="00515AA2">
              <w:rPr>
                <w:color w:val="000000"/>
                <w:lang w:val="en-CA"/>
              </w:rPr>
              <w:tab/>
              <w:t>Legislation that does not acknowledge transgender and non-binary identity leaves them without legal existence and denies their right to dignity. Their right to equal protection and benefit of the law is infringed because they cannot obtain an act of birth that identifies them and that makes it easier for them to prove their civil status. By contributing to their vulnerability to suicide, their rights to life, security, and inviolability are also engaged</w:t>
            </w:r>
          </w:p>
        </w:tc>
        <w:tc>
          <w:tcPr>
            <w:tcW w:w="4681" w:type="dxa"/>
            <w:shd w:val="clear" w:color="auto" w:fill="auto"/>
          </w:tcPr>
          <w:p w14:paraId="492EA61D" w14:textId="420417F7" w:rsidR="007522E0" w:rsidRPr="00515AA2" w:rsidRDefault="007522E0" w:rsidP="00F8482B">
            <w:pPr>
              <w:pStyle w:val="Tableaudroiteanglais"/>
              <w:spacing w:line="240" w:lineRule="auto"/>
              <w:rPr>
                <w:color w:val="000000"/>
                <w:lang w:val="fr-CA"/>
              </w:rPr>
            </w:pPr>
            <w:r w:rsidRPr="00515AA2">
              <w:rPr>
                <w:color w:val="000000"/>
                <w:lang w:val="fr-CA"/>
              </w:rPr>
              <w:t>[140]</w:t>
            </w:r>
            <w:r w:rsidRPr="00515AA2">
              <w:rPr>
                <w:color w:val="000000"/>
                <w:lang w:val="fr-CA"/>
              </w:rPr>
              <w:tab/>
            </w:r>
            <w:r w:rsidR="00760C91" w:rsidRPr="00515AA2">
              <w:rPr>
                <w:color w:val="000000"/>
                <w:lang w:val="fr-CA"/>
              </w:rPr>
              <w:t xml:space="preserve"> </w:t>
            </w:r>
            <w:r w:rsidRPr="00515AA2">
              <w:rPr>
                <w:color w:val="000000"/>
                <w:lang w:val="fr-CA"/>
              </w:rPr>
              <w:t>Une législation qui ne reconnaît pas l’identité des personnes transgenres ou non binaires les empêche d’avoir une existence légale et leur nie le droit à la dignité. Leur droit à la même protection et au même bénéfice de la loi est enfreint parce qu’elles ne peuvent obtenir un acte de naissance qui les identifie et qui rend plus facile la preuve de leur état civil. En raison de leur vulnérabilité accrue au suicide, leurs droits à la vie, à la sécurité et à l’inviolabilité sont aussi en jeu.</w:t>
            </w:r>
          </w:p>
        </w:tc>
      </w:tr>
    </w:tbl>
    <w:p w14:paraId="3F9D07E9" w14:textId="5B699E16" w:rsidR="009E0B0A" w:rsidRPr="00515AA2" w:rsidRDefault="001E0B46" w:rsidP="00F846E3">
      <w:pPr>
        <w:pStyle w:val="Paragraphe"/>
        <w:spacing w:line="280" w:lineRule="exact"/>
        <w:rPr>
          <w:color w:val="000000"/>
          <w:lang w:val="en-CA"/>
        </w:rPr>
      </w:pPr>
      <w:r w:rsidRPr="00515AA2">
        <w:rPr>
          <w:color w:val="000000"/>
          <w:lang w:val="en-CA"/>
        </w:rPr>
        <w:t xml:space="preserve">To the extent that the second paragraph of </w:t>
      </w:r>
      <w:r w:rsidR="00F16DB7" w:rsidRPr="00515AA2">
        <w:rPr>
          <w:color w:val="000000"/>
          <w:lang w:val="en-CA"/>
        </w:rPr>
        <w:t>section</w:t>
      </w:r>
      <w:r w:rsidR="00B22793" w:rsidRPr="00515AA2">
        <w:rPr>
          <w:color w:val="000000"/>
          <w:lang w:val="en-CA"/>
        </w:rPr>
        <w:t> </w:t>
      </w:r>
      <w:r w:rsidR="009E0B0A" w:rsidRPr="00515AA2">
        <w:rPr>
          <w:color w:val="000000"/>
          <w:lang w:val="en-CA"/>
        </w:rPr>
        <w:t xml:space="preserve">23.2 </w:t>
      </w:r>
      <w:r w:rsidRPr="00515AA2">
        <w:rPr>
          <w:color w:val="000000"/>
          <w:lang w:val="en-CA"/>
        </w:rPr>
        <w:t>of the</w:t>
      </w:r>
      <w:r w:rsidR="009E0B0A" w:rsidRPr="00515AA2">
        <w:rPr>
          <w:color w:val="000000"/>
          <w:lang w:val="en-CA"/>
        </w:rPr>
        <w:t xml:space="preserve"> </w:t>
      </w:r>
      <w:r w:rsidR="00C70E6E" w:rsidRPr="00515AA2">
        <w:rPr>
          <w:i/>
          <w:iCs/>
          <w:color w:val="000000"/>
          <w:lang w:val="en-CA"/>
        </w:rPr>
        <w:t>Regulation</w:t>
      </w:r>
      <w:r w:rsidR="009E0B0A" w:rsidRPr="00515AA2">
        <w:rPr>
          <w:color w:val="000000"/>
          <w:lang w:val="en-CA"/>
        </w:rPr>
        <w:t xml:space="preserve"> </w:t>
      </w:r>
      <w:r w:rsidR="00C70E6E" w:rsidRPr="00515AA2">
        <w:rPr>
          <w:color w:val="000000"/>
          <w:lang w:val="en-CA"/>
        </w:rPr>
        <w:t>limits access to the right to align the designation of their sex that appears in the acts of civil status with their gender identity, we find that it violates the right of transgender and non-binary youth to the safeguard of their dignity protected by s</w:t>
      </w:r>
      <w:r w:rsidR="00F16DB7" w:rsidRPr="00515AA2">
        <w:rPr>
          <w:color w:val="000000"/>
          <w:lang w:val="en-CA"/>
        </w:rPr>
        <w:t>ection</w:t>
      </w:r>
      <w:r w:rsidR="00C70E6E" w:rsidRPr="00515AA2">
        <w:rPr>
          <w:color w:val="000000"/>
          <w:lang w:val="en-CA"/>
        </w:rPr>
        <w:t xml:space="preserve"> 4 of the</w:t>
      </w:r>
      <w:r w:rsidR="00743AE9" w:rsidRPr="00515AA2">
        <w:rPr>
          <w:color w:val="000000"/>
          <w:lang w:val="en-CA"/>
        </w:rPr>
        <w:t xml:space="preserve"> </w:t>
      </w:r>
      <w:r w:rsidR="00C70E6E" w:rsidRPr="00515AA2">
        <w:rPr>
          <w:i/>
          <w:iCs/>
          <w:color w:val="000000"/>
          <w:lang w:val="en-CA"/>
        </w:rPr>
        <w:t>Quebec Charter</w:t>
      </w:r>
      <w:r w:rsidR="009E0B0A" w:rsidRPr="00515AA2">
        <w:rPr>
          <w:color w:val="000000"/>
          <w:lang w:val="en-CA"/>
        </w:rPr>
        <w:t>.</w:t>
      </w:r>
    </w:p>
    <w:p w14:paraId="6CA012B4" w14:textId="16984B31" w:rsidR="00873DFA" w:rsidRPr="00515AA2" w:rsidRDefault="00B40056" w:rsidP="00D84C5B">
      <w:pPr>
        <w:pStyle w:val="SOUS-PARA11"/>
        <w:numPr>
          <w:ilvl w:val="1"/>
          <w:numId w:val="19"/>
        </w:numPr>
        <w:ind w:left="1418" w:hanging="709"/>
        <w:rPr>
          <w:color w:val="000000"/>
        </w:rPr>
      </w:pPr>
      <w:r w:rsidRPr="00515AA2">
        <w:rPr>
          <w:color w:val="000000"/>
        </w:rPr>
        <w:t xml:space="preserve"> </w:t>
      </w:r>
      <w:bookmarkStart w:id="64" w:name="_Toc161830119"/>
      <w:r w:rsidR="00714952" w:rsidRPr="00515AA2">
        <w:rPr>
          <w:color w:val="000000"/>
        </w:rPr>
        <w:t>The Right to Life, Liberty and Security of the Person</w:t>
      </w:r>
      <w:bookmarkEnd w:id="64"/>
    </w:p>
    <w:p w14:paraId="16862AE0" w14:textId="7DE29139" w:rsidR="00395787" w:rsidRPr="00515AA2" w:rsidRDefault="00714952" w:rsidP="00F846E3">
      <w:pPr>
        <w:pStyle w:val="Paragraphe"/>
        <w:spacing w:line="280" w:lineRule="exact"/>
        <w:rPr>
          <w:color w:val="000000"/>
          <w:lang w:val="en-CA"/>
        </w:rPr>
      </w:pPr>
      <w:r w:rsidRPr="00515AA2">
        <w:rPr>
          <w:color w:val="000000"/>
          <w:lang w:val="en-CA"/>
        </w:rPr>
        <w:t>As the trial judge</w:t>
      </w:r>
      <w:r w:rsidR="00111294" w:rsidRPr="00515AA2">
        <w:rPr>
          <w:color w:val="000000"/>
          <w:lang w:val="en-CA"/>
        </w:rPr>
        <w:t xml:space="preserve"> noted</w:t>
      </w:r>
      <w:r w:rsidRPr="00515AA2">
        <w:rPr>
          <w:color w:val="000000"/>
          <w:lang w:val="en-CA"/>
        </w:rPr>
        <w:t>, there is a certain overlap between the concept of dignity and the concepts of life, security and inviolability appearing in s</w:t>
      </w:r>
      <w:r w:rsidR="00F16DB7" w:rsidRPr="00515AA2">
        <w:rPr>
          <w:color w:val="000000"/>
          <w:lang w:val="en-CA"/>
        </w:rPr>
        <w:t>ection</w:t>
      </w:r>
      <w:r w:rsidR="005A7226" w:rsidRPr="00515AA2">
        <w:rPr>
          <w:color w:val="000000"/>
          <w:lang w:val="en-CA"/>
        </w:rPr>
        <w:t xml:space="preserve"> 1 of the </w:t>
      </w:r>
      <w:r w:rsidR="005A7226" w:rsidRPr="00515AA2">
        <w:rPr>
          <w:i/>
          <w:iCs/>
          <w:color w:val="000000"/>
          <w:lang w:val="en-CA"/>
        </w:rPr>
        <w:t>Quebec Charter</w:t>
      </w:r>
      <w:r w:rsidR="005A7226" w:rsidRPr="00515AA2">
        <w:rPr>
          <w:color w:val="000000"/>
          <w:lang w:val="en-CA"/>
        </w:rPr>
        <w:t xml:space="preserve"> and</w:t>
      </w:r>
      <w:r w:rsidRPr="00515AA2">
        <w:rPr>
          <w:color w:val="000000"/>
          <w:lang w:val="en-CA"/>
        </w:rPr>
        <w:t xml:space="preserve"> </w:t>
      </w:r>
      <w:r w:rsidR="00F16DB7" w:rsidRPr="00515AA2">
        <w:rPr>
          <w:color w:val="000000"/>
          <w:lang w:val="en-CA"/>
        </w:rPr>
        <w:t xml:space="preserve">section </w:t>
      </w:r>
      <w:r w:rsidR="00D570D0" w:rsidRPr="00515AA2">
        <w:rPr>
          <w:color w:val="000000"/>
          <w:lang w:val="en-CA"/>
        </w:rPr>
        <w:t xml:space="preserve">7 </w:t>
      </w:r>
      <w:r w:rsidRPr="00515AA2">
        <w:rPr>
          <w:color w:val="000000"/>
          <w:lang w:val="en-CA"/>
        </w:rPr>
        <w:t>of the</w:t>
      </w:r>
      <w:r w:rsidR="00D570D0" w:rsidRPr="00515AA2">
        <w:rPr>
          <w:color w:val="000000"/>
          <w:lang w:val="en-CA"/>
        </w:rPr>
        <w:t xml:space="preserve"> </w:t>
      </w:r>
      <w:r w:rsidRPr="00515AA2">
        <w:rPr>
          <w:i/>
          <w:iCs/>
          <w:color w:val="000000"/>
          <w:lang w:val="en-CA"/>
        </w:rPr>
        <w:t>Canadian Charter</w:t>
      </w:r>
      <w:r w:rsidR="0069251F" w:rsidRPr="00515AA2">
        <w:rPr>
          <w:color w:val="000000"/>
          <w:lang w:val="en-CA"/>
        </w:rPr>
        <w:t xml:space="preserve">. </w:t>
      </w:r>
      <w:r w:rsidRPr="00515AA2">
        <w:rPr>
          <w:color w:val="000000"/>
          <w:lang w:val="en-CA"/>
        </w:rPr>
        <w:t xml:space="preserve">Indeed, we have </w:t>
      </w:r>
      <w:r w:rsidR="001F61CC" w:rsidRPr="00515AA2">
        <w:rPr>
          <w:color w:val="000000"/>
          <w:lang w:val="en-CA"/>
        </w:rPr>
        <w:t>concluded</w:t>
      </w:r>
      <w:r w:rsidRPr="00515AA2">
        <w:rPr>
          <w:color w:val="000000"/>
          <w:lang w:val="en-CA"/>
        </w:rPr>
        <w:t xml:space="preserve"> in the preceding section that the act of birth goes to a person’s fundamental attributes</w:t>
      </w:r>
      <w:r w:rsidR="00111294" w:rsidRPr="00515AA2">
        <w:rPr>
          <w:color w:val="000000"/>
          <w:lang w:val="en-CA"/>
        </w:rPr>
        <w:t xml:space="preserve"> and to their legal existence and noted that the trial judge </w:t>
      </w:r>
      <w:r w:rsidR="001F61CC" w:rsidRPr="00515AA2">
        <w:rPr>
          <w:color w:val="000000"/>
          <w:lang w:val="en-CA"/>
        </w:rPr>
        <w:t>found</w:t>
      </w:r>
      <w:r w:rsidR="00111294" w:rsidRPr="00515AA2">
        <w:rPr>
          <w:color w:val="000000"/>
          <w:lang w:val="en-CA"/>
        </w:rPr>
        <w:t xml:space="preserve"> on the evidence</w:t>
      </w:r>
      <w:r w:rsidR="001F61CC" w:rsidRPr="00515AA2">
        <w:rPr>
          <w:color w:val="000000"/>
          <w:lang w:val="en-CA"/>
        </w:rPr>
        <w:t xml:space="preserve"> </w:t>
      </w:r>
      <w:r w:rsidR="00111294" w:rsidRPr="00515AA2">
        <w:rPr>
          <w:color w:val="000000"/>
          <w:lang w:val="en-CA"/>
        </w:rPr>
        <w:t>that the fact</w:t>
      </w:r>
      <w:r w:rsidR="009245AF" w:rsidRPr="00515AA2">
        <w:rPr>
          <w:color w:val="000000"/>
          <w:lang w:val="en-CA"/>
        </w:rPr>
        <w:t xml:space="preserve"> </w:t>
      </w:r>
      <w:r w:rsidR="00111294" w:rsidRPr="00515AA2">
        <w:rPr>
          <w:color w:val="000000"/>
          <w:lang w:val="en-CA"/>
        </w:rPr>
        <w:t>of not having an act of birth that reflects their gender identity can lead a person to suicide. To the extent that the requirement</w:t>
      </w:r>
      <w:r w:rsidR="001F61CC" w:rsidRPr="00515AA2">
        <w:rPr>
          <w:color w:val="000000"/>
          <w:lang w:val="en-CA"/>
        </w:rPr>
        <w:t xml:space="preserve"> </w:t>
      </w:r>
      <w:r w:rsidR="00111294" w:rsidRPr="00515AA2">
        <w:rPr>
          <w:color w:val="000000"/>
          <w:lang w:val="en-CA"/>
        </w:rPr>
        <w:t xml:space="preserve">limits a person’s ability to have their act of birth changed so as to reflect their gender identity, </w:t>
      </w:r>
      <w:r w:rsidR="00742ED5" w:rsidRPr="00515AA2">
        <w:rPr>
          <w:color w:val="000000"/>
          <w:lang w:val="en-CA"/>
        </w:rPr>
        <w:t>we conclude</w:t>
      </w:r>
      <w:r w:rsidR="00111294" w:rsidRPr="00515AA2">
        <w:rPr>
          <w:color w:val="000000"/>
          <w:lang w:val="en-CA"/>
        </w:rPr>
        <w:t xml:space="preserve"> that it can place their life in danger, </w:t>
      </w:r>
      <w:r w:rsidR="00A50E81" w:rsidRPr="00515AA2">
        <w:rPr>
          <w:color w:val="000000"/>
          <w:lang w:val="en-CA"/>
        </w:rPr>
        <w:t>jeopardize</w:t>
      </w:r>
      <w:r w:rsidR="00111294" w:rsidRPr="00515AA2">
        <w:rPr>
          <w:color w:val="000000"/>
          <w:lang w:val="en-CA"/>
        </w:rPr>
        <w:t xml:space="preserve"> their security</w:t>
      </w:r>
      <w:r w:rsidR="00A50E81" w:rsidRPr="00515AA2">
        <w:rPr>
          <w:color w:val="000000"/>
          <w:lang w:val="en-CA"/>
        </w:rPr>
        <w:t xml:space="preserve"> </w:t>
      </w:r>
      <w:r w:rsidR="00111294" w:rsidRPr="00515AA2">
        <w:rPr>
          <w:color w:val="000000"/>
          <w:lang w:val="en-CA"/>
        </w:rPr>
        <w:t>and inviolability and limit their freedom</w:t>
      </w:r>
      <w:r w:rsidR="009245AF" w:rsidRPr="00515AA2">
        <w:rPr>
          <w:color w:val="000000"/>
          <w:lang w:val="en-CA"/>
        </w:rPr>
        <w:t>.</w:t>
      </w:r>
    </w:p>
    <w:p w14:paraId="3CEF1331" w14:textId="3838F3BF" w:rsidR="00F92755" w:rsidRPr="00515AA2" w:rsidRDefault="00A50E81" w:rsidP="00F846E3">
      <w:pPr>
        <w:pStyle w:val="Paragraphe"/>
        <w:spacing w:line="280" w:lineRule="exact"/>
        <w:rPr>
          <w:color w:val="000000"/>
          <w:lang w:val="en-CA"/>
        </w:rPr>
      </w:pPr>
      <w:r w:rsidRPr="00515AA2">
        <w:rPr>
          <w:color w:val="000000"/>
          <w:lang w:val="en-CA"/>
        </w:rPr>
        <w:t>This could suffice to find an infringement of</w:t>
      </w:r>
      <w:r w:rsidR="001315E2" w:rsidRPr="00515AA2">
        <w:rPr>
          <w:color w:val="000000"/>
          <w:lang w:val="en-CA"/>
        </w:rPr>
        <w:t xml:space="preserve"> </w:t>
      </w:r>
      <w:r w:rsidRPr="00515AA2">
        <w:rPr>
          <w:color w:val="000000"/>
          <w:lang w:val="en-CA"/>
        </w:rPr>
        <w:t>the rights guaranteed by s</w:t>
      </w:r>
      <w:r w:rsidR="00F16DB7" w:rsidRPr="00515AA2">
        <w:rPr>
          <w:color w:val="000000"/>
          <w:lang w:val="en-CA"/>
        </w:rPr>
        <w:t>ection</w:t>
      </w:r>
      <w:r w:rsidRPr="00515AA2">
        <w:rPr>
          <w:color w:val="000000"/>
          <w:lang w:val="en-CA"/>
        </w:rPr>
        <w:t xml:space="preserve"> 1 of the</w:t>
      </w:r>
      <w:r w:rsidR="00F92755" w:rsidRPr="00515AA2">
        <w:rPr>
          <w:color w:val="000000"/>
          <w:lang w:val="en-CA"/>
        </w:rPr>
        <w:t xml:space="preserve"> </w:t>
      </w:r>
      <w:r w:rsidRPr="00515AA2">
        <w:rPr>
          <w:i/>
          <w:iCs/>
          <w:color w:val="000000"/>
          <w:lang w:val="en-CA"/>
        </w:rPr>
        <w:t>Quebec Charter</w:t>
      </w:r>
      <w:r w:rsidR="00F92755" w:rsidRPr="00515AA2">
        <w:rPr>
          <w:color w:val="000000"/>
          <w:lang w:val="en-CA"/>
        </w:rPr>
        <w:t>.</w:t>
      </w:r>
    </w:p>
    <w:p w14:paraId="3AC0218F" w14:textId="7BEBB9DA" w:rsidR="00F92755" w:rsidRPr="00515AA2" w:rsidRDefault="001315E2" w:rsidP="00F846E3">
      <w:pPr>
        <w:pStyle w:val="Paragraphe"/>
        <w:spacing w:line="280" w:lineRule="exact"/>
        <w:rPr>
          <w:color w:val="000000"/>
          <w:lang w:val="en-CA"/>
        </w:rPr>
      </w:pPr>
      <w:r w:rsidRPr="00515AA2">
        <w:rPr>
          <w:color w:val="000000"/>
          <w:lang w:val="en-CA"/>
        </w:rPr>
        <w:lastRenderedPageBreak/>
        <w:t>However, s</w:t>
      </w:r>
      <w:r w:rsidR="00F16DB7" w:rsidRPr="00515AA2">
        <w:rPr>
          <w:color w:val="000000"/>
          <w:lang w:val="en-CA"/>
        </w:rPr>
        <w:t>ection</w:t>
      </w:r>
      <w:r w:rsidRPr="00515AA2">
        <w:rPr>
          <w:color w:val="000000"/>
          <w:lang w:val="en-CA"/>
        </w:rPr>
        <w:t xml:space="preserve"> 7 of the</w:t>
      </w:r>
      <w:r w:rsidR="00F92755" w:rsidRPr="00515AA2">
        <w:rPr>
          <w:color w:val="000000"/>
          <w:lang w:val="en-CA"/>
        </w:rPr>
        <w:t xml:space="preserve"> </w:t>
      </w:r>
      <w:r w:rsidRPr="00515AA2">
        <w:rPr>
          <w:i/>
          <w:iCs/>
          <w:color w:val="000000"/>
          <w:lang w:val="en-CA"/>
        </w:rPr>
        <w:t>Canadian Charter</w:t>
      </w:r>
      <w:r w:rsidR="00F92755" w:rsidRPr="00515AA2">
        <w:rPr>
          <w:color w:val="000000"/>
          <w:lang w:val="en-CA"/>
        </w:rPr>
        <w:t xml:space="preserve"> </w:t>
      </w:r>
      <w:r w:rsidRPr="00515AA2">
        <w:rPr>
          <w:color w:val="000000"/>
          <w:lang w:val="en-CA"/>
        </w:rPr>
        <w:t>further requires that the infringement to the right to life, liberty and security of the person not be in accordance with the principles of fundamental justice</w:t>
      </w:r>
      <w:r w:rsidR="00F92755" w:rsidRPr="00515AA2">
        <w:rPr>
          <w:color w:val="000000"/>
          <w:lang w:val="en-CA"/>
        </w:rPr>
        <w:t>.</w:t>
      </w:r>
    </w:p>
    <w:p w14:paraId="77D42DDB" w14:textId="77EA32BC" w:rsidR="00F92755" w:rsidRPr="00515AA2" w:rsidRDefault="001315E2" w:rsidP="00F846E3">
      <w:pPr>
        <w:pStyle w:val="Paragraphe"/>
        <w:spacing w:line="280" w:lineRule="exact"/>
        <w:rPr>
          <w:color w:val="000000"/>
          <w:lang w:val="en-CA"/>
        </w:rPr>
      </w:pPr>
      <w:r w:rsidRPr="00515AA2">
        <w:rPr>
          <w:color w:val="000000"/>
          <w:lang w:val="en-CA"/>
        </w:rPr>
        <w:t xml:space="preserve">We need not pursue that analysis </w:t>
      </w:r>
      <w:r w:rsidR="00A151E6" w:rsidRPr="00515AA2">
        <w:rPr>
          <w:color w:val="000000"/>
          <w:lang w:val="en-CA"/>
        </w:rPr>
        <w:t xml:space="preserve">further </w:t>
      </w:r>
      <w:r w:rsidRPr="00515AA2">
        <w:rPr>
          <w:color w:val="000000"/>
          <w:lang w:val="en-CA"/>
        </w:rPr>
        <w:t>in this case, however, because we have already found an infringement to the right to safeguard dignity guaranteed by s</w:t>
      </w:r>
      <w:r w:rsidR="00D768C2" w:rsidRPr="00515AA2">
        <w:rPr>
          <w:color w:val="000000"/>
          <w:lang w:val="en-CA"/>
        </w:rPr>
        <w:t>ection</w:t>
      </w:r>
      <w:r w:rsidR="00F92755" w:rsidRPr="00515AA2">
        <w:rPr>
          <w:color w:val="000000"/>
          <w:lang w:val="en-CA"/>
        </w:rPr>
        <w:t xml:space="preserve"> 4 </w:t>
      </w:r>
      <w:r w:rsidRPr="00515AA2">
        <w:rPr>
          <w:color w:val="000000"/>
          <w:lang w:val="en-CA"/>
        </w:rPr>
        <w:t>of the</w:t>
      </w:r>
      <w:r w:rsidR="00F92755" w:rsidRPr="00515AA2">
        <w:rPr>
          <w:color w:val="000000"/>
          <w:lang w:val="en-CA"/>
        </w:rPr>
        <w:t xml:space="preserve"> </w:t>
      </w:r>
      <w:r w:rsidRPr="00515AA2">
        <w:rPr>
          <w:i/>
          <w:iCs/>
          <w:color w:val="000000"/>
          <w:lang w:val="en-CA"/>
        </w:rPr>
        <w:t>Quebec Charter</w:t>
      </w:r>
      <w:r w:rsidR="00F92755" w:rsidRPr="00515AA2">
        <w:rPr>
          <w:color w:val="000000"/>
          <w:lang w:val="en-CA"/>
        </w:rPr>
        <w:t>.</w:t>
      </w:r>
    </w:p>
    <w:p w14:paraId="7671F140" w14:textId="230A05E9" w:rsidR="0069251F" w:rsidRPr="00515AA2" w:rsidRDefault="00A151E6" w:rsidP="00F846E3">
      <w:pPr>
        <w:pStyle w:val="Paragraphe"/>
        <w:spacing w:line="280" w:lineRule="exact"/>
        <w:rPr>
          <w:color w:val="000000"/>
          <w:lang w:val="en-CA"/>
        </w:rPr>
      </w:pPr>
      <w:r w:rsidRPr="00515AA2">
        <w:rPr>
          <w:color w:val="000000"/>
          <w:lang w:val="en-CA"/>
        </w:rPr>
        <w:t>Once an infringement to</w:t>
      </w:r>
      <w:r w:rsidR="00E667A8" w:rsidRPr="00515AA2">
        <w:rPr>
          <w:color w:val="000000"/>
          <w:lang w:val="en-CA"/>
        </w:rPr>
        <w:t xml:space="preserve"> the</w:t>
      </w:r>
      <w:r w:rsidRPr="00515AA2">
        <w:rPr>
          <w:color w:val="000000"/>
          <w:lang w:val="en-CA"/>
        </w:rPr>
        <w:t xml:space="preserve"> right to dignity</w:t>
      </w:r>
      <w:r w:rsidR="00FF1E05" w:rsidRPr="00515AA2">
        <w:rPr>
          <w:color w:val="000000"/>
          <w:lang w:val="en-CA"/>
        </w:rPr>
        <w:t xml:space="preserve"> (</w:t>
      </w:r>
      <w:r w:rsidRPr="00515AA2">
        <w:rPr>
          <w:color w:val="000000"/>
          <w:lang w:val="en-CA"/>
        </w:rPr>
        <w:t>and possibly the right to life, liberty and security of the person</w:t>
      </w:r>
      <w:r w:rsidR="00FF1E05" w:rsidRPr="00515AA2">
        <w:rPr>
          <w:color w:val="000000"/>
          <w:lang w:val="en-CA"/>
        </w:rPr>
        <w:t xml:space="preserve">) </w:t>
      </w:r>
      <w:r w:rsidRPr="00515AA2">
        <w:rPr>
          <w:color w:val="000000"/>
          <w:lang w:val="en-CA"/>
        </w:rPr>
        <w:t>guaranteed by the</w:t>
      </w:r>
      <w:r w:rsidR="00FF1E05" w:rsidRPr="00515AA2">
        <w:rPr>
          <w:color w:val="000000"/>
          <w:lang w:val="en-CA"/>
        </w:rPr>
        <w:t xml:space="preserve"> </w:t>
      </w:r>
      <w:r w:rsidRPr="00515AA2">
        <w:rPr>
          <w:i/>
          <w:iCs/>
          <w:color w:val="000000"/>
          <w:lang w:val="en-CA"/>
        </w:rPr>
        <w:t>Quebec Charter</w:t>
      </w:r>
      <w:r w:rsidR="00FF1E05" w:rsidRPr="00515AA2">
        <w:rPr>
          <w:color w:val="000000"/>
          <w:lang w:val="en-CA"/>
        </w:rPr>
        <w:t xml:space="preserve"> </w:t>
      </w:r>
      <w:r w:rsidRPr="00515AA2">
        <w:rPr>
          <w:color w:val="000000"/>
          <w:lang w:val="en-CA"/>
        </w:rPr>
        <w:t>is recognized</w:t>
      </w:r>
      <w:r w:rsidR="00FF1E05" w:rsidRPr="00515AA2">
        <w:rPr>
          <w:color w:val="000000"/>
          <w:lang w:val="en-CA"/>
        </w:rPr>
        <w:t xml:space="preserve">, </w:t>
      </w:r>
      <w:r w:rsidRPr="00515AA2">
        <w:rPr>
          <w:color w:val="000000"/>
          <w:lang w:val="en-CA"/>
        </w:rPr>
        <w:t>it must be determined whether that infringement is justified under the terms of s</w:t>
      </w:r>
      <w:r w:rsidR="00D768C2" w:rsidRPr="00515AA2">
        <w:rPr>
          <w:color w:val="000000"/>
          <w:lang w:val="en-CA"/>
        </w:rPr>
        <w:t>ection</w:t>
      </w:r>
      <w:r w:rsidR="00FF1E05" w:rsidRPr="00515AA2">
        <w:rPr>
          <w:color w:val="000000"/>
          <w:lang w:val="en-CA"/>
        </w:rPr>
        <w:t xml:space="preserve"> 9.1 </w:t>
      </w:r>
      <w:r w:rsidRPr="00515AA2">
        <w:rPr>
          <w:color w:val="000000"/>
          <w:lang w:val="en-CA"/>
        </w:rPr>
        <w:t>of the</w:t>
      </w:r>
      <w:r w:rsidR="00FF1E05" w:rsidRPr="00515AA2">
        <w:rPr>
          <w:color w:val="000000"/>
          <w:lang w:val="en-CA"/>
        </w:rPr>
        <w:t xml:space="preserve"> </w:t>
      </w:r>
      <w:r w:rsidRPr="00515AA2">
        <w:rPr>
          <w:i/>
          <w:iCs/>
          <w:color w:val="000000"/>
          <w:lang w:val="en-CA"/>
        </w:rPr>
        <w:t>Quebec Charter</w:t>
      </w:r>
      <w:r w:rsidR="00FF1E05" w:rsidRPr="00515AA2">
        <w:rPr>
          <w:i/>
          <w:iCs/>
          <w:color w:val="000000"/>
          <w:lang w:val="en-CA"/>
        </w:rPr>
        <w:t>.</w:t>
      </w:r>
      <w:r w:rsidR="00FF1E05" w:rsidRPr="00515AA2">
        <w:rPr>
          <w:color w:val="000000"/>
          <w:lang w:val="en-CA"/>
        </w:rPr>
        <w:t xml:space="preserve"> </w:t>
      </w:r>
      <w:r w:rsidRPr="00515AA2">
        <w:rPr>
          <w:color w:val="000000"/>
          <w:lang w:val="en-CA"/>
        </w:rPr>
        <w:t>That test is analogous to the test under s</w:t>
      </w:r>
      <w:r w:rsidR="00D768C2" w:rsidRPr="00515AA2">
        <w:rPr>
          <w:color w:val="000000"/>
          <w:lang w:val="en-CA"/>
        </w:rPr>
        <w:t>ection</w:t>
      </w:r>
      <w:r w:rsidRPr="00515AA2">
        <w:rPr>
          <w:color w:val="000000"/>
          <w:lang w:val="en-CA"/>
        </w:rPr>
        <w:t xml:space="preserve"> 1 of the</w:t>
      </w:r>
      <w:r w:rsidR="00FF1E05" w:rsidRPr="00515AA2">
        <w:rPr>
          <w:color w:val="000000"/>
          <w:lang w:val="en-CA"/>
        </w:rPr>
        <w:t xml:space="preserve"> </w:t>
      </w:r>
      <w:r w:rsidR="00FF1E05" w:rsidRPr="00515AA2">
        <w:rPr>
          <w:i/>
          <w:iCs/>
          <w:color w:val="000000"/>
          <w:lang w:val="en-CA"/>
        </w:rPr>
        <w:t>C</w:t>
      </w:r>
      <w:r w:rsidRPr="00515AA2">
        <w:rPr>
          <w:i/>
          <w:iCs/>
          <w:color w:val="000000"/>
          <w:lang w:val="en-CA"/>
        </w:rPr>
        <w:t>anadian C</w:t>
      </w:r>
      <w:r w:rsidR="00FF1E05" w:rsidRPr="00515AA2">
        <w:rPr>
          <w:i/>
          <w:iCs/>
          <w:color w:val="000000"/>
          <w:lang w:val="en-CA"/>
        </w:rPr>
        <w:t>harte</w:t>
      </w:r>
      <w:r w:rsidRPr="00515AA2">
        <w:rPr>
          <w:i/>
          <w:iCs/>
          <w:color w:val="000000"/>
          <w:lang w:val="en-CA"/>
        </w:rPr>
        <w:t>r</w:t>
      </w:r>
      <w:r w:rsidR="00E667A8" w:rsidRPr="00515AA2">
        <w:rPr>
          <w:color w:val="000000"/>
          <w:lang w:val="en-CA"/>
        </w:rPr>
        <w:t>.</w:t>
      </w:r>
      <w:r w:rsidR="004770E4" w:rsidRPr="00515AA2">
        <w:rPr>
          <w:rStyle w:val="Appelnotedebasdep"/>
          <w:color w:val="000000"/>
          <w:lang w:val="en-CA"/>
        </w:rPr>
        <w:footnoteReference w:id="107"/>
      </w:r>
      <w:r w:rsidR="00E667A8" w:rsidRPr="00515AA2">
        <w:rPr>
          <w:color w:val="000000"/>
          <w:lang w:val="en-CA"/>
        </w:rPr>
        <w:t xml:space="preserve"> </w:t>
      </w:r>
      <w:r w:rsidRPr="00515AA2">
        <w:rPr>
          <w:color w:val="000000"/>
          <w:lang w:val="en-CA"/>
        </w:rPr>
        <w:t xml:space="preserve">Indeed, as the majority noted in </w:t>
      </w:r>
      <w:r w:rsidR="004770E4" w:rsidRPr="00515AA2">
        <w:rPr>
          <w:i/>
          <w:iCs/>
          <w:color w:val="000000"/>
          <w:lang w:val="en-CA"/>
        </w:rPr>
        <w:t>Ward</w:t>
      </w:r>
      <w:r w:rsidR="00140238" w:rsidRPr="00515AA2">
        <w:rPr>
          <w:i/>
          <w:iCs/>
          <w:color w:val="000000"/>
          <w:lang w:val="en-CA"/>
        </w:rPr>
        <w:t>,</w:t>
      </w:r>
      <w:r w:rsidR="004770E4" w:rsidRPr="00515AA2">
        <w:rPr>
          <w:color w:val="000000"/>
          <w:lang w:val="en-CA"/>
        </w:rPr>
        <w:t xml:space="preserve"> </w:t>
      </w:r>
      <w:r w:rsidR="006C4F04" w:rsidRPr="00515AA2">
        <w:rPr>
          <w:color w:val="000000"/>
          <w:lang w:val="en-CA"/>
        </w:rPr>
        <w:t>“[b]oth are intended to circumscribe the scope of rights and freedoms based on the requirements of a free and democratic society.”</w:t>
      </w:r>
      <w:r w:rsidR="004770E4" w:rsidRPr="00515AA2">
        <w:rPr>
          <w:rStyle w:val="Appelnotedebasdep"/>
          <w:color w:val="000000"/>
          <w:lang w:val="en-CA"/>
        </w:rPr>
        <w:footnoteReference w:id="108"/>
      </w:r>
    </w:p>
    <w:p w14:paraId="11773227" w14:textId="56A6B88C" w:rsidR="002E461F" w:rsidRPr="00515AA2" w:rsidRDefault="00B40056" w:rsidP="0088498D">
      <w:pPr>
        <w:pStyle w:val="SOUS-PARA11"/>
        <w:numPr>
          <w:ilvl w:val="0"/>
          <w:numId w:val="0"/>
        </w:numPr>
        <w:ind w:left="720"/>
        <w:rPr>
          <w:color w:val="000000"/>
        </w:rPr>
      </w:pPr>
      <w:bookmarkStart w:id="65" w:name="_Toc161830120"/>
      <w:r w:rsidRPr="00515AA2">
        <w:rPr>
          <w:color w:val="000000"/>
        </w:rPr>
        <w:t xml:space="preserve">2.4 </w:t>
      </w:r>
      <w:r w:rsidR="00343365" w:rsidRPr="00515AA2">
        <w:rPr>
          <w:color w:val="000000"/>
        </w:rPr>
        <w:tab/>
      </w:r>
      <w:r w:rsidR="002E461F" w:rsidRPr="00515AA2">
        <w:rPr>
          <w:color w:val="000000"/>
        </w:rPr>
        <w:t>Justification</w:t>
      </w:r>
      <w:bookmarkEnd w:id="65"/>
    </w:p>
    <w:p w14:paraId="5B493861" w14:textId="0CA7F229" w:rsidR="002E461F" w:rsidRPr="00515AA2" w:rsidRDefault="002E461F" w:rsidP="00F846E3">
      <w:pPr>
        <w:pStyle w:val="Paragraphe"/>
        <w:spacing w:line="280" w:lineRule="exact"/>
        <w:rPr>
          <w:color w:val="000000"/>
          <w:lang w:val="en-CA"/>
        </w:rPr>
      </w:pPr>
      <w:r w:rsidRPr="00515AA2">
        <w:rPr>
          <w:color w:val="000000"/>
          <w:lang w:val="en-CA"/>
        </w:rPr>
        <w:t>In the</w:t>
      </w:r>
      <w:r w:rsidRPr="00515AA2">
        <w:rPr>
          <w:rFonts w:eastAsia="Calibri"/>
          <w:color w:val="000000"/>
          <w:lang w:val="en-CA" w:eastAsia="en-US"/>
        </w:rPr>
        <w:t xml:space="preserve"> AGQ’s view, even if we were to find that a protected right was infringed, the infringement would be justified, contrary to what the judge found. Indeed, although the judge confirmed, at the first stage of the analysis, the existence of a pressing and substantive objective, i.e. assessing the seriousness of the minor’s undertaking, the judge erred, at the second stage, in finding no rational connection between that objective and requiring that a letter be provided from a professional confirming that the change requested is appropriate. The AGQ argues that professionals have the necessary skills to assess whether the minor who is requesting the change understands the seriousness of their undertaking, whether it is voluntary and whether their consent is free and informed. In its view, requiring such a letter is a reasonable solution that allows the legislator to achieve its objectives, whereas it is not required to retain least intrusive alternative.</w:t>
      </w:r>
      <w:bookmarkStart w:id="66" w:name="_Ref157509162"/>
      <w:r w:rsidRPr="00515AA2">
        <w:rPr>
          <w:color w:val="000000"/>
          <w:vertAlign w:val="superscript"/>
          <w:lang w:val="en-CA"/>
        </w:rPr>
        <w:footnoteReference w:id="109"/>
      </w:r>
      <w:bookmarkEnd w:id="66"/>
    </w:p>
    <w:p w14:paraId="1F675A00" w14:textId="0C138FCC" w:rsidR="002E461F" w:rsidRPr="00515AA2" w:rsidRDefault="002E461F" w:rsidP="00F846E3">
      <w:pPr>
        <w:pStyle w:val="Paragraphe"/>
        <w:spacing w:line="280" w:lineRule="exact"/>
        <w:rPr>
          <w:color w:val="000000"/>
          <w:lang w:val="en-CA"/>
        </w:rPr>
      </w:pPr>
      <w:r w:rsidRPr="00515AA2">
        <w:rPr>
          <w:color w:val="000000"/>
          <w:lang w:val="en-CA"/>
        </w:rPr>
        <w:t xml:space="preserve">The AGQ adds that even if the respondents’ rights were infringed, the infringement would not be disproportionate with the legislator’s objectives in light of the criteria developed by the Supreme Court. Here, in its view, the requirement to provide a letter signed by a health professional ensures the stability of acts of civil status, which is a </w:t>
      </w:r>
      <w:r w:rsidRPr="00515AA2">
        <w:rPr>
          <w:color w:val="000000"/>
          <w:lang w:val="en-CA"/>
        </w:rPr>
        <w:lastRenderedPageBreak/>
        <w:t xml:space="preserve">salutary effect </w:t>
      </w:r>
      <w:bookmarkStart w:id="67" w:name="_Hlk138255833"/>
      <w:r w:rsidRPr="00515AA2">
        <w:rPr>
          <w:color w:val="000000"/>
          <w:lang w:val="en-CA"/>
        </w:rPr>
        <w:t>found to be laudable by the courts</w:t>
      </w:r>
      <w:r w:rsidRPr="00515AA2">
        <w:rPr>
          <w:color w:val="000000"/>
          <w:vertAlign w:val="superscript"/>
          <w:lang w:val="en-CA"/>
        </w:rPr>
        <w:footnoteReference w:id="110"/>
      </w:r>
      <w:r w:rsidRPr="00515AA2">
        <w:rPr>
          <w:color w:val="000000"/>
          <w:lang w:val="en-CA"/>
        </w:rPr>
        <w:t xml:space="preserve"> </w:t>
      </w:r>
      <w:bookmarkEnd w:id="67"/>
      <w:r w:rsidRPr="00515AA2">
        <w:rPr>
          <w:color w:val="000000"/>
          <w:lang w:val="en-CA"/>
        </w:rPr>
        <w:t>which, it notes, are also required to exercise restraint with regard to the approach chosen by the legislator to address an important social issue.</w:t>
      </w:r>
      <w:r w:rsidRPr="00515AA2">
        <w:rPr>
          <w:color w:val="000000"/>
          <w:vertAlign w:val="superscript"/>
          <w:lang w:val="en-CA"/>
        </w:rPr>
        <w:footnoteReference w:id="111"/>
      </w:r>
    </w:p>
    <w:p w14:paraId="595A8ED6" w14:textId="61B64546" w:rsidR="002E461F" w:rsidRPr="00515AA2" w:rsidRDefault="002E461F" w:rsidP="00F846E3">
      <w:pPr>
        <w:pStyle w:val="Paragraphe"/>
        <w:spacing w:line="280" w:lineRule="exact"/>
        <w:rPr>
          <w:color w:val="000000"/>
          <w:lang w:val="en-CA"/>
        </w:rPr>
      </w:pPr>
      <w:r w:rsidRPr="00515AA2">
        <w:rPr>
          <w:color w:val="000000"/>
          <w:lang w:val="en-CA"/>
        </w:rPr>
        <w:t>The AGQ also points out that similar requirements exist in most other Canadian provinces and territories and that the respondents have not shown that the difficulties in obtaining access to designated professionals outside of urban areas were greater than those experienced by the general population to have access to specialized professional services.</w:t>
      </w:r>
    </w:p>
    <w:p w14:paraId="5ABB90AC" w14:textId="75427B93" w:rsidR="00016EAA" w:rsidRPr="00515AA2" w:rsidRDefault="00F71FB1" w:rsidP="00F846E3">
      <w:pPr>
        <w:pStyle w:val="Paragraphe"/>
        <w:spacing w:line="280" w:lineRule="exact"/>
        <w:rPr>
          <w:color w:val="000000"/>
          <w:lang w:val="en-CA"/>
        </w:rPr>
      </w:pPr>
      <w:r w:rsidRPr="00515AA2">
        <w:rPr>
          <w:color w:val="000000"/>
          <w:lang w:val="en-CA"/>
        </w:rPr>
        <w:t>In its view</w:t>
      </w:r>
      <w:r w:rsidR="00016EAA" w:rsidRPr="00515AA2">
        <w:rPr>
          <w:color w:val="000000"/>
          <w:lang w:val="en-CA"/>
        </w:rPr>
        <w:t xml:space="preserve">, </w:t>
      </w:r>
      <w:r w:rsidRPr="00515AA2">
        <w:rPr>
          <w:color w:val="000000"/>
          <w:lang w:val="en-CA"/>
        </w:rPr>
        <w:t xml:space="preserve">the obstacles facing the respondents are attributable to several other factors that have nothing to do with the requirement </w:t>
      </w:r>
      <w:r w:rsidR="00145AC4" w:rsidRPr="00515AA2">
        <w:rPr>
          <w:color w:val="000000"/>
          <w:lang w:val="en-CA"/>
        </w:rPr>
        <w:t>set out</w:t>
      </w:r>
      <w:r w:rsidRPr="00515AA2">
        <w:rPr>
          <w:color w:val="000000"/>
          <w:lang w:val="en-CA"/>
        </w:rPr>
        <w:t xml:space="preserve"> in paragraph</w:t>
      </w:r>
      <w:r w:rsidR="00016EAA" w:rsidRPr="00515AA2">
        <w:rPr>
          <w:color w:val="000000"/>
          <w:lang w:val="en-CA"/>
        </w:rPr>
        <w:t xml:space="preserve"> 2 </w:t>
      </w:r>
      <w:r w:rsidRPr="00515AA2">
        <w:rPr>
          <w:color w:val="000000"/>
          <w:lang w:val="en-CA"/>
        </w:rPr>
        <w:t>of s</w:t>
      </w:r>
      <w:r w:rsidR="00D768C2" w:rsidRPr="00515AA2">
        <w:rPr>
          <w:color w:val="000000"/>
          <w:lang w:val="en-CA"/>
        </w:rPr>
        <w:t>ection</w:t>
      </w:r>
      <w:r w:rsidR="00B22793" w:rsidRPr="00515AA2">
        <w:rPr>
          <w:color w:val="000000"/>
          <w:lang w:val="en-CA"/>
        </w:rPr>
        <w:t> </w:t>
      </w:r>
      <w:r w:rsidR="00016EAA" w:rsidRPr="00515AA2">
        <w:rPr>
          <w:color w:val="000000"/>
          <w:lang w:val="en-CA"/>
        </w:rPr>
        <w:t xml:space="preserve">23.2 </w:t>
      </w:r>
      <w:r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Pr="00515AA2">
        <w:rPr>
          <w:i/>
          <w:iCs/>
          <w:color w:val="000000"/>
          <w:lang w:val="en-CA"/>
        </w:rPr>
        <w:t>egulation</w:t>
      </w:r>
      <w:r w:rsidR="006E7DE7" w:rsidRPr="00515AA2">
        <w:rPr>
          <w:color w:val="000000"/>
          <w:lang w:val="en-CA"/>
        </w:rPr>
        <w:t xml:space="preserve"> </w:t>
      </w:r>
      <w:r w:rsidRPr="00515AA2">
        <w:rPr>
          <w:color w:val="000000"/>
          <w:lang w:val="en-CA"/>
        </w:rPr>
        <w:t xml:space="preserve">and the evidence does not show </w:t>
      </w:r>
      <w:r w:rsidR="000313D5" w:rsidRPr="00515AA2">
        <w:rPr>
          <w:color w:val="000000"/>
          <w:lang w:val="en-CA"/>
        </w:rPr>
        <w:t>that the difficult</w:t>
      </w:r>
      <w:r w:rsidR="00145AC4" w:rsidRPr="00515AA2">
        <w:rPr>
          <w:color w:val="000000"/>
          <w:lang w:val="en-CA"/>
        </w:rPr>
        <w:t>ies</w:t>
      </w:r>
      <w:r w:rsidR="000313D5" w:rsidRPr="00515AA2">
        <w:rPr>
          <w:color w:val="000000"/>
          <w:lang w:val="en-CA"/>
        </w:rPr>
        <w:t xml:space="preserve"> in having access to a professional are related to the requirement provided in the</w:t>
      </w:r>
      <w:r w:rsidR="00016EAA" w:rsidRPr="00515AA2">
        <w:rPr>
          <w:color w:val="000000"/>
          <w:lang w:val="en-CA"/>
        </w:rPr>
        <w:t xml:space="preserve"> </w:t>
      </w:r>
      <w:r w:rsidR="00016EAA" w:rsidRPr="00515AA2">
        <w:rPr>
          <w:i/>
          <w:iCs/>
          <w:color w:val="000000"/>
          <w:lang w:val="en-CA"/>
        </w:rPr>
        <w:t>R</w:t>
      </w:r>
      <w:r w:rsidR="000313D5" w:rsidRPr="00515AA2">
        <w:rPr>
          <w:i/>
          <w:iCs/>
          <w:color w:val="000000"/>
          <w:lang w:val="en-CA"/>
        </w:rPr>
        <w:t>egulation</w:t>
      </w:r>
      <w:r w:rsidR="006E7DE7" w:rsidRPr="00515AA2">
        <w:rPr>
          <w:i/>
          <w:iCs/>
          <w:color w:val="000000"/>
          <w:lang w:val="en-CA"/>
        </w:rPr>
        <w:t xml:space="preserve">. </w:t>
      </w:r>
      <w:r w:rsidR="000313D5" w:rsidRPr="00515AA2">
        <w:rPr>
          <w:color w:val="000000"/>
          <w:lang w:val="en-CA"/>
        </w:rPr>
        <w:t xml:space="preserve">The AGQ argues that </w:t>
      </w:r>
      <w:r w:rsidR="00145AC4" w:rsidRPr="00515AA2">
        <w:rPr>
          <w:color w:val="000000"/>
          <w:lang w:val="en-CA"/>
        </w:rPr>
        <w:t>the inconveniences caused by the</w:t>
      </w:r>
      <w:r w:rsidR="000313D5" w:rsidRPr="00515AA2">
        <w:rPr>
          <w:color w:val="000000"/>
          <w:lang w:val="en-CA"/>
        </w:rPr>
        <w:t xml:space="preserve"> measure</w:t>
      </w:r>
      <w:r w:rsidR="00145AC4" w:rsidRPr="00515AA2">
        <w:rPr>
          <w:color w:val="000000"/>
          <w:lang w:val="en-CA"/>
        </w:rPr>
        <w:t xml:space="preserve"> </w:t>
      </w:r>
      <w:r w:rsidR="000313D5" w:rsidRPr="00515AA2">
        <w:rPr>
          <w:color w:val="000000"/>
          <w:lang w:val="en-CA"/>
        </w:rPr>
        <w:t>are proportionate to the benefits that it procures</w:t>
      </w:r>
      <w:r w:rsidR="00016EAA" w:rsidRPr="00515AA2">
        <w:rPr>
          <w:color w:val="000000"/>
          <w:lang w:val="en-CA"/>
        </w:rPr>
        <w:t>.</w:t>
      </w:r>
    </w:p>
    <w:p w14:paraId="5A1F35B4" w14:textId="6E44B28E" w:rsidR="00016EAA" w:rsidRPr="00515AA2" w:rsidRDefault="00145AC4" w:rsidP="00F846E3">
      <w:pPr>
        <w:pStyle w:val="Paragraphe"/>
        <w:spacing w:line="280" w:lineRule="exact"/>
        <w:rPr>
          <w:color w:val="000000"/>
          <w:lang w:val="en-CA"/>
        </w:rPr>
      </w:pPr>
      <w:r w:rsidRPr="00515AA2">
        <w:rPr>
          <w:color w:val="000000"/>
          <w:lang w:val="en-CA"/>
        </w:rPr>
        <w:t>In the respondents’ view</w:t>
      </w:r>
      <w:r w:rsidR="00016EAA" w:rsidRPr="00515AA2">
        <w:rPr>
          <w:color w:val="000000"/>
          <w:lang w:val="en-CA"/>
        </w:rPr>
        <w:t xml:space="preserve">, </w:t>
      </w:r>
      <w:r w:rsidRPr="00515AA2">
        <w:rPr>
          <w:color w:val="000000"/>
          <w:lang w:val="en-CA"/>
        </w:rPr>
        <w:t>the judge did not err in his analysis of the justification of the infringement of the right to equality</w:t>
      </w:r>
      <w:r w:rsidR="00016EAA" w:rsidRPr="00515AA2">
        <w:rPr>
          <w:color w:val="000000"/>
          <w:lang w:val="en-CA"/>
        </w:rPr>
        <w:t xml:space="preserve">. </w:t>
      </w:r>
      <w:r w:rsidRPr="00515AA2">
        <w:rPr>
          <w:color w:val="000000"/>
          <w:lang w:val="en-CA"/>
        </w:rPr>
        <w:t>They argue that the A</w:t>
      </w:r>
      <w:r w:rsidR="00016EAA" w:rsidRPr="00515AA2">
        <w:rPr>
          <w:color w:val="000000"/>
          <w:lang w:val="en-CA"/>
        </w:rPr>
        <w:t>GQ</w:t>
      </w:r>
      <w:r w:rsidR="00A4203A" w:rsidRPr="00515AA2">
        <w:rPr>
          <w:color w:val="000000"/>
          <w:lang w:val="en-CA"/>
        </w:rPr>
        <w:t xml:space="preserve"> moreover fails to explain why transgender or non-binary minors should not be subject to the same requirements as persons of full age and that it simply invites the Court to </w:t>
      </w:r>
      <w:r w:rsidR="00376F27" w:rsidRPr="00515AA2">
        <w:rPr>
          <w:color w:val="000000"/>
          <w:lang w:val="en-CA"/>
        </w:rPr>
        <w:t>reweigh</w:t>
      </w:r>
      <w:r w:rsidR="00A4203A" w:rsidRPr="00515AA2">
        <w:rPr>
          <w:color w:val="000000"/>
          <w:lang w:val="en-CA"/>
        </w:rPr>
        <w:t xml:space="preserve"> the evidence </w:t>
      </w:r>
      <w:r w:rsidR="00243EDB" w:rsidRPr="00515AA2">
        <w:rPr>
          <w:color w:val="000000"/>
          <w:lang w:val="en-CA"/>
        </w:rPr>
        <w:t>adduced</w:t>
      </w:r>
      <w:r w:rsidR="00A4203A" w:rsidRPr="00515AA2">
        <w:rPr>
          <w:color w:val="000000"/>
          <w:lang w:val="en-CA"/>
        </w:rPr>
        <w:t>, without pointing to any palpable and overriding error</w:t>
      </w:r>
      <w:r w:rsidR="00016EAA" w:rsidRPr="00515AA2">
        <w:rPr>
          <w:color w:val="000000"/>
          <w:lang w:val="en-CA"/>
        </w:rPr>
        <w:t>.</w:t>
      </w:r>
    </w:p>
    <w:p w14:paraId="3AB75F24" w14:textId="3639BA7D" w:rsidR="00016EAA" w:rsidRPr="00515AA2" w:rsidRDefault="00AB54C6" w:rsidP="00F846E3">
      <w:pPr>
        <w:pStyle w:val="Paragraphe"/>
        <w:spacing w:line="280" w:lineRule="exact"/>
        <w:rPr>
          <w:color w:val="000000"/>
          <w:lang w:val="en-CA"/>
        </w:rPr>
      </w:pPr>
      <w:bookmarkStart w:id="68" w:name="_Hlk147761037"/>
      <w:r>
        <w:rPr>
          <w:color w:val="000000"/>
          <w:lang w:val="en-CA" w:eastAsia="fr-CA"/>
        </w:rPr>
        <w:t>Egale Canada</w:t>
      </w:r>
      <w:r w:rsidRPr="00515AA2">
        <w:rPr>
          <w:color w:val="000000"/>
          <w:lang w:val="en-CA" w:eastAsia="fr-CA"/>
        </w:rPr>
        <w:t xml:space="preserve"> </w:t>
      </w:r>
      <w:r w:rsidR="00243EDB" w:rsidRPr="00515AA2">
        <w:rPr>
          <w:color w:val="000000"/>
          <w:lang w:val="en-CA"/>
        </w:rPr>
        <w:t xml:space="preserve">adds to the respondents’ submissions by noting that the designation of sex is no longer </w:t>
      </w:r>
      <w:r w:rsidR="00F55C31" w:rsidRPr="00515AA2">
        <w:rPr>
          <w:color w:val="000000"/>
          <w:lang w:val="en-CA"/>
        </w:rPr>
        <w:t xml:space="preserve">relevant </w:t>
      </w:r>
      <w:r w:rsidR="00243EDB" w:rsidRPr="00515AA2">
        <w:rPr>
          <w:color w:val="000000"/>
          <w:lang w:val="en-CA"/>
        </w:rPr>
        <w:t xml:space="preserve">when a person exercises their </w:t>
      </w:r>
      <w:r w:rsidR="00F55C31" w:rsidRPr="00515AA2">
        <w:rPr>
          <w:color w:val="000000"/>
          <w:lang w:val="en-CA"/>
        </w:rPr>
        <w:t xml:space="preserve">civil rights </w:t>
      </w:r>
      <w:r w:rsidR="00243EDB" w:rsidRPr="00515AA2">
        <w:rPr>
          <w:color w:val="000000"/>
          <w:lang w:val="en-CA"/>
        </w:rPr>
        <w:t>and that such designation in the regist</w:t>
      </w:r>
      <w:r w:rsidR="00F55C31" w:rsidRPr="00515AA2">
        <w:rPr>
          <w:color w:val="000000"/>
          <w:lang w:val="en-CA"/>
        </w:rPr>
        <w:t>er of civil status</w:t>
      </w:r>
      <w:r w:rsidR="00243EDB" w:rsidRPr="00515AA2">
        <w:rPr>
          <w:color w:val="000000"/>
          <w:lang w:val="en-CA"/>
        </w:rPr>
        <w:t xml:space="preserve"> serves no substantive objective</w:t>
      </w:r>
      <w:r w:rsidR="00F55C31" w:rsidRPr="00515AA2">
        <w:rPr>
          <w:color w:val="000000"/>
          <w:lang w:val="en-CA"/>
        </w:rPr>
        <w:t>, so that the measures that prevent its amendment serve no pressing and substantial objective</w:t>
      </w:r>
      <w:r w:rsidR="00016EAA" w:rsidRPr="00515AA2">
        <w:rPr>
          <w:color w:val="000000"/>
          <w:lang w:val="en-CA"/>
        </w:rPr>
        <w:t xml:space="preserve">. </w:t>
      </w:r>
      <w:r w:rsidR="00F55C31" w:rsidRPr="00515AA2">
        <w:rPr>
          <w:color w:val="000000"/>
          <w:lang w:val="en-CA"/>
        </w:rPr>
        <w:t>I</w:t>
      </w:r>
      <w:r w:rsidR="00A81B28" w:rsidRPr="00515AA2">
        <w:rPr>
          <w:color w:val="000000"/>
          <w:lang w:val="en-CA"/>
        </w:rPr>
        <w:t>n support of this, i</w:t>
      </w:r>
      <w:r w:rsidR="00F55C31" w:rsidRPr="00515AA2">
        <w:rPr>
          <w:color w:val="000000"/>
          <w:lang w:val="en-CA"/>
        </w:rPr>
        <w:t xml:space="preserve">t </w:t>
      </w:r>
      <w:r w:rsidR="00A81B28" w:rsidRPr="00515AA2">
        <w:rPr>
          <w:color w:val="000000"/>
          <w:lang w:val="en-CA"/>
        </w:rPr>
        <w:t>provides a comparative</w:t>
      </w:r>
      <w:r w:rsidR="00F55C31" w:rsidRPr="00515AA2">
        <w:rPr>
          <w:color w:val="000000"/>
          <w:lang w:val="en-CA"/>
        </w:rPr>
        <w:t xml:space="preserve"> analysis of the laws in force in several other Canadian provinces</w:t>
      </w:r>
      <w:r w:rsidR="00016EAA" w:rsidRPr="00515AA2">
        <w:rPr>
          <w:color w:val="000000"/>
          <w:lang w:val="en-CA"/>
        </w:rPr>
        <w:t>.</w:t>
      </w:r>
    </w:p>
    <w:bookmarkEnd w:id="68"/>
    <w:p w14:paraId="27C9AA8B" w14:textId="10E9D819" w:rsidR="00016EAA" w:rsidRPr="00515AA2" w:rsidRDefault="00F55C31" w:rsidP="00F846E3">
      <w:pPr>
        <w:pStyle w:val="Paragraphe"/>
        <w:spacing w:line="280" w:lineRule="exact"/>
        <w:rPr>
          <w:color w:val="000000"/>
          <w:lang w:val="en-CA"/>
        </w:rPr>
      </w:pPr>
      <w:r w:rsidRPr="00515AA2">
        <w:rPr>
          <w:color w:val="000000"/>
          <w:lang w:val="en-CA"/>
        </w:rPr>
        <w:t>It also argues that s</w:t>
      </w:r>
      <w:r w:rsidR="00D768C2" w:rsidRPr="00515AA2">
        <w:rPr>
          <w:color w:val="000000"/>
          <w:lang w:val="en-CA"/>
        </w:rPr>
        <w:t>ection</w:t>
      </w:r>
      <w:r w:rsidRPr="00515AA2">
        <w:rPr>
          <w:color w:val="000000"/>
          <w:lang w:val="en-CA"/>
        </w:rPr>
        <w:t xml:space="preserve"> </w:t>
      </w:r>
      <w:r w:rsidR="00016EAA" w:rsidRPr="00515AA2">
        <w:rPr>
          <w:color w:val="000000"/>
          <w:lang w:val="en-CA"/>
        </w:rPr>
        <w:t xml:space="preserve">23.2 </w:t>
      </w:r>
      <w:r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Pr="00515AA2">
        <w:rPr>
          <w:i/>
          <w:iCs/>
          <w:color w:val="000000"/>
          <w:lang w:val="en-CA"/>
        </w:rPr>
        <w:t>egulation</w:t>
      </w:r>
      <w:r w:rsidR="00016EAA" w:rsidRPr="00515AA2">
        <w:rPr>
          <w:color w:val="000000"/>
          <w:lang w:val="en-CA"/>
        </w:rPr>
        <w:t xml:space="preserve"> </w:t>
      </w:r>
      <w:r w:rsidR="007D7B07" w:rsidRPr="00515AA2">
        <w:rPr>
          <w:color w:val="000000"/>
          <w:lang w:val="en-CA"/>
        </w:rPr>
        <w:t>is not minimally impairing and that the fact that certain provinces provide for comparable requirements is not dispositive at this stage of the analysis because:</w:t>
      </w:r>
      <w:r w:rsidR="00016EAA" w:rsidRPr="00515AA2">
        <w:rPr>
          <w:color w:val="000000"/>
          <w:lang w:val="en-CA"/>
        </w:rPr>
        <w:t xml:space="preserve"> 1) </w:t>
      </w:r>
      <w:r w:rsidR="00311182" w:rsidRPr="00515AA2">
        <w:rPr>
          <w:color w:val="000000"/>
          <w:lang w:val="en-CA"/>
        </w:rPr>
        <w:t xml:space="preserve">the pivotal role of the register of civil status in defining civil rights </w:t>
      </w:r>
      <w:r w:rsidR="00D768C2" w:rsidRPr="00515AA2">
        <w:rPr>
          <w:color w:val="000000"/>
          <w:lang w:val="en-CA"/>
        </w:rPr>
        <w:t xml:space="preserve">in </w:t>
      </w:r>
      <w:r w:rsidR="00311182" w:rsidRPr="00515AA2">
        <w:rPr>
          <w:color w:val="000000"/>
          <w:lang w:val="en-CA"/>
        </w:rPr>
        <w:t>Quebec is not comparable to that of the other provinces, so that the barriers to changing the designation of one’s sex are more gravely and pervasively harmful;</w:t>
      </w:r>
      <w:r w:rsidR="00016EAA" w:rsidRPr="00515AA2">
        <w:rPr>
          <w:color w:val="000000"/>
          <w:vertAlign w:val="superscript"/>
          <w:lang w:val="en-CA"/>
        </w:rPr>
        <w:footnoteReference w:id="112"/>
      </w:r>
      <w:r w:rsidR="00311182" w:rsidRPr="00515AA2">
        <w:rPr>
          <w:color w:val="000000"/>
          <w:lang w:val="en-CA"/>
        </w:rPr>
        <w:t xml:space="preserve"> and</w:t>
      </w:r>
      <w:r w:rsidR="00016EAA" w:rsidRPr="00515AA2">
        <w:rPr>
          <w:color w:val="000000"/>
          <w:lang w:val="en-CA"/>
        </w:rPr>
        <w:t xml:space="preserve"> 2) </w:t>
      </w:r>
      <w:r w:rsidR="00311182" w:rsidRPr="00515AA2">
        <w:rPr>
          <w:color w:val="000000"/>
          <w:lang w:val="en-CA"/>
        </w:rPr>
        <w:t>several provinces have more permissive criteria</w:t>
      </w:r>
      <w:r w:rsidR="00016EAA" w:rsidRPr="00515AA2">
        <w:rPr>
          <w:color w:val="000000"/>
          <w:lang w:val="en-CA"/>
        </w:rPr>
        <w:t>.</w:t>
      </w:r>
    </w:p>
    <w:p w14:paraId="7EA04E64" w14:textId="02FD967B" w:rsidR="00016EAA" w:rsidRPr="00515AA2" w:rsidRDefault="005B001A" w:rsidP="00F846E3">
      <w:pPr>
        <w:pStyle w:val="Paragraphe"/>
        <w:spacing w:line="280" w:lineRule="exact"/>
        <w:rPr>
          <w:color w:val="000000"/>
          <w:lang w:val="en-CA"/>
        </w:rPr>
      </w:pPr>
      <w:r w:rsidRPr="00515AA2">
        <w:rPr>
          <w:color w:val="000000"/>
          <w:lang w:val="en-CA"/>
        </w:rPr>
        <w:lastRenderedPageBreak/>
        <w:t>For its part</w:t>
      </w:r>
      <w:r w:rsidR="00D3069C" w:rsidRPr="00515AA2">
        <w:rPr>
          <w:color w:val="000000"/>
          <w:lang w:val="en-CA"/>
        </w:rPr>
        <w:t xml:space="preserve">, </w:t>
      </w:r>
      <w:r w:rsidRPr="00515AA2">
        <w:rPr>
          <w:color w:val="000000"/>
          <w:lang w:val="en-CA"/>
        </w:rPr>
        <w:t xml:space="preserve">the intervener </w:t>
      </w:r>
      <w:r w:rsidR="008100DD">
        <w:rPr>
          <w:color w:val="000000"/>
          <w:lang w:val="en-CA" w:eastAsia="fr-CA"/>
        </w:rPr>
        <w:t>GCK</w:t>
      </w:r>
      <w:r w:rsidR="00D3069C" w:rsidRPr="00515AA2">
        <w:rPr>
          <w:color w:val="000000"/>
          <w:lang w:val="en-CA"/>
        </w:rPr>
        <w:t xml:space="preserve"> </w:t>
      </w:r>
      <w:r w:rsidRPr="00515AA2">
        <w:rPr>
          <w:color w:val="000000"/>
          <w:lang w:val="en-CA"/>
        </w:rPr>
        <w:t>notes that</w:t>
      </w:r>
      <w:r w:rsidR="009F4FEB" w:rsidRPr="00515AA2">
        <w:rPr>
          <w:color w:val="000000"/>
          <w:lang w:val="en-CA"/>
        </w:rPr>
        <w:t xml:space="preserve"> the only possible explanation for</w:t>
      </w:r>
      <w:r w:rsidRPr="00515AA2">
        <w:rPr>
          <w:color w:val="000000"/>
          <w:lang w:val="en-CA"/>
        </w:rPr>
        <w:t xml:space="preserve"> limiting the list of persons able to provide the required letter </w:t>
      </w:r>
      <w:r w:rsidR="009F4FEB" w:rsidRPr="00515AA2">
        <w:rPr>
          <w:color w:val="000000"/>
          <w:lang w:val="en-CA"/>
        </w:rPr>
        <w:t>is</w:t>
      </w:r>
      <w:r w:rsidRPr="00515AA2">
        <w:rPr>
          <w:color w:val="000000"/>
          <w:lang w:val="en-CA"/>
        </w:rPr>
        <w:t xml:space="preserve"> the notion that </w:t>
      </w:r>
      <w:r w:rsidR="00E81DB2" w:rsidRPr="00515AA2">
        <w:rPr>
          <w:color w:val="000000"/>
          <w:lang w:val="en-CA"/>
        </w:rPr>
        <w:t xml:space="preserve">only </w:t>
      </w:r>
      <w:r w:rsidRPr="00515AA2">
        <w:rPr>
          <w:color w:val="000000"/>
          <w:lang w:val="en-CA"/>
        </w:rPr>
        <w:t>a health professional can assess the appropriateness of an application, a notion</w:t>
      </w:r>
      <w:r w:rsidR="009F4FEB" w:rsidRPr="00515AA2">
        <w:rPr>
          <w:color w:val="000000"/>
          <w:lang w:val="en-CA"/>
        </w:rPr>
        <w:t xml:space="preserve"> </w:t>
      </w:r>
      <w:r w:rsidR="00CA2CD4" w:rsidRPr="00515AA2">
        <w:rPr>
          <w:color w:val="000000"/>
          <w:lang w:val="en-CA"/>
        </w:rPr>
        <w:t>that</w:t>
      </w:r>
      <w:r w:rsidR="009F4FEB" w:rsidRPr="00515AA2">
        <w:rPr>
          <w:color w:val="000000"/>
          <w:lang w:val="en-CA"/>
        </w:rPr>
        <w:t xml:space="preserve"> is</w:t>
      </w:r>
      <w:r w:rsidRPr="00515AA2">
        <w:rPr>
          <w:color w:val="000000"/>
          <w:lang w:val="en-CA"/>
        </w:rPr>
        <w:t xml:space="preserve"> contradicted by the evidence</w:t>
      </w:r>
      <w:r w:rsidR="00016EAA" w:rsidRPr="00515AA2">
        <w:rPr>
          <w:color w:val="000000"/>
          <w:lang w:val="en-CA"/>
        </w:rPr>
        <w:t xml:space="preserve">. </w:t>
      </w:r>
      <w:r w:rsidRPr="00515AA2">
        <w:rPr>
          <w:color w:val="000000"/>
          <w:lang w:val="en-CA"/>
        </w:rPr>
        <w:t>Otherwise</w:t>
      </w:r>
      <w:r w:rsidR="00016EAA" w:rsidRPr="00515AA2">
        <w:rPr>
          <w:color w:val="000000"/>
          <w:lang w:val="en-CA"/>
        </w:rPr>
        <w:t xml:space="preserve">, </w:t>
      </w:r>
      <w:r w:rsidRPr="00515AA2">
        <w:rPr>
          <w:color w:val="000000"/>
          <w:lang w:val="en-CA"/>
        </w:rPr>
        <w:t>if the</w:t>
      </w:r>
      <w:r w:rsidR="00016EAA" w:rsidRPr="00515AA2">
        <w:rPr>
          <w:color w:val="000000"/>
          <w:lang w:val="en-CA"/>
        </w:rPr>
        <w:t xml:space="preserve"> </w:t>
      </w:r>
      <w:r w:rsidR="00016EAA" w:rsidRPr="00515AA2">
        <w:rPr>
          <w:i/>
          <w:iCs/>
          <w:color w:val="000000"/>
          <w:lang w:val="en-CA"/>
        </w:rPr>
        <w:t>R</w:t>
      </w:r>
      <w:r w:rsidRPr="00515AA2">
        <w:rPr>
          <w:i/>
          <w:iCs/>
          <w:color w:val="000000"/>
          <w:lang w:val="en-CA"/>
        </w:rPr>
        <w:t>egulation</w:t>
      </w:r>
      <w:r w:rsidR="00016EAA" w:rsidRPr="00515AA2">
        <w:rPr>
          <w:color w:val="000000"/>
          <w:lang w:val="en-CA"/>
        </w:rPr>
        <w:t xml:space="preserve"> </w:t>
      </w:r>
      <w:r w:rsidRPr="00515AA2">
        <w:rPr>
          <w:color w:val="000000"/>
          <w:lang w:val="en-CA"/>
        </w:rPr>
        <w:t xml:space="preserve">is not aimed at assessing the application on the basis of medical or social criteria, limiting the list of authorized professionals to those who work in the health and social services field </w:t>
      </w:r>
      <w:r w:rsidR="009F4FEB" w:rsidRPr="00515AA2">
        <w:rPr>
          <w:color w:val="000000"/>
          <w:lang w:val="en-CA"/>
        </w:rPr>
        <w:t>is</w:t>
      </w:r>
      <w:r w:rsidRPr="00515AA2">
        <w:rPr>
          <w:color w:val="000000"/>
          <w:lang w:val="en-CA"/>
        </w:rPr>
        <w:t xml:space="preserve"> no</w:t>
      </w:r>
      <w:r w:rsidR="009F4FEB" w:rsidRPr="00515AA2">
        <w:rPr>
          <w:color w:val="000000"/>
          <w:lang w:val="en-CA"/>
        </w:rPr>
        <w:t>t</w:t>
      </w:r>
      <w:r w:rsidRPr="00515AA2">
        <w:rPr>
          <w:color w:val="000000"/>
          <w:lang w:val="en-CA"/>
        </w:rPr>
        <w:t xml:space="preserve"> rational</w:t>
      </w:r>
      <w:r w:rsidR="009F4FEB" w:rsidRPr="00515AA2">
        <w:rPr>
          <w:color w:val="000000"/>
          <w:lang w:val="en-CA"/>
        </w:rPr>
        <w:t>ly</w:t>
      </w:r>
      <w:r w:rsidRPr="00515AA2">
        <w:rPr>
          <w:color w:val="000000"/>
          <w:lang w:val="en-CA"/>
        </w:rPr>
        <w:t xml:space="preserve"> connect</w:t>
      </w:r>
      <w:r w:rsidR="009F4FEB" w:rsidRPr="00515AA2">
        <w:rPr>
          <w:color w:val="000000"/>
          <w:lang w:val="en-CA"/>
        </w:rPr>
        <w:t>ed</w:t>
      </w:r>
      <w:r w:rsidRPr="00515AA2">
        <w:rPr>
          <w:color w:val="000000"/>
          <w:lang w:val="en-CA"/>
        </w:rPr>
        <w:t xml:space="preserve"> to the </w:t>
      </w:r>
      <w:r w:rsidR="009F4FEB" w:rsidRPr="00515AA2">
        <w:rPr>
          <w:color w:val="000000"/>
          <w:lang w:val="en-CA"/>
        </w:rPr>
        <w:t>sta</w:t>
      </w:r>
      <w:r w:rsidR="009361CF" w:rsidRPr="00515AA2">
        <w:rPr>
          <w:color w:val="000000"/>
          <w:lang w:val="en-CA"/>
        </w:rPr>
        <w:t xml:space="preserve">ted </w:t>
      </w:r>
      <w:r w:rsidRPr="00515AA2">
        <w:rPr>
          <w:color w:val="000000"/>
          <w:lang w:val="en-CA"/>
        </w:rPr>
        <w:t>ob</w:t>
      </w:r>
      <w:r w:rsidR="009361CF" w:rsidRPr="00515AA2">
        <w:rPr>
          <w:color w:val="000000"/>
          <w:lang w:val="en-CA"/>
        </w:rPr>
        <w:t>jective</w:t>
      </w:r>
      <w:r w:rsidR="00016EAA" w:rsidRPr="00515AA2">
        <w:rPr>
          <w:color w:val="000000"/>
          <w:lang w:val="en-CA"/>
        </w:rPr>
        <w:t>.</w:t>
      </w:r>
    </w:p>
    <w:p w14:paraId="325C5650" w14:textId="4FB7D9BC" w:rsidR="00C34961" w:rsidRPr="00515AA2" w:rsidRDefault="00C34961" w:rsidP="00F846E3">
      <w:pPr>
        <w:spacing w:before="120" w:after="120"/>
        <w:ind w:left="4320"/>
        <w:jc w:val="both"/>
        <w:rPr>
          <w:color w:val="000000"/>
          <w:kern w:val="28"/>
          <w:lang w:val="en-CA"/>
        </w:rPr>
      </w:pPr>
      <w:r w:rsidRPr="00515AA2">
        <w:rPr>
          <w:color w:val="000000"/>
          <w:kern w:val="28"/>
          <w:lang w:val="en-CA"/>
        </w:rPr>
        <w:t>***</w:t>
      </w:r>
    </w:p>
    <w:p w14:paraId="5D59AA34" w14:textId="7778C655" w:rsidR="003C1DC3" w:rsidRPr="00515AA2" w:rsidRDefault="00184B4B" w:rsidP="00F846E3">
      <w:pPr>
        <w:pStyle w:val="Paragraphe"/>
        <w:spacing w:line="280" w:lineRule="exact"/>
        <w:rPr>
          <w:color w:val="000000"/>
          <w:lang w:val="en-CA"/>
        </w:rPr>
      </w:pPr>
      <w:r w:rsidRPr="00515AA2">
        <w:rPr>
          <w:color w:val="000000"/>
          <w:lang w:val="en-CA"/>
        </w:rPr>
        <w:t>The judge aptly summarize</w:t>
      </w:r>
      <w:r w:rsidR="00CA2CD4" w:rsidRPr="00515AA2">
        <w:rPr>
          <w:color w:val="000000"/>
          <w:lang w:val="en-CA"/>
        </w:rPr>
        <w:t>d</w:t>
      </w:r>
      <w:r w:rsidRPr="00515AA2">
        <w:rPr>
          <w:color w:val="000000"/>
          <w:lang w:val="en-CA"/>
        </w:rPr>
        <w:t xml:space="preserve"> the</w:t>
      </w:r>
      <w:r w:rsidR="00D3069C" w:rsidRPr="00515AA2">
        <w:rPr>
          <w:color w:val="000000"/>
          <w:lang w:val="en-CA"/>
        </w:rPr>
        <w:t xml:space="preserve"> </w:t>
      </w:r>
      <w:r w:rsidR="00016EAA" w:rsidRPr="00515AA2">
        <w:rPr>
          <w:i/>
          <w:iCs/>
          <w:color w:val="000000"/>
          <w:lang w:val="en-CA"/>
        </w:rPr>
        <w:t>Oakes</w:t>
      </w:r>
      <w:r w:rsidRPr="00515AA2">
        <w:rPr>
          <w:i/>
          <w:iCs/>
          <w:color w:val="000000"/>
          <w:lang w:val="en-CA"/>
        </w:rPr>
        <w:t xml:space="preserve"> </w:t>
      </w:r>
      <w:r w:rsidRPr="00515AA2">
        <w:rPr>
          <w:color w:val="000000"/>
          <w:lang w:val="en-CA"/>
        </w:rPr>
        <w:t>test,</w:t>
      </w:r>
      <w:r w:rsidR="00016EAA" w:rsidRPr="00515AA2">
        <w:rPr>
          <w:color w:val="000000"/>
          <w:vertAlign w:val="superscript"/>
          <w:lang w:val="en-CA"/>
        </w:rPr>
        <w:footnoteReference w:id="113"/>
      </w:r>
      <w:r w:rsidRPr="00515AA2">
        <w:rPr>
          <w:i/>
          <w:iCs/>
          <w:color w:val="000000"/>
          <w:lang w:val="en-CA"/>
        </w:rPr>
        <w:t xml:space="preserve"> </w:t>
      </w:r>
      <w:r w:rsidRPr="00515AA2">
        <w:rPr>
          <w:color w:val="000000"/>
          <w:lang w:val="en-CA"/>
        </w:rPr>
        <w:t>which must be applied to determine whether a law that violates the</w:t>
      </w:r>
      <w:r w:rsidR="00D3069C" w:rsidRPr="00515AA2">
        <w:rPr>
          <w:color w:val="000000"/>
          <w:lang w:val="en-CA"/>
        </w:rPr>
        <w:t xml:space="preserve"> </w:t>
      </w:r>
      <w:r w:rsidRPr="00515AA2">
        <w:rPr>
          <w:i/>
          <w:iCs/>
          <w:color w:val="000000"/>
          <w:lang w:val="en-CA"/>
        </w:rPr>
        <w:t>Canadian Charter</w:t>
      </w:r>
      <w:r w:rsidR="00321438" w:rsidRPr="00515AA2">
        <w:rPr>
          <w:color w:val="000000"/>
          <w:lang w:val="en-CA"/>
        </w:rPr>
        <w:t xml:space="preserve"> </w:t>
      </w:r>
      <w:r w:rsidRPr="00515AA2">
        <w:rPr>
          <w:color w:val="000000"/>
          <w:lang w:val="en-CA"/>
        </w:rPr>
        <w:t>is nevertheless justified under s</w:t>
      </w:r>
      <w:r w:rsidR="00D768C2" w:rsidRPr="00515AA2">
        <w:rPr>
          <w:color w:val="000000"/>
          <w:lang w:val="en-CA"/>
        </w:rPr>
        <w:t>ection</w:t>
      </w:r>
      <w:r w:rsidRPr="00515AA2">
        <w:rPr>
          <w:color w:val="000000"/>
          <w:lang w:val="en-CA"/>
        </w:rPr>
        <w:t xml:space="preserve"> 1 thereof</w:t>
      </w:r>
      <w:r w:rsidR="00016EAA" w:rsidRPr="00515AA2">
        <w:rPr>
          <w:color w:val="000000"/>
          <w:lang w:val="en-CA"/>
        </w:rPr>
        <w:t>:</w:t>
      </w:r>
    </w:p>
    <w:tbl>
      <w:tblPr>
        <w:tblW w:w="9362" w:type="dxa"/>
        <w:tblLayout w:type="fixed"/>
        <w:tblCellMar>
          <w:left w:w="70" w:type="dxa"/>
          <w:right w:w="70" w:type="dxa"/>
        </w:tblCellMar>
        <w:tblLook w:val="0000" w:firstRow="0" w:lastRow="0" w:firstColumn="0" w:lastColumn="0" w:noHBand="0" w:noVBand="0"/>
      </w:tblPr>
      <w:tblGrid>
        <w:gridCol w:w="4681"/>
        <w:gridCol w:w="4681"/>
      </w:tblGrid>
      <w:tr w:rsidR="00515AA2" w:rsidRPr="00515AA2" w14:paraId="759D1DB6" w14:textId="77777777" w:rsidTr="006F0365">
        <w:tc>
          <w:tcPr>
            <w:tcW w:w="4681" w:type="dxa"/>
            <w:shd w:val="clear" w:color="auto" w:fill="auto"/>
          </w:tcPr>
          <w:p w14:paraId="001D519F" w14:textId="77777777" w:rsidR="007C4192" w:rsidRPr="00515AA2" w:rsidRDefault="007C4192" w:rsidP="006F0365">
            <w:pPr>
              <w:pStyle w:val="Tableaugauchefranais"/>
              <w:tabs>
                <w:tab w:val="right" w:pos="4323"/>
              </w:tabs>
              <w:spacing w:line="240" w:lineRule="auto"/>
              <w:rPr>
                <w:color w:val="000000"/>
                <w:lang w:val="en-CA"/>
              </w:rPr>
            </w:pPr>
            <w:r w:rsidRPr="00515AA2">
              <w:rPr>
                <w:color w:val="000000"/>
                <w:lang w:val="en-CA"/>
              </w:rPr>
              <w:t>[91]</w:t>
            </w:r>
            <w:r w:rsidRPr="00515AA2">
              <w:rPr>
                <w:color w:val="000000"/>
                <w:lang w:val="en-CA"/>
              </w:rPr>
              <w:tab/>
              <w:t xml:space="preserve">   In the </w:t>
            </w:r>
            <w:r w:rsidRPr="00515AA2">
              <w:rPr>
                <w:i/>
                <w:iCs/>
                <w:color w:val="000000"/>
                <w:lang w:val="en-CA"/>
              </w:rPr>
              <w:t>Oakes</w:t>
            </w:r>
            <w:r w:rsidRPr="00515AA2">
              <w:rPr>
                <w:color w:val="000000"/>
                <w:lang w:val="en-CA"/>
              </w:rPr>
              <w:t xml:space="preserve"> case, the Supreme Court of Canada designed a two-step test to determine whether a law’s limits on guaranteed rights and freedoms will survive a </w:t>
            </w:r>
            <w:r w:rsidRPr="00515AA2">
              <w:rPr>
                <w:i/>
                <w:iCs/>
                <w:color w:val="000000"/>
                <w:lang w:val="en-CA"/>
              </w:rPr>
              <w:t>Charter</w:t>
            </w:r>
            <w:r w:rsidRPr="00515AA2">
              <w:rPr>
                <w:color w:val="000000"/>
                <w:lang w:val="en-CA"/>
              </w:rPr>
              <w:t xml:space="preserve"> challenge. The test applies to the Quebec </w:t>
            </w:r>
            <w:r w:rsidRPr="00515AA2">
              <w:rPr>
                <w:i/>
                <w:iCs/>
                <w:color w:val="000000"/>
                <w:lang w:val="en-CA"/>
              </w:rPr>
              <w:t>Charter</w:t>
            </w:r>
            <w:r w:rsidRPr="00515AA2">
              <w:rPr>
                <w:color w:val="000000"/>
                <w:lang w:val="en-CA"/>
              </w:rPr>
              <w:t xml:space="preserve"> and to the Canadian </w:t>
            </w:r>
            <w:r w:rsidRPr="00515AA2">
              <w:rPr>
                <w:i/>
                <w:iCs/>
                <w:color w:val="000000"/>
                <w:lang w:val="en-CA"/>
              </w:rPr>
              <w:t>Charter</w:t>
            </w:r>
            <w:r w:rsidRPr="00515AA2">
              <w:rPr>
                <w:color w:val="000000"/>
                <w:lang w:val="en-CA"/>
              </w:rPr>
              <w:t>. The Attorney General must first demonstrate that the legislative objective behind the impugned provision is pressing and substantial.</w:t>
            </w:r>
          </w:p>
        </w:tc>
        <w:tc>
          <w:tcPr>
            <w:tcW w:w="4681" w:type="dxa"/>
            <w:shd w:val="clear" w:color="auto" w:fill="auto"/>
          </w:tcPr>
          <w:p w14:paraId="7FD0EAF1" w14:textId="77777777" w:rsidR="007C4192" w:rsidRPr="00515AA2" w:rsidRDefault="007C4192" w:rsidP="006F0365">
            <w:pPr>
              <w:pStyle w:val="Tableaugauchefranais"/>
              <w:spacing w:line="240" w:lineRule="auto"/>
              <w:ind w:left="349"/>
              <w:rPr>
                <w:color w:val="000000"/>
              </w:rPr>
            </w:pPr>
            <w:r w:rsidRPr="00515AA2">
              <w:rPr>
                <w:color w:val="000000"/>
              </w:rPr>
              <w:t xml:space="preserve">[91]   Dans l’arrêt </w:t>
            </w:r>
            <w:r w:rsidRPr="00515AA2">
              <w:rPr>
                <w:i/>
                <w:color w:val="000000"/>
              </w:rPr>
              <w:t>Oakes</w:t>
            </w:r>
            <w:r w:rsidRPr="00515AA2">
              <w:rPr>
                <w:color w:val="000000"/>
              </w:rPr>
              <w:t xml:space="preserve">, la Cour suprême du Canada a conçu un test en deux étapes pour déterminer si les limites qu’une loi impose relativement aux droits et libertés peuvent résister à une contestation fondée sur la </w:t>
            </w:r>
            <w:r w:rsidRPr="00515AA2">
              <w:rPr>
                <w:iCs/>
                <w:color w:val="000000"/>
              </w:rPr>
              <w:t>Charte</w:t>
            </w:r>
            <w:r w:rsidRPr="00515AA2">
              <w:rPr>
                <w:color w:val="000000"/>
              </w:rPr>
              <w:t xml:space="preserve">. Ce test s’applique à la </w:t>
            </w:r>
            <w:r w:rsidRPr="00515AA2">
              <w:rPr>
                <w:iCs/>
                <w:color w:val="000000"/>
              </w:rPr>
              <w:t xml:space="preserve">Charte québécoise </w:t>
            </w:r>
            <w:r w:rsidRPr="00515AA2">
              <w:rPr>
                <w:color w:val="000000"/>
              </w:rPr>
              <w:t xml:space="preserve">et à la </w:t>
            </w:r>
            <w:r w:rsidRPr="00515AA2">
              <w:rPr>
                <w:iCs/>
                <w:color w:val="000000"/>
              </w:rPr>
              <w:t>Charte canadienne</w:t>
            </w:r>
            <w:r w:rsidRPr="00515AA2">
              <w:rPr>
                <w:rStyle w:val="Appelnotedebasdep"/>
                <w:color w:val="000000"/>
                <w:szCs w:val="22"/>
                <w:lang w:val="en-CA"/>
              </w:rPr>
              <w:footnoteReference w:id="114"/>
            </w:r>
            <w:r w:rsidRPr="00515AA2">
              <w:rPr>
                <w:color w:val="000000"/>
              </w:rPr>
              <w:t>. Le procureur général doit d’abord démontrer que l’objectif législatif visé par la disposition contestée est urgent et réel.</w:t>
            </w:r>
          </w:p>
          <w:p w14:paraId="0CD229E0" w14:textId="77777777" w:rsidR="007C4192" w:rsidRPr="00515AA2" w:rsidRDefault="007C4192" w:rsidP="006F0365">
            <w:pPr>
              <w:pStyle w:val="Tableaudroiteanglais"/>
              <w:tabs>
                <w:tab w:val="right" w:pos="3753"/>
              </w:tabs>
              <w:spacing w:line="240" w:lineRule="auto"/>
              <w:rPr>
                <w:color w:val="000000"/>
                <w:lang w:val="fr-CA"/>
              </w:rPr>
            </w:pPr>
          </w:p>
        </w:tc>
      </w:tr>
      <w:tr w:rsidR="00515AA2" w:rsidRPr="00515AA2" w14:paraId="0B549C03" w14:textId="77777777" w:rsidTr="006F0365">
        <w:tc>
          <w:tcPr>
            <w:tcW w:w="4681" w:type="dxa"/>
            <w:shd w:val="clear" w:color="auto" w:fill="auto"/>
          </w:tcPr>
          <w:p w14:paraId="2789B6D2" w14:textId="77777777" w:rsidR="007C4192" w:rsidRPr="00515AA2" w:rsidRDefault="007C4192" w:rsidP="006F0365">
            <w:pPr>
              <w:pStyle w:val="Tableaugauchefranais"/>
              <w:tabs>
                <w:tab w:val="right" w:pos="4323"/>
              </w:tabs>
              <w:spacing w:line="240" w:lineRule="auto"/>
              <w:rPr>
                <w:color w:val="000000"/>
                <w:lang w:val="en-CA"/>
              </w:rPr>
            </w:pPr>
            <w:r w:rsidRPr="00515AA2">
              <w:rPr>
                <w:color w:val="000000"/>
                <w:lang w:val="en-CA"/>
              </w:rPr>
              <w:t>[92]</w:t>
            </w:r>
            <w:r w:rsidRPr="00515AA2">
              <w:rPr>
                <w:color w:val="000000"/>
                <w:lang w:val="en-CA"/>
              </w:rPr>
              <w:tab/>
              <w:t xml:space="preserve">   Then, the Attorney General must prove that the limits placed on the plaintiffs’ rights are proportionate to the legislative objective. This is achieved by determining whether there is:</w:t>
            </w:r>
          </w:p>
        </w:tc>
        <w:tc>
          <w:tcPr>
            <w:tcW w:w="4681" w:type="dxa"/>
            <w:shd w:val="clear" w:color="auto" w:fill="auto"/>
          </w:tcPr>
          <w:p w14:paraId="693758C0" w14:textId="77777777" w:rsidR="007C4192" w:rsidRPr="00515AA2" w:rsidRDefault="007C4192" w:rsidP="006F0365">
            <w:pPr>
              <w:pStyle w:val="Tableaudroiteanglais"/>
              <w:tabs>
                <w:tab w:val="right" w:pos="3753"/>
              </w:tabs>
              <w:spacing w:line="240" w:lineRule="auto"/>
              <w:ind w:left="349"/>
              <w:rPr>
                <w:color w:val="000000"/>
                <w:lang w:val="fr-CA"/>
              </w:rPr>
            </w:pPr>
            <w:r w:rsidRPr="00515AA2">
              <w:rPr>
                <w:color w:val="000000"/>
                <w:lang w:val="fr-CA"/>
              </w:rPr>
              <w:t>[92]</w:t>
            </w:r>
            <w:r w:rsidRPr="00515AA2">
              <w:rPr>
                <w:color w:val="000000"/>
                <w:lang w:val="fr-CA"/>
              </w:rPr>
              <w:tab/>
              <w:t xml:space="preserve">   Le procureur général doit ensuite prouver que les limites imposées aux droits des demandeurs pour réaliser cet objectif sont proportionnelles en démontrant :</w:t>
            </w:r>
          </w:p>
        </w:tc>
      </w:tr>
      <w:tr w:rsidR="00515AA2" w:rsidRPr="00515AA2" w14:paraId="6D4DA583" w14:textId="77777777" w:rsidTr="006F0365">
        <w:tc>
          <w:tcPr>
            <w:tcW w:w="4681" w:type="dxa"/>
            <w:shd w:val="clear" w:color="auto" w:fill="auto"/>
          </w:tcPr>
          <w:p w14:paraId="47F1E5E6" w14:textId="77777777" w:rsidR="007C4192" w:rsidRPr="00515AA2" w:rsidRDefault="007C4192" w:rsidP="006F0365">
            <w:pPr>
              <w:pStyle w:val="Tableaugauchefranais"/>
              <w:tabs>
                <w:tab w:val="right" w:pos="4323"/>
              </w:tabs>
              <w:spacing w:line="240" w:lineRule="auto"/>
              <w:rPr>
                <w:color w:val="000000"/>
                <w:lang w:val="en-CA"/>
              </w:rPr>
            </w:pPr>
            <w:r w:rsidRPr="00515AA2">
              <w:rPr>
                <w:color w:val="000000"/>
                <w:lang w:val="en-CA"/>
              </w:rPr>
              <w:t>a rational connection between the law’s objective and the impugned provision;</w:t>
            </w:r>
          </w:p>
        </w:tc>
        <w:tc>
          <w:tcPr>
            <w:tcW w:w="4681" w:type="dxa"/>
            <w:shd w:val="clear" w:color="auto" w:fill="auto"/>
          </w:tcPr>
          <w:p w14:paraId="260D74FC" w14:textId="77777777" w:rsidR="007C4192" w:rsidRPr="00515AA2" w:rsidRDefault="007C4192" w:rsidP="006F0365">
            <w:pPr>
              <w:pStyle w:val="Tableaudroiteanglais"/>
              <w:tabs>
                <w:tab w:val="right" w:pos="3753"/>
              </w:tabs>
              <w:spacing w:line="240" w:lineRule="auto"/>
              <w:ind w:left="349"/>
              <w:rPr>
                <w:color w:val="000000"/>
                <w:lang w:val="fr-CA"/>
              </w:rPr>
            </w:pPr>
            <w:r w:rsidRPr="00515AA2">
              <w:rPr>
                <w:color w:val="000000"/>
                <w:lang w:val="fr-CA"/>
              </w:rPr>
              <w:t>un lien rationnel entre l’objectif et la disposition contestée;</w:t>
            </w:r>
          </w:p>
        </w:tc>
      </w:tr>
      <w:tr w:rsidR="00515AA2" w:rsidRPr="00515AA2" w14:paraId="75818ED8" w14:textId="77777777" w:rsidTr="006F0365">
        <w:tc>
          <w:tcPr>
            <w:tcW w:w="4681" w:type="dxa"/>
            <w:shd w:val="clear" w:color="auto" w:fill="auto"/>
          </w:tcPr>
          <w:p w14:paraId="56D374BF" w14:textId="77777777" w:rsidR="007C4192" w:rsidRPr="00515AA2" w:rsidRDefault="007C4192" w:rsidP="006F0365">
            <w:pPr>
              <w:pStyle w:val="Tableaugauchefranais"/>
              <w:tabs>
                <w:tab w:val="right" w:pos="4323"/>
              </w:tabs>
              <w:spacing w:line="240" w:lineRule="auto"/>
              <w:rPr>
                <w:color w:val="000000"/>
                <w:lang w:val="en-CA"/>
              </w:rPr>
            </w:pPr>
            <w:r w:rsidRPr="00515AA2">
              <w:rPr>
                <w:color w:val="000000"/>
                <w:lang w:val="en-CA"/>
              </w:rPr>
              <w:t>minimum impairment of the protected right(s); and</w:t>
            </w:r>
          </w:p>
        </w:tc>
        <w:tc>
          <w:tcPr>
            <w:tcW w:w="4681" w:type="dxa"/>
            <w:shd w:val="clear" w:color="auto" w:fill="auto"/>
          </w:tcPr>
          <w:p w14:paraId="09329B6E" w14:textId="77777777" w:rsidR="007C4192" w:rsidRPr="00515AA2" w:rsidRDefault="007C4192" w:rsidP="006F0365">
            <w:pPr>
              <w:pStyle w:val="Tableaudroiteanglais"/>
              <w:tabs>
                <w:tab w:val="right" w:pos="3753"/>
              </w:tabs>
              <w:spacing w:line="240" w:lineRule="auto"/>
              <w:ind w:left="349"/>
              <w:rPr>
                <w:color w:val="000000"/>
                <w:lang w:val="fr-CA"/>
              </w:rPr>
            </w:pPr>
            <w:r w:rsidRPr="00515AA2">
              <w:rPr>
                <w:color w:val="000000"/>
                <w:lang w:val="fr-CA"/>
              </w:rPr>
              <w:t>le caractère minimal de l’atteinte aux droits en question; et</w:t>
            </w:r>
          </w:p>
        </w:tc>
      </w:tr>
      <w:tr w:rsidR="00515AA2" w:rsidRPr="00515AA2" w14:paraId="1517B011" w14:textId="77777777" w:rsidTr="006F0365">
        <w:tc>
          <w:tcPr>
            <w:tcW w:w="4681" w:type="dxa"/>
            <w:shd w:val="clear" w:color="auto" w:fill="auto"/>
          </w:tcPr>
          <w:p w14:paraId="0651E40A" w14:textId="77777777" w:rsidR="007C4192" w:rsidRPr="00515AA2" w:rsidRDefault="007C4192" w:rsidP="006F0365">
            <w:pPr>
              <w:pStyle w:val="Tableaugauchefranais"/>
              <w:tabs>
                <w:tab w:val="right" w:pos="4323"/>
              </w:tabs>
              <w:spacing w:line="240" w:lineRule="auto"/>
              <w:rPr>
                <w:color w:val="000000"/>
                <w:lang w:val="en-CA"/>
              </w:rPr>
            </w:pPr>
            <w:r w:rsidRPr="00515AA2">
              <w:rPr>
                <w:color w:val="000000"/>
                <w:lang w:val="en-CA"/>
              </w:rPr>
              <w:t>proportionality between the impairment of the right and the legislative objective.</w:t>
            </w:r>
          </w:p>
        </w:tc>
        <w:tc>
          <w:tcPr>
            <w:tcW w:w="4681" w:type="dxa"/>
            <w:shd w:val="clear" w:color="auto" w:fill="auto"/>
          </w:tcPr>
          <w:p w14:paraId="0EA618F2" w14:textId="77777777" w:rsidR="007C4192" w:rsidRPr="00515AA2" w:rsidRDefault="007C4192" w:rsidP="006F0365">
            <w:pPr>
              <w:pStyle w:val="Tableaudroiteanglais"/>
              <w:tabs>
                <w:tab w:val="right" w:pos="3753"/>
              </w:tabs>
              <w:spacing w:line="240" w:lineRule="auto"/>
              <w:ind w:left="349"/>
              <w:rPr>
                <w:color w:val="000000"/>
                <w:lang w:val="fr-CA"/>
              </w:rPr>
            </w:pPr>
            <w:r w:rsidRPr="00515AA2">
              <w:rPr>
                <w:color w:val="000000"/>
                <w:lang w:val="fr-CA"/>
              </w:rPr>
              <w:t>la proportionnalité entre l’atteinte au droit et l’objectif législatif.</w:t>
            </w:r>
          </w:p>
        </w:tc>
      </w:tr>
      <w:tr w:rsidR="00515AA2" w:rsidRPr="00515AA2" w14:paraId="1DC49A61" w14:textId="77777777" w:rsidTr="006F0365">
        <w:tc>
          <w:tcPr>
            <w:tcW w:w="4681" w:type="dxa"/>
            <w:shd w:val="clear" w:color="auto" w:fill="auto"/>
          </w:tcPr>
          <w:p w14:paraId="48CA3FD6" w14:textId="77777777" w:rsidR="007C4192" w:rsidRPr="00515AA2" w:rsidRDefault="007C4192" w:rsidP="006F0365">
            <w:pPr>
              <w:pStyle w:val="Tableaugauchefranais"/>
              <w:tabs>
                <w:tab w:val="right" w:pos="4323"/>
              </w:tabs>
              <w:spacing w:line="240" w:lineRule="auto"/>
              <w:rPr>
                <w:color w:val="000000"/>
              </w:rPr>
            </w:pPr>
          </w:p>
        </w:tc>
        <w:tc>
          <w:tcPr>
            <w:tcW w:w="4681" w:type="dxa"/>
            <w:shd w:val="clear" w:color="auto" w:fill="auto"/>
          </w:tcPr>
          <w:p w14:paraId="11FFCF69" w14:textId="77777777" w:rsidR="007C4192" w:rsidRPr="00515AA2" w:rsidRDefault="007C4192" w:rsidP="006F0365">
            <w:pPr>
              <w:pStyle w:val="Tableaudroiteanglais"/>
              <w:tabs>
                <w:tab w:val="right" w:pos="3753"/>
              </w:tabs>
              <w:spacing w:line="240" w:lineRule="auto"/>
              <w:jc w:val="right"/>
              <w:rPr>
                <w:color w:val="000000"/>
                <w:lang w:val="fr-CA"/>
              </w:rPr>
            </w:pPr>
            <w:r w:rsidRPr="00515AA2">
              <w:rPr>
                <w:color w:val="000000"/>
              </w:rPr>
              <w:t>(References omitted)</w:t>
            </w:r>
          </w:p>
        </w:tc>
      </w:tr>
    </w:tbl>
    <w:p w14:paraId="654E384C" w14:textId="3244E1DD" w:rsidR="00ED41ED" w:rsidRPr="00515AA2" w:rsidRDefault="00BC2094" w:rsidP="00F846E3">
      <w:pPr>
        <w:pStyle w:val="Paragraphe"/>
        <w:spacing w:line="280" w:lineRule="exact"/>
        <w:rPr>
          <w:color w:val="000000"/>
          <w:lang w:val="en-CA"/>
        </w:rPr>
      </w:pPr>
      <w:r w:rsidRPr="00515AA2">
        <w:rPr>
          <w:color w:val="000000"/>
          <w:lang w:val="en-CA"/>
        </w:rPr>
        <w:lastRenderedPageBreak/>
        <w:t>That same</w:t>
      </w:r>
      <w:r w:rsidR="00CE266D" w:rsidRPr="00515AA2">
        <w:rPr>
          <w:color w:val="000000"/>
          <w:lang w:val="en-CA"/>
        </w:rPr>
        <w:t xml:space="preserve"> test</w:t>
      </w:r>
      <w:r w:rsidR="00865156" w:rsidRPr="00515AA2">
        <w:rPr>
          <w:color w:val="000000"/>
          <w:lang w:val="en-CA"/>
        </w:rPr>
        <w:t xml:space="preserve">, </w:t>
      </w:r>
      <w:r w:rsidRPr="00515AA2">
        <w:rPr>
          <w:color w:val="000000"/>
          <w:lang w:val="en-CA"/>
        </w:rPr>
        <w:t>as noted above</w:t>
      </w:r>
      <w:r w:rsidR="005A14E2" w:rsidRPr="00515AA2">
        <w:rPr>
          <w:color w:val="000000"/>
          <w:lang w:val="en-CA"/>
        </w:rPr>
        <w:t xml:space="preserve">, </w:t>
      </w:r>
      <w:r w:rsidRPr="00515AA2">
        <w:rPr>
          <w:color w:val="000000"/>
          <w:lang w:val="en-CA"/>
        </w:rPr>
        <w:t>applies to the justification of an infringement of a right protected by the</w:t>
      </w:r>
      <w:r w:rsidR="00ED41ED" w:rsidRPr="00515AA2">
        <w:rPr>
          <w:color w:val="000000"/>
          <w:lang w:val="en-CA"/>
        </w:rPr>
        <w:t xml:space="preserve"> </w:t>
      </w:r>
      <w:r w:rsidRPr="00515AA2">
        <w:rPr>
          <w:i/>
          <w:iCs/>
          <w:color w:val="000000"/>
          <w:lang w:val="en-CA"/>
        </w:rPr>
        <w:t>Quebec Charter</w:t>
      </w:r>
      <w:r w:rsidR="00ED41ED" w:rsidRPr="00515AA2">
        <w:rPr>
          <w:color w:val="000000"/>
          <w:lang w:val="en-CA"/>
        </w:rPr>
        <w:t xml:space="preserve"> </w:t>
      </w:r>
      <w:r w:rsidRPr="00515AA2">
        <w:rPr>
          <w:color w:val="000000"/>
          <w:lang w:val="en-CA"/>
        </w:rPr>
        <w:t>under s</w:t>
      </w:r>
      <w:r w:rsidR="00D768C2" w:rsidRPr="00515AA2">
        <w:rPr>
          <w:color w:val="000000"/>
          <w:lang w:val="en-CA"/>
        </w:rPr>
        <w:t>ection</w:t>
      </w:r>
      <w:r w:rsidR="00ED41ED" w:rsidRPr="00515AA2">
        <w:rPr>
          <w:color w:val="000000"/>
          <w:lang w:val="en-CA"/>
        </w:rPr>
        <w:t xml:space="preserve"> 9.1.</w:t>
      </w:r>
    </w:p>
    <w:p w14:paraId="6F2F71C6" w14:textId="15989F64" w:rsidR="00865156" w:rsidRPr="00515AA2" w:rsidRDefault="00BC2094" w:rsidP="00F846E3">
      <w:pPr>
        <w:pStyle w:val="Paragraphe"/>
        <w:spacing w:line="280" w:lineRule="exact"/>
        <w:rPr>
          <w:color w:val="000000"/>
          <w:lang w:val="en-CA"/>
        </w:rPr>
      </w:pPr>
      <w:r w:rsidRPr="00515AA2">
        <w:rPr>
          <w:color w:val="000000"/>
          <w:lang w:val="en-CA"/>
        </w:rPr>
        <w:t xml:space="preserve">The first </w:t>
      </w:r>
      <w:r w:rsidR="00E81DB2" w:rsidRPr="00515AA2">
        <w:rPr>
          <w:color w:val="000000"/>
          <w:lang w:val="en-CA"/>
        </w:rPr>
        <w:t>step</w:t>
      </w:r>
      <w:r w:rsidRPr="00515AA2">
        <w:rPr>
          <w:color w:val="000000"/>
          <w:lang w:val="en-CA"/>
        </w:rPr>
        <w:t xml:space="preserve">, i.e. the </w:t>
      </w:r>
      <w:r w:rsidR="00E81DB2" w:rsidRPr="00515AA2">
        <w:rPr>
          <w:color w:val="000000"/>
          <w:lang w:val="en-CA"/>
        </w:rPr>
        <w:t xml:space="preserve">demonstration </w:t>
      </w:r>
      <w:r w:rsidRPr="00515AA2">
        <w:rPr>
          <w:color w:val="000000"/>
          <w:lang w:val="en-CA"/>
        </w:rPr>
        <w:t>of a pressing and substantial objective</w:t>
      </w:r>
      <w:r w:rsidR="009F39C4" w:rsidRPr="00515AA2">
        <w:rPr>
          <w:color w:val="000000"/>
          <w:lang w:val="en-CA"/>
        </w:rPr>
        <w:t xml:space="preserve">, </w:t>
      </w:r>
      <w:r w:rsidR="00CA2CD4" w:rsidRPr="00515AA2">
        <w:rPr>
          <w:color w:val="000000"/>
          <w:lang w:val="en-CA"/>
        </w:rPr>
        <w:t>does not raise any problem</w:t>
      </w:r>
      <w:r w:rsidR="009F39C4" w:rsidRPr="00515AA2">
        <w:rPr>
          <w:color w:val="000000"/>
          <w:lang w:val="en-CA"/>
        </w:rPr>
        <w:t xml:space="preserve"> not here</w:t>
      </w:r>
      <w:r w:rsidR="00016EAA" w:rsidRPr="00515AA2">
        <w:rPr>
          <w:color w:val="000000"/>
          <w:lang w:val="en-CA"/>
        </w:rPr>
        <w:t>.</w:t>
      </w:r>
    </w:p>
    <w:p w14:paraId="67932F30" w14:textId="1B277EF2" w:rsidR="00865156" w:rsidRPr="00515AA2" w:rsidRDefault="009F39C4" w:rsidP="00F846E3">
      <w:pPr>
        <w:pStyle w:val="Paragraphe"/>
        <w:spacing w:line="280" w:lineRule="exact"/>
        <w:rPr>
          <w:color w:val="000000"/>
          <w:lang w:val="en-CA"/>
        </w:rPr>
      </w:pPr>
      <w:r w:rsidRPr="00515AA2">
        <w:rPr>
          <w:color w:val="000000"/>
          <w:lang w:val="en-CA"/>
        </w:rPr>
        <w:t>Indeed</w:t>
      </w:r>
      <w:r w:rsidR="000E2B71" w:rsidRPr="00515AA2">
        <w:rPr>
          <w:color w:val="000000"/>
          <w:lang w:val="en-CA"/>
        </w:rPr>
        <w:t xml:space="preserve">, </w:t>
      </w:r>
      <w:r w:rsidRPr="00515AA2">
        <w:rPr>
          <w:color w:val="000000"/>
          <w:lang w:val="en-CA"/>
        </w:rPr>
        <w:t>the respondents do not question the judge’s finding in favour of the AGQ’s argument that the objective behind s</w:t>
      </w:r>
      <w:r w:rsidR="00AC06EE" w:rsidRPr="00515AA2">
        <w:rPr>
          <w:color w:val="000000"/>
          <w:lang w:val="en-CA"/>
        </w:rPr>
        <w:t>ection</w:t>
      </w:r>
      <w:r w:rsidR="00E47507" w:rsidRPr="00515AA2">
        <w:rPr>
          <w:color w:val="000000"/>
          <w:lang w:val="en-CA"/>
        </w:rPr>
        <w:t xml:space="preserve"> </w:t>
      </w:r>
      <w:bookmarkStart w:id="69" w:name="_Hlk147765473"/>
      <w:r w:rsidR="00A80EA5" w:rsidRPr="00515AA2">
        <w:rPr>
          <w:color w:val="000000"/>
          <w:lang w:val="en-CA"/>
        </w:rPr>
        <w:t>23</w:t>
      </w:r>
      <w:r w:rsidR="00542204" w:rsidRPr="00515AA2">
        <w:rPr>
          <w:color w:val="000000"/>
          <w:lang w:val="en-CA"/>
        </w:rPr>
        <w:t>.</w:t>
      </w:r>
      <w:r w:rsidR="00A80EA5" w:rsidRPr="00515AA2">
        <w:rPr>
          <w:color w:val="000000"/>
          <w:lang w:val="en-CA"/>
        </w:rPr>
        <w:t xml:space="preserve">2 </w:t>
      </w:r>
      <w:r w:rsidRPr="00515AA2">
        <w:rPr>
          <w:color w:val="000000"/>
          <w:lang w:val="en-CA"/>
        </w:rPr>
        <w:t>of the</w:t>
      </w:r>
      <w:r w:rsidR="00A80EA5" w:rsidRPr="00515AA2">
        <w:rPr>
          <w:color w:val="000000"/>
          <w:lang w:val="en-CA"/>
        </w:rPr>
        <w:t xml:space="preserve"> </w:t>
      </w:r>
      <w:r w:rsidRPr="00515AA2">
        <w:rPr>
          <w:i/>
          <w:iCs/>
          <w:color w:val="000000"/>
          <w:lang w:val="en-CA"/>
        </w:rPr>
        <w:t>Regulation</w:t>
      </w:r>
      <w:r w:rsidR="00A80EA5" w:rsidRPr="00515AA2">
        <w:rPr>
          <w:color w:val="000000"/>
          <w:lang w:val="en-CA"/>
        </w:rPr>
        <w:t xml:space="preserve"> </w:t>
      </w:r>
      <w:r w:rsidRPr="00515AA2">
        <w:rPr>
          <w:color w:val="000000"/>
          <w:lang w:val="en-CA"/>
        </w:rPr>
        <w:t xml:space="preserve">is pressing and substantial in that it seeks to </w:t>
      </w:r>
      <w:r w:rsidR="00E81DB2" w:rsidRPr="00515AA2">
        <w:rPr>
          <w:color w:val="000000"/>
          <w:lang w:val="en-CA"/>
        </w:rPr>
        <w:t xml:space="preserve">confirm </w:t>
      </w:r>
      <w:r w:rsidRPr="00515AA2">
        <w:rPr>
          <w:color w:val="000000"/>
          <w:lang w:val="en-CA"/>
        </w:rPr>
        <w:t>the seriousness of the undertaking by the person filing an application to change the designation of sex that appears in their act of birth.</w:t>
      </w:r>
      <w:bookmarkEnd w:id="69"/>
      <w:r w:rsidR="00A80EA5" w:rsidRPr="00515AA2">
        <w:rPr>
          <w:rStyle w:val="Appelnotedebasdep"/>
          <w:color w:val="000000"/>
          <w:lang w:val="en-CA"/>
        </w:rPr>
        <w:footnoteReference w:id="115"/>
      </w:r>
    </w:p>
    <w:p w14:paraId="69D3AFDD" w14:textId="421712AA" w:rsidR="005A14E2" w:rsidRPr="00515AA2" w:rsidRDefault="00AB54C6" w:rsidP="00F846E3">
      <w:pPr>
        <w:pStyle w:val="Paragraphe"/>
        <w:spacing w:line="280" w:lineRule="exact"/>
        <w:rPr>
          <w:color w:val="000000"/>
          <w:lang w:val="en-CA"/>
        </w:rPr>
      </w:pPr>
      <w:r>
        <w:rPr>
          <w:color w:val="000000"/>
          <w:lang w:val="en-CA" w:eastAsia="fr-CA"/>
        </w:rPr>
        <w:t>Egale Canada</w:t>
      </w:r>
      <w:r w:rsidR="00BA5794" w:rsidRPr="00515AA2">
        <w:rPr>
          <w:color w:val="000000"/>
          <w:lang w:val="en-CA"/>
        </w:rPr>
        <w:t>, however, argues that the designation of sex in the register of civil status does not pursue any substantive objective, so that assessing the seriousness of the application to change cannot be said to be a pressing and substanti</w:t>
      </w:r>
      <w:r w:rsidR="00CA2CD4" w:rsidRPr="00515AA2">
        <w:rPr>
          <w:color w:val="000000"/>
          <w:lang w:val="en-CA"/>
        </w:rPr>
        <w:t>al</w:t>
      </w:r>
      <w:r w:rsidR="00BA5794" w:rsidRPr="00515AA2">
        <w:rPr>
          <w:color w:val="000000"/>
          <w:lang w:val="en-CA"/>
        </w:rPr>
        <w:t xml:space="preserve"> objective</w:t>
      </w:r>
      <w:r w:rsidR="00397CDE" w:rsidRPr="00515AA2">
        <w:rPr>
          <w:color w:val="000000"/>
          <w:lang w:val="en-CA"/>
        </w:rPr>
        <w:t>.</w:t>
      </w:r>
    </w:p>
    <w:p w14:paraId="5ED2FDC2" w14:textId="7A5DDF52" w:rsidR="00016EAA" w:rsidRPr="00515AA2" w:rsidRDefault="00BA5794" w:rsidP="00F846E3">
      <w:pPr>
        <w:pStyle w:val="Paragraphe"/>
        <w:spacing w:line="280" w:lineRule="exact"/>
        <w:rPr>
          <w:color w:val="000000"/>
          <w:lang w:val="en-CA"/>
        </w:rPr>
      </w:pPr>
      <w:r w:rsidRPr="00515AA2">
        <w:rPr>
          <w:color w:val="000000"/>
          <w:lang w:val="en-CA"/>
        </w:rPr>
        <w:t xml:space="preserve">In our </w:t>
      </w:r>
      <w:r w:rsidR="00CA2CD4" w:rsidRPr="00515AA2">
        <w:rPr>
          <w:color w:val="000000"/>
          <w:lang w:val="en-CA"/>
        </w:rPr>
        <w:t>opinion</w:t>
      </w:r>
      <w:r w:rsidRPr="00515AA2">
        <w:rPr>
          <w:color w:val="000000"/>
          <w:lang w:val="en-CA"/>
        </w:rPr>
        <w:t xml:space="preserve">, </w:t>
      </w:r>
      <w:r w:rsidR="00CA2CD4" w:rsidRPr="00515AA2">
        <w:rPr>
          <w:color w:val="000000"/>
          <w:lang w:val="en-CA"/>
        </w:rPr>
        <w:t xml:space="preserve">however, </w:t>
      </w:r>
      <w:r w:rsidRPr="00515AA2">
        <w:rPr>
          <w:color w:val="000000"/>
          <w:lang w:val="en-CA"/>
        </w:rPr>
        <w:t xml:space="preserve">the </w:t>
      </w:r>
      <w:r w:rsidR="00784D43" w:rsidRPr="00515AA2">
        <w:rPr>
          <w:color w:val="000000"/>
          <w:lang w:val="en-CA"/>
        </w:rPr>
        <w:t>question</w:t>
      </w:r>
      <w:r w:rsidRPr="00515AA2">
        <w:rPr>
          <w:color w:val="000000"/>
          <w:lang w:val="en-CA"/>
        </w:rPr>
        <w:t xml:space="preserve"> of whether the designation of sex in the register of civil stat</w:t>
      </w:r>
      <w:r w:rsidR="00FD2F7D" w:rsidRPr="00515AA2">
        <w:rPr>
          <w:color w:val="000000"/>
          <w:lang w:val="en-CA"/>
        </w:rPr>
        <w:t>us is useful or not is a complex social issue and, absent determinative evidence</w:t>
      </w:r>
      <w:r w:rsidR="00CA2CD4" w:rsidRPr="00515AA2">
        <w:rPr>
          <w:color w:val="000000"/>
          <w:lang w:val="en-CA"/>
        </w:rPr>
        <w:t xml:space="preserve"> on the issue</w:t>
      </w:r>
      <w:r w:rsidR="00FD2F7D" w:rsidRPr="00515AA2">
        <w:rPr>
          <w:color w:val="000000"/>
          <w:lang w:val="en-CA"/>
        </w:rPr>
        <w:t xml:space="preserve">, courts must show deference and </w:t>
      </w:r>
      <w:r w:rsidR="00784D43" w:rsidRPr="00515AA2">
        <w:rPr>
          <w:color w:val="000000"/>
          <w:lang w:val="en-CA"/>
        </w:rPr>
        <w:t>rely on</w:t>
      </w:r>
      <w:r w:rsidR="00FD2F7D" w:rsidRPr="00515AA2">
        <w:rPr>
          <w:color w:val="000000"/>
          <w:lang w:val="en-CA"/>
        </w:rPr>
        <w:t xml:space="preserve"> the legislator’s informed opinion</w:t>
      </w:r>
      <w:r w:rsidR="008F30CE" w:rsidRPr="00515AA2">
        <w:rPr>
          <w:color w:val="000000"/>
          <w:lang w:val="en-CA"/>
        </w:rPr>
        <w:t>.</w:t>
      </w:r>
    </w:p>
    <w:p w14:paraId="5264A584" w14:textId="2B70EC3A" w:rsidR="00016EAA" w:rsidRPr="00515AA2" w:rsidRDefault="00784D43" w:rsidP="00F846E3">
      <w:pPr>
        <w:pStyle w:val="Paragraphe"/>
        <w:spacing w:line="280" w:lineRule="exact"/>
        <w:rPr>
          <w:color w:val="000000"/>
          <w:lang w:val="en-CA"/>
        </w:rPr>
      </w:pPr>
      <w:r w:rsidRPr="00515AA2">
        <w:rPr>
          <w:color w:val="000000"/>
          <w:lang w:val="en-CA"/>
        </w:rPr>
        <w:t xml:space="preserve">We are of the </w:t>
      </w:r>
      <w:r w:rsidR="00CA2CD4" w:rsidRPr="00515AA2">
        <w:rPr>
          <w:color w:val="000000"/>
          <w:lang w:val="en-CA"/>
        </w:rPr>
        <w:t>view</w:t>
      </w:r>
      <w:r w:rsidRPr="00515AA2">
        <w:rPr>
          <w:color w:val="000000"/>
          <w:lang w:val="en-CA"/>
        </w:rPr>
        <w:t xml:space="preserve"> that the </w:t>
      </w:r>
      <w:r w:rsidR="00E81DB2" w:rsidRPr="00515AA2">
        <w:rPr>
          <w:color w:val="000000"/>
          <w:lang w:val="en-CA"/>
        </w:rPr>
        <w:t xml:space="preserve">debate </w:t>
      </w:r>
      <w:r w:rsidRPr="00515AA2">
        <w:rPr>
          <w:color w:val="000000"/>
          <w:lang w:val="en-CA"/>
        </w:rPr>
        <w:t>must focus rather on the measure’s proportionality on the basis of the three applicable criteria</w:t>
      </w:r>
      <w:r w:rsidR="00016EAA" w:rsidRPr="00515AA2">
        <w:rPr>
          <w:color w:val="000000"/>
          <w:lang w:val="en-CA"/>
        </w:rPr>
        <w:t>.</w:t>
      </w:r>
    </w:p>
    <w:p w14:paraId="7A2E92B7" w14:textId="6E832AD3" w:rsidR="00016EAA" w:rsidRPr="00515AA2" w:rsidRDefault="00784D43" w:rsidP="00F846E3">
      <w:pPr>
        <w:pStyle w:val="Paragraphe"/>
        <w:spacing w:line="280" w:lineRule="exact"/>
        <w:rPr>
          <w:color w:val="000000"/>
          <w:lang w:val="en-CA"/>
        </w:rPr>
      </w:pPr>
      <w:r w:rsidRPr="00515AA2">
        <w:rPr>
          <w:rStyle w:val="ParaNoNdepar-AltNChar"/>
          <w:color w:val="000000"/>
        </w:rPr>
        <w:t>As regards the first criterio</w:t>
      </w:r>
      <w:r w:rsidR="004635C3" w:rsidRPr="00515AA2">
        <w:rPr>
          <w:rStyle w:val="ParaNoNdepar-AltNChar"/>
          <w:color w:val="000000"/>
        </w:rPr>
        <w:t>n</w:t>
      </w:r>
      <w:r w:rsidR="00016EAA" w:rsidRPr="00515AA2">
        <w:rPr>
          <w:rStyle w:val="ParaNoNdepar-AltNChar"/>
          <w:color w:val="000000"/>
        </w:rPr>
        <w:t xml:space="preserve">, </w:t>
      </w:r>
      <w:r w:rsidRPr="00515AA2">
        <w:rPr>
          <w:rStyle w:val="ParaNoNdepar-AltNChar"/>
          <w:color w:val="000000"/>
        </w:rPr>
        <w:t>there is a</w:t>
      </w:r>
      <w:r w:rsidR="00FA5918" w:rsidRPr="00515AA2">
        <w:rPr>
          <w:rStyle w:val="ParaNoNdepar-AltNChar"/>
          <w:color w:val="000000"/>
        </w:rPr>
        <w:t xml:space="preserve"> </w:t>
      </w:r>
      <w:r w:rsidR="00016EAA" w:rsidRPr="00515AA2">
        <w:rPr>
          <w:rStyle w:val="ParaNoNdepar-AltNChar"/>
          <w:color w:val="000000"/>
        </w:rPr>
        <w:t xml:space="preserve">prima facie </w:t>
      </w:r>
      <w:r w:rsidRPr="00515AA2">
        <w:rPr>
          <w:rStyle w:val="ParaNoNdepar-AltNChar"/>
          <w:color w:val="000000"/>
        </w:rPr>
        <w:t>appearance of a rational connection between the legislative objective</w:t>
      </w:r>
      <w:r w:rsidR="00E81DB2" w:rsidRPr="00515AA2">
        <w:rPr>
          <w:rStyle w:val="ParaNoNdepar-AltNChar"/>
          <w:color w:val="000000"/>
        </w:rPr>
        <w:t>,</w:t>
      </w:r>
      <w:r w:rsidRPr="00515AA2">
        <w:rPr>
          <w:rStyle w:val="ParaNoNdepar-AltNChar"/>
          <w:color w:val="000000"/>
        </w:rPr>
        <w:t xml:space="preserve"> which is to ensure the seriousness of the application, and the requirement to provide a letter from a professional confirming that the change is appropriate. It must however be shown that “</w:t>
      </w:r>
      <w:r w:rsidR="004635C3" w:rsidRPr="00515AA2">
        <w:rPr>
          <w:rStyle w:val="ParaNoNdepar-AltNChar"/>
          <w:color w:val="000000"/>
        </w:rPr>
        <w:t>it is reasonable to suppose that the limit may further the goal</w:t>
      </w:r>
      <w:r w:rsidR="004635C3" w:rsidRPr="00515AA2">
        <w:rPr>
          <w:color w:val="000000"/>
          <w:lang w:val="en-CA"/>
        </w:rPr>
        <w:t>.”</w:t>
      </w:r>
      <w:bookmarkStart w:id="70" w:name="_Ref157509324"/>
      <w:r w:rsidR="00D03B88" w:rsidRPr="00515AA2">
        <w:rPr>
          <w:rStyle w:val="Appelnotedebasdep"/>
          <w:color w:val="000000"/>
          <w:lang w:val="en-CA"/>
        </w:rPr>
        <w:footnoteReference w:id="116"/>
      </w:r>
      <w:bookmarkEnd w:id="70"/>
    </w:p>
    <w:p w14:paraId="5E330635" w14:textId="6BBB0112" w:rsidR="00B40381" w:rsidRPr="00515AA2" w:rsidRDefault="004635C3" w:rsidP="00F846E3">
      <w:pPr>
        <w:pStyle w:val="Paragraphe"/>
        <w:spacing w:line="280" w:lineRule="exact"/>
        <w:rPr>
          <w:color w:val="000000"/>
          <w:lang w:val="en-CA"/>
        </w:rPr>
      </w:pPr>
      <w:r w:rsidRPr="00515AA2">
        <w:rPr>
          <w:color w:val="000000"/>
          <w:lang w:val="en-CA"/>
        </w:rPr>
        <w:t xml:space="preserve">The judge concluded that </w:t>
      </w:r>
      <w:r w:rsidR="0042494C" w:rsidRPr="00515AA2">
        <w:rPr>
          <w:color w:val="000000"/>
          <w:lang w:val="en-CA"/>
        </w:rPr>
        <w:t>there</w:t>
      </w:r>
      <w:r w:rsidRPr="00515AA2">
        <w:rPr>
          <w:color w:val="000000"/>
          <w:lang w:val="en-CA"/>
        </w:rPr>
        <w:t xml:space="preserve"> is no such rational connection between the legislative objective </w:t>
      </w:r>
      <w:r w:rsidR="00CA2CD4" w:rsidRPr="00515AA2">
        <w:rPr>
          <w:color w:val="000000"/>
          <w:lang w:val="en-CA"/>
        </w:rPr>
        <w:t>of</w:t>
      </w:r>
      <w:r w:rsidRPr="00515AA2">
        <w:rPr>
          <w:color w:val="000000"/>
          <w:lang w:val="en-CA"/>
        </w:rPr>
        <w:t xml:space="preserve"> ensur</w:t>
      </w:r>
      <w:r w:rsidR="00CA2CD4" w:rsidRPr="00515AA2">
        <w:rPr>
          <w:color w:val="000000"/>
          <w:lang w:val="en-CA"/>
        </w:rPr>
        <w:t>ing</w:t>
      </w:r>
      <w:r w:rsidRPr="00515AA2">
        <w:rPr>
          <w:color w:val="000000"/>
          <w:lang w:val="en-CA"/>
        </w:rPr>
        <w:t xml:space="preserve"> the seriousness of a youth’s application and the requirement</w:t>
      </w:r>
      <w:r w:rsidR="006956BC" w:rsidRPr="00515AA2">
        <w:rPr>
          <w:color w:val="000000"/>
          <w:lang w:val="en-CA"/>
        </w:rPr>
        <w:t xml:space="preserve"> </w:t>
      </w:r>
      <w:r w:rsidRPr="00515AA2">
        <w:rPr>
          <w:color w:val="000000"/>
          <w:lang w:val="en-CA"/>
        </w:rPr>
        <w:t>that they obtain from a health professional</w:t>
      </w:r>
      <w:r w:rsidR="0042494C" w:rsidRPr="00515AA2">
        <w:rPr>
          <w:color w:val="000000"/>
          <w:lang w:val="en-CA"/>
        </w:rPr>
        <w:t xml:space="preserve"> a declaration that the requested change is appropriate, </w:t>
      </w:r>
      <w:r w:rsidR="00CA2CD4" w:rsidRPr="00515AA2">
        <w:rPr>
          <w:color w:val="000000"/>
          <w:lang w:val="en-CA"/>
        </w:rPr>
        <w:t>on</w:t>
      </w:r>
      <w:r w:rsidR="0042494C" w:rsidRPr="00515AA2">
        <w:rPr>
          <w:color w:val="000000"/>
          <w:lang w:val="en-CA"/>
        </w:rPr>
        <w:t xml:space="preserve"> four </w:t>
      </w:r>
      <w:r w:rsidR="00CA2CD4" w:rsidRPr="00515AA2">
        <w:rPr>
          <w:color w:val="000000"/>
          <w:lang w:val="en-CA"/>
        </w:rPr>
        <w:t>ground</w:t>
      </w:r>
      <w:r w:rsidR="0042494C" w:rsidRPr="00515AA2">
        <w:rPr>
          <w:color w:val="000000"/>
          <w:lang w:val="en-CA"/>
        </w:rPr>
        <w:t>s</w:t>
      </w:r>
      <w:r w:rsidR="00B40381" w:rsidRPr="00515AA2">
        <w:rPr>
          <w:color w:val="000000"/>
          <w:lang w:val="en-CA"/>
        </w:rPr>
        <w:t>:</w:t>
      </w:r>
      <w:r w:rsidR="00631FDE" w:rsidRPr="00515AA2">
        <w:rPr>
          <w:color w:val="000000"/>
          <w:lang w:val="en-CA"/>
        </w:rPr>
        <w:t xml:space="preserve"> 1) </w:t>
      </w:r>
      <w:r w:rsidR="0042494C" w:rsidRPr="00515AA2">
        <w:rPr>
          <w:color w:val="000000"/>
          <w:lang w:val="en-CA"/>
        </w:rPr>
        <w:t xml:space="preserve">the health professional’s declaration that the change is appropriate </w:t>
      </w:r>
      <w:r w:rsidR="00D96771" w:rsidRPr="00515AA2">
        <w:rPr>
          <w:color w:val="000000"/>
          <w:lang w:val="en-CA"/>
        </w:rPr>
        <w:t>serves no useful purpose</w:t>
      </w:r>
      <w:r w:rsidR="0042494C" w:rsidRPr="00515AA2">
        <w:rPr>
          <w:color w:val="000000"/>
          <w:lang w:val="en-CA"/>
        </w:rPr>
        <w:t xml:space="preserve"> in </w:t>
      </w:r>
      <w:r w:rsidR="00D96771" w:rsidRPr="00515AA2">
        <w:rPr>
          <w:color w:val="000000"/>
          <w:lang w:val="en-CA"/>
        </w:rPr>
        <w:t>achieving</w:t>
      </w:r>
      <w:r w:rsidR="0042494C" w:rsidRPr="00515AA2">
        <w:rPr>
          <w:color w:val="000000"/>
          <w:lang w:val="en-CA"/>
        </w:rPr>
        <w:t xml:space="preserve"> the legislative objective because </w:t>
      </w:r>
      <w:r w:rsidR="00D96771" w:rsidRPr="00515AA2">
        <w:rPr>
          <w:color w:val="000000"/>
          <w:lang w:val="en-CA"/>
        </w:rPr>
        <w:t xml:space="preserve">only </w:t>
      </w:r>
      <w:r w:rsidR="0042494C" w:rsidRPr="00515AA2">
        <w:rPr>
          <w:color w:val="000000"/>
          <w:lang w:val="en-CA"/>
        </w:rPr>
        <w:t xml:space="preserve">the </w:t>
      </w:r>
      <w:r w:rsidR="00CA2CD4" w:rsidRPr="00515AA2">
        <w:rPr>
          <w:color w:val="000000"/>
          <w:lang w:val="en-CA"/>
        </w:rPr>
        <w:t>person concerned by</w:t>
      </w:r>
      <w:r w:rsidR="0042494C" w:rsidRPr="00515AA2">
        <w:rPr>
          <w:color w:val="000000"/>
          <w:lang w:val="en-CA"/>
        </w:rPr>
        <w:t xml:space="preserve"> the application is able to affirm or confirm their gender identity</w:t>
      </w:r>
      <w:r w:rsidR="00D96771" w:rsidRPr="00515AA2">
        <w:rPr>
          <w:color w:val="000000"/>
          <w:lang w:val="en-CA"/>
        </w:rPr>
        <w:t>;</w:t>
      </w:r>
      <w:r w:rsidR="00631FDE" w:rsidRPr="00515AA2">
        <w:rPr>
          <w:color w:val="000000"/>
          <w:vertAlign w:val="superscript"/>
          <w:lang w:val="en-CA"/>
        </w:rPr>
        <w:footnoteReference w:id="117"/>
      </w:r>
      <w:r w:rsidR="00631FDE" w:rsidRPr="00515AA2">
        <w:rPr>
          <w:color w:val="000000"/>
          <w:lang w:val="en-CA"/>
        </w:rPr>
        <w:t xml:space="preserve"> 2) </w:t>
      </w:r>
      <w:r w:rsidR="00D96771" w:rsidRPr="00515AA2">
        <w:rPr>
          <w:color w:val="000000"/>
          <w:lang w:val="en-CA"/>
        </w:rPr>
        <w:t xml:space="preserve">the legislative provision </w:t>
      </w:r>
      <w:r w:rsidR="00DC6305" w:rsidRPr="00515AA2">
        <w:rPr>
          <w:color w:val="000000"/>
          <w:lang w:val="en-CA"/>
        </w:rPr>
        <w:t xml:space="preserve">denies the minor the power to make </w:t>
      </w:r>
      <w:r w:rsidR="00D96771" w:rsidRPr="00515AA2">
        <w:rPr>
          <w:color w:val="000000"/>
          <w:lang w:val="en-CA"/>
        </w:rPr>
        <w:t xml:space="preserve">a decision which concerns them and entrusts it </w:t>
      </w:r>
      <w:r w:rsidR="00DC6305" w:rsidRPr="00515AA2">
        <w:rPr>
          <w:color w:val="000000"/>
          <w:lang w:val="en-CA"/>
        </w:rPr>
        <w:t>instead</w:t>
      </w:r>
      <w:r w:rsidR="00D96771" w:rsidRPr="00515AA2">
        <w:rPr>
          <w:color w:val="000000"/>
          <w:lang w:val="en-CA"/>
        </w:rPr>
        <w:t xml:space="preserve"> to the health profession who, </w:t>
      </w:r>
      <w:r w:rsidR="00DC6305" w:rsidRPr="00515AA2">
        <w:rPr>
          <w:color w:val="000000"/>
          <w:lang w:val="en-CA"/>
        </w:rPr>
        <w:t>in many instances</w:t>
      </w:r>
      <w:r w:rsidR="00D96771" w:rsidRPr="00515AA2">
        <w:rPr>
          <w:color w:val="000000"/>
          <w:lang w:val="en-CA"/>
        </w:rPr>
        <w:t xml:space="preserve">, will </w:t>
      </w:r>
      <w:r w:rsidR="00DC6305" w:rsidRPr="00515AA2">
        <w:rPr>
          <w:color w:val="000000"/>
          <w:lang w:val="en-CA"/>
        </w:rPr>
        <w:t xml:space="preserve">only </w:t>
      </w:r>
      <w:r w:rsidR="00D96771" w:rsidRPr="00515AA2">
        <w:rPr>
          <w:color w:val="000000"/>
          <w:lang w:val="en-CA"/>
        </w:rPr>
        <w:t>have a fleeting acquaintance with that person;</w:t>
      </w:r>
      <w:r w:rsidR="00631FDE" w:rsidRPr="00515AA2">
        <w:rPr>
          <w:color w:val="000000"/>
          <w:vertAlign w:val="superscript"/>
          <w:lang w:val="en-CA"/>
        </w:rPr>
        <w:footnoteReference w:id="118"/>
      </w:r>
      <w:r w:rsidR="00631FDE" w:rsidRPr="00515AA2">
        <w:rPr>
          <w:color w:val="000000"/>
          <w:lang w:val="en-CA"/>
        </w:rPr>
        <w:t xml:space="preserve"> 3) </w:t>
      </w:r>
      <w:r w:rsidR="006E62D8" w:rsidRPr="00515AA2">
        <w:rPr>
          <w:color w:val="000000"/>
          <w:lang w:val="en-CA"/>
        </w:rPr>
        <w:t xml:space="preserve">the provision contradicts its enabling legislation by imposing a medical treatment without regard to the </w:t>
      </w:r>
      <w:r w:rsidR="006E62D8" w:rsidRPr="00515AA2">
        <w:rPr>
          <w:color w:val="000000"/>
          <w:lang w:val="en-CA"/>
        </w:rPr>
        <w:lastRenderedPageBreak/>
        <w:t>2013 legislative amendment</w:t>
      </w:r>
      <w:r w:rsidR="00DC6305" w:rsidRPr="00515AA2">
        <w:rPr>
          <w:color w:val="000000"/>
          <w:lang w:val="en-CA"/>
        </w:rPr>
        <w:t>s</w:t>
      </w:r>
      <w:r w:rsidR="006E62D8" w:rsidRPr="00515AA2">
        <w:rPr>
          <w:color w:val="000000"/>
          <w:lang w:val="en-CA"/>
        </w:rPr>
        <w:t>,</w:t>
      </w:r>
      <w:r w:rsidR="00631FDE" w:rsidRPr="00515AA2">
        <w:rPr>
          <w:color w:val="000000"/>
          <w:vertAlign w:val="superscript"/>
          <w:lang w:val="en-CA"/>
        </w:rPr>
        <w:footnoteReference w:id="119"/>
      </w:r>
      <w:r w:rsidR="006E62D8" w:rsidRPr="00515AA2">
        <w:rPr>
          <w:color w:val="000000"/>
          <w:lang w:val="en-CA"/>
        </w:rPr>
        <w:t xml:space="preserve"> whereas nothing in the evidence suggests that being transgender is a health issue</w:t>
      </w:r>
      <w:r w:rsidR="00631FDE" w:rsidRPr="00515AA2">
        <w:rPr>
          <w:color w:val="000000"/>
          <w:lang w:val="en-CA"/>
        </w:rPr>
        <w:t xml:space="preserve">; </w:t>
      </w:r>
      <w:r w:rsidR="006E62D8" w:rsidRPr="00515AA2">
        <w:rPr>
          <w:color w:val="000000"/>
          <w:lang w:val="en-CA"/>
        </w:rPr>
        <w:t>and</w:t>
      </w:r>
      <w:r w:rsidR="00631FDE" w:rsidRPr="00515AA2">
        <w:rPr>
          <w:color w:val="000000"/>
          <w:lang w:val="en-CA"/>
        </w:rPr>
        <w:t xml:space="preserve"> 4) </w:t>
      </w:r>
      <w:r w:rsidR="006E62D8" w:rsidRPr="00515AA2">
        <w:rPr>
          <w:color w:val="000000"/>
          <w:lang w:val="en-CA"/>
        </w:rPr>
        <w:t xml:space="preserve">the </w:t>
      </w:r>
      <w:r w:rsidR="006E62D8" w:rsidRPr="00515AA2">
        <w:rPr>
          <w:i/>
          <w:color w:val="000000"/>
          <w:lang w:val="en-CA"/>
        </w:rPr>
        <w:t>Regulation</w:t>
      </w:r>
      <w:r w:rsidR="00631FDE" w:rsidRPr="00515AA2">
        <w:rPr>
          <w:color w:val="000000"/>
          <w:lang w:val="en-CA"/>
        </w:rPr>
        <w:t xml:space="preserve"> </w:t>
      </w:r>
      <w:r w:rsidR="00DC6305" w:rsidRPr="00515AA2">
        <w:rPr>
          <w:color w:val="000000"/>
          <w:lang w:val="en-CA"/>
        </w:rPr>
        <w:t xml:space="preserve">does not </w:t>
      </w:r>
      <w:r w:rsidR="006E62D8" w:rsidRPr="00515AA2">
        <w:rPr>
          <w:color w:val="000000"/>
          <w:lang w:val="en-CA"/>
        </w:rPr>
        <w:t>provid</w:t>
      </w:r>
      <w:r w:rsidR="00DC6305" w:rsidRPr="00515AA2">
        <w:rPr>
          <w:color w:val="000000"/>
          <w:lang w:val="en-CA"/>
        </w:rPr>
        <w:t>e any</w:t>
      </w:r>
      <w:r w:rsidR="006E62D8" w:rsidRPr="00515AA2">
        <w:rPr>
          <w:color w:val="000000"/>
          <w:lang w:val="en-CA"/>
        </w:rPr>
        <w:t xml:space="preserve"> guidance as to the </w:t>
      </w:r>
      <w:r w:rsidR="00A12097" w:rsidRPr="00515AA2">
        <w:rPr>
          <w:color w:val="000000"/>
          <w:lang w:val="en-CA"/>
        </w:rPr>
        <w:t xml:space="preserve">content of the </w:t>
      </w:r>
      <w:r w:rsidR="006E62D8" w:rsidRPr="00515AA2">
        <w:rPr>
          <w:color w:val="000000"/>
          <w:lang w:val="en-CA"/>
        </w:rPr>
        <w:t>declaration, thereby showing its limited usefulness.</w:t>
      </w:r>
      <w:r w:rsidR="00631FDE" w:rsidRPr="00515AA2">
        <w:rPr>
          <w:color w:val="000000"/>
          <w:vertAlign w:val="superscript"/>
          <w:lang w:val="en-CA"/>
        </w:rPr>
        <w:footnoteReference w:id="120"/>
      </w:r>
    </w:p>
    <w:p w14:paraId="3054DD88" w14:textId="2F143BD4" w:rsidR="00B40381" w:rsidRPr="00515AA2" w:rsidRDefault="00AF57F0" w:rsidP="00F846E3">
      <w:pPr>
        <w:pStyle w:val="Paragraphe"/>
        <w:spacing w:line="280" w:lineRule="exact"/>
        <w:rPr>
          <w:color w:val="000000"/>
          <w:lang w:val="en-CA"/>
        </w:rPr>
      </w:pPr>
      <w:r w:rsidRPr="00515AA2">
        <w:rPr>
          <w:color w:val="000000"/>
          <w:lang w:val="en-CA"/>
        </w:rPr>
        <w:t xml:space="preserve">The third </w:t>
      </w:r>
      <w:r w:rsidR="00DC6305" w:rsidRPr="00515AA2">
        <w:rPr>
          <w:color w:val="000000"/>
          <w:lang w:val="en-CA"/>
        </w:rPr>
        <w:t>ground</w:t>
      </w:r>
      <w:r w:rsidRPr="00515AA2">
        <w:rPr>
          <w:color w:val="000000"/>
          <w:lang w:val="en-CA"/>
        </w:rPr>
        <w:t xml:space="preserve"> should be rejected at the outset, </w:t>
      </w:r>
      <w:r w:rsidR="007E1078" w:rsidRPr="00515AA2">
        <w:rPr>
          <w:color w:val="000000"/>
          <w:lang w:val="en-CA"/>
        </w:rPr>
        <w:t>since</w:t>
      </w:r>
      <w:r w:rsidRPr="00515AA2">
        <w:rPr>
          <w:color w:val="000000"/>
          <w:lang w:val="en-CA"/>
        </w:rPr>
        <w:t xml:space="preserve"> we have already found</w:t>
      </w:r>
      <w:r w:rsidR="00DC6305" w:rsidRPr="00515AA2">
        <w:rPr>
          <w:color w:val="000000"/>
          <w:lang w:val="en-CA"/>
        </w:rPr>
        <w:t xml:space="preserve"> </w:t>
      </w:r>
      <w:r w:rsidRPr="00515AA2">
        <w:rPr>
          <w:color w:val="000000"/>
          <w:lang w:val="en-CA"/>
        </w:rPr>
        <w:t>that obtaining a letter from a health professional declaring having evaluated or followed the child</w:t>
      </w:r>
      <w:r w:rsidRPr="00515AA2">
        <w:rPr>
          <w:rStyle w:val="ParagrapheCar"/>
          <w:color w:val="000000"/>
          <w:lang w:val="en-CA"/>
        </w:rPr>
        <w:t xml:space="preserve"> does not </w:t>
      </w:r>
      <w:r w:rsidR="007E1078" w:rsidRPr="00515AA2">
        <w:rPr>
          <w:rStyle w:val="ParagrapheCar"/>
          <w:color w:val="000000"/>
          <w:lang w:val="en-CA"/>
        </w:rPr>
        <w:t>amount to</w:t>
      </w:r>
      <w:r w:rsidRPr="00515AA2">
        <w:rPr>
          <w:rStyle w:val="ParagrapheCar"/>
          <w:color w:val="000000"/>
          <w:lang w:val="en-CA"/>
        </w:rPr>
        <w:t xml:space="preserve"> a medical treatment</w:t>
      </w:r>
      <w:r w:rsidR="005B799B" w:rsidRPr="00515AA2">
        <w:rPr>
          <w:rStyle w:val="ParagrapheCar"/>
          <w:color w:val="000000"/>
          <w:lang w:val="en-CA"/>
        </w:rPr>
        <w:t xml:space="preserve">, </w:t>
      </w:r>
      <w:r w:rsidRPr="00515AA2">
        <w:rPr>
          <w:rStyle w:val="ParagrapheCar"/>
          <w:color w:val="000000"/>
          <w:lang w:val="en-CA"/>
        </w:rPr>
        <w:t xml:space="preserve">and </w:t>
      </w:r>
      <w:r w:rsidR="00DC6305" w:rsidRPr="00515AA2">
        <w:rPr>
          <w:rStyle w:val="ParagrapheCar"/>
          <w:color w:val="000000"/>
          <w:lang w:val="en-CA"/>
        </w:rPr>
        <w:t xml:space="preserve">that </w:t>
      </w:r>
      <w:r w:rsidRPr="00515AA2">
        <w:rPr>
          <w:rStyle w:val="ParagrapheCar"/>
          <w:color w:val="000000"/>
          <w:lang w:val="en-CA"/>
        </w:rPr>
        <w:t>there is therefore no contradiction between the</w:t>
      </w:r>
      <w:r w:rsidR="005B799B" w:rsidRPr="00515AA2">
        <w:rPr>
          <w:color w:val="000000"/>
          <w:lang w:val="en-CA"/>
        </w:rPr>
        <w:t xml:space="preserve"> </w:t>
      </w:r>
      <w:r w:rsidR="005B799B" w:rsidRPr="00515AA2">
        <w:rPr>
          <w:i/>
          <w:iCs/>
          <w:color w:val="000000"/>
          <w:lang w:val="en-CA"/>
        </w:rPr>
        <w:t>R</w:t>
      </w:r>
      <w:r w:rsidRPr="00515AA2">
        <w:rPr>
          <w:i/>
          <w:iCs/>
          <w:color w:val="000000"/>
          <w:lang w:val="en-CA"/>
        </w:rPr>
        <w:t xml:space="preserve">egulation </w:t>
      </w:r>
      <w:r w:rsidRPr="00515AA2">
        <w:rPr>
          <w:color w:val="000000"/>
          <w:lang w:val="en-CA"/>
        </w:rPr>
        <w:t>and</w:t>
      </w:r>
      <w:r w:rsidR="006B578B" w:rsidRPr="00515AA2">
        <w:rPr>
          <w:color w:val="000000"/>
          <w:lang w:val="en-CA"/>
        </w:rPr>
        <w:t> </w:t>
      </w:r>
      <w:r w:rsidR="00AC06EE" w:rsidRPr="00515AA2">
        <w:rPr>
          <w:color w:val="000000"/>
          <w:lang w:val="en-CA"/>
        </w:rPr>
        <w:t xml:space="preserve">article </w:t>
      </w:r>
      <w:r w:rsidR="005B799B" w:rsidRPr="00515AA2">
        <w:rPr>
          <w:color w:val="000000"/>
          <w:lang w:val="en-CA"/>
        </w:rPr>
        <w:t xml:space="preserve">71 </w:t>
      </w:r>
      <w:r w:rsidR="005B799B" w:rsidRPr="00515AA2">
        <w:rPr>
          <w:i/>
          <w:iCs/>
          <w:color w:val="000000"/>
          <w:lang w:val="en-CA"/>
        </w:rPr>
        <w:t>C.</w:t>
      </w:r>
      <w:r w:rsidRPr="00515AA2">
        <w:rPr>
          <w:i/>
          <w:iCs/>
          <w:color w:val="000000"/>
          <w:lang w:val="en-CA"/>
        </w:rPr>
        <w:t>C</w:t>
      </w:r>
      <w:r w:rsidR="005B799B" w:rsidRPr="00515AA2">
        <w:rPr>
          <w:i/>
          <w:iCs/>
          <w:color w:val="000000"/>
          <w:lang w:val="en-CA"/>
        </w:rPr>
        <w:t>.Q</w:t>
      </w:r>
      <w:r w:rsidRPr="00515AA2">
        <w:rPr>
          <w:color w:val="000000"/>
          <w:lang w:val="en-CA"/>
        </w:rPr>
        <w:t>.</w:t>
      </w:r>
      <w:r w:rsidR="003629D3" w:rsidRPr="00515AA2">
        <w:rPr>
          <w:rStyle w:val="Appelnotedebasdep"/>
          <w:color w:val="000000"/>
          <w:lang w:val="en-CA"/>
        </w:rPr>
        <w:footnoteReference w:id="121"/>
      </w:r>
    </w:p>
    <w:p w14:paraId="1A4A94F0" w14:textId="3DD0C8E7" w:rsidR="00D8210B" w:rsidRPr="00515AA2" w:rsidRDefault="007E1078" w:rsidP="00F846E3">
      <w:pPr>
        <w:pStyle w:val="Paragraphe"/>
        <w:spacing w:line="280" w:lineRule="exact"/>
        <w:rPr>
          <w:color w:val="000000"/>
          <w:lang w:val="en-CA"/>
        </w:rPr>
      </w:pPr>
      <w:r w:rsidRPr="00515AA2">
        <w:rPr>
          <w:color w:val="000000"/>
          <w:lang w:val="en-CA"/>
        </w:rPr>
        <w:t xml:space="preserve">As </w:t>
      </w:r>
      <w:r w:rsidR="00AB783A" w:rsidRPr="00515AA2">
        <w:rPr>
          <w:color w:val="000000"/>
          <w:lang w:val="en-CA"/>
        </w:rPr>
        <w:t>for</w:t>
      </w:r>
      <w:r w:rsidRPr="00515AA2">
        <w:rPr>
          <w:color w:val="000000"/>
          <w:lang w:val="en-CA"/>
        </w:rPr>
        <w:t xml:space="preserve"> the three </w:t>
      </w:r>
      <w:r w:rsidR="00DC6305" w:rsidRPr="00515AA2">
        <w:rPr>
          <w:color w:val="000000"/>
          <w:lang w:val="en-CA"/>
        </w:rPr>
        <w:t>remaining ground</w:t>
      </w:r>
      <w:r w:rsidRPr="00515AA2">
        <w:rPr>
          <w:color w:val="000000"/>
          <w:lang w:val="en-CA"/>
        </w:rPr>
        <w:t>s, they are interrelated</w:t>
      </w:r>
      <w:r w:rsidR="001D2204" w:rsidRPr="00515AA2">
        <w:rPr>
          <w:color w:val="000000"/>
          <w:lang w:val="en-CA"/>
        </w:rPr>
        <w:t xml:space="preserve">. </w:t>
      </w:r>
      <w:bookmarkStart w:id="72" w:name="_Hlk145079974"/>
      <w:r w:rsidRPr="00515AA2">
        <w:rPr>
          <w:color w:val="000000"/>
          <w:lang w:val="en-CA"/>
        </w:rPr>
        <w:t>In that regard, it should be recalled that the judge was of the view that the</w:t>
      </w:r>
      <w:r w:rsidR="001D2204" w:rsidRPr="00515AA2">
        <w:rPr>
          <w:color w:val="000000"/>
          <w:lang w:val="en-CA"/>
        </w:rPr>
        <w:t xml:space="preserve"> </w:t>
      </w:r>
      <w:r w:rsidR="001D2204" w:rsidRPr="00515AA2">
        <w:rPr>
          <w:i/>
          <w:iCs/>
          <w:color w:val="000000"/>
          <w:lang w:val="en-CA"/>
        </w:rPr>
        <w:t>R</w:t>
      </w:r>
      <w:r w:rsidRPr="00515AA2">
        <w:rPr>
          <w:i/>
          <w:iCs/>
          <w:color w:val="000000"/>
          <w:lang w:val="en-CA"/>
        </w:rPr>
        <w:t>egulation</w:t>
      </w:r>
      <w:r w:rsidR="001D2204" w:rsidRPr="00515AA2">
        <w:rPr>
          <w:i/>
          <w:iCs/>
          <w:color w:val="000000"/>
          <w:lang w:val="en-CA"/>
        </w:rPr>
        <w:t xml:space="preserve"> </w:t>
      </w:r>
      <w:bookmarkEnd w:id="72"/>
      <w:r w:rsidR="00453C7C" w:rsidRPr="00515AA2">
        <w:rPr>
          <w:color w:val="000000"/>
          <w:lang w:val="en-CA"/>
        </w:rPr>
        <w:t>gives</w:t>
      </w:r>
      <w:r w:rsidR="00AB783A" w:rsidRPr="00515AA2">
        <w:rPr>
          <w:color w:val="000000"/>
          <w:lang w:val="en-CA"/>
        </w:rPr>
        <w:t xml:space="preserve"> professionals</w:t>
      </w:r>
      <w:r w:rsidR="00453C7C" w:rsidRPr="00515AA2">
        <w:rPr>
          <w:color w:val="000000"/>
          <w:lang w:val="en-CA"/>
        </w:rPr>
        <w:t xml:space="preserve"> the authority</w:t>
      </w:r>
      <w:r w:rsidR="00AB783A" w:rsidRPr="00515AA2">
        <w:rPr>
          <w:color w:val="000000"/>
          <w:lang w:val="en-CA"/>
        </w:rPr>
        <w:t xml:space="preserve"> to decide for the minor if the change in the designation of sex is appropriate </w:t>
      </w:r>
      <w:r w:rsidR="001D2204" w:rsidRPr="00515AA2">
        <w:rPr>
          <w:color w:val="000000"/>
          <w:lang w:val="en-CA"/>
        </w:rPr>
        <w:t>(</w:t>
      </w:r>
      <w:r w:rsidR="00DC6305" w:rsidRPr="00515AA2">
        <w:rPr>
          <w:color w:val="000000"/>
          <w:lang w:val="en-CA"/>
        </w:rPr>
        <w:t>ground</w:t>
      </w:r>
      <w:r w:rsidR="00AB783A" w:rsidRPr="00515AA2">
        <w:rPr>
          <w:color w:val="000000"/>
          <w:lang w:val="en-CA"/>
        </w:rPr>
        <w:t xml:space="preserve"> 2</w:t>
      </w:r>
      <w:r w:rsidR="001D2204" w:rsidRPr="00515AA2">
        <w:rPr>
          <w:color w:val="000000"/>
          <w:lang w:val="en-CA"/>
        </w:rPr>
        <w:t xml:space="preserve">); </w:t>
      </w:r>
      <w:r w:rsidR="00AB783A" w:rsidRPr="00515AA2">
        <w:rPr>
          <w:color w:val="000000"/>
          <w:lang w:val="en-CA"/>
        </w:rPr>
        <w:t>those professionals do not have the requisite skill to make that decision</w:t>
      </w:r>
      <w:r w:rsidR="000C7220" w:rsidRPr="00515AA2">
        <w:rPr>
          <w:color w:val="000000"/>
          <w:lang w:val="en-CA"/>
        </w:rPr>
        <w:t xml:space="preserve"> </w:t>
      </w:r>
      <w:r w:rsidR="001D2204" w:rsidRPr="00515AA2">
        <w:rPr>
          <w:color w:val="000000"/>
          <w:lang w:val="en-CA"/>
        </w:rPr>
        <w:t>(</w:t>
      </w:r>
      <w:r w:rsidR="00DC6305" w:rsidRPr="00515AA2">
        <w:rPr>
          <w:color w:val="000000"/>
          <w:lang w:val="en-CA"/>
        </w:rPr>
        <w:t>ground</w:t>
      </w:r>
      <w:r w:rsidR="001D2204" w:rsidRPr="00515AA2">
        <w:rPr>
          <w:color w:val="000000"/>
          <w:lang w:val="en-CA"/>
        </w:rPr>
        <w:t xml:space="preserve"> 4) </w:t>
      </w:r>
      <w:r w:rsidR="00DC6305" w:rsidRPr="00515AA2">
        <w:rPr>
          <w:color w:val="000000"/>
          <w:lang w:val="en-CA"/>
        </w:rPr>
        <w:t xml:space="preserve">and, </w:t>
      </w:r>
      <w:r w:rsidRPr="00515AA2">
        <w:rPr>
          <w:color w:val="000000"/>
          <w:lang w:val="en-CA"/>
        </w:rPr>
        <w:t xml:space="preserve">in fact, the applicant is </w:t>
      </w:r>
      <w:r w:rsidR="00DC6305" w:rsidRPr="00515AA2">
        <w:rPr>
          <w:color w:val="000000"/>
          <w:lang w:val="en-CA"/>
        </w:rPr>
        <w:t xml:space="preserve">the only person </w:t>
      </w:r>
      <w:r w:rsidRPr="00515AA2">
        <w:rPr>
          <w:color w:val="000000"/>
          <w:lang w:val="en-CA"/>
        </w:rPr>
        <w:t>in a position to know whether their application is appropriate</w:t>
      </w:r>
      <w:r w:rsidR="001D2204" w:rsidRPr="00515AA2">
        <w:rPr>
          <w:color w:val="000000"/>
          <w:lang w:val="en-CA"/>
        </w:rPr>
        <w:t>, (</w:t>
      </w:r>
      <w:r w:rsidR="00DC6305" w:rsidRPr="00515AA2">
        <w:rPr>
          <w:color w:val="000000"/>
          <w:lang w:val="en-CA"/>
        </w:rPr>
        <w:t>ground</w:t>
      </w:r>
      <w:r w:rsidR="008F30CE" w:rsidRPr="00515AA2">
        <w:rPr>
          <w:color w:val="000000"/>
          <w:lang w:val="en-CA"/>
        </w:rPr>
        <w:t> </w:t>
      </w:r>
      <w:r w:rsidR="001D2204" w:rsidRPr="00515AA2">
        <w:rPr>
          <w:color w:val="000000"/>
          <w:lang w:val="en-CA"/>
        </w:rPr>
        <w:t>1).</w:t>
      </w:r>
    </w:p>
    <w:p w14:paraId="6FA608E0" w14:textId="79F545A6" w:rsidR="001D2204" w:rsidRPr="00515AA2" w:rsidRDefault="001A4D02" w:rsidP="00F846E3">
      <w:pPr>
        <w:pStyle w:val="Paragraphe"/>
        <w:spacing w:line="280" w:lineRule="exact"/>
        <w:rPr>
          <w:color w:val="000000"/>
          <w:lang w:val="en-CA"/>
        </w:rPr>
      </w:pPr>
      <w:r w:rsidRPr="00515AA2">
        <w:rPr>
          <w:color w:val="000000"/>
          <w:lang w:val="en-CA"/>
        </w:rPr>
        <w:t>How should the matter be resolved</w:t>
      </w:r>
      <w:r w:rsidR="000C7220" w:rsidRPr="00515AA2">
        <w:rPr>
          <w:color w:val="000000"/>
          <w:lang w:val="en-CA"/>
        </w:rPr>
        <w:t>?</w:t>
      </w:r>
    </w:p>
    <w:p w14:paraId="34F44372" w14:textId="0DB82A7A" w:rsidR="00016EAA" w:rsidRPr="00515AA2" w:rsidRDefault="001A4D02" w:rsidP="00F846E3">
      <w:pPr>
        <w:pStyle w:val="Paragraphe"/>
        <w:spacing w:line="280" w:lineRule="exact"/>
        <w:rPr>
          <w:color w:val="000000"/>
          <w:lang w:val="en-CA"/>
        </w:rPr>
      </w:pPr>
      <w:r w:rsidRPr="00515AA2">
        <w:rPr>
          <w:color w:val="000000"/>
          <w:lang w:val="en-CA"/>
        </w:rPr>
        <w:t>As we have already noted, the judge erred as to the designated professional’s role</w:t>
      </w:r>
      <w:r w:rsidR="00FA5918" w:rsidRPr="00515AA2">
        <w:rPr>
          <w:color w:val="000000"/>
          <w:lang w:val="en-CA"/>
        </w:rPr>
        <w:t xml:space="preserve">. </w:t>
      </w:r>
      <w:r w:rsidRPr="00515AA2">
        <w:rPr>
          <w:color w:val="000000"/>
          <w:lang w:val="en-CA"/>
        </w:rPr>
        <w:t>The</w:t>
      </w:r>
      <w:r w:rsidR="00F6292D" w:rsidRPr="00515AA2">
        <w:rPr>
          <w:color w:val="000000"/>
          <w:lang w:val="en-CA"/>
        </w:rPr>
        <w:t xml:space="preserve"> </w:t>
      </w:r>
      <w:r w:rsidR="00F6292D" w:rsidRPr="00515AA2">
        <w:rPr>
          <w:i/>
          <w:iCs/>
          <w:color w:val="000000"/>
          <w:lang w:val="en-CA"/>
        </w:rPr>
        <w:t>R</w:t>
      </w:r>
      <w:r w:rsidRPr="00515AA2">
        <w:rPr>
          <w:i/>
          <w:iCs/>
          <w:color w:val="000000"/>
          <w:lang w:val="en-CA"/>
        </w:rPr>
        <w:t>egulation</w:t>
      </w:r>
      <w:r w:rsidR="00F6292D" w:rsidRPr="00515AA2">
        <w:rPr>
          <w:i/>
          <w:iCs/>
          <w:color w:val="000000"/>
          <w:lang w:val="en-CA"/>
        </w:rPr>
        <w:t xml:space="preserve"> </w:t>
      </w:r>
      <w:r w:rsidRPr="00515AA2">
        <w:rPr>
          <w:color w:val="000000"/>
          <w:lang w:val="en-CA"/>
        </w:rPr>
        <w:t xml:space="preserve">does </w:t>
      </w:r>
      <w:r w:rsidR="00453C7C" w:rsidRPr="00515AA2">
        <w:rPr>
          <w:color w:val="000000"/>
          <w:lang w:val="en-CA"/>
        </w:rPr>
        <w:t>not give the</w:t>
      </w:r>
      <w:r w:rsidRPr="00515AA2">
        <w:rPr>
          <w:color w:val="000000"/>
          <w:lang w:val="en-CA"/>
        </w:rPr>
        <w:t xml:space="preserve"> designated professional </w:t>
      </w:r>
      <w:r w:rsidR="00453C7C" w:rsidRPr="00515AA2">
        <w:rPr>
          <w:color w:val="000000"/>
          <w:lang w:val="en-CA"/>
        </w:rPr>
        <w:t xml:space="preserve">authority </w:t>
      </w:r>
      <w:r w:rsidRPr="00515AA2">
        <w:rPr>
          <w:color w:val="000000"/>
          <w:lang w:val="en-CA"/>
        </w:rPr>
        <w:t>to decide for the minor if the change of the designation of sex is appropriate</w:t>
      </w:r>
      <w:r w:rsidR="00397CDE" w:rsidRPr="00515AA2">
        <w:rPr>
          <w:color w:val="000000"/>
          <w:lang w:val="en-CA"/>
        </w:rPr>
        <w:t xml:space="preserve">. </w:t>
      </w:r>
      <w:r w:rsidRPr="00515AA2">
        <w:rPr>
          <w:color w:val="000000"/>
          <w:lang w:val="en-CA"/>
        </w:rPr>
        <w:t>The professional’s task is limited to determining whether the change in the designation of sex is “appropriate”, in light of the four conditions enumerated in s.</w:t>
      </w:r>
      <w:r w:rsidR="00885AAE" w:rsidRPr="00515AA2">
        <w:rPr>
          <w:color w:val="000000"/>
          <w:lang w:val="en-CA"/>
        </w:rPr>
        <w:t xml:space="preserve"> </w:t>
      </w:r>
      <w:r w:rsidR="00016EAA" w:rsidRPr="00515AA2">
        <w:rPr>
          <w:color w:val="000000"/>
          <w:lang w:val="en-CA"/>
        </w:rPr>
        <w:t xml:space="preserve">23.1 </w:t>
      </w:r>
      <w:r w:rsidRPr="00515AA2">
        <w:rPr>
          <w:color w:val="000000"/>
          <w:lang w:val="en-CA"/>
        </w:rPr>
        <w:t>of the</w:t>
      </w:r>
      <w:r w:rsidR="00016EAA" w:rsidRPr="00515AA2">
        <w:rPr>
          <w:color w:val="000000"/>
          <w:lang w:val="en-CA"/>
        </w:rPr>
        <w:t xml:space="preserve"> </w:t>
      </w:r>
      <w:r w:rsidR="00016EAA" w:rsidRPr="00515AA2">
        <w:rPr>
          <w:i/>
          <w:iCs/>
          <w:color w:val="000000"/>
          <w:lang w:val="en-CA"/>
        </w:rPr>
        <w:t>R</w:t>
      </w:r>
      <w:r w:rsidRPr="00515AA2">
        <w:rPr>
          <w:i/>
          <w:iCs/>
          <w:color w:val="000000"/>
          <w:lang w:val="en-CA"/>
        </w:rPr>
        <w:t>egulation</w:t>
      </w:r>
      <w:r w:rsidR="00016EAA" w:rsidRPr="00515AA2">
        <w:rPr>
          <w:color w:val="000000"/>
          <w:lang w:val="en-CA"/>
        </w:rPr>
        <w:t xml:space="preserve">, </w:t>
      </w:r>
      <w:r w:rsidRPr="00515AA2">
        <w:rPr>
          <w:color w:val="000000"/>
          <w:lang w:val="en-CA"/>
        </w:rPr>
        <w:t>i.e.</w:t>
      </w:r>
      <w:r w:rsidR="00016EAA" w:rsidRPr="00515AA2">
        <w:rPr>
          <w:color w:val="000000"/>
          <w:lang w:val="en-CA"/>
        </w:rPr>
        <w:t xml:space="preserve"> 1) </w:t>
      </w:r>
      <w:r w:rsidRPr="00515AA2">
        <w:rPr>
          <w:color w:val="000000"/>
          <w:lang w:val="en-CA"/>
        </w:rPr>
        <w:t>the designation of sex requested is the designation that best corresponds to the applicant’s gender identity</w:t>
      </w:r>
      <w:r w:rsidR="00016EAA" w:rsidRPr="00515AA2">
        <w:rPr>
          <w:color w:val="000000"/>
          <w:lang w:val="en-CA"/>
        </w:rPr>
        <w:t xml:space="preserve">; 2) </w:t>
      </w:r>
      <w:r w:rsidRPr="00515AA2">
        <w:rPr>
          <w:color w:val="000000"/>
          <w:lang w:val="en-CA"/>
        </w:rPr>
        <w:t>the applicant assumes and intends to continue to assume that gender identity</w:t>
      </w:r>
      <w:r w:rsidR="00016EAA" w:rsidRPr="00515AA2">
        <w:rPr>
          <w:color w:val="000000"/>
          <w:lang w:val="en-CA"/>
        </w:rPr>
        <w:t xml:space="preserve">; 3) </w:t>
      </w:r>
      <w:r w:rsidRPr="00515AA2">
        <w:rPr>
          <w:color w:val="000000"/>
          <w:lang w:val="en-CA"/>
        </w:rPr>
        <w:t>the applicant understands the seriousness of the undertaking</w:t>
      </w:r>
      <w:r w:rsidR="00016EAA" w:rsidRPr="00515AA2">
        <w:rPr>
          <w:color w:val="000000"/>
          <w:lang w:val="en-CA"/>
        </w:rPr>
        <w:t xml:space="preserve">; </w:t>
      </w:r>
      <w:r w:rsidRPr="00515AA2">
        <w:rPr>
          <w:color w:val="000000"/>
          <w:lang w:val="en-CA"/>
        </w:rPr>
        <w:t>and</w:t>
      </w:r>
      <w:r w:rsidR="00016EAA" w:rsidRPr="00515AA2">
        <w:rPr>
          <w:color w:val="000000"/>
          <w:lang w:val="en-CA"/>
        </w:rPr>
        <w:t xml:space="preserve"> 4) </w:t>
      </w:r>
      <w:r w:rsidRPr="00515AA2">
        <w:rPr>
          <w:color w:val="000000"/>
          <w:lang w:val="en-CA"/>
        </w:rPr>
        <w:t xml:space="preserve">the applicant’s undertaking is voluntary and </w:t>
      </w:r>
      <w:r w:rsidR="00AC06EE" w:rsidRPr="00515AA2">
        <w:rPr>
          <w:color w:val="000000"/>
          <w:lang w:val="en-CA"/>
        </w:rPr>
        <w:t>their</w:t>
      </w:r>
      <w:r w:rsidRPr="00515AA2">
        <w:rPr>
          <w:color w:val="000000"/>
          <w:lang w:val="en-CA"/>
        </w:rPr>
        <w:t xml:space="preserve"> consent is given in a free and enlightened manner</w:t>
      </w:r>
      <w:r w:rsidR="00016EAA" w:rsidRPr="00515AA2">
        <w:rPr>
          <w:color w:val="000000"/>
          <w:lang w:val="en-CA"/>
        </w:rPr>
        <w:t>.</w:t>
      </w:r>
      <w:r w:rsidR="001D2204" w:rsidRPr="00515AA2">
        <w:rPr>
          <w:color w:val="000000"/>
          <w:lang w:val="en-CA"/>
        </w:rPr>
        <w:t xml:space="preserve"> </w:t>
      </w:r>
      <w:r w:rsidRPr="00515AA2">
        <w:rPr>
          <w:color w:val="000000"/>
          <w:lang w:val="en-CA"/>
        </w:rPr>
        <w:t xml:space="preserve">The professional does not have the </w:t>
      </w:r>
      <w:r w:rsidR="00453C7C" w:rsidRPr="00515AA2">
        <w:rPr>
          <w:color w:val="000000"/>
          <w:lang w:val="en-CA"/>
        </w:rPr>
        <w:t>authority</w:t>
      </w:r>
      <w:r w:rsidRPr="00515AA2">
        <w:rPr>
          <w:color w:val="000000"/>
          <w:lang w:val="en-CA"/>
        </w:rPr>
        <w:t xml:space="preserve"> to substitute their own criteria to those provided in the </w:t>
      </w:r>
      <w:r w:rsidRPr="00515AA2">
        <w:rPr>
          <w:i/>
          <w:iCs/>
          <w:color w:val="000000"/>
          <w:lang w:val="en-CA"/>
        </w:rPr>
        <w:t>Regulation</w:t>
      </w:r>
      <w:r w:rsidRPr="00515AA2">
        <w:rPr>
          <w:color w:val="000000"/>
          <w:lang w:val="en-CA"/>
        </w:rPr>
        <w:t xml:space="preserve"> nor to decide what </w:t>
      </w:r>
      <w:r w:rsidR="00453C7C" w:rsidRPr="00515AA2">
        <w:rPr>
          <w:color w:val="000000"/>
          <w:lang w:val="en-CA"/>
        </w:rPr>
        <w:t xml:space="preserve">the minor’s gender identity </w:t>
      </w:r>
      <w:r w:rsidRPr="00515AA2">
        <w:rPr>
          <w:color w:val="000000"/>
          <w:lang w:val="en-CA"/>
        </w:rPr>
        <w:t>should be</w:t>
      </w:r>
      <w:r w:rsidR="001D2204" w:rsidRPr="00515AA2">
        <w:rPr>
          <w:color w:val="000000"/>
          <w:lang w:val="en-CA"/>
        </w:rPr>
        <w:t>.</w:t>
      </w:r>
    </w:p>
    <w:p w14:paraId="4DD230D0" w14:textId="6D4234A7" w:rsidR="00823501" w:rsidRPr="00515AA2" w:rsidRDefault="00453C7C" w:rsidP="00F846E3">
      <w:pPr>
        <w:pStyle w:val="Paragraphe"/>
        <w:spacing w:line="280" w:lineRule="exact"/>
        <w:rPr>
          <w:color w:val="000000"/>
          <w:lang w:val="en-CA"/>
        </w:rPr>
      </w:pPr>
      <w:r w:rsidRPr="00515AA2">
        <w:rPr>
          <w:color w:val="000000"/>
          <w:lang w:val="en-CA"/>
        </w:rPr>
        <w:t xml:space="preserve">Indeed, the conditions provided in the </w:t>
      </w:r>
      <w:r w:rsidRPr="00515AA2">
        <w:rPr>
          <w:i/>
          <w:iCs/>
          <w:color w:val="000000"/>
          <w:lang w:val="en-CA"/>
        </w:rPr>
        <w:t>Regulation</w:t>
      </w:r>
      <w:r w:rsidRPr="00515AA2">
        <w:rPr>
          <w:color w:val="000000"/>
          <w:lang w:val="en-CA"/>
        </w:rPr>
        <w:t xml:space="preserve"> are</w:t>
      </w:r>
      <w:r w:rsidR="00315172" w:rsidRPr="00515AA2">
        <w:rPr>
          <w:color w:val="000000"/>
          <w:lang w:val="en-CA"/>
        </w:rPr>
        <w:t xml:space="preserve"> </w:t>
      </w:r>
      <w:r w:rsidR="00E81DB2" w:rsidRPr="00515AA2">
        <w:rPr>
          <w:color w:val="000000"/>
          <w:lang w:val="en-CA"/>
        </w:rPr>
        <w:t xml:space="preserve">internal to </w:t>
      </w:r>
      <w:r w:rsidR="00315172" w:rsidRPr="00515AA2">
        <w:rPr>
          <w:color w:val="000000"/>
          <w:lang w:val="en-CA"/>
        </w:rPr>
        <w:t>the applicant</w:t>
      </w:r>
      <w:r w:rsidRPr="00515AA2">
        <w:rPr>
          <w:color w:val="000000"/>
          <w:lang w:val="en-CA"/>
        </w:rPr>
        <w:t xml:space="preserve"> and are not objectively verifiable by any third party, except when it comes time to confirm that the applicant already assumes the gender identity that they wish to have designated</w:t>
      </w:r>
      <w:r w:rsidR="00016EAA" w:rsidRPr="00515AA2">
        <w:rPr>
          <w:color w:val="000000"/>
          <w:lang w:val="en-CA"/>
        </w:rPr>
        <w:t xml:space="preserve">. </w:t>
      </w:r>
      <w:r w:rsidRPr="00515AA2">
        <w:rPr>
          <w:color w:val="000000"/>
          <w:lang w:val="en-CA"/>
        </w:rPr>
        <w:t>Consequently, the professional cannot objectively assess whether those conditions are met</w:t>
      </w:r>
      <w:r w:rsidR="00FD296E" w:rsidRPr="00515AA2">
        <w:rPr>
          <w:color w:val="000000"/>
          <w:lang w:val="en-CA"/>
        </w:rPr>
        <w:t xml:space="preserve">. </w:t>
      </w:r>
      <w:r w:rsidRPr="00515AA2">
        <w:rPr>
          <w:color w:val="000000"/>
          <w:lang w:val="en-CA"/>
        </w:rPr>
        <w:t>They can only ask the applicant questions and assess their answers in determining whether they understand the seriousness of their under</w:t>
      </w:r>
      <w:r w:rsidR="00315172" w:rsidRPr="00515AA2">
        <w:rPr>
          <w:color w:val="000000"/>
          <w:lang w:val="en-CA"/>
        </w:rPr>
        <w:t>taking, whether such undertaking is voluntary and whether their consent is given in a free and informed manner</w:t>
      </w:r>
      <w:r w:rsidR="00C17F24" w:rsidRPr="00515AA2">
        <w:rPr>
          <w:color w:val="000000"/>
          <w:lang w:val="en-CA"/>
        </w:rPr>
        <w:t>.</w:t>
      </w:r>
    </w:p>
    <w:p w14:paraId="19CC413C" w14:textId="1FEADC90" w:rsidR="00016EAA" w:rsidRPr="00515AA2" w:rsidRDefault="00315172" w:rsidP="00F846E3">
      <w:pPr>
        <w:pStyle w:val="Paragraphe"/>
        <w:spacing w:line="280" w:lineRule="exact"/>
        <w:rPr>
          <w:color w:val="000000"/>
          <w:lang w:val="en-CA"/>
        </w:rPr>
      </w:pPr>
      <w:r w:rsidRPr="00515AA2">
        <w:rPr>
          <w:color w:val="000000"/>
          <w:lang w:val="en-CA"/>
        </w:rPr>
        <w:lastRenderedPageBreak/>
        <w:t>Although circumscribed</w:t>
      </w:r>
      <w:r w:rsidR="00E47507" w:rsidRPr="00515AA2">
        <w:rPr>
          <w:color w:val="000000"/>
          <w:lang w:val="en-CA"/>
        </w:rPr>
        <w:t xml:space="preserve">, </w:t>
      </w:r>
      <w:r w:rsidRPr="00515AA2">
        <w:rPr>
          <w:color w:val="000000"/>
          <w:lang w:val="en-CA"/>
        </w:rPr>
        <w:t xml:space="preserve">the professional’s role remains important in that </w:t>
      </w:r>
      <w:r w:rsidR="00DC6305" w:rsidRPr="00515AA2">
        <w:rPr>
          <w:color w:val="000000"/>
          <w:lang w:val="en-CA"/>
        </w:rPr>
        <w:t>it</w:t>
      </w:r>
      <w:r w:rsidRPr="00515AA2">
        <w:rPr>
          <w:color w:val="000000"/>
          <w:lang w:val="en-CA"/>
        </w:rPr>
        <w:t xml:space="preserve"> attest</w:t>
      </w:r>
      <w:r w:rsidR="00DC6305" w:rsidRPr="00515AA2">
        <w:rPr>
          <w:color w:val="000000"/>
          <w:lang w:val="en-CA"/>
        </w:rPr>
        <w:t>s</w:t>
      </w:r>
      <w:r w:rsidRPr="00515AA2">
        <w:rPr>
          <w:color w:val="000000"/>
          <w:lang w:val="en-CA"/>
        </w:rPr>
        <w:t xml:space="preserve"> to the application’s seriousness and, in that sense, it serves a</w:t>
      </w:r>
      <w:r w:rsidR="00AB64BD" w:rsidRPr="00515AA2">
        <w:rPr>
          <w:color w:val="000000"/>
          <w:lang w:val="en-CA"/>
        </w:rPr>
        <w:t xml:space="preserve"> </w:t>
      </w:r>
      <w:r w:rsidRPr="00515AA2">
        <w:rPr>
          <w:color w:val="000000"/>
          <w:lang w:val="en-CA"/>
        </w:rPr>
        <w:t>useful purpose in achieving the legislative objective</w:t>
      </w:r>
      <w:r w:rsidR="00016EAA" w:rsidRPr="00515AA2">
        <w:rPr>
          <w:color w:val="000000"/>
          <w:lang w:val="en-CA"/>
        </w:rPr>
        <w:t>.</w:t>
      </w:r>
    </w:p>
    <w:p w14:paraId="00972A5F" w14:textId="101C3763" w:rsidR="00C10306" w:rsidRPr="00515AA2" w:rsidRDefault="00AB64BD" w:rsidP="00F846E3">
      <w:pPr>
        <w:pStyle w:val="Paragraphe"/>
        <w:spacing w:line="280" w:lineRule="exact"/>
        <w:rPr>
          <w:color w:val="000000"/>
          <w:lang w:val="en-CA"/>
        </w:rPr>
      </w:pPr>
      <w:r w:rsidRPr="00515AA2">
        <w:rPr>
          <w:color w:val="000000"/>
          <w:lang w:val="en-CA"/>
        </w:rPr>
        <w:t xml:space="preserve">The second criterion consists in </w:t>
      </w:r>
      <w:r w:rsidR="00986E2B" w:rsidRPr="00515AA2">
        <w:rPr>
          <w:color w:val="000000"/>
          <w:lang w:val="en-CA"/>
        </w:rPr>
        <w:t>ascertaining</w:t>
      </w:r>
      <w:r w:rsidRPr="00515AA2">
        <w:rPr>
          <w:color w:val="000000"/>
          <w:lang w:val="en-CA"/>
        </w:rPr>
        <w:t xml:space="preserve"> </w:t>
      </w:r>
      <w:r w:rsidR="00986E2B" w:rsidRPr="00515AA2">
        <w:rPr>
          <w:color w:val="000000"/>
          <w:lang w:val="en-CA"/>
        </w:rPr>
        <w:t>whether</w:t>
      </w:r>
      <w:r w:rsidRPr="00515AA2">
        <w:rPr>
          <w:color w:val="000000"/>
          <w:lang w:val="en-CA"/>
        </w:rPr>
        <w:t xml:space="preserve"> the rights guaranteed by the </w:t>
      </w:r>
      <w:r w:rsidR="00ED41ED" w:rsidRPr="00515AA2">
        <w:rPr>
          <w:i/>
          <w:iCs/>
          <w:color w:val="000000"/>
          <w:lang w:val="en-CA"/>
        </w:rPr>
        <w:t>Charte</w:t>
      </w:r>
      <w:r w:rsidRPr="00515AA2">
        <w:rPr>
          <w:i/>
          <w:iCs/>
          <w:color w:val="000000"/>
          <w:lang w:val="en-CA"/>
        </w:rPr>
        <w:t>r</w:t>
      </w:r>
      <w:r w:rsidR="00ED41ED" w:rsidRPr="00515AA2">
        <w:rPr>
          <w:i/>
          <w:iCs/>
          <w:color w:val="000000"/>
          <w:lang w:val="en-CA"/>
        </w:rPr>
        <w:t>s</w:t>
      </w:r>
      <w:r w:rsidR="00986E2B" w:rsidRPr="00515AA2">
        <w:rPr>
          <w:color w:val="000000"/>
          <w:lang w:val="en-CA"/>
        </w:rPr>
        <w:t xml:space="preserve"> are minimally impaired.</w:t>
      </w:r>
      <w:r w:rsidR="00016EAA" w:rsidRPr="00515AA2">
        <w:rPr>
          <w:color w:val="000000"/>
          <w:lang w:val="en-CA"/>
        </w:rPr>
        <w:t xml:space="preserve"> </w:t>
      </w:r>
      <w:r w:rsidRPr="00515AA2">
        <w:rPr>
          <w:color w:val="000000"/>
          <w:lang w:val="en-CA"/>
        </w:rPr>
        <w:t xml:space="preserve">Under that test, it is not required to show that the legislator has chosen the least </w:t>
      </w:r>
      <w:r w:rsidR="00E81DB2" w:rsidRPr="00515AA2">
        <w:rPr>
          <w:color w:val="000000"/>
          <w:lang w:val="en-CA"/>
        </w:rPr>
        <w:t xml:space="preserve">detrimental </w:t>
      </w:r>
      <w:r w:rsidRPr="00515AA2">
        <w:rPr>
          <w:color w:val="000000"/>
          <w:lang w:val="en-CA"/>
        </w:rPr>
        <w:t>means to achieve its legislative objective</w:t>
      </w:r>
      <w:r w:rsidR="00016EAA" w:rsidRPr="00515AA2">
        <w:rPr>
          <w:color w:val="000000"/>
          <w:lang w:val="en-CA"/>
        </w:rPr>
        <w:t xml:space="preserve">. </w:t>
      </w:r>
      <w:r w:rsidR="00DC6305" w:rsidRPr="00515AA2">
        <w:rPr>
          <w:color w:val="000000"/>
          <w:lang w:val="en-CA"/>
        </w:rPr>
        <w:t>Rather</w:t>
      </w:r>
      <w:r w:rsidRPr="00515AA2">
        <w:rPr>
          <w:color w:val="000000"/>
          <w:lang w:val="en-CA"/>
        </w:rPr>
        <w:t xml:space="preserve">, it can choose from among a range of reasonable alternatives, provided that the measure retained </w:t>
      </w:r>
      <w:r w:rsidR="00986E2B" w:rsidRPr="00515AA2">
        <w:rPr>
          <w:color w:val="000000"/>
          <w:lang w:val="en-CA"/>
        </w:rPr>
        <w:t>is</w:t>
      </w:r>
      <w:r w:rsidRPr="00515AA2">
        <w:rPr>
          <w:color w:val="000000"/>
          <w:lang w:val="en-CA"/>
        </w:rPr>
        <w:t xml:space="preserve"> carefully tailored to the objective and allows its achievement.</w:t>
      </w:r>
      <w:bookmarkStart w:id="73" w:name="_Ref157509296"/>
      <w:r w:rsidR="00E47507" w:rsidRPr="00515AA2">
        <w:rPr>
          <w:rStyle w:val="Appelnotedebasdep"/>
          <w:color w:val="000000"/>
          <w:lang w:val="en-CA"/>
        </w:rPr>
        <w:footnoteReference w:id="122"/>
      </w:r>
      <w:bookmarkEnd w:id="73"/>
      <w:r w:rsidRPr="00515AA2">
        <w:rPr>
          <w:color w:val="000000"/>
          <w:lang w:val="en-CA"/>
        </w:rPr>
        <w:t xml:space="preserve"> If that is the case, its choice is entitled to deference</w:t>
      </w:r>
      <w:r w:rsidR="005A14E2" w:rsidRPr="00515AA2">
        <w:rPr>
          <w:color w:val="000000"/>
          <w:lang w:val="en-CA"/>
        </w:rPr>
        <w:t>.</w:t>
      </w:r>
    </w:p>
    <w:p w14:paraId="3E42F377" w14:textId="367E9C94" w:rsidR="00A15C8B" w:rsidRPr="00515AA2" w:rsidRDefault="00986E2B" w:rsidP="00F846E3">
      <w:pPr>
        <w:pStyle w:val="Paragraphe"/>
        <w:spacing w:line="280" w:lineRule="exact"/>
        <w:rPr>
          <w:color w:val="000000"/>
          <w:lang w:val="en-CA"/>
        </w:rPr>
      </w:pPr>
      <w:r w:rsidRPr="00515AA2">
        <w:rPr>
          <w:color w:val="000000"/>
          <w:lang w:val="en-CA"/>
        </w:rPr>
        <w:t>Here, the judge found that the second paragraph of s</w:t>
      </w:r>
      <w:r w:rsidR="00AC06EE" w:rsidRPr="00515AA2">
        <w:rPr>
          <w:color w:val="000000"/>
          <w:lang w:val="en-CA"/>
        </w:rPr>
        <w:t>ection</w:t>
      </w:r>
      <w:r w:rsidR="00A15C8B" w:rsidRPr="00515AA2">
        <w:rPr>
          <w:color w:val="000000"/>
          <w:lang w:val="en-CA"/>
        </w:rPr>
        <w:t xml:space="preserve"> 23.2 </w:t>
      </w:r>
      <w:r w:rsidR="00C04B2F" w:rsidRPr="00515AA2">
        <w:rPr>
          <w:color w:val="000000"/>
          <w:lang w:val="en-CA"/>
        </w:rPr>
        <w:t xml:space="preserve">is </w:t>
      </w:r>
      <w:r w:rsidRPr="00515AA2">
        <w:rPr>
          <w:color w:val="000000"/>
          <w:lang w:val="en-CA"/>
        </w:rPr>
        <w:t xml:space="preserve">not </w:t>
      </w:r>
      <w:r w:rsidR="00C04B2F" w:rsidRPr="00515AA2">
        <w:rPr>
          <w:color w:val="000000"/>
          <w:lang w:val="en-CA"/>
        </w:rPr>
        <w:t xml:space="preserve">a </w:t>
      </w:r>
      <w:r w:rsidRPr="00515AA2">
        <w:rPr>
          <w:color w:val="000000"/>
          <w:lang w:val="en-CA"/>
        </w:rPr>
        <w:t>minimal impair</w:t>
      </w:r>
      <w:r w:rsidR="00C04B2F" w:rsidRPr="00515AA2">
        <w:rPr>
          <w:color w:val="000000"/>
          <w:lang w:val="en-CA"/>
        </w:rPr>
        <w:t>ment of</w:t>
      </w:r>
      <w:r w:rsidRPr="00515AA2">
        <w:rPr>
          <w:color w:val="000000"/>
          <w:lang w:val="en-CA"/>
        </w:rPr>
        <w:t xml:space="preserve"> the rights of transgender or non-binary minors and he listed, </w:t>
      </w:r>
      <w:r w:rsidR="00C26285" w:rsidRPr="00515AA2">
        <w:rPr>
          <w:color w:val="000000"/>
          <w:lang w:val="en-CA"/>
        </w:rPr>
        <w:t xml:space="preserve">based on the </w:t>
      </w:r>
      <w:r w:rsidRPr="00515AA2">
        <w:rPr>
          <w:color w:val="000000"/>
          <w:lang w:val="en-CA"/>
        </w:rPr>
        <w:t xml:space="preserve">evidence, </w:t>
      </w:r>
      <w:r w:rsidR="00C04B2F" w:rsidRPr="00515AA2">
        <w:rPr>
          <w:color w:val="000000"/>
          <w:lang w:val="en-CA"/>
        </w:rPr>
        <w:t xml:space="preserve">the </w:t>
      </w:r>
      <w:r w:rsidR="00E81DB2" w:rsidRPr="00515AA2">
        <w:rPr>
          <w:color w:val="000000"/>
          <w:lang w:val="en-CA"/>
        </w:rPr>
        <w:t>practical and administrative</w:t>
      </w:r>
      <w:r w:rsidR="00C04B2F" w:rsidRPr="00515AA2">
        <w:rPr>
          <w:color w:val="000000"/>
          <w:lang w:val="en-CA"/>
        </w:rPr>
        <w:t xml:space="preserve"> hurdles </w:t>
      </w:r>
      <w:r w:rsidRPr="00515AA2">
        <w:rPr>
          <w:color w:val="000000"/>
          <w:lang w:val="en-CA"/>
        </w:rPr>
        <w:t>facing a minor attempting to obtain a letter from a health professional</w:t>
      </w:r>
      <w:r w:rsidR="00A15C8B" w:rsidRPr="00515AA2">
        <w:rPr>
          <w:color w:val="000000"/>
          <w:lang w:val="en-CA"/>
        </w:rPr>
        <w:t>:</w:t>
      </w:r>
      <w:r w:rsidR="00D8210B" w:rsidRPr="00515AA2">
        <w:rPr>
          <w:color w:val="000000"/>
          <w:lang w:val="en-CA"/>
        </w:rPr>
        <w:t xml:space="preserve"> </w:t>
      </w:r>
      <w:r w:rsidR="00C04B2F" w:rsidRPr="00515AA2">
        <w:rPr>
          <w:color w:val="000000"/>
          <w:lang w:val="en-CA"/>
        </w:rPr>
        <w:t>finding in the health and social services system a professional able to help them</w:t>
      </w:r>
      <w:r w:rsidR="00D8210B" w:rsidRPr="00515AA2">
        <w:rPr>
          <w:color w:val="000000"/>
          <w:lang w:val="en-CA"/>
        </w:rPr>
        <w:t xml:space="preserve">, </w:t>
      </w:r>
      <w:r w:rsidR="00C04B2F" w:rsidRPr="00515AA2">
        <w:rPr>
          <w:color w:val="000000"/>
          <w:lang w:val="en-CA"/>
        </w:rPr>
        <w:t>getting out of school or work to go and meet them</w:t>
      </w:r>
      <w:r w:rsidR="00D8210B" w:rsidRPr="00515AA2">
        <w:rPr>
          <w:color w:val="000000"/>
          <w:lang w:val="en-CA"/>
        </w:rPr>
        <w:t xml:space="preserve">, </w:t>
      </w:r>
      <w:r w:rsidR="00C04B2F" w:rsidRPr="00515AA2">
        <w:rPr>
          <w:color w:val="000000"/>
          <w:lang w:val="en-CA"/>
        </w:rPr>
        <w:t xml:space="preserve">travelling to the appointment and paying for the service when </w:t>
      </w:r>
      <w:r w:rsidR="00E81DB2" w:rsidRPr="00515AA2">
        <w:rPr>
          <w:color w:val="000000"/>
          <w:lang w:val="en-CA"/>
        </w:rPr>
        <w:t>it is</w:t>
      </w:r>
      <w:r w:rsidR="00C04B2F" w:rsidRPr="00515AA2">
        <w:rPr>
          <w:color w:val="000000"/>
          <w:lang w:val="en-CA"/>
        </w:rPr>
        <w:t xml:space="preserve"> not funded by the state</w:t>
      </w:r>
      <w:r w:rsidR="00792A66" w:rsidRPr="00515AA2">
        <w:rPr>
          <w:color w:val="000000"/>
          <w:lang w:val="en-CA"/>
        </w:rPr>
        <w:t>.</w:t>
      </w:r>
    </w:p>
    <w:p w14:paraId="0827D4EC" w14:textId="258597D9" w:rsidR="00A15C8B" w:rsidRPr="00515AA2" w:rsidRDefault="00C26285" w:rsidP="00F846E3">
      <w:pPr>
        <w:pStyle w:val="Paragraphe"/>
        <w:spacing w:line="280" w:lineRule="exact"/>
        <w:rPr>
          <w:color w:val="000000"/>
          <w:lang w:val="en-CA"/>
        </w:rPr>
      </w:pPr>
      <w:r w:rsidRPr="00515AA2">
        <w:rPr>
          <w:color w:val="000000"/>
          <w:lang w:val="en-CA"/>
        </w:rPr>
        <w:t>He added that the</w:t>
      </w:r>
      <w:r w:rsidR="00792A66" w:rsidRPr="00515AA2">
        <w:rPr>
          <w:color w:val="000000"/>
          <w:lang w:val="en-CA"/>
        </w:rPr>
        <w:t xml:space="preserve"> </w:t>
      </w:r>
      <w:r w:rsidRPr="00515AA2">
        <w:rPr>
          <w:color w:val="000000"/>
          <w:lang w:val="en-CA"/>
        </w:rPr>
        <w:t>A</w:t>
      </w:r>
      <w:r w:rsidR="00792A66" w:rsidRPr="00515AA2">
        <w:rPr>
          <w:color w:val="000000"/>
          <w:lang w:val="en-CA"/>
        </w:rPr>
        <w:t xml:space="preserve">GQ </w:t>
      </w:r>
      <w:r w:rsidRPr="00515AA2">
        <w:rPr>
          <w:color w:val="000000"/>
          <w:lang w:val="en-CA"/>
        </w:rPr>
        <w:t xml:space="preserve">had not explained why the requirements </w:t>
      </w:r>
      <w:r w:rsidR="00DC6305" w:rsidRPr="00515AA2">
        <w:rPr>
          <w:color w:val="000000"/>
          <w:lang w:val="en-CA"/>
        </w:rPr>
        <w:t>impos</w:t>
      </w:r>
      <w:r w:rsidRPr="00515AA2">
        <w:rPr>
          <w:color w:val="000000"/>
          <w:lang w:val="en-CA"/>
        </w:rPr>
        <w:t>ed upon adults would not suffice and concluded that the imposition of additional hurdles upon minors was not justified</w:t>
      </w:r>
      <w:r w:rsidR="00792A66" w:rsidRPr="00515AA2">
        <w:rPr>
          <w:color w:val="000000"/>
          <w:lang w:val="en-CA"/>
        </w:rPr>
        <w:t>.</w:t>
      </w:r>
    </w:p>
    <w:p w14:paraId="1A4DDD8A" w14:textId="4E81DE9D" w:rsidR="0048467A" w:rsidRPr="00515AA2" w:rsidRDefault="00996833" w:rsidP="00F846E3">
      <w:pPr>
        <w:pStyle w:val="Paragraphe"/>
        <w:spacing w:line="280" w:lineRule="exact"/>
        <w:rPr>
          <w:color w:val="000000"/>
          <w:lang w:val="en-CA"/>
        </w:rPr>
      </w:pPr>
      <w:r w:rsidRPr="00515AA2">
        <w:rPr>
          <w:rStyle w:val="ParagrapheCar"/>
          <w:color w:val="000000"/>
          <w:lang w:val="en-CA"/>
        </w:rPr>
        <w:t xml:space="preserve">Even </w:t>
      </w:r>
      <w:r w:rsidR="00DC6305" w:rsidRPr="00515AA2">
        <w:rPr>
          <w:rStyle w:val="ParagrapheCar"/>
          <w:color w:val="000000"/>
          <w:lang w:val="en-CA"/>
        </w:rPr>
        <w:t>if we</w:t>
      </w:r>
      <w:r w:rsidRPr="00515AA2">
        <w:rPr>
          <w:rStyle w:val="ParagrapheCar"/>
          <w:color w:val="000000"/>
          <w:lang w:val="en-CA"/>
        </w:rPr>
        <w:t xml:space="preserve"> </w:t>
      </w:r>
      <w:r w:rsidR="00DC6305" w:rsidRPr="00515AA2">
        <w:rPr>
          <w:rStyle w:val="ParagrapheCar"/>
          <w:color w:val="000000"/>
          <w:lang w:val="en-CA"/>
        </w:rPr>
        <w:t xml:space="preserve">were to </w:t>
      </w:r>
      <w:r w:rsidRPr="00515AA2">
        <w:rPr>
          <w:rStyle w:val="ParagrapheCar"/>
          <w:color w:val="000000"/>
          <w:lang w:val="en-CA"/>
        </w:rPr>
        <w:t>accept</w:t>
      </w:r>
      <w:r w:rsidR="005A616B" w:rsidRPr="00515AA2">
        <w:rPr>
          <w:rStyle w:val="ParagrapheCar"/>
          <w:color w:val="000000"/>
          <w:lang w:val="en-CA"/>
        </w:rPr>
        <w:t>,</w:t>
      </w:r>
      <w:r w:rsidR="0097075E" w:rsidRPr="00515AA2">
        <w:rPr>
          <w:rStyle w:val="ParagrapheCar"/>
          <w:color w:val="000000"/>
          <w:lang w:val="en-CA"/>
        </w:rPr>
        <w:t xml:space="preserve"> </w:t>
      </w:r>
      <w:r w:rsidRPr="00515AA2">
        <w:rPr>
          <w:rStyle w:val="ParagrapheCar"/>
          <w:color w:val="000000"/>
          <w:lang w:val="en-CA"/>
        </w:rPr>
        <w:t>for the purposes of</w:t>
      </w:r>
      <w:r w:rsidR="00DC6305" w:rsidRPr="00515AA2">
        <w:rPr>
          <w:rStyle w:val="ParagrapheCar"/>
          <w:color w:val="000000"/>
          <w:lang w:val="en-CA"/>
        </w:rPr>
        <w:t xml:space="preserve"> the</w:t>
      </w:r>
      <w:r w:rsidRPr="00515AA2">
        <w:rPr>
          <w:rStyle w:val="ParagrapheCar"/>
          <w:color w:val="000000"/>
          <w:lang w:val="en-CA"/>
        </w:rPr>
        <w:t xml:space="preserve"> analysis</w:t>
      </w:r>
      <w:r w:rsidR="007E645E" w:rsidRPr="00515AA2">
        <w:rPr>
          <w:rStyle w:val="ParagrapheCar"/>
          <w:color w:val="000000"/>
          <w:lang w:val="en-CA"/>
        </w:rPr>
        <w:t>,</w:t>
      </w:r>
      <w:r w:rsidR="0097075E" w:rsidRPr="00515AA2">
        <w:rPr>
          <w:rStyle w:val="Appelnotedebasdep"/>
          <w:color w:val="000000"/>
          <w:lang w:val="en-CA"/>
        </w:rPr>
        <w:footnoteReference w:id="123"/>
      </w:r>
      <w:r w:rsidR="005A616B" w:rsidRPr="00515AA2">
        <w:rPr>
          <w:rStyle w:val="ParagrapheCar"/>
          <w:color w:val="000000"/>
          <w:lang w:val="en-CA"/>
        </w:rPr>
        <w:t xml:space="preserve"> </w:t>
      </w:r>
      <w:r w:rsidRPr="00515AA2">
        <w:rPr>
          <w:rStyle w:val="ParagrapheCar"/>
          <w:color w:val="000000"/>
          <w:lang w:val="en-CA"/>
        </w:rPr>
        <w:t>that by requiring that a professional confirm</w:t>
      </w:r>
      <w:r w:rsidR="007E645E" w:rsidRPr="00515AA2">
        <w:rPr>
          <w:rStyle w:val="ParagrapheCar"/>
          <w:color w:val="000000"/>
          <w:lang w:val="en-CA"/>
        </w:rPr>
        <w:t>s</w:t>
      </w:r>
      <w:r w:rsidRPr="00515AA2">
        <w:rPr>
          <w:rStyle w:val="ParagrapheCar"/>
          <w:color w:val="000000"/>
          <w:lang w:val="en-CA"/>
        </w:rPr>
        <w:t xml:space="preserve"> that the change is appropriate, the second paragraph of s</w:t>
      </w:r>
      <w:r w:rsidR="00AC06EE" w:rsidRPr="00515AA2">
        <w:rPr>
          <w:rStyle w:val="ParagrapheCar"/>
          <w:color w:val="000000"/>
          <w:lang w:val="en-CA"/>
        </w:rPr>
        <w:t>ection</w:t>
      </w:r>
      <w:r w:rsidRPr="00515AA2">
        <w:rPr>
          <w:rStyle w:val="ParagrapheCar"/>
          <w:color w:val="000000"/>
          <w:lang w:val="en-CA"/>
        </w:rPr>
        <w:t xml:space="preserve"> 23.2 of the </w:t>
      </w:r>
      <w:r w:rsidRPr="00515AA2">
        <w:rPr>
          <w:rStyle w:val="ParagrapheCar"/>
          <w:i/>
          <w:iCs/>
          <w:color w:val="000000"/>
          <w:lang w:val="en-CA"/>
        </w:rPr>
        <w:t>Regulation</w:t>
      </w:r>
      <w:r w:rsidRPr="00515AA2">
        <w:rPr>
          <w:rStyle w:val="ParagrapheCar"/>
          <w:color w:val="000000"/>
          <w:lang w:val="en-CA"/>
        </w:rPr>
        <w:t xml:space="preserve"> imposes an additional burden on minors, </w:t>
      </w:r>
      <w:r w:rsidR="00270273" w:rsidRPr="00515AA2">
        <w:rPr>
          <w:rStyle w:val="ParagrapheCar"/>
          <w:color w:val="000000"/>
          <w:lang w:val="en-CA"/>
        </w:rPr>
        <w:t>it should be considered</w:t>
      </w:r>
      <w:r w:rsidRPr="00515AA2">
        <w:rPr>
          <w:rStyle w:val="ParagrapheCar"/>
          <w:color w:val="000000"/>
          <w:lang w:val="en-CA"/>
        </w:rPr>
        <w:t xml:space="preserve"> whether that burden is unreasonable to the point of invalidating the provision</w:t>
      </w:r>
      <w:r w:rsidR="00AD36F9" w:rsidRPr="00515AA2">
        <w:rPr>
          <w:color w:val="000000"/>
          <w:lang w:val="en-CA"/>
        </w:rPr>
        <w:t>.</w:t>
      </w:r>
    </w:p>
    <w:p w14:paraId="22758F4E" w14:textId="6745FF61" w:rsidR="008737C7" w:rsidRPr="00515AA2" w:rsidRDefault="00DC6305" w:rsidP="00F846E3">
      <w:pPr>
        <w:pStyle w:val="Paragraphe"/>
        <w:spacing w:line="280" w:lineRule="exact"/>
        <w:rPr>
          <w:color w:val="000000"/>
          <w:lang w:val="en-CA"/>
        </w:rPr>
      </w:pPr>
      <w:r w:rsidRPr="00515AA2">
        <w:rPr>
          <w:rStyle w:val="ParagrapheCar"/>
          <w:color w:val="000000"/>
          <w:lang w:val="en-CA"/>
        </w:rPr>
        <w:t>W</w:t>
      </w:r>
      <w:r w:rsidR="00270273" w:rsidRPr="00515AA2">
        <w:rPr>
          <w:rStyle w:val="ParagrapheCar"/>
          <w:color w:val="000000"/>
          <w:lang w:val="en-CA"/>
        </w:rPr>
        <w:t xml:space="preserve">ith respect to the trial judge, we find that </w:t>
      </w:r>
      <w:r w:rsidR="007E645E" w:rsidRPr="00515AA2">
        <w:rPr>
          <w:rStyle w:val="ParagrapheCar"/>
          <w:color w:val="000000"/>
          <w:lang w:val="en-CA"/>
        </w:rPr>
        <w:t xml:space="preserve">this </w:t>
      </w:r>
      <w:r w:rsidR="00270273" w:rsidRPr="00515AA2">
        <w:rPr>
          <w:rStyle w:val="ParagrapheCar"/>
          <w:color w:val="000000"/>
          <w:lang w:val="en-CA"/>
        </w:rPr>
        <w:t>is not the case</w:t>
      </w:r>
      <w:r w:rsidR="005A14E2" w:rsidRPr="00515AA2">
        <w:rPr>
          <w:rStyle w:val="ParagrapheCar"/>
          <w:color w:val="000000"/>
          <w:lang w:val="en-CA"/>
        </w:rPr>
        <w:t>.</w:t>
      </w:r>
    </w:p>
    <w:p w14:paraId="63C1E4CD" w14:textId="4FF7D8EE" w:rsidR="008737C7" w:rsidRPr="00515AA2" w:rsidRDefault="001E2446" w:rsidP="00F846E3">
      <w:pPr>
        <w:pStyle w:val="Paragraphe"/>
        <w:spacing w:line="280" w:lineRule="exact"/>
        <w:rPr>
          <w:color w:val="000000"/>
          <w:lang w:val="en-CA"/>
        </w:rPr>
      </w:pPr>
      <w:r w:rsidRPr="00515AA2">
        <w:rPr>
          <w:color w:val="000000"/>
          <w:lang w:val="en-CA"/>
        </w:rPr>
        <w:t>Of course, the minor will have to consult a professional, possibly missing school to do so</w:t>
      </w:r>
      <w:r w:rsidR="00DC6305" w:rsidRPr="00515AA2">
        <w:rPr>
          <w:color w:val="000000"/>
          <w:lang w:val="en-CA"/>
        </w:rPr>
        <w:t>,</w:t>
      </w:r>
      <w:r w:rsidRPr="00515AA2">
        <w:rPr>
          <w:color w:val="000000"/>
          <w:lang w:val="en-CA"/>
        </w:rPr>
        <w:t xml:space="preserve"> and </w:t>
      </w:r>
      <w:r w:rsidR="00DC6305" w:rsidRPr="00515AA2">
        <w:rPr>
          <w:color w:val="000000"/>
          <w:lang w:val="en-CA"/>
        </w:rPr>
        <w:t>possibly having</w:t>
      </w:r>
      <w:r w:rsidRPr="00515AA2">
        <w:rPr>
          <w:color w:val="000000"/>
          <w:lang w:val="en-CA"/>
        </w:rPr>
        <w:t xml:space="preserve"> to incur costs, although </w:t>
      </w:r>
      <w:r w:rsidR="00FB5CEE" w:rsidRPr="00515AA2">
        <w:rPr>
          <w:color w:val="000000"/>
          <w:lang w:val="en-CA"/>
        </w:rPr>
        <w:t>not necessarily</w:t>
      </w:r>
      <w:r w:rsidR="008F44F9" w:rsidRPr="00515AA2">
        <w:rPr>
          <w:color w:val="000000"/>
          <w:lang w:val="en-CA"/>
        </w:rPr>
        <w:t>.</w:t>
      </w:r>
      <w:r w:rsidR="00711D9D" w:rsidRPr="00515AA2">
        <w:rPr>
          <w:color w:val="000000"/>
          <w:lang w:val="en-CA"/>
        </w:rPr>
        <w:t xml:space="preserve"> </w:t>
      </w:r>
      <w:r w:rsidRPr="00515AA2">
        <w:rPr>
          <w:color w:val="000000"/>
          <w:lang w:val="en-CA"/>
        </w:rPr>
        <w:t xml:space="preserve">It </w:t>
      </w:r>
      <w:r w:rsidR="00FB5CEE" w:rsidRPr="00515AA2">
        <w:rPr>
          <w:color w:val="000000"/>
          <w:lang w:val="en-CA"/>
        </w:rPr>
        <w:t>may</w:t>
      </w:r>
      <w:r w:rsidRPr="00515AA2">
        <w:rPr>
          <w:color w:val="000000"/>
          <w:lang w:val="en-CA"/>
        </w:rPr>
        <w:t xml:space="preserve"> also </w:t>
      </w:r>
      <w:r w:rsidR="00FB5CEE" w:rsidRPr="00515AA2">
        <w:rPr>
          <w:color w:val="000000"/>
          <w:lang w:val="en-CA"/>
        </w:rPr>
        <w:t>be</w:t>
      </w:r>
      <w:r w:rsidRPr="00515AA2">
        <w:rPr>
          <w:color w:val="000000"/>
          <w:lang w:val="en-CA"/>
        </w:rPr>
        <w:t xml:space="preserve"> more difficult, outside of urban areas, to find a professional with sufficient knowledge of transgender or non-binary reality </w:t>
      </w:r>
      <w:r w:rsidR="00DC6305" w:rsidRPr="00515AA2">
        <w:rPr>
          <w:color w:val="000000"/>
          <w:lang w:val="en-CA"/>
        </w:rPr>
        <w:t>to</w:t>
      </w:r>
      <w:r w:rsidRPr="00515AA2">
        <w:rPr>
          <w:color w:val="000000"/>
          <w:lang w:val="en-CA"/>
        </w:rPr>
        <w:t xml:space="preserve"> agree to provide such a lette</w:t>
      </w:r>
      <w:r w:rsidR="00FB5CEE" w:rsidRPr="00515AA2">
        <w:rPr>
          <w:color w:val="000000"/>
          <w:lang w:val="en-CA"/>
        </w:rPr>
        <w:t>r</w:t>
      </w:r>
      <w:r w:rsidR="000C2A4D" w:rsidRPr="00515AA2">
        <w:rPr>
          <w:color w:val="000000"/>
          <w:lang w:val="en-CA"/>
        </w:rPr>
        <w:t xml:space="preserve">. </w:t>
      </w:r>
      <w:r w:rsidRPr="00515AA2">
        <w:rPr>
          <w:color w:val="000000"/>
          <w:lang w:val="en-CA"/>
        </w:rPr>
        <w:t>However, by including social workers in the list of designated professionals, the legislator alleviates several of these difficulties</w:t>
      </w:r>
      <w:r w:rsidR="00644B08" w:rsidRPr="00515AA2">
        <w:rPr>
          <w:color w:val="000000"/>
          <w:lang w:val="en-CA"/>
        </w:rPr>
        <w:t xml:space="preserve">. </w:t>
      </w:r>
      <w:r w:rsidR="00FB5CEE" w:rsidRPr="00515AA2">
        <w:rPr>
          <w:color w:val="000000"/>
          <w:lang w:val="en-CA"/>
        </w:rPr>
        <w:t>That list also includes p</w:t>
      </w:r>
      <w:r w:rsidRPr="00515AA2">
        <w:rPr>
          <w:color w:val="000000"/>
          <w:lang w:val="en-CA"/>
        </w:rPr>
        <w:t>hysicians, psychiatrists, sexologists and psychologists</w:t>
      </w:r>
      <w:r w:rsidR="008737C7" w:rsidRPr="00515AA2">
        <w:rPr>
          <w:color w:val="000000"/>
          <w:lang w:val="en-CA"/>
        </w:rPr>
        <w:t>.</w:t>
      </w:r>
    </w:p>
    <w:p w14:paraId="598D1D14" w14:textId="43D3E920" w:rsidR="00792A66" w:rsidRPr="00515AA2" w:rsidRDefault="00FB5CEE" w:rsidP="00F846E3">
      <w:pPr>
        <w:pStyle w:val="Paragraphe"/>
        <w:spacing w:line="280" w:lineRule="exact"/>
        <w:rPr>
          <w:color w:val="000000"/>
          <w:lang w:val="en-CA"/>
        </w:rPr>
      </w:pPr>
      <w:r w:rsidRPr="00515AA2">
        <w:rPr>
          <w:color w:val="000000"/>
          <w:lang w:val="en-CA"/>
        </w:rPr>
        <w:t xml:space="preserve">The respondents and interveners note that </w:t>
      </w:r>
      <w:r w:rsidR="00B3437F" w:rsidRPr="00515AA2">
        <w:rPr>
          <w:color w:val="000000"/>
          <w:lang w:val="en-CA"/>
        </w:rPr>
        <w:t xml:space="preserve">in 2015, </w:t>
      </w:r>
      <w:r w:rsidRPr="00515AA2">
        <w:rPr>
          <w:color w:val="000000"/>
          <w:lang w:val="en-CA"/>
        </w:rPr>
        <w:t>the obligation to provide a letter from a professional ha</w:t>
      </w:r>
      <w:r w:rsidR="00B3437F" w:rsidRPr="00515AA2">
        <w:rPr>
          <w:color w:val="000000"/>
          <w:lang w:val="en-CA"/>
        </w:rPr>
        <w:t>d</w:t>
      </w:r>
      <w:r w:rsidRPr="00515AA2">
        <w:rPr>
          <w:color w:val="000000"/>
          <w:lang w:val="en-CA"/>
        </w:rPr>
        <w:t xml:space="preserve"> been </w:t>
      </w:r>
      <w:r w:rsidR="00AE66C9" w:rsidRPr="00515AA2">
        <w:rPr>
          <w:color w:val="000000"/>
          <w:lang w:val="en-CA"/>
        </w:rPr>
        <w:t>contemplated</w:t>
      </w:r>
      <w:r w:rsidRPr="00515AA2">
        <w:rPr>
          <w:color w:val="000000"/>
          <w:lang w:val="en-CA"/>
        </w:rPr>
        <w:t xml:space="preserve"> for </w:t>
      </w:r>
      <w:r w:rsidR="00B3437F" w:rsidRPr="00515AA2">
        <w:rPr>
          <w:color w:val="000000"/>
          <w:lang w:val="en-CA"/>
        </w:rPr>
        <w:t>persons of full age, before being rejected and</w:t>
      </w:r>
      <w:r w:rsidR="00AE66C9" w:rsidRPr="00515AA2">
        <w:rPr>
          <w:color w:val="000000"/>
          <w:lang w:val="en-CA"/>
        </w:rPr>
        <w:t xml:space="preserve"> that</w:t>
      </w:r>
      <w:r w:rsidR="00B3437F" w:rsidRPr="00515AA2">
        <w:rPr>
          <w:color w:val="000000"/>
          <w:lang w:val="en-CA"/>
        </w:rPr>
        <w:t xml:space="preserve"> now, applicants are </w:t>
      </w:r>
      <w:r w:rsidR="00AE66C9" w:rsidRPr="00515AA2">
        <w:rPr>
          <w:color w:val="000000"/>
          <w:lang w:val="en-CA"/>
        </w:rPr>
        <w:t>simply</w:t>
      </w:r>
      <w:r w:rsidR="00B3437F" w:rsidRPr="00515AA2">
        <w:rPr>
          <w:color w:val="000000"/>
          <w:lang w:val="en-CA"/>
        </w:rPr>
        <w:t xml:space="preserve"> required to supply an affidavit from a third </w:t>
      </w:r>
      <w:r w:rsidR="00B3437F" w:rsidRPr="00515AA2">
        <w:rPr>
          <w:color w:val="000000"/>
          <w:lang w:val="en-CA"/>
        </w:rPr>
        <w:lastRenderedPageBreak/>
        <w:t>party who knows them</w:t>
      </w:r>
      <w:r w:rsidR="00790EFC" w:rsidRPr="00515AA2">
        <w:rPr>
          <w:color w:val="000000"/>
          <w:lang w:val="en-CA"/>
        </w:rPr>
        <w:t>.</w:t>
      </w:r>
      <w:r w:rsidR="0081463F" w:rsidRPr="00515AA2">
        <w:rPr>
          <w:color w:val="000000"/>
          <w:lang w:val="en-CA"/>
        </w:rPr>
        <w:t xml:space="preserve"> </w:t>
      </w:r>
      <w:r w:rsidR="00B3437F" w:rsidRPr="00515AA2">
        <w:rPr>
          <w:color w:val="000000"/>
          <w:lang w:val="en-CA"/>
        </w:rPr>
        <w:t xml:space="preserve">Yet, the fact that the requirement to provide such a letter has not been retained for people of full age does not mean that </w:t>
      </w:r>
      <w:r w:rsidR="007E645E" w:rsidRPr="00515AA2">
        <w:rPr>
          <w:color w:val="000000"/>
          <w:lang w:val="en-CA"/>
        </w:rPr>
        <w:t>it</w:t>
      </w:r>
      <w:r w:rsidR="00B3437F" w:rsidRPr="00515AA2">
        <w:rPr>
          <w:color w:val="000000"/>
          <w:lang w:val="en-CA"/>
        </w:rPr>
        <w:t xml:space="preserve"> is necessarily unreasonable as far a</w:t>
      </w:r>
      <w:r w:rsidR="00AE66C9" w:rsidRPr="00515AA2">
        <w:rPr>
          <w:color w:val="000000"/>
          <w:lang w:val="en-CA"/>
        </w:rPr>
        <w:t>s</w:t>
      </w:r>
      <w:r w:rsidR="00B3437F" w:rsidRPr="00515AA2">
        <w:rPr>
          <w:color w:val="000000"/>
          <w:lang w:val="en-CA"/>
        </w:rPr>
        <w:t xml:space="preserve"> minors are concerned</w:t>
      </w:r>
      <w:r w:rsidR="0081463F" w:rsidRPr="00515AA2">
        <w:rPr>
          <w:color w:val="000000"/>
          <w:lang w:val="en-CA"/>
        </w:rPr>
        <w:t>.</w:t>
      </w:r>
      <w:r w:rsidR="00E47507" w:rsidRPr="00515AA2">
        <w:rPr>
          <w:color w:val="000000"/>
          <w:lang w:val="en-CA"/>
        </w:rPr>
        <w:t xml:space="preserve"> </w:t>
      </w:r>
      <w:r w:rsidR="00B3437F" w:rsidRPr="00515AA2">
        <w:rPr>
          <w:color w:val="000000"/>
          <w:lang w:val="en-CA"/>
        </w:rPr>
        <w:t>Indeed, in our society, there are several situations where minors are not treated the same way as persons of full age</w:t>
      </w:r>
      <w:r w:rsidR="00E47507" w:rsidRPr="00515AA2">
        <w:rPr>
          <w:color w:val="000000"/>
          <w:lang w:val="en-CA"/>
        </w:rPr>
        <w:t>.</w:t>
      </w:r>
    </w:p>
    <w:p w14:paraId="12623F0C" w14:textId="198F32DD" w:rsidR="000C2A4D" w:rsidRPr="00515AA2" w:rsidRDefault="00F52451" w:rsidP="00F846E3">
      <w:pPr>
        <w:pStyle w:val="Paragraphe"/>
        <w:spacing w:line="280" w:lineRule="exact"/>
        <w:rPr>
          <w:color w:val="000000"/>
          <w:lang w:val="en-CA"/>
        </w:rPr>
      </w:pPr>
      <w:r w:rsidRPr="00515AA2">
        <w:rPr>
          <w:color w:val="000000"/>
          <w:lang w:val="en-CA"/>
        </w:rPr>
        <w:t>The</w:t>
      </w:r>
      <w:r w:rsidR="0048467A" w:rsidRPr="00515AA2">
        <w:rPr>
          <w:color w:val="000000"/>
          <w:lang w:val="en-CA"/>
        </w:rPr>
        <w:t xml:space="preserve"> </w:t>
      </w:r>
      <w:r w:rsidRPr="00515AA2">
        <w:rPr>
          <w:color w:val="000000"/>
          <w:lang w:val="en-CA"/>
        </w:rPr>
        <w:t>A</w:t>
      </w:r>
      <w:r w:rsidR="0048467A" w:rsidRPr="00515AA2">
        <w:rPr>
          <w:color w:val="000000"/>
          <w:lang w:val="en-CA"/>
        </w:rPr>
        <w:t>GQ</w:t>
      </w:r>
      <w:r w:rsidR="000C2A4D" w:rsidRPr="00515AA2">
        <w:rPr>
          <w:color w:val="000000"/>
          <w:lang w:val="en-CA"/>
        </w:rPr>
        <w:t xml:space="preserve">, </w:t>
      </w:r>
      <w:r w:rsidRPr="00515AA2">
        <w:rPr>
          <w:color w:val="000000"/>
          <w:lang w:val="en-CA"/>
        </w:rPr>
        <w:t>for its part</w:t>
      </w:r>
      <w:r w:rsidR="000C2A4D" w:rsidRPr="00515AA2">
        <w:rPr>
          <w:color w:val="000000"/>
          <w:lang w:val="en-CA"/>
        </w:rPr>
        <w:t xml:space="preserve">, </w:t>
      </w:r>
      <w:r w:rsidR="00BA71FA" w:rsidRPr="00515AA2">
        <w:rPr>
          <w:color w:val="000000"/>
          <w:lang w:val="en-CA"/>
        </w:rPr>
        <w:t>points out</w:t>
      </w:r>
      <w:r w:rsidRPr="00515AA2">
        <w:rPr>
          <w:color w:val="000000"/>
          <w:lang w:val="en-CA"/>
        </w:rPr>
        <w:t xml:space="preserve"> that one of the interveners as well as two</w:t>
      </w:r>
      <w:r w:rsidR="00BA71FA" w:rsidRPr="00515AA2">
        <w:rPr>
          <w:color w:val="000000"/>
          <w:lang w:val="en-CA"/>
        </w:rPr>
        <w:t xml:space="preserve"> of the respondents’</w:t>
      </w:r>
      <w:r w:rsidRPr="00515AA2">
        <w:rPr>
          <w:color w:val="000000"/>
          <w:lang w:val="en-CA"/>
        </w:rPr>
        <w:t xml:space="preserve"> witnesses supporte</w:t>
      </w:r>
      <w:r w:rsidR="00BA71FA" w:rsidRPr="00515AA2">
        <w:rPr>
          <w:color w:val="000000"/>
          <w:lang w:val="en-CA"/>
        </w:rPr>
        <w:t>d</w:t>
      </w:r>
      <w:r w:rsidRPr="00515AA2">
        <w:rPr>
          <w:color w:val="000000"/>
          <w:lang w:val="en-CA"/>
        </w:rPr>
        <w:t xml:space="preserve"> the enactment of the second paragraph of s</w:t>
      </w:r>
      <w:r w:rsidR="00AC06EE" w:rsidRPr="00515AA2">
        <w:rPr>
          <w:color w:val="000000"/>
          <w:lang w:val="en-CA"/>
        </w:rPr>
        <w:t>ection</w:t>
      </w:r>
      <w:r w:rsidRPr="00515AA2">
        <w:rPr>
          <w:color w:val="000000"/>
          <w:lang w:val="en-CA"/>
        </w:rPr>
        <w:t xml:space="preserve"> 23.2 of the</w:t>
      </w:r>
      <w:r w:rsidR="0048467A" w:rsidRPr="00515AA2">
        <w:rPr>
          <w:color w:val="000000"/>
          <w:lang w:val="en-CA"/>
        </w:rPr>
        <w:t xml:space="preserve"> </w:t>
      </w:r>
      <w:r w:rsidR="0048467A" w:rsidRPr="00515AA2">
        <w:rPr>
          <w:i/>
          <w:iCs/>
          <w:color w:val="000000"/>
          <w:lang w:val="en-CA"/>
        </w:rPr>
        <w:t>R</w:t>
      </w:r>
      <w:r w:rsidRPr="00515AA2">
        <w:rPr>
          <w:i/>
          <w:iCs/>
          <w:color w:val="000000"/>
          <w:lang w:val="en-CA"/>
        </w:rPr>
        <w:t>egulation</w:t>
      </w:r>
      <w:r w:rsidR="0048467A" w:rsidRPr="00515AA2">
        <w:rPr>
          <w:i/>
          <w:iCs/>
          <w:color w:val="000000"/>
          <w:lang w:val="en-CA"/>
        </w:rPr>
        <w:t xml:space="preserve"> </w:t>
      </w:r>
      <w:r w:rsidRPr="00515AA2">
        <w:rPr>
          <w:color w:val="000000"/>
          <w:lang w:val="en-CA"/>
        </w:rPr>
        <w:t>i</w:t>
      </w:r>
      <w:r w:rsidR="0048467A" w:rsidRPr="00515AA2">
        <w:rPr>
          <w:color w:val="000000"/>
          <w:lang w:val="en-CA"/>
        </w:rPr>
        <w:t xml:space="preserve">n 2016. </w:t>
      </w:r>
      <w:r w:rsidRPr="00515AA2">
        <w:rPr>
          <w:color w:val="000000"/>
          <w:lang w:val="en-CA"/>
        </w:rPr>
        <w:t>It should be</w:t>
      </w:r>
      <w:r w:rsidR="00124E86" w:rsidRPr="00515AA2">
        <w:rPr>
          <w:color w:val="000000"/>
          <w:lang w:val="en-CA"/>
        </w:rPr>
        <w:t xml:space="preserve"> </w:t>
      </w:r>
      <w:r w:rsidRPr="00515AA2">
        <w:rPr>
          <w:color w:val="000000"/>
          <w:lang w:val="en-CA"/>
        </w:rPr>
        <w:t>noted that</w:t>
      </w:r>
      <w:r w:rsidR="00BA71FA" w:rsidRPr="00515AA2">
        <w:rPr>
          <w:color w:val="000000"/>
          <w:lang w:val="en-CA"/>
        </w:rPr>
        <w:t>,</w:t>
      </w:r>
      <w:r w:rsidRPr="00515AA2">
        <w:rPr>
          <w:color w:val="000000"/>
          <w:lang w:val="en-CA"/>
        </w:rPr>
        <w:t xml:space="preserve"> at the time</w:t>
      </w:r>
      <w:r w:rsidR="00124E86" w:rsidRPr="00515AA2">
        <w:rPr>
          <w:color w:val="000000"/>
          <w:lang w:val="en-CA"/>
        </w:rPr>
        <w:t xml:space="preserve">, </w:t>
      </w:r>
      <w:r w:rsidRPr="00515AA2">
        <w:rPr>
          <w:color w:val="000000"/>
          <w:lang w:val="en-CA"/>
        </w:rPr>
        <w:t>extend</w:t>
      </w:r>
      <w:r w:rsidR="00BA71FA" w:rsidRPr="00515AA2">
        <w:rPr>
          <w:color w:val="000000"/>
          <w:lang w:val="en-CA"/>
        </w:rPr>
        <w:t>ing</w:t>
      </w:r>
      <w:r w:rsidRPr="00515AA2">
        <w:rPr>
          <w:color w:val="000000"/>
          <w:lang w:val="en-CA"/>
        </w:rPr>
        <w:t xml:space="preserve"> to minors the right to request that the designation of sex appearing in civil status documents be changed</w:t>
      </w:r>
      <w:r w:rsidR="00BA71FA" w:rsidRPr="00515AA2">
        <w:rPr>
          <w:color w:val="000000"/>
          <w:lang w:val="en-CA"/>
        </w:rPr>
        <w:t xml:space="preserve"> </w:t>
      </w:r>
      <w:r w:rsidR="00E81DB2" w:rsidRPr="00515AA2">
        <w:rPr>
          <w:color w:val="000000"/>
          <w:lang w:val="en-CA"/>
        </w:rPr>
        <w:t>was being</w:t>
      </w:r>
      <w:r w:rsidR="00BA71FA" w:rsidRPr="00515AA2">
        <w:rPr>
          <w:color w:val="000000"/>
          <w:lang w:val="en-CA"/>
        </w:rPr>
        <w:t xml:space="preserve"> contemplated</w:t>
      </w:r>
      <w:r w:rsidRPr="00515AA2">
        <w:rPr>
          <w:color w:val="000000"/>
          <w:lang w:val="en-CA"/>
        </w:rPr>
        <w:t xml:space="preserve"> and that, in that context</w:t>
      </w:r>
      <w:r w:rsidR="00FC0834" w:rsidRPr="00515AA2">
        <w:rPr>
          <w:color w:val="000000"/>
          <w:lang w:val="en-CA"/>
        </w:rPr>
        <w:t>,</w:t>
      </w:r>
      <w:r w:rsidR="0081463F" w:rsidRPr="00515AA2">
        <w:rPr>
          <w:color w:val="000000"/>
          <w:lang w:val="en-CA"/>
        </w:rPr>
        <w:t xml:space="preserve"> </w:t>
      </w:r>
      <w:r w:rsidR="00BA71FA" w:rsidRPr="00515AA2">
        <w:rPr>
          <w:color w:val="000000"/>
          <w:lang w:val="en-CA"/>
        </w:rPr>
        <w:t>a</w:t>
      </w:r>
      <w:r w:rsidRPr="00515AA2">
        <w:rPr>
          <w:color w:val="000000"/>
          <w:lang w:val="en-CA"/>
        </w:rPr>
        <w:t xml:space="preserve"> letter from a health professional </w:t>
      </w:r>
      <w:r w:rsidR="00BA71FA" w:rsidRPr="00515AA2">
        <w:rPr>
          <w:color w:val="000000"/>
          <w:lang w:val="en-CA"/>
        </w:rPr>
        <w:t>appeared to</w:t>
      </w:r>
      <w:r w:rsidRPr="00515AA2">
        <w:rPr>
          <w:color w:val="000000"/>
          <w:lang w:val="en-CA"/>
        </w:rPr>
        <w:t xml:space="preserve"> be an acceptable political compromise to achieve that</w:t>
      </w:r>
      <w:r w:rsidR="0048467A" w:rsidRPr="00515AA2">
        <w:rPr>
          <w:color w:val="000000"/>
          <w:lang w:val="en-CA"/>
        </w:rPr>
        <w:t>. Françoise Susset</w:t>
      </w:r>
      <w:r w:rsidR="000C2A4D" w:rsidRPr="00515AA2">
        <w:rPr>
          <w:color w:val="000000"/>
          <w:lang w:val="en-CA"/>
        </w:rPr>
        <w:t xml:space="preserve">, </w:t>
      </w:r>
      <w:r w:rsidRPr="00515AA2">
        <w:rPr>
          <w:color w:val="000000"/>
          <w:lang w:val="en-CA"/>
        </w:rPr>
        <w:t xml:space="preserve">an expert witness </w:t>
      </w:r>
      <w:r w:rsidR="00BA71FA" w:rsidRPr="00515AA2">
        <w:rPr>
          <w:color w:val="000000"/>
          <w:lang w:val="en-CA"/>
        </w:rPr>
        <w:t>called by</w:t>
      </w:r>
      <w:r w:rsidRPr="00515AA2">
        <w:rPr>
          <w:color w:val="000000"/>
          <w:lang w:val="en-CA"/>
        </w:rPr>
        <w:t xml:space="preserve"> the respondents</w:t>
      </w:r>
      <w:r w:rsidR="000C2A4D" w:rsidRPr="00515AA2">
        <w:rPr>
          <w:color w:val="000000"/>
          <w:lang w:val="en-CA"/>
        </w:rPr>
        <w:t>,</w:t>
      </w:r>
      <w:r w:rsidR="0048467A" w:rsidRPr="00515AA2">
        <w:rPr>
          <w:color w:val="000000"/>
          <w:lang w:val="en-CA"/>
        </w:rPr>
        <w:t xml:space="preserve"> </w:t>
      </w:r>
      <w:r w:rsidRPr="00515AA2">
        <w:rPr>
          <w:color w:val="000000"/>
          <w:lang w:val="en-CA"/>
        </w:rPr>
        <w:t xml:space="preserve">said then that the requirement </w:t>
      </w:r>
      <w:r w:rsidR="00BA71FA" w:rsidRPr="00515AA2">
        <w:rPr>
          <w:color w:val="000000"/>
          <w:lang w:val="en-CA"/>
        </w:rPr>
        <w:t>of</w:t>
      </w:r>
      <w:r w:rsidRPr="00515AA2">
        <w:rPr>
          <w:color w:val="000000"/>
          <w:lang w:val="en-CA"/>
        </w:rPr>
        <w:t xml:space="preserve"> hav</w:t>
      </w:r>
      <w:r w:rsidR="00BA71FA" w:rsidRPr="00515AA2">
        <w:rPr>
          <w:color w:val="000000"/>
          <w:lang w:val="en-CA"/>
        </w:rPr>
        <w:t>ing</w:t>
      </w:r>
      <w:r w:rsidRPr="00515AA2">
        <w:rPr>
          <w:color w:val="000000"/>
          <w:lang w:val="en-CA"/>
        </w:rPr>
        <w:t xml:space="preserve"> to provide </w:t>
      </w:r>
      <w:r w:rsidR="00BA71FA" w:rsidRPr="00515AA2">
        <w:rPr>
          <w:color w:val="000000"/>
          <w:lang w:val="en-CA"/>
        </w:rPr>
        <w:t>a</w:t>
      </w:r>
      <w:r w:rsidRPr="00515AA2">
        <w:rPr>
          <w:color w:val="000000"/>
          <w:lang w:val="en-CA"/>
        </w:rPr>
        <w:t xml:space="preserve"> letter </w:t>
      </w:r>
      <w:r w:rsidR="00BA71FA" w:rsidRPr="00515AA2">
        <w:rPr>
          <w:color w:val="000000"/>
          <w:lang w:val="en-CA"/>
        </w:rPr>
        <w:t>from</w:t>
      </w:r>
      <w:r w:rsidRPr="00515AA2">
        <w:rPr>
          <w:color w:val="000000"/>
          <w:lang w:val="en-CA"/>
        </w:rPr>
        <w:t xml:space="preserve"> a professional [</w:t>
      </w:r>
      <w:r w:rsidRPr="00515AA2">
        <w:rPr>
          <w:smallCaps/>
          <w:color w:val="000000"/>
          <w:lang w:val="en-CA"/>
        </w:rPr>
        <w:t>translation</w:t>
      </w:r>
      <w:r w:rsidRPr="00515AA2">
        <w:rPr>
          <w:color w:val="000000"/>
          <w:lang w:val="en-CA"/>
        </w:rPr>
        <w:t xml:space="preserve">] “could be an intermediate step before society </w:t>
      </w:r>
      <w:r w:rsidR="00A15BB4" w:rsidRPr="00515AA2">
        <w:rPr>
          <w:color w:val="000000"/>
          <w:lang w:val="en-CA"/>
        </w:rPr>
        <w:t>catches</w:t>
      </w:r>
      <w:r w:rsidRPr="00515AA2">
        <w:rPr>
          <w:color w:val="000000"/>
          <w:lang w:val="en-CA"/>
        </w:rPr>
        <w:t xml:space="preserve"> u</w:t>
      </w:r>
      <w:r w:rsidR="00BA71FA" w:rsidRPr="00515AA2">
        <w:rPr>
          <w:color w:val="000000"/>
          <w:lang w:val="en-CA"/>
        </w:rPr>
        <w:t xml:space="preserve">p </w:t>
      </w:r>
      <w:r w:rsidR="00A15BB4" w:rsidRPr="00515AA2">
        <w:rPr>
          <w:color w:val="000000"/>
          <w:lang w:val="en-CA"/>
        </w:rPr>
        <w:t xml:space="preserve">with </w:t>
      </w:r>
      <w:r w:rsidR="00E81DB2" w:rsidRPr="00515AA2">
        <w:rPr>
          <w:color w:val="000000"/>
          <w:lang w:val="en-CA"/>
        </w:rPr>
        <w:t xml:space="preserve">the reality of </w:t>
      </w:r>
      <w:r w:rsidR="00BA71FA" w:rsidRPr="00515AA2">
        <w:rPr>
          <w:color w:val="000000"/>
          <w:lang w:val="en-CA"/>
        </w:rPr>
        <w:t>those youths</w:t>
      </w:r>
      <w:r w:rsidRPr="00515AA2">
        <w:rPr>
          <w:color w:val="000000"/>
          <w:lang w:val="en-CA"/>
        </w:rPr>
        <w:t xml:space="preserve">, which </w:t>
      </w:r>
      <w:r w:rsidR="00BA71FA" w:rsidRPr="00515AA2">
        <w:rPr>
          <w:color w:val="000000"/>
          <w:lang w:val="en-CA"/>
        </w:rPr>
        <w:t>shows</w:t>
      </w:r>
      <w:r w:rsidRPr="00515AA2">
        <w:rPr>
          <w:color w:val="000000"/>
          <w:lang w:val="en-CA"/>
        </w:rPr>
        <w:t xml:space="preserve"> us, in fact, a reality that has always existed.”</w:t>
      </w:r>
      <w:r w:rsidR="0088484C" w:rsidRPr="00515AA2">
        <w:rPr>
          <w:rStyle w:val="Appelnotedebasdep"/>
          <w:color w:val="000000"/>
        </w:rPr>
        <w:footnoteReference w:id="124"/>
      </w:r>
    </w:p>
    <w:p w14:paraId="33127B70" w14:textId="111F333B" w:rsidR="008D4973" w:rsidRPr="00515AA2" w:rsidRDefault="00973D74" w:rsidP="00F846E3">
      <w:pPr>
        <w:pStyle w:val="Paragraphe"/>
        <w:spacing w:line="280" w:lineRule="exact"/>
        <w:rPr>
          <w:color w:val="000000"/>
          <w:lang w:val="en-CA"/>
        </w:rPr>
      </w:pPr>
      <w:r w:rsidRPr="00515AA2">
        <w:rPr>
          <w:color w:val="000000"/>
          <w:lang w:val="en-CA"/>
        </w:rPr>
        <w:t>At this stage, neither the parties nor these witnesses, let alone the Court, are bound by that political compromise</w:t>
      </w:r>
      <w:r w:rsidR="0048467A" w:rsidRPr="00515AA2">
        <w:rPr>
          <w:color w:val="000000"/>
          <w:lang w:val="en-CA"/>
        </w:rPr>
        <w:t xml:space="preserve">. </w:t>
      </w:r>
      <w:r w:rsidRPr="00515AA2">
        <w:rPr>
          <w:color w:val="000000"/>
          <w:lang w:val="en-CA"/>
        </w:rPr>
        <w:t>However, the fact remains that in the case at bar, the legislator undertook a public consultation process before the enactment of s</w:t>
      </w:r>
      <w:r w:rsidR="00AC06EE" w:rsidRPr="00515AA2">
        <w:rPr>
          <w:color w:val="000000"/>
          <w:lang w:val="en-CA"/>
        </w:rPr>
        <w:t>ection</w:t>
      </w:r>
      <w:r w:rsidR="006B578B" w:rsidRPr="00515AA2">
        <w:rPr>
          <w:color w:val="000000"/>
          <w:lang w:val="en-CA"/>
        </w:rPr>
        <w:t> </w:t>
      </w:r>
      <w:r w:rsidR="003F43A2" w:rsidRPr="00515AA2">
        <w:rPr>
          <w:color w:val="000000"/>
          <w:lang w:val="en-CA"/>
        </w:rPr>
        <w:t xml:space="preserve">23.2 </w:t>
      </w:r>
      <w:r w:rsidRPr="00515AA2">
        <w:rPr>
          <w:color w:val="000000"/>
          <w:lang w:val="en-CA"/>
        </w:rPr>
        <w:t xml:space="preserve">of the </w:t>
      </w:r>
      <w:r w:rsidR="003F43A2" w:rsidRPr="00515AA2">
        <w:rPr>
          <w:i/>
          <w:iCs/>
          <w:color w:val="000000"/>
          <w:lang w:val="en-CA"/>
        </w:rPr>
        <w:t>R</w:t>
      </w:r>
      <w:r w:rsidRPr="00515AA2">
        <w:rPr>
          <w:i/>
          <w:iCs/>
          <w:color w:val="000000"/>
          <w:lang w:val="en-CA"/>
        </w:rPr>
        <w:t>egulation</w:t>
      </w:r>
      <w:r w:rsidR="008D4973" w:rsidRPr="00515AA2">
        <w:rPr>
          <w:color w:val="000000"/>
          <w:lang w:val="en-CA"/>
        </w:rPr>
        <w:t>,</w:t>
      </w:r>
      <w:r w:rsidR="00A50481" w:rsidRPr="00515AA2">
        <w:rPr>
          <w:color w:val="000000"/>
          <w:lang w:val="en-CA"/>
        </w:rPr>
        <w:t xml:space="preserve"> </w:t>
      </w:r>
      <w:r w:rsidRPr="00515AA2">
        <w:rPr>
          <w:color w:val="000000"/>
          <w:lang w:val="en-CA"/>
        </w:rPr>
        <w:t>experts in the field were consulted and the legislator weighed the political and social considerations before making the choice that it was up to it to make</w:t>
      </w:r>
      <w:r w:rsidR="004E7032" w:rsidRPr="00515AA2">
        <w:rPr>
          <w:color w:val="000000"/>
          <w:lang w:val="en-CA"/>
        </w:rPr>
        <w:t>.</w:t>
      </w:r>
    </w:p>
    <w:p w14:paraId="595D9CD4" w14:textId="13A6A611" w:rsidR="00B64518" w:rsidRPr="00515AA2" w:rsidRDefault="000404CF" w:rsidP="00F846E3">
      <w:pPr>
        <w:pStyle w:val="Paragraphe"/>
        <w:spacing w:line="280" w:lineRule="exact"/>
        <w:rPr>
          <w:color w:val="000000"/>
          <w:lang w:val="en-CA"/>
        </w:rPr>
      </w:pPr>
      <w:r w:rsidRPr="00515AA2">
        <w:rPr>
          <w:color w:val="000000"/>
          <w:lang w:val="en-CA"/>
        </w:rPr>
        <w:t xml:space="preserve">The Court </w:t>
      </w:r>
      <w:r w:rsidR="0025687F" w:rsidRPr="00515AA2">
        <w:rPr>
          <w:color w:val="000000"/>
          <w:lang w:val="en-CA"/>
        </w:rPr>
        <w:t>notes</w:t>
      </w:r>
      <w:r w:rsidRPr="00515AA2">
        <w:rPr>
          <w:color w:val="000000"/>
          <w:lang w:val="en-CA"/>
        </w:rPr>
        <w:t xml:space="preserve"> that courts must, in such circumstances, show deference to </w:t>
      </w:r>
      <w:r w:rsidR="0025687F" w:rsidRPr="00515AA2">
        <w:rPr>
          <w:color w:val="000000"/>
          <w:lang w:val="en-CA"/>
        </w:rPr>
        <w:t xml:space="preserve">the </w:t>
      </w:r>
      <w:r w:rsidRPr="00515AA2">
        <w:rPr>
          <w:color w:val="000000"/>
          <w:lang w:val="en-CA"/>
        </w:rPr>
        <w:t xml:space="preserve">choices made by the legislator in response to complex social issues, since </w:t>
      </w:r>
      <w:r w:rsidR="0025687F" w:rsidRPr="00515AA2">
        <w:rPr>
          <w:color w:val="000000"/>
          <w:lang w:val="en-CA"/>
        </w:rPr>
        <w:t xml:space="preserve">the latter </w:t>
      </w:r>
      <w:r w:rsidRPr="00515AA2">
        <w:rPr>
          <w:color w:val="000000"/>
          <w:lang w:val="en-CA"/>
        </w:rPr>
        <w:t xml:space="preserve">is best </w:t>
      </w:r>
      <w:r w:rsidR="0025687F" w:rsidRPr="00515AA2">
        <w:rPr>
          <w:color w:val="000000"/>
          <w:lang w:val="en-CA"/>
        </w:rPr>
        <w:t>positioned</w:t>
      </w:r>
      <w:r w:rsidRPr="00515AA2">
        <w:rPr>
          <w:color w:val="000000"/>
          <w:lang w:val="en-CA"/>
        </w:rPr>
        <w:t xml:space="preserve"> to make those decisions.</w:t>
      </w:r>
      <w:r w:rsidR="00E72678" w:rsidRPr="00515AA2">
        <w:rPr>
          <w:rStyle w:val="Appelnotedebasdep"/>
          <w:color w:val="000000"/>
          <w:lang w:val="en-CA"/>
        </w:rPr>
        <w:footnoteReference w:id="125"/>
      </w:r>
      <w:r w:rsidRPr="00515AA2">
        <w:rPr>
          <w:color w:val="000000"/>
          <w:lang w:val="en-CA"/>
        </w:rPr>
        <w:t xml:space="preserve"> That princip</w:t>
      </w:r>
      <w:r w:rsidR="0025687F" w:rsidRPr="00515AA2">
        <w:rPr>
          <w:color w:val="000000"/>
          <w:lang w:val="en-CA"/>
        </w:rPr>
        <w:t>le</w:t>
      </w:r>
      <w:r w:rsidRPr="00515AA2">
        <w:rPr>
          <w:color w:val="000000"/>
          <w:lang w:val="en-CA"/>
        </w:rPr>
        <w:t xml:space="preserve"> must apply here, unless it is shown that after having considered the vulnerability of min</w:t>
      </w:r>
      <w:r w:rsidR="0025687F" w:rsidRPr="00515AA2">
        <w:rPr>
          <w:color w:val="000000"/>
          <w:lang w:val="en-CA"/>
        </w:rPr>
        <w:t xml:space="preserve">ors aged </w:t>
      </w:r>
      <w:r w:rsidR="007E645E" w:rsidRPr="00515AA2">
        <w:rPr>
          <w:color w:val="000000"/>
          <w:lang w:val="en-CA"/>
        </w:rPr>
        <w:t xml:space="preserve">14 </w:t>
      </w:r>
      <w:r w:rsidR="0025687F" w:rsidRPr="00515AA2">
        <w:rPr>
          <w:color w:val="000000"/>
          <w:lang w:val="en-CA"/>
        </w:rPr>
        <w:t xml:space="preserve">to </w:t>
      </w:r>
      <w:r w:rsidR="007E645E" w:rsidRPr="00515AA2">
        <w:rPr>
          <w:color w:val="000000"/>
          <w:lang w:val="en-CA"/>
        </w:rPr>
        <w:t xml:space="preserve">17 </w:t>
      </w:r>
      <w:r w:rsidR="0025687F" w:rsidRPr="00515AA2">
        <w:rPr>
          <w:color w:val="000000"/>
          <w:lang w:val="en-CA"/>
        </w:rPr>
        <w:t xml:space="preserve">and the benefit that </w:t>
      </w:r>
      <w:r w:rsidR="00667968" w:rsidRPr="00515AA2">
        <w:rPr>
          <w:color w:val="000000"/>
          <w:lang w:val="en-CA"/>
        </w:rPr>
        <w:t>being</w:t>
      </w:r>
      <w:r w:rsidR="0025687F" w:rsidRPr="00515AA2">
        <w:rPr>
          <w:color w:val="000000"/>
          <w:lang w:val="en-CA"/>
        </w:rPr>
        <w:t xml:space="preserve"> </w:t>
      </w:r>
      <w:r w:rsidR="00667968" w:rsidRPr="00515AA2">
        <w:rPr>
          <w:color w:val="000000"/>
          <w:lang w:val="en-CA"/>
        </w:rPr>
        <w:t>accompanied by</w:t>
      </w:r>
      <w:r w:rsidR="0025687F" w:rsidRPr="00515AA2">
        <w:rPr>
          <w:color w:val="000000"/>
          <w:lang w:val="en-CA"/>
        </w:rPr>
        <w:t xml:space="preserve"> a professional</w:t>
      </w:r>
      <w:r w:rsidR="00667968" w:rsidRPr="00515AA2">
        <w:rPr>
          <w:color w:val="000000"/>
          <w:lang w:val="en-CA"/>
        </w:rPr>
        <w:t xml:space="preserve"> may procure,</w:t>
      </w:r>
      <w:r w:rsidR="0025687F" w:rsidRPr="00515AA2">
        <w:rPr>
          <w:color w:val="000000"/>
          <w:lang w:val="en-CA"/>
        </w:rPr>
        <w:t xml:space="preserve"> the legislator made an </w:t>
      </w:r>
      <w:r w:rsidR="00667968" w:rsidRPr="00515AA2">
        <w:rPr>
          <w:color w:val="000000"/>
          <w:lang w:val="en-CA"/>
        </w:rPr>
        <w:t>ill-advised</w:t>
      </w:r>
      <w:r w:rsidR="0025687F" w:rsidRPr="00515AA2">
        <w:rPr>
          <w:color w:val="000000"/>
          <w:lang w:val="en-CA"/>
        </w:rPr>
        <w:t xml:space="preserve"> or unreasonable choice, of which we are not convinced</w:t>
      </w:r>
      <w:r w:rsidR="006F7AAA" w:rsidRPr="00515AA2">
        <w:rPr>
          <w:color w:val="000000"/>
          <w:lang w:val="en-CA"/>
        </w:rPr>
        <w:t>.</w:t>
      </w:r>
    </w:p>
    <w:p w14:paraId="3A26FC3C" w14:textId="7B3D9EF5" w:rsidR="00016EAA" w:rsidRPr="00515AA2" w:rsidRDefault="00D2405D" w:rsidP="00F846E3">
      <w:pPr>
        <w:pStyle w:val="Paragraphe"/>
        <w:spacing w:line="280" w:lineRule="exact"/>
        <w:rPr>
          <w:color w:val="000000"/>
          <w:lang w:val="en-CA"/>
        </w:rPr>
      </w:pPr>
      <w:r w:rsidRPr="00515AA2">
        <w:rPr>
          <w:color w:val="000000"/>
          <w:lang w:val="en-CA"/>
        </w:rPr>
        <w:t>The parties also compared the Quebec provisions to those enacted by other Canadian provinces and territories</w:t>
      </w:r>
      <w:r w:rsidR="003E78C8" w:rsidRPr="00515AA2">
        <w:rPr>
          <w:color w:val="000000"/>
          <w:lang w:val="en-CA"/>
        </w:rPr>
        <w:t xml:space="preserve">. </w:t>
      </w:r>
      <w:r w:rsidRPr="00515AA2">
        <w:rPr>
          <w:color w:val="000000"/>
          <w:lang w:val="en-CA"/>
        </w:rPr>
        <w:t xml:space="preserve">Even though the requirements vary from one province or territory to another and even though the decisions made by those jurisdictions </w:t>
      </w:r>
      <w:r w:rsidR="007E645E" w:rsidRPr="00515AA2">
        <w:rPr>
          <w:color w:val="000000"/>
          <w:lang w:val="en-CA"/>
        </w:rPr>
        <w:t xml:space="preserve">do </w:t>
      </w:r>
      <w:r w:rsidRPr="00515AA2">
        <w:rPr>
          <w:color w:val="000000"/>
          <w:lang w:val="en-CA"/>
        </w:rPr>
        <w:t>not allow us to establish what constitutes minimal impairment</w:t>
      </w:r>
      <w:r w:rsidR="00996FDB" w:rsidRPr="00515AA2">
        <w:rPr>
          <w:color w:val="000000"/>
          <w:lang w:val="en-CA"/>
        </w:rPr>
        <w:t xml:space="preserve"> </w:t>
      </w:r>
      <w:r w:rsidRPr="00515AA2">
        <w:rPr>
          <w:color w:val="000000"/>
          <w:lang w:val="en-CA"/>
        </w:rPr>
        <w:t>under s</w:t>
      </w:r>
      <w:r w:rsidR="00AC06EE" w:rsidRPr="00515AA2">
        <w:rPr>
          <w:color w:val="000000"/>
          <w:lang w:val="en-CA"/>
        </w:rPr>
        <w:t>ection</w:t>
      </w:r>
      <w:r w:rsidRPr="00515AA2">
        <w:rPr>
          <w:color w:val="000000"/>
          <w:lang w:val="en-CA"/>
        </w:rPr>
        <w:t xml:space="preserve"> 1 of the</w:t>
      </w:r>
      <w:r w:rsidR="00996FDB" w:rsidRPr="00515AA2">
        <w:rPr>
          <w:color w:val="000000"/>
          <w:lang w:val="en-CA"/>
        </w:rPr>
        <w:t xml:space="preserve"> </w:t>
      </w:r>
      <w:r w:rsidRPr="00515AA2">
        <w:rPr>
          <w:i/>
          <w:iCs/>
          <w:color w:val="000000"/>
          <w:lang w:val="en-CA"/>
        </w:rPr>
        <w:t>Canadian Charter</w:t>
      </w:r>
      <w:r w:rsidR="00ED41ED" w:rsidRPr="00515AA2">
        <w:rPr>
          <w:color w:val="000000"/>
          <w:lang w:val="en-CA"/>
        </w:rPr>
        <w:t xml:space="preserve"> </w:t>
      </w:r>
      <w:r w:rsidRPr="00515AA2">
        <w:rPr>
          <w:color w:val="000000"/>
          <w:lang w:val="en-CA"/>
        </w:rPr>
        <w:t>or s</w:t>
      </w:r>
      <w:r w:rsidR="00AC06EE" w:rsidRPr="00515AA2">
        <w:rPr>
          <w:color w:val="000000"/>
          <w:lang w:val="en-CA"/>
        </w:rPr>
        <w:t>ection</w:t>
      </w:r>
      <w:r w:rsidR="00ED41ED" w:rsidRPr="00515AA2">
        <w:rPr>
          <w:color w:val="000000"/>
          <w:lang w:val="en-CA"/>
        </w:rPr>
        <w:t xml:space="preserve"> 9.1 </w:t>
      </w:r>
      <w:r w:rsidRPr="00515AA2">
        <w:rPr>
          <w:color w:val="000000"/>
          <w:lang w:val="en-CA"/>
        </w:rPr>
        <w:t>of the</w:t>
      </w:r>
      <w:r w:rsidR="00ED41ED" w:rsidRPr="00515AA2">
        <w:rPr>
          <w:color w:val="000000"/>
          <w:lang w:val="en-CA"/>
        </w:rPr>
        <w:t xml:space="preserve"> </w:t>
      </w:r>
      <w:r w:rsidRPr="00515AA2">
        <w:rPr>
          <w:i/>
          <w:iCs/>
          <w:color w:val="000000"/>
          <w:lang w:val="en-CA"/>
        </w:rPr>
        <w:t>Quebec Charter</w:t>
      </w:r>
      <w:r w:rsidR="00B50F1F" w:rsidRPr="00515AA2">
        <w:rPr>
          <w:color w:val="000000"/>
          <w:lang w:val="en-CA"/>
        </w:rPr>
        <w:t xml:space="preserve">, </w:t>
      </w:r>
      <w:r w:rsidRPr="00515AA2">
        <w:rPr>
          <w:color w:val="000000"/>
          <w:lang w:val="en-CA"/>
        </w:rPr>
        <w:t xml:space="preserve">a brief overview of the conditions set by each </w:t>
      </w:r>
      <w:r w:rsidR="00A15BB4" w:rsidRPr="00515AA2">
        <w:rPr>
          <w:color w:val="000000"/>
          <w:lang w:val="en-CA"/>
        </w:rPr>
        <w:t>in order to change</w:t>
      </w:r>
      <w:r w:rsidRPr="00515AA2">
        <w:rPr>
          <w:color w:val="000000"/>
          <w:lang w:val="en-CA"/>
        </w:rPr>
        <w:t xml:space="preserve"> the designation of sex that appears in an act of birth supports the finding that the infringement stemming from the measure enacted by the Quebec legislator in the second paragraph of s</w:t>
      </w:r>
      <w:r w:rsidR="00AC06EE" w:rsidRPr="00515AA2">
        <w:rPr>
          <w:color w:val="000000"/>
          <w:lang w:val="en-CA"/>
        </w:rPr>
        <w:t>ection</w:t>
      </w:r>
      <w:r w:rsidRPr="00515AA2">
        <w:rPr>
          <w:color w:val="000000"/>
          <w:lang w:val="en-CA"/>
        </w:rPr>
        <w:t xml:space="preserve"> </w:t>
      </w:r>
      <w:r w:rsidR="00096B13" w:rsidRPr="00515AA2">
        <w:rPr>
          <w:color w:val="000000"/>
          <w:lang w:val="en-CA"/>
        </w:rPr>
        <w:t xml:space="preserve">23.2 </w:t>
      </w:r>
      <w:r w:rsidRPr="00515AA2">
        <w:rPr>
          <w:color w:val="000000"/>
          <w:lang w:val="en-CA"/>
        </w:rPr>
        <w:t>of the</w:t>
      </w:r>
      <w:r w:rsidR="00096B13" w:rsidRPr="00515AA2">
        <w:rPr>
          <w:color w:val="000000"/>
          <w:lang w:val="en-CA"/>
        </w:rPr>
        <w:t xml:space="preserve"> </w:t>
      </w:r>
      <w:r w:rsidR="00096B13" w:rsidRPr="00515AA2">
        <w:rPr>
          <w:i/>
          <w:iCs/>
          <w:color w:val="000000"/>
          <w:lang w:val="en-CA"/>
        </w:rPr>
        <w:t>R</w:t>
      </w:r>
      <w:r w:rsidRPr="00515AA2">
        <w:rPr>
          <w:i/>
          <w:iCs/>
          <w:color w:val="000000"/>
          <w:lang w:val="en-CA"/>
        </w:rPr>
        <w:t>egulation</w:t>
      </w:r>
      <w:r w:rsidR="008D4973" w:rsidRPr="00515AA2">
        <w:rPr>
          <w:i/>
          <w:iCs/>
          <w:color w:val="000000"/>
          <w:lang w:val="en-CA"/>
        </w:rPr>
        <w:t xml:space="preserve"> </w:t>
      </w:r>
      <w:r w:rsidRPr="00515AA2">
        <w:rPr>
          <w:color w:val="000000"/>
          <w:lang w:val="en-CA"/>
        </w:rPr>
        <w:t>is minimal</w:t>
      </w:r>
      <w:r w:rsidR="00096B13" w:rsidRPr="00515AA2">
        <w:rPr>
          <w:color w:val="000000"/>
          <w:lang w:val="en-CA"/>
        </w:rPr>
        <w:t>.</w:t>
      </w:r>
    </w:p>
    <w:p w14:paraId="0AB86282" w14:textId="7EDF9CCF" w:rsidR="00B1234E" w:rsidRPr="00515AA2" w:rsidRDefault="00823FFA" w:rsidP="00F846E3">
      <w:pPr>
        <w:pStyle w:val="Paragraphe"/>
        <w:spacing w:line="280" w:lineRule="exact"/>
        <w:rPr>
          <w:color w:val="000000"/>
          <w:lang w:val="en-CA"/>
        </w:rPr>
      </w:pPr>
      <w:r w:rsidRPr="00515AA2">
        <w:rPr>
          <w:color w:val="000000"/>
          <w:lang w:val="en-CA"/>
        </w:rPr>
        <w:t xml:space="preserve">Indeed, several provinces and territories require that any minor </w:t>
      </w:r>
      <w:r w:rsidR="00E81DB2" w:rsidRPr="00515AA2">
        <w:rPr>
          <w:color w:val="000000"/>
          <w:lang w:val="en-CA"/>
        </w:rPr>
        <w:t xml:space="preserve">who </w:t>
      </w:r>
      <w:r w:rsidR="00C20C90" w:rsidRPr="00515AA2">
        <w:rPr>
          <w:color w:val="000000"/>
          <w:lang w:val="en-CA"/>
        </w:rPr>
        <w:t>requests</w:t>
      </w:r>
      <w:r w:rsidRPr="00515AA2">
        <w:rPr>
          <w:color w:val="000000"/>
          <w:lang w:val="en-CA"/>
        </w:rPr>
        <w:t xml:space="preserve"> that the designation of sex be changed provide a letter from one (as in Quebec) or even two </w:t>
      </w:r>
      <w:r w:rsidRPr="00515AA2">
        <w:rPr>
          <w:color w:val="000000"/>
          <w:lang w:val="en-CA"/>
        </w:rPr>
        <w:lastRenderedPageBreak/>
        <w:t>professionals</w:t>
      </w:r>
      <w:r w:rsidR="008C5B5D" w:rsidRPr="00515AA2">
        <w:rPr>
          <w:color w:val="000000"/>
          <w:lang w:val="en-CA"/>
        </w:rPr>
        <w:t xml:space="preserve">. </w:t>
      </w:r>
      <w:r w:rsidRPr="00515AA2">
        <w:rPr>
          <w:color w:val="000000"/>
          <w:lang w:val="en-CA"/>
        </w:rPr>
        <w:t>Some even impose that same requirement on persons of full age</w:t>
      </w:r>
      <w:r w:rsidR="00CF5213" w:rsidRPr="00515AA2">
        <w:rPr>
          <w:color w:val="000000"/>
          <w:lang w:val="en-CA"/>
        </w:rPr>
        <w:t>, as is the case in Ontario and New Brunswick.</w:t>
      </w:r>
      <w:r w:rsidR="00441E9A" w:rsidRPr="00515AA2">
        <w:rPr>
          <w:color w:val="000000"/>
          <w:lang w:val="en-CA"/>
        </w:rPr>
        <w:t xml:space="preserve"> </w:t>
      </w:r>
      <w:r w:rsidRPr="00515AA2">
        <w:rPr>
          <w:color w:val="000000"/>
          <w:lang w:val="en-CA"/>
        </w:rPr>
        <w:t xml:space="preserve">In Nova Scotia, in Newfoundland and Labrador and in Yukon, a letter from a designated professional is only required for minors under the age of </w:t>
      </w:r>
      <w:r w:rsidR="007E645E" w:rsidRPr="00515AA2">
        <w:rPr>
          <w:color w:val="000000"/>
          <w:lang w:val="en-CA"/>
        </w:rPr>
        <w:t>16</w:t>
      </w:r>
      <w:r w:rsidR="00316C43" w:rsidRPr="00515AA2">
        <w:rPr>
          <w:color w:val="000000"/>
          <w:lang w:val="en-CA"/>
        </w:rPr>
        <w:t>,</w:t>
      </w:r>
      <w:r w:rsidR="009E0D5D" w:rsidRPr="00515AA2">
        <w:rPr>
          <w:color w:val="000000"/>
          <w:lang w:val="en-CA"/>
        </w:rPr>
        <w:t xml:space="preserve"> </w:t>
      </w:r>
      <w:r w:rsidRPr="00515AA2">
        <w:rPr>
          <w:color w:val="000000"/>
          <w:lang w:val="en-CA"/>
        </w:rPr>
        <w:t>whereas in</w:t>
      </w:r>
      <w:r w:rsidR="009E0D5D" w:rsidRPr="00515AA2">
        <w:rPr>
          <w:color w:val="000000"/>
          <w:lang w:val="en-CA"/>
        </w:rPr>
        <w:t xml:space="preserve"> Alberta </w:t>
      </w:r>
      <w:r w:rsidRPr="00515AA2">
        <w:rPr>
          <w:color w:val="000000"/>
          <w:lang w:val="en-CA"/>
        </w:rPr>
        <w:t xml:space="preserve">and in British Columbia, it is only required for minors under the age of </w:t>
      </w:r>
      <w:r w:rsidR="007E645E" w:rsidRPr="00515AA2">
        <w:rPr>
          <w:color w:val="000000"/>
          <w:lang w:val="en-CA"/>
        </w:rPr>
        <w:t>12</w:t>
      </w:r>
      <w:r w:rsidR="009E0D5D" w:rsidRPr="00515AA2">
        <w:rPr>
          <w:color w:val="000000"/>
          <w:lang w:val="en-CA"/>
        </w:rPr>
        <w:t xml:space="preserve">. </w:t>
      </w:r>
      <w:r w:rsidRPr="00515AA2">
        <w:rPr>
          <w:color w:val="000000"/>
          <w:lang w:val="en-CA"/>
        </w:rPr>
        <w:t xml:space="preserve">These two latter provinces, as well as Prince Edward Island, require however that all minors obtain their parents’ consent or, </w:t>
      </w:r>
      <w:r w:rsidR="00C20C90" w:rsidRPr="00515AA2">
        <w:rPr>
          <w:color w:val="000000"/>
          <w:lang w:val="en-CA"/>
        </w:rPr>
        <w:t xml:space="preserve">failing that, </w:t>
      </w:r>
      <w:r w:rsidRPr="00515AA2">
        <w:rPr>
          <w:color w:val="000000"/>
          <w:lang w:val="en-CA"/>
        </w:rPr>
        <w:t>that the latter submit the application</w:t>
      </w:r>
      <w:r w:rsidR="00441E9A" w:rsidRPr="00515AA2">
        <w:rPr>
          <w:color w:val="000000"/>
          <w:lang w:val="en-CA"/>
        </w:rPr>
        <w:t>.</w:t>
      </w:r>
    </w:p>
    <w:p w14:paraId="03C75040" w14:textId="2C993E53" w:rsidR="00FC303C" w:rsidRPr="00515AA2" w:rsidRDefault="002A02B3" w:rsidP="00F846E3">
      <w:pPr>
        <w:pStyle w:val="Paragraphe"/>
        <w:spacing w:line="280" w:lineRule="exact"/>
        <w:rPr>
          <w:color w:val="000000"/>
          <w:lang w:val="en-CA"/>
        </w:rPr>
      </w:pPr>
      <w:r w:rsidRPr="00515AA2">
        <w:rPr>
          <w:color w:val="000000"/>
          <w:lang w:val="en-CA"/>
        </w:rPr>
        <w:t xml:space="preserve">The identity </w:t>
      </w:r>
      <w:r w:rsidR="00A612C0" w:rsidRPr="00515AA2">
        <w:rPr>
          <w:color w:val="000000"/>
          <w:lang w:val="en-CA"/>
        </w:rPr>
        <w:t xml:space="preserve">of </w:t>
      </w:r>
      <w:r w:rsidR="00E81DB2" w:rsidRPr="00515AA2">
        <w:rPr>
          <w:color w:val="000000"/>
          <w:lang w:val="en-CA"/>
        </w:rPr>
        <w:t xml:space="preserve">the </w:t>
      </w:r>
      <w:r w:rsidRPr="00515AA2">
        <w:rPr>
          <w:color w:val="000000"/>
          <w:lang w:val="en-CA"/>
        </w:rPr>
        <w:t xml:space="preserve">professionals authorized to provide the letter varies </w:t>
      </w:r>
      <w:r w:rsidR="00A612C0" w:rsidRPr="00515AA2">
        <w:rPr>
          <w:color w:val="000000"/>
          <w:lang w:val="en-CA"/>
        </w:rPr>
        <w:t>by</w:t>
      </w:r>
      <w:r w:rsidRPr="00515AA2">
        <w:rPr>
          <w:color w:val="000000"/>
          <w:lang w:val="en-CA"/>
        </w:rPr>
        <w:t xml:space="preserve"> province and territor</w:t>
      </w:r>
      <w:r w:rsidR="00A612C0" w:rsidRPr="00515AA2">
        <w:rPr>
          <w:color w:val="000000"/>
          <w:lang w:val="en-CA"/>
        </w:rPr>
        <w:t>y</w:t>
      </w:r>
      <w:r w:rsidRPr="00515AA2">
        <w:rPr>
          <w:color w:val="000000"/>
          <w:lang w:val="en-CA"/>
        </w:rPr>
        <w:t>, however</w:t>
      </w:r>
      <w:r w:rsidR="00A26F5F" w:rsidRPr="00515AA2">
        <w:rPr>
          <w:color w:val="000000"/>
          <w:lang w:val="en-CA"/>
        </w:rPr>
        <w:t xml:space="preserve">. </w:t>
      </w:r>
      <w:r w:rsidRPr="00515AA2">
        <w:rPr>
          <w:color w:val="000000"/>
          <w:lang w:val="en-CA"/>
        </w:rPr>
        <w:t xml:space="preserve">All allow that </w:t>
      </w:r>
      <w:r w:rsidR="00A612C0" w:rsidRPr="00515AA2">
        <w:rPr>
          <w:color w:val="000000"/>
          <w:lang w:val="en-CA"/>
        </w:rPr>
        <w:t>the letter</w:t>
      </w:r>
      <w:r w:rsidRPr="00515AA2">
        <w:rPr>
          <w:color w:val="000000"/>
          <w:lang w:val="en-CA"/>
        </w:rPr>
        <w:t xml:space="preserve"> be provided by a physician, a psychologist or a nurse</w:t>
      </w:r>
      <w:r w:rsidR="000020E1" w:rsidRPr="00515AA2">
        <w:rPr>
          <w:color w:val="000000"/>
          <w:lang w:val="en-CA"/>
        </w:rPr>
        <w:t xml:space="preserve">. </w:t>
      </w:r>
      <w:r w:rsidRPr="00515AA2">
        <w:rPr>
          <w:color w:val="000000"/>
          <w:lang w:val="en-CA"/>
        </w:rPr>
        <w:t>Some provinces and territories</w:t>
      </w:r>
      <w:r w:rsidR="00316C43" w:rsidRPr="00515AA2">
        <w:rPr>
          <w:color w:val="000000"/>
          <w:lang w:val="en-CA"/>
        </w:rPr>
        <w:t xml:space="preserve"> </w:t>
      </w:r>
      <w:r w:rsidR="001668DA" w:rsidRPr="00515AA2">
        <w:rPr>
          <w:color w:val="000000"/>
          <w:lang w:val="en-CA"/>
        </w:rPr>
        <w:t>(</w:t>
      </w:r>
      <w:r w:rsidRPr="00515AA2">
        <w:rPr>
          <w:color w:val="000000"/>
          <w:lang w:val="en-CA"/>
        </w:rPr>
        <w:t>including Quebec</w:t>
      </w:r>
      <w:r w:rsidR="001668DA" w:rsidRPr="00515AA2">
        <w:rPr>
          <w:color w:val="000000"/>
          <w:lang w:val="en-CA"/>
        </w:rPr>
        <w:t xml:space="preserve">) </w:t>
      </w:r>
      <w:r w:rsidRPr="00515AA2">
        <w:rPr>
          <w:color w:val="000000"/>
          <w:lang w:val="en-CA"/>
        </w:rPr>
        <w:t xml:space="preserve">also allow that it be provided by a social worker, whereas </w:t>
      </w:r>
      <w:r w:rsidR="000020E1" w:rsidRPr="00515AA2">
        <w:rPr>
          <w:color w:val="000000"/>
          <w:lang w:val="en-CA"/>
        </w:rPr>
        <w:t xml:space="preserve">Yukon </w:t>
      </w:r>
      <w:r w:rsidRPr="00515AA2">
        <w:rPr>
          <w:color w:val="000000"/>
          <w:lang w:val="en-CA"/>
        </w:rPr>
        <w:t>adds to this list lawyers, teachers, First Nation chiefs or councillors as well as school counsellors</w:t>
      </w:r>
      <w:r w:rsidR="00016EAA" w:rsidRPr="00515AA2">
        <w:rPr>
          <w:color w:val="000000"/>
          <w:lang w:val="en-CA"/>
        </w:rPr>
        <w:t>.</w:t>
      </w:r>
    </w:p>
    <w:p w14:paraId="716F6CB2" w14:textId="389D8B07" w:rsidR="001668DA" w:rsidRPr="00515AA2" w:rsidRDefault="009922BB" w:rsidP="00F846E3">
      <w:pPr>
        <w:pStyle w:val="Paragraphe"/>
        <w:spacing w:line="280" w:lineRule="exact"/>
        <w:rPr>
          <w:color w:val="000000"/>
          <w:lang w:val="en-CA"/>
        </w:rPr>
      </w:pPr>
      <w:r w:rsidRPr="00515AA2">
        <w:rPr>
          <w:color w:val="000000"/>
          <w:lang w:val="en-CA"/>
        </w:rPr>
        <w:t xml:space="preserve">The requirements </w:t>
      </w:r>
      <w:r w:rsidR="00D31A85" w:rsidRPr="00515AA2">
        <w:rPr>
          <w:color w:val="000000"/>
          <w:lang w:val="en-CA"/>
        </w:rPr>
        <w:t>as</w:t>
      </w:r>
      <w:r w:rsidRPr="00515AA2">
        <w:rPr>
          <w:color w:val="000000"/>
          <w:lang w:val="en-CA"/>
        </w:rPr>
        <w:t xml:space="preserve"> to the contents of the letter are similar across</w:t>
      </w:r>
      <w:r w:rsidR="00316C43" w:rsidRPr="00515AA2">
        <w:rPr>
          <w:color w:val="000000"/>
          <w:lang w:val="en-CA"/>
        </w:rPr>
        <w:t xml:space="preserve"> Canada</w:t>
      </w:r>
      <w:r w:rsidR="001B6249" w:rsidRPr="00515AA2">
        <w:rPr>
          <w:color w:val="000000"/>
          <w:lang w:val="en-CA"/>
        </w:rPr>
        <w:t>.</w:t>
      </w:r>
      <w:r w:rsidR="001668DA" w:rsidRPr="00515AA2">
        <w:rPr>
          <w:color w:val="000000"/>
          <w:lang w:val="en-CA"/>
        </w:rPr>
        <w:t xml:space="preserve"> </w:t>
      </w:r>
      <w:r w:rsidRPr="00515AA2">
        <w:rPr>
          <w:color w:val="000000"/>
          <w:lang w:val="en-CA"/>
        </w:rPr>
        <w:t>In Quebec</w:t>
      </w:r>
      <w:r w:rsidR="00A15C8B" w:rsidRPr="00515AA2">
        <w:rPr>
          <w:color w:val="000000"/>
          <w:lang w:val="en-CA"/>
        </w:rPr>
        <w:t xml:space="preserve">, </w:t>
      </w:r>
      <w:r w:rsidRPr="00515AA2">
        <w:rPr>
          <w:color w:val="000000"/>
          <w:lang w:val="en-CA"/>
        </w:rPr>
        <w:t>the professional must indicate that they are of the opinion that the change in the designation of sex is “appropriate”</w:t>
      </w:r>
      <w:r w:rsidR="00A15C8B" w:rsidRPr="00515AA2">
        <w:rPr>
          <w:color w:val="000000"/>
          <w:lang w:val="en-CA"/>
        </w:rPr>
        <w:t xml:space="preserve">, </w:t>
      </w:r>
      <w:r w:rsidRPr="00515AA2">
        <w:rPr>
          <w:color w:val="000000"/>
          <w:lang w:val="en-CA"/>
        </w:rPr>
        <w:t>based on the four conditions enumerated in s</w:t>
      </w:r>
      <w:r w:rsidR="00AC06EE" w:rsidRPr="00515AA2">
        <w:rPr>
          <w:color w:val="000000"/>
          <w:lang w:val="en-CA"/>
        </w:rPr>
        <w:t>ection</w:t>
      </w:r>
      <w:r w:rsidRPr="00515AA2">
        <w:rPr>
          <w:color w:val="000000"/>
          <w:lang w:val="en-CA"/>
        </w:rPr>
        <w:t xml:space="preserve"> </w:t>
      </w:r>
      <w:r w:rsidR="00A15C8B" w:rsidRPr="00515AA2">
        <w:rPr>
          <w:color w:val="000000"/>
          <w:lang w:val="en-CA"/>
        </w:rPr>
        <w:t xml:space="preserve">23.1 </w:t>
      </w:r>
      <w:r w:rsidRPr="00515AA2">
        <w:rPr>
          <w:color w:val="000000"/>
          <w:lang w:val="en-CA"/>
        </w:rPr>
        <w:t>of the</w:t>
      </w:r>
      <w:r w:rsidR="00A15C8B" w:rsidRPr="00515AA2">
        <w:rPr>
          <w:color w:val="000000"/>
          <w:lang w:val="en-CA"/>
        </w:rPr>
        <w:t xml:space="preserve"> </w:t>
      </w:r>
      <w:r w:rsidR="00A15C8B" w:rsidRPr="00515AA2">
        <w:rPr>
          <w:i/>
          <w:iCs/>
          <w:color w:val="000000"/>
          <w:lang w:val="en-CA"/>
        </w:rPr>
        <w:t>R</w:t>
      </w:r>
      <w:r w:rsidRPr="00515AA2">
        <w:rPr>
          <w:i/>
          <w:iCs/>
          <w:color w:val="000000"/>
          <w:lang w:val="en-CA"/>
        </w:rPr>
        <w:t>egulation</w:t>
      </w:r>
      <w:r w:rsidR="00A15C8B" w:rsidRPr="00515AA2">
        <w:rPr>
          <w:color w:val="000000"/>
          <w:lang w:val="en-CA"/>
        </w:rPr>
        <w:t xml:space="preserve">. </w:t>
      </w:r>
      <w:r w:rsidRPr="00515AA2">
        <w:rPr>
          <w:color w:val="000000"/>
          <w:lang w:val="en-CA"/>
        </w:rPr>
        <w:t>Elsewhere in</w:t>
      </w:r>
      <w:r w:rsidR="00316C43" w:rsidRPr="00515AA2">
        <w:rPr>
          <w:color w:val="000000"/>
          <w:lang w:val="en-CA"/>
        </w:rPr>
        <w:t xml:space="preserve"> Canada</w:t>
      </w:r>
      <w:r w:rsidR="001668DA" w:rsidRPr="00515AA2">
        <w:rPr>
          <w:color w:val="000000"/>
          <w:lang w:val="en-CA"/>
        </w:rPr>
        <w:t xml:space="preserve">, </w:t>
      </w:r>
      <w:r w:rsidRPr="00515AA2">
        <w:rPr>
          <w:color w:val="000000"/>
          <w:lang w:val="en-CA"/>
        </w:rPr>
        <w:t>they must indicate</w:t>
      </w:r>
      <w:r w:rsidR="001668DA" w:rsidRPr="00515AA2">
        <w:rPr>
          <w:color w:val="000000"/>
          <w:lang w:val="en-CA"/>
        </w:rPr>
        <w:t xml:space="preserve"> </w:t>
      </w:r>
      <w:r w:rsidRPr="00515AA2">
        <w:rPr>
          <w:color w:val="000000"/>
          <w:lang w:val="en-CA"/>
        </w:rPr>
        <w:t xml:space="preserve">that the </w:t>
      </w:r>
      <w:r w:rsidR="00E81DB2" w:rsidRPr="00515AA2">
        <w:rPr>
          <w:color w:val="000000"/>
          <w:lang w:val="en-CA"/>
        </w:rPr>
        <w:t xml:space="preserve">stated </w:t>
      </w:r>
      <w:r w:rsidRPr="00515AA2">
        <w:rPr>
          <w:color w:val="000000"/>
          <w:lang w:val="en-CA"/>
        </w:rPr>
        <w:t>gender does not correspond to “</w:t>
      </w:r>
      <w:r w:rsidR="001668DA" w:rsidRPr="00515AA2">
        <w:rPr>
          <w:color w:val="000000"/>
          <w:lang w:val="en-CA"/>
        </w:rPr>
        <w:t>the person’s</w:t>
      </w:r>
      <w:r w:rsidR="00D31A85" w:rsidRPr="00515AA2">
        <w:rPr>
          <w:color w:val="000000"/>
          <w:lang w:val="en-CA"/>
        </w:rPr>
        <w:t xml:space="preserve"> [i.e. the person requesting the change]</w:t>
      </w:r>
      <w:r w:rsidR="001668DA" w:rsidRPr="00515AA2">
        <w:rPr>
          <w:color w:val="000000"/>
          <w:lang w:val="en-CA"/>
        </w:rPr>
        <w:t xml:space="preserve"> gender identity</w:t>
      </w:r>
      <w:r w:rsidRPr="00515AA2">
        <w:rPr>
          <w:color w:val="000000"/>
          <w:lang w:val="en-CA"/>
        </w:rPr>
        <w:t>”</w:t>
      </w:r>
      <w:r w:rsidR="001668DA" w:rsidRPr="00515AA2">
        <w:rPr>
          <w:color w:val="000000"/>
          <w:lang w:val="en-CA"/>
        </w:rPr>
        <w:t> </w:t>
      </w:r>
      <w:r w:rsidRPr="00515AA2">
        <w:rPr>
          <w:color w:val="000000"/>
          <w:lang w:val="en-CA"/>
        </w:rPr>
        <w:t>or</w:t>
      </w:r>
      <w:r w:rsidR="001668DA" w:rsidRPr="00515AA2">
        <w:rPr>
          <w:color w:val="000000"/>
          <w:lang w:val="en-CA"/>
        </w:rPr>
        <w:t xml:space="preserve"> </w:t>
      </w:r>
      <w:r w:rsidRPr="00515AA2">
        <w:rPr>
          <w:color w:val="000000"/>
          <w:lang w:val="en-CA"/>
        </w:rPr>
        <w:t>“</w:t>
      </w:r>
      <w:r w:rsidR="001668DA" w:rsidRPr="00515AA2">
        <w:rPr>
          <w:color w:val="000000"/>
          <w:lang w:val="en-CA"/>
        </w:rPr>
        <w:t>the gender with which the applicant identifies</w:t>
      </w:r>
      <w:r w:rsidRPr="00515AA2">
        <w:rPr>
          <w:color w:val="000000"/>
          <w:lang w:val="en-CA"/>
        </w:rPr>
        <w:t>”</w:t>
      </w:r>
      <w:r w:rsidR="001668DA" w:rsidRPr="00515AA2">
        <w:rPr>
          <w:color w:val="000000"/>
          <w:lang w:val="en-CA"/>
        </w:rPr>
        <w:t xml:space="preserve">. </w:t>
      </w:r>
      <w:r w:rsidRPr="00515AA2">
        <w:rPr>
          <w:color w:val="000000"/>
          <w:lang w:val="en-CA"/>
        </w:rPr>
        <w:t xml:space="preserve">Certain </w:t>
      </w:r>
      <w:r w:rsidR="002768E0" w:rsidRPr="00515AA2">
        <w:rPr>
          <w:color w:val="000000"/>
          <w:lang w:val="en-CA"/>
        </w:rPr>
        <w:t>provinces</w:t>
      </w:r>
      <w:r w:rsidR="001668DA" w:rsidRPr="00515AA2">
        <w:rPr>
          <w:color w:val="000000"/>
          <w:lang w:val="en-CA"/>
        </w:rPr>
        <w:t xml:space="preserve"> </w:t>
      </w:r>
      <w:r w:rsidR="00D31A85" w:rsidRPr="00515AA2">
        <w:rPr>
          <w:color w:val="000000"/>
          <w:lang w:val="en-CA"/>
        </w:rPr>
        <w:t>further refer to the notion</w:t>
      </w:r>
      <w:r w:rsidRPr="00515AA2">
        <w:rPr>
          <w:color w:val="000000"/>
          <w:lang w:val="en-CA"/>
        </w:rPr>
        <w:t xml:space="preserve"> of capacity</w:t>
      </w:r>
      <w:r w:rsidR="00D31A85" w:rsidRPr="00515AA2">
        <w:rPr>
          <w:color w:val="000000"/>
          <w:lang w:val="en-CA"/>
        </w:rPr>
        <w:t xml:space="preserve"> or require that the professional simply affirm that the change is</w:t>
      </w:r>
      <w:r w:rsidR="001668DA" w:rsidRPr="00515AA2">
        <w:rPr>
          <w:color w:val="000000"/>
          <w:lang w:val="en-CA"/>
        </w:rPr>
        <w:t xml:space="preserve"> appropriate.</w:t>
      </w:r>
    </w:p>
    <w:p w14:paraId="117B3874" w14:textId="6A58D051" w:rsidR="00016EAA" w:rsidRPr="00515AA2" w:rsidRDefault="00D31A85" w:rsidP="00F846E3">
      <w:pPr>
        <w:pStyle w:val="Paragraphe"/>
        <w:spacing w:line="280" w:lineRule="exact"/>
        <w:rPr>
          <w:color w:val="000000"/>
          <w:lang w:val="en-CA"/>
        </w:rPr>
      </w:pPr>
      <w:r w:rsidRPr="00515AA2">
        <w:rPr>
          <w:color w:val="000000"/>
          <w:lang w:val="en-CA"/>
        </w:rPr>
        <w:t xml:space="preserve">A review of all of these requirements, which appears in the table </w:t>
      </w:r>
      <w:r w:rsidR="00252EF7" w:rsidRPr="00515AA2">
        <w:rPr>
          <w:color w:val="000000"/>
          <w:lang w:val="en-CA"/>
        </w:rPr>
        <w:t>appended</w:t>
      </w:r>
      <w:r w:rsidRPr="00515AA2">
        <w:rPr>
          <w:color w:val="000000"/>
          <w:lang w:val="en-CA"/>
        </w:rPr>
        <w:t xml:space="preserve"> to these reasons, shows that Quebec is among the most permissive provinces of the country</w:t>
      </w:r>
      <w:r w:rsidR="001668DA" w:rsidRPr="00515AA2">
        <w:rPr>
          <w:color w:val="000000"/>
          <w:lang w:val="en-CA"/>
        </w:rPr>
        <w:t>.</w:t>
      </w:r>
    </w:p>
    <w:p w14:paraId="7163ACAC" w14:textId="1D9C7CE6" w:rsidR="00CB7848" w:rsidRPr="00515AA2" w:rsidRDefault="00D31A85" w:rsidP="00F846E3">
      <w:pPr>
        <w:pStyle w:val="Paragraphe"/>
        <w:spacing w:line="280" w:lineRule="exact"/>
        <w:rPr>
          <w:color w:val="000000"/>
          <w:lang w:val="en-CA"/>
        </w:rPr>
      </w:pPr>
      <w:r w:rsidRPr="00515AA2">
        <w:rPr>
          <w:color w:val="000000"/>
          <w:lang w:val="en-CA"/>
        </w:rPr>
        <w:t>We therefore find that the rights guaranteed by th</w:t>
      </w:r>
      <w:r w:rsidR="00272A19" w:rsidRPr="00515AA2">
        <w:rPr>
          <w:color w:val="000000"/>
          <w:lang w:val="en-CA"/>
        </w:rPr>
        <w:t xml:space="preserve">e </w:t>
      </w:r>
      <w:r w:rsidR="00272A19" w:rsidRPr="00515AA2">
        <w:rPr>
          <w:i/>
          <w:iCs/>
          <w:color w:val="000000"/>
          <w:lang w:val="en-CA"/>
        </w:rPr>
        <w:t>Charters</w:t>
      </w:r>
      <w:r w:rsidR="00272A19" w:rsidRPr="00515AA2">
        <w:rPr>
          <w:color w:val="000000"/>
          <w:lang w:val="en-CA"/>
        </w:rPr>
        <w:t xml:space="preserve"> are minimally impaired</w:t>
      </w:r>
      <w:r w:rsidR="00CB7848" w:rsidRPr="00515AA2">
        <w:rPr>
          <w:color w:val="000000"/>
          <w:lang w:val="en-CA"/>
        </w:rPr>
        <w:t>.</w:t>
      </w:r>
    </w:p>
    <w:p w14:paraId="4184F6C6" w14:textId="3D8A91A7" w:rsidR="00016EAA" w:rsidRPr="00515AA2" w:rsidRDefault="00272A19" w:rsidP="00F846E3">
      <w:pPr>
        <w:pStyle w:val="Paragraphe"/>
        <w:spacing w:line="280" w:lineRule="exact"/>
        <w:rPr>
          <w:color w:val="000000"/>
          <w:lang w:val="en-CA"/>
        </w:rPr>
      </w:pPr>
      <w:r w:rsidRPr="00515AA2">
        <w:rPr>
          <w:color w:val="000000"/>
          <w:lang w:val="en-CA"/>
        </w:rPr>
        <w:t>The third criterion consists in determin</w:t>
      </w:r>
      <w:r w:rsidR="00D159A1" w:rsidRPr="00515AA2">
        <w:rPr>
          <w:color w:val="000000"/>
          <w:lang w:val="en-CA"/>
        </w:rPr>
        <w:t>ing</w:t>
      </w:r>
      <w:r w:rsidRPr="00515AA2">
        <w:rPr>
          <w:color w:val="000000"/>
          <w:lang w:val="en-CA"/>
        </w:rPr>
        <w:t xml:space="preserve"> whether the effects of the impugned provision on the applicants are disproportionate to its objective</w:t>
      </w:r>
      <w:r w:rsidR="00016EAA" w:rsidRPr="00515AA2">
        <w:rPr>
          <w:color w:val="000000"/>
          <w:lang w:val="en-CA"/>
        </w:rPr>
        <w:t xml:space="preserve">. </w:t>
      </w:r>
      <w:r w:rsidR="00D159A1" w:rsidRPr="00515AA2">
        <w:rPr>
          <w:color w:val="000000"/>
          <w:lang w:val="en-CA"/>
        </w:rPr>
        <w:t>The objective behind s</w:t>
      </w:r>
      <w:r w:rsidR="00AC06EE" w:rsidRPr="00515AA2">
        <w:rPr>
          <w:color w:val="000000"/>
          <w:lang w:val="en-CA"/>
        </w:rPr>
        <w:t>ection</w:t>
      </w:r>
      <w:r w:rsidR="006B578B" w:rsidRPr="00515AA2">
        <w:rPr>
          <w:color w:val="000000"/>
          <w:lang w:val="en-CA"/>
        </w:rPr>
        <w:t> </w:t>
      </w:r>
      <w:r w:rsidR="00EA7FF2" w:rsidRPr="00515AA2">
        <w:rPr>
          <w:color w:val="000000"/>
          <w:lang w:val="en-CA"/>
        </w:rPr>
        <w:t xml:space="preserve">23.2 </w:t>
      </w:r>
      <w:r w:rsidR="00D159A1" w:rsidRPr="00515AA2">
        <w:rPr>
          <w:color w:val="000000"/>
          <w:lang w:val="en-CA"/>
        </w:rPr>
        <w:t>of the</w:t>
      </w:r>
      <w:r w:rsidR="00EA7FF2" w:rsidRPr="00515AA2">
        <w:rPr>
          <w:color w:val="000000"/>
          <w:lang w:val="en-CA"/>
        </w:rPr>
        <w:t xml:space="preserve"> </w:t>
      </w:r>
      <w:r w:rsidR="00D159A1" w:rsidRPr="00515AA2">
        <w:rPr>
          <w:i/>
          <w:iCs/>
          <w:color w:val="000000"/>
          <w:lang w:val="en-CA"/>
        </w:rPr>
        <w:t>Regulation</w:t>
      </w:r>
      <w:r w:rsidR="00EA7FF2" w:rsidRPr="00515AA2">
        <w:rPr>
          <w:color w:val="000000"/>
          <w:lang w:val="en-CA"/>
        </w:rPr>
        <w:t xml:space="preserve"> </w:t>
      </w:r>
      <w:r w:rsidR="00D159A1" w:rsidRPr="00515AA2">
        <w:rPr>
          <w:color w:val="000000"/>
          <w:lang w:val="en-CA"/>
        </w:rPr>
        <w:t>is to assess the seriousness of the undertaking by the person filing an application to change the designation of sex that appears in their act of birth</w:t>
      </w:r>
      <w:r w:rsidR="008D4973" w:rsidRPr="00515AA2">
        <w:rPr>
          <w:color w:val="000000"/>
          <w:lang w:val="en-CA"/>
        </w:rPr>
        <w:t xml:space="preserve">. </w:t>
      </w:r>
      <w:r w:rsidR="00D159A1" w:rsidRPr="00515AA2">
        <w:rPr>
          <w:color w:val="000000"/>
          <w:lang w:val="en-CA"/>
        </w:rPr>
        <w:t>Th</w:t>
      </w:r>
      <w:r w:rsidR="00252EF7" w:rsidRPr="00515AA2">
        <w:rPr>
          <w:color w:val="000000"/>
          <w:lang w:val="en-CA"/>
        </w:rPr>
        <w:t>at</w:t>
      </w:r>
      <w:r w:rsidR="00D159A1" w:rsidRPr="00515AA2">
        <w:rPr>
          <w:color w:val="000000"/>
          <w:lang w:val="en-CA"/>
        </w:rPr>
        <w:t xml:space="preserve"> requirement undoubtedly has an effect on the applicants, but that effect, ultimately, is limited</w:t>
      </w:r>
      <w:r w:rsidR="008D4973" w:rsidRPr="00515AA2">
        <w:rPr>
          <w:color w:val="000000"/>
          <w:lang w:val="en-CA"/>
        </w:rPr>
        <w:t>.</w:t>
      </w:r>
    </w:p>
    <w:p w14:paraId="5032E9A1" w14:textId="1D42CFD1" w:rsidR="005024E5" w:rsidRPr="00515AA2" w:rsidRDefault="00D159A1" w:rsidP="00F846E3">
      <w:pPr>
        <w:pStyle w:val="Paragraphe"/>
        <w:spacing w:line="280" w:lineRule="exact"/>
        <w:rPr>
          <w:color w:val="000000"/>
          <w:lang w:val="en-CA"/>
        </w:rPr>
      </w:pPr>
      <w:r w:rsidRPr="00515AA2">
        <w:rPr>
          <w:color w:val="000000"/>
          <w:lang w:val="en-CA"/>
        </w:rPr>
        <w:t>This leads us to conclude that the burden imposed on minors is reasonable under the circumstances</w:t>
      </w:r>
      <w:r w:rsidR="00CB7848" w:rsidRPr="00515AA2">
        <w:rPr>
          <w:color w:val="000000"/>
          <w:lang w:val="en-CA"/>
        </w:rPr>
        <w:t xml:space="preserve">. </w:t>
      </w:r>
      <w:r w:rsidRPr="00515AA2">
        <w:rPr>
          <w:color w:val="000000"/>
          <w:lang w:val="en-CA"/>
        </w:rPr>
        <w:t>It takes into account their reality, the fact</w:t>
      </w:r>
      <w:r w:rsidR="007E645E" w:rsidRPr="00515AA2">
        <w:rPr>
          <w:color w:val="000000"/>
          <w:lang w:val="en-CA"/>
        </w:rPr>
        <w:t xml:space="preserve"> that</w:t>
      </w:r>
      <w:r w:rsidRPr="00515AA2">
        <w:rPr>
          <w:color w:val="000000"/>
          <w:lang w:val="en-CA"/>
        </w:rPr>
        <w:t xml:space="preserve"> they have not all reached their full maturity and that some, until they reach full age, may be more vulnerable on account of their age</w:t>
      </w:r>
      <w:r w:rsidR="00F91593" w:rsidRPr="00515AA2">
        <w:rPr>
          <w:color w:val="000000"/>
          <w:lang w:val="en-CA"/>
        </w:rPr>
        <w:t xml:space="preserve">. We note in that regard that in </w:t>
      </w:r>
      <w:r w:rsidR="00CB7848" w:rsidRPr="00515AA2">
        <w:rPr>
          <w:i/>
          <w:iCs/>
          <w:color w:val="000000"/>
          <w:lang w:val="en-CA"/>
        </w:rPr>
        <w:t xml:space="preserve">A.B. </w:t>
      </w:r>
      <w:r w:rsidR="00F91593" w:rsidRPr="00515AA2">
        <w:rPr>
          <w:i/>
          <w:iCs/>
          <w:color w:val="000000"/>
          <w:lang w:val="en-CA"/>
        </w:rPr>
        <w:t>v</w:t>
      </w:r>
      <w:r w:rsidR="00CB7848" w:rsidRPr="00515AA2">
        <w:rPr>
          <w:i/>
          <w:iCs/>
          <w:color w:val="000000"/>
          <w:lang w:val="en-CA"/>
        </w:rPr>
        <w:t>. Bragg Communications Inc.</w:t>
      </w:r>
      <w:r w:rsidR="00F91593" w:rsidRPr="00515AA2">
        <w:rPr>
          <w:color w:val="000000"/>
          <w:lang w:val="en-CA"/>
        </w:rPr>
        <w:t>,</w:t>
      </w:r>
      <w:r w:rsidR="00CB7848" w:rsidRPr="00515AA2">
        <w:rPr>
          <w:rStyle w:val="Appelnotedebasdep"/>
          <w:color w:val="000000"/>
          <w:lang w:val="en-CA"/>
        </w:rPr>
        <w:footnoteReference w:id="126"/>
      </w:r>
      <w:r w:rsidR="00CB7848" w:rsidRPr="00515AA2">
        <w:rPr>
          <w:color w:val="000000"/>
          <w:lang w:val="en-CA"/>
        </w:rPr>
        <w:t xml:space="preserve"> </w:t>
      </w:r>
      <w:r w:rsidR="00F91593" w:rsidRPr="00515AA2">
        <w:rPr>
          <w:color w:val="000000"/>
          <w:lang w:val="en-CA"/>
        </w:rPr>
        <w:t xml:space="preserve">a case involving </w:t>
      </w:r>
      <w:r w:rsidR="004422CA" w:rsidRPr="00515AA2">
        <w:rPr>
          <w:color w:val="000000"/>
          <w:lang w:val="en-CA"/>
        </w:rPr>
        <w:t xml:space="preserve">the </w:t>
      </w:r>
      <w:r w:rsidR="00F91593" w:rsidRPr="00515AA2">
        <w:rPr>
          <w:color w:val="000000"/>
          <w:lang w:val="en-CA"/>
        </w:rPr>
        <w:t>sexual</w:t>
      </w:r>
      <w:r w:rsidR="004422CA" w:rsidRPr="00515AA2">
        <w:rPr>
          <w:color w:val="000000"/>
          <w:lang w:val="en-CA"/>
        </w:rPr>
        <w:t>ized</w:t>
      </w:r>
      <w:r w:rsidR="00F91593" w:rsidRPr="00515AA2">
        <w:rPr>
          <w:color w:val="000000"/>
          <w:lang w:val="en-CA"/>
        </w:rPr>
        <w:t xml:space="preserve"> cyberbullying of a </w:t>
      </w:r>
      <w:r w:rsidR="004422CA" w:rsidRPr="00515AA2">
        <w:rPr>
          <w:color w:val="000000"/>
          <w:lang w:val="en-CA"/>
        </w:rPr>
        <w:t>15-</w:t>
      </w:r>
      <w:r w:rsidR="00F91593" w:rsidRPr="00515AA2">
        <w:rPr>
          <w:color w:val="000000"/>
          <w:lang w:val="en-CA"/>
        </w:rPr>
        <w:t>year</w:t>
      </w:r>
      <w:r w:rsidR="004422CA" w:rsidRPr="00515AA2">
        <w:rPr>
          <w:color w:val="000000"/>
          <w:lang w:val="en-CA"/>
        </w:rPr>
        <w:t>-</w:t>
      </w:r>
      <w:r w:rsidR="00F91593" w:rsidRPr="00515AA2">
        <w:rPr>
          <w:color w:val="000000"/>
          <w:lang w:val="en-CA"/>
        </w:rPr>
        <w:t xml:space="preserve">old minor, the Supreme Court </w:t>
      </w:r>
      <w:r w:rsidR="00F91593" w:rsidRPr="00515AA2">
        <w:rPr>
          <w:color w:val="000000"/>
          <w:lang w:val="en-CA"/>
        </w:rPr>
        <w:lastRenderedPageBreak/>
        <w:t xml:space="preserve">recognized that </w:t>
      </w:r>
      <w:r w:rsidR="004422CA" w:rsidRPr="00515AA2">
        <w:rPr>
          <w:color w:val="000000"/>
          <w:lang w:val="en-CA"/>
        </w:rPr>
        <w:t xml:space="preserve">the inherent vulnerability of children </w:t>
      </w:r>
      <w:r w:rsidR="00E81DB2" w:rsidRPr="00515AA2">
        <w:rPr>
          <w:color w:val="000000"/>
          <w:lang w:val="en-CA"/>
        </w:rPr>
        <w:t>remains deeply embedded</w:t>
      </w:r>
      <w:r w:rsidR="004422CA" w:rsidRPr="00515AA2">
        <w:rPr>
          <w:color w:val="000000"/>
          <w:lang w:val="en-CA"/>
        </w:rPr>
        <w:t xml:space="preserve"> in Canadian law</w:t>
      </w:r>
      <w:r w:rsidR="00CB7848" w:rsidRPr="00515AA2">
        <w:rPr>
          <w:color w:val="000000"/>
          <w:lang w:val="en-CA"/>
        </w:rPr>
        <w:t>.</w:t>
      </w:r>
    </w:p>
    <w:p w14:paraId="0A61E200" w14:textId="0DF8CA9A" w:rsidR="00CB7848" w:rsidRPr="00515AA2" w:rsidRDefault="004422CA" w:rsidP="00F846E3">
      <w:pPr>
        <w:pStyle w:val="Paragraphe"/>
        <w:spacing w:line="280" w:lineRule="exact"/>
        <w:rPr>
          <w:color w:val="000000"/>
          <w:lang w:val="en-CA"/>
        </w:rPr>
      </w:pPr>
      <w:r w:rsidRPr="00515AA2">
        <w:rPr>
          <w:color w:val="000000"/>
          <w:lang w:val="en-CA"/>
        </w:rPr>
        <w:t>In our view</w:t>
      </w:r>
      <w:r w:rsidR="0018457B" w:rsidRPr="00515AA2">
        <w:rPr>
          <w:color w:val="000000"/>
          <w:lang w:val="en-CA"/>
        </w:rPr>
        <w:t xml:space="preserve">, </w:t>
      </w:r>
      <w:r w:rsidRPr="00515AA2">
        <w:rPr>
          <w:color w:val="000000"/>
          <w:lang w:val="en-CA"/>
        </w:rPr>
        <w:t>the impugned provision reflects the need to assess the seriousness of the</w:t>
      </w:r>
      <w:r w:rsidR="00B42CA7" w:rsidRPr="00515AA2">
        <w:rPr>
          <w:color w:val="000000"/>
          <w:lang w:val="en-CA"/>
        </w:rPr>
        <w:t xml:space="preserve"> minors’</w:t>
      </w:r>
      <w:r w:rsidRPr="00515AA2">
        <w:rPr>
          <w:color w:val="000000"/>
          <w:lang w:val="en-CA"/>
        </w:rPr>
        <w:t xml:space="preserve"> undertaking, considering the importance of the change requested and its consequences</w:t>
      </w:r>
      <w:r w:rsidR="00252EF7" w:rsidRPr="00515AA2">
        <w:rPr>
          <w:color w:val="000000"/>
          <w:lang w:val="en-CA"/>
        </w:rPr>
        <w:t>,</w:t>
      </w:r>
      <w:r w:rsidRPr="00515AA2">
        <w:rPr>
          <w:color w:val="000000"/>
          <w:lang w:val="en-CA"/>
        </w:rPr>
        <w:t xml:space="preserve"> and considering the importance of the</w:t>
      </w:r>
      <w:r w:rsidR="00E92FA6" w:rsidRPr="00515AA2">
        <w:rPr>
          <w:color w:val="000000"/>
          <w:lang w:val="en-CA"/>
        </w:rPr>
        <w:t xml:space="preserve"> principle of</w:t>
      </w:r>
      <w:r w:rsidRPr="00515AA2">
        <w:rPr>
          <w:color w:val="000000"/>
          <w:lang w:val="en-CA"/>
        </w:rPr>
        <w:t xml:space="preserve"> sta</w:t>
      </w:r>
      <w:r w:rsidR="00E92FA6" w:rsidRPr="00515AA2">
        <w:rPr>
          <w:color w:val="000000"/>
          <w:lang w:val="en-CA"/>
        </w:rPr>
        <w:t>bility of acts of civil status</w:t>
      </w:r>
      <w:r w:rsidR="00CB7848" w:rsidRPr="00515AA2">
        <w:rPr>
          <w:color w:val="000000"/>
          <w:lang w:val="en-CA"/>
        </w:rPr>
        <w:t>.</w:t>
      </w:r>
    </w:p>
    <w:p w14:paraId="24FBD41C" w14:textId="1C811E42" w:rsidR="00016EAA" w:rsidRPr="00515AA2" w:rsidRDefault="00AD4269" w:rsidP="00F846E3">
      <w:pPr>
        <w:pStyle w:val="Paragraphe"/>
        <w:spacing w:line="280" w:lineRule="exact"/>
        <w:rPr>
          <w:color w:val="000000"/>
          <w:lang w:val="en-CA"/>
        </w:rPr>
      </w:pPr>
      <w:r w:rsidRPr="00515AA2">
        <w:rPr>
          <w:color w:val="000000"/>
          <w:lang w:val="en-CA"/>
        </w:rPr>
        <w:t>Consequently, we find that although the second paragraph of s</w:t>
      </w:r>
      <w:r w:rsidR="00B42CA7" w:rsidRPr="00515AA2">
        <w:rPr>
          <w:color w:val="000000"/>
          <w:lang w:val="en-CA"/>
        </w:rPr>
        <w:t>ection</w:t>
      </w:r>
      <w:r w:rsidRPr="00515AA2">
        <w:rPr>
          <w:color w:val="000000"/>
          <w:lang w:val="en-CA"/>
        </w:rPr>
        <w:t xml:space="preserve"> </w:t>
      </w:r>
      <w:r w:rsidR="004B1883" w:rsidRPr="00515AA2">
        <w:rPr>
          <w:color w:val="000000"/>
          <w:lang w:val="en-CA"/>
        </w:rPr>
        <w:t xml:space="preserve">23.2 </w:t>
      </w:r>
      <w:r w:rsidRPr="00515AA2">
        <w:rPr>
          <w:color w:val="000000"/>
          <w:lang w:val="en-CA"/>
        </w:rPr>
        <w:t>of the</w:t>
      </w:r>
      <w:r w:rsidR="004B1883" w:rsidRPr="00515AA2">
        <w:rPr>
          <w:color w:val="000000"/>
          <w:lang w:val="en-CA"/>
        </w:rPr>
        <w:t xml:space="preserve"> </w:t>
      </w:r>
      <w:r w:rsidRPr="00515AA2">
        <w:rPr>
          <w:i/>
          <w:iCs/>
          <w:color w:val="000000"/>
          <w:lang w:val="en-CA"/>
        </w:rPr>
        <w:t>Regulation</w:t>
      </w:r>
      <w:r w:rsidR="008C5B5D" w:rsidRPr="00515AA2">
        <w:rPr>
          <w:color w:val="000000"/>
          <w:lang w:val="en-CA"/>
        </w:rPr>
        <w:t xml:space="preserve"> </w:t>
      </w:r>
      <w:r w:rsidRPr="00515AA2">
        <w:rPr>
          <w:color w:val="000000"/>
          <w:lang w:val="en-CA"/>
        </w:rPr>
        <w:t>violates the right to dignity protected by s</w:t>
      </w:r>
      <w:r w:rsidR="00B42CA7" w:rsidRPr="00515AA2">
        <w:rPr>
          <w:color w:val="000000"/>
          <w:lang w:val="en-CA"/>
        </w:rPr>
        <w:t>ection</w:t>
      </w:r>
      <w:r w:rsidRPr="00515AA2">
        <w:rPr>
          <w:color w:val="000000"/>
          <w:lang w:val="en-CA"/>
        </w:rPr>
        <w:t xml:space="preserve"> </w:t>
      </w:r>
      <w:r w:rsidR="00ED41ED" w:rsidRPr="00515AA2">
        <w:rPr>
          <w:color w:val="000000"/>
          <w:lang w:val="en-CA"/>
        </w:rPr>
        <w:t xml:space="preserve">4 </w:t>
      </w:r>
      <w:r w:rsidRPr="00515AA2">
        <w:rPr>
          <w:color w:val="000000"/>
          <w:lang w:val="en-CA"/>
        </w:rPr>
        <w:t>and the right to life, security, inviolability and freedom protected by s</w:t>
      </w:r>
      <w:r w:rsidR="00B42CA7" w:rsidRPr="00515AA2">
        <w:rPr>
          <w:color w:val="000000"/>
          <w:lang w:val="en-CA"/>
        </w:rPr>
        <w:t>ection</w:t>
      </w:r>
      <w:r w:rsidRPr="00515AA2">
        <w:rPr>
          <w:color w:val="000000"/>
          <w:lang w:val="en-CA"/>
        </w:rPr>
        <w:t xml:space="preserve"> </w:t>
      </w:r>
      <w:r w:rsidR="0053250D" w:rsidRPr="00515AA2">
        <w:rPr>
          <w:color w:val="000000"/>
          <w:lang w:val="en-CA"/>
        </w:rPr>
        <w:t xml:space="preserve">1 </w:t>
      </w:r>
      <w:r w:rsidRPr="00515AA2">
        <w:rPr>
          <w:color w:val="000000"/>
          <w:lang w:val="en-CA"/>
        </w:rPr>
        <w:t>of the</w:t>
      </w:r>
      <w:r w:rsidR="00ED41ED" w:rsidRPr="00515AA2">
        <w:rPr>
          <w:color w:val="000000"/>
          <w:lang w:val="en-CA"/>
        </w:rPr>
        <w:t xml:space="preserve"> </w:t>
      </w:r>
      <w:r w:rsidRPr="00515AA2">
        <w:rPr>
          <w:i/>
          <w:iCs/>
          <w:color w:val="000000"/>
          <w:lang w:val="en-CA"/>
        </w:rPr>
        <w:t>Quebec Charter</w:t>
      </w:r>
      <w:r w:rsidR="002768E0" w:rsidRPr="00515AA2">
        <w:rPr>
          <w:color w:val="000000"/>
          <w:lang w:val="en-CA"/>
        </w:rPr>
        <w:t xml:space="preserve">, </w:t>
      </w:r>
      <w:r w:rsidRPr="00515AA2">
        <w:rPr>
          <w:color w:val="000000"/>
          <w:lang w:val="en-CA"/>
        </w:rPr>
        <w:t xml:space="preserve">the </w:t>
      </w:r>
      <w:r w:rsidR="00BD3CF0" w:rsidRPr="00515AA2">
        <w:rPr>
          <w:color w:val="000000"/>
          <w:lang w:val="en-CA"/>
        </w:rPr>
        <w:t>limit</w:t>
      </w:r>
      <w:r w:rsidRPr="00515AA2">
        <w:rPr>
          <w:color w:val="000000"/>
          <w:lang w:val="en-CA"/>
        </w:rPr>
        <w:t xml:space="preserve"> resulting therefrom, correctly construed,</w:t>
      </w:r>
      <w:r w:rsidR="00F66132" w:rsidRPr="00515AA2">
        <w:rPr>
          <w:color w:val="000000"/>
          <w:lang w:val="en-CA"/>
        </w:rPr>
        <w:t xml:space="preserve"> </w:t>
      </w:r>
      <w:r w:rsidRPr="00515AA2">
        <w:rPr>
          <w:color w:val="000000"/>
          <w:lang w:val="en-CA"/>
        </w:rPr>
        <w:t>is justified</w:t>
      </w:r>
      <w:r w:rsidR="00F66132" w:rsidRPr="00515AA2">
        <w:rPr>
          <w:color w:val="000000"/>
          <w:lang w:val="en-CA"/>
        </w:rPr>
        <w:t>.</w:t>
      </w:r>
    </w:p>
    <w:p w14:paraId="5EF98E11" w14:textId="676B2CF6" w:rsidR="0018457B" w:rsidRPr="00515AA2" w:rsidRDefault="00BD3CF0" w:rsidP="00F846E3">
      <w:pPr>
        <w:pStyle w:val="Paragraphe"/>
        <w:spacing w:line="280" w:lineRule="exact"/>
        <w:rPr>
          <w:color w:val="000000"/>
          <w:lang w:val="en-CA"/>
        </w:rPr>
      </w:pPr>
      <w:r w:rsidRPr="00515AA2">
        <w:rPr>
          <w:color w:val="000000"/>
          <w:lang w:val="en-CA"/>
        </w:rPr>
        <w:t xml:space="preserve">To the extent that the test would be the same if one were to determine whether the infringement of a right protected by the </w:t>
      </w:r>
      <w:r w:rsidRPr="00515AA2">
        <w:rPr>
          <w:i/>
          <w:iCs/>
          <w:color w:val="000000"/>
          <w:lang w:val="en-CA"/>
        </w:rPr>
        <w:t>Canadian Charter</w:t>
      </w:r>
      <w:r w:rsidRPr="00515AA2">
        <w:rPr>
          <w:color w:val="000000"/>
          <w:lang w:val="en-CA"/>
        </w:rPr>
        <w:t xml:space="preserve"> was justified under s</w:t>
      </w:r>
      <w:r w:rsidR="00B42CA7" w:rsidRPr="00515AA2">
        <w:rPr>
          <w:color w:val="000000"/>
          <w:lang w:val="en-CA"/>
        </w:rPr>
        <w:t>ection</w:t>
      </w:r>
      <w:r w:rsidR="005024E5" w:rsidRPr="00515AA2">
        <w:rPr>
          <w:color w:val="000000"/>
          <w:lang w:val="en-CA"/>
        </w:rPr>
        <w:t xml:space="preserve"> 1</w:t>
      </w:r>
      <w:r w:rsidRPr="00515AA2">
        <w:rPr>
          <w:color w:val="000000"/>
          <w:lang w:val="en-CA"/>
        </w:rPr>
        <w:t xml:space="preserve"> thereof, it is not useful to repeat that analysis and it is sufficient to apply the conclusion we have reached under s</w:t>
      </w:r>
      <w:r w:rsidR="00B42CA7" w:rsidRPr="00515AA2">
        <w:rPr>
          <w:color w:val="000000"/>
          <w:lang w:val="en-CA"/>
        </w:rPr>
        <w:t>ection</w:t>
      </w:r>
      <w:r w:rsidRPr="00515AA2">
        <w:rPr>
          <w:color w:val="000000"/>
          <w:lang w:val="en-CA"/>
        </w:rPr>
        <w:t xml:space="preserve"> 9.1 of the </w:t>
      </w:r>
      <w:r w:rsidRPr="00515AA2">
        <w:rPr>
          <w:i/>
          <w:iCs/>
          <w:color w:val="000000"/>
          <w:lang w:val="en-CA"/>
        </w:rPr>
        <w:t>Quebec Charter</w:t>
      </w:r>
      <w:r w:rsidRPr="00515AA2">
        <w:rPr>
          <w:color w:val="000000"/>
          <w:lang w:val="en-CA"/>
        </w:rPr>
        <w:t xml:space="preserve"> to the analysis to be carried out under s</w:t>
      </w:r>
      <w:r w:rsidR="00B42CA7" w:rsidRPr="00515AA2">
        <w:rPr>
          <w:color w:val="000000"/>
          <w:lang w:val="en-CA"/>
        </w:rPr>
        <w:t>ection</w:t>
      </w:r>
      <w:r w:rsidR="00464129" w:rsidRPr="00515AA2">
        <w:rPr>
          <w:color w:val="000000"/>
          <w:lang w:val="en-CA"/>
        </w:rPr>
        <w:t xml:space="preserve"> 1.</w:t>
      </w:r>
    </w:p>
    <w:p w14:paraId="237F6E19" w14:textId="2DE901DF" w:rsidR="006828F9" w:rsidRPr="00515AA2" w:rsidRDefault="006828F9" w:rsidP="00F846E3">
      <w:pPr>
        <w:spacing w:before="120" w:after="120"/>
        <w:jc w:val="center"/>
        <w:rPr>
          <w:color w:val="000000"/>
          <w:kern w:val="28"/>
          <w:lang w:val="en-CA"/>
        </w:rPr>
      </w:pPr>
      <w:r w:rsidRPr="00515AA2">
        <w:rPr>
          <w:color w:val="000000"/>
          <w:kern w:val="28"/>
          <w:lang w:val="en-CA"/>
        </w:rPr>
        <w:t>***</w:t>
      </w:r>
    </w:p>
    <w:p w14:paraId="1F1C1C12" w14:textId="4B0CACBC" w:rsidR="00016EAA" w:rsidRPr="00515AA2" w:rsidRDefault="00BD3CF0" w:rsidP="00540EF4">
      <w:pPr>
        <w:pStyle w:val="Paragraphe"/>
        <w:rPr>
          <w:color w:val="000000"/>
          <w:lang w:val="en-CA"/>
        </w:rPr>
      </w:pPr>
      <w:r w:rsidRPr="00515AA2">
        <w:rPr>
          <w:rStyle w:val="ParagrapheCar"/>
          <w:color w:val="000000"/>
          <w:lang w:val="en-CA"/>
        </w:rPr>
        <w:t>We now turn to the issu</w:t>
      </w:r>
      <w:r w:rsidRPr="00515AA2">
        <w:rPr>
          <w:color w:val="000000"/>
          <w:lang w:val="en-CA"/>
        </w:rPr>
        <w:t>es raised by the incidental appea</w:t>
      </w:r>
      <w:r w:rsidR="00630600" w:rsidRPr="00515AA2">
        <w:rPr>
          <w:color w:val="000000"/>
          <w:lang w:val="en-CA"/>
        </w:rPr>
        <w:t>l.</w:t>
      </w:r>
    </w:p>
    <w:p w14:paraId="2E7C188F" w14:textId="728CD12E" w:rsidR="004E2FB1" w:rsidRPr="00515AA2" w:rsidRDefault="00586E7B" w:rsidP="00D84C5B">
      <w:pPr>
        <w:pStyle w:val="PRINCIPALAPPEAL"/>
        <w:numPr>
          <w:ilvl w:val="0"/>
          <w:numId w:val="20"/>
        </w:numPr>
        <w:ind w:left="993" w:hanging="426"/>
        <w:rPr>
          <w:color w:val="000000"/>
        </w:rPr>
      </w:pPr>
      <w:bookmarkStart w:id="75" w:name="_Toc161830121"/>
      <w:r w:rsidRPr="00515AA2">
        <w:rPr>
          <w:color w:val="000000"/>
        </w:rPr>
        <w:t>Incidental Appeal</w:t>
      </w:r>
      <w:bookmarkEnd w:id="75"/>
    </w:p>
    <w:p w14:paraId="4A7B509B" w14:textId="33F7EFDA" w:rsidR="00FD7451" w:rsidRPr="00515AA2" w:rsidRDefault="00586E7B" w:rsidP="00D84C5B">
      <w:pPr>
        <w:pStyle w:val="Titre5"/>
        <w:numPr>
          <w:ilvl w:val="0"/>
          <w:numId w:val="21"/>
        </w:numPr>
        <w:ind w:left="1418" w:hanging="709"/>
        <w:rPr>
          <w:color w:val="000000"/>
        </w:rPr>
      </w:pPr>
      <w:bookmarkStart w:id="76" w:name="_Toc161830122"/>
      <w:r w:rsidRPr="00515AA2">
        <w:rPr>
          <w:color w:val="000000"/>
        </w:rPr>
        <w:t>Did</w:t>
      </w:r>
      <w:r w:rsidR="00FD7451" w:rsidRPr="00515AA2">
        <w:rPr>
          <w:color w:val="000000"/>
        </w:rPr>
        <w:t xml:space="preserve"> </w:t>
      </w:r>
      <w:r w:rsidRPr="00515AA2">
        <w:rPr>
          <w:color w:val="000000"/>
        </w:rPr>
        <w:t xml:space="preserve">the trial judge err in </w:t>
      </w:r>
      <w:r w:rsidR="00252EF7" w:rsidRPr="00515AA2">
        <w:rPr>
          <w:color w:val="000000"/>
        </w:rPr>
        <w:t>holding</w:t>
      </w:r>
      <w:r w:rsidRPr="00515AA2">
        <w:rPr>
          <w:color w:val="000000"/>
        </w:rPr>
        <w:t xml:space="preserve"> that art</w:t>
      </w:r>
      <w:r w:rsidR="00B42CA7" w:rsidRPr="00515AA2">
        <w:rPr>
          <w:color w:val="000000"/>
        </w:rPr>
        <w:t>icle</w:t>
      </w:r>
      <w:r w:rsidRPr="00515AA2">
        <w:rPr>
          <w:color w:val="000000"/>
        </w:rPr>
        <w:t xml:space="preserve"> 62 C.C.Q. d</w:t>
      </w:r>
      <w:r w:rsidR="00252EF7" w:rsidRPr="00515AA2">
        <w:rPr>
          <w:color w:val="000000"/>
        </w:rPr>
        <w:t>id</w:t>
      </w:r>
      <w:r w:rsidRPr="00515AA2">
        <w:rPr>
          <w:color w:val="000000"/>
        </w:rPr>
        <w:t xml:space="preserve"> not </w:t>
      </w:r>
      <w:r w:rsidR="00252EF7" w:rsidRPr="00515AA2">
        <w:rPr>
          <w:color w:val="000000"/>
        </w:rPr>
        <w:t>breach</w:t>
      </w:r>
      <w:r w:rsidRPr="00515AA2">
        <w:rPr>
          <w:color w:val="000000"/>
        </w:rPr>
        <w:t xml:space="preserve"> </w:t>
      </w:r>
      <w:r w:rsidR="00252EF7" w:rsidRPr="00515AA2">
        <w:rPr>
          <w:color w:val="000000"/>
        </w:rPr>
        <w:t xml:space="preserve">transgender minors’ </w:t>
      </w:r>
      <w:r w:rsidRPr="00515AA2">
        <w:rPr>
          <w:color w:val="000000"/>
        </w:rPr>
        <w:t>right to equality of guaranteed by s</w:t>
      </w:r>
      <w:r w:rsidR="00B42CA7" w:rsidRPr="00515AA2">
        <w:rPr>
          <w:color w:val="000000"/>
        </w:rPr>
        <w:t>ection</w:t>
      </w:r>
      <w:r w:rsidRPr="00515AA2">
        <w:rPr>
          <w:color w:val="000000"/>
        </w:rPr>
        <w:t xml:space="preserve"> 15 of the Canadian Charter</w:t>
      </w:r>
      <w:r w:rsidR="00FD7451" w:rsidRPr="00515AA2">
        <w:rPr>
          <w:color w:val="000000"/>
        </w:rPr>
        <w:t>?</w:t>
      </w:r>
      <w:bookmarkEnd w:id="76"/>
    </w:p>
    <w:p w14:paraId="6EED34E1" w14:textId="39A4DEFD" w:rsidR="00A03883" w:rsidRPr="00515AA2" w:rsidRDefault="00586E7B" w:rsidP="00F846E3">
      <w:pPr>
        <w:pStyle w:val="Paragraphe"/>
        <w:spacing w:line="280" w:lineRule="exact"/>
        <w:rPr>
          <w:color w:val="000000"/>
          <w:lang w:val="en-CA"/>
        </w:rPr>
      </w:pPr>
      <w:r w:rsidRPr="00515AA2">
        <w:rPr>
          <w:color w:val="000000"/>
          <w:lang w:val="en-CA"/>
        </w:rPr>
        <w:t xml:space="preserve">The incidental appellant argues that </w:t>
      </w:r>
      <w:r w:rsidR="00E81DB2" w:rsidRPr="00515AA2">
        <w:rPr>
          <w:color w:val="000000"/>
          <w:lang w:val="en-CA"/>
        </w:rPr>
        <w:t>art</w:t>
      </w:r>
      <w:r w:rsidR="00B42CA7" w:rsidRPr="00515AA2">
        <w:rPr>
          <w:color w:val="000000"/>
          <w:lang w:val="en-CA"/>
        </w:rPr>
        <w:t>icle</w:t>
      </w:r>
      <w:r w:rsidR="00A03883" w:rsidRPr="00515AA2">
        <w:rPr>
          <w:color w:val="000000"/>
          <w:lang w:val="en-CA"/>
        </w:rPr>
        <w:t xml:space="preserve"> 62 </w:t>
      </w:r>
      <w:r w:rsidR="00A03883" w:rsidRPr="00515AA2">
        <w:rPr>
          <w:i/>
          <w:iCs/>
          <w:color w:val="000000"/>
          <w:lang w:val="en-CA"/>
        </w:rPr>
        <w:t>C.</w:t>
      </w:r>
      <w:r w:rsidRPr="00515AA2">
        <w:rPr>
          <w:i/>
          <w:iCs/>
          <w:color w:val="000000"/>
          <w:lang w:val="en-CA"/>
        </w:rPr>
        <w:t>C</w:t>
      </w:r>
      <w:r w:rsidR="00A03883" w:rsidRPr="00515AA2">
        <w:rPr>
          <w:i/>
          <w:iCs/>
          <w:color w:val="000000"/>
          <w:lang w:val="en-CA"/>
        </w:rPr>
        <w:t>.Q</w:t>
      </w:r>
      <w:r w:rsidR="00A03883" w:rsidRPr="00515AA2">
        <w:rPr>
          <w:color w:val="000000"/>
          <w:lang w:val="en-CA"/>
        </w:rPr>
        <w:t xml:space="preserve">. </w:t>
      </w:r>
      <w:r w:rsidRPr="00515AA2">
        <w:rPr>
          <w:color w:val="000000"/>
          <w:lang w:val="en-CA"/>
        </w:rPr>
        <w:t>breaches the rights of transgender minors 14 years of age or over to equality, dignity, security, privacy, freedom and inviolabi</w:t>
      </w:r>
      <w:r w:rsidR="00427B01" w:rsidRPr="00515AA2">
        <w:rPr>
          <w:color w:val="000000"/>
          <w:lang w:val="en-CA"/>
        </w:rPr>
        <w:t>li</w:t>
      </w:r>
      <w:r w:rsidRPr="00515AA2">
        <w:rPr>
          <w:color w:val="000000"/>
          <w:lang w:val="en-CA"/>
        </w:rPr>
        <w:t xml:space="preserve">ty to the extent that it is </w:t>
      </w:r>
      <w:r w:rsidR="009C5303" w:rsidRPr="00515AA2">
        <w:rPr>
          <w:color w:val="000000"/>
          <w:lang w:val="en-CA"/>
        </w:rPr>
        <w:t>read</w:t>
      </w:r>
      <w:r w:rsidR="00427B01" w:rsidRPr="00515AA2">
        <w:rPr>
          <w:color w:val="000000"/>
          <w:lang w:val="en-CA"/>
        </w:rPr>
        <w:t xml:space="preserve">, on the one hand, as requiring </w:t>
      </w:r>
      <w:r w:rsidR="00960EDB" w:rsidRPr="00515AA2">
        <w:rPr>
          <w:color w:val="000000"/>
          <w:lang w:val="en-CA"/>
        </w:rPr>
        <w:t>that they</w:t>
      </w:r>
      <w:r w:rsidR="00427B01" w:rsidRPr="00515AA2">
        <w:rPr>
          <w:color w:val="000000"/>
          <w:lang w:val="en-CA"/>
        </w:rPr>
        <w:t xml:space="preserve"> notify their parents or tutors when apply</w:t>
      </w:r>
      <w:r w:rsidR="00960EDB" w:rsidRPr="00515AA2">
        <w:rPr>
          <w:color w:val="000000"/>
          <w:lang w:val="en-CA"/>
        </w:rPr>
        <w:t>ing</w:t>
      </w:r>
      <w:r w:rsidR="00427B01" w:rsidRPr="00515AA2">
        <w:rPr>
          <w:color w:val="000000"/>
          <w:lang w:val="en-CA"/>
        </w:rPr>
        <w:t xml:space="preserve"> to the registrar of civil status for a change of the given name</w:t>
      </w:r>
      <w:r w:rsidR="00E81DB2" w:rsidRPr="00515AA2">
        <w:rPr>
          <w:color w:val="000000"/>
          <w:lang w:val="en-CA"/>
        </w:rPr>
        <w:t xml:space="preserve"> or names</w:t>
      </w:r>
      <w:r w:rsidR="00427B01" w:rsidRPr="00515AA2">
        <w:rPr>
          <w:color w:val="000000"/>
          <w:lang w:val="en-CA"/>
        </w:rPr>
        <w:t xml:space="preserve"> that appear on their act of birth and</w:t>
      </w:r>
      <w:r w:rsidR="00A03883" w:rsidRPr="00515AA2">
        <w:rPr>
          <w:color w:val="000000"/>
          <w:lang w:val="en-CA"/>
        </w:rPr>
        <w:t xml:space="preserve">, </w:t>
      </w:r>
      <w:r w:rsidR="00427B01" w:rsidRPr="00515AA2">
        <w:rPr>
          <w:color w:val="000000"/>
          <w:lang w:val="en-CA"/>
        </w:rPr>
        <w:t>on the other hand</w:t>
      </w:r>
      <w:r w:rsidR="00A03883" w:rsidRPr="00515AA2">
        <w:rPr>
          <w:color w:val="000000"/>
          <w:lang w:val="en-CA"/>
        </w:rPr>
        <w:t>,</w:t>
      </w:r>
      <w:r w:rsidR="00427B01" w:rsidRPr="00515AA2">
        <w:rPr>
          <w:color w:val="000000"/>
          <w:lang w:val="en-CA"/>
        </w:rPr>
        <w:t xml:space="preserve"> as allowing their parents to object to that application</w:t>
      </w:r>
      <w:r w:rsidR="00A03883" w:rsidRPr="00515AA2">
        <w:rPr>
          <w:color w:val="000000"/>
          <w:lang w:val="en-CA"/>
        </w:rPr>
        <w:t xml:space="preserve">. </w:t>
      </w:r>
      <w:r w:rsidR="00427B01" w:rsidRPr="00515AA2">
        <w:rPr>
          <w:color w:val="000000"/>
          <w:lang w:val="en-CA"/>
        </w:rPr>
        <w:t>Consequently, the</w:t>
      </w:r>
      <w:r w:rsidR="00960EDB" w:rsidRPr="00515AA2">
        <w:rPr>
          <w:color w:val="000000"/>
          <w:lang w:val="en-CA"/>
        </w:rPr>
        <w:t>y</w:t>
      </w:r>
      <w:r w:rsidR="00427B01" w:rsidRPr="00515AA2">
        <w:rPr>
          <w:color w:val="000000"/>
          <w:lang w:val="en-CA"/>
        </w:rPr>
        <w:t xml:space="preserve"> ask the Court to interpret art</w:t>
      </w:r>
      <w:r w:rsidR="00B42CA7" w:rsidRPr="00515AA2">
        <w:rPr>
          <w:color w:val="000000"/>
          <w:lang w:val="en-CA"/>
        </w:rPr>
        <w:t>icle</w:t>
      </w:r>
      <w:r w:rsidR="00A03883" w:rsidRPr="00515AA2">
        <w:rPr>
          <w:color w:val="000000"/>
          <w:lang w:val="en-CA"/>
        </w:rPr>
        <w:t xml:space="preserve"> 62 </w:t>
      </w:r>
      <w:r w:rsidR="00A03883" w:rsidRPr="00515AA2">
        <w:rPr>
          <w:i/>
          <w:iCs/>
          <w:color w:val="000000"/>
          <w:lang w:val="en-CA"/>
        </w:rPr>
        <w:t>C.</w:t>
      </w:r>
      <w:r w:rsidR="00427B01" w:rsidRPr="00515AA2">
        <w:rPr>
          <w:i/>
          <w:iCs/>
          <w:color w:val="000000"/>
          <w:lang w:val="en-CA"/>
        </w:rPr>
        <w:t>C</w:t>
      </w:r>
      <w:r w:rsidR="00A03883" w:rsidRPr="00515AA2">
        <w:rPr>
          <w:i/>
          <w:iCs/>
          <w:color w:val="000000"/>
          <w:lang w:val="en-CA"/>
        </w:rPr>
        <w:t>.Q</w:t>
      </w:r>
      <w:r w:rsidR="00A03883" w:rsidRPr="00515AA2">
        <w:rPr>
          <w:color w:val="000000"/>
          <w:lang w:val="en-CA"/>
        </w:rPr>
        <w:t xml:space="preserve">. </w:t>
      </w:r>
      <w:r w:rsidR="00427B01" w:rsidRPr="00515AA2">
        <w:rPr>
          <w:color w:val="000000"/>
          <w:lang w:val="en-CA"/>
        </w:rPr>
        <w:t xml:space="preserve">in a manner </w:t>
      </w:r>
      <w:r w:rsidR="00252EF7" w:rsidRPr="00515AA2">
        <w:rPr>
          <w:color w:val="000000"/>
          <w:lang w:val="en-CA"/>
        </w:rPr>
        <w:t>that</w:t>
      </w:r>
      <w:r w:rsidR="00427B01" w:rsidRPr="00515AA2">
        <w:rPr>
          <w:color w:val="000000"/>
          <w:lang w:val="en-CA"/>
        </w:rPr>
        <w:t xml:space="preserve"> respects their fundamental rights</w:t>
      </w:r>
      <w:r w:rsidR="00A03883" w:rsidRPr="00515AA2">
        <w:rPr>
          <w:color w:val="000000"/>
          <w:lang w:val="en-CA"/>
        </w:rPr>
        <w:t>.</w:t>
      </w:r>
    </w:p>
    <w:p w14:paraId="2DEE82D2" w14:textId="2D79A091" w:rsidR="00483EDD" w:rsidRPr="00515AA2" w:rsidRDefault="009C5303" w:rsidP="00F846E3">
      <w:pPr>
        <w:pStyle w:val="Paragraphe"/>
        <w:spacing w:line="280" w:lineRule="exact"/>
        <w:rPr>
          <w:color w:val="000000"/>
          <w:lang w:val="en-CA"/>
        </w:rPr>
      </w:pPr>
      <w:r w:rsidRPr="00515AA2">
        <w:rPr>
          <w:color w:val="000000"/>
          <w:lang w:val="en-CA"/>
        </w:rPr>
        <w:t>To repeat, that article provides as follows</w:t>
      </w:r>
      <w:r w:rsidR="00483EDD" w:rsidRPr="00515AA2">
        <w:rPr>
          <w:color w:val="000000"/>
          <w:lang w:val="en-CA"/>
        </w:rPr>
        <w:t>:</w:t>
      </w:r>
    </w:p>
    <w:tbl>
      <w:tblPr>
        <w:tblW w:w="9362" w:type="dxa"/>
        <w:tblLayout w:type="fixed"/>
        <w:tblCellMar>
          <w:left w:w="70" w:type="dxa"/>
          <w:right w:w="70" w:type="dxa"/>
        </w:tblCellMar>
        <w:tblLook w:val="0000" w:firstRow="0" w:lastRow="0" w:firstColumn="0" w:lastColumn="0" w:noHBand="0" w:noVBand="0"/>
      </w:tblPr>
      <w:tblGrid>
        <w:gridCol w:w="4681"/>
        <w:gridCol w:w="4681"/>
      </w:tblGrid>
      <w:tr w:rsidR="00515AA2" w:rsidRPr="00515AA2" w14:paraId="11B88105" w14:textId="77777777" w:rsidTr="006F0365">
        <w:tc>
          <w:tcPr>
            <w:tcW w:w="4681" w:type="dxa"/>
            <w:shd w:val="clear" w:color="auto" w:fill="auto"/>
          </w:tcPr>
          <w:p w14:paraId="00F2028F" w14:textId="77777777" w:rsidR="007E645E" w:rsidRPr="00515AA2" w:rsidRDefault="007E645E" w:rsidP="00D6502D">
            <w:pPr>
              <w:pStyle w:val="Tableaudroiteanglais"/>
              <w:spacing w:line="240" w:lineRule="auto"/>
              <w:ind w:left="638" w:right="216"/>
              <w:rPr>
                <w:color w:val="000000"/>
              </w:rPr>
            </w:pPr>
            <w:r w:rsidRPr="00515AA2">
              <w:rPr>
                <w:b/>
                <w:bCs/>
                <w:color w:val="000000"/>
              </w:rPr>
              <w:t>62.</w:t>
            </w:r>
            <w:r w:rsidRPr="00515AA2">
              <w:rPr>
                <w:color w:val="000000"/>
              </w:rPr>
              <w:t xml:space="preserve"> Except for a compelling reason, no change of name of a minor child may be granted if, as the case may be, the father and mother or the parents of the minor child as legal tutors, the tutor, if any, or the minor, if 14 years of age or </w:t>
            </w:r>
            <w:r w:rsidRPr="00515AA2">
              <w:rPr>
                <w:color w:val="000000"/>
              </w:rPr>
              <w:lastRenderedPageBreak/>
              <w:t>over, have not been notified of the application or if any of those persons object to it.</w:t>
            </w:r>
          </w:p>
          <w:p w14:paraId="5F58D295" w14:textId="77777777" w:rsidR="007E645E" w:rsidRPr="00515AA2" w:rsidRDefault="007E645E" w:rsidP="006F0365">
            <w:pPr>
              <w:pStyle w:val="Tableaugauchefranais"/>
              <w:spacing w:line="240" w:lineRule="auto"/>
              <w:rPr>
                <w:color w:val="000000"/>
                <w:lang w:val="en-CA"/>
              </w:rPr>
            </w:pPr>
          </w:p>
        </w:tc>
        <w:tc>
          <w:tcPr>
            <w:tcW w:w="4681" w:type="dxa"/>
            <w:shd w:val="clear" w:color="auto" w:fill="auto"/>
          </w:tcPr>
          <w:p w14:paraId="6D938587" w14:textId="77777777" w:rsidR="007E645E" w:rsidRPr="00515AA2" w:rsidRDefault="007E645E" w:rsidP="00D6502D">
            <w:pPr>
              <w:pStyle w:val="Tableaugauchefranais"/>
              <w:spacing w:line="240" w:lineRule="auto"/>
              <w:ind w:left="208" w:right="646"/>
              <w:rPr>
                <w:color w:val="000000"/>
              </w:rPr>
            </w:pPr>
            <w:r w:rsidRPr="00515AA2">
              <w:rPr>
                <w:b/>
                <w:bCs/>
                <w:color w:val="000000"/>
              </w:rPr>
              <w:lastRenderedPageBreak/>
              <w:t>62.</w:t>
            </w:r>
            <w:r w:rsidRPr="00515AA2">
              <w:rPr>
                <w:color w:val="000000"/>
              </w:rPr>
              <w:t xml:space="preserve"> À moins d’un motif impérieux, le changement de nom à l’égard d’un enfant mineur n’est pas accordé si, selon le cas, les père et mère ou les parents de l’enfant mineur à titre de tuteurs légaux, le tuteur, le cas </w:t>
            </w:r>
            <w:r w:rsidRPr="00515AA2">
              <w:rPr>
                <w:color w:val="000000"/>
              </w:rPr>
              <w:lastRenderedPageBreak/>
              <w:t>échéant, ou le mineur de 14 ans et plus n’ont pas été avisés de la demande ou si l’une de ces personnes s’y oppose.</w:t>
            </w:r>
          </w:p>
          <w:p w14:paraId="4F768AD2" w14:textId="77777777" w:rsidR="007E645E" w:rsidRPr="00515AA2" w:rsidRDefault="007E645E" w:rsidP="006F0365">
            <w:pPr>
              <w:pStyle w:val="Tableaudroiteanglais"/>
              <w:spacing w:line="240" w:lineRule="auto"/>
              <w:rPr>
                <w:color w:val="000000"/>
                <w:lang w:val="fr-CA"/>
              </w:rPr>
            </w:pPr>
          </w:p>
        </w:tc>
      </w:tr>
      <w:tr w:rsidR="00515AA2" w:rsidRPr="00515AA2" w14:paraId="43FA2B32" w14:textId="77777777" w:rsidTr="006F0365">
        <w:tc>
          <w:tcPr>
            <w:tcW w:w="4681" w:type="dxa"/>
            <w:shd w:val="clear" w:color="auto" w:fill="auto"/>
          </w:tcPr>
          <w:p w14:paraId="6E3A516A" w14:textId="77777777" w:rsidR="007E645E" w:rsidRPr="00515AA2" w:rsidRDefault="007E645E" w:rsidP="006F0365">
            <w:pPr>
              <w:pStyle w:val="Tableaugauchefranais"/>
              <w:spacing w:line="240" w:lineRule="auto"/>
              <w:rPr>
                <w:color w:val="000000"/>
                <w:lang w:val="en-CA"/>
              </w:rPr>
            </w:pPr>
            <w:r w:rsidRPr="00515AA2">
              <w:rPr>
                <w:color w:val="000000"/>
                <w:lang w:val="en-CA"/>
              </w:rPr>
              <w:lastRenderedPageBreak/>
              <w:t>The same applies in the case of an application for the addition to the surname of the minor of a part taken from the surname of the father or mother or of one of the parents, except with respect to the right to object reserved to the tutor of a minor under 14 years of age or to the minor 14 years of age or over.</w:t>
            </w:r>
          </w:p>
        </w:tc>
        <w:tc>
          <w:tcPr>
            <w:tcW w:w="4681" w:type="dxa"/>
            <w:shd w:val="clear" w:color="auto" w:fill="auto"/>
          </w:tcPr>
          <w:p w14:paraId="4E523CFA" w14:textId="77777777" w:rsidR="007E645E" w:rsidRPr="00515AA2" w:rsidRDefault="007E645E" w:rsidP="00D6502D">
            <w:pPr>
              <w:pStyle w:val="Tableaudroiteanglais"/>
              <w:spacing w:line="240" w:lineRule="auto"/>
              <w:ind w:left="208" w:right="646"/>
              <w:rPr>
                <w:color w:val="000000"/>
                <w:lang w:val="fr-CA"/>
              </w:rPr>
            </w:pPr>
            <w:r w:rsidRPr="00515AA2">
              <w:rPr>
                <w:color w:val="000000"/>
                <w:lang w:val="fr-CA"/>
              </w:rPr>
              <w:t>Il en est de même lorsque l’on demande l’ajout au nom de famille du mineur d’une partie provenant du nom de famille de son père ou de sa mère ou de l’un de ses parents, sauf en ce qui concerne le droit d’opposition qui est réservé au tuteur du mineur de moins de 14 ans ou au mineur de 14 ans et plus.</w:t>
            </w:r>
          </w:p>
        </w:tc>
      </w:tr>
    </w:tbl>
    <w:p w14:paraId="6943B45B" w14:textId="30C72485" w:rsidR="00A03883" w:rsidRPr="00515AA2" w:rsidRDefault="009C5303" w:rsidP="00F846E3">
      <w:pPr>
        <w:pStyle w:val="Paragraphe"/>
        <w:spacing w:line="280" w:lineRule="exact"/>
        <w:rPr>
          <w:color w:val="000000"/>
          <w:lang w:val="en-CA"/>
        </w:rPr>
      </w:pPr>
      <w:r w:rsidRPr="00515AA2">
        <w:rPr>
          <w:color w:val="000000"/>
          <w:lang w:val="en-CA"/>
        </w:rPr>
        <w:t xml:space="preserve">While acknowledging that an application for a change of given name </w:t>
      </w:r>
      <w:r w:rsidR="009C64FB" w:rsidRPr="00515AA2">
        <w:rPr>
          <w:color w:val="000000"/>
          <w:lang w:val="en-CA"/>
        </w:rPr>
        <w:t>motivated by a gender identity issue could constitute a compelling reason</w:t>
      </w:r>
      <w:r w:rsidR="0097613C" w:rsidRPr="00515AA2">
        <w:rPr>
          <w:color w:val="000000"/>
          <w:lang w:val="en-CA"/>
        </w:rPr>
        <w:t xml:space="preserve">, </w:t>
      </w:r>
      <w:r w:rsidR="009C64FB" w:rsidRPr="00515AA2">
        <w:rPr>
          <w:color w:val="000000"/>
          <w:lang w:val="en-CA"/>
        </w:rPr>
        <w:t>the</w:t>
      </w:r>
      <w:r w:rsidR="001C5523" w:rsidRPr="00515AA2">
        <w:rPr>
          <w:color w:val="000000"/>
          <w:lang w:val="en-CA"/>
        </w:rPr>
        <w:t xml:space="preserve"> </w:t>
      </w:r>
      <w:r w:rsidR="005677B0" w:rsidRPr="00515AA2">
        <w:rPr>
          <w:color w:val="000000"/>
          <w:lang w:val="en-CA"/>
        </w:rPr>
        <w:t xml:space="preserve">AGQ, as </w:t>
      </w:r>
      <w:r w:rsidR="001C5523" w:rsidRPr="00515AA2">
        <w:rPr>
          <w:color w:val="000000"/>
          <w:lang w:val="en-CA"/>
        </w:rPr>
        <w:t>incidental respondent</w:t>
      </w:r>
      <w:r w:rsidR="005677B0" w:rsidRPr="00515AA2">
        <w:rPr>
          <w:color w:val="000000"/>
          <w:lang w:val="en-CA"/>
        </w:rPr>
        <w:t>,</w:t>
      </w:r>
      <w:r w:rsidR="001C5523" w:rsidRPr="00515AA2">
        <w:rPr>
          <w:color w:val="000000"/>
          <w:lang w:val="en-CA"/>
        </w:rPr>
        <w:t xml:space="preserve"> </w:t>
      </w:r>
      <w:r w:rsidR="009C64FB" w:rsidRPr="00515AA2">
        <w:rPr>
          <w:color w:val="000000"/>
          <w:lang w:val="en-CA"/>
        </w:rPr>
        <w:t xml:space="preserve">suggests for its part that the lack of evidence that the registrar of civil status </w:t>
      </w:r>
      <w:r w:rsidR="005677B0" w:rsidRPr="00515AA2">
        <w:rPr>
          <w:color w:val="000000"/>
          <w:lang w:val="en-CA"/>
        </w:rPr>
        <w:t xml:space="preserve">has </w:t>
      </w:r>
      <w:r w:rsidR="009C64FB" w:rsidRPr="00515AA2">
        <w:rPr>
          <w:color w:val="000000"/>
          <w:lang w:val="en-CA"/>
        </w:rPr>
        <w:t xml:space="preserve">refused to consent to such an application by a minor 14 years of age </w:t>
      </w:r>
      <w:r w:rsidR="002C7FEF" w:rsidRPr="00515AA2">
        <w:rPr>
          <w:color w:val="000000"/>
          <w:lang w:val="en-CA"/>
        </w:rPr>
        <w:t>or over</w:t>
      </w:r>
      <w:r w:rsidR="009C64FB" w:rsidRPr="00515AA2">
        <w:rPr>
          <w:color w:val="000000"/>
          <w:lang w:val="en-CA"/>
        </w:rPr>
        <w:t xml:space="preserve"> should </w:t>
      </w:r>
      <w:r w:rsidR="004E1301" w:rsidRPr="00515AA2">
        <w:rPr>
          <w:color w:val="000000"/>
          <w:lang w:val="en-CA"/>
        </w:rPr>
        <w:t xml:space="preserve">settle the </w:t>
      </w:r>
      <w:r w:rsidR="00252EF7" w:rsidRPr="00515AA2">
        <w:rPr>
          <w:color w:val="000000"/>
          <w:lang w:val="en-CA"/>
        </w:rPr>
        <w:t>matter</w:t>
      </w:r>
      <w:r w:rsidR="009C64FB" w:rsidRPr="00515AA2">
        <w:rPr>
          <w:color w:val="000000"/>
          <w:lang w:val="en-CA"/>
        </w:rPr>
        <w:t xml:space="preserve"> and lead the Court to</w:t>
      </w:r>
      <w:r w:rsidR="00422748" w:rsidRPr="00515AA2">
        <w:rPr>
          <w:color w:val="000000"/>
          <w:lang w:val="en-CA"/>
        </w:rPr>
        <w:t xml:space="preserve"> decline to rule both on the proper interpretation </w:t>
      </w:r>
      <w:r w:rsidR="005677B0" w:rsidRPr="00515AA2">
        <w:rPr>
          <w:color w:val="000000"/>
          <w:lang w:val="en-CA"/>
        </w:rPr>
        <w:t xml:space="preserve">of </w:t>
      </w:r>
      <w:r w:rsidR="009C64FB" w:rsidRPr="00515AA2">
        <w:rPr>
          <w:color w:val="000000"/>
          <w:lang w:val="en-CA"/>
        </w:rPr>
        <w:t>art</w:t>
      </w:r>
      <w:r w:rsidR="00B42CA7" w:rsidRPr="00515AA2">
        <w:rPr>
          <w:color w:val="000000"/>
          <w:lang w:val="en-CA"/>
        </w:rPr>
        <w:t>icle</w:t>
      </w:r>
      <w:r w:rsidR="009C64FB" w:rsidRPr="00515AA2">
        <w:rPr>
          <w:color w:val="000000"/>
          <w:lang w:val="en-CA"/>
        </w:rPr>
        <w:t xml:space="preserve"> </w:t>
      </w:r>
      <w:r w:rsidR="00A03883" w:rsidRPr="00515AA2">
        <w:rPr>
          <w:color w:val="000000"/>
          <w:lang w:val="en-CA"/>
        </w:rPr>
        <w:t xml:space="preserve">62 </w:t>
      </w:r>
      <w:r w:rsidR="00A03883" w:rsidRPr="00515AA2">
        <w:rPr>
          <w:i/>
          <w:iCs/>
          <w:color w:val="000000"/>
          <w:lang w:val="en-CA"/>
        </w:rPr>
        <w:t>C.</w:t>
      </w:r>
      <w:r w:rsidR="00833195" w:rsidRPr="00515AA2">
        <w:rPr>
          <w:i/>
          <w:iCs/>
          <w:color w:val="000000"/>
          <w:lang w:val="en-CA"/>
        </w:rPr>
        <w:t>C</w:t>
      </w:r>
      <w:r w:rsidR="00A03883" w:rsidRPr="00515AA2">
        <w:rPr>
          <w:i/>
          <w:iCs/>
          <w:color w:val="000000"/>
          <w:lang w:val="en-CA"/>
        </w:rPr>
        <w:t>.Q</w:t>
      </w:r>
      <w:r w:rsidR="00A03883" w:rsidRPr="00515AA2">
        <w:rPr>
          <w:color w:val="000000"/>
          <w:lang w:val="en-CA"/>
        </w:rPr>
        <w:t xml:space="preserve">. </w:t>
      </w:r>
      <w:r w:rsidR="009C64FB" w:rsidRPr="00515AA2">
        <w:rPr>
          <w:color w:val="000000"/>
          <w:lang w:val="en-CA"/>
        </w:rPr>
        <w:t>and</w:t>
      </w:r>
      <w:r w:rsidR="00422748" w:rsidRPr="00515AA2">
        <w:rPr>
          <w:color w:val="000000"/>
          <w:lang w:val="en-CA"/>
        </w:rPr>
        <w:t xml:space="preserve"> on</w:t>
      </w:r>
      <w:r w:rsidR="009C64FB" w:rsidRPr="00515AA2">
        <w:rPr>
          <w:color w:val="000000"/>
          <w:lang w:val="en-CA"/>
        </w:rPr>
        <w:t xml:space="preserve"> </w:t>
      </w:r>
      <w:r w:rsidR="00422748" w:rsidRPr="00515AA2">
        <w:rPr>
          <w:color w:val="000000"/>
          <w:lang w:val="en-CA"/>
        </w:rPr>
        <w:t>its compliance</w:t>
      </w:r>
      <w:r w:rsidR="009C64FB" w:rsidRPr="00515AA2">
        <w:rPr>
          <w:color w:val="000000"/>
          <w:lang w:val="en-CA"/>
        </w:rPr>
        <w:t xml:space="preserve"> with the rights protected by the </w:t>
      </w:r>
      <w:r w:rsidR="009C64FB" w:rsidRPr="00515AA2">
        <w:rPr>
          <w:i/>
          <w:iCs/>
          <w:color w:val="000000"/>
          <w:lang w:val="en-CA"/>
        </w:rPr>
        <w:t>Charters</w:t>
      </w:r>
      <w:r w:rsidR="009C64FB" w:rsidRPr="00515AA2">
        <w:rPr>
          <w:color w:val="000000"/>
          <w:lang w:val="en-CA"/>
        </w:rPr>
        <w:t xml:space="preserve">, leaving it </w:t>
      </w:r>
      <w:r w:rsidR="00422748" w:rsidRPr="00515AA2">
        <w:rPr>
          <w:color w:val="000000"/>
          <w:lang w:val="en-CA"/>
        </w:rPr>
        <w:t>for</w:t>
      </w:r>
      <w:r w:rsidR="009C64FB" w:rsidRPr="00515AA2">
        <w:rPr>
          <w:color w:val="000000"/>
          <w:lang w:val="en-CA"/>
        </w:rPr>
        <w:t xml:space="preserve"> the registrar of civil status to exercise its discretion</w:t>
      </w:r>
      <w:r w:rsidR="0097613C" w:rsidRPr="00515AA2">
        <w:rPr>
          <w:color w:val="000000"/>
          <w:lang w:val="en-CA"/>
        </w:rPr>
        <w:t>.</w:t>
      </w:r>
    </w:p>
    <w:p w14:paraId="7F4ED02B" w14:textId="4FBDF0E6" w:rsidR="006E4A8A" w:rsidRPr="00515AA2" w:rsidRDefault="004E1301" w:rsidP="00F846E3">
      <w:pPr>
        <w:pStyle w:val="Paragraphe"/>
        <w:spacing w:line="280" w:lineRule="exact"/>
        <w:rPr>
          <w:color w:val="000000"/>
          <w:lang w:val="en-CA"/>
        </w:rPr>
      </w:pPr>
      <w:r w:rsidRPr="00515AA2">
        <w:rPr>
          <w:color w:val="000000"/>
          <w:lang w:val="en-CA"/>
        </w:rPr>
        <w:t xml:space="preserve">We disagree and find, rather, that the incidental appellant has the requisite standing to </w:t>
      </w:r>
      <w:r w:rsidR="00491795" w:rsidRPr="00515AA2">
        <w:rPr>
          <w:color w:val="000000"/>
          <w:lang w:val="en-CA"/>
        </w:rPr>
        <w:t xml:space="preserve">request that </w:t>
      </w:r>
      <w:r w:rsidRPr="00515AA2">
        <w:rPr>
          <w:color w:val="000000"/>
          <w:lang w:val="en-CA"/>
        </w:rPr>
        <w:t>art</w:t>
      </w:r>
      <w:r w:rsidR="00B42CA7" w:rsidRPr="00515AA2">
        <w:rPr>
          <w:color w:val="000000"/>
          <w:lang w:val="en-CA"/>
        </w:rPr>
        <w:t>icle</w:t>
      </w:r>
      <w:r w:rsidRPr="00515AA2">
        <w:rPr>
          <w:color w:val="000000"/>
          <w:lang w:val="en-CA"/>
        </w:rPr>
        <w:t xml:space="preserve"> </w:t>
      </w:r>
      <w:r w:rsidR="006E4A8A" w:rsidRPr="00515AA2">
        <w:rPr>
          <w:color w:val="000000"/>
          <w:lang w:val="en-CA"/>
        </w:rPr>
        <w:t xml:space="preserve">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w:t>
      </w:r>
      <w:r w:rsidR="00491795" w:rsidRPr="00515AA2">
        <w:rPr>
          <w:color w:val="000000"/>
          <w:lang w:val="en-CA"/>
        </w:rPr>
        <w:t xml:space="preserve"> be interpreted</w:t>
      </w:r>
      <w:r w:rsidR="006E4A8A" w:rsidRPr="00515AA2">
        <w:rPr>
          <w:color w:val="000000"/>
          <w:lang w:val="en-CA"/>
        </w:rPr>
        <w:t xml:space="preserve">. </w:t>
      </w:r>
      <w:r w:rsidRPr="00515AA2">
        <w:rPr>
          <w:color w:val="000000"/>
          <w:lang w:val="en-CA"/>
        </w:rPr>
        <w:t xml:space="preserve">The rights of transgender youths will thus be clarified, and they will know what to expect without having to wait </w:t>
      </w:r>
      <w:r w:rsidR="005677B0" w:rsidRPr="00515AA2">
        <w:rPr>
          <w:color w:val="000000"/>
          <w:lang w:val="en-CA"/>
        </w:rPr>
        <w:t>for</w:t>
      </w:r>
      <w:r w:rsidRPr="00515AA2">
        <w:rPr>
          <w:color w:val="000000"/>
          <w:lang w:val="en-CA"/>
        </w:rPr>
        <w:t xml:space="preserve"> one of them </w:t>
      </w:r>
      <w:r w:rsidR="005677B0" w:rsidRPr="00515AA2">
        <w:rPr>
          <w:color w:val="000000"/>
          <w:lang w:val="en-CA"/>
        </w:rPr>
        <w:t xml:space="preserve">to </w:t>
      </w:r>
      <w:r w:rsidR="00145846" w:rsidRPr="00515AA2">
        <w:rPr>
          <w:color w:val="000000"/>
          <w:lang w:val="en-CA"/>
        </w:rPr>
        <w:t>have their application denied</w:t>
      </w:r>
      <w:r w:rsidR="00491795" w:rsidRPr="00515AA2">
        <w:rPr>
          <w:color w:val="000000"/>
          <w:lang w:val="en-CA"/>
        </w:rPr>
        <w:t xml:space="preserve"> </w:t>
      </w:r>
      <w:r w:rsidRPr="00515AA2">
        <w:rPr>
          <w:color w:val="000000"/>
          <w:lang w:val="en-CA"/>
        </w:rPr>
        <w:t>by the registrar of civil status</w:t>
      </w:r>
      <w:r w:rsidR="006E4A8A" w:rsidRPr="00515AA2">
        <w:rPr>
          <w:color w:val="000000"/>
          <w:lang w:val="en-CA"/>
        </w:rPr>
        <w:t xml:space="preserve">. </w:t>
      </w:r>
      <w:r w:rsidRPr="00515AA2">
        <w:rPr>
          <w:color w:val="000000"/>
          <w:lang w:val="en-CA"/>
        </w:rPr>
        <w:t>I</w:t>
      </w:r>
      <w:r w:rsidR="00491795" w:rsidRPr="00515AA2">
        <w:rPr>
          <w:color w:val="000000"/>
          <w:lang w:val="en-CA"/>
        </w:rPr>
        <w:t xml:space="preserve">ndeed, </w:t>
      </w:r>
      <w:r w:rsidR="00252EF7" w:rsidRPr="00515AA2">
        <w:rPr>
          <w:color w:val="000000"/>
          <w:lang w:val="en-CA"/>
        </w:rPr>
        <w:t>the latter’s</w:t>
      </w:r>
      <w:r w:rsidR="00145846" w:rsidRPr="00515AA2">
        <w:rPr>
          <w:color w:val="000000"/>
          <w:lang w:val="en-CA"/>
        </w:rPr>
        <w:t xml:space="preserve"> </w:t>
      </w:r>
      <w:r w:rsidRPr="00515AA2">
        <w:rPr>
          <w:color w:val="000000"/>
          <w:lang w:val="en-CA"/>
        </w:rPr>
        <w:t>representative</w:t>
      </w:r>
      <w:r w:rsidR="00491795" w:rsidRPr="00515AA2">
        <w:rPr>
          <w:color w:val="000000"/>
          <w:lang w:val="en-CA"/>
        </w:rPr>
        <w:t xml:space="preserve"> has already indicated that the registrar of civil status interprets art</w:t>
      </w:r>
      <w:r w:rsidR="00B42CA7" w:rsidRPr="00515AA2">
        <w:rPr>
          <w:color w:val="000000"/>
          <w:lang w:val="en-CA"/>
        </w:rPr>
        <w:t>icle</w:t>
      </w:r>
      <w:r w:rsidR="006B578B" w:rsidRPr="00515AA2">
        <w:rPr>
          <w:color w:val="000000"/>
          <w:lang w:val="en-CA"/>
        </w:rPr>
        <w:t> </w:t>
      </w:r>
      <w:r w:rsidR="006E4A8A" w:rsidRPr="00515AA2">
        <w:rPr>
          <w:color w:val="000000"/>
          <w:lang w:val="en-CA"/>
        </w:rPr>
        <w:t>62</w:t>
      </w:r>
      <w:r w:rsidR="006B578B" w:rsidRPr="00515AA2">
        <w:rPr>
          <w:color w:val="000000"/>
          <w:lang w:val="en-CA"/>
        </w:rPr>
        <w:t> </w:t>
      </w:r>
      <w:r w:rsidR="006E4A8A" w:rsidRPr="00515AA2">
        <w:rPr>
          <w:i/>
          <w:iCs/>
          <w:color w:val="000000"/>
          <w:lang w:val="en-CA"/>
        </w:rPr>
        <w:t>C.</w:t>
      </w:r>
      <w:r w:rsidR="00491795" w:rsidRPr="00515AA2">
        <w:rPr>
          <w:i/>
          <w:iCs/>
          <w:color w:val="000000"/>
          <w:lang w:val="en-CA"/>
        </w:rPr>
        <w:t>C</w:t>
      </w:r>
      <w:r w:rsidR="006E4A8A" w:rsidRPr="00515AA2">
        <w:rPr>
          <w:i/>
          <w:iCs/>
          <w:color w:val="000000"/>
          <w:lang w:val="en-CA"/>
        </w:rPr>
        <w:t xml:space="preserve">.Q. </w:t>
      </w:r>
      <w:r w:rsidR="00491795" w:rsidRPr="00515AA2">
        <w:rPr>
          <w:color w:val="000000"/>
          <w:lang w:val="en-CA"/>
        </w:rPr>
        <w:t>as requiring that minor</w:t>
      </w:r>
      <w:r w:rsidR="00145846" w:rsidRPr="00515AA2">
        <w:rPr>
          <w:color w:val="000000"/>
          <w:lang w:val="en-CA"/>
        </w:rPr>
        <w:t>s</w:t>
      </w:r>
      <w:r w:rsidR="00491795" w:rsidRPr="00515AA2">
        <w:rPr>
          <w:color w:val="000000"/>
          <w:lang w:val="en-CA"/>
        </w:rPr>
        <w:t xml:space="preserve"> 14 years of age </w:t>
      </w:r>
      <w:r w:rsidR="002C7FEF" w:rsidRPr="00515AA2">
        <w:rPr>
          <w:color w:val="000000"/>
          <w:lang w:val="en-CA"/>
        </w:rPr>
        <w:t>or over</w:t>
      </w:r>
      <w:r w:rsidR="00491795" w:rsidRPr="00515AA2">
        <w:rPr>
          <w:color w:val="000000"/>
          <w:lang w:val="en-CA"/>
        </w:rPr>
        <w:t xml:space="preserve"> </w:t>
      </w:r>
      <w:r w:rsidR="005677B0" w:rsidRPr="00515AA2">
        <w:rPr>
          <w:color w:val="000000"/>
          <w:lang w:val="en-CA"/>
        </w:rPr>
        <w:t xml:space="preserve">who </w:t>
      </w:r>
      <w:r w:rsidR="00491795" w:rsidRPr="00515AA2">
        <w:rPr>
          <w:color w:val="000000"/>
          <w:lang w:val="en-CA"/>
        </w:rPr>
        <w:t>simply wish to change their given name or names so that they correspond to their gender identity notify their parents or tutor</w:t>
      </w:r>
      <w:r w:rsidR="006E4A8A" w:rsidRPr="00515AA2">
        <w:rPr>
          <w:color w:val="000000"/>
          <w:lang w:val="en-CA"/>
        </w:rPr>
        <w:t xml:space="preserve">. </w:t>
      </w:r>
      <w:r w:rsidR="00D813CF" w:rsidRPr="00515AA2">
        <w:rPr>
          <w:color w:val="000000"/>
          <w:lang w:val="en-CA"/>
        </w:rPr>
        <w:t xml:space="preserve">The registrar also </w:t>
      </w:r>
      <w:r w:rsidR="00145846" w:rsidRPr="00515AA2">
        <w:rPr>
          <w:color w:val="000000"/>
          <w:lang w:val="en-CA"/>
        </w:rPr>
        <w:t>opines</w:t>
      </w:r>
      <w:r w:rsidR="00D813CF" w:rsidRPr="00515AA2">
        <w:rPr>
          <w:color w:val="000000"/>
          <w:lang w:val="en-CA"/>
        </w:rPr>
        <w:t xml:space="preserve"> that it cannot grant the application if the parents or tutor have not been notified or if they object</w:t>
      </w:r>
      <w:r w:rsidR="005B6AE4" w:rsidRPr="00515AA2">
        <w:rPr>
          <w:color w:val="000000"/>
          <w:lang w:val="en-CA"/>
        </w:rPr>
        <w:t xml:space="preserve"> thereto</w:t>
      </w:r>
      <w:r w:rsidR="006E4A8A" w:rsidRPr="00515AA2">
        <w:rPr>
          <w:color w:val="000000"/>
          <w:lang w:val="en-CA"/>
        </w:rPr>
        <w:t>.</w:t>
      </w:r>
    </w:p>
    <w:p w14:paraId="0D9500A1" w14:textId="69CE9867" w:rsidR="006E4A8A" w:rsidRPr="00515AA2" w:rsidRDefault="00F543F9" w:rsidP="00F846E3">
      <w:pPr>
        <w:pStyle w:val="Paragraphe"/>
        <w:spacing w:line="280" w:lineRule="exact"/>
        <w:rPr>
          <w:color w:val="000000"/>
          <w:lang w:val="en-CA"/>
        </w:rPr>
      </w:pPr>
      <w:r w:rsidRPr="00515AA2">
        <w:rPr>
          <w:color w:val="000000"/>
          <w:lang w:val="en-CA"/>
        </w:rPr>
        <w:t>On that point, we are of the view, rather, that art</w:t>
      </w:r>
      <w:r w:rsidR="00B42CA7" w:rsidRPr="00515AA2">
        <w:rPr>
          <w:color w:val="000000"/>
          <w:lang w:val="en-CA"/>
        </w:rPr>
        <w:t>icle</w:t>
      </w:r>
      <w:r w:rsidR="006E4A8A" w:rsidRPr="00515AA2">
        <w:rPr>
          <w:color w:val="000000"/>
          <w:lang w:val="en-CA"/>
        </w:rPr>
        <w:t xml:space="preserve"> 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 xml:space="preserve">does not require minors 14 years of age </w:t>
      </w:r>
      <w:r w:rsidR="002C7FEF" w:rsidRPr="00515AA2">
        <w:rPr>
          <w:color w:val="000000"/>
          <w:lang w:val="en-CA"/>
        </w:rPr>
        <w:t>or over</w:t>
      </w:r>
      <w:r w:rsidRPr="00515AA2">
        <w:rPr>
          <w:color w:val="000000"/>
          <w:lang w:val="en-CA"/>
        </w:rPr>
        <w:t xml:space="preserve"> to notify their parents or, as the case may be, their tutor</w:t>
      </w:r>
      <w:r w:rsidR="006E4A8A" w:rsidRPr="00515AA2">
        <w:rPr>
          <w:color w:val="000000"/>
          <w:lang w:val="en-CA"/>
        </w:rPr>
        <w:t xml:space="preserve">, </w:t>
      </w:r>
      <w:r w:rsidRPr="00515AA2">
        <w:rPr>
          <w:color w:val="000000"/>
          <w:lang w:val="en-CA"/>
        </w:rPr>
        <w:t xml:space="preserve">when they apply to have one or more of their given names changed so that they correspond to their gender identity, no more than it confers </w:t>
      </w:r>
      <w:r w:rsidR="005677B0" w:rsidRPr="00515AA2">
        <w:rPr>
          <w:color w:val="000000"/>
          <w:lang w:val="en-CA"/>
        </w:rPr>
        <w:t xml:space="preserve">on </w:t>
      </w:r>
      <w:r w:rsidRPr="00515AA2">
        <w:rPr>
          <w:color w:val="000000"/>
          <w:lang w:val="en-CA"/>
        </w:rPr>
        <w:t>the parents or tutor the right to object to their application</w:t>
      </w:r>
      <w:r w:rsidR="006E4A8A" w:rsidRPr="00515AA2">
        <w:rPr>
          <w:color w:val="000000"/>
          <w:lang w:val="en-CA"/>
        </w:rPr>
        <w:t>.</w:t>
      </w:r>
    </w:p>
    <w:p w14:paraId="2845CF78" w14:textId="5C6E61E2" w:rsidR="006E4A8A" w:rsidRPr="00515AA2" w:rsidRDefault="00F543F9" w:rsidP="00F846E3">
      <w:pPr>
        <w:pStyle w:val="Paragraphe"/>
        <w:spacing w:line="280" w:lineRule="exact"/>
        <w:rPr>
          <w:color w:val="000000"/>
          <w:lang w:val="en-CA"/>
        </w:rPr>
      </w:pPr>
      <w:r w:rsidRPr="00515AA2">
        <w:rPr>
          <w:color w:val="000000"/>
          <w:lang w:val="en-CA"/>
        </w:rPr>
        <w:t>The reasons for this are as follows</w:t>
      </w:r>
      <w:r w:rsidR="006E4A8A" w:rsidRPr="00515AA2">
        <w:rPr>
          <w:color w:val="000000"/>
          <w:lang w:val="en-CA"/>
        </w:rPr>
        <w:t>.</w:t>
      </w:r>
    </w:p>
    <w:p w14:paraId="22D0CC48" w14:textId="35B98B13" w:rsidR="00B16471" w:rsidRPr="00515AA2" w:rsidRDefault="00F543F9" w:rsidP="00F846E3">
      <w:pPr>
        <w:pStyle w:val="Paragraphe"/>
        <w:spacing w:line="280" w:lineRule="exact"/>
        <w:rPr>
          <w:i/>
          <w:iCs/>
          <w:color w:val="000000"/>
          <w:lang w:val="en-CA"/>
        </w:rPr>
      </w:pPr>
      <w:r w:rsidRPr="00515AA2">
        <w:rPr>
          <w:color w:val="000000"/>
          <w:lang w:val="en-CA"/>
        </w:rPr>
        <w:t>Article</w:t>
      </w:r>
      <w:r w:rsidR="006B578B" w:rsidRPr="00515AA2">
        <w:rPr>
          <w:color w:val="000000"/>
          <w:lang w:val="en-CA"/>
        </w:rPr>
        <w:t> </w:t>
      </w:r>
      <w:r w:rsidR="0097613C" w:rsidRPr="00515AA2">
        <w:rPr>
          <w:color w:val="000000"/>
          <w:lang w:val="en-CA"/>
        </w:rPr>
        <w:t xml:space="preserve">62 </w:t>
      </w:r>
      <w:r w:rsidR="0097613C" w:rsidRPr="00515AA2">
        <w:rPr>
          <w:i/>
          <w:iCs/>
          <w:color w:val="000000"/>
          <w:lang w:val="en-CA"/>
        </w:rPr>
        <w:t>C.</w:t>
      </w:r>
      <w:r w:rsidRPr="00515AA2">
        <w:rPr>
          <w:i/>
          <w:iCs/>
          <w:color w:val="000000"/>
          <w:lang w:val="en-CA"/>
        </w:rPr>
        <w:t>C</w:t>
      </w:r>
      <w:r w:rsidR="0097613C" w:rsidRPr="00515AA2">
        <w:rPr>
          <w:i/>
          <w:iCs/>
          <w:color w:val="000000"/>
          <w:lang w:val="en-CA"/>
        </w:rPr>
        <w:t>.Q.</w:t>
      </w:r>
      <w:r w:rsidR="0097613C" w:rsidRPr="00515AA2">
        <w:rPr>
          <w:color w:val="000000"/>
          <w:lang w:val="en-CA"/>
        </w:rPr>
        <w:t xml:space="preserve"> </w:t>
      </w:r>
      <w:r w:rsidRPr="00515AA2">
        <w:rPr>
          <w:color w:val="000000"/>
          <w:lang w:val="en-CA"/>
        </w:rPr>
        <w:t xml:space="preserve">is one of the </w:t>
      </w:r>
      <w:r w:rsidR="00F80C4D" w:rsidRPr="00515AA2">
        <w:rPr>
          <w:color w:val="000000"/>
          <w:lang w:val="en-CA"/>
        </w:rPr>
        <w:t>several</w:t>
      </w:r>
      <w:r w:rsidRPr="00515AA2">
        <w:rPr>
          <w:color w:val="000000"/>
          <w:lang w:val="en-CA"/>
        </w:rPr>
        <w:t xml:space="preserve"> provisions of </w:t>
      </w:r>
      <w:r w:rsidR="00F80C4D" w:rsidRPr="00515AA2">
        <w:rPr>
          <w:color w:val="000000"/>
          <w:lang w:val="en-CA"/>
        </w:rPr>
        <w:t>Chapter I, entitled NAME AND DESIGNATION OF SEX,</w:t>
      </w:r>
      <w:r w:rsidR="0097613C" w:rsidRPr="00515AA2">
        <w:rPr>
          <w:color w:val="000000"/>
          <w:lang w:val="en-CA"/>
        </w:rPr>
        <w:t xml:space="preserve"> </w:t>
      </w:r>
      <w:r w:rsidR="00F80C4D" w:rsidRPr="00515AA2">
        <w:rPr>
          <w:color w:val="000000"/>
          <w:lang w:val="en-CA"/>
        </w:rPr>
        <w:t xml:space="preserve">which </w:t>
      </w:r>
      <w:r w:rsidR="005677B0" w:rsidRPr="00515AA2">
        <w:rPr>
          <w:color w:val="000000"/>
          <w:lang w:val="en-CA"/>
        </w:rPr>
        <w:t xml:space="preserve">set out </w:t>
      </w:r>
      <w:r w:rsidR="00F80C4D" w:rsidRPr="00515AA2">
        <w:rPr>
          <w:color w:val="000000"/>
          <w:lang w:val="en-CA"/>
        </w:rPr>
        <w:t>the rules for obtaining a change in the designation of sex or a name that appear in the registry and in the acts of civil status</w:t>
      </w:r>
      <w:r w:rsidR="00B16471" w:rsidRPr="00515AA2">
        <w:rPr>
          <w:color w:val="000000"/>
          <w:lang w:val="en-CA"/>
        </w:rPr>
        <w:t>.</w:t>
      </w:r>
    </w:p>
    <w:p w14:paraId="2ADE4C17" w14:textId="11AE056E" w:rsidR="006E4A8A" w:rsidRPr="00515AA2" w:rsidRDefault="00F80C4D" w:rsidP="00F846E3">
      <w:pPr>
        <w:pStyle w:val="Paragraphe"/>
        <w:spacing w:line="280" w:lineRule="exact"/>
        <w:rPr>
          <w:i/>
          <w:iCs/>
          <w:color w:val="000000"/>
          <w:lang w:val="en-CA"/>
        </w:rPr>
      </w:pPr>
      <w:r w:rsidRPr="00515AA2">
        <w:rPr>
          <w:color w:val="000000"/>
          <w:lang w:val="en-CA"/>
        </w:rPr>
        <w:lastRenderedPageBreak/>
        <w:t>As of</w:t>
      </w:r>
      <w:r w:rsidR="00B16471" w:rsidRPr="00515AA2">
        <w:rPr>
          <w:color w:val="000000"/>
          <w:lang w:val="en-CA"/>
        </w:rPr>
        <w:t xml:space="preserve"> 2016, </w:t>
      </w:r>
      <w:r w:rsidRPr="00515AA2">
        <w:rPr>
          <w:color w:val="000000"/>
          <w:lang w:val="en-CA"/>
        </w:rPr>
        <w:t xml:space="preserve">an application for a change of name may be made by an adult, by a minor child’s tutor or by the minor child alone if the child is 14 years of age or over </w:t>
      </w:r>
      <w:r w:rsidR="00B16471" w:rsidRPr="00515AA2">
        <w:rPr>
          <w:color w:val="000000"/>
          <w:lang w:val="en-CA"/>
        </w:rPr>
        <w:t>(art</w:t>
      </w:r>
      <w:r w:rsidRPr="00515AA2">
        <w:rPr>
          <w:color w:val="000000"/>
          <w:lang w:val="en-CA"/>
        </w:rPr>
        <w:t>.</w:t>
      </w:r>
      <w:r w:rsidR="006B578B" w:rsidRPr="00515AA2">
        <w:rPr>
          <w:color w:val="000000"/>
          <w:lang w:val="en-CA"/>
        </w:rPr>
        <w:t> </w:t>
      </w:r>
      <w:r w:rsidR="00B16471" w:rsidRPr="00515AA2">
        <w:rPr>
          <w:color w:val="000000"/>
          <w:lang w:val="en-CA"/>
        </w:rPr>
        <w:t xml:space="preserve">60 </w:t>
      </w:r>
      <w:r w:rsidR="00B16471" w:rsidRPr="00515AA2">
        <w:rPr>
          <w:i/>
          <w:iCs/>
          <w:color w:val="000000"/>
          <w:lang w:val="en-CA"/>
        </w:rPr>
        <w:t>C.</w:t>
      </w:r>
      <w:r w:rsidRPr="00515AA2">
        <w:rPr>
          <w:i/>
          <w:iCs/>
          <w:color w:val="000000"/>
          <w:lang w:val="en-CA"/>
        </w:rPr>
        <w:t>C</w:t>
      </w:r>
      <w:r w:rsidR="00B16471" w:rsidRPr="00515AA2">
        <w:rPr>
          <w:i/>
          <w:iCs/>
          <w:color w:val="000000"/>
          <w:lang w:val="en-CA"/>
        </w:rPr>
        <w:t>.Q.</w:t>
      </w:r>
      <w:r w:rsidR="00B16471" w:rsidRPr="00515AA2">
        <w:rPr>
          <w:color w:val="000000"/>
          <w:lang w:val="en-CA"/>
        </w:rPr>
        <w:t>).</w:t>
      </w:r>
    </w:p>
    <w:p w14:paraId="2D19DD2E" w14:textId="5C12F6C5" w:rsidR="006E4A8A" w:rsidRPr="00515AA2" w:rsidRDefault="002E2667" w:rsidP="00F846E3">
      <w:pPr>
        <w:pStyle w:val="Paragraphe"/>
        <w:spacing w:line="280" w:lineRule="exact"/>
        <w:rPr>
          <w:i/>
          <w:iCs/>
          <w:color w:val="000000"/>
          <w:lang w:val="en-CA"/>
        </w:rPr>
      </w:pPr>
      <w:r w:rsidRPr="00515AA2">
        <w:rPr>
          <w:color w:val="000000"/>
          <w:lang w:val="en-CA"/>
        </w:rPr>
        <w:t>In the case of an</w:t>
      </w:r>
      <w:r w:rsidR="00DD50F8" w:rsidRPr="00515AA2">
        <w:rPr>
          <w:color w:val="000000"/>
          <w:lang w:val="en-CA"/>
        </w:rPr>
        <w:t xml:space="preserve"> application for a change of name </w:t>
      </w:r>
      <w:r w:rsidRPr="00515AA2">
        <w:rPr>
          <w:color w:val="000000"/>
          <w:lang w:val="en-CA"/>
        </w:rPr>
        <w:t>of</w:t>
      </w:r>
      <w:r w:rsidR="00DD50F8" w:rsidRPr="00515AA2">
        <w:rPr>
          <w:color w:val="000000"/>
          <w:lang w:val="en-CA"/>
        </w:rPr>
        <w:t xml:space="preserve"> a minor child</w:t>
      </w:r>
      <w:r w:rsidR="006E4A8A" w:rsidRPr="00515AA2">
        <w:rPr>
          <w:color w:val="000000"/>
          <w:lang w:val="en-CA"/>
        </w:rPr>
        <w:t xml:space="preserve">, </w:t>
      </w:r>
      <w:r w:rsidR="00DD50F8" w:rsidRPr="00515AA2">
        <w:rPr>
          <w:color w:val="000000"/>
          <w:lang w:val="en-CA"/>
        </w:rPr>
        <w:t xml:space="preserve">interested parties, </w:t>
      </w:r>
      <w:r w:rsidRPr="00515AA2">
        <w:rPr>
          <w:color w:val="000000"/>
          <w:lang w:val="en-CA"/>
        </w:rPr>
        <w:t>that is</w:t>
      </w:r>
      <w:r w:rsidR="00DD50F8" w:rsidRPr="00515AA2">
        <w:rPr>
          <w:color w:val="000000"/>
          <w:lang w:val="en-CA"/>
        </w:rPr>
        <w:t xml:space="preserve"> their parents, </w:t>
      </w:r>
      <w:r w:rsidRPr="00515AA2">
        <w:rPr>
          <w:color w:val="000000"/>
          <w:lang w:val="en-CA"/>
        </w:rPr>
        <w:t xml:space="preserve">their </w:t>
      </w:r>
      <w:r w:rsidR="00DD50F8" w:rsidRPr="00515AA2">
        <w:rPr>
          <w:color w:val="000000"/>
          <w:lang w:val="en-CA"/>
        </w:rPr>
        <w:t xml:space="preserve">tutor or the child alone if </w:t>
      </w:r>
      <w:r w:rsidRPr="00515AA2">
        <w:rPr>
          <w:color w:val="000000"/>
          <w:lang w:val="en-CA"/>
        </w:rPr>
        <w:t>they are at least</w:t>
      </w:r>
      <w:r w:rsidR="00DD50F8" w:rsidRPr="00515AA2">
        <w:rPr>
          <w:color w:val="000000"/>
          <w:lang w:val="en-CA"/>
        </w:rPr>
        <w:t xml:space="preserve"> 14 years of age</w:t>
      </w:r>
      <w:r w:rsidR="006E4A8A" w:rsidRPr="00515AA2">
        <w:rPr>
          <w:color w:val="000000"/>
          <w:lang w:val="en-CA"/>
        </w:rPr>
        <w:t xml:space="preserve">, </w:t>
      </w:r>
      <w:r w:rsidRPr="00515AA2">
        <w:rPr>
          <w:color w:val="000000"/>
          <w:lang w:val="en-CA"/>
        </w:rPr>
        <w:t>must have been duly notified of the application</w:t>
      </w:r>
      <w:r w:rsidR="006E4A8A" w:rsidRPr="00515AA2">
        <w:rPr>
          <w:color w:val="000000"/>
          <w:lang w:val="en-CA"/>
        </w:rPr>
        <w:t xml:space="preserve"> (</w:t>
      </w:r>
      <w:r w:rsidRPr="00515AA2">
        <w:rPr>
          <w:color w:val="000000"/>
          <w:lang w:val="en-CA"/>
        </w:rPr>
        <w:t>in the manner prescribed by the</w:t>
      </w:r>
      <w:r w:rsidR="006E4A8A" w:rsidRPr="00515AA2">
        <w:rPr>
          <w:color w:val="000000"/>
          <w:lang w:val="en-CA"/>
        </w:rPr>
        <w:t xml:space="preserve"> </w:t>
      </w:r>
      <w:r w:rsidRPr="00515AA2">
        <w:rPr>
          <w:i/>
          <w:iCs/>
          <w:color w:val="000000"/>
          <w:lang w:val="en-CA"/>
        </w:rPr>
        <w:t>Regulation</w:t>
      </w:r>
      <w:r w:rsidRPr="00515AA2">
        <w:rPr>
          <w:color w:val="000000"/>
          <w:lang w:val="en-CA"/>
        </w:rPr>
        <w:t>)</w:t>
      </w:r>
      <w:r w:rsidR="006E4A8A" w:rsidRPr="00515AA2">
        <w:rPr>
          <w:color w:val="000000"/>
          <w:lang w:val="en-CA"/>
        </w:rPr>
        <w:t xml:space="preserve"> </w:t>
      </w:r>
      <w:r w:rsidRPr="00515AA2">
        <w:rPr>
          <w:color w:val="000000"/>
          <w:lang w:val="en-CA"/>
        </w:rPr>
        <w:t>and must not object to it</w:t>
      </w:r>
      <w:r w:rsidR="006E4A8A" w:rsidRPr="00515AA2">
        <w:rPr>
          <w:color w:val="000000"/>
          <w:lang w:val="en-CA"/>
        </w:rPr>
        <w:t>.</w:t>
      </w:r>
    </w:p>
    <w:p w14:paraId="54470AD9" w14:textId="2A1921B5" w:rsidR="006E4A8A" w:rsidRPr="00515AA2" w:rsidRDefault="00C775F7" w:rsidP="00F846E3">
      <w:pPr>
        <w:pStyle w:val="Paragraphe"/>
        <w:spacing w:line="280" w:lineRule="exact"/>
        <w:rPr>
          <w:i/>
          <w:iCs/>
          <w:color w:val="000000"/>
          <w:lang w:val="en-CA"/>
        </w:rPr>
      </w:pPr>
      <w:r w:rsidRPr="00515AA2">
        <w:rPr>
          <w:color w:val="000000"/>
          <w:lang w:val="en-CA"/>
        </w:rPr>
        <w:t>Article</w:t>
      </w:r>
      <w:r w:rsidR="006B578B" w:rsidRPr="00515AA2">
        <w:rPr>
          <w:color w:val="000000"/>
          <w:lang w:val="en-CA"/>
        </w:rPr>
        <w:t> </w:t>
      </w:r>
      <w:r w:rsidR="006E4A8A" w:rsidRPr="00515AA2">
        <w:rPr>
          <w:color w:val="000000"/>
          <w:lang w:val="en-CA"/>
        </w:rPr>
        <w:t xml:space="preserve">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DC518C" w:rsidRPr="00515AA2">
        <w:rPr>
          <w:color w:val="000000"/>
          <w:lang w:val="en-CA"/>
        </w:rPr>
        <w:t>.</w:t>
      </w:r>
      <w:r w:rsidR="006E4A8A" w:rsidRPr="00515AA2">
        <w:rPr>
          <w:color w:val="000000"/>
          <w:lang w:val="en-CA"/>
        </w:rPr>
        <w:t xml:space="preserve"> </w:t>
      </w:r>
      <w:r w:rsidRPr="00515AA2">
        <w:rPr>
          <w:color w:val="000000"/>
          <w:lang w:val="en-CA"/>
        </w:rPr>
        <w:t>provides that</w:t>
      </w:r>
      <w:r w:rsidR="006E4A8A" w:rsidRPr="00515AA2">
        <w:rPr>
          <w:color w:val="000000"/>
          <w:lang w:val="en-CA"/>
        </w:rPr>
        <w:t xml:space="preserve">, </w:t>
      </w:r>
      <w:r w:rsidRPr="00515AA2">
        <w:rPr>
          <w:color w:val="000000"/>
          <w:lang w:val="en-CA"/>
        </w:rPr>
        <w:t xml:space="preserve">where such a notice has not been given, or where the notified persons </w:t>
      </w:r>
      <w:r w:rsidR="00AF69FA" w:rsidRPr="00515AA2">
        <w:rPr>
          <w:color w:val="000000"/>
          <w:lang w:val="en-CA"/>
        </w:rPr>
        <w:t xml:space="preserve">express their </w:t>
      </w:r>
      <w:r w:rsidRPr="00515AA2">
        <w:rPr>
          <w:color w:val="000000"/>
          <w:lang w:val="en-CA"/>
        </w:rPr>
        <w:t>object</w:t>
      </w:r>
      <w:r w:rsidR="00AF69FA" w:rsidRPr="00515AA2">
        <w:rPr>
          <w:color w:val="000000"/>
          <w:lang w:val="en-CA"/>
        </w:rPr>
        <w:t>ion</w:t>
      </w:r>
      <w:r w:rsidRPr="00515AA2">
        <w:rPr>
          <w:color w:val="000000"/>
          <w:lang w:val="en-CA"/>
        </w:rPr>
        <w:t>, the registrar of civil status does not have jurisdiction to grant the application, unless</w:t>
      </w:r>
      <w:r w:rsidR="00AF69FA" w:rsidRPr="00515AA2">
        <w:rPr>
          <w:color w:val="000000"/>
          <w:lang w:val="en-CA"/>
        </w:rPr>
        <w:t xml:space="preserve"> it </w:t>
      </w:r>
      <w:r w:rsidR="00DC43B4" w:rsidRPr="00515AA2">
        <w:rPr>
          <w:color w:val="000000"/>
          <w:lang w:val="en-CA"/>
        </w:rPr>
        <w:t>determines</w:t>
      </w:r>
      <w:r w:rsidR="00AF69FA" w:rsidRPr="00515AA2">
        <w:rPr>
          <w:color w:val="000000"/>
          <w:lang w:val="en-CA"/>
        </w:rPr>
        <w:t xml:space="preserve"> that</w:t>
      </w:r>
      <w:r w:rsidRPr="00515AA2">
        <w:rPr>
          <w:color w:val="000000"/>
          <w:lang w:val="en-CA"/>
        </w:rPr>
        <w:t xml:space="preserve"> it is justified </w:t>
      </w:r>
      <w:r w:rsidR="00AF69FA" w:rsidRPr="00515AA2">
        <w:rPr>
          <w:color w:val="000000"/>
          <w:lang w:val="en-CA"/>
        </w:rPr>
        <w:t>in doing</w:t>
      </w:r>
      <w:r w:rsidRPr="00515AA2">
        <w:rPr>
          <w:color w:val="000000"/>
          <w:lang w:val="en-CA"/>
        </w:rPr>
        <w:t xml:space="preserve"> so for a compelling reason</w:t>
      </w:r>
      <w:r w:rsidR="006E4A8A" w:rsidRPr="00515AA2">
        <w:rPr>
          <w:color w:val="000000"/>
          <w:lang w:val="en-CA"/>
        </w:rPr>
        <w:t xml:space="preserve">. </w:t>
      </w:r>
      <w:r w:rsidRPr="00515AA2">
        <w:rPr>
          <w:color w:val="000000"/>
          <w:lang w:val="en-CA"/>
        </w:rPr>
        <w:t>Consequently</w:t>
      </w:r>
      <w:r w:rsidR="006E4A8A" w:rsidRPr="00515AA2">
        <w:rPr>
          <w:color w:val="000000"/>
          <w:lang w:val="en-CA"/>
        </w:rPr>
        <w:t xml:space="preserve">, </w:t>
      </w:r>
      <w:r w:rsidRPr="00515AA2">
        <w:rPr>
          <w:color w:val="000000"/>
          <w:lang w:val="en-CA"/>
        </w:rPr>
        <w:t>absent a</w:t>
      </w:r>
      <w:r w:rsidR="006E4A8A" w:rsidRPr="00515AA2">
        <w:rPr>
          <w:color w:val="000000"/>
          <w:lang w:val="en-CA"/>
        </w:rPr>
        <w:t xml:space="preserve"> </w:t>
      </w:r>
      <w:r w:rsidRPr="00515AA2">
        <w:rPr>
          <w:i/>
          <w:iCs/>
          <w:color w:val="000000"/>
          <w:lang w:val="en-CA"/>
        </w:rPr>
        <w:t>compelling reason</w:t>
      </w:r>
      <w:r w:rsidR="006E4A8A" w:rsidRPr="00515AA2">
        <w:rPr>
          <w:color w:val="000000"/>
          <w:lang w:val="en-CA"/>
        </w:rPr>
        <w:t xml:space="preserve">, </w:t>
      </w:r>
      <w:r w:rsidRPr="00515AA2">
        <w:rPr>
          <w:color w:val="000000"/>
          <w:lang w:val="en-CA"/>
        </w:rPr>
        <w:t xml:space="preserve">a </w:t>
      </w:r>
      <w:r w:rsidR="00AF69FA" w:rsidRPr="00515AA2">
        <w:rPr>
          <w:color w:val="000000"/>
          <w:lang w:val="en-CA"/>
        </w:rPr>
        <w:t>notion</w:t>
      </w:r>
      <w:r w:rsidRPr="00515AA2">
        <w:rPr>
          <w:color w:val="000000"/>
          <w:lang w:val="en-CA"/>
        </w:rPr>
        <w:t xml:space="preserve"> </w:t>
      </w:r>
      <w:r w:rsidR="00AF69FA" w:rsidRPr="00515AA2">
        <w:rPr>
          <w:color w:val="000000"/>
          <w:lang w:val="en-CA"/>
        </w:rPr>
        <w:t>to which</w:t>
      </w:r>
      <w:r w:rsidRPr="00515AA2">
        <w:rPr>
          <w:color w:val="000000"/>
          <w:lang w:val="en-CA"/>
        </w:rPr>
        <w:t xml:space="preserve"> we will </w:t>
      </w:r>
      <w:r w:rsidR="00AF69FA" w:rsidRPr="00515AA2">
        <w:rPr>
          <w:color w:val="000000"/>
          <w:lang w:val="en-CA"/>
        </w:rPr>
        <w:t>return</w:t>
      </w:r>
      <w:r w:rsidRPr="00515AA2">
        <w:rPr>
          <w:color w:val="000000"/>
          <w:lang w:val="en-CA"/>
        </w:rPr>
        <w:t xml:space="preserve"> below</w:t>
      </w:r>
      <w:r w:rsidR="006E4A8A" w:rsidRPr="00515AA2">
        <w:rPr>
          <w:color w:val="000000"/>
          <w:lang w:val="en-CA"/>
        </w:rPr>
        <w:t xml:space="preserve">, </w:t>
      </w:r>
      <w:r w:rsidR="005677B0" w:rsidRPr="00515AA2">
        <w:rPr>
          <w:color w:val="000000"/>
          <w:lang w:val="en-CA"/>
        </w:rPr>
        <w:t xml:space="preserve">only </w:t>
      </w:r>
      <w:r w:rsidRPr="00515AA2">
        <w:rPr>
          <w:color w:val="000000"/>
          <w:lang w:val="en-CA"/>
        </w:rPr>
        <w:t>the court has jurisdiction to allow the change of name where a minor child is involved</w:t>
      </w:r>
      <w:r w:rsidR="006E4A8A" w:rsidRPr="00515AA2">
        <w:rPr>
          <w:color w:val="000000"/>
          <w:lang w:val="en-CA"/>
        </w:rPr>
        <w:t>.</w:t>
      </w:r>
    </w:p>
    <w:p w14:paraId="4477F834" w14:textId="5E91CB0A" w:rsidR="006E4A8A" w:rsidRPr="00515AA2" w:rsidRDefault="00DC43B4" w:rsidP="00F846E3">
      <w:pPr>
        <w:pStyle w:val="Paragraphe"/>
        <w:spacing w:line="280" w:lineRule="exact"/>
        <w:rPr>
          <w:i/>
          <w:iCs/>
          <w:color w:val="000000"/>
          <w:lang w:val="en-CA"/>
        </w:rPr>
      </w:pPr>
      <w:r w:rsidRPr="00515AA2">
        <w:rPr>
          <w:color w:val="000000"/>
          <w:lang w:val="en-CA"/>
        </w:rPr>
        <w:t>Moreover, the registrar of civil status must publish on its website the notice of the application for a change of name, unless such publication is not required.</w:t>
      </w:r>
      <w:r w:rsidR="00A14A5F" w:rsidRPr="00515AA2">
        <w:rPr>
          <w:rStyle w:val="Appelnotedebasdep"/>
          <w:color w:val="000000"/>
          <w:lang w:val="en-CA"/>
        </w:rPr>
        <w:footnoteReference w:id="127"/>
      </w:r>
      <w:r w:rsidR="006E4A8A" w:rsidRPr="00515AA2">
        <w:rPr>
          <w:color w:val="000000"/>
          <w:lang w:val="en-CA"/>
        </w:rPr>
        <w:t xml:space="preserve"> </w:t>
      </w:r>
      <w:r w:rsidRPr="00515AA2">
        <w:rPr>
          <w:color w:val="000000"/>
          <w:lang w:val="en-CA"/>
        </w:rPr>
        <w:t xml:space="preserve">That is the case, for instance, when the change requested only concerns a given name and </w:t>
      </w:r>
      <w:r w:rsidR="003842B4" w:rsidRPr="00515AA2">
        <w:rPr>
          <w:color w:val="000000"/>
          <w:lang w:val="en-CA"/>
        </w:rPr>
        <w:t xml:space="preserve">when </w:t>
      </w:r>
      <w:r w:rsidRPr="00515AA2">
        <w:rPr>
          <w:color w:val="000000"/>
          <w:lang w:val="en-CA"/>
        </w:rPr>
        <w:t xml:space="preserve">it is clear that it relates to a modification of the person’s gender identity </w:t>
      </w:r>
      <w:r w:rsidR="006E4A8A" w:rsidRPr="00515AA2">
        <w:rPr>
          <w:color w:val="000000"/>
          <w:lang w:val="en-CA"/>
        </w:rPr>
        <w:t>(art.</w:t>
      </w:r>
      <w:r w:rsidR="006B578B" w:rsidRPr="00515AA2">
        <w:rPr>
          <w:color w:val="000000"/>
          <w:lang w:val="en-CA"/>
        </w:rPr>
        <w:t> </w:t>
      </w:r>
      <w:r w:rsidR="006E4A8A" w:rsidRPr="00515AA2">
        <w:rPr>
          <w:color w:val="000000"/>
          <w:lang w:val="en-CA"/>
        </w:rPr>
        <w:t xml:space="preserve">63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w:t>
      </w:r>
    </w:p>
    <w:p w14:paraId="4979C6C5" w14:textId="60CE1D7E" w:rsidR="006E4A8A" w:rsidRPr="00515AA2" w:rsidRDefault="003842B4" w:rsidP="00F846E3">
      <w:pPr>
        <w:pStyle w:val="Paragraphe"/>
        <w:spacing w:line="280" w:lineRule="exact"/>
        <w:rPr>
          <w:i/>
          <w:iCs/>
          <w:color w:val="000000"/>
          <w:lang w:val="en-CA"/>
        </w:rPr>
      </w:pPr>
      <w:r w:rsidRPr="00515AA2">
        <w:rPr>
          <w:color w:val="000000"/>
          <w:lang w:val="en-CA"/>
        </w:rPr>
        <w:t>A person who wishes to apply for a change of name for a minor by way of administrative process, knowing that there will be an objection may, alternatively, submit the application to the court before even filing its application with the registrar of civil status</w:t>
      </w:r>
      <w:r w:rsidR="006E4A8A" w:rsidRPr="00515AA2">
        <w:rPr>
          <w:color w:val="000000"/>
          <w:lang w:val="en-CA"/>
        </w:rPr>
        <w:t xml:space="preserve"> (art.</w:t>
      </w:r>
      <w:r w:rsidR="006B578B" w:rsidRPr="00515AA2">
        <w:rPr>
          <w:color w:val="000000"/>
          <w:lang w:val="en-CA"/>
        </w:rPr>
        <w:t> </w:t>
      </w:r>
      <w:r w:rsidR="006E4A8A" w:rsidRPr="00515AA2">
        <w:rPr>
          <w:color w:val="000000"/>
          <w:lang w:val="en-CA"/>
        </w:rPr>
        <w:t xml:space="preserve">66.1 </w:t>
      </w:r>
      <w:r w:rsidR="006E4A8A" w:rsidRPr="00515AA2">
        <w:rPr>
          <w:i/>
          <w:iCs/>
          <w:color w:val="000000"/>
          <w:lang w:val="en-CA"/>
        </w:rPr>
        <w:t>C.</w:t>
      </w:r>
      <w:r w:rsidR="00881AC9" w:rsidRPr="00515AA2">
        <w:rPr>
          <w:i/>
          <w:iCs/>
          <w:color w:val="000000"/>
          <w:lang w:val="en-CA"/>
        </w:rPr>
        <w:t>C</w:t>
      </w:r>
      <w:r w:rsidR="006E4A8A" w:rsidRPr="00515AA2">
        <w:rPr>
          <w:i/>
          <w:iCs/>
          <w:color w:val="000000"/>
          <w:lang w:val="en-CA"/>
        </w:rPr>
        <w:t>.Q.</w:t>
      </w:r>
      <w:r w:rsidR="006E4A8A" w:rsidRPr="00515AA2">
        <w:rPr>
          <w:color w:val="000000"/>
          <w:lang w:val="en-CA"/>
        </w:rPr>
        <w:t>).</w:t>
      </w:r>
    </w:p>
    <w:p w14:paraId="5FCB5246" w14:textId="1A202F69" w:rsidR="006E4A8A" w:rsidRPr="00515AA2" w:rsidRDefault="005C075F" w:rsidP="00F846E3">
      <w:pPr>
        <w:pStyle w:val="Paragraphe"/>
        <w:spacing w:line="280" w:lineRule="exact"/>
        <w:rPr>
          <w:i/>
          <w:iCs/>
          <w:color w:val="000000"/>
          <w:lang w:val="en-CA"/>
        </w:rPr>
      </w:pPr>
      <w:r w:rsidRPr="00515AA2">
        <w:rPr>
          <w:color w:val="000000"/>
          <w:lang w:val="en-CA"/>
        </w:rPr>
        <w:t xml:space="preserve">Any decision of the registrar of civil status relating to a change of name may be reviewed by the court, on the application of an interested person </w:t>
      </w:r>
      <w:r w:rsidR="006E4A8A" w:rsidRPr="00515AA2">
        <w:rPr>
          <w:color w:val="000000"/>
          <w:lang w:val="en-CA"/>
        </w:rPr>
        <w:t>(art</w:t>
      </w:r>
      <w:r w:rsidRPr="00515AA2">
        <w:rPr>
          <w:color w:val="000000"/>
          <w:lang w:val="en-CA"/>
        </w:rPr>
        <w:t>s</w:t>
      </w:r>
      <w:r w:rsidR="006E4A8A" w:rsidRPr="00515AA2">
        <w:rPr>
          <w:color w:val="000000"/>
          <w:lang w:val="en-CA"/>
        </w:rPr>
        <w:t>.</w:t>
      </w:r>
      <w:r w:rsidR="00DD227E" w:rsidRPr="00515AA2">
        <w:rPr>
          <w:color w:val="000000"/>
          <w:lang w:val="en-CA"/>
        </w:rPr>
        <w:t> </w:t>
      </w:r>
      <w:r w:rsidR="006E4A8A" w:rsidRPr="00515AA2">
        <w:rPr>
          <w:color w:val="000000"/>
          <w:lang w:val="en-CA"/>
        </w:rPr>
        <w:t xml:space="preserve">74 </w:t>
      </w:r>
      <w:r w:rsidRPr="00515AA2">
        <w:rPr>
          <w:color w:val="000000"/>
          <w:lang w:val="en-CA"/>
        </w:rPr>
        <w:t>and</w:t>
      </w:r>
      <w:r w:rsidR="006E4A8A" w:rsidRPr="00515AA2">
        <w:rPr>
          <w:color w:val="000000"/>
          <w:lang w:val="en-CA"/>
        </w:rPr>
        <w:t xml:space="preserve"> 141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w:t>
      </w:r>
    </w:p>
    <w:p w14:paraId="1620380D" w14:textId="7D5698EA" w:rsidR="006E4A8A" w:rsidRPr="00515AA2" w:rsidRDefault="00841C85" w:rsidP="00F846E3">
      <w:pPr>
        <w:pStyle w:val="Paragraphe"/>
        <w:spacing w:line="280" w:lineRule="exact"/>
        <w:rPr>
          <w:i/>
          <w:iCs/>
          <w:color w:val="000000"/>
          <w:lang w:val="en-CA"/>
        </w:rPr>
      </w:pPr>
      <w:r w:rsidRPr="00515AA2">
        <w:rPr>
          <w:color w:val="000000"/>
          <w:lang w:val="en-CA"/>
        </w:rPr>
        <w:t xml:space="preserve">A notice of the decision rendered by the registrar of </w:t>
      </w:r>
      <w:r w:rsidR="005677B0" w:rsidRPr="00515AA2">
        <w:rPr>
          <w:color w:val="000000"/>
          <w:lang w:val="en-CA"/>
        </w:rPr>
        <w:t xml:space="preserve">civil </w:t>
      </w:r>
      <w:r w:rsidRPr="00515AA2">
        <w:rPr>
          <w:color w:val="000000"/>
          <w:lang w:val="en-CA"/>
        </w:rPr>
        <w:t>status or of the judicial decision</w:t>
      </w:r>
      <w:r w:rsidR="00252EF7" w:rsidRPr="00515AA2">
        <w:rPr>
          <w:color w:val="000000"/>
          <w:lang w:val="en-CA"/>
        </w:rPr>
        <w:t xml:space="preserve"> </w:t>
      </w:r>
      <w:r w:rsidRPr="00515AA2">
        <w:rPr>
          <w:color w:val="000000"/>
          <w:lang w:val="en-CA"/>
        </w:rPr>
        <w:t>rendered upon review must be published,</w:t>
      </w:r>
      <w:r w:rsidR="00A14A5F" w:rsidRPr="00515AA2">
        <w:rPr>
          <w:rStyle w:val="Appelnotedebasdep"/>
          <w:color w:val="000000"/>
          <w:lang w:val="en-CA"/>
        </w:rPr>
        <w:footnoteReference w:id="128"/>
      </w:r>
      <w:r w:rsidRPr="00515AA2">
        <w:rPr>
          <w:color w:val="000000"/>
          <w:lang w:val="en-CA"/>
        </w:rPr>
        <w:t xml:space="preserve"> except in certain circumstances</w:t>
      </w:r>
      <w:r w:rsidR="00A27BBF" w:rsidRPr="00515AA2">
        <w:rPr>
          <w:color w:val="000000"/>
          <w:lang w:val="en-CA"/>
        </w:rPr>
        <w:t xml:space="preserve">, for instance where the application only concerns a given name and it is clear that the change requested relates to a modification of the person’s gender identity </w:t>
      </w:r>
      <w:r w:rsidR="006E4A8A" w:rsidRPr="00515AA2">
        <w:rPr>
          <w:color w:val="000000"/>
          <w:lang w:val="en-CA"/>
        </w:rPr>
        <w:t>(art.</w:t>
      </w:r>
      <w:r w:rsidR="00241CFE" w:rsidRPr="00515AA2">
        <w:rPr>
          <w:color w:val="000000"/>
          <w:lang w:val="en-CA"/>
        </w:rPr>
        <w:t> </w:t>
      </w:r>
      <w:r w:rsidR="006E4A8A" w:rsidRPr="00515AA2">
        <w:rPr>
          <w:color w:val="000000"/>
          <w:lang w:val="en-CA"/>
        </w:rPr>
        <w:t>67</w:t>
      </w:r>
      <w:r w:rsidR="00DD227E" w:rsidRPr="00515AA2">
        <w:rPr>
          <w:color w:val="000000"/>
          <w:lang w:val="en-CA"/>
        </w:rPr>
        <w:t xml:space="preserve">, </w:t>
      </w:r>
      <w:r w:rsidR="00A27BBF" w:rsidRPr="00515AA2">
        <w:rPr>
          <w:color w:val="000000"/>
          <w:lang w:val="en-CA"/>
        </w:rPr>
        <w:t>par</w:t>
      </w:r>
      <w:r w:rsidR="001F2D17" w:rsidRPr="00515AA2">
        <w:rPr>
          <w:color w:val="000000"/>
          <w:lang w:val="en-CA"/>
        </w:rPr>
        <w:t>.</w:t>
      </w:r>
      <w:r w:rsidR="00DD227E" w:rsidRPr="00515AA2">
        <w:rPr>
          <w:color w:val="000000"/>
          <w:lang w:val="en-CA"/>
        </w:rPr>
        <w:t xml:space="preserve"> </w:t>
      </w:r>
      <w:r w:rsidR="006E4A8A" w:rsidRPr="00515AA2">
        <w:rPr>
          <w:color w:val="000000"/>
          <w:lang w:val="en-CA"/>
        </w:rPr>
        <w:t xml:space="preserve">2 </w:t>
      </w:r>
      <w:r w:rsidR="006E4A8A" w:rsidRPr="00515AA2">
        <w:rPr>
          <w:i/>
          <w:iCs/>
          <w:color w:val="000000"/>
          <w:lang w:val="en-CA"/>
        </w:rPr>
        <w:t>C.</w:t>
      </w:r>
      <w:r w:rsidR="00A27BBF" w:rsidRPr="00515AA2">
        <w:rPr>
          <w:i/>
          <w:iCs/>
          <w:color w:val="000000"/>
          <w:lang w:val="en-CA"/>
        </w:rPr>
        <w:t>C</w:t>
      </w:r>
      <w:r w:rsidR="006E4A8A" w:rsidRPr="00515AA2">
        <w:rPr>
          <w:i/>
          <w:iCs/>
          <w:color w:val="000000"/>
          <w:lang w:val="en-CA"/>
        </w:rPr>
        <w:t>.Q.</w:t>
      </w:r>
      <w:r w:rsidR="006E4A8A" w:rsidRPr="00515AA2">
        <w:rPr>
          <w:color w:val="000000"/>
          <w:lang w:val="en-CA"/>
        </w:rPr>
        <w:t>).</w:t>
      </w:r>
    </w:p>
    <w:p w14:paraId="6D12FE6C" w14:textId="00F0E46F" w:rsidR="006E4A8A" w:rsidRPr="00515AA2" w:rsidRDefault="00BE5524" w:rsidP="0088498D">
      <w:pPr>
        <w:pStyle w:val="B1"/>
        <w:rPr>
          <w:color w:val="000000"/>
        </w:rPr>
      </w:pPr>
      <w:bookmarkStart w:id="77" w:name="_Toc161830123"/>
      <w:r w:rsidRPr="00515AA2">
        <w:rPr>
          <w:color w:val="000000"/>
        </w:rPr>
        <w:t xml:space="preserve">Change of the </w:t>
      </w:r>
      <w:r w:rsidR="00252EF7" w:rsidRPr="00515AA2">
        <w:rPr>
          <w:color w:val="000000"/>
        </w:rPr>
        <w:t>D</w:t>
      </w:r>
      <w:r w:rsidRPr="00515AA2">
        <w:rPr>
          <w:color w:val="000000"/>
        </w:rPr>
        <w:t xml:space="preserve">esignation of </w:t>
      </w:r>
      <w:r w:rsidR="00252EF7" w:rsidRPr="00515AA2">
        <w:rPr>
          <w:color w:val="000000"/>
        </w:rPr>
        <w:t>S</w:t>
      </w:r>
      <w:r w:rsidRPr="00515AA2">
        <w:rPr>
          <w:color w:val="000000"/>
        </w:rPr>
        <w:t>ex</w:t>
      </w:r>
      <w:bookmarkEnd w:id="77"/>
    </w:p>
    <w:p w14:paraId="0CB75BD1" w14:textId="5FF83389" w:rsidR="006E4A8A" w:rsidRPr="00515AA2" w:rsidRDefault="00BE5524" w:rsidP="00F846E3">
      <w:pPr>
        <w:pStyle w:val="Paragraphe"/>
        <w:spacing w:line="280" w:lineRule="exact"/>
        <w:rPr>
          <w:color w:val="000000"/>
          <w:lang w:val="en-CA"/>
        </w:rPr>
      </w:pPr>
      <w:r w:rsidRPr="00515AA2">
        <w:rPr>
          <w:color w:val="000000"/>
          <w:lang w:val="en-CA"/>
        </w:rPr>
        <w:t xml:space="preserve">As </w:t>
      </w:r>
      <w:r w:rsidR="00117306" w:rsidRPr="00515AA2">
        <w:rPr>
          <w:color w:val="000000"/>
          <w:lang w:val="en-CA"/>
        </w:rPr>
        <w:t>described above</w:t>
      </w:r>
      <w:r w:rsidR="006E4A8A" w:rsidRPr="00515AA2">
        <w:rPr>
          <w:color w:val="000000"/>
          <w:lang w:val="en-CA"/>
        </w:rPr>
        <w:t xml:space="preserve">, </w:t>
      </w:r>
      <w:r w:rsidRPr="00515AA2">
        <w:rPr>
          <w:color w:val="000000"/>
          <w:lang w:val="en-CA"/>
        </w:rPr>
        <w:t>art</w:t>
      </w:r>
      <w:r w:rsidR="00B42CA7" w:rsidRPr="00515AA2">
        <w:rPr>
          <w:color w:val="000000"/>
          <w:lang w:val="en-CA"/>
        </w:rPr>
        <w:t>icle</w:t>
      </w:r>
      <w:r w:rsidR="006B578B" w:rsidRPr="00515AA2">
        <w:rPr>
          <w:color w:val="000000"/>
          <w:lang w:val="en-CA"/>
        </w:rPr>
        <w:t> </w:t>
      </w:r>
      <w:r w:rsidR="006E4A8A" w:rsidRPr="00515AA2">
        <w:rPr>
          <w:color w:val="000000"/>
          <w:lang w:val="en-CA"/>
        </w:rPr>
        <w:t xml:space="preserve">71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 xml:space="preserve">allows a person whose gender identity does not correspond to the designation of sex that appears in their act of birth to have that designation </w:t>
      </w:r>
      <w:r w:rsidR="00117306" w:rsidRPr="00515AA2">
        <w:rPr>
          <w:color w:val="000000"/>
          <w:lang w:val="en-CA"/>
        </w:rPr>
        <w:t xml:space="preserve">and, if necessary, their given names </w:t>
      </w:r>
      <w:r w:rsidRPr="00515AA2">
        <w:rPr>
          <w:color w:val="000000"/>
          <w:lang w:val="en-CA"/>
        </w:rPr>
        <w:t xml:space="preserve">changed </w:t>
      </w:r>
      <w:r w:rsidR="00117306" w:rsidRPr="00515AA2">
        <w:rPr>
          <w:color w:val="000000"/>
          <w:lang w:val="en-CA"/>
        </w:rPr>
        <w:t>if</w:t>
      </w:r>
      <w:r w:rsidRPr="00515AA2">
        <w:rPr>
          <w:color w:val="000000"/>
          <w:lang w:val="en-CA"/>
        </w:rPr>
        <w:t xml:space="preserve"> they </w:t>
      </w:r>
      <w:r w:rsidR="00252EF7" w:rsidRPr="00515AA2">
        <w:rPr>
          <w:color w:val="000000"/>
          <w:lang w:val="en-CA"/>
        </w:rPr>
        <w:t>satisfy</w:t>
      </w:r>
      <w:r w:rsidRPr="00515AA2">
        <w:rPr>
          <w:color w:val="000000"/>
          <w:lang w:val="en-CA"/>
        </w:rPr>
        <w:t xml:space="preserve"> the</w:t>
      </w:r>
      <w:r w:rsidR="00117306" w:rsidRPr="00515AA2">
        <w:rPr>
          <w:color w:val="000000"/>
          <w:lang w:val="en-CA"/>
        </w:rPr>
        <w:t xml:space="preserve"> statutory</w:t>
      </w:r>
      <w:r w:rsidRPr="00515AA2">
        <w:rPr>
          <w:color w:val="000000"/>
          <w:lang w:val="en-CA"/>
        </w:rPr>
        <w:t xml:space="preserve"> </w:t>
      </w:r>
      <w:r w:rsidR="00252EF7" w:rsidRPr="00515AA2">
        <w:rPr>
          <w:color w:val="000000"/>
          <w:lang w:val="en-CA"/>
        </w:rPr>
        <w:t>requirements</w:t>
      </w:r>
      <w:r w:rsidR="006E4A8A" w:rsidRPr="00515AA2">
        <w:rPr>
          <w:color w:val="000000"/>
          <w:lang w:val="en-CA"/>
        </w:rPr>
        <w:t xml:space="preserve">. </w:t>
      </w:r>
      <w:r w:rsidR="00117306" w:rsidRPr="00515AA2">
        <w:rPr>
          <w:color w:val="000000"/>
          <w:lang w:val="en-CA"/>
        </w:rPr>
        <w:t>Pursuant to a</w:t>
      </w:r>
      <w:r w:rsidRPr="00515AA2">
        <w:rPr>
          <w:color w:val="000000"/>
          <w:lang w:val="en-CA"/>
        </w:rPr>
        <w:t>rt</w:t>
      </w:r>
      <w:r w:rsidR="00B42CA7" w:rsidRPr="00515AA2">
        <w:rPr>
          <w:color w:val="000000"/>
          <w:lang w:val="en-CA"/>
        </w:rPr>
        <w:t>icle</w:t>
      </w:r>
      <w:r w:rsidR="006B578B" w:rsidRPr="00515AA2">
        <w:rPr>
          <w:color w:val="000000"/>
          <w:lang w:val="en-CA"/>
        </w:rPr>
        <w:t> </w:t>
      </w:r>
      <w:r w:rsidR="006E4A8A" w:rsidRPr="00515AA2">
        <w:rPr>
          <w:color w:val="000000"/>
          <w:lang w:val="en-CA"/>
        </w:rPr>
        <w:t xml:space="preserve">71.1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117306" w:rsidRPr="00515AA2">
        <w:rPr>
          <w:color w:val="000000"/>
          <w:lang w:val="en-CA"/>
        </w:rPr>
        <w:t>,</w:t>
      </w:r>
      <w:r w:rsidR="00117306" w:rsidRPr="00515AA2">
        <w:rPr>
          <w:i/>
          <w:iCs/>
          <w:color w:val="000000"/>
          <w:lang w:val="en-CA"/>
        </w:rPr>
        <w:t xml:space="preserve"> </w:t>
      </w:r>
      <w:r w:rsidRPr="00515AA2">
        <w:rPr>
          <w:color w:val="000000"/>
          <w:lang w:val="en-CA"/>
        </w:rPr>
        <w:t xml:space="preserve">a minor may, alone, make such an application if </w:t>
      </w:r>
      <w:r w:rsidR="00117306" w:rsidRPr="00515AA2">
        <w:rPr>
          <w:color w:val="000000"/>
          <w:lang w:val="en-CA"/>
        </w:rPr>
        <w:t>they are</w:t>
      </w:r>
      <w:r w:rsidRPr="00515AA2">
        <w:rPr>
          <w:color w:val="000000"/>
          <w:lang w:val="en-CA"/>
        </w:rPr>
        <w:t xml:space="preserve"> 14 years of age or over</w:t>
      </w:r>
      <w:r w:rsidR="006E4A8A" w:rsidRPr="00515AA2">
        <w:rPr>
          <w:color w:val="000000"/>
          <w:lang w:val="en-CA"/>
        </w:rPr>
        <w:t xml:space="preserve">, </w:t>
      </w:r>
      <w:r w:rsidR="00117306" w:rsidRPr="00515AA2">
        <w:rPr>
          <w:color w:val="000000"/>
          <w:lang w:val="en-CA"/>
        </w:rPr>
        <w:t xml:space="preserve">which </w:t>
      </w:r>
      <w:r w:rsidR="009E2CA6" w:rsidRPr="00515AA2">
        <w:rPr>
          <w:color w:val="000000"/>
          <w:lang w:val="en-CA"/>
        </w:rPr>
        <w:t>negates</w:t>
      </w:r>
      <w:r w:rsidR="00117306" w:rsidRPr="00515AA2">
        <w:rPr>
          <w:color w:val="000000"/>
          <w:lang w:val="en-CA"/>
        </w:rPr>
        <w:t xml:space="preserve"> the obligation otherwise </w:t>
      </w:r>
      <w:r w:rsidR="00117306" w:rsidRPr="00515AA2">
        <w:rPr>
          <w:color w:val="000000"/>
          <w:lang w:val="en-CA"/>
        </w:rPr>
        <w:lastRenderedPageBreak/>
        <w:t>imposed on them to obtain</w:t>
      </w:r>
      <w:r w:rsidR="006E4A8A" w:rsidRPr="00515AA2">
        <w:rPr>
          <w:color w:val="000000"/>
          <w:lang w:val="en-CA"/>
        </w:rPr>
        <w:t xml:space="preserve"> </w:t>
      </w:r>
      <w:r w:rsidR="00117306" w:rsidRPr="00515AA2">
        <w:rPr>
          <w:color w:val="000000"/>
          <w:lang w:val="en-CA"/>
        </w:rPr>
        <w:t xml:space="preserve">the authorization of the court before instituting alone an action relating to their status </w:t>
      </w:r>
      <w:r w:rsidR="006E4A8A" w:rsidRPr="00515AA2">
        <w:rPr>
          <w:color w:val="000000"/>
          <w:lang w:val="en-CA"/>
        </w:rPr>
        <w:t>(art.</w:t>
      </w:r>
      <w:r w:rsidR="006B578B" w:rsidRPr="00515AA2">
        <w:rPr>
          <w:color w:val="000000"/>
          <w:lang w:val="en-CA"/>
        </w:rPr>
        <w:t xml:space="preserve"> </w:t>
      </w:r>
      <w:r w:rsidR="006E4A8A" w:rsidRPr="00515AA2">
        <w:rPr>
          <w:color w:val="000000"/>
          <w:lang w:val="en-CA"/>
        </w:rPr>
        <w:t xml:space="preserve">159 </w:t>
      </w:r>
      <w:r w:rsidR="006E4A8A" w:rsidRPr="00515AA2">
        <w:rPr>
          <w:i/>
          <w:iCs/>
          <w:color w:val="000000"/>
          <w:lang w:val="en-CA"/>
        </w:rPr>
        <w:t>C.</w:t>
      </w:r>
      <w:r w:rsidR="00117306" w:rsidRPr="00515AA2">
        <w:rPr>
          <w:i/>
          <w:iCs/>
          <w:color w:val="000000"/>
          <w:lang w:val="en-CA"/>
        </w:rPr>
        <w:t>C</w:t>
      </w:r>
      <w:r w:rsidR="006E4A8A" w:rsidRPr="00515AA2">
        <w:rPr>
          <w:i/>
          <w:iCs/>
          <w:color w:val="000000"/>
          <w:lang w:val="en-CA"/>
        </w:rPr>
        <w:t>.Q</w:t>
      </w:r>
      <w:r w:rsidR="00640A83" w:rsidRPr="00515AA2">
        <w:rPr>
          <w:i/>
          <w:iCs/>
          <w:color w:val="000000"/>
          <w:lang w:val="en-CA"/>
        </w:rPr>
        <w:t>.</w:t>
      </w:r>
      <w:r w:rsidR="006E4A8A" w:rsidRPr="00515AA2">
        <w:rPr>
          <w:color w:val="000000"/>
          <w:lang w:val="en-CA"/>
        </w:rPr>
        <w:t>).</w:t>
      </w:r>
    </w:p>
    <w:p w14:paraId="4014DB13" w14:textId="3AC6AF4C" w:rsidR="006E4A8A" w:rsidRPr="00515AA2" w:rsidRDefault="009E2CA6" w:rsidP="00F846E3">
      <w:pPr>
        <w:pStyle w:val="Paragraphe"/>
        <w:spacing w:line="280" w:lineRule="exact"/>
        <w:rPr>
          <w:color w:val="000000"/>
          <w:lang w:val="en-CA"/>
        </w:rPr>
      </w:pPr>
      <w:r w:rsidRPr="00515AA2">
        <w:rPr>
          <w:color w:val="000000"/>
          <w:lang w:val="en-CA"/>
        </w:rPr>
        <w:t>The application to have the designation of sex</w:t>
      </w:r>
      <w:r w:rsidR="006E4A8A" w:rsidRPr="00515AA2">
        <w:rPr>
          <w:color w:val="000000"/>
          <w:lang w:val="en-CA"/>
        </w:rPr>
        <w:t xml:space="preserve"> </w:t>
      </w:r>
      <w:r w:rsidRPr="00515AA2">
        <w:rPr>
          <w:color w:val="000000"/>
          <w:lang w:val="en-CA"/>
        </w:rPr>
        <w:t xml:space="preserve">that appears in an act of birth changed is subject to the same procedure as an application for a change of name, except as to publication requirements </w:t>
      </w:r>
      <w:r w:rsidR="006E4A8A" w:rsidRPr="00515AA2">
        <w:rPr>
          <w:color w:val="000000"/>
          <w:lang w:val="en-CA"/>
        </w:rPr>
        <w:t>(art.</w:t>
      </w:r>
      <w:r w:rsidR="006B578B" w:rsidRPr="00515AA2">
        <w:rPr>
          <w:color w:val="000000"/>
          <w:lang w:val="en-CA"/>
        </w:rPr>
        <w:t xml:space="preserve"> </w:t>
      </w:r>
      <w:r w:rsidR="006E4A8A" w:rsidRPr="00515AA2">
        <w:rPr>
          <w:color w:val="000000"/>
          <w:lang w:val="en-CA"/>
        </w:rPr>
        <w:t xml:space="preserve">73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 xml:space="preserve">In fact, the application for a change of designation of sex, and if necessary, of </w:t>
      </w:r>
      <w:r w:rsidR="00EC7A82" w:rsidRPr="00515AA2">
        <w:rPr>
          <w:color w:val="000000"/>
          <w:lang w:val="en-CA"/>
        </w:rPr>
        <w:t>given name</w:t>
      </w:r>
      <w:r w:rsidR="00E81DB2" w:rsidRPr="00515AA2">
        <w:rPr>
          <w:color w:val="000000"/>
          <w:lang w:val="en-CA"/>
        </w:rPr>
        <w:t xml:space="preserve"> or names</w:t>
      </w:r>
      <w:r w:rsidR="00EC7A82" w:rsidRPr="00515AA2">
        <w:rPr>
          <w:color w:val="000000"/>
          <w:lang w:val="en-CA"/>
        </w:rPr>
        <w:t xml:space="preserve"> need </w:t>
      </w:r>
      <w:r w:rsidR="00942C97" w:rsidRPr="00515AA2">
        <w:rPr>
          <w:color w:val="000000"/>
          <w:lang w:val="en-CA"/>
        </w:rPr>
        <w:t>not</w:t>
      </w:r>
      <w:r w:rsidR="00EC7A82" w:rsidRPr="00515AA2">
        <w:rPr>
          <w:color w:val="000000"/>
          <w:lang w:val="en-CA"/>
        </w:rPr>
        <w:t xml:space="preserve"> be published and nothing requires a minor 14 years of age </w:t>
      </w:r>
      <w:r w:rsidR="002C7FEF" w:rsidRPr="00515AA2">
        <w:rPr>
          <w:color w:val="000000"/>
          <w:lang w:val="en-CA"/>
        </w:rPr>
        <w:t>or over</w:t>
      </w:r>
      <w:r w:rsidR="00EC7A82" w:rsidRPr="00515AA2">
        <w:rPr>
          <w:color w:val="000000"/>
          <w:lang w:val="en-CA"/>
        </w:rPr>
        <w:t xml:space="preserve"> to notify their parents or tutor.</w:t>
      </w:r>
      <w:r w:rsidR="006E4A8A" w:rsidRPr="00515AA2">
        <w:rPr>
          <w:rStyle w:val="Appelnotedebasdep"/>
          <w:color w:val="000000"/>
          <w:lang w:val="en-CA"/>
        </w:rPr>
        <w:footnoteReference w:id="129"/>
      </w:r>
      <w:r w:rsidR="006E4A8A" w:rsidRPr="00515AA2">
        <w:rPr>
          <w:color w:val="000000"/>
          <w:lang w:val="en-CA"/>
        </w:rPr>
        <w:t xml:space="preserve"> </w:t>
      </w:r>
      <w:r w:rsidR="00EC7A82" w:rsidRPr="00515AA2">
        <w:rPr>
          <w:color w:val="000000"/>
          <w:lang w:val="en-CA"/>
        </w:rPr>
        <w:t>The application must be supported by an affidavit</w:t>
      </w:r>
      <w:r w:rsidR="006E4A8A" w:rsidRPr="00515AA2">
        <w:rPr>
          <w:rStyle w:val="Appelnotedebasdep"/>
          <w:color w:val="000000"/>
          <w:lang w:val="en-CA"/>
        </w:rPr>
        <w:footnoteReference w:id="130"/>
      </w:r>
      <w:r w:rsidR="00EC7A82" w:rsidRPr="00515AA2">
        <w:rPr>
          <w:color w:val="000000"/>
          <w:lang w:val="en-CA"/>
        </w:rPr>
        <w:t xml:space="preserve">, and the applicant must attach the documents </w:t>
      </w:r>
      <w:r w:rsidR="005677B0" w:rsidRPr="00515AA2">
        <w:rPr>
          <w:color w:val="000000"/>
          <w:lang w:val="en-CA"/>
        </w:rPr>
        <w:t xml:space="preserve">set out </w:t>
      </w:r>
      <w:r w:rsidR="00EC7A82" w:rsidRPr="00515AA2">
        <w:rPr>
          <w:color w:val="000000"/>
          <w:lang w:val="en-CA"/>
        </w:rPr>
        <w:t>in s</w:t>
      </w:r>
      <w:r w:rsidR="00B42CA7" w:rsidRPr="00515AA2">
        <w:rPr>
          <w:color w:val="000000"/>
          <w:lang w:val="en-CA"/>
        </w:rPr>
        <w:t>ection</w:t>
      </w:r>
      <w:r w:rsidR="00EC7A82" w:rsidRPr="00515AA2">
        <w:rPr>
          <w:color w:val="000000"/>
          <w:lang w:val="en-CA"/>
        </w:rPr>
        <w:t xml:space="preserve"> 4 of the</w:t>
      </w:r>
      <w:r w:rsidR="00EF6A4F" w:rsidRPr="00515AA2">
        <w:rPr>
          <w:color w:val="000000"/>
          <w:lang w:val="en-CA"/>
        </w:rPr>
        <w:t xml:space="preserve"> </w:t>
      </w:r>
      <w:r w:rsidR="006E4A8A" w:rsidRPr="00515AA2">
        <w:rPr>
          <w:i/>
          <w:iCs/>
          <w:color w:val="000000"/>
          <w:lang w:val="en-CA"/>
        </w:rPr>
        <w:t>R</w:t>
      </w:r>
      <w:r w:rsidR="00EC7A82" w:rsidRPr="00515AA2">
        <w:rPr>
          <w:i/>
          <w:iCs/>
          <w:color w:val="000000"/>
          <w:lang w:val="en-CA"/>
        </w:rPr>
        <w:t>egulation</w:t>
      </w:r>
      <w:r w:rsidR="006E4A8A" w:rsidRPr="00515AA2">
        <w:rPr>
          <w:i/>
          <w:iCs/>
          <w:color w:val="000000"/>
          <w:lang w:val="en-CA"/>
        </w:rPr>
        <w:t xml:space="preserve"> </w:t>
      </w:r>
      <w:r w:rsidR="006E4A8A" w:rsidRPr="00515AA2">
        <w:rPr>
          <w:color w:val="000000"/>
          <w:lang w:val="en-CA"/>
        </w:rPr>
        <w:t>(art.</w:t>
      </w:r>
      <w:r w:rsidR="006B578B" w:rsidRPr="00515AA2">
        <w:rPr>
          <w:color w:val="000000"/>
          <w:lang w:val="en-CA"/>
        </w:rPr>
        <w:t> </w:t>
      </w:r>
      <w:r w:rsidR="006E4A8A" w:rsidRPr="00515AA2">
        <w:rPr>
          <w:color w:val="000000"/>
          <w:lang w:val="en-CA"/>
        </w:rPr>
        <w:t xml:space="preserve">72 </w:t>
      </w:r>
      <w:r w:rsidR="006E4A8A" w:rsidRPr="00515AA2">
        <w:rPr>
          <w:i/>
          <w:iCs/>
          <w:color w:val="000000"/>
          <w:lang w:val="en-CA"/>
        </w:rPr>
        <w:t>C.</w:t>
      </w:r>
      <w:r w:rsidR="00EC7A82" w:rsidRPr="00515AA2">
        <w:rPr>
          <w:i/>
          <w:iCs/>
          <w:color w:val="000000"/>
          <w:lang w:val="en-CA"/>
        </w:rPr>
        <w:t>C</w:t>
      </w:r>
      <w:r w:rsidR="006E4A8A" w:rsidRPr="00515AA2">
        <w:rPr>
          <w:i/>
          <w:iCs/>
          <w:color w:val="000000"/>
          <w:lang w:val="en-CA"/>
        </w:rPr>
        <w:t>.Q.</w:t>
      </w:r>
      <w:r w:rsidR="006E4A8A" w:rsidRPr="00515AA2">
        <w:rPr>
          <w:color w:val="000000"/>
          <w:lang w:val="en-CA"/>
        </w:rPr>
        <w:t>)</w:t>
      </w:r>
      <w:r w:rsidR="006E4A8A" w:rsidRPr="00515AA2">
        <w:rPr>
          <w:i/>
          <w:iCs/>
          <w:color w:val="000000"/>
          <w:lang w:val="en-CA"/>
        </w:rPr>
        <w:t xml:space="preserve"> </w:t>
      </w:r>
      <w:r w:rsidR="00EC7A82" w:rsidRPr="00515AA2">
        <w:rPr>
          <w:color w:val="000000"/>
          <w:lang w:val="en-CA"/>
        </w:rPr>
        <w:t xml:space="preserve">as well as a letter from a designated professional declaring having evaluated or followed the child and </w:t>
      </w:r>
      <w:r w:rsidR="005677B0" w:rsidRPr="00515AA2">
        <w:rPr>
          <w:color w:val="000000"/>
          <w:lang w:val="en-CA"/>
        </w:rPr>
        <w:t xml:space="preserve">being </w:t>
      </w:r>
      <w:r w:rsidR="00EC7A82" w:rsidRPr="00515AA2">
        <w:rPr>
          <w:color w:val="000000"/>
          <w:lang w:val="en-CA"/>
        </w:rPr>
        <w:t>of the opinion that the change of designation is appropriate.</w:t>
      </w:r>
      <w:r w:rsidR="006E4A8A" w:rsidRPr="00515AA2">
        <w:rPr>
          <w:rStyle w:val="Appelnotedebasdep"/>
          <w:color w:val="000000"/>
          <w:lang w:val="en-CA"/>
        </w:rPr>
        <w:footnoteReference w:id="131"/>
      </w:r>
    </w:p>
    <w:p w14:paraId="7B254B54" w14:textId="0EC9FF01" w:rsidR="006E4A8A" w:rsidRPr="00515AA2" w:rsidRDefault="00FA36BD" w:rsidP="00F846E3">
      <w:pPr>
        <w:pStyle w:val="Paragraphe"/>
        <w:spacing w:line="280" w:lineRule="exact"/>
        <w:rPr>
          <w:color w:val="000000"/>
          <w:lang w:val="en-CA"/>
        </w:rPr>
      </w:pPr>
      <w:r w:rsidRPr="00515AA2">
        <w:rPr>
          <w:color w:val="000000"/>
          <w:lang w:val="en-CA"/>
        </w:rPr>
        <w:t>These provisions show that the legislator was aware of the importance of protecting the dignity and privacy of people whose gender identity does not correspond to the designation of sex that appears in their act of birth</w:t>
      </w:r>
      <w:r w:rsidR="006E4A8A" w:rsidRPr="00515AA2">
        <w:rPr>
          <w:rStyle w:val="Appelnotedebasdep"/>
          <w:color w:val="000000"/>
          <w:lang w:val="en-CA"/>
        </w:rPr>
        <w:footnoteReference w:id="132"/>
      </w:r>
      <w:r w:rsidR="006E4A8A" w:rsidRPr="00515AA2">
        <w:rPr>
          <w:color w:val="000000"/>
          <w:lang w:val="en-CA"/>
        </w:rPr>
        <w:t xml:space="preserve"> </w:t>
      </w:r>
      <w:r w:rsidRPr="00515AA2">
        <w:rPr>
          <w:color w:val="000000"/>
          <w:lang w:val="en-CA"/>
        </w:rPr>
        <w:t xml:space="preserve">and that it has chosen to grant them full autonomy once they are 14 years of age </w:t>
      </w:r>
      <w:r w:rsidR="00E82E6B" w:rsidRPr="00515AA2">
        <w:rPr>
          <w:color w:val="000000"/>
          <w:lang w:val="en-CA"/>
        </w:rPr>
        <w:t>or over</w:t>
      </w:r>
      <w:r w:rsidR="006E4A8A" w:rsidRPr="00515AA2">
        <w:rPr>
          <w:color w:val="000000"/>
          <w:lang w:val="en-CA"/>
        </w:rPr>
        <w:t>.</w:t>
      </w:r>
    </w:p>
    <w:p w14:paraId="60C7D724" w14:textId="5E576E25" w:rsidR="006E4A8A" w:rsidRPr="00515AA2" w:rsidRDefault="00FA36BD" w:rsidP="00F846E3">
      <w:pPr>
        <w:pStyle w:val="Paragraphe"/>
        <w:spacing w:line="280" w:lineRule="exact"/>
        <w:rPr>
          <w:color w:val="000000"/>
          <w:lang w:val="en-CA"/>
        </w:rPr>
      </w:pPr>
      <w:r w:rsidRPr="00515AA2">
        <w:rPr>
          <w:color w:val="000000"/>
          <w:lang w:val="en-CA"/>
        </w:rPr>
        <w:t>Consequently</w:t>
      </w:r>
      <w:r w:rsidR="006E4A8A" w:rsidRPr="00515AA2">
        <w:rPr>
          <w:color w:val="000000"/>
          <w:lang w:val="en-CA"/>
        </w:rPr>
        <w:t>,</w:t>
      </w:r>
      <w:r w:rsidRPr="00515AA2">
        <w:rPr>
          <w:color w:val="000000"/>
          <w:lang w:val="en-CA"/>
        </w:rPr>
        <w:t xml:space="preserve"> minors 14 years of age </w:t>
      </w:r>
      <w:r w:rsidR="00E82E6B" w:rsidRPr="00515AA2">
        <w:rPr>
          <w:color w:val="000000"/>
          <w:lang w:val="en-CA"/>
        </w:rPr>
        <w:t>or over</w:t>
      </w:r>
      <w:r w:rsidRPr="00515AA2">
        <w:rPr>
          <w:color w:val="000000"/>
          <w:lang w:val="en-CA"/>
        </w:rPr>
        <w:t xml:space="preserve"> may act alone, without being required to inform their parents or tutor</w:t>
      </w:r>
      <w:r w:rsidR="006E4A8A" w:rsidRPr="00515AA2">
        <w:rPr>
          <w:color w:val="000000"/>
          <w:lang w:val="en-CA"/>
        </w:rPr>
        <w:t xml:space="preserve">, </w:t>
      </w:r>
      <w:r w:rsidRPr="00515AA2">
        <w:rPr>
          <w:color w:val="000000"/>
          <w:lang w:val="en-CA"/>
        </w:rPr>
        <w:t>if they wish to change the designation of sex that appears in their act of birth</w:t>
      </w:r>
      <w:r w:rsidR="006E4A8A" w:rsidRPr="00515AA2">
        <w:rPr>
          <w:color w:val="000000"/>
          <w:lang w:val="en-CA"/>
        </w:rPr>
        <w:t xml:space="preserve">. </w:t>
      </w:r>
      <w:r w:rsidRPr="00515AA2">
        <w:rPr>
          <w:color w:val="000000"/>
          <w:lang w:val="en-CA"/>
        </w:rPr>
        <w:t>They may, at the same time, request that their name</w:t>
      </w:r>
      <w:r w:rsidR="00A4064D" w:rsidRPr="00515AA2">
        <w:rPr>
          <w:color w:val="000000"/>
          <w:lang w:val="en-CA"/>
        </w:rPr>
        <w:t xml:space="preserve"> be changed, by modifying one or several of their given names, to reflect their gender identity, with no further requirement than that of satisfying the conditions provided by the </w:t>
      </w:r>
      <w:r w:rsidR="00A4064D" w:rsidRPr="00515AA2">
        <w:rPr>
          <w:i/>
          <w:iCs/>
          <w:color w:val="000000"/>
          <w:lang w:val="en-CA"/>
        </w:rPr>
        <w:t>Regulation</w:t>
      </w:r>
      <w:r w:rsidR="00A4064D" w:rsidRPr="00515AA2">
        <w:rPr>
          <w:color w:val="000000"/>
          <w:lang w:val="en-CA"/>
        </w:rPr>
        <w:t xml:space="preserve"> (which include neither the obligation to publish the application nor that of notifying their parents or tutor). In such circumstances, the legislator did not grant any right to object to the parents or tutor</w:t>
      </w:r>
      <w:r w:rsidR="006E4A8A" w:rsidRPr="00515AA2">
        <w:rPr>
          <w:color w:val="000000"/>
          <w:lang w:val="en-CA"/>
        </w:rPr>
        <w:t>.</w:t>
      </w:r>
    </w:p>
    <w:p w14:paraId="6D956335" w14:textId="69B986E7" w:rsidR="006E4A8A" w:rsidRPr="00515AA2" w:rsidRDefault="002A6C85" w:rsidP="0088498D">
      <w:pPr>
        <w:pStyle w:val="B1"/>
        <w:rPr>
          <w:color w:val="000000"/>
        </w:rPr>
      </w:pPr>
      <w:bookmarkStart w:id="78" w:name="_Toc161830124"/>
      <w:r w:rsidRPr="00515AA2">
        <w:rPr>
          <w:color w:val="000000"/>
        </w:rPr>
        <w:lastRenderedPageBreak/>
        <w:t xml:space="preserve">The </w:t>
      </w:r>
      <w:r w:rsidR="00942C97" w:rsidRPr="00515AA2">
        <w:rPr>
          <w:color w:val="000000"/>
        </w:rPr>
        <w:t>C</w:t>
      </w:r>
      <w:r w:rsidRPr="00515AA2">
        <w:rPr>
          <w:color w:val="000000"/>
        </w:rPr>
        <w:t>orrelation</w:t>
      </w:r>
      <w:r w:rsidR="006E4A8A" w:rsidRPr="00515AA2">
        <w:rPr>
          <w:color w:val="000000"/>
        </w:rPr>
        <w:t xml:space="preserve"> </w:t>
      </w:r>
      <w:r w:rsidR="00942C97" w:rsidRPr="00515AA2">
        <w:rPr>
          <w:color w:val="000000"/>
        </w:rPr>
        <w:t>B</w:t>
      </w:r>
      <w:r w:rsidRPr="00515AA2">
        <w:rPr>
          <w:color w:val="000000"/>
        </w:rPr>
        <w:t xml:space="preserve">etween the </w:t>
      </w:r>
      <w:r w:rsidR="00942C97" w:rsidRPr="00515AA2">
        <w:rPr>
          <w:color w:val="000000"/>
        </w:rPr>
        <w:t>C</w:t>
      </w:r>
      <w:r w:rsidRPr="00515AA2">
        <w:rPr>
          <w:color w:val="000000"/>
        </w:rPr>
        <w:t xml:space="preserve">hange of </w:t>
      </w:r>
      <w:r w:rsidR="00942C97" w:rsidRPr="00515AA2">
        <w:rPr>
          <w:color w:val="000000"/>
        </w:rPr>
        <w:t>N</w:t>
      </w:r>
      <w:r w:rsidRPr="00515AA2">
        <w:rPr>
          <w:color w:val="000000"/>
        </w:rPr>
        <w:t xml:space="preserve">ame and the </w:t>
      </w:r>
      <w:r w:rsidR="00942C97" w:rsidRPr="00515AA2">
        <w:rPr>
          <w:color w:val="000000"/>
        </w:rPr>
        <w:t>C</w:t>
      </w:r>
      <w:r w:rsidRPr="00515AA2">
        <w:rPr>
          <w:color w:val="000000"/>
        </w:rPr>
        <w:t xml:space="preserve">hange of </w:t>
      </w:r>
      <w:r w:rsidR="00942C97" w:rsidRPr="00515AA2">
        <w:rPr>
          <w:color w:val="000000"/>
        </w:rPr>
        <w:t>D</w:t>
      </w:r>
      <w:r w:rsidRPr="00515AA2">
        <w:rPr>
          <w:color w:val="000000"/>
        </w:rPr>
        <w:t xml:space="preserve">esignation of </w:t>
      </w:r>
      <w:r w:rsidR="00942C97" w:rsidRPr="00515AA2">
        <w:rPr>
          <w:color w:val="000000"/>
        </w:rPr>
        <w:t>S</w:t>
      </w:r>
      <w:r w:rsidRPr="00515AA2">
        <w:rPr>
          <w:color w:val="000000"/>
        </w:rPr>
        <w:t>ex</w:t>
      </w:r>
      <w:bookmarkEnd w:id="78"/>
      <w:r w:rsidRPr="00515AA2">
        <w:rPr>
          <w:color w:val="000000"/>
        </w:rPr>
        <w:t xml:space="preserve"> </w:t>
      </w:r>
    </w:p>
    <w:p w14:paraId="170BCE02" w14:textId="7648774B" w:rsidR="006E4A8A" w:rsidRPr="00515AA2" w:rsidRDefault="00AF71C0" w:rsidP="00F846E3">
      <w:pPr>
        <w:pStyle w:val="Paragraphe"/>
        <w:spacing w:line="280" w:lineRule="exact"/>
        <w:rPr>
          <w:color w:val="000000"/>
          <w:lang w:val="en-CA"/>
        </w:rPr>
      </w:pPr>
      <w:r w:rsidRPr="00515AA2">
        <w:rPr>
          <w:color w:val="000000"/>
          <w:lang w:val="en-CA"/>
        </w:rPr>
        <w:t>As mentioned</w:t>
      </w:r>
      <w:r w:rsidR="00571176" w:rsidRPr="00515AA2">
        <w:rPr>
          <w:color w:val="000000"/>
          <w:lang w:val="en-CA"/>
        </w:rPr>
        <w:t>,</w:t>
      </w:r>
      <w:r w:rsidR="006E4A8A" w:rsidRPr="00515AA2">
        <w:rPr>
          <w:color w:val="000000"/>
          <w:lang w:val="en-CA"/>
        </w:rPr>
        <w:t xml:space="preserve"> </w:t>
      </w:r>
      <w:r w:rsidRPr="00515AA2">
        <w:rPr>
          <w:color w:val="000000"/>
          <w:lang w:val="en-CA"/>
        </w:rPr>
        <w:t>art</w:t>
      </w:r>
      <w:r w:rsidR="00B42CA7" w:rsidRPr="00515AA2">
        <w:rPr>
          <w:color w:val="000000"/>
          <w:lang w:val="en-CA"/>
        </w:rPr>
        <w:t>icle</w:t>
      </w:r>
      <w:r w:rsidR="006B578B" w:rsidRPr="00515AA2">
        <w:rPr>
          <w:color w:val="000000"/>
          <w:lang w:val="en-CA"/>
        </w:rPr>
        <w:t> </w:t>
      </w:r>
      <w:r w:rsidR="006E4A8A" w:rsidRPr="00515AA2">
        <w:rPr>
          <w:color w:val="000000"/>
          <w:lang w:val="en-CA"/>
        </w:rPr>
        <w:t xml:space="preserve">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 xml:space="preserve">provides that no change of name of a minor child may be granted by the registrar of civil status if the parents or tutor have not been notified of the application or if they object to it, </w:t>
      </w:r>
      <w:r w:rsidR="005677B0" w:rsidRPr="00515AA2">
        <w:rPr>
          <w:color w:val="000000"/>
          <w:lang w:val="en-CA"/>
        </w:rPr>
        <w:t>unless there is</w:t>
      </w:r>
      <w:r w:rsidRPr="00515AA2">
        <w:rPr>
          <w:color w:val="000000"/>
          <w:lang w:val="en-CA"/>
        </w:rPr>
        <w:t xml:space="preserve"> a </w:t>
      </w:r>
      <w:r w:rsidR="00101816" w:rsidRPr="00515AA2">
        <w:rPr>
          <w:i/>
          <w:iCs/>
          <w:color w:val="000000"/>
          <w:lang w:val="en-CA"/>
        </w:rPr>
        <w:t>compelling reason</w:t>
      </w:r>
      <w:r w:rsidR="006E4A8A" w:rsidRPr="00515AA2">
        <w:rPr>
          <w:color w:val="000000"/>
          <w:lang w:val="en-CA"/>
        </w:rPr>
        <w:t>.</w:t>
      </w:r>
    </w:p>
    <w:p w14:paraId="62052E13" w14:textId="55155F59" w:rsidR="006E4A8A" w:rsidRPr="00515AA2" w:rsidRDefault="00AF71C0" w:rsidP="00F846E3">
      <w:pPr>
        <w:pStyle w:val="Paragraphe"/>
        <w:spacing w:line="280" w:lineRule="exact"/>
        <w:rPr>
          <w:color w:val="000000"/>
          <w:lang w:val="en-CA"/>
        </w:rPr>
      </w:pPr>
      <w:r w:rsidRPr="00515AA2">
        <w:rPr>
          <w:color w:val="000000"/>
          <w:lang w:val="en-CA"/>
        </w:rPr>
        <w:t xml:space="preserve">Consequently, </w:t>
      </w:r>
      <w:r w:rsidR="00997B23" w:rsidRPr="00515AA2">
        <w:rPr>
          <w:color w:val="000000"/>
          <w:lang w:val="en-CA"/>
        </w:rPr>
        <w:t>absent</w:t>
      </w:r>
      <w:r w:rsidRPr="00515AA2">
        <w:rPr>
          <w:color w:val="000000"/>
          <w:lang w:val="en-CA"/>
        </w:rPr>
        <w:t xml:space="preserve"> a</w:t>
      </w:r>
      <w:r w:rsidR="006E4A8A" w:rsidRPr="00515AA2">
        <w:rPr>
          <w:color w:val="000000"/>
          <w:lang w:val="en-CA"/>
        </w:rPr>
        <w:t xml:space="preserve"> </w:t>
      </w:r>
      <w:r w:rsidRPr="00515AA2">
        <w:rPr>
          <w:i/>
          <w:iCs/>
          <w:color w:val="000000"/>
          <w:lang w:val="en-CA"/>
        </w:rPr>
        <w:t>compelling reason</w:t>
      </w:r>
      <w:r w:rsidR="006E4A8A" w:rsidRPr="00515AA2">
        <w:rPr>
          <w:color w:val="000000"/>
          <w:lang w:val="en-CA"/>
        </w:rPr>
        <w:t xml:space="preserve">, </w:t>
      </w:r>
      <w:r w:rsidRPr="00515AA2">
        <w:rPr>
          <w:color w:val="000000"/>
          <w:lang w:val="en-CA"/>
        </w:rPr>
        <w:t>minors</w:t>
      </w:r>
      <w:r w:rsidR="00E25FA1" w:rsidRPr="00515AA2">
        <w:rPr>
          <w:color w:val="000000"/>
          <w:lang w:val="en-CA"/>
        </w:rPr>
        <w:t xml:space="preserve"> 14 years of age </w:t>
      </w:r>
      <w:r w:rsidR="00E82E6B" w:rsidRPr="00515AA2">
        <w:rPr>
          <w:color w:val="000000"/>
          <w:lang w:val="en-CA"/>
        </w:rPr>
        <w:t>or over</w:t>
      </w:r>
      <w:r w:rsidR="00E25FA1" w:rsidRPr="00515AA2">
        <w:rPr>
          <w:color w:val="000000"/>
          <w:lang w:val="en-CA"/>
        </w:rPr>
        <w:t xml:space="preserve"> who wish to change their name must inform their parents of their application</w:t>
      </w:r>
      <w:r w:rsidR="006E4A8A" w:rsidRPr="00515AA2">
        <w:rPr>
          <w:color w:val="000000"/>
          <w:lang w:val="en-CA"/>
        </w:rPr>
        <w:t xml:space="preserve">. </w:t>
      </w:r>
      <w:r w:rsidR="00E25FA1" w:rsidRPr="00515AA2">
        <w:rPr>
          <w:color w:val="000000"/>
          <w:lang w:val="en-CA"/>
        </w:rPr>
        <w:t>In case of objection, they must resort to the change of name procedure by way of judicial process</w:t>
      </w:r>
      <w:r w:rsidR="006E4A8A" w:rsidRPr="00515AA2">
        <w:rPr>
          <w:color w:val="000000"/>
          <w:lang w:val="en-CA"/>
        </w:rPr>
        <w:t xml:space="preserve"> (art</w:t>
      </w:r>
      <w:r w:rsidR="00942C97" w:rsidRPr="00515AA2">
        <w:rPr>
          <w:color w:val="000000"/>
          <w:lang w:val="en-CA"/>
        </w:rPr>
        <w:t>s</w:t>
      </w:r>
      <w:r w:rsidR="006E4A8A" w:rsidRPr="00515AA2">
        <w:rPr>
          <w:color w:val="000000"/>
          <w:lang w:val="en-CA"/>
        </w:rPr>
        <w:t>.</w:t>
      </w:r>
      <w:r w:rsidR="00AF7ECD" w:rsidRPr="00515AA2">
        <w:rPr>
          <w:color w:val="000000"/>
          <w:lang w:val="en-CA"/>
        </w:rPr>
        <w:t> </w:t>
      </w:r>
      <w:r w:rsidR="006E4A8A" w:rsidRPr="00515AA2">
        <w:rPr>
          <w:color w:val="000000"/>
          <w:lang w:val="en-CA"/>
        </w:rPr>
        <w:t xml:space="preserve">66 </w:t>
      </w:r>
      <w:r w:rsidR="00E25FA1" w:rsidRPr="00515AA2">
        <w:rPr>
          <w:color w:val="000000"/>
          <w:lang w:val="en-CA"/>
        </w:rPr>
        <w:t>and</w:t>
      </w:r>
      <w:r w:rsidR="006E4A8A" w:rsidRPr="00515AA2">
        <w:rPr>
          <w:color w:val="000000"/>
          <w:lang w:val="en-CA"/>
        </w:rPr>
        <w:t xml:space="preserve"> </w:t>
      </w:r>
      <w:r w:rsidR="0042384E" w:rsidRPr="00515AA2">
        <w:rPr>
          <w:color w:val="000000"/>
          <w:lang w:val="en-CA"/>
        </w:rPr>
        <w:t xml:space="preserve">66.1 </w:t>
      </w:r>
      <w:r w:rsidR="006E4A8A" w:rsidRPr="00515AA2">
        <w:rPr>
          <w:i/>
          <w:iCs/>
          <w:color w:val="000000"/>
          <w:lang w:val="en-CA"/>
        </w:rPr>
        <w:t>C.</w:t>
      </w:r>
      <w:r w:rsidR="00E25FA1" w:rsidRPr="00515AA2">
        <w:rPr>
          <w:i/>
          <w:iCs/>
          <w:color w:val="000000"/>
          <w:lang w:val="en-CA"/>
        </w:rPr>
        <w:t>C</w:t>
      </w:r>
      <w:r w:rsidR="00E17249" w:rsidRPr="00515AA2">
        <w:rPr>
          <w:i/>
          <w:iCs/>
          <w:color w:val="000000"/>
          <w:lang w:val="en-CA"/>
        </w:rPr>
        <w:t>.Q</w:t>
      </w:r>
      <w:r w:rsidR="006E4A8A" w:rsidRPr="00515AA2">
        <w:rPr>
          <w:color w:val="000000"/>
          <w:lang w:val="en-CA"/>
        </w:rPr>
        <w:t>).</w:t>
      </w:r>
    </w:p>
    <w:p w14:paraId="7BC56A16" w14:textId="056EC86B" w:rsidR="006E4A8A" w:rsidRPr="00515AA2" w:rsidRDefault="00E25FA1" w:rsidP="00F846E3">
      <w:pPr>
        <w:pStyle w:val="Paragraphe"/>
        <w:spacing w:line="280" w:lineRule="exact"/>
        <w:rPr>
          <w:color w:val="000000"/>
          <w:lang w:val="en-CA"/>
        </w:rPr>
      </w:pPr>
      <w:r w:rsidRPr="00515AA2">
        <w:rPr>
          <w:color w:val="000000"/>
          <w:lang w:val="en-CA"/>
        </w:rPr>
        <w:t>That being said</w:t>
      </w:r>
      <w:r w:rsidR="006E4A8A" w:rsidRPr="00515AA2">
        <w:rPr>
          <w:color w:val="000000"/>
          <w:lang w:val="en-CA"/>
        </w:rPr>
        <w:t xml:space="preserve">, </w:t>
      </w:r>
      <w:r w:rsidRPr="00515AA2">
        <w:rPr>
          <w:color w:val="000000"/>
          <w:lang w:val="en-CA"/>
        </w:rPr>
        <w:t xml:space="preserve">we are of the opinion that the legislator did not intend to </w:t>
      </w:r>
      <w:r w:rsidR="00953897" w:rsidRPr="00515AA2">
        <w:rPr>
          <w:color w:val="000000"/>
          <w:lang w:val="en-CA"/>
        </w:rPr>
        <w:t>require that</w:t>
      </w:r>
      <w:r w:rsidRPr="00515AA2">
        <w:rPr>
          <w:color w:val="000000"/>
          <w:lang w:val="en-CA"/>
        </w:rPr>
        <w:t xml:space="preserve"> minors 14 years of age </w:t>
      </w:r>
      <w:r w:rsidR="00E82E6B" w:rsidRPr="00515AA2">
        <w:rPr>
          <w:color w:val="000000"/>
          <w:lang w:val="en-CA"/>
        </w:rPr>
        <w:t>or over</w:t>
      </w:r>
      <w:r w:rsidRPr="00515AA2">
        <w:rPr>
          <w:color w:val="000000"/>
          <w:lang w:val="en-CA"/>
        </w:rPr>
        <w:t xml:space="preserve"> notify their parents or tutor of their application for </w:t>
      </w:r>
      <w:r w:rsidR="00953897" w:rsidRPr="00515AA2">
        <w:rPr>
          <w:color w:val="000000"/>
          <w:lang w:val="en-CA"/>
        </w:rPr>
        <w:t xml:space="preserve">a </w:t>
      </w:r>
      <w:r w:rsidRPr="00515AA2">
        <w:rPr>
          <w:color w:val="000000"/>
          <w:lang w:val="en-CA"/>
        </w:rPr>
        <w:t xml:space="preserve">change of one or several of their given names in cases where the application is motivated by the fact that they feel that </w:t>
      </w:r>
      <w:r w:rsidR="005677B0" w:rsidRPr="00515AA2">
        <w:rPr>
          <w:color w:val="000000"/>
          <w:lang w:val="en-CA"/>
        </w:rPr>
        <w:t xml:space="preserve">their given names </w:t>
      </w:r>
      <w:r w:rsidRPr="00515AA2">
        <w:rPr>
          <w:color w:val="000000"/>
          <w:lang w:val="en-CA"/>
        </w:rPr>
        <w:t xml:space="preserve">do not correspond to their gender identity, nor to grant to </w:t>
      </w:r>
      <w:r w:rsidR="00953897" w:rsidRPr="00515AA2">
        <w:rPr>
          <w:color w:val="000000"/>
          <w:lang w:val="en-CA"/>
        </w:rPr>
        <w:t>the parents or tutor</w:t>
      </w:r>
      <w:r w:rsidRPr="00515AA2">
        <w:rPr>
          <w:color w:val="000000"/>
          <w:lang w:val="en-CA"/>
        </w:rPr>
        <w:t xml:space="preserve"> the right to object to that application</w:t>
      </w:r>
      <w:r w:rsidR="006E4A8A" w:rsidRPr="00515AA2">
        <w:rPr>
          <w:color w:val="000000"/>
          <w:lang w:val="en-CA"/>
        </w:rPr>
        <w:t>.</w:t>
      </w:r>
    </w:p>
    <w:p w14:paraId="5F83D05E" w14:textId="7C46B0D2" w:rsidR="006E4A8A" w:rsidRPr="00515AA2" w:rsidRDefault="00953897" w:rsidP="00F846E3">
      <w:pPr>
        <w:pStyle w:val="Paragraphe"/>
        <w:spacing w:line="280" w:lineRule="exact"/>
        <w:rPr>
          <w:color w:val="000000"/>
          <w:lang w:val="en-CA"/>
        </w:rPr>
      </w:pPr>
      <w:r w:rsidRPr="00515AA2">
        <w:rPr>
          <w:color w:val="000000"/>
          <w:lang w:val="en-CA"/>
        </w:rPr>
        <w:t>Indeed, art</w:t>
      </w:r>
      <w:r w:rsidR="00B42CA7" w:rsidRPr="00515AA2">
        <w:rPr>
          <w:color w:val="000000"/>
          <w:lang w:val="en-CA"/>
        </w:rPr>
        <w:t>icle</w:t>
      </w:r>
      <w:r w:rsidR="00AF7ECD" w:rsidRPr="00515AA2">
        <w:rPr>
          <w:color w:val="000000"/>
          <w:lang w:val="en-CA"/>
        </w:rPr>
        <w:t> </w:t>
      </w:r>
      <w:r w:rsidR="006E4A8A" w:rsidRPr="00515AA2">
        <w:rPr>
          <w:color w:val="000000"/>
          <w:lang w:val="en-CA"/>
        </w:rPr>
        <w:t xml:space="preserve">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should be read in light of the legislation as a whole and</w:t>
      </w:r>
      <w:r w:rsidR="00276EE3" w:rsidRPr="00515AA2">
        <w:rPr>
          <w:color w:val="000000"/>
          <w:lang w:val="en-CA"/>
        </w:rPr>
        <w:t xml:space="preserve"> we must</w:t>
      </w:r>
      <w:r w:rsidRPr="00515AA2">
        <w:rPr>
          <w:color w:val="000000"/>
          <w:lang w:val="en-CA"/>
        </w:rPr>
        <w:t xml:space="preserve"> assume that the legislator </w:t>
      </w:r>
      <w:r w:rsidR="00276EE3" w:rsidRPr="00515AA2">
        <w:rPr>
          <w:color w:val="000000"/>
          <w:lang w:val="en-CA"/>
        </w:rPr>
        <w:t>introduced</w:t>
      </w:r>
      <w:r w:rsidRPr="00515AA2">
        <w:rPr>
          <w:color w:val="000000"/>
          <w:lang w:val="en-CA"/>
        </w:rPr>
        <w:t xml:space="preserve"> a coherent scheme.</w:t>
      </w:r>
      <w:r w:rsidR="006E4A8A" w:rsidRPr="00515AA2">
        <w:rPr>
          <w:rStyle w:val="Appelnotedebasdep"/>
          <w:color w:val="000000"/>
          <w:lang w:val="en-CA"/>
        </w:rPr>
        <w:footnoteReference w:id="133"/>
      </w:r>
      <w:r w:rsidRPr="00515AA2">
        <w:rPr>
          <w:color w:val="000000"/>
          <w:lang w:val="en-CA"/>
        </w:rPr>
        <w:t xml:space="preserve"> </w:t>
      </w:r>
      <w:r w:rsidR="002F77E5" w:rsidRPr="00515AA2">
        <w:rPr>
          <w:color w:val="000000"/>
          <w:lang w:val="en-CA"/>
        </w:rPr>
        <w:t xml:space="preserve">Therefore, it </w:t>
      </w:r>
      <w:r w:rsidR="00276EE3" w:rsidRPr="00515AA2">
        <w:rPr>
          <w:color w:val="000000"/>
          <w:lang w:val="en-CA"/>
        </w:rPr>
        <w:t>is</w:t>
      </w:r>
      <w:r w:rsidR="002F77E5" w:rsidRPr="00515AA2">
        <w:rPr>
          <w:color w:val="000000"/>
          <w:lang w:val="en-CA"/>
        </w:rPr>
        <w:t xml:space="preserve"> </w:t>
      </w:r>
      <w:r w:rsidRPr="00515AA2">
        <w:rPr>
          <w:color w:val="000000"/>
          <w:lang w:val="en-CA"/>
        </w:rPr>
        <w:t>undeniable</w:t>
      </w:r>
      <w:r w:rsidR="00276EE3" w:rsidRPr="00515AA2">
        <w:rPr>
          <w:color w:val="000000"/>
          <w:lang w:val="en-CA"/>
        </w:rPr>
        <w:t xml:space="preserve"> that the legislator</w:t>
      </w:r>
      <w:r w:rsidR="00437E70" w:rsidRPr="00515AA2">
        <w:rPr>
          <w:color w:val="000000"/>
          <w:lang w:val="en-CA"/>
        </w:rPr>
        <w:t xml:space="preserve"> </w:t>
      </w:r>
      <w:r w:rsidR="00276EE3" w:rsidRPr="00515AA2">
        <w:rPr>
          <w:color w:val="000000"/>
          <w:lang w:val="en-CA"/>
        </w:rPr>
        <w:t>grants to minors</w:t>
      </w:r>
      <w:r w:rsidR="006E4A8A" w:rsidRPr="00515AA2">
        <w:rPr>
          <w:color w:val="000000"/>
          <w:lang w:val="en-CA"/>
        </w:rPr>
        <w:t xml:space="preserve"> </w:t>
      </w:r>
      <w:r w:rsidR="00276EE3" w:rsidRPr="00515AA2">
        <w:rPr>
          <w:color w:val="000000"/>
          <w:lang w:val="en-CA"/>
        </w:rPr>
        <w:t xml:space="preserve">14 years of age </w:t>
      </w:r>
      <w:r w:rsidR="00E82E6B" w:rsidRPr="00515AA2">
        <w:rPr>
          <w:color w:val="000000"/>
          <w:lang w:val="en-CA"/>
        </w:rPr>
        <w:t>or over</w:t>
      </w:r>
      <w:r w:rsidR="00276EE3" w:rsidRPr="00515AA2">
        <w:rPr>
          <w:color w:val="000000"/>
          <w:lang w:val="en-CA"/>
        </w:rPr>
        <w:t xml:space="preserve"> the necessary autonomy to have the designation of their sex changed and, if they wish, at the same time</w:t>
      </w:r>
      <w:r w:rsidR="002F77E5" w:rsidRPr="00515AA2">
        <w:rPr>
          <w:color w:val="000000"/>
          <w:lang w:val="en-CA"/>
        </w:rPr>
        <w:t>,</w:t>
      </w:r>
      <w:r w:rsidR="00276EE3" w:rsidRPr="00515AA2">
        <w:rPr>
          <w:color w:val="000000"/>
          <w:lang w:val="en-CA"/>
        </w:rPr>
        <w:t xml:space="preserve"> the given name</w:t>
      </w:r>
      <w:r w:rsidR="00E81DB2" w:rsidRPr="00515AA2">
        <w:rPr>
          <w:color w:val="000000"/>
          <w:lang w:val="en-CA"/>
        </w:rPr>
        <w:t xml:space="preserve"> or names</w:t>
      </w:r>
      <w:r w:rsidR="00276EE3" w:rsidRPr="00515AA2">
        <w:rPr>
          <w:color w:val="000000"/>
          <w:lang w:val="en-CA"/>
        </w:rPr>
        <w:t xml:space="preserve"> that appear on the acts of civil status that concern them if they do not correspond to their gender identity</w:t>
      </w:r>
      <w:r w:rsidR="006E4A8A" w:rsidRPr="00515AA2">
        <w:rPr>
          <w:color w:val="000000"/>
          <w:lang w:val="en-CA"/>
        </w:rPr>
        <w:t>.</w:t>
      </w:r>
    </w:p>
    <w:p w14:paraId="5EDD8215" w14:textId="58104B23" w:rsidR="006E4A8A" w:rsidRPr="00515AA2" w:rsidRDefault="00F52CE0" w:rsidP="00F846E3">
      <w:pPr>
        <w:pStyle w:val="Paragraphe"/>
        <w:spacing w:line="280" w:lineRule="exact"/>
        <w:rPr>
          <w:color w:val="000000"/>
          <w:lang w:val="en-CA"/>
        </w:rPr>
      </w:pPr>
      <w:r w:rsidRPr="00515AA2">
        <w:rPr>
          <w:color w:val="000000"/>
          <w:lang w:val="en-CA"/>
        </w:rPr>
        <w:t>Further, can it be said that the legislator intended otherwise in cases where a minor 14 years of age or over simply requests a change of their given name and not that of the designation of their sex</w:t>
      </w:r>
      <w:r w:rsidR="006E4A8A" w:rsidRPr="00515AA2">
        <w:rPr>
          <w:color w:val="000000"/>
          <w:lang w:val="en-CA"/>
        </w:rPr>
        <w:t xml:space="preserve">? </w:t>
      </w:r>
      <w:r w:rsidR="00E520C0" w:rsidRPr="00515AA2">
        <w:rPr>
          <w:color w:val="000000"/>
          <w:lang w:val="en-CA"/>
        </w:rPr>
        <w:t>In our view, it cannot</w:t>
      </w:r>
      <w:r w:rsidR="006E4A8A" w:rsidRPr="00515AA2">
        <w:rPr>
          <w:color w:val="000000"/>
          <w:lang w:val="en-CA"/>
        </w:rPr>
        <w:t>.</w:t>
      </w:r>
    </w:p>
    <w:p w14:paraId="68BE63FF" w14:textId="733FCCA0" w:rsidR="006E4A8A" w:rsidRPr="00515AA2" w:rsidRDefault="00E520C0" w:rsidP="00F846E3">
      <w:pPr>
        <w:pStyle w:val="Paragraphe"/>
        <w:spacing w:line="280" w:lineRule="exact"/>
        <w:rPr>
          <w:color w:val="000000"/>
          <w:lang w:val="en-CA"/>
        </w:rPr>
      </w:pPr>
      <w:r w:rsidRPr="00515AA2">
        <w:rPr>
          <w:color w:val="000000"/>
          <w:lang w:val="en-CA"/>
        </w:rPr>
        <w:t>We note first that</w:t>
      </w:r>
      <w:r w:rsidR="006E4A8A" w:rsidRPr="00515AA2">
        <w:rPr>
          <w:color w:val="000000"/>
          <w:lang w:val="en-CA"/>
        </w:rPr>
        <w:t xml:space="preserve"> </w:t>
      </w:r>
      <w:r w:rsidRPr="00515AA2">
        <w:rPr>
          <w:color w:val="000000"/>
          <w:lang w:val="en-CA"/>
        </w:rPr>
        <w:t>art</w:t>
      </w:r>
      <w:r w:rsidR="00B42CA7" w:rsidRPr="00515AA2">
        <w:rPr>
          <w:color w:val="000000"/>
          <w:lang w:val="en-CA"/>
        </w:rPr>
        <w:t>icle</w:t>
      </w:r>
      <w:r w:rsidR="00AF7ECD" w:rsidRPr="00515AA2">
        <w:rPr>
          <w:color w:val="000000"/>
          <w:lang w:val="en-CA"/>
        </w:rPr>
        <w:t> </w:t>
      </w:r>
      <w:r w:rsidR="006E4A8A" w:rsidRPr="00515AA2">
        <w:rPr>
          <w:color w:val="000000"/>
          <w:lang w:val="en-CA"/>
        </w:rPr>
        <w:t xml:space="preserve">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 xml:space="preserve">applies to any application for a change of “name” (whether </w:t>
      </w:r>
      <w:r w:rsidR="00E55F50" w:rsidRPr="00515AA2">
        <w:rPr>
          <w:color w:val="000000"/>
          <w:lang w:val="en-CA"/>
        </w:rPr>
        <w:t xml:space="preserve">it be </w:t>
      </w:r>
      <w:r w:rsidRPr="00515AA2">
        <w:rPr>
          <w:color w:val="000000"/>
          <w:lang w:val="en-CA"/>
        </w:rPr>
        <w:t>one or several given names, the surname or both)</w:t>
      </w:r>
      <w:r w:rsidR="00942C97" w:rsidRPr="00515AA2">
        <w:rPr>
          <w:color w:val="000000"/>
          <w:lang w:val="en-CA"/>
        </w:rPr>
        <w:t xml:space="preserve"> of a minor child, regardless of the grounds of the application</w:t>
      </w:r>
      <w:r w:rsidR="00ED40F8" w:rsidRPr="00515AA2">
        <w:rPr>
          <w:color w:val="000000"/>
          <w:lang w:val="en-CA"/>
        </w:rPr>
        <w:t>.</w:t>
      </w:r>
      <w:r w:rsidR="00ED40F8" w:rsidRPr="00515AA2" w:rsidDel="00ED40F8">
        <w:rPr>
          <w:color w:val="000000"/>
          <w:lang w:val="en-CA"/>
        </w:rPr>
        <w:t xml:space="preserve"> </w:t>
      </w:r>
      <w:r w:rsidRPr="00515AA2">
        <w:rPr>
          <w:color w:val="000000"/>
          <w:lang w:val="en-CA"/>
        </w:rPr>
        <w:t>That provision</w:t>
      </w:r>
      <w:r w:rsidR="006E4A8A" w:rsidRPr="00515AA2">
        <w:rPr>
          <w:color w:val="000000"/>
          <w:lang w:val="en-CA"/>
        </w:rPr>
        <w:t xml:space="preserve">, </w:t>
      </w:r>
      <w:r w:rsidR="00E55F50" w:rsidRPr="00515AA2">
        <w:rPr>
          <w:color w:val="000000"/>
          <w:lang w:val="en-CA"/>
        </w:rPr>
        <w:t>like</w:t>
      </w:r>
      <w:r w:rsidRPr="00515AA2">
        <w:rPr>
          <w:color w:val="000000"/>
          <w:lang w:val="en-CA"/>
        </w:rPr>
        <w:t xml:space="preserve"> art</w:t>
      </w:r>
      <w:r w:rsidR="00B42CA7" w:rsidRPr="00515AA2">
        <w:rPr>
          <w:color w:val="000000"/>
          <w:lang w:val="en-CA"/>
        </w:rPr>
        <w:t>icle</w:t>
      </w:r>
      <w:r w:rsidR="00AF7ECD" w:rsidRPr="00515AA2">
        <w:rPr>
          <w:color w:val="000000"/>
          <w:lang w:val="en-CA"/>
        </w:rPr>
        <w:t> </w:t>
      </w:r>
      <w:r w:rsidR="006E4A8A" w:rsidRPr="00515AA2">
        <w:rPr>
          <w:color w:val="000000"/>
          <w:lang w:val="en-CA"/>
        </w:rPr>
        <w:t xml:space="preserve">66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 xml:space="preserve">which grants to minors 14 years of age </w:t>
      </w:r>
      <w:r w:rsidR="00E82E6B" w:rsidRPr="00515AA2">
        <w:rPr>
          <w:color w:val="000000"/>
          <w:lang w:val="en-CA"/>
        </w:rPr>
        <w:t>or over</w:t>
      </w:r>
      <w:r w:rsidRPr="00515AA2">
        <w:rPr>
          <w:color w:val="000000"/>
          <w:lang w:val="en-CA"/>
        </w:rPr>
        <w:t xml:space="preserve"> the right to submit alone an application for a change of name, while requiring them to notify</w:t>
      </w:r>
      <w:r w:rsidR="00942C97" w:rsidRPr="00515AA2">
        <w:rPr>
          <w:color w:val="000000"/>
          <w:lang w:val="en-CA"/>
        </w:rPr>
        <w:t xml:space="preserve"> the</w:t>
      </w:r>
      <w:r w:rsidRPr="00515AA2">
        <w:rPr>
          <w:color w:val="000000"/>
          <w:lang w:val="en-CA"/>
        </w:rPr>
        <w:t xml:space="preserve"> person having parental authority</w:t>
      </w:r>
      <w:r w:rsidR="006E4A8A" w:rsidRPr="00515AA2">
        <w:rPr>
          <w:color w:val="000000"/>
          <w:lang w:val="en-CA"/>
        </w:rPr>
        <w:t xml:space="preserve">, </w:t>
      </w:r>
      <w:r w:rsidR="00D51672" w:rsidRPr="00515AA2">
        <w:rPr>
          <w:color w:val="000000"/>
          <w:lang w:val="en-CA"/>
        </w:rPr>
        <w:t>is thus very broad in scope and applies to a multitude of factual scenarios</w:t>
      </w:r>
      <w:r w:rsidR="006E4A8A" w:rsidRPr="00515AA2">
        <w:rPr>
          <w:color w:val="000000"/>
          <w:lang w:val="en-CA"/>
        </w:rPr>
        <w:t xml:space="preserve">: </w:t>
      </w:r>
      <w:r w:rsidR="00E55F50" w:rsidRPr="00515AA2">
        <w:rPr>
          <w:color w:val="000000"/>
          <w:lang w:val="en-CA"/>
        </w:rPr>
        <w:t xml:space="preserve">that of </w:t>
      </w:r>
      <w:r w:rsidR="00D51672" w:rsidRPr="00515AA2">
        <w:rPr>
          <w:color w:val="000000"/>
          <w:lang w:val="en-CA"/>
        </w:rPr>
        <w:t>a mother wishing to change the surname of her</w:t>
      </w:r>
      <w:r w:rsidR="00942C97" w:rsidRPr="00515AA2">
        <w:rPr>
          <w:color w:val="000000"/>
          <w:lang w:val="en-CA"/>
        </w:rPr>
        <w:t xml:space="preserve"> child</w:t>
      </w:r>
      <w:r w:rsidR="00D51672" w:rsidRPr="00515AA2">
        <w:rPr>
          <w:color w:val="000000"/>
          <w:lang w:val="en-CA"/>
        </w:rPr>
        <w:t xml:space="preserve"> 14 years of age </w:t>
      </w:r>
      <w:r w:rsidR="00E82E6B" w:rsidRPr="00515AA2">
        <w:rPr>
          <w:color w:val="000000"/>
          <w:lang w:val="en-CA"/>
        </w:rPr>
        <w:t>or over</w:t>
      </w:r>
      <w:r w:rsidR="00D51672" w:rsidRPr="00515AA2">
        <w:rPr>
          <w:color w:val="000000"/>
          <w:lang w:val="en-CA"/>
        </w:rPr>
        <w:t xml:space="preserve">, to substitute her own </w:t>
      </w:r>
      <w:r w:rsidR="00942C97" w:rsidRPr="00515AA2">
        <w:rPr>
          <w:color w:val="000000"/>
          <w:lang w:val="en-CA"/>
        </w:rPr>
        <w:t>instead of</w:t>
      </w:r>
      <w:r w:rsidR="00D51672" w:rsidRPr="00515AA2">
        <w:rPr>
          <w:color w:val="000000"/>
          <w:lang w:val="en-CA"/>
        </w:rPr>
        <w:t xml:space="preserve"> that of the father</w:t>
      </w:r>
      <w:r w:rsidR="006E4A8A" w:rsidRPr="00515AA2">
        <w:rPr>
          <w:color w:val="000000"/>
          <w:lang w:val="en-CA"/>
        </w:rPr>
        <w:t xml:space="preserve">; </w:t>
      </w:r>
      <w:r w:rsidR="00E55F50" w:rsidRPr="00515AA2">
        <w:rPr>
          <w:color w:val="000000"/>
          <w:lang w:val="en-CA"/>
        </w:rPr>
        <w:t xml:space="preserve">that of </w:t>
      </w:r>
      <w:r w:rsidR="00D51672" w:rsidRPr="00515AA2">
        <w:rPr>
          <w:color w:val="000000"/>
          <w:lang w:val="en-CA"/>
        </w:rPr>
        <w:t xml:space="preserve">a minor 14 years of age </w:t>
      </w:r>
      <w:r w:rsidR="002C7FEF" w:rsidRPr="00515AA2">
        <w:rPr>
          <w:color w:val="000000"/>
          <w:lang w:val="en-CA"/>
        </w:rPr>
        <w:t>or over</w:t>
      </w:r>
      <w:r w:rsidR="00D51672" w:rsidRPr="00515AA2">
        <w:rPr>
          <w:color w:val="000000"/>
          <w:lang w:val="en-CA"/>
        </w:rPr>
        <w:t xml:space="preserve"> who wishes to add their father’s surname to that of their mother</w:t>
      </w:r>
      <w:r w:rsidR="00E55F50" w:rsidRPr="00515AA2">
        <w:rPr>
          <w:color w:val="000000"/>
          <w:lang w:val="en-CA"/>
        </w:rPr>
        <w:t>, which</w:t>
      </w:r>
      <w:r w:rsidR="00D51672" w:rsidRPr="00515AA2">
        <w:rPr>
          <w:color w:val="000000"/>
          <w:lang w:val="en-CA"/>
        </w:rPr>
        <w:t xml:space="preserve"> they already have; </w:t>
      </w:r>
      <w:r w:rsidR="00E55F50" w:rsidRPr="00515AA2">
        <w:rPr>
          <w:color w:val="000000"/>
          <w:lang w:val="en-CA"/>
        </w:rPr>
        <w:t xml:space="preserve">that of </w:t>
      </w:r>
      <w:r w:rsidR="00D51672" w:rsidRPr="00515AA2">
        <w:rPr>
          <w:color w:val="000000"/>
          <w:lang w:val="en-CA"/>
        </w:rPr>
        <w:t xml:space="preserve">a parent wishing to change their child’s given name because </w:t>
      </w:r>
      <w:r w:rsidR="003101CE" w:rsidRPr="00515AA2">
        <w:rPr>
          <w:color w:val="000000"/>
          <w:lang w:val="en-CA"/>
        </w:rPr>
        <w:t xml:space="preserve">it does not correspond to the one that they wanted to give to the child; </w:t>
      </w:r>
      <w:r w:rsidR="00E55F50" w:rsidRPr="00515AA2">
        <w:rPr>
          <w:color w:val="000000"/>
          <w:lang w:val="en-CA"/>
        </w:rPr>
        <w:t xml:space="preserve">that of </w:t>
      </w:r>
      <w:r w:rsidR="003101CE" w:rsidRPr="00515AA2">
        <w:rPr>
          <w:color w:val="000000"/>
          <w:lang w:val="en-CA"/>
        </w:rPr>
        <w:t xml:space="preserve">a minor wishing to change their name and given name because they correspond to those of a youth of their age </w:t>
      </w:r>
      <w:r w:rsidR="005677B0" w:rsidRPr="00515AA2">
        <w:rPr>
          <w:color w:val="000000"/>
          <w:lang w:val="en-CA"/>
        </w:rPr>
        <w:t xml:space="preserve">who </w:t>
      </w:r>
      <w:r w:rsidR="003101CE" w:rsidRPr="00515AA2">
        <w:rPr>
          <w:color w:val="000000"/>
          <w:lang w:val="en-CA"/>
        </w:rPr>
        <w:t xml:space="preserve">has committed a </w:t>
      </w:r>
      <w:r w:rsidR="003101CE" w:rsidRPr="00515AA2">
        <w:rPr>
          <w:color w:val="000000"/>
          <w:lang w:val="en-CA"/>
        </w:rPr>
        <w:lastRenderedPageBreak/>
        <w:t>horrific and publicized crime</w:t>
      </w:r>
      <w:r w:rsidR="006E4A8A" w:rsidRPr="00515AA2">
        <w:rPr>
          <w:color w:val="000000"/>
          <w:lang w:val="en-CA"/>
        </w:rPr>
        <w:t>,</w:t>
      </w:r>
      <w:r w:rsidR="00EE3CED" w:rsidRPr="00515AA2">
        <w:rPr>
          <w:color w:val="000000"/>
          <w:lang w:val="en-CA"/>
        </w:rPr>
        <w:t> </w:t>
      </w:r>
      <w:r w:rsidR="006E4A8A" w:rsidRPr="00515AA2">
        <w:rPr>
          <w:color w:val="000000"/>
          <w:lang w:val="en-CA"/>
        </w:rPr>
        <w:t>etc.</w:t>
      </w:r>
      <w:r w:rsidR="00A14A5F" w:rsidRPr="00515AA2">
        <w:rPr>
          <w:rStyle w:val="Appelnotedebasdep"/>
          <w:color w:val="000000"/>
          <w:lang w:val="en-CA"/>
        </w:rPr>
        <w:footnoteReference w:id="134"/>
      </w:r>
      <w:r w:rsidR="006E4A8A" w:rsidRPr="00515AA2">
        <w:rPr>
          <w:color w:val="000000"/>
          <w:lang w:val="en-CA"/>
        </w:rPr>
        <w:t xml:space="preserve"> </w:t>
      </w:r>
      <w:r w:rsidR="003101CE" w:rsidRPr="00515AA2">
        <w:rPr>
          <w:color w:val="000000"/>
          <w:lang w:val="en-CA"/>
        </w:rPr>
        <w:t>Article</w:t>
      </w:r>
      <w:r w:rsidR="00AF7ECD" w:rsidRPr="00515AA2">
        <w:rPr>
          <w:color w:val="000000"/>
          <w:lang w:val="en-CA"/>
        </w:rPr>
        <w:t> </w:t>
      </w:r>
      <w:r w:rsidR="006E4A8A" w:rsidRPr="00515AA2">
        <w:rPr>
          <w:color w:val="000000"/>
          <w:lang w:val="en-CA"/>
        </w:rPr>
        <w:t xml:space="preserve">62 </w:t>
      </w:r>
      <w:r w:rsidR="00B16471" w:rsidRPr="00515AA2">
        <w:rPr>
          <w:i/>
          <w:iCs/>
          <w:color w:val="000000"/>
          <w:lang w:val="en-CA"/>
        </w:rPr>
        <w:t>C.</w:t>
      </w:r>
      <w:r w:rsidR="003101CE" w:rsidRPr="00515AA2">
        <w:rPr>
          <w:i/>
          <w:iCs/>
          <w:color w:val="000000"/>
          <w:lang w:val="en-CA"/>
        </w:rPr>
        <w:t>C</w:t>
      </w:r>
      <w:r w:rsidR="00B16471" w:rsidRPr="00515AA2">
        <w:rPr>
          <w:i/>
          <w:iCs/>
          <w:color w:val="000000"/>
          <w:lang w:val="en-CA"/>
        </w:rPr>
        <w:t>.Q.</w:t>
      </w:r>
      <w:r w:rsidR="00B16471" w:rsidRPr="00515AA2">
        <w:rPr>
          <w:color w:val="000000"/>
          <w:lang w:val="en-CA"/>
        </w:rPr>
        <w:t xml:space="preserve"> </w:t>
      </w:r>
      <w:r w:rsidR="003101CE" w:rsidRPr="00515AA2">
        <w:rPr>
          <w:color w:val="000000"/>
          <w:lang w:val="en-CA"/>
        </w:rPr>
        <w:t xml:space="preserve">also applies in cases where the application involves a minor, without distinguishing between </w:t>
      </w:r>
      <w:r w:rsidR="00E55F50" w:rsidRPr="00515AA2">
        <w:rPr>
          <w:color w:val="000000"/>
          <w:lang w:val="en-CA"/>
        </w:rPr>
        <w:t>children</w:t>
      </w:r>
      <w:r w:rsidR="003101CE" w:rsidRPr="00515AA2">
        <w:rPr>
          <w:color w:val="000000"/>
          <w:lang w:val="en-CA"/>
        </w:rPr>
        <w:t xml:space="preserve"> under 14 years of age and </w:t>
      </w:r>
      <w:r w:rsidR="00E55F50" w:rsidRPr="00515AA2">
        <w:rPr>
          <w:color w:val="000000"/>
          <w:lang w:val="en-CA"/>
        </w:rPr>
        <w:t>those</w:t>
      </w:r>
      <w:r w:rsidR="003101CE" w:rsidRPr="00515AA2">
        <w:rPr>
          <w:color w:val="000000"/>
          <w:lang w:val="en-CA"/>
        </w:rPr>
        <w:t xml:space="preserve"> 14 years of age </w:t>
      </w:r>
      <w:r w:rsidR="002C7FEF" w:rsidRPr="00515AA2">
        <w:rPr>
          <w:color w:val="000000"/>
          <w:lang w:val="en-CA"/>
        </w:rPr>
        <w:t>or over</w:t>
      </w:r>
      <w:r w:rsidR="006E4A8A" w:rsidRPr="00515AA2">
        <w:rPr>
          <w:color w:val="000000"/>
          <w:lang w:val="en-CA"/>
        </w:rPr>
        <w:t>.</w:t>
      </w:r>
    </w:p>
    <w:p w14:paraId="6B0F1389" w14:textId="2F6472F3" w:rsidR="006E4A8A" w:rsidRPr="00515AA2" w:rsidRDefault="00EC6E95" w:rsidP="00F846E3">
      <w:pPr>
        <w:pStyle w:val="Paragraphe"/>
        <w:spacing w:line="280" w:lineRule="exact"/>
        <w:rPr>
          <w:color w:val="000000"/>
          <w:lang w:val="en-CA"/>
        </w:rPr>
      </w:pPr>
      <w:r w:rsidRPr="00515AA2">
        <w:rPr>
          <w:color w:val="000000"/>
          <w:lang w:val="en-CA"/>
        </w:rPr>
        <w:t xml:space="preserve">The legislator, knowing that applications for a change of name can be motivated by a host of reasons and recognizing that minors 14 years of age </w:t>
      </w:r>
      <w:r w:rsidR="002C7FEF" w:rsidRPr="00515AA2">
        <w:rPr>
          <w:color w:val="000000"/>
          <w:lang w:val="en-CA"/>
        </w:rPr>
        <w:t>or over</w:t>
      </w:r>
      <w:r w:rsidRPr="00515AA2">
        <w:rPr>
          <w:color w:val="000000"/>
          <w:lang w:val="en-CA"/>
        </w:rPr>
        <w:t xml:space="preserve"> should be granted a different </w:t>
      </w:r>
      <w:r w:rsidR="00297666" w:rsidRPr="00515AA2">
        <w:rPr>
          <w:color w:val="000000"/>
          <w:lang w:val="en-CA"/>
        </w:rPr>
        <w:t xml:space="preserve">degree of </w:t>
      </w:r>
      <w:r w:rsidRPr="00515AA2">
        <w:rPr>
          <w:color w:val="000000"/>
          <w:lang w:val="en-CA"/>
        </w:rPr>
        <w:t xml:space="preserve">autonomy, </w:t>
      </w:r>
      <w:r w:rsidR="00212D81" w:rsidRPr="00515AA2">
        <w:rPr>
          <w:color w:val="000000"/>
          <w:lang w:val="en-CA"/>
        </w:rPr>
        <w:t>permitted</w:t>
      </w:r>
      <w:r w:rsidRPr="00515AA2">
        <w:rPr>
          <w:color w:val="000000"/>
          <w:lang w:val="en-CA"/>
        </w:rPr>
        <w:t xml:space="preserve"> the registrar of civil status to ignore the requirements of art</w:t>
      </w:r>
      <w:r w:rsidR="009B6FFD" w:rsidRPr="00515AA2">
        <w:rPr>
          <w:color w:val="000000"/>
          <w:lang w:val="en-CA"/>
        </w:rPr>
        <w:t>icle</w:t>
      </w:r>
      <w:r w:rsidR="00AF7ECD" w:rsidRPr="00515AA2">
        <w:rPr>
          <w:color w:val="000000"/>
          <w:lang w:val="en-CA"/>
        </w:rPr>
        <w:t> </w:t>
      </w:r>
      <w:r w:rsidR="006E4A8A" w:rsidRPr="00515AA2">
        <w:rPr>
          <w:color w:val="000000"/>
          <w:lang w:val="en-CA"/>
        </w:rPr>
        <w:t xml:space="preserve">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w:t>
      </w:r>
      <w:r w:rsidRPr="00515AA2">
        <w:rPr>
          <w:color w:val="000000"/>
          <w:lang w:val="en-CA"/>
        </w:rPr>
        <w:t xml:space="preserve">and the requirement that minors 14 years of age </w:t>
      </w:r>
      <w:r w:rsidR="002C7FEF" w:rsidRPr="00515AA2">
        <w:rPr>
          <w:color w:val="000000"/>
          <w:lang w:val="en-CA"/>
        </w:rPr>
        <w:t>or over</w:t>
      </w:r>
      <w:r w:rsidRPr="00515AA2">
        <w:rPr>
          <w:color w:val="000000"/>
          <w:lang w:val="en-CA"/>
        </w:rPr>
        <w:t xml:space="preserve"> notify the person having parental authority of any application for a change of name pursuant to art</w:t>
      </w:r>
      <w:r w:rsidR="009B6FFD" w:rsidRPr="00515AA2">
        <w:rPr>
          <w:color w:val="000000"/>
          <w:lang w:val="en-CA"/>
        </w:rPr>
        <w:t>icle</w:t>
      </w:r>
      <w:r w:rsidR="006E4A8A" w:rsidRPr="00515AA2">
        <w:rPr>
          <w:color w:val="000000"/>
          <w:lang w:val="en-CA"/>
        </w:rPr>
        <w:t xml:space="preserve"> 66</w:t>
      </w:r>
      <w:r w:rsidR="00AF7ECD" w:rsidRPr="00515AA2">
        <w:rPr>
          <w:color w:val="000000"/>
          <w:lang w:val="en-CA"/>
        </w:rPr>
        <w:t>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by expressly allowing the registrar to grant the application for a change of name by such minor</w:t>
      </w:r>
      <w:r w:rsidR="00212D81" w:rsidRPr="00515AA2">
        <w:rPr>
          <w:color w:val="000000"/>
          <w:lang w:val="en-CA"/>
        </w:rPr>
        <w:t>s</w:t>
      </w:r>
      <w:r w:rsidRPr="00515AA2">
        <w:rPr>
          <w:color w:val="000000"/>
          <w:lang w:val="en-CA"/>
        </w:rPr>
        <w:t xml:space="preserve"> in cases where the application is motivated by a</w:t>
      </w:r>
      <w:r w:rsidR="006E4A8A" w:rsidRPr="00515AA2">
        <w:rPr>
          <w:color w:val="000000"/>
          <w:lang w:val="en-CA"/>
        </w:rPr>
        <w:t xml:space="preserve"> </w:t>
      </w:r>
      <w:r w:rsidRPr="00515AA2">
        <w:rPr>
          <w:i/>
          <w:iCs/>
          <w:color w:val="000000"/>
          <w:lang w:val="en-CA"/>
        </w:rPr>
        <w:t>compelling reason</w:t>
      </w:r>
      <w:r w:rsidR="006E4A8A" w:rsidRPr="00515AA2">
        <w:rPr>
          <w:color w:val="000000"/>
          <w:lang w:val="en-CA"/>
        </w:rPr>
        <w:t xml:space="preserve"> (</w:t>
      </w:r>
      <w:r w:rsidRPr="00515AA2">
        <w:rPr>
          <w:color w:val="000000"/>
          <w:lang w:val="en-CA"/>
        </w:rPr>
        <w:t>without however indicating what it means by</w:t>
      </w:r>
      <w:r w:rsidR="006E4A8A" w:rsidRPr="00515AA2">
        <w:rPr>
          <w:color w:val="000000"/>
          <w:lang w:val="en-CA"/>
        </w:rPr>
        <w:t xml:space="preserve"> </w:t>
      </w:r>
      <w:r w:rsidRPr="00515AA2">
        <w:rPr>
          <w:i/>
          <w:iCs/>
          <w:color w:val="000000"/>
          <w:lang w:val="en-CA"/>
        </w:rPr>
        <w:t>compelling reason</w:t>
      </w:r>
      <w:r w:rsidRPr="00515AA2">
        <w:rPr>
          <w:color w:val="000000"/>
          <w:lang w:val="en-CA"/>
        </w:rPr>
        <w:t>)</w:t>
      </w:r>
      <w:r w:rsidR="005677B0" w:rsidRPr="00515AA2">
        <w:rPr>
          <w:color w:val="000000"/>
          <w:lang w:val="en-CA"/>
        </w:rPr>
        <w:t>.</w:t>
      </w:r>
      <w:r w:rsidR="006E4A8A" w:rsidRPr="00515AA2">
        <w:rPr>
          <w:rStyle w:val="Appelnotedebasdep"/>
          <w:color w:val="000000"/>
          <w:lang w:val="en-CA"/>
        </w:rPr>
        <w:footnoteReference w:id="135"/>
      </w:r>
    </w:p>
    <w:p w14:paraId="3C6D702C" w14:textId="55D6FB22" w:rsidR="006E4A8A" w:rsidRPr="00515AA2" w:rsidRDefault="00D76456" w:rsidP="00F846E3">
      <w:pPr>
        <w:pStyle w:val="Paragraphe"/>
        <w:spacing w:line="280" w:lineRule="exact"/>
        <w:rPr>
          <w:color w:val="000000"/>
          <w:lang w:val="en-CA"/>
        </w:rPr>
      </w:pPr>
      <w:r w:rsidRPr="00515AA2">
        <w:rPr>
          <w:color w:val="000000"/>
          <w:lang w:val="en-CA"/>
        </w:rPr>
        <w:t>In our opinion, t</w:t>
      </w:r>
      <w:r w:rsidR="00FE13FE" w:rsidRPr="00515AA2">
        <w:rPr>
          <w:color w:val="000000"/>
          <w:lang w:val="en-CA"/>
        </w:rPr>
        <w:t xml:space="preserve">here is no doubt </w:t>
      </w:r>
      <w:r w:rsidR="00661449" w:rsidRPr="00515AA2">
        <w:rPr>
          <w:color w:val="000000"/>
          <w:lang w:val="en-CA"/>
        </w:rPr>
        <w:t>that when</w:t>
      </w:r>
      <w:r w:rsidR="00FE13FE" w:rsidRPr="00515AA2">
        <w:rPr>
          <w:color w:val="000000"/>
          <w:lang w:val="en-CA"/>
        </w:rPr>
        <w:t xml:space="preserve"> a minor 14 years of age </w:t>
      </w:r>
      <w:r w:rsidR="002C7FEF" w:rsidRPr="00515AA2">
        <w:rPr>
          <w:color w:val="000000"/>
          <w:lang w:val="en-CA"/>
        </w:rPr>
        <w:t>or over</w:t>
      </w:r>
      <w:r w:rsidR="00FE13FE" w:rsidRPr="00515AA2">
        <w:rPr>
          <w:color w:val="000000"/>
          <w:lang w:val="en-CA"/>
        </w:rPr>
        <w:t xml:space="preserve"> </w:t>
      </w:r>
      <w:r w:rsidR="00661449" w:rsidRPr="00515AA2">
        <w:rPr>
          <w:color w:val="000000"/>
          <w:lang w:val="en-CA"/>
        </w:rPr>
        <w:t>wants</w:t>
      </w:r>
      <w:r w:rsidR="00FE13FE" w:rsidRPr="00515AA2">
        <w:rPr>
          <w:color w:val="000000"/>
          <w:lang w:val="en-CA"/>
        </w:rPr>
        <w:t xml:space="preserve"> their given name</w:t>
      </w:r>
      <w:r w:rsidR="00E81DB2" w:rsidRPr="00515AA2">
        <w:rPr>
          <w:color w:val="000000"/>
          <w:lang w:val="en-CA"/>
        </w:rPr>
        <w:t xml:space="preserve"> or names</w:t>
      </w:r>
      <w:r w:rsidR="00FE13FE" w:rsidRPr="00515AA2">
        <w:rPr>
          <w:color w:val="000000"/>
          <w:lang w:val="en-CA"/>
        </w:rPr>
        <w:t xml:space="preserve"> </w:t>
      </w:r>
      <w:r w:rsidR="00661449" w:rsidRPr="00515AA2">
        <w:rPr>
          <w:color w:val="000000"/>
          <w:lang w:val="en-CA"/>
        </w:rPr>
        <w:t xml:space="preserve">to </w:t>
      </w:r>
      <w:r w:rsidR="00FE13FE" w:rsidRPr="00515AA2">
        <w:rPr>
          <w:color w:val="000000"/>
          <w:lang w:val="en-CA"/>
        </w:rPr>
        <w:t>correspond to their gender identity</w:t>
      </w:r>
      <w:r w:rsidR="00661449" w:rsidRPr="00515AA2">
        <w:rPr>
          <w:color w:val="000000"/>
          <w:lang w:val="en-CA"/>
        </w:rPr>
        <w:t>, this</w:t>
      </w:r>
      <w:r w:rsidR="00FE13FE" w:rsidRPr="00515AA2">
        <w:rPr>
          <w:color w:val="000000"/>
          <w:lang w:val="en-CA"/>
        </w:rPr>
        <w:t xml:space="preserve"> constitutes a </w:t>
      </w:r>
      <w:r w:rsidR="00FE13FE" w:rsidRPr="00515AA2">
        <w:rPr>
          <w:i/>
          <w:iCs/>
          <w:color w:val="000000"/>
          <w:lang w:val="en-CA"/>
        </w:rPr>
        <w:t>compelling reason</w:t>
      </w:r>
      <w:r w:rsidR="00FE13FE" w:rsidRPr="00515AA2">
        <w:rPr>
          <w:color w:val="000000"/>
          <w:lang w:val="en-CA"/>
        </w:rPr>
        <w:t xml:space="preserve"> within the meaning of art</w:t>
      </w:r>
      <w:r w:rsidR="009B6FFD" w:rsidRPr="00515AA2">
        <w:rPr>
          <w:color w:val="000000"/>
          <w:lang w:val="en-CA"/>
        </w:rPr>
        <w:t>icle</w:t>
      </w:r>
      <w:r w:rsidR="00AF7ECD" w:rsidRPr="00515AA2">
        <w:rPr>
          <w:color w:val="000000"/>
          <w:lang w:val="en-CA"/>
        </w:rPr>
        <w:t> </w:t>
      </w:r>
      <w:r w:rsidR="006E4A8A" w:rsidRPr="00515AA2">
        <w:rPr>
          <w:color w:val="000000"/>
          <w:lang w:val="en-CA"/>
        </w:rPr>
        <w:t xml:space="preserve">62 </w:t>
      </w:r>
      <w:r w:rsidR="006E4A8A" w:rsidRPr="00515AA2">
        <w:rPr>
          <w:i/>
          <w:iCs/>
          <w:color w:val="000000"/>
          <w:lang w:val="en-CA"/>
        </w:rPr>
        <w:t>C.</w:t>
      </w:r>
      <w:r w:rsidR="00FE13FE" w:rsidRPr="00515AA2">
        <w:rPr>
          <w:i/>
          <w:iCs/>
          <w:color w:val="000000"/>
          <w:lang w:val="en-CA"/>
        </w:rPr>
        <w:t>C</w:t>
      </w:r>
      <w:r w:rsidR="006E4A8A" w:rsidRPr="00515AA2">
        <w:rPr>
          <w:i/>
          <w:iCs/>
          <w:color w:val="000000"/>
          <w:lang w:val="en-CA"/>
        </w:rPr>
        <w:t>.Q.</w:t>
      </w:r>
      <w:r w:rsidR="00FE13FE" w:rsidRPr="00515AA2">
        <w:rPr>
          <w:color w:val="000000"/>
          <w:lang w:val="en-CA"/>
        </w:rPr>
        <w:t xml:space="preserve">, and therefore the registrar of civil status has jurisdiction to grant the change that they request even </w:t>
      </w:r>
      <w:r w:rsidR="00661449" w:rsidRPr="00515AA2">
        <w:rPr>
          <w:color w:val="000000"/>
          <w:lang w:val="en-CA"/>
        </w:rPr>
        <w:t>if</w:t>
      </w:r>
      <w:r w:rsidR="00FE13FE" w:rsidRPr="00515AA2">
        <w:rPr>
          <w:color w:val="000000"/>
          <w:lang w:val="en-CA"/>
        </w:rPr>
        <w:t xml:space="preserve"> their parents or tutor have not been notified or, if </w:t>
      </w:r>
      <w:r w:rsidR="005677B0" w:rsidRPr="00515AA2">
        <w:rPr>
          <w:color w:val="000000"/>
          <w:lang w:val="en-CA"/>
        </w:rPr>
        <w:t xml:space="preserve">the minor </w:t>
      </w:r>
      <w:r w:rsidR="00FE13FE" w:rsidRPr="00515AA2">
        <w:rPr>
          <w:color w:val="000000"/>
          <w:lang w:val="en-CA"/>
        </w:rPr>
        <w:t>chose to notify them, even if they object to their application</w:t>
      </w:r>
      <w:r w:rsidR="006E4A8A" w:rsidRPr="00515AA2">
        <w:rPr>
          <w:color w:val="000000"/>
          <w:lang w:val="en-CA"/>
        </w:rPr>
        <w:t>.</w:t>
      </w:r>
    </w:p>
    <w:p w14:paraId="4D751622" w14:textId="7C68A9E5" w:rsidR="006E4A8A" w:rsidRPr="00515AA2" w:rsidRDefault="00661449" w:rsidP="00F846E3">
      <w:pPr>
        <w:pStyle w:val="Paragraphe"/>
        <w:spacing w:line="280" w:lineRule="exact"/>
        <w:rPr>
          <w:color w:val="000000"/>
          <w:lang w:val="en-CA"/>
        </w:rPr>
      </w:pPr>
      <w:r w:rsidRPr="00515AA2">
        <w:rPr>
          <w:color w:val="000000"/>
          <w:lang w:val="en-CA"/>
        </w:rPr>
        <w:t xml:space="preserve">Indeed, the legislator has already given to minors 14 years of age </w:t>
      </w:r>
      <w:r w:rsidR="002C7FEF" w:rsidRPr="00515AA2">
        <w:rPr>
          <w:color w:val="000000"/>
          <w:lang w:val="en-CA"/>
        </w:rPr>
        <w:t>or over</w:t>
      </w:r>
      <w:r w:rsidRPr="00515AA2">
        <w:rPr>
          <w:color w:val="000000"/>
          <w:lang w:val="en-CA"/>
        </w:rPr>
        <w:t xml:space="preserve"> the </w:t>
      </w:r>
      <w:r w:rsidR="00B6024A" w:rsidRPr="00515AA2">
        <w:rPr>
          <w:color w:val="000000"/>
          <w:lang w:val="en-CA"/>
        </w:rPr>
        <w:t xml:space="preserve">required </w:t>
      </w:r>
      <w:r w:rsidRPr="00515AA2">
        <w:rPr>
          <w:color w:val="000000"/>
          <w:lang w:val="en-CA"/>
        </w:rPr>
        <w:t>autonomy to have the designation of their sex change</w:t>
      </w:r>
      <w:r w:rsidR="00B6024A" w:rsidRPr="00515AA2">
        <w:rPr>
          <w:color w:val="000000"/>
          <w:lang w:val="en-CA"/>
        </w:rPr>
        <w:t>d</w:t>
      </w:r>
      <w:r w:rsidRPr="00515AA2">
        <w:rPr>
          <w:color w:val="000000"/>
          <w:lang w:val="en-CA"/>
        </w:rPr>
        <w:t xml:space="preserve"> without having to notify anyone and, at the same time if they so wish, </w:t>
      </w:r>
      <w:r w:rsidR="00B6024A" w:rsidRPr="00515AA2">
        <w:rPr>
          <w:color w:val="000000"/>
          <w:lang w:val="en-CA"/>
        </w:rPr>
        <w:t>to have their</w:t>
      </w:r>
      <w:r w:rsidRPr="00515AA2">
        <w:rPr>
          <w:color w:val="000000"/>
          <w:lang w:val="en-CA"/>
        </w:rPr>
        <w:t xml:space="preserve"> given na</w:t>
      </w:r>
      <w:r w:rsidR="00B6024A" w:rsidRPr="00515AA2">
        <w:rPr>
          <w:color w:val="000000"/>
          <w:lang w:val="en-CA"/>
        </w:rPr>
        <w:t>me</w:t>
      </w:r>
      <w:r w:rsidRPr="00515AA2">
        <w:rPr>
          <w:color w:val="000000"/>
          <w:lang w:val="en-CA"/>
        </w:rPr>
        <w:t xml:space="preserve">s </w:t>
      </w:r>
      <w:r w:rsidR="00B6024A" w:rsidRPr="00515AA2">
        <w:rPr>
          <w:color w:val="000000"/>
          <w:lang w:val="en-CA"/>
        </w:rPr>
        <w:t xml:space="preserve">changed </w:t>
      </w:r>
      <w:r w:rsidRPr="00515AA2">
        <w:rPr>
          <w:color w:val="000000"/>
          <w:lang w:val="en-CA"/>
        </w:rPr>
        <w:t>where their application is motivated by the fact that such designations do not correspond to their gender identity.</w:t>
      </w:r>
      <w:r w:rsidR="006E4A8A" w:rsidRPr="00515AA2">
        <w:rPr>
          <w:rStyle w:val="Appelnotedebasdep"/>
          <w:color w:val="000000"/>
          <w:lang w:val="en-CA"/>
        </w:rPr>
        <w:footnoteReference w:id="136"/>
      </w:r>
      <w:r w:rsidRPr="00515AA2">
        <w:rPr>
          <w:color w:val="000000"/>
          <w:lang w:val="en-CA"/>
        </w:rPr>
        <w:t xml:space="preserve"> </w:t>
      </w:r>
      <w:r w:rsidR="00B6024A" w:rsidRPr="00515AA2">
        <w:rPr>
          <w:color w:val="000000"/>
          <w:lang w:val="en-CA"/>
        </w:rPr>
        <w:t>Consequently, it seems to us that</w:t>
      </w:r>
      <w:r w:rsidRPr="00515AA2">
        <w:rPr>
          <w:color w:val="000000"/>
          <w:lang w:val="en-CA"/>
        </w:rPr>
        <w:t xml:space="preserve"> the legislator </w:t>
      </w:r>
      <w:r w:rsidR="005B29E1" w:rsidRPr="00515AA2">
        <w:rPr>
          <w:color w:val="000000"/>
          <w:lang w:val="en-CA"/>
        </w:rPr>
        <w:t xml:space="preserve">equally </w:t>
      </w:r>
      <w:r w:rsidRPr="00515AA2">
        <w:rPr>
          <w:color w:val="000000"/>
          <w:lang w:val="en-CA"/>
        </w:rPr>
        <w:t xml:space="preserve">intended to give them their autonomy when they are requesting, </w:t>
      </w:r>
      <w:r w:rsidR="005B29E1" w:rsidRPr="00515AA2">
        <w:rPr>
          <w:color w:val="000000"/>
          <w:lang w:val="en-CA"/>
        </w:rPr>
        <w:t>for that</w:t>
      </w:r>
      <w:r w:rsidRPr="00515AA2">
        <w:rPr>
          <w:color w:val="000000"/>
          <w:lang w:val="en-CA"/>
        </w:rPr>
        <w:t xml:space="preserve"> same </w:t>
      </w:r>
      <w:r w:rsidR="005B29E1" w:rsidRPr="00515AA2">
        <w:rPr>
          <w:color w:val="000000"/>
          <w:lang w:val="en-CA"/>
        </w:rPr>
        <w:t>reason</w:t>
      </w:r>
      <w:r w:rsidRPr="00515AA2">
        <w:rPr>
          <w:color w:val="000000"/>
          <w:lang w:val="en-CA"/>
        </w:rPr>
        <w:t xml:space="preserve">, </w:t>
      </w:r>
      <w:r w:rsidR="005677B0" w:rsidRPr="00515AA2">
        <w:rPr>
          <w:color w:val="000000"/>
          <w:lang w:val="en-CA"/>
        </w:rPr>
        <w:t xml:space="preserve">only </w:t>
      </w:r>
      <w:r w:rsidRPr="00515AA2">
        <w:rPr>
          <w:color w:val="000000"/>
          <w:lang w:val="en-CA"/>
        </w:rPr>
        <w:t>a change of their given name</w:t>
      </w:r>
      <w:r w:rsidR="00E81DB2" w:rsidRPr="00515AA2">
        <w:rPr>
          <w:color w:val="000000"/>
          <w:lang w:val="en-CA"/>
        </w:rPr>
        <w:t xml:space="preserve"> or names</w:t>
      </w:r>
      <w:r w:rsidR="006E4A8A" w:rsidRPr="00515AA2">
        <w:rPr>
          <w:color w:val="000000"/>
          <w:lang w:val="en-CA"/>
        </w:rPr>
        <w:t>.</w:t>
      </w:r>
    </w:p>
    <w:p w14:paraId="1FDF0180" w14:textId="4E5C1043" w:rsidR="006E4A8A" w:rsidRPr="00515AA2" w:rsidRDefault="005B29E1" w:rsidP="00F846E3">
      <w:pPr>
        <w:pStyle w:val="Paragraphe"/>
        <w:spacing w:line="280" w:lineRule="exact"/>
        <w:rPr>
          <w:color w:val="000000"/>
          <w:lang w:val="en-CA"/>
        </w:rPr>
      </w:pPr>
      <w:r w:rsidRPr="00515AA2">
        <w:rPr>
          <w:color w:val="000000"/>
          <w:lang w:val="en-CA"/>
        </w:rPr>
        <w:t>Finding otherwise would lead to an absurdity, since that would mean that someone who is requesting less changes would be subject</w:t>
      </w:r>
      <w:r w:rsidR="00D07714" w:rsidRPr="00515AA2">
        <w:rPr>
          <w:color w:val="000000"/>
          <w:lang w:val="en-CA"/>
        </w:rPr>
        <w:t>ed</w:t>
      </w:r>
      <w:r w:rsidRPr="00515AA2">
        <w:rPr>
          <w:color w:val="000000"/>
          <w:lang w:val="en-CA"/>
        </w:rPr>
        <w:t xml:space="preserve"> to more stringent requirements than someone who is asking for more, even though the </w:t>
      </w:r>
      <w:r w:rsidR="00D76456" w:rsidRPr="00515AA2">
        <w:rPr>
          <w:color w:val="000000"/>
          <w:lang w:val="en-CA"/>
        </w:rPr>
        <w:t>reason</w:t>
      </w:r>
      <w:r w:rsidRPr="00515AA2">
        <w:rPr>
          <w:color w:val="000000"/>
          <w:lang w:val="en-CA"/>
        </w:rPr>
        <w:t xml:space="preserve"> in support of their application for a change </w:t>
      </w:r>
      <w:r w:rsidR="00D76456" w:rsidRPr="00515AA2">
        <w:rPr>
          <w:color w:val="000000"/>
          <w:lang w:val="en-CA"/>
        </w:rPr>
        <w:t>is</w:t>
      </w:r>
      <w:r w:rsidRPr="00515AA2">
        <w:rPr>
          <w:color w:val="000000"/>
          <w:lang w:val="en-CA"/>
        </w:rPr>
        <w:t xml:space="preserve"> the same</w:t>
      </w:r>
      <w:r w:rsidR="006E4A8A" w:rsidRPr="00515AA2">
        <w:rPr>
          <w:color w:val="000000"/>
          <w:lang w:val="en-CA"/>
        </w:rPr>
        <w:t>.</w:t>
      </w:r>
      <w:r w:rsidRPr="00515AA2">
        <w:rPr>
          <w:color w:val="000000"/>
          <w:lang w:val="en-CA"/>
        </w:rPr>
        <w:t xml:space="preserve"> Such a proposition is unsustainable.</w:t>
      </w:r>
    </w:p>
    <w:p w14:paraId="49495B99" w14:textId="0AAE992B" w:rsidR="006E4A8A" w:rsidRPr="00515AA2" w:rsidRDefault="005B29E1" w:rsidP="00F846E3">
      <w:pPr>
        <w:pStyle w:val="Paragraphe"/>
        <w:spacing w:line="280" w:lineRule="exact"/>
        <w:rPr>
          <w:color w:val="000000"/>
          <w:lang w:val="en-CA"/>
        </w:rPr>
      </w:pPr>
      <w:r w:rsidRPr="00515AA2">
        <w:rPr>
          <w:color w:val="000000"/>
          <w:lang w:val="en-CA"/>
        </w:rPr>
        <w:t xml:space="preserve">The </w:t>
      </w:r>
      <w:r w:rsidR="006B3808" w:rsidRPr="00515AA2">
        <w:rPr>
          <w:color w:val="000000"/>
          <w:lang w:val="en-CA"/>
        </w:rPr>
        <w:t xml:space="preserve">principle of </w:t>
      </w:r>
      <w:r w:rsidR="00D76456" w:rsidRPr="00515AA2">
        <w:rPr>
          <w:color w:val="000000"/>
          <w:lang w:val="en-CA"/>
        </w:rPr>
        <w:t>consistency</w:t>
      </w:r>
      <w:r w:rsidR="006B3808" w:rsidRPr="00515AA2">
        <w:rPr>
          <w:color w:val="000000"/>
          <w:lang w:val="en-CA"/>
        </w:rPr>
        <w:t xml:space="preserve"> of the </w:t>
      </w:r>
      <w:r w:rsidR="005677B0" w:rsidRPr="00515AA2">
        <w:rPr>
          <w:color w:val="000000"/>
          <w:lang w:val="en-CA"/>
        </w:rPr>
        <w:t xml:space="preserve">legislative </w:t>
      </w:r>
      <w:r w:rsidR="006B3808" w:rsidRPr="00515AA2">
        <w:rPr>
          <w:color w:val="000000"/>
          <w:lang w:val="en-CA"/>
        </w:rPr>
        <w:t xml:space="preserve">scheme leads rather to the finding that minors 14 years of age </w:t>
      </w:r>
      <w:r w:rsidR="002C7FEF" w:rsidRPr="00515AA2">
        <w:rPr>
          <w:color w:val="000000"/>
          <w:lang w:val="en-CA"/>
        </w:rPr>
        <w:t>or over</w:t>
      </w:r>
      <w:r w:rsidR="006E4A8A" w:rsidRPr="00515AA2">
        <w:rPr>
          <w:color w:val="000000"/>
          <w:lang w:val="en-CA"/>
        </w:rPr>
        <w:t xml:space="preserve"> </w:t>
      </w:r>
      <w:r w:rsidR="006B3808" w:rsidRPr="00515AA2">
        <w:rPr>
          <w:color w:val="000000"/>
          <w:lang w:val="en-CA"/>
        </w:rPr>
        <w:t>may request and obtain that the registrar of civil status</w:t>
      </w:r>
      <w:r w:rsidR="006E4A8A" w:rsidRPr="00515AA2">
        <w:rPr>
          <w:color w:val="000000"/>
          <w:lang w:val="en-CA"/>
        </w:rPr>
        <w:t xml:space="preserve"> 1) </w:t>
      </w:r>
      <w:r w:rsidR="006B3808" w:rsidRPr="00515AA2">
        <w:rPr>
          <w:color w:val="000000"/>
          <w:lang w:val="en-CA"/>
        </w:rPr>
        <w:t>change the designation of their sex</w:t>
      </w:r>
      <w:r w:rsidR="00EE3CED" w:rsidRPr="00515AA2">
        <w:rPr>
          <w:color w:val="000000"/>
          <w:lang w:val="en-CA"/>
        </w:rPr>
        <w:t xml:space="preserve">; </w:t>
      </w:r>
      <w:r w:rsidR="006E4A8A" w:rsidRPr="00515AA2">
        <w:rPr>
          <w:color w:val="000000"/>
          <w:lang w:val="en-CA"/>
        </w:rPr>
        <w:t xml:space="preserve">2) </w:t>
      </w:r>
      <w:r w:rsidR="006B3808" w:rsidRPr="00515AA2">
        <w:rPr>
          <w:color w:val="000000"/>
          <w:lang w:val="en-CA"/>
        </w:rPr>
        <w:t>change both the designation of their sex and one or several of their given names</w:t>
      </w:r>
      <w:r w:rsidR="00EE3CED" w:rsidRPr="00515AA2">
        <w:rPr>
          <w:color w:val="000000"/>
          <w:lang w:val="en-CA"/>
        </w:rPr>
        <w:t xml:space="preserve">; </w:t>
      </w:r>
      <w:r w:rsidR="006B3808" w:rsidRPr="00515AA2">
        <w:rPr>
          <w:color w:val="000000"/>
          <w:lang w:val="en-CA"/>
        </w:rPr>
        <w:t>or</w:t>
      </w:r>
      <w:r w:rsidR="006E4A8A" w:rsidRPr="00515AA2">
        <w:rPr>
          <w:color w:val="000000"/>
          <w:lang w:val="en-CA"/>
        </w:rPr>
        <w:t xml:space="preserve"> 3) </w:t>
      </w:r>
      <w:r w:rsidR="006B3808" w:rsidRPr="00515AA2">
        <w:rPr>
          <w:color w:val="000000"/>
          <w:lang w:val="en-CA"/>
        </w:rPr>
        <w:t xml:space="preserve">only change one or several of their given names, </w:t>
      </w:r>
      <w:r w:rsidR="005312A1" w:rsidRPr="00515AA2">
        <w:rPr>
          <w:color w:val="000000"/>
          <w:lang w:val="en-CA"/>
        </w:rPr>
        <w:lastRenderedPageBreak/>
        <w:t>as long as</w:t>
      </w:r>
      <w:r w:rsidR="006B3808" w:rsidRPr="00515AA2">
        <w:rPr>
          <w:color w:val="000000"/>
          <w:lang w:val="en-CA"/>
        </w:rPr>
        <w:t xml:space="preserve"> their application is motivated by the fact that those names or that designation do not correspond to their gender identity</w:t>
      </w:r>
      <w:r w:rsidR="006E4A8A" w:rsidRPr="00515AA2">
        <w:rPr>
          <w:color w:val="000000"/>
          <w:lang w:val="en-CA"/>
        </w:rPr>
        <w:t xml:space="preserve">. </w:t>
      </w:r>
      <w:r w:rsidR="006B3808" w:rsidRPr="00515AA2">
        <w:rPr>
          <w:color w:val="000000"/>
          <w:lang w:val="en-CA"/>
        </w:rPr>
        <w:t xml:space="preserve">In such a case, the registrar of </w:t>
      </w:r>
      <w:r w:rsidR="00D76456" w:rsidRPr="00515AA2">
        <w:rPr>
          <w:color w:val="000000"/>
          <w:lang w:val="en-CA"/>
        </w:rPr>
        <w:t>civil</w:t>
      </w:r>
      <w:r w:rsidR="006B3808" w:rsidRPr="00515AA2">
        <w:rPr>
          <w:color w:val="000000"/>
          <w:lang w:val="en-CA"/>
        </w:rPr>
        <w:t xml:space="preserve"> status may grant the application even if the person </w:t>
      </w:r>
      <w:r w:rsidR="005312A1" w:rsidRPr="00515AA2">
        <w:rPr>
          <w:color w:val="000000"/>
          <w:lang w:val="en-CA"/>
        </w:rPr>
        <w:t>having parental authority has not been notified and, if they were, even if they object to the application, provided however that the requirements set forth in the</w:t>
      </w:r>
      <w:r w:rsidR="006E4A8A" w:rsidRPr="00515AA2">
        <w:rPr>
          <w:color w:val="000000"/>
          <w:lang w:val="en-CA"/>
        </w:rPr>
        <w:t xml:space="preserve"> </w:t>
      </w:r>
      <w:r w:rsidR="006E4A8A" w:rsidRPr="00515AA2">
        <w:rPr>
          <w:i/>
          <w:iCs/>
          <w:color w:val="000000"/>
          <w:lang w:val="en-CA"/>
        </w:rPr>
        <w:t>R</w:t>
      </w:r>
      <w:r w:rsidR="005312A1" w:rsidRPr="00515AA2">
        <w:rPr>
          <w:i/>
          <w:iCs/>
          <w:color w:val="000000"/>
          <w:lang w:val="en-CA"/>
        </w:rPr>
        <w:t>egulation</w:t>
      </w:r>
      <w:r w:rsidR="00D43380" w:rsidRPr="00515AA2">
        <w:rPr>
          <w:color w:val="000000"/>
          <w:lang w:val="en-CA"/>
        </w:rPr>
        <w:t xml:space="preserve"> are met</w:t>
      </w:r>
      <w:r w:rsidR="006E4A8A" w:rsidRPr="00515AA2">
        <w:rPr>
          <w:color w:val="000000"/>
          <w:lang w:val="en-CA"/>
        </w:rPr>
        <w:t>.</w:t>
      </w:r>
    </w:p>
    <w:p w14:paraId="1E4BDD18" w14:textId="7BDE0B73" w:rsidR="006E4A8A" w:rsidRPr="00515AA2" w:rsidRDefault="00843661" w:rsidP="00F846E3">
      <w:pPr>
        <w:pStyle w:val="Paragraphe"/>
        <w:spacing w:line="280" w:lineRule="exact"/>
        <w:rPr>
          <w:color w:val="000000"/>
          <w:lang w:val="en-CA"/>
        </w:rPr>
      </w:pPr>
      <w:r w:rsidRPr="00515AA2">
        <w:rPr>
          <w:color w:val="000000"/>
          <w:lang w:val="en-CA"/>
        </w:rPr>
        <w:t>Although this is in no way determinative</w:t>
      </w:r>
      <w:r w:rsidR="006E4A8A" w:rsidRPr="00515AA2">
        <w:rPr>
          <w:color w:val="000000"/>
          <w:lang w:val="en-CA"/>
        </w:rPr>
        <w:t xml:space="preserve">, </w:t>
      </w:r>
      <w:r w:rsidRPr="00515AA2">
        <w:rPr>
          <w:color w:val="000000"/>
          <w:lang w:val="en-CA"/>
        </w:rPr>
        <w:t xml:space="preserve">the preceding observations being sufficient to justify our </w:t>
      </w:r>
      <w:r w:rsidR="00D43380" w:rsidRPr="00515AA2">
        <w:rPr>
          <w:color w:val="000000"/>
          <w:lang w:val="en-CA"/>
        </w:rPr>
        <w:t xml:space="preserve">interpretation </w:t>
      </w:r>
      <w:r w:rsidRPr="00515AA2">
        <w:rPr>
          <w:color w:val="000000"/>
          <w:lang w:val="en-CA"/>
        </w:rPr>
        <w:t>of art</w:t>
      </w:r>
      <w:r w:rsidR="009B6FFD" w:rsidRPr="00515AA2">
        <w:rPr>
          <w:color w:val="000000"/>
          <w:lang w:val="en-CA"/>
        </w:rPr>
        <w:t>icle</w:t>
      </w:r>
      <w:r w:rsidR="006E4A8A" w:rsidRPr="00515AA2">
        <w:rPr>
          <w:color w:val="000000"/>
          <w:lang w:val="en-CA"/>
        </w:rPr>
        <w:t xml:space="preserve"> 62 </w:t>
      </w:r>
      <w:r w:rsidR="006E4A8A" w:rsidRPr="00515AA2">
        <w:rPr>
          <w:i/>
          <w:iCs/>
          <w:color w:val="000000"/>
          <w:lang w:val="en-CA"/>
        </w:rPr>
        <w:t>C.</w:t>
      </w:r>
      <w:r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Pr="00515AA2">
        <w:rPr>
          <w:color w:val="000000"/>
          <w:lang w:val="en-CA"/>
        </w:rPr>
        <w:t>and the notion of</w:t>
      </w:r>
      <w:r w:rsidR="006E4A8A" w:rsidRPr="00515AA2">
        <w:rPr>
          <w:color w:val="000000"/>
          <w:lang w:val="en-CA"/>
        </w:rPr>
        <w:t xml:space="preserve"> </w:t>
      </w:r>
      <w:r w:rsidRPr="00515AA2">
        <w:rPr>
          <w:i/>
          <w:iCs/>
          <w:color w:val="000000"/>
          <w:lang w:val="en-CA"/>
        </w:rPr>
        <w:t>compelling reason</w:t>
      </w:r>
      <w:r w:rsidR="006E4A8A" w:rsidRPr="00515AA2">
        <w:rPr>
          <w:color w:val="000000"/>
          <w:lang w:val="en-CA"/>
        </w:rPr>
        <w:t xml:space="preserve"> </w:t>
      </w:r>
      <w:r w:rsidRPr="00515AA2">
        <w:rPr>
          <w:color w:val="000000"/>
          <w:lang w:val="en-CA"/>
        </w:rPr>
        <w:t>that it contains</w:t>
      </w:r>
      <w:r w:rsidR="006E4A8A" w:rsidRPr="00515AA2">
        <w:rPr>
          <w:color w:val="000000"/>
          <w:lang w:val="en-CA"/>
        </w:rPr>
        <w:t xml:space="preserve">, </w:t>
      </w:r>
      <w:r w:rsidRPr="00515AA2">
        <w:rPr>
          <w:color w:val="000000"/>
          <w:lang w:val="en-CA"/>
        </w:rPr>
        <w:t xml:space="preserve">it is useful to point out that that interpretation is also consistent with the legislator’s choice to grant to minors 14 years of age </w:t>
      </w:r>
      <w:r w:rsidR="002C7FEF" w:rsidRPr="00515AA2">
        <w:rPr>
          <w:color w:val="000000"/>
          <w:lang w:val="en-CA"/>
        </w:rPr>
        <w:t>or over</w:t>
      </w:r>
      <w:r w:rsidR="00F82668" w:rsidRPr="00515AA2">
        <w:rPr>
          <w:color w:val="000000"/>
          <w:lang w:val="en-CA"/>
        </w:rPr>
        <w:t xml:space="preserve"> great autonomy as regards </w:t>
      </w:r>
      <w:r w:rsidR="00D43380" w:rsidRPr="00515AA2">
        <w:rPr>
          <w:color w:val="000000"/>
          <w:lang w:val="en-CA"/>
        </w:rPr>
        <w:t xml:space="preserve">their </w:t>
      </w:r>
      <w:r w:rsidR="00F82668" w:rsidRPr="00515AA2">
        <w:rPr>
          <w:color w:val="000000"/>
          <w:lang w:val="en-CA"/>
        </w:rPr>
        <w:t>health care.</w:t>
      </w:r>
      <w:r w:rsidR="006E4A8A" w:rsidRPr="00515AA2">
        <w:rPr>
          <w:rStyle w:val="Appelnotedebasdep"/>
          <w:color w:val="000000"/>
          <w:lang w:val="en-CA"/>
        </w:rPr>
        <w:footnoteReference w:id="137"/>
      </w:r>
      <w:r w:rsidR="00F82668" w:rsidRPr="00515AA2">
        <w:rPr>
          <w:color w:val="000000"/>
          <w:lang w:val="en-CA"/>
        </w:rPr>
        <w:t xml:space="preserve"> Of course, a change of one or several given names is not health care, but the evidence shows that the obligation of having one or several given names that do not correspond to our gender identity can lead to numerous difficulties from which may stem physical or mental health problems</w:t>
      </w:r>
      <w:r w:rsidR="006E4A8A" w:rsidRPr="00515AA2">
        <w:rPr>
          <w:color w:val="000000"/>
          <w:lang w:val="en-CA"/>
        </w:rPr>
        <w:t xml:space="preserve">. </w:t>
      </w:r>
      <w:r w:rsidR="00F82668" w:rsidRPr="00515AA2">
        <w:rPr>
          <w:color w:val="000000"/>
          <w:lang w:val="en-CA"/>
        </w:rPr>
        <w:t xml:space="preserve">It would therefore be incongruous that the legislator grant to minors 14 years of age </w:t>
      </w:r>
      <w:r w:rsidR="002C7FEF" w:rsidRPr="00515AA2">
        <w:rPr>
          <w:color w:val="000000"/>
          <w:lang w:val="en-CA"/>
        </w:rPr>
        <w:t>or over</w:t>
      </w:r>
      <w:r w:rsidR="00F82668" w:rsidRPr="00515AA2">
        <w:rPr>
          <w:color w:val="000000"/>
          <w:lang w:val="en-CA"/>
        </w:rPr>
        <w:t xml:space="preserve"> the right to consent to health ca</w:t>
      </w:r>
      <w:r w:rsidR="00F81FBE" w:rsidRPr="00515AA2">
        <w:rPr>
          <w:color w:val="000000"/>
          <w:lang w:val="en-CA"/>
        </w:rPr>
        <w:t>r</w:t>
      </w:r>
      <w:r w:rsidR="00F82668" w:rsidRPr="00515AA2">
        <w:rPr>
          <w:color w:val="000000"/>
          <w:lang w:val="en-CA"/>
        </w:rPr>
        <w:t>e, while not granting them the requisite autonomy to change a situation that may jeopardize their health</w:t>
      </w:r>
      <w:r w:rsidR="006E4A8A" w:rsidRPr="00515AA2">
        <w:rPr>
          <w:color w:val="000000"/>
          <w:lang w:val="en-CA"/>
        </w:rPr>
        <w:t>.</w:t>
      </w:r>
    </w:p>
    <w:p w14:paraId="5F6D9365" w14:textId="72974368" w:rsidR="00793FCC" w:rsidRPr="00515AA2" w:rsidRDefault="00A12097" w:rsidP="00F846E3">
      <w:pPr>
        <w:pStyle w:val="Paragraphe"/>
        <w:spacing w:line="280" w:lineRule="exact"/>
        <w:rPr>
          <w:color w:val="000000"/>
          <w:lang w:val="en-CA"/>
        </w:rPr>
      </w:pPr>
      <w:r w:rsidRPr="00515AA2">
        <w:rPr>
          <w:color w:val="000000"/>
          <w:lang w:val="en-CA"/>
        </w:rPr>
        <w:t xml:space="preserve">Considering </w:t>
      </w:r>
      <w:r w:rsidR="00481EC5" w:rsidRPr="00515AA2">
        <w:rPr>
          <w:color w:val="000000"/>
          <w:lang w:val="en-CA"/>
        </w:rPr>
        <w:t>the</w:t>
      </w:r>
      <w:r w:rsidR="00F81FBE" w:rsidRPr="00515AA2">
        <w:rPr>
          <w:color w:val="000000"/>
          <w:lang w:val="en-CA"/>
        </w:rPr>
        <w:t xml:space="preserve"> interpretation </w:t>
      </w:r>
      <w:r w:rsidR="00481EC5" w:rsidRPr="00515AA2">
        <w:rPr>
          <w:color w:val="000000"/>
          <w:lang w:val="en-CA"/>
        </w:rPr>
        <w:t>given to</w:t>
      </w:r>
      <w:r w:rsidR="00F81FBE" w:rsidRPr="00515AA2">
        <w:rPr>
          <w:color w:val="000000"/>
          <w:lang w:val="en-CA"/>
        </w:rPr>
        <w:t xml:space="preserve"> the</w:t>
      </w:r>
      <w:r w:rsidR="006E4A8A" w:rsidRPr="00515AA2">
        <w:rPr>
          <w:color w:val="000000"/>
          <w:lang w:val="en-CA"/>
        </w:rPr>
        <w:t xml:space="preserve"> notion </w:t>
      </w:r>
      <w:r w:rsidR="00D43380" w:rsidRPr="00515AA2">
        <w:rPr>
          <w:color w:val="000000"/>
          <w:lang w:val="en-CA"/>
        </w:rPr>
        <w:t xml:space="preserve">of </w:t>
      </w:r>
      <w:r w:rsidR="00481EC5" w:rsidRPr="00515AA2">
        <w:rPr>
          <w:rFonts w:cs="Arial"/>
          <w:color w:val="000000"/>
          <w:lang w:val="en-CA"/>
        </w:rPr>
        <w:t>“compelling reason” contained in art</w:t>
      </w:r>
      <w:r w:rsidR="009B6FFD" w:rsidRPr="00515AA2">
        <w:rPr>
          <w:rFonts w:cs="Arial"/>
          <w:color w:val="000000"/>
          <w:lang w:val="en-CA"/>
        </w:rPr>
        <w:t>icle</w:t>
      </w:r>
      <w:r w:rsidR="006E4A8A" w:rsidRPr="00515AA2">
        <w:rPr>
          <w:color w:val="000000"/>
          <w:lang w:val="en-CA"/>
        </w:rPr>
        <w:t xml:space="preserve"> 62 </w:t>
      </w:r>
      <w:r w:rsidR="006E4A8A" w:rsidRPr="00515AA2">
        <w:rPr>
          <w:i/>
          <w:iCs/>
          <w:color w:val="000000"/>
          <w:lang w:val="en-CA"/>
        </w:rPr>
        <w:t>C.</w:t>
      </w:r>
      <w:r w:rsidR="00481EC5" w:rsidRPr="00515AA2">
        <w:rPr>
          <w:i/>
          <w:iCs/>
          <w:color w:val="000000"/>
          <w:lang w:val="en-CA"/>
        </w:rPr>
        <w:t>C</w:t>
      </w:r>
      <w:r w:rsidR="006E4A8A" w:rsidRPr="00515AA2">
        <w:rPr>
          <w:i/>
          <w:iCs/>
          <w:color w:val="000000"/>
          <w:lang w:val="en-CA"/>
        </w:rPr>
        <w:t>.Q</w:t>
      </w:r>
      <w:r w:rsidR="006E4A8A" w:rsidRPr="00515AA2">
        <w:rPr>
          <w:color w:val="000000"/>
          <w:lang w:val="en-CA"/>
        </w:rPr>
        <w:t xml:space="preserve">., </w:t>
      </w:r>
      <w:r w:rsidR="00481EC5" w:rsidRPr="00515AA2">
        <w:rPr>
          <w:color w:val="000000"/>
          <w:lang w:val="en-CA"/>
        </w:rPr>
        <w:t xml:space="preserve">it is neither useful nor apposite to discuss the impact that a different interpretation would have had on the rights of transgender or non-binary youths protected by the </w:t>
      </w:r>
      <w:r w:rsidR="00481EC5" w:rsidRPr="00515AA2">
        <w:rPr>
          <w:i/>
          <w:iCs/>
          <w:color w:val="000000"/>
          <w:lang w:val="en-CA"/>
        </w:rPr>
        <w:t>Charters</w:t>
      </w:r>
      <w:r w:rsidR="006E4A8A" w:rsidRPr="00515AA2">
        <w:rPr>
          <w:color w:val="000000"/>
          <w:lang w:val="en-CA"/>
        </w:rPr>
        <w:t xml:space="preserve">. </w:t>
      </w:r>
      <w:r w:rsidR="00481EC5" w:rsidRPr="00515AA2">
        <w:rPr>
          <w:color w:val="000000"/>
          <w:lang w:val="en-CA"/>
        </w:rPr>
        <w:t xml:space="preserve">A declaration that the gender identity that motivates an application for a change of given name for a minor 14 years of age </w:t>
      </w:r>
      <w:r w:rsidR="002C7FEF" w:rsidRPr="00515AA2">
        <w:rPr>
          <w:color w:val="000000"/>
          <w:lang w:val="en-CA"/>
        </w:rPr>
        <w:t>or over</w:t>
      </w:r>
      <w:r w:rsidR="00481EC5" w:rsidRPr="00515AA2">
        <w:rPr>
          <w:color w:val="000000"/>
          <w:lang w:val="en-CA"/>
        </w:rPr>
        <w:t xml:space="preserve"> constitutes a compelling reason within the meaning of art</w:t>
      </w:r>
      <w:r w:rsidR="009B6FFD" w:rsidRPr="00515AA2">
        <w:rPr>
          <w:color w:val="000000"/>
          <w:lang w:val="en-CA"/>
        </w:rPr>
        <w:t>icle</w:t>
      </w:r>
      <w:r w:rsidR="00481EC5" w:rsidRPr="00515AA2">
        <w:rPr>
          <w:color w:val="000000"/>
          <w:lang w:val="en-CA"/>
        </w:rPr>
        <w:t xml:space="preserve"> 62 </w:t>
      </w:r>
      <w:r w:rsidR="00481EC5" w:rsidRPr="00515AA2">
        <w:rPr>
          <w:i/>
          <w:iCs/>
          <w:color w:val="000000"/>
          <w:lang w:val="en-CA"/>
        </w:rPr>
        <w:t>C.C.Q</w:t>
      </w:r>
      <w:r w:rsidR="00481EC5" w:rsidRPr="00515AA2">
        <w:rPr>
          <w:color w:val="000000"/>
          <w:lang w:val="en-CA"/>
        </w:rPr>
        <w:t>. is, however, appropriate</w:t>
      </w:r>
      <w:r w:rsidR="006E4A8A" w:rsidRPr="00515AA2">
        <w:rPr>
          <w:color w:val="000000"/>
          <w:lang w:val="en-CA"/>
        </w:rPr>
        <w:t>.</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515AA2" w:rsidRPr="00C83535" w14:paraId="25CAD17D" w14:textId="77777777" w:rsidTr="00044D0B">
        <w:trPr>
          <w:cantSplit/>
          <w:trHeight w:val="513"/>
        </w:trPr>
        <w:tc>
          <w:tcPr>
            <w:tcW w:w="9360" w:type="dxa"/>
            <w:gridSpan w:val="2"/>
          </w:tcPr>
          <w:p w14:paraId="57E92204" w14:textId="77777777" w:rsidR="00641DD4" w:rsidRPr="00515AA2" w:rsidRDefault="00641DD4" w:rsidP="00F846E3">
            <w:pPr>
              <w:rPr>
                <w:color w:val="000000"/>
                <w:lang w:val="en-CA"/>
              </w:rPr>
            </w:pPr>
            <w:bookmarkStart w:id="79" w:name="_Hlk160437060"/>
          </w:p>
        </w:tc>
      </w:tr>
      <w:tr w:rsidR="00515AA2" w:rsidRPr="00C83535" w14:paraId="7508617E" w14:textId="77777777" w:rsidTr="00044D0B">
        <w:trPr>
          <w:cantSplit/>
          <w:trHeight w:val="277"/>
        </w:trPr>
        <w:tc>
          <w:tcPr>
            <w:tcW w:w="4735" w:type="dxa"/>
            <w:vMerge w:val="restart"/>
          </w:tcPr>
          <w:p w14:paraId="70D380AC" w14:textId="77777777" w:rsidR="00641DD4" w:rsidRPr="00515AA2" w:rsidRDefault="00641DD4" w:rsidP="00F846E3">
            <w:pPr>
              <w:rPr>
                <w:color w:val="000000"/>
                <w:lang w:val="en-CA"/>
              </w:rPr>
            </w:pPr>
          </w:p>
        </w:tc>
        <w:tc>
          <w:tcPr>
            <w:tcW w:w="4625" w:type="dxa"/>
            <w:tcBorders>
              <w:bottom w:val="single" w:sz="8" w:space="0" w:color="auto"/>
            </w:tcBorders>
          </w:tcPr>
          <w:p w14:paraId="7CFC45A2" w14:textId="77777777" w:rsidR="00641DD4" w:rsidRPr="00515AA2" w:rsidRDefault="00641DD4" w:rsidP="00F846E3">
            <w:pPr>
              <w:rPr>
                <w:color w:val="000000"/>
                <w:lang w:val="en-CA"/>
              </w:rPr>
            </w:pPr>
          </w:p>
        </w:tc>
      </w:tr>
      <w:tr w:rsidR="00515AA2" w:rsidRPr="00515AA2" w14:paraId="6D84A72E" w14:textId="77777777" w:rsidTr="00044D0B">
        <w:trPr>
          <w:cantSplit/>
          <w:trHeight w:val="276"/>
        </w:trPr>
        <w:tc>
          <w:tcPr>
            <w:tcW w:w="4735" w:type="dxa"/>
            <w:vMerge/>
          </w:tcPr>
          <w:p w14:paraId="5D911289" w14:textId="77777777" w:rsidR="00641DD4" w:rsidRPr="00515AA2" w:rsidRDefault="00641DD4" w:rsidP="00F846E3">
            <w:pPr>
              <w:rPr>
                <w:color w:val="000000"/>
                <w:lang w:val="en-CA"/>
              </w:rPr>
            </w:pPr>
          </w:p>
        </w:tc>
        <w:tc>
          <w:tcPr>
            <w:tcW w:w="4625" w:type="dxa"/>
          </w:tcPr>
          <w:p w14:paraId="2181040A" w14:textId="08A8F346" w:rsidR="00641DD4" w:rsidRPr="00515AA2" w:rsidRDefault="00641DD4" w:rsidP="00F846E3">
            <w:pPr>
              <w:rPr>
                <w:color w:val="000000"/>
                <w:lang w:val="en-CA"/>
              </w:rPr>
            </w:pPr>
            <w:r w:rsidRPr="00515AA2">
              <w:rPr>
                <w:color w:val="000000"/>
              </w:rPr>
              <w:t>GENEVIÈVE MARCOTTE, J.A.</w:t>
            </w:r>
          </w:p>
        </w:tc>
      </w:tr>
      <w:bookmarkEnd w:id="79"/>
      <w:tr w:rsidR="00515AA2" w:rsidRPr="00515AA2" w14:paraId="4C82E6FA" w14:textId="77777777" w:rsidTr="00044D0B">
        <w:trPr>
          <w:cantSplit/>
          <w:trHeight w:val="513"/>
        </w:trPr>
        <w:tc>
          <w:tcPr>
            <w:tcW w:w="9360" w:type="dxa"/>
            <w:gridSpan w:val="2"/>
          </w:tcPr>
          <w:p w14:paraId="0D353019" w14:textId="77777777" w:rsidR="00641DD4" w:rsidRPr="00515AA2" w:rsidRDefault="00641DD4" w:rsidP="00F846E3">
            <w:pPr>
              <w:rPr>
                <w:color w:val="000000"/>
                <w:lang w:val="en-CA"/>
              </w:rPr>
            </w:pPr>
          </w:p>
        </w:tc>
      </w:tr>
      <w:tr w:rsidR="00515AA2" w:rsidRPr="00515AA2" w14:paraId="482EDC5B" w14:textId="77777777" w:rsidTr="00044D0B">
        <w:trPr>
          <w:cantSplit/>
          <w:trHeight w:val="277"/>
        </w:trPr>
        <w:tc>
          <w:tcPr>
            <w:tcW w:w="4735" w:type="dxa"/>
            <w:vMerge w:val="restart"/>
          </w:tcPr>
          <w:p w14:paraId="54E3F1FD" w14:textId="77777777" w:rsidR="00641DD4" w:rsidRPr="00515AA2" w:rsidRDefault="00641DD4" w:rsidP="00F846E3">
            <w:pPr>
              <w:rPr>
                <w:color w:val="000000"/>
                <w:lang w:val="en-CA"/>
              </w:rPr>
            </w:pPr>
          </w:p>
        </w:tc>
        <w:tc>
          <w:tcPr>
            <w:tcW w:w="4625" w:type="dxa"/>
            <w:tcBorders>
              <w:bottom w:val="single" w:sz="8" w:space="0" w:color="auto"/>
            </w:tcBorders>
          </w:tcPr>
          <w:p w14:paraId="47C769B3" w14:textId="77777777" w:rsidR="00641DD4" w:rsidRPr="00515AA2" w:rsidRDefault="00641DD4" w:rsidP="00F846E3">
            <w:pPr>
              <w:rPr>
                <w:color w:val="000000"/>
                <w:lang w:val="en-CA"/>
              </w:rPr>
            </w:pPr>
          </w:p>
        </w:tc>
      </w:tr>
      <w:tr w:rsidR="00515AA2" w:rsidRPr="00515AA2" w14:paraId="02C2A154" w14:textId="77777777" w:rsidTr="00044D0B">
        <w:trPr>
          <w:cantSplit/>
          <w:trHeight w:val="276"/>
        </w:trPr>
        <w:tc>
          <w:tcPr>
            <w:tcW w:w="4735" w:type="dxa"/>
            <w:vMerge/>
          </w:tcPr>
          <w:p w14:paraId="48C87137" w14:textId="77777777" w:rsidR="00641DD4" w:rsidRPr="00515AA2" w:rsidRDefault="00641DD4" w:rsidP="00F846E3">
            <w:pPr>
              <w:rPr>
                <w:color w:val="000000"/>
                <w:lang w:val="en-CA"/>
              </w:rPr>
            </w:pPr>
          </w:p>
        </w:tc>
        <w:tc>
          <w:tcPr>
            <w:tcW w:w="4625" w:type="dxa"/>
          </w:tcPr>
          <w:p w14:paraId="4CAC22DF" w14:textId="5BF83C87" w:rsidR="00641DD4" w:rsidRPr="00515AA2" w:rsidRDefault="00641DD4" w:rsidP="00F846E3">
            <w:pPr>
              <w:rPr>
                <w:color w:val="000000"/>
              </w:rPr>
            </w:pPr>
            <w:r w:rsidRPr="00515AA2">
              <w:rPr>
                <w:color w:val="000000"/>
              </w:rPr>
              <w:t>MARIE-JOSÉE HOGUE, J.A.</w:t>
            </w:r>
          </w:p>
        </w:tc>
      </w:tr>
      <w:tr w:rsidR="00641DD4" w:rsidRPr="00515AA2" w14:paraId="029913A2" w14:textId="77777777" w:rsidTr="00044D0B">
        <w:trPr>
          <w:cantSplit/>
          <w:trHeight w:val="276"/>
        </w:trPr>
        <w:tc>
          <w:tcPr>
            <w:tcW w:w="4735" w:type="dxa"/>
          </w:tcPr>
          <w:p w14:paraId="7FB3BE99" w14:textId="77777777" w:rsidR="00641DD4" w:rsidRPr="00515AA2" w:rsidRDefault="00641DD4" w:rsidP="00F846E3">
            <w:pPr>
              <w:rPr>
                <w:color w:val="000000"/>
              </w:rPr>
            </w:pPr>
          </w:p>
        </w:tc>
        <w:tc>
          <w:tcPr>
            <w:tcW w:w="4625" w:type="dxa"/>
          </w:tcPr>
          <w:p w14:paraId="2DA3DE6F" w14:textId="77777777" w:rsidR="00641DD4" w:rsidRPr="00515AA2" w:rsidRDefault="00641DD4" w:rsidP="00F846E3">
            <w:pPr>
              <w:rPr>
                <w:color w:val="000000"/>
              </w:rPr>
            </w:pPr>
          </w:p>
        </w:tc>
      </w:tr>
    </w:tbl>
    <w:p w14:paraId="53A4725E" w14:textId="0777522D" w:rsidR="00D258A9" w:rsidRPr="00515AA2" w:rsidRDefault="00D258A9" w:rsidP="00F846E3">
      <w:pPr>
        <w:rPr>
          <w:color w:val="000000"/>
        </w:rPr>
      </w:pPr>
    </w:p>
    <w:p w14:paraId="55EBE6D5" w14:textId="77777777" w:rsidR="00641DD4" w:rsidRPr="00515AA2" w:rsidRDefault="00641DD4" w:rsidP="00F846E3">
      <w:pPr>
        <w:rPr>
          <w:color w:val="000000"/>
        </w:rPr>
      </w:pPr>
    </w:p>
    <w:p w14:paraId="04A337AA" w14:textId="77777777" w:rsidR="00641DD4" w:rsidRPr="00515AA2" w:rsidRDefault="00641DD4" w:rsidP="00F846E3">
      <w:pPr>
        <w:rPr>
          <w:color w:val="000000"/>
        </w:rPr>
      </w:pPr>
    </w:p>
    <w:p w14:paraId="67625DAF" w14:textId="312306FE" w:rsidR="00641DD4" w:rsidRPr="00515AA2" w:rsidRDefault="00641DD4" w:rsidP="00F846E3">
      <w:pPr>
        <w:rPr>
          <w:color w:val="000000"/>
        </w:rPr>
      </w:pPr>
      <w:r w:rsidRPr="00515AA2">
        <w:rPr>
          <w:color w:val="000000"/>
        </w:rPr>
        <w:br w:type="page"/>
      </w:r>
    </w:p>
    <w:p w14:paraId="27D01125" w14:textId="77777777" w:rsidR="00641DD4" w:rsidRPr="00515AA2" w:rsidRDefault="00641DD4" w:rsidP="00F846E3">
      <w:pPr>
        <w:rPr>
          <w:color w:val="000000"/>
        </w:rPr>
      </w:pPr>
    </w:p>
    <w:tbl>
      <w:tblPr>
        <w:tblW w:w="0" w:type="auto"/>
        <w:tblLayout w:type="fixed"/>
        <w:tblCellMar>
          <w:left w:w="0" w:type="dxa"/>
          <w:right w:w="0" w:type="dxa"/>
        </w:tblCellMar>
        <w:tblLook w:val="0000" w:firstRow="0" w:lastRow="0" w:firstColumn="0" w:lastColumn="0" w:noHBand="0" w:noVBand="0"/>
      </w:tblPr>
      <w:tblGrid>
        <w:gridCol w:w="9360"/>
      </w:tblGrid>
      <w:tr w:rsidR="00515AA2" w:rsidRPr="00515AA2" w14:paraId="170A8195" w14:textId="77777777" w:rsidTr="009D5805">
        <w:tc>
          <w:tcPr>
            <w:tcW w:w="9360" w:type="dxa"/>
            <w:tcBorders>
              <w:bottom w:val="single" w:sz="8" w:space="0" w:color="auto"/>
            </w:tcBorders>
          </w:tcPr>
          <w:p w14:paraId="66C462AD" w14:textId="77777777" w:rsidR="00D258A9" w:rsidRPr="00515AA2" w:rsidRDefault="00D258A9" w:rsidP="00F846E3">
            <w:pPr>
              <w:rPr>
                <w:color w:val="000000"/>
              </w:rPr>
            </w:pPr>
          </w:p>
        </w:tc>
      </w:tr>
      <w:tr w:rsidR="00515AA2" w:rsidRPr="00515AA2" w14:paraId="446BFD10" w14:textId="77777777" w:rsidTr="009D5805">
        <w:tc>
          <w:tcPr>
            <w:tcW w:w="9360" w:type="dxa"/>
            <w:tcBorders>
              <w:top w:val="single" w:sz="8" w:space="0" w:color="auto"/>
            </w:tcBorders>
          </w:tcPr>
          <w:p w14:paraId="0919F8D7" w14:textId="77777777" w:rsidR="00D258A9" w:rsidRPr="00515AA2" w:rsidRDefault="00D258A9" w:rsidP="00F846E3">
            <w:pPr>
              <w:rPr>
                <w:color w:val="000000"/>
              </w:rPr>
            </w:pPr>
          </w:p>
        </w:tc>
      </w:tr>
      <w:tr w:rsidR="00515AA2" w:rsidRPr="00C83535" w14:paraId="6885615F" w14:textId="77777777" w:rsidTr="009D5805">
        <w:tc>
          <w:tcPr>
            <w:tcW w:w="9360" w:type="dxa"/>
          </w:tcPr>
          <w:p w14:paraId="7DD8280C" w14:textId="1B1D65FD" w:rsidR="00D258A9" w:rsidRPr="00515AA2" w:rsidRDefault="00665698" w:rsidP="00F846E3">
            <w:pPr>
              <w:pStyle w:val="zSoquijlblOpinionJuge"/>
              <w:rPr>
                <w:color w:val="000000"/>
                <w:lang w:val="en-CA"/>
              </w:rPr>
            </w:pPr>
            <w:r w:rsidRPr="00515AA2">
              <w:rPr>
                <w:color w:val="000000"/>
                <w:lang w:val="en-CA"/>
              </w:rPr>
              <w:t>REASONS OF HAMILTON</w:t>
            </w:r>
            <w:r w:rsidR="0088484C" w:rsidRPr="00515AA2">
              <w:rPr>
                <w:color w:val="000000"/>
                <w:lang w:val="en-CA"/>
              </w:rPr>
              <w:t>, J.A.</w:t>
            </w:r>
          </w:p>
        </w:tc>
      </w:tr>
      <w:tr w:rsidR="00515AA2" w:rsidRPr="00C83535" w14:paraId="6670BCFB" w14:textId="77777777" w:rsidTr="009D5805">
        <w:tc>
          <w:tcPr>
            <w:tcW w:w="9360" w:type="dxa"/>
            <w:tcBorders>
              <w:bottom w:val="single" w:sz="8" w:space="0" w:color="auto"/>
            </w:tcBorders>
          </w:tcPr>
          <w:p w14:paraId="5FF57405" w14:textId="77777777" w:rsidR="00D258A9" w:rsidRPr="00515AA2" w:rsidRDefault="00D258A9" w:rsidP="00F846E3">
            <w:pPr>
              <w:rPr>
                <w:color w:val="000000"/>
                <w:lang w:val="en-CA"/>
              </w:rPr>
            </w:pPr>
          </w:p>
        </w:tc>
      </w:tr>
      <w:tr w:rsidR="00515AA2" w:rsidRPr="00C83535" w14:paraId="683CC4C3" w14:textId="77777777" w:rsidTr="009D5805">
        <w:tc>
          <w:tcPr>
            <w:tcW w:w="9360" w:type="dxa"/>
            <w:tcBorders>
              <w:top w:val="single" w:sz="8" w:space="0" w:color="auto"/>
            </w:tcBorders>
          </w:tcPr>
          <w:p w14:paraId="0E0EC8DF" w14:textId="77777777" w:rsidR="00D258A9" w:rsidRPr="00515AA2" w:rsidRDefault="00D258A9" w:rsidP="00F846E3">
            <w:pPr>
              <w:rPr>
                <w:color w:val="000000"/>
                <w:lang w:val="en-CA"/>
              </w:rPr>
            </w:pPr>
          </w:p>
        </w:tc>
      </w:tr>
    </w:tbl>
    <w:p w14:paraId="7E555E0E" w14:textId="36A802AC" w:rsidR="00D258A9" w:rsidRPr="00515AA2" w:rsidRDefault="00C4387B" w:rsidP="00F846E3">
      <w:pPr>
        <w:pStyle w:val="Paragraphe"/>
        <w:spacing w:line="280" w:lineRule="exact"/>
        <w:rPr>
          <w:color w:val="000000"/>
          <w:lang w:val="en-CA"/>
        </w:rPr>
      </w:pPr>
      <w:bookmarkStart w:id="80" w:name="_Hlk156289189"/>
      <w:r w:rsidRPr="00515AA2">
        <w:rPr>
          <w:color w:val="000000"/>
          <w:lang w:val="en-CA"/>
        </w:rPr>
        <w:t xml:space="preserve">I have had the benefit of </w:t>
      </w:r>
      <w:r w:rsidR="00D43380" w:rsidRPr="00515AA2">
        <w:rPr>
          <w:color w:val="000000"/>
          <w:lang w:val="en-CA"/>
        </w:rPr>
        <w:t xml:space="preserve">reading </w:t>
      </w:r>
      <w:r w:rsidRPr="00515AA2">
        <w:rPr>
          <w:color w:val="000000"/>
          <w:lang w:val="en-CA"/>
        </w:rPr>
        <w:t>the reasons of my colleagues </w:t>
      </w:r>
      <w:r w:rsidR="00D258A9" w:rsidRPr="00515AA2">
        <w:rPr>
          <w:color w:val="000000"/>
          <w:lang w:val="en-CA"/>
        </w:rPr>
        <w:t xml:space="preserve">Marcotte </w:t>
      </w:r>
      <w:r w:rsidRPr="00515AA2">
        <w:rPr>
          <w:color w:val="000000"/>
          <w:lang w:val="en-CA"/>
        </w:rPr>
        <w:t>and</w:t>
      </w:r>
      <w:r w:rsidR="00D258A9" w:rsidRPr="00515AA2">
        <w:rPr>
          <w:color w:val="000000"/>
          <w:lang w:val="en-CA"/>
        </w:rPr>
        <w:t xml:space="preserve"> Hogue</w:t>
      </w:r>
      <w:r w:rsidRPr="00515AA2">
        <w:rPr>
          <w:color w:val="000000"/>
          <w:lang w:val="en-CA"/>
        </w:rPr>
        <w:t>, JJ.A</w:t>
      </w:r>
      <w:r w:rsidR="00D258A9" w:rsidRPr="00515AA2">
        <w:rPr>
          <w:color w:val="000000"/>
          <w:lang w:val="en-CA"/>
        </w:rPr>
        <w:t xml:space="preserve">. </w:t>
      </w:r>
      <w:r w:rsidRPr="00515AA2">
        <w:rPr>
          <w:color w:val="000000"/>
          <w:lang w:val="en-CA"/>
        </w:rPr>
        <w:t xml:space="preserve">I am in agreement with them </w:t>
      </w:r>
      <w:r w:rsidR="00E60A9F" w:rsidRPr="00515AA2">
        <w:rPr>
          <w:color w:val="000000"/>
          <w:lang w:val="en-CA"/>
        </w:rPr>
        <w:t>as to the whole of</w:t>
      </w:r>
      <w:r w:rsidRPr="00515AA2">
        <w:rPr>
          <w:color w:val="000000"/>
          <w:lang w:val="en-CA"/>
        </w:rPr>
        <w:t xml:space="preserve"> the judgment, including its </w:t>
      </w:r>
      <w:r w:rsidR="00D43380" w:rsidRPr="00515AA2">
        <w:rPr>
          <w:color w:val="000000"/>
          <w:lang w:val="en-CA"/>
        </w:rPr>
        <w:t>conclusions</w:t>
      </w:r>
      <w:r w:rsidRPr="00515AA2">
        <w:rPr>
          <w:color w:val="000000"/>
          <w:lang w:val="en-CA"/>
        </w:rPr>
        <w:t xml:space="preserve">, </w:t>
      </w:r>
      <w:r w:rsidR="00D43380" w:rsidRPr="00515AA2">
        <w:rPr>
          <w:color w:val="000000"/>
          <w:lang w:val="en-CA"/>
        </w:rPr>
        <w:t xml:space="preserve">save </w:t>
      </w:r>
      <w:r w:rsidRPr="00515AA2">
        <w:rPr>
          <w:color w:val="000000"/>
          <w:lang w:val="en-CA"/>
        </w:rPr>
        <w:t>for one</w:t>
      </w:r>
      <w:r w:rsidR="00E60A9F" w:rsidRPr="00515AA2">
        <w:rPr>
          <w:color w:val="000000"/>
          <w:lang w:val="en-CA"/>
        </w:rPr>
        <w:t xml:space="preserve"> specific</w:t>
      </w:r>
      <w:r w:rsidRPr="00515AA2">
        <w:rPr>
          <w:color w:val="000000"/>
          <w:lang w:val="en-CA"/>
        </w:rPr>
        <w:t xml:space="preserve"> point</w:t>
      </w:r>
      <w:r w:rsidR="00D258A9" w:rsidRPr="00515AA2">
        <w:rPr>
          <w:color w:val="000000"/>
          <w:lang w:val="en-CA"/>
        </w:rPr>
        <w:t>.</w:t>
      </w:r>
    </w:p>
    <w:p w14:paraId="2C062A89" w14:textId="016B4627" w:rsidR="00D258A9" w:rsidRPr="00515AA2" w:rsidRDefault="00C4387B" w:rsidP="00F846E3">
      <w:pPr>
        <w:pStyle w:val="Paragraphe"/>
        <w:spacing w:line="280" w:lineRule="exact"/>
        <w:rPr>
          <w:color w:val="000000"/>
          <w:lang w:val="en-CA"/>
        </w:rPr>
      </w:pPr>
      <w:r w:rsidRPr="00515AA2">
        <w:rPr>
          <w:color w:val="000000"/>
          <w:lang w:val="en-CA"/>
        </w:rPr>
        <w:t xml:space="preserve">My colleagues </w:t>
      </w:r>
      <w:r w:rsidR="00E60A9F" w:rsidRPr="00515AA2">
        <w:rPr>
          <w:color w:val="000000"/>
          <w:lang w:val="en-CA"/>
        </w:rPr>
        <w:t>find</w:t>
      </w:r>
      <w:r w:rsidRPr="00515AA2">
        <w:rPr>
          <w:color w:val="000000"/>
          <w:lang w:val="en-CA"/>
        </w:rPr>
        <w:t xml:space="preserve"> that the second paragraph of s</w:t>
      </w:r>
      <w:r w:rsidR="00202E09" w:rsidRPr="00515AA2">
        <w:rPr>
          <w:color w:val="000000"/>
          <w:lang w:val="en-CA"/>
        </w:rPr>
        <w:t>ection</w:t>
      </w:r>
      <w:r w:rsidR="00D258A9" w:rsidRPr="00515AA2">
        <w:rPr>
          <w:color w:val="000000"/>
          <w:lang w:val="en-CA"/>
        </w:rPr>
        <w:t xml:space="preserve"> 23.2 </w:t>
      </w:r>
      <w:r w:rsidRPr="00515AA2">
        <w:rPr>
          <w:color w:val="000000"/>
          <w:lang w:val="en-CA"/>
        </w:rPr>
        <w:t xml:space="preserve">of the </w:t>
      </w:r>
      <w:r w:rsidR="00D258A9" w:rsidRPr="00515AA2">
        <w:rPr>
          <w:i/>
          <w:iCs/>
          <w:color w:val="000000"/>
          <w:lang w:val="en-CA"/>
        </w:rPr>
        <w:t>R</w:t>
      </w:r>
      <w:r w:rsidRPr="00515AA2">
        <w:rPr>
          <w:i/>
          <w:iCs/>
          <w:color w:val="000000"/>
          <w:lang w:val="en-CA"/>
        </w:rPr>
        <w:t>egulation</w:t>
      </w:r>
      <w:r w:rsidR="00D258A9" w:rsidRPr="00515AA2">
        <w:rPr>
          <w:color w:val="000000"/>
          <w:lang w:val="en-CA"/>
        </w:rPr>
        <w:t xml:space="preserve"> </w:t>
      </w:r>
      <w:r w:rsidR="00F05F72" w:rsidRPr="00515AA2">
        <w:rPr>
          <w:color w:val="000000"/>
          <w:lang w:val="en-CA"/>
        </w:rPr>
        <w:t>creates a</w:t>
      </w:r>
      <w:r w:rsidR="00D258A9" w:rsidRPr="00515AA2">
        <w:rPr>
          <w:color w:val="000000"/>
          <w:lang w:val="en-CA"/>
        </w:rPr>
        <w:t xml:space="preserve"> distinction </w:t>
      </w:r>
      <w:r w:rsidR="00F05F72" w:rsidRPr="00515AA2">
        <w:rPr>
          <w:color w:val="000000"/>
          <w:lang w:val="en-CA"/>
        </w:rPr>
        <w:t>based on age</w:t>
      </w:r>
      <w:r w:rsidR="00D258A9" w:rsidRPr="00515AA2">
        <w:rPr>
          <w:color w:val="000000"/>
          <w:lang w:val="en-CA"/>
        </w:rPr>
        <w:t xml:space="preserve">, </w:t>
      </w:r>
      <w:r w:rsidR="00E60A9F" w:rsidRPr="00515AA2">
        <w:rPr>
          <w:color w:val="000000"/>
          <w:lang w:val="en-CA"/>
        </w:rPr>
        <w:t>a finding with which</w:t>
      </w:r>
      <w:r w:rsidR="00F05F72" w:rsidRPr="00515AA2">
        <w:rPr>
          <w:color w:val="000000"/>
          <w:lang w:val="en-CA"/>
        </w:rPr>
        <w:t xml:space="preserve"> I agree</w:t>
      </w:r>
      <w:r w:rsidR="00D258A9" w:rsidRPr="00515AA2">
        <w:rPr>
          <w:color w:val="000000"/>
          <w:lang w:val="en-CA"/>
        </w:rPr>
        <w:t xml:space="preserve">, </w:t>
      </w:r>
      <w:r w:rsidR="00F05F72" w:rsidRPr="00515AA2">
        <w:rPr>
          <w:color w:val="000000"/>
          <w:lang w:val="en-CA"/>
        </w:rPr>
        <w:t>b</w:t>
      </w:r>
      <w:r w:rsidR="00E60A9F" w:rsidRPr="00515AA2">
        <w:rPr>
          <w:color w:val="000000"/>
          <w:lang w:val="en-CA"/>
        </w:rPr>
        <w:t>ut</w:t>
      </w:r>
      <w:r w:rsidR="00F05F72" w:rsidRPr="00515AA2">
        <w:rPr>
          <w:color w:val="000000"/>
          <w:lang w:val="en-CA"/>
        </w:rPr>
        <w:t xml:space="preserve"> they reject the </w:t>
      </w:r>
      <w:r w:rsidR="00D43380" w:rsidRPr="00515AA2">
        <w:rPr>
          <w:color w:val="000000"/>
          <w:lang w:val="en-CA"/>
        </w:rPr>
        <w:t xml:space="preserve">argument </w:t>
      </w:r>
      <w:r w:rsidR="00F05F72" w:rsidRPr="00515AA2">
        <w:rPr>
          <w:color w:val="000000"/>
          <w:lang w:val="en-CA"/>
        </w:rPr>
        <w:t xml:space="preserve">that the distinction is also based on </w:t>
      </w:r>
      <w:r w:rsidR="00F51D1E" w:rsidRPr="00515AA2">
        <w:rPr>
          <w:color w:val="000000"/>
          <w:lang w:val="en-CA"/>
        </w:rPr>
        <w:t>gender identity</w:t>
      </w:r>
      <w:r w:rsidR="00D258A9" w:rsidRPr="00515AA2">
        <w:rPr>
          <w:color w:val="000000"/>
          <w:lang w:val="en-CA"/>
        </w:rPr>
        <w:t xml:space="preserve">. </w:t>
      </w:r>
      <w:r w:rsidR="00F05F72" w:rsidRPr="00515AA2">
        <w:rPr>
          <w:color w:val="000000"/>
          <w:lang w:val="en-CA"/>
        </w:rPr>
        <w:t xml:space="preserve">They explain that subjecting the change of designation of sex to certain conditions, even though they </w:t>
      </w:r>
      <w:r w:rsidR="00E60A9F" w:rsidRPr="00515AA2">
        <w:rPr>
          <w:color w:val="000000"/>
          <w:lang w:val="en-CA"/>
        </w:rPr>
        <w:t xml:space="preserve">apply </w:t>
      </w:r>
      <w:r w:rsidR="00F05F72" w:rsidRPr="00515AA2">
        <w:rPr>
          <w:color w:val="000000"/>
          <w:lang w:val="en-CA"/>
        </w:rPr>
        <w:t xml:space="preserve">only to transgender and non-binary </w:t>
      </w:r>
      <w:bookmarkStart w:id="81" w:name="_Hlk160364095"/>
      <w:r w:rsidR="0077483C" w:rsidRPr="00515AA2">
        <w:rPr>
          <w:color w:val="000000"/>
          <w:lang w:val="en-CA"/>
        </w:rPr>
        <w:t>persons</w:t>
      </w:r>
      <w:bookmarkEnd w:id="81"/>
      <w:r w:rsidR="00F05F72" w:rsidRPr="00515AA2">
        <w:rPr>
          <w:color w:val="000000"/>
          <w:lang w:val="en-CA"/>
        </w:rPr>
        <w:t xml:space="preserve">, is not </w:t>
      </w:r>
      <w:r w:rsidR="00F05F72" w:rsidRPr="00515AA2">
        <w:rPr>
          <w:i/>
          <w:iCs/>
          <w:color w:val="000000"/>
          <w:lang w:val="en-CA"/>
        </w:rPr>
        <w:t>per se</w:t>
      </w:r>
      <w:r w:rsidR="00F05F72" w:rsidRPr="00515AA2">
        <w:rPr>
          <w:color w:val="000000"/>
          <w:lang w:val="en-CA"/>
        </w:rPr>
        <w:t xml:space="preserve"> disc</w:t>
      </w:r>
      <w:r w:rsidR="00F51D1E" w:rsidRPr="00515AA2">
        <w:rPr>
          <w:color w:val="000000"/>
          <w:lang w:val="en-CA"/>
        </w:rPr>
        <w:t>r</w:t>
      </w:r>
      <w:r w:rsidR="00F05F72" w:rsidRPr="00515AA2">
        <w:rPr>
          <w:color w:val="000000"/>
          <w:lang w:val="en-CA"/>
        </w:rPr>
        <w:t>iminatory</w:t>
      </w:r>
      <w:r w:rsidR="00D258A9" w:rsidRPr="00515AA2">
        <w:rPr>
          <w:color w:val="000000"/>
          <w:lang w:val="en-CA"/>
        </w:rPr>
        <w:t xml:space="preserve">. </w:t>
      </w:r>
      <w:r w:rsidR="00F51D1E" w:rsidRPr="00515AA2">
        <w:rPr>
          <w:color w:val="000000"/>
          <w:lang w:val="en-CA"/>
        </w:rPr>
        <w:t>In their opinion</w:t>
      </w:r>
      <w:r w:rsidR="00D258A9" w:rsidRPr="00515AA2">
        <w:rPr>
          <w:color w:val="000000"/>
          <w:lang w:val="en-CA"/>
        </w:rPr>
        <w:t xml:space="preserve">, </w:t>
      </w:r>
      <w:r w:rsidR="00F51D1E" w:rsidRPr="00515AA2">
        <w:rPr>
          <w:color w:val="000000"/>
          <w:lang w:val="en-CA"/>
        </w:rPr>
        <w:t>the</w:t>
      </w:r>
      <w:r w:rsidR="00D258A9" w:rsidRPr="00515AA2">
        <w:rPr>
          <w:color w:val="000000"/>
          <w:lang w:val="en-CA"/>
        </w:rPr>
        <w:t xml:space="preserve"> </w:t>
      </w:r>
      <w:r w:rsidR="00D258A9" w:rsidRPr="00515AA2">
        <w:rPr>
          <w:i/>
          <w:iCs/>
          <w:color w:val="000000"/>
          <w:lang w:val="en-CA"/>
        </w:rPr>
        <w:t>R</w:t>
      </w:r>
      <w:r w:rsidR="00F51D1E" w:rsidRPr="00515AA2">
        <w:rPr>
          <w:i/>
          <w:iCs/>
          <w:color w:val="000000"/>
          <w:lang w:val="en-CA"/>
        </w:rPr>
        <w:t>egulation</w:t>
      </w:r>
      <w:r w:rsidR="00D258A9" w:rsidRPr="00515AA2">
        <w:rPr>
          <w:color w:val="000000"/>
          <w:lang w:val="en-CA"/>
        </w:rPr>
        <w:t xml:space="preserve"> </w:t>
      </w:r>
      <w:r w:rsidR="00F51D1E" w:rsidRPr="00515AA2">
        <w:rPr>
          <w:color w:val="000000"/>
          <w:lang w:val="en-CA"/>
        </w:rPr>
        <w:t xml:space="preserve">does not </w:t>
      </w:r>
      <w:r w:rsidR="00202E09" w:rsidRPr="00515AA2">
        <w:rPr>
          <w:color w:val="000000"/>
          <w:lang w:val="en-CA"/>
        </w:rPr>
        <w:t xml:space="preserve">thereby </w:t>
      </w:r>
      <w:r w:rsidR="00F51D1E" w:rsidRPr="00515AA2">
        <w:rPr>
          <w:color w:val="000000"/>
          <w:lang w:val="en-CA"/>
        </w:rPr>
        <w:t xml:space="preserve">create a distinction with cisgender </w:t>
      </w:r>
      <w:r w:rsidR="0077483C" w:rsidRPr="00515AA2">
        <w:rPr>
          <w:color w:val="000000"/>
          <w:lang w:val="en-CA"/>
        </w:rPr>
        <w:t>persons</w:t>
      </w:r>
      <w:r w:rsidR="00E60A9F" w:rsidRPr="00515AA2">
        <w:rPr>
          <w:color w:val="000000"/>
          <w:lang w:val="en-CA"/>
        </w:rPr>
        <w:t>,</w:t>
      </w:r>
      <w:r w:rsidR="00F51D1E" w:rsidRPr="00515AA2">
        <w:rPr>
          <w:color w:val="000000"/>
          <w:lang w:val="en-CA"/>
        </w:rPr>
        <w:t xml:space="preserve"> since it does not impose more stringent conditions </w:t>
      </w:r>
      <w:r w:rsidR="0077483C" w:rsidRPr="00515AA2">
        <w:rPr>
          <w:color w:val="000000"/>
          <w:lang w:val="en-CA"/>
        </w:rPr>
        <w:t xml:space="preserve">on transgender and non-binary persons </w:t>
      </w:r>
      <w:r w:rsidR="00F51D1E" w:rsidRPr="00515AA2">
        <w:rPr>
          <w:color w:val="000000"/>
          <w:lang w:val="en-CA"/>
        </w:rPr>
        <w:t xml:space="preserve">than those that apply to cisgender </w:t>
      </w:r>
      <w:r w:rsidR="0077483C" w:rsidRPr="00515AA2">
        <w:rPr>
          <w:color w:val="000000"/>
          <w:lang w:val="en-CA"/>
        </w:rPr>
        <w:t>persons</w:t>
      </w:r>
      <w:r w:rsidR="00D258A9" w:rsidRPr="00515AA2">
        <w:rPr>
          <w:color w:val="000000"/>
          <w:lang w:val="en-CA"/>
        </w:rPr>
        <w:t xml:space="preserve">. </w:t>
      </w:r>
      <w:r w:rsidRPr="00515AA2">
        <w:rPr>
          <w:color w:val="000000"/>
          <w:lang w:val="en-CA"/>
        </w:rPr>
        <w:t>I disagree</w:t>
      </w:r>
      <w:r w:rsidR="00D258A9" w:rsidRPr="00515AA2">
        <w:rPr>
          <w:color w:val="000000"/>
          <w:lang w:val="en-CA"/>
        </w:rPr>
        <w:t>.</w:t>
      </w:r>
    </w:p>
    <w:p w14:paraId="039A8F88" w14:textId="4E47A0D7" w:rsidR="00D258A9" w:rsidRPr="00515AA2" w:rsidRDefault="00F51D1E" w:rsidP="00F846E3">
      <w:pPr>
        <w:pStyle w:val="Paragraphe"/>
        <w:spacing w:line="280" w:lineRule="exact"/>
        <w:rPr>
          <w:color w:val="000000"/>
          <w:lang w:val="en-CA"/>
        </w:rPr>
      </w:pPr>
      <w:r w:rsidRPr="00515AA2">
        <w:rPr>
          <w:color w:val="000000"/>
          <w:lang w:val="en-CA"/>
        </w:rPr>
        <w:t>In my view</w:t>
      </w:r>
      <w:r w:rsidR="00D258A9" w:rsidRPr="00515AA2">
        <w:rPr>
          <w:color w:val="000000"/>
          <w:lang w:val="en-CA"/>
        </w:rPr>
        <w:t xml:space="preserve">, </w:t>
      </w:r>
      <w:r w:rsidRPr="00515AA2">
        <w:rPr>
          <w:color w:val="000000"/>
          <w:lang w:val="en-CA"/>
        </w:rPr>
        <w:t>what is at stake in the present case goes beyond the</w:t>
      </w:r>
      <w:r w:rsidR="00E60A9F" w:rsidRPr="00515AA2">
        <w:rPr>
          <w:color w:val="000000"/>
          <w:lang w:val="en-CA"/>
        </w:rPr>
        <w:t xml:space="preserve"> sole </w:t>
      </w:r>
      <w:r w:rsidRPr="00515AA2">
        <w:rPr>
          <w:color w:val="000000"/>
          <w:lang w:val="en-CA"/>
        </w:rPr>
        <w:t>issue of discrimination on the basis of age</w:t>
      </w:r>
      <w:r w:rsidR="00D258A9" w:rsidRPr="00515AA2">
        <w:rPr>
          <w:color w:val="000000"/>
          <w:lang w:val="en-CA"/>
        </w:rPr>
        <w:t>.</w:t>
      </w:r>
    </w:p>
    <w:p w14:paraId="5B810C00" w14:textId="27DF0746" w:rsidR="00D258A9" w:rsidRPr="00515AA2" w:rsidRDefault="00E60A9F" w:rsidP="00F846E3">
      <w:pPr>
        <w:pStyle w:val="Paragraphe"/>
        <w:spacing w:line="280" w:lineRule="exact"/>
        <w:rPr>
          <w:color w:val="000000"/>
          <w:lang w:val="en-CA"/>
        </w:rPr>
      </w:pPr>
      <w:r w:rsidRPr="00515AA2">
        <w:rPr>
          <w:color w:val="000000"/>
          <w:lang w:val="en-CA"/>
        </w:rPr>
        <w:t>T</w:t>
      </w:r>
      <w:r w:rsidR="0012762C" w:rsidRPr="00515AA2">
        <w:rPr>
          <w:color w:val="000000"/>
          <w:lang w:val="en-CA"/>
        </w:rPr>
        <w:t>he impugned provision’s effect</w:t>
      </w:r>
      <w:r w:rsidRPr="00515AA2">
        <w:rPr>
          <w:color w:val="000000"/>
          <w:lang w:val="en-CA"/>
        </w:rPr>
        <w:t>,</w:t>
      </w:r>
      <w:r w:rsidR="0012762C" w:rsidRPr="00515AA2">
        <w:rPr>
          <w:color w:val="000000"/>
          <w:lang w:val="en-CA"/>
        </w:rPr>
        <w:t xml:space="preserve"> in light of the specific needs of the</w:t>
      </w:r>
      <w:r w:rsidR="003C667F" w:rsidRPr="00515AA2">
        <w:rPr>
          <w:color w:val="000000"/>
          <w:lang w:val="en-CA"/>
        </w:rPr>
        <w:t xml:space="preserve"> protected groups</w:t>
      </w:r>
      <w:r w:rsidRPr="00515AA2">
        <w:rPr>
          <w:color w:val="000000"/>
          <w:lang w:val="en-CA"/>
        </w:rPr>
        <w:t>, must also be considered</w:t>
      </w:r>
      <w:r w:rsidR="0012762C" w:rsidRPr="00515AA2">
        <w:rPr>
          <w:color w:val="000000"/>
          <w:lang w:val="en-CA"/>
        </w:rPr>
        <w:t>.</w:t>
      </w:r>
      <w:r w:rsidR="00D258A9" w:rsidRPr="00515AA2">
        <w:rPr>
          <w:color w:val="000000"/>
          <w:vertAlign w:val="superscript"/>
          <w:lang w:val="en-CA"/>
        </w:rPr>
        <w:footnoteReference w:id="138"/>
      </w:r>
      <w:r w:rsidR="00D258A9" w:rsidRPr="00515AA2">
        <w:rPr>
          <w:color w:val="000000"/>
          <w:lang w:val="en-CA"/>
        </w:rPr>
        <w:t xml:space="preserve"> </w:t>
      </w:r>
      <w:r w:rsidR="0012762C" w:rsidRPr="00515AA2">
        <w:rPr>
          <w:color w:val="000000"/>
          <w:lang w:val="en-CA"/>
        </w:rPr>
        <w:t xml:space="preserve">The Supreme Court recognizes that </w:t>
      </w:r>
      <w:r w:rsidR="003C667F" w:rsidRPr="00515AA2">
        <w:rPr>
          <w:color w:val="000000"/>
          <w:lang w:val="en-CA"/>
        </w:rPr>
        <w:t xml:space="preserve">identical or facially neutral treatment can be discriminatory because </w:t>
      </w:r>
      <w:r w:rsidR="009E0722" w:rsidRPr="00515AA2">
        <w:rPr>
          <w:color w:val="000000"/>
          <w:lang w:val="en-CA"/>
        </w:rPr>
        <w:t>it</w:t>
      </w:r>
      <w:r w:rsidR="003C667F" w:rsidRPr="00515AA2">
        <w:rPr>
          <w:color w:val="000000"/>
          <w:lang w:val="en-CA"/>
        </w:rPr>
        <w:t xml:space="preserve"> fail</w:t>
      </w:r>
      <w:r w:rsidR="009E0722" w:rsidRPr="00515AA2">
        <w:rPr>
          <w:color w:val="000000"/>
          <w:lang w:val="en-CA"/>
        </w:rPr>
        <w:t>s</w:t>
      </w:r>
      <w:r w:rsidR="003C667F" w:rsidRPr="00515AA2">
        <w:rPr>
          <w:color w:val="000000"/>
          <w:lang w:val="en-CA"/>
        </w:rPr>
        <w:t xml:space="preserve"> to </w:t>
      </w:r>
      <w:r w:rsidR="0012762C" w:rsidRPr="00515AA2">
        <w:rPr>
          <w:color w:val="000000"/>
          <w:lang w:val="en-CA"/>
        </w:rPr>
        <w:t>take into account “the true characteristics of [a] group which act as headwinds to the enjoyment of society’s benefits</w:t>
      </w:r>
      <w:r w:rsidR="003C667F" w:rsidRPr="00515AA2">
        <w:rPr>
          <w:color w:val="000000"/>
          <w:lang w:val="en-CA"/>
        </w:rPr>
        <w:t>.”</w:t>
      </w:r>
      <w:bookmarkStart w:id="82" w:name="_Ref157173483"/>
      <w:r w:rsidR="00D258A9" w:rsidRPr="00515AA2">
        <w:rPr>
          <w:color w:val="000000"/>
          <w:vertAlign w:val="superscript"/>
          <w:lang w:val="en-CA"/>
        </w:rPr>
        <w:footnoteReference w:id="139"/>
      </w:r>
      <w:bookmarkEnd w:id="82"/>
    </w:p>
    <w:p w14:paraId="00B653AA" w14:textId="759403FC" w:rsidR="00D258A9" w:rsidRPr="00515AA2" w:rsidRDefault="00A839DB" w:rsidP="00F846E3">
      <w:pPr>
        <w:pStyle w:val="Paragraphe"/>
        <w:spacing w:line="280" w:lineRule="exact"/>
        <w:rPr>
          <w:color w:val="000000"/>
          <w:lang w:val="en-CA"/>
        </w:rPr>
      </w:pPr>
      <w:r w:rsidRPr="00515AA2">
        <w:rPr>
          <w:color w:val="000000"/>
          <w:lang w:val="en-CA"/>
        </w:rPr>
        <w:t>To begin with, I find</w:t>
      </w:r>
      <w:r w:rsidR="00B77230" w:rsidRPr="00515AA2">
        <w:rPr>
          <w:color w:val="000000"/>
          <w:lang w:val="en-CA"/>
        </w:rPr>
        <w:t xml:space="preserve"> that transgender and non-binary </w:t>
      </w:r>
      <w:r w:rsidR="00535CC2" w:rsidRPr="00515AA2">
        <w:rPr>
          <w:color w:val="000000"/>
          <w:lang w:val="en-CA"/>
        </w:rPr>
        <w:t>persons</w:t>
      </w:r>
      <w:r w:rsidR="00B77230" w:rsidRPr="00515AA2">
        <w:rPr>
          <w:color w:val="000000"/>
          <w:lang w:val="en-CA"/>
        </w:rPr>
        <w:t xml:space="preserve"> are a protected group</w:t>
      </w:r>
      <w:r w:rsidR="00D258A9" w:rsidRPr="00515AA2">
        <w:rPr>
          <w:color w:val="000000"/>
          <w:lang w:val="en-CA"/>
        </w:rPr>
        <w:t xml:space="preserve">. </w:t>
      </w:r>
      <w:r w:rsidR="00E60A9F" w:rsidRPr="00515AA2">
        <w:rPr>
          <w:color w:val="000000"/>
          <w:lang w:val="en-CA"/>
        </w:rPr>
        <w:t>G</w:t>
      </w:r>
      <w:r w:rsidR="00B77230" w:rsidRPr="00515AA2">
        <w:rPr>
          <w:color w:val="000000"/>
          <w:lang w:val="en-CA"/>
        </w:rPr>
        <w:t xml:space="preserve">ender identity is </w:t>
      </w:r>
      <w:r w:rsidR="00E60A9F" w:rsidRPr="00515AA2">
        <w:rPr>
          <w:color w:val="000000"/>
          <w:lang w:val="en-CA"/>
        </w:rPr>
        <w:t>not listed</w:t>
      </w:r>
      <w:r w:rsidR="00B77230" w:rsidRPr="00515AA2">
        <w:rPr>
          <w:color w:val="000000"/>
          <w:lang w:val="en-CA"/>
        </w:rPr>
        <w:t xml:space="preserve"> in </w:t>
      </w:r>
      <w:bookmarkStart w:id="83" w:name="_Hlk160362197"/>
      <w:r w:rsidR="00202E09" w:rsidRPr="00515AA2">
        <w:rPr>
          <w:color w:val="000000"/>
          <w:lang w:val="en-CA"/>
        </w:rPr>
        <w:t>section</w:t>
      </w:r>
      <w:bookmarkEnd w:id="83"/>
      <w:r w:rsidR="00D258A9" w:rsidRPr="00515AA2">
        <w:rPr>
          <w:color w:val="000000"/>
          <w:lang w:val="en-CA"/>
        </w:rPr>
        <w:t xml:space="preserve"> 15 </w:t>
      </w:r>
      <w:r w:rsidR="00B77230" w:rsidRPr="00515AA2">
        <w:rPr>
          <w:color w:val="000000"/>
          <w:lang w:val="en-CA"/>
        </w:rPr>
        <w:t>of the</w:t>
      </w:r>
      <w:r w:rsidR="00D258A9" w:rsidRPr="00515AA2">
        <w:rPr>
          <w:color w:val="000000"/>
          <w:lang w:val="en-CA"/>
        </w:rPr>
        <w:t xml:space="preserve"> </w:t>
      </w:r>
      <w:r w:rsidR="00B77230" w:rsidRPr="00515AA2">
        <w:rPr>
          <w:i/>
          <w:iCs/>
          <w:color w:val="000000"/>
          <w:lang w:val="en-CA"/>
        </w:rPr>
        <w:t>Canadian Charter</w:t>
      </w:r>
      <w:r w:rsidR="00D258A9" w:rsidRPr="00515AA2">
        <w:rPr>
          <w:color w:val="000000"/>
          <w:lang w:val="en-CA"/>
        </w:rPr>
        <w:t xml:space="preserve">. </w:t>
      </w:r>
      <w:r w:rsidR="00B77230" w:rsidRPr="00515AA2">
        <w:rPr>
          <w:color w:val="000000"/>
          <w:lang w:val="en-CA"/>
        </w:rPr>
        <w:t xml:space="preserve">However, </w:t>
      </w:r>
      <w:r w:rsidRPr="00515AA2">
        <w:rPr>
          <w:color w:val="000000"/>
          <w:lang w:val="en-CA"/>
        </w:rPr>
        <w:t>under the test</w:t>
      </w:r>
      <w:r w:rsidR="00B77230" w:rsidRPr="00515AA2">
        <w:rPr>
          <w:color w:val="000000"/>
          <w:lang w:val="en-CA"/>
        </w:rPr>
        <w:t xml:space="preserve"> </w:t>
      </w:r>
      <w:r w:rsidRPr="00515AA2">
        <w:rPr>
          <w:color w:val="000000"/>
          <w:lang w:val="en-CA"/>
        </w:rPr>
        <w:t>articulated</w:t>
      </w:r>
      <w:r w:rsidR="00B77230" w:rsidRPr="00515AA2">
        <w:rPr>
          <w:color w:val="000000"/>
          <w:lang w:val="en-CA"/>
        </w:rPr>
        <w:t xml:space="preserve"> by the Supreme Court in </w:t>
      </w:r>
      <w:r w:rsidR="00D258A9" w:rsidRPr="00515AA2">
        <w:rPr>
          <w:i/>
          <w:iCs/>
          <w:color w:val="000000"/>
          <w:lang w:val="en-CA"/>
        </w:rPr>
        <w:t>Corbiere</w:t>
      </w:r>
      <w:r w:rsidR="008E1D79" w:rsidRPr="00515AA2">
        <w:rPr>
          <w:color w:val="000000"/>
          <w:lang w:val="en-CA"/>
        </w:rPr>
        <w:t>,</w:t>
      </w:r>
      <w:r w:rsidR="00D258A9" w:rsidRPr="00515AA2">
        <w:rPr>
          <w:color w:val="000000"/>
          <w:vertAlign w:val="superscript"/>
          <w:lang w:val="en-CA"/>
        </w:rPr>
        <w:footnoteReference w:id="140"/>
      </w:r>
      <w:r w:rsidR="00D258A9" w:rsidRPr="00515AA2">
        <w:rPr>
          <w:color w:val="000000"/>
          <w:lang w:val="en-CA"/>
        </w:rPr>
        <w:t xml:space="preserve"> </w:t>
      </w:r>
      <w:r w:rsidR="00B77230" w:rsidRPr="00515AA2">
        <w:rPr>
          <w:color w:val="000000"/>
          <w:lang w:val="en-CA"/>
        </w:rPr>
        <w:t xml:space="preserve">gender identity is </w:t>
      </w:r>
      <w:r w:rsidR="00323598" w:rsidRPr="00515AA2">
        <w:rPr>
          <w:color w:val="000000"/>
          <w:lang w:val="en-CA"/>
        </w:rPr>
        <w:t>analogous to the grounds enumerated in that section</w:t>
      </w:r>
      <w:r w:rsidR="00B77230" w:rsidRPr="00515AA2">
        <w:rPr>
          <w:color w:val="000000"/>
          <w:lang w:val="en-CA"/>
        </w:rPr>
        <w:t xml:space="preserve"> </w:t>
      </w:r>
      <w:r w:rsidR="00D43380" w:rsidRPr="00515AA2">
        <w:rPr>
          <w:color w:val="000000"/>
          <w:lang w:val="en-CA"/>
        </w:rPr>
        <w:t>in</w:t>
      </w:r>
      <w:r w:rsidR="00D258A9" w:rsidRPr="00515AA2">
        <w:rPr>
          <w:color w:val="000000"/>
          <w:lang w:val="en-CA"/>
        </w:rPr>
        <w:t xml:space="preserve"> </w:t>
      </w:r>
      <w:r w:rsidR="00B77230" w:rsidRPr="00515AA2">
        <w:rPr>
          <w:color w:val="000000"/>
          <w:lang w:val="en-CA"/>
        </w:rPr>
        <w:t>that it is a personal characteristic “that is immutable or changeable only at unacceptable cost to personal identity.”</w:t>
      </w:r>
      <w:r w:rsidR="00D258A9" w:rsidRPr="00515AA2">
        <w:rPr>
          <w:color w:val="000000"/>
          <w:vertAlign w:val="superscript"/>
          <w:lang w:val="en-CA"/>
        </w:rPr>
        <w:footnoteReference w:id="141"/>
      </w:r>
      <w:r w:rsidR="00B77230" w:rsidRPr="00515AA2">
        <w:rPr>
          <w:color w:val="000000"/>
          <w:lang w:val="en-CA"/>
        </w:rPr>
        <w:t xml:space="preserve"> The witnesses heard at trial were unanimous</w:t>
      </w:r>
      <w:r w:rsidR="00D258A9" w:rsidRPr="00515AA2">
        <w:rPr>
          <w:color w:val="000000"/>
          <w:vertAlign w:val="superscript"/>
          <w:lang w:val="en-CA"/>
        </w:rPr>
        <w:footnoteReference w:id="142"/>
      </w:r>
      <w:r w:rsidR="00D258A9" w:rsidRPr="00515AA2">
        <w:rPr>
          <w:color w:val="000000"/>
          <w:lang w:val="en-CA"/>
        </w:rPr>
        <w:t xml:space="preserve"> </w:t>
      </w:r>
      <w:r w:rsidR="00B77230" w:rsidRPr="00515AA2">
        <w:rPr>
          <w:color w:val="000000"/>
          <w:lang w:val="en-CA"/>
        </w:rPr>
        <w:t xml:space="preserve">and the trial judge </w:t>
      </w:r>
      <w:r w:rsidR="00E60A9F" w:rsidRPr="00515AA2">
        <w:rPr>
          <w:color w:val="000000"/>
          <w:lang w:val="en-CA"/>
        </w:rPr>
        <w:t>reached</w:t>
      </w:r>
      <w:r w:rsidRPr="00515AA2">
        <w:rPr>
          <w:color w:val="000000"/>
          <w:lang w:val="en-CA"/>
        </w:rPr>
        <w:t xml:space="preserve"> </w:t>
      </w:r>
      <w:r w:rsidR="00B77230" w:rsidRPr="00515AA2">
        <w:rPr>
          <w:color w:val="000000"/>
          <w:lang w:val="en-CA"/>
        </w:rPr>
        <w:t>that conclusion</w:t>
      </w:r>
      <w:r w:rsidRPr="00515AA2">
        <w:rPr>
          <w:color w:val="000000"/>
          <w:lang w:val="en-CA"/>
        </w:rPr>
        <w:t>,</w:t>
      </w:r>
      <w:r w:rsidR="00D258A9" w:rsidRPr="00515AA2">
        <w:rPr>
          <w:color w:val="000000"/>
          <w:vertAlign w:val="superscript"/>
          <w:lang w:val="en-CA"/>
        </w:rPr>
        <w:footnoteReference w:id="143"/>
      </w:r>
      <w:r w:rsidRPr="00515AA2">
        <w:rPr>
          <w:color w:val="000000"/>
          <w:lang w:val="en-CA"/>
        </w:rPr>
        <w:t xml:space="preserve"> </w:t>
      </w:r>
      <w:r w:rsidR="00323598" w:rsidRPr="00515AA2">
        <w:rPr>
          <w:color w:val="000000"/>
          <w:lang w:val="en-CA"/>
        </w:rPr>
        <w:lastRenderedPageBreak/>
        <w:t>which should be adopted here</w:t>
      </w:r>
      <w:r w:rsidR="00D258A9" w:rsidRPr="00515AA2">
        <w:rPr>
          <w:color w:val="000000"/>
          <w:lang w:val="en-CA"/>
        </w:rPr>
        <w:t xml:space="preserve">. </w:t>
      </w:r>
      <w:r w:rsidRPr="00515AA2">
        <w:rPr>
          <w:color w:val="000000"/>
          <w:lang w:val="en-CA"/>
        </w:rPr>
        <w:t>As for the</w:t>
      </w:r>
      <w:r w:rsidR="00D258A9" w:rsidRPr="00515AA2">
        <w:rPr>
          <w:color w:val="000000"/>
          <w:lang w:val="en-CA"/>
        </w:rPr>
        <w:t xml:space="preserve"> </w:t>
      </w:r>
      <w:r w:rsidRPr="00515AA2">
        <w:rPr>
          <w:i/>
          <w:iCs/>
          <w:color w:val="000000"/>
          <w:lang w:val="en-CA"/>
        </w:rPr>
        <w:t>Quebec Charter</w:t>
      </w:r>
      <w:r w:rsidR="00D258A9" w:rsidRPr="00515AA2">
        <w:rPr>
          <w:i/>
          <w:iCs/>
          <w:color w:val="000000"/>
          <w:lang w:val="en-CA"/>
        </w:rPr>
        <w:t xml:space="preserve">, </w:t>
      </w:r>
      <w:r w:rsidRPr="00515AA2">
        <w:rPr>
          <w:color w:val="000000"/>
          <w:lang w:val="en-CA"/>
        </w:rPr>
        <w:t xml:space="preserve">gender identity is one of the grounds of discrimination expressly prohibited by </w:t>
      </w:r>
      <w:r w:rsidR="00202E09" w:rsidRPr="00515AA2">
        <w:rPr>
          <w:color w:val="000000"/>
          <w:lang w:val="en-CA"/>
        </w:rPr>
        <w:t>section</w:t>
      </w:r>
      <w:r w:rsidR="00D258A9" w:rsidRPr="00515AA2">
        <w:rPr>
          <w:color w:val="000000"/>
          <w:lang w:val="en-CA"/>
        </w:rPr>
        <w:t> 10.</w:t>
      </w:r>
    </w:p>
    <w:p w14:paraId="6DB4574E" w14:textId="5E89AC81" w:rsidR="00D258A9" w:rsidRPr="00515AA2" w:rsidRDefault="00323598" w:rsidP="00F846E3">
      <w:pPr>
        <w:pStyle w:val="Paragraphe"/>
        <w:spacing w:line="280" w:lineRule="exact"/>
        <w:rPr>
          <w:color w:val="000000"/>
          <w:lang w:val="en-CA"/>
        </w:rPr>
      </w:pPr>
      <w:r w:rsidRPr="00515AA2">
        <w:rPr>
          <w:color w:val="000000"/>
          <w:lang w:val="en-CA"/>
        </w:rPr>
        <w:t xml:space="preserve">The </w:t>
      </w:r>
      <w:r w:rsidR="00D258A9" w:rsidRPr="00515AA2">
        <w:rPr>
          <w:i/>
          <w:iCs/>
          <w:color w:val="000000"/>
          <w:lang w:val="en-CA"/>
        </w:rPr>
        <w:t>R</w:t>
      </w:r>
      <w:r w:rsidRPr="00515AA2">
        <w:rPr>
          <w:i/>
          <w:iCs/>
          <w:color w:val="000000"/>
          <w:lang w:val="en-CA"/>
        </w:rPr>
        <w:t>egulation</w:t>
      </w:r>
      <w:r w:rsidR="00D258A9" w:rsidRPr="00515AA2">
        <w:rPr>
          <w:color w:val="000000"/>
          <w:lang w:val="en-CA"/>
        </w:rPr>
        <w:t xml:space="preserve"> </w:t>
      </w:r>
      <w:r w:rsidRPr="00515AA2">
        <w:rPr>
          <w:color w:val="000000"/>
          <w:lang w:val="en-CA"/>
        </w:rPr>
        <w:t xml:space="preserve">is, </w:t>
      </w:r>
      <w:r w:rsidR="000B0719" w:rsidRPr="00515AA2">
        <w:rPr>
          <w:color w:val="000000"/>
          <w:lang w:val="en-CA"/>
        </w:rPr>
        <w:t>on its face</w:t>
      </w:r>
      <w:r w:rsidRPr="00515AA2">
        <w:rPr>
          <w:color w:val="000000"/>
          <w:lang w:val="en-CA"/>
        </w:rPr>
        <w:t xml:space="preserve">, </w:t>
      </w:r>
      <w:r w:rsidR="00E60A9F" w:rsidRPr="00515AA2">
        <w:rPr>
          <w:color w:val="000000"/>
          <w:lang w:val="en-CA"/>
        </w:rPr>
        <w:t xml:space="preserve">a </w:t>
      </w:r>
      <w:r w:rsidRPr="00515AA2">
        <w:rPr>
          <w:color w:val="000000"/>
          <w:lang w:val="en-CA"/>
        </w:rPr>
        <w:t xml:space="preserve">“neutral” </w:t>
      </w:r>
      <w:r w:rsidR="000B0719" w:rsidRPr="00515AA2">
        <w:rPr>
          <w:color w:val="000000"/>
          <w:lang w:val="en-CA"/>
        </w:rPr>
        <w:t>legislat</w:t>
      </w:r>
      <w:r w:rsidR="00E60A9F" w:rsidRPr="00515AA2">
        <w:rPr>
          <w:color w:val="000000"/>
          <w:lang w:val="en-CA"/>
        </w:rPr>
        <w:t>ive measure</w:t>
      </w:r>
      <w:r w:rsidR="00D258A9" w:rsidRPr="00515AA2">
        <w:rPr>
          <w:color w:val="000000"/>
          <w:lang w:val="en-CA"/>
        </w:rPr>
        <w:t>. </w:t>
      </w:r>
      <w:r w:rsidRPr="00515AA2">
        <w:rPr>
          <w:color w:val="000000"/>
          <w:lang w:val="en-CA"/>
        </w:rPr>
        <w:t xml:space="preserve">It does not expressly distinguish transgender or non-binary </w:t>
      </w:r>
      <w:r w:rsidR="00535CC2" w:rsidRPr="00515AA2">
        <w:rPr>
          <w:color w:val="000000"/>
          <w:lang w:val="en-CA"/>
        </w:rPr>
        <w:t>persons</w:t>
      </w:r>
      <w:r w:rsidRPr="00515AA2">
        <w:rPr>
          <w:color w:val="000000"/>
          <w:lang w:val="en-CA"/>
        </w:rPr>
        <w:t xml:space="preserve"> </w:t>
      </w:r>
      <w:r w:rsidR="000B0719" w:rsidRPr="00515AA2">
        <w:rPr>
          <w:color w:val="000000"/>
          <w:lang w:val="en-CA"/>
        </w:rPr>
        <w:t>from</w:t>
      </w:r>
      <w:r w:rsidRPr="00515AA2">
        <w:rPr>
          <w:color w:val="000000"/>
          <w:lang w:val="en-CA"/>
        </w:rPr>
        <w:t xml:space="preserve"> cisgender </w:t>
      </w:r>
      <w:r w:rsidR="00535CC2" w:rsidRPr="00515AA2">
        <w:rPr>
          <w:color w:val="000000"/>
          <w:lang w:val="en-CA"/>
        </w:rPr>
        <w:t>persons</w:t>
      </w:r>
      <w:r w:rsidRPr="00515AA2">
        <w:rPr>
          <w:color w:val="000000"/>
          <w:lang w:val="en-CA"/>
        </w:rPr>
        <w:t xml:space="preserve">, but it does </w:t>
      </w:r>
      <w:r w:rsidR="000B0719" w:rsidRPr="00515AA2">
        <w:rPr>
          <w:color w:val="000000"/>
          <w:lang w:val="en-CA"/>
        </w:rPr>
        <w:t>not</w:t>
      </w:r>
      <w:r w:rsidRPr="00515AA2">
        <w:rPr>
          <w:color w:val="000000"/>
          <w:lang w:val="en-CA"/>
        </w:rPr>
        <w:t xml:space="preserve"> have to do so</w:t>
      </w:r>
      <w:r w:rsidR="00D258A9" w:rsidRPr="00515AA2">
        <w:rPr>
          <w:color w:val="000000"/>
          <w:lang w:val="en-CA"/>
        </w:rPr>
        <w:t xml:space="preserve">. </w:t>
      </w:r>
      <w:r w:rsidR="000B0719" w:rsidRPr="00515AA2">
        <w:rPr>
          <w:color w:val="000000"/>
          <w:lang w:val="en-CA"/>
        </w:rPr>
        <w:t xml:space="preserve">The section dealing with the change of </w:t>
      </w:r>
      <w:r w:rsidR="001C6566" w:rsidRPr="00515AA2">
        <w:rPr>
          <w:color w:val="000000"/>
          <w:lang w:val="en-CA"/>
        </w:rPr>
        <w:t>the designation of sex</w:t>
      </w:r>
      <w:r w:rsidR="00D258A9" w:rsidRPr="00515AA2">
        <w:rPr>
          <w:color w:val="000000"/>
          <w:lang w:val="en-CA"/>
        </w:rPr>
        <w:t xml:space="preserve"> </w:t>
      </w:r>
      <w:r w:rsidR="001C6566" w:rsidRPr="00515AA2">
        <w:rPr>
          <w:color w:val="000000"/>
          <w:lang w:val="en-CA"/>
        </w:rPr>
        <w:t>can apply only to those who want to change the designation of sex that appears in their documents of civil status.</w:t>
      </w:r>
      <w:r w:rsidR="00D258A9" w:rsidRPr="00515AA2">
        <w:rPr>
          <w:color w:val="000000"/>
          <w:lang w:val="en-CA"/>
        </w:rPr>
        <w:t xml:space="preserve"> </w:t>
      </w:r>
      <w:r w:rsidR="00DB47E3" w:rsidRPr="00515AA2">
        <w:rPr>
          <w:color w:val="000000"/>
          <w:lang w:val="en-CA"/>
        </w:rPr>
        <w:t>As a practical matter</w:t>
      </w:r>
      <w:r w:rsidR="001C6566" w:rsidRPr="00515AA2">
        <w:rPr>
          <w:color w:val="000000"/>
          <w:lang w:val="en-CA"/>
        </w:rPr>
        <w:t xml:space="preserve">, the </w:t>
      </w:r>
      <w:r w:rsidR="001C6566" w:rsidRPr="00515AA2">
        <w:rPr>
          <w:i/>
          <w:iCs/>
          <w:color w:val="000000"/>
          <w:lang w:val="en-CA"/>
        </w:rPr>
        <w:t>Regulation</w:t>
      </w:r>
      <w:r w:rsidR="001C6566" w:rsidRPr="00515AA2">
        <w:rPr>
          <w:color w:val="000000"/>
          <w:lang w:val="en-CA"/>
        </w:rPr>
        <w:t xml:space="preserve"> applies </w:t>
      </w:r>
      <w:r w:rsidR="00E60A9F" w:rsidRPr="00515AA2">
        <w:rPr>
          <w:i/>
          <w:iCs/>
          <w:color w:val="000000"/>
          <w:lang w:val="en-CA"/>
        </w:rPr>
        <w:t>in fact</w:t>
      </w:r>
      <w:r w:rsidR="00E60A9F" w:rsidRPr="00515AA2">
        <w:rPr>
          <w:color w:val="000000"/>
          <w:lang w:val="en-CA"/>
        </w:rPr>
        <w:t xml:space="preserve"> </w:t>
      </w:r>
      <w:r w:rsidR="001C6566" w:rsidRPr="00515AA2">
        <w:rPr>
          <w:color w:val="000000"/>
          <w:lang w:val="en-CA"/>
        </w:rPr>
        <w:t xml:space="preserve">only to transgender or non-binary </w:t>
      </w:r>
      <w:r w:rsidR="00535CC2" w:rsidRPr="00515AA2">
        <w:rPr>
          <w:color w:val="000000"/>
          <w:lang w:val="en-CA"/>
        </w:rPr>
        <w:t>persons</w:t>
      </w:r>
      <w:r w:rsidR="001C6566" w:rsidRPr="00515AA2">
        <w:rPr>
          <w:color w:val="000000"/>
          <w:lang w:val="en-CA"/>
        </w:rPr>
        <w:t xml:space="preserve"> who consider that the change is essential to their</w:t>
      </w:r>
      <w:r w:rsidR="00D258A9" w:rsidRPr="00515AA2">
        <w:rPr>
          <w:color w:val="000000"/>
          <w:lang w:val="en-CA"/>
        </w:rPr>
        <w:t xml:space="preserve"> </w:t>
      </w:r>
      <w:r w:rsidR="001C6566" w:rsidRPr="00515AA2">
        <w:rPr>
          <w:color w:val="000000"/>
          <w:lang w:val="en-CA"/>
        </w:rPr>
        <w:t>full participation in society</w:t>
      </w:r>
      <w:r w:rsidR="00D258A9" w:rsidRPr="00515AA2">
        <w:rPr>
          <w:i/>
          <w:iCs/>
          <w:color w:val="000000"/>
          <w:lang w:val="en-CA"/>
        </w:rPr>
        <w:t>.</w:t>
      </w:r>
    </w:p>
    <w:p w14:paraId="3A862E2B" w14:textId="79158725" w:rsidR="00D258A9" w:rsidRPr="00515AA2" w:rsidRDefault="0072569F" w:rsidP="00F846E3">
      <w:pPr>
        <w:pStyle w:val="Paragraphe"/>
        <w:spacing w:line="280" w:lineRule="exact"/>
        <w:rPr>
          <w:color w:val="000000"/>
          <w:lang w:val="en-CA"/>
        </w:rPr>
      </w:pPr>
      <w:r w:rsidRPr="00515AA2">
        <w:rPr>
          <w:color w:val="000000"/>
          <w:lang w:val="en-CA"/>
        </w:rPr>
        <w:t>Considered in their historical context, a</w:t>
      </w:r>
      <w:r w:rsidR="00D258A9" w:rsidRPr="00515AA2">
        <w:rPr>
          <w:color w:val="000000"/>
          <w:lang w:val="en-CA"/>
        </w:rPr>
        <w:t>rt</w:t>
      </w:r>
      <w:r w:rsidR="009D7AD2" w:rsidRPr="00515AA2">
        <w:rPr>
          <w:color w:val="000000"/>
          <w:lang w:val="en-CA"/>
        </w:rPr>
        <w:t>icle</w:t>
      </w:r>
      <w:r w:rsidR="00D258A9" w:rsidRPr="00515AA2">
        <w:rPr>
          <w:color w:val="000000"/>
          <w:lang w:val="en-CA"/>
        </w:rPr>
        <w:t xml:space="preserve"> 71 </w:t>
      </w:r>
      <w:r w:rsidR="00D258A9" w:rsidRPr="00515AA2">
        <w:rPr>
          <w:i/>
          <w:iCs/>
          <w:color w:val="000000"/>
          <w:lang w:val="en-CA"/>
        </w:rPr>
        <w:t>C.</w:t>
      </w:r>
      <w:r w:rsidR="00DB47E3" w:rsidRPr="00515AA2">
        <w:rPr>
          <w:i/>
          <w:iCs/>
          <w:color w:val="000000"/>
          <w:lang w:val="en-CA"/>
        </w:rPr>
        <w:t>C</w:t>
      </w:r>
      <w:r w:rsidR="00D258A9" w:rsidRPr="00515AA2">
        <w:rPr>
          <w:i/>
          <w:iCs/>
          <w:color w:val="000000"/>
          <w:lang w:val="en-CA"/>
        </w:rPr>
        <w:t>.Q.,</w:t>
      </w:r>
      <w:r w:rsidR="00D258A9" w:rsidRPr="00515AA2">
        <w:rPr>
          <w:color w:val="000000"/>
          <w:lang w:val="en-CA"/>
        </w:rPr>
        <w:t xml:space="preserve"> </w:t>
      </w:r>
      <w:r w:rsidR="00DB47E3" w:rsidRPr="00515AA2">
        <w:rPr>
          <w:color w:val="000000"/>
          <w:lang w:val="en-CA"/>
        </w:rPr>
        <w:t>as well as the</w:t>
      </w:r>
      <w:r w:rsidR="00D258A9" w:rsidRPr="00515AA2">
        <w:rPr>
          <w:color w:val="000000"/>
          <w:lang w:val="en-CA"/>
        </w:rPr>
        <w:t xml:space="preserve"> </w:t>
      </w:r>
      <w:r w:rsidR="00D258A9" w:rsidRPr="00515AA2">
        <w:rPr>
          <w:i/>
          <w:iCs/>
          <w:color w:val="000000"/>
          <w:lang w:val="en-CA"/>
        </w:rPr>
        <w:t>R</w:t>
      </w:r>
      <w:r w:rsidR="00DB47E3" w:rsidRPr="00515AA2">
        <w:rPr>
          <w:i/>
          <w:iCs/>
          <w:color w:val="000000"/>
          <w:lang w:val="en-CA"/>
        </w:rPr>
        <w:t>egulation</w:t>
      </w:r>
      <w:r w:rsidR="00D258A9" w:rsidRPr="00515AA2">
        <w:rPr>
          <w:color w:val="000000"/>
          <w:lang w:val="en-CA"/>
        </w:rPr>
        <w:t xml:space="preserve">, </w:t>
      </w:r>
      <w:r w:rsidR="00DB47E3" w:rsidRPr="00515AA2">
        <w:rPr>
          <w:color w:val="000000"/>
          <w:lang w:val="en-CA"/>
        </w:rPr>
        <w:t xml:space="preserve">were </w:t>
      </w:r>
      <w:r w:rsidRPr="00515AA2">
        <w:rPr>
          <w:color w:val="000000"/>
          <w:lang w:val="en-CA"/>
        </w:rPr>
        <w:t>intended</w:t>
      </w:r>
      <w:r w:rsidR="00DB47E3" w:rsidRPr="00515AA2">
        <w:rPr>
          <w:color w:val="000000"/>
          <w:lang w:val="en-CA"/>
        </w:rPr>
        <w:t xml:space="preserve"> </w:t>
      </w:r>
      <w:r w:rsidRPr="00515AA2">
        <w:rPr>
          <w:color w:val="000000"/>
          <w:lang w:val="en-CA"/>
        </w:rPr>
        <w:t>to allow</w:t>
      </w:r>
      <w:r w:rsidR="00DB47E3" w:rsidRPr="00515AA2">
        <w:rPr>
          <w:color w:val="000000"/>
          <w:lang w:val="en-CA"/>
        </w:rPr>
        <w:t xml:space="preserve"> transgender or non-binary </w:t>
      </w:r>
      <w:r w:rsidR="00535CC2" w:rsidRPr="00515AA2">
        <w:rPr>
          <w:color w:val="000000"/>
          <w:lang w:val="en-CA"/>
        </w:rPr>
        <w:t>persons</w:t>
      </w:r>
      <w:r w:rsidR="00DB47E3" w:rsidRPr="00515AA2">
        <w:rPr>
          <w:color w:val="000000"/>
          <w:lang w:val="en-CA"/>
        </w:rPr>
        <w:t xml:space="preserve"> to change the designation of sex in their civil status documents and </w:t>
      </w:r>
      <w:r w:rsidR="00A4611A" w:rsidRPr="00515AA2">
        <w:rPr>
          <w:color w:val="000000"/>
          <w:lang w:val="en-CA"/>
        </w:rPr>
        <w:t>thus</w:t>
      </w:r>
      <w:r w:rsidR="00DB47E3" w:rsidRPr="00515AA2">
        <w:rPr>
          <w:color w:val="000000"/>
          <w:lang w:val="en-CA"/>
        </w:rPr>
        <w:t xml:space="preserve"> represented an important </w:t>
      </w:r>
      <w:r w:rsidRPr="00515AA2">
        <w:rPr>
          <w:color w:val="000000"/>
          <w:lang w:val="en-CA"/>
        </w:rPr>
        <w:t>advance</w:t>
      </w:r>
      <w:r w:rsidR="00DB47E3" w:rsidRPr="00515AA2">
        <w:rPr>
          <w:color w:val="000000"/>
          <w:lang w:val="en-CA"/>
        </w:rPr>
        <w:t xml:space="preserve"> in reducing the difficulties experienced by that group</w:t>
      </w:r>
      <w:r w:rsidR="00D258A9" w:rsidRPr="00515AA2">
        <w:rPr>
          <w:color w:val="000000"/>
          <w:lang w:val="en-CA"/>
        </w:rPr>
        <w:t xml:space="preserve">. </w:t>
      </w:r>
      <w:r w:rsidRPr="00515AA2">
        <w:rPr>
          <w:color w:val="000000"/>
          <w:lang w:val="en-CA"/>
        </w:rPr>
        <w:t xml:space="preserve">However, </w:t>
      </w:r>
      <w:r w:rsidR="00202E09" w:rsidRPr="00515AA2">
        <w:rPr>
          <w:color w:val="000000"/>
          <w:lang w:val="en-CA"/>
        </w:rPr>
        <w:t>section</w:t>
      </w:r>
      <w:r w:rsidR="00D258A9" w:rsidRPr="00515AA2">
        <w:rPr>
          <w:color w:val="000000"/>
          <w:lang w:val="en-CA"/>
        </w:rPr>
        <w:t> 23.2 </w:t>
      </w:r>
      <w:r w:rsidR="00DB47E3" w:rsidRPr="00515AA2">
        <w:rPr>
          <w:color w:val="000000"/>
          <w:lang w:val="en-CA"/>
        </w:rPr>
        <w:t>of the</w:t>
      </w:r>
      <w:r w:rsidR="00D258A9" w:rsidRPr="00515AA2">
        <w:rPr>
          <w:color w:val="000000"/>
          <w:lang w:val="en-CA"/>
        </w:rPr>
        <w:t xml:space="preserve"> </w:t>
      </w:r>
      <w:r w:rsidR="00D258A9" w:rsidRPr="00515AA2">
        <w:rPr>
          <w:i/>
          <w:iCs/>
          <w:color w:val="000000"/>
          <w:lang w:val="en-CA"/>
        </w:rPr>
        <w:t>R</w:t>
      </w:r>
      <w:r w:rsidR="00DB47E3" w:rsidRPr="00515AA2">
        <w:rPr>
          <w:i/>
          <w:iCs/>
          <w:color w:val="000000"/>
          <w:lang w:val="en-CA"/>
        </w:rPr>
        <w:t>egulation</w:t>
      </w:r>
      <w:r w:rsidR="00D258A9" w:rsidRPr="00515AA2">
        <w:rPr>
          <w:i/>
          <w:iCs/>
          <w:color w:val="000000"/>
          <w:lang w:val="en-CA"/>
        </w:rPr>
        <w:t xml:space="preserve"> </w:t>
      </w:r>
      <w:r w:rsidR="00D258A9" w:rsidRPr="00515AA2">
        <w:rPr>
          <w:color w:val="000000"/>
          <w:lang w:val="en-CA"/>
        </w:rPr>
        <w:t>impose</w:t>
      </w:r>
      <w:r w:rsidR="00DB47E3" w:rsidRPr="00515AA2">
        <w:rPr>
          <w:color w:val="000000"/>
          <w:lang w:val="en-CA"/>
        </w:rPr>
        <w:t>s</w:t>
      </w:r>
      <w:r w:rsidR="00D258A9" w:rsidRPr="00515AA2">
        <w:rPr>
          <w:color w:val="000000"/>
          <w:lang w:val="en-CA"/>
        </w:rPr>
        <w:t xml:space="preserve"> conditions </w:t>
      </w:r>
      <w:r w:rsidR="00DB47E3" w:rsidRPr="00515AA2">
        <w:rPr>
          <w:color w:val="000000"/>
          <w:lang w:val="en-CA"/>
        </w:rPr>
        <w:t>that</w:t>
      </w:r>
      <w:r w:rsidRPr="00515AA2">
        <w:rPr>
          <w:color w:val="000000"/>
          <w:lang w:val="en-CA"/>
        </w:rPr>
        <w:t xml:space="preserve"> effectively</w:t>
      </w:r>
      <w:r w:rsidR="00DB47E3" w:rsidRPr="00515AA2">
        <w:rPr>
          <w:color w:val="000000"/>
          <w:lang w:val="en-CA"/>
        </w:rPr>
        <w:t xml:space="preserve"> limit that right</w:t>
      </w:r>
      <w:r w:rsidR="00D258A9" w:rsidRPr="00515AA2">
        <w:rPr>
          <w:color w:val="000000"/>
          <w:lang w:val="en-CA"/>
        </w:rPr>
        <w:t xml:space="preserve">. </w:t>
      </w:r>
      <w:r w:rsidRPr="00515AA2">
        <w:rPr>
          <w:color w:val="000000"/>
          <w:lang w:val="en-CA"/>
        </w:rPr>
        <w:t xml:space="preserve">The </w:t>
      </w:r>
      <w:r w:rsidR="00CF5213" w:rsidRPr="00515AA2">
        <w:rPr>
          <w:color w:val="000000"/>
          <w:lang w:val="en-CA"/>
        </w:rPr>
        <w:t xml:space="preserve">respondents </w:t>
      </w:r>
      <w:r w:rsidRPr="00515AA2">
        <w:rPr>
          <w:color w:val="000000"/>
          <w:lang w:val="en-CA"/>
        </w:rPr>
        <w:t>submit that those conditions are too onerous</w:t>
      </w:r>
      <w:r w:rsidR="00D258A9" w:rsidRPr="00515AA2">
        <w:rPr>
          <w:color w:val="000000"/>
          <w:lang w:val="en-CA"/>
        </w:rPr>
        <w:t>.</w:t>
      </w:r>
    </w:p>
    <w:p w14:paraId="48A5FD1D" w14:textId="1D6AC987" w:rsidR="00D258A9" w:rsidRPr="00515AA2" w:rsidRDefault="00361F88" w:rsidP="00F846E3">
      <w:pPr>
        <w:pStyle w:val="Paragraphe"/>
        <w:spacing w:line="280" w:lineRule="exact"/>
        <w:rPr>
          <w:color w:val="000000"/>
          <w:lang w:val="en-CA"/>
        </w:rPr>
      </w:pPr>
      <w:r w:rsidRPr="00515AA2">
        <w:rPr>
          <w:color w:val="000000"/>
          <w:lang w:val="en-CA"/>
        </w:rPr>
        <w:t>The</w:t>
      </w:r>
      <w:r w:rsidR="00D258A9" w:rsidRPr="00515AA2">
        <w:rPr>
          <w:color w:val="000000"/>
          <w:lang w:val="en-CA"/>
        </w:rPr>
        <w:t xml:space="preserve"> </w:t>
      </w:r>
      <w:r w:rsidR="00D258A9" w:rsidRPr="00515AA2">
        <w:rPr>
          <w:i/>
          <w:iCs/>
          <w:color w:val="000000"/>
          <w:lang w:val="en-CA"/>
        </w:rPr>
        <w:t>R</w:t>
      </w:r>
      <w:r w:rsidRPr="00515AA2">
        <w:rPr>
          <w:i/>
          <w:iCs/>
          <w:color w:val="000000"/>
          <w:lang w:val="en-CA"/>
        </w:rPr>
        <w:t>egulation</w:t>
      </w:r>
      <w:r w:rsidR="00D258A9" w:rsidRPr="00515AA2">
        <w:rPr>
          <w:color w:val="000000"/>
          <w:lang w:val="en-CA"/>
        </w:rPr>
        <w:t xml:space="preserve"> </w:t>
      </w:r>
      <w:r w:rsidR="00A4611A" w:rsidRPr="00515AA2">
        <w:rPr>
          <w:color w:val="000000"/>
          <w:lang w:val="en-CA"/>
        </w:rPr>
        <w:t>subject</w:t>
      </w:r>
      <w:r w:rsidRPr="00515AA2">
        <w:rPr>
          <w:color w:val="000000"/>
          <w:lang w:val="en-CA"/>
        </w:rPr>
        <w:t xml:space="preserve">s the right to change the designation of sex to certain conditions that </w:t>
      </w:r>
      <w:r w:rsidR="00202E09" w:rsidRPr="00515AA2">
        <w:rPr>
          <w:color w:val="000000"/>
          <w:lang w:val="en-CA"/>
        </w:rPr>
        <w:t xml:space="preserve">apply only to </w:t>
      </w:r>
      <w:r w:rsidRPr="00515AA2">
        <w:rPr>
          <w:color w:val="000000"/>
          <w:lang w:val="en-CA"/>
        </w:rPr>
        <w:t xml:space="preserve">transgender or non-binary </w:t>
      </w:r>
      <w:r w:rsidR="00535CC2" w:rsidRPr="00515AA2">
        <w:rPr>
          <w:color w:val="000000"/>
          <w:lang w:val="en-CA"/>
        </w:rPr>
        <w:t>persons</w:t>
      </w:r>
      <w:r w:rsidRPr="00515AA2">
        <w:rPr>
          <w:color w:val="000000"/>
          <w:lang w:val="en-CA"/>
        </w:rPr>
        <w:t xml:space="preserve">, and not </w:t>
      </w:r>
      <w:r w:rsidR="00202E09" w:rsidRPr="00515AA2">
        <w:rPr>
          <w:color w:val="000000"/>
          <w:lang w:val="en-CA"/>
        </w:rPr>
        <w:t xml:space="preserve">to </w:t>
      </w:r>
      <w:r w:rsidRPr="00515AA2">
        <w:rPr>
          <w:color w:val="000000"/>
          <w:lang w:val="en-CA"/>
        </w:rPr>
        <w:t xml:space="preserve">cisgender </w:t>
      </w:r>
      <w:r w:rsidR="00535CC2" w:rsidRPr="00515AA2">
        <w:rPr>
          <w:color w:val="000000"/>
          <w:lang w:val="en-CA"/>
        </w:rPr>
        <w:t>persons</w:t>
      </w:r>
      <w:r w:rsidR="00D258A9" w:rsidRPr="00515AA2">
        <w:rPr>
          <w:color w:val="000000"/>
          <w:lang w:val="en-CA"/>
        </w:rPr>
        <w:t xml:space="preserve">. </w:t>
      </w:r>
      <w:r w:rsidRPr="00515AA2">
        <w:rPr>
          <w:color w:val="000000"/>
          <w:lang w:val="en-CA"/>
        </w:rPr>
        <w:t xml:space="preserve">Should those conditions be too onerous, the </w:t>
      </w:r>
      <w:r w:rsidR="00D258A9" w:rsidRPr="00515AA2">
        <w:rPr>
          <w:i/>
          <w:iCs/>
          <w:color w:val="000000"/>
          <w:lang w:val="en-CA"/>
        </w:rPr>
        <w:t>R</w:t>
      </w:r>
      <w:r w:rsidRPr="00515AA2">
        <w:rPr>
          <w:i/>
          <w:iCs/>
          <w:color w:val="000000"/>
          <w:lang w:val="en-CA"/>
        </w:rPr>
        <w:t>egulation</w:t>
      </w:r>
      <w:r w:rsidR="00D258A9" w:rsidRPr="00515AA2">
        <w:rPr>
          <w:color w:val="000000"/>
          <w:lang w:val="en-CA"/>
        </w:rPr>
        <w:t xml:space="preserve"> </w:t>
      </w:r>
      <w:r w:rsidRPr="00515AA2">
        <w:rPr>
          <w:color w:val="000000"/>
          <w:lang w:val="en-CA"/>
        </w:rPr>
        <w:t>creates</w:t>
      </w:r>
      <w:r w:rsidR="00D258A9" w:rsidRPr="00515AA2">
        <w:rPr>
          <w:color w:val="000000"/>
          <w:lang w:val="en-CA"/>
        </w:rPr>
        <w:t xml:space="preserve">, </w:t>
      </w:r>
      <w:r w:rsidRPr="00515AA2">
        <w:rPr>
          <w:color w:val="000000"/>
          <w:lang w:val="en-CA"/>
        </w:rPr>
        <w:t>in fact, a distinction based on a protected ground</w:t>
      </w:r>
      <w:r w:rsidR="00D258A9" w:rsidRPr="00515AA2">
        <w:rPr>
          <w:color w:val="000000"/>
          <w:lang w:val="en-CA"/>
        </w:rPr>
        <w:t xml:space="preserve">. </w:t>
      </w:r>
      <w:r w:rsidRPr="00515AA2">
        <w:rPr>
          <w:color w:val="000000"/>
          <w:lang w:val="en-CA"/>
        </w:rPr>
        <w:t>A</w:t>
      </w:r>
      <w:r w:rsidR="00A4611A" w:rsidRPr="00515AA2">
        <w:rPr>
          <w:color w:val="000000"/>
          <w:lang w:val="en-CA"/>
        </w:rPr>
        <w:t>n a</w:t>
      </w:r>
      <w:r w:rsidRPr="00515AA2">
        <w:rPr>
          <w:color w:val="000000"/>
          <w:lang w:val="en-CA"/>
        </w:rPr>
        <w:t xml:space="preserve">pparently neutral </w:t>
      </w:r>
      <w:r w:rsidR="00A4611A" w:rsidRPr="00515AA2">
        <w:rPr>
          <w:color w:val="000000"/>
          <w:lang w:val="en-CA"/>
        </w:rPr>
        <w:t xml:space="preserve">legislative measure </w:t>
      </w:r>
      <w:r w:rsidR="00D43380" w:rsidRPr="00515AA2">
        <w:rPr>
          <w:color w:val="000000"/>
          <w:lang w:val="en-CA"/>
        </w:rPr>
        <w:t xml:space="preserve">would </w:t>
      </w:r>
      <w:r w:rsidR="00A4611A" w:rsidRPr="00515AA2">
        <w:rPr>
          <w:color w:val="000000"/>
          <w:lang w:val="en-CA"/>
        </w:rPr>
        <w:t>thus</w:t>
      </w:r>
      <w:r w:rsidRPr="00515AA2">
        <w:rPr>
          <w:color w:val="000000"/>
          <w:lang w:val="en-CA"/>
        </w:rPr>
        <w:t xml:space="preserve"> create effects that are not</w:t>
      </w:r>
      <w:r w:rsidR="00D258A9" w:rsidRPr="00515AA2">
        <w:rPr>
          <w:color w:val="000000"/>
          <w:lang w:val="en-CA"/>
        </w:rPr>
        <w:t>.</w:t>
      </w:r>
    </w:p>
    <w:p w14:paraId="22EC250B" w14:textId="43767B26" w:rsidR="00D258A9" w:rsidRPr="00515AA2" w:rsidRDefault="00361F88" w:rsidP="00F846E3">
      <w:pPr>
        <w:pStyle w:val="Paragraphe"/>
        <w:spacing w:line="280" w:lineRule="exact"/>
        <w:rPr>
          <w:color w:val="000000"/>
        </w:rPr>
      </w:pPr>
      <w:r w:rsidRPr="00515AA2">
        <w:rPr>
          <w:color w:val="000000"/>
          <w:lang w:val="en-CA"/>
        </w:rPr>
        <w:t>I</w:t>
      </w:r>
      <w:r w:rsidR="00C96A96" w:rsidRPr="00515AA2">
        <w:rPr>
          <w:color w:val="000000"/>
          <w:lang w:val="en-CA"/>
        </w:rPr>
        <w:t xml:space="preserve"> </w:t>
      </w:r>
      <w:r w:rsidR="00D43380" w:rsidRPr="00515AA2">
        <w:rPr>
          <w:color w:val="000000"/>
          <w:lang w:val="en-CA"/>
        </w:rPr>
        <w:t xml:space="preserve">would make </w:t>
      </w:r>
      <w:r w:rsidR="00C96A96" w:rsidRPr="00515AA2">
        <w:rPr>
          <w:color w:val="000000"/>
          <w:lang w:val="en-CA"/>
        </w:rPr>
        <w:t>an analogy</w:t>
      </w:r>
      <w:r w:rsidRPr="00515AA2">
        <w:rPr>
          <w:color w:val="000000"/>
          <w:lang w:val="en-CA"/>
        </w:rPr>
        <w:t xml:space="preserve"> with </w:t>
      </w:r>
      <w:r w:rsidR="00A4611A" w:rsidRPr="00515AA2">
        <w:rPr>
          <w:color w:val="000000"/>
          <w:lang w:val="en-CA"/>
        </w:rPr>
        <w:t>measures</w:t>
      </w:r>
      <w:r w:rsidRPr="00515AA2">
        <w:rPr>
          <w:color w:val="000000"/>
          <w:lang w:val="en-CA"/>
        </w:rPr>
        <w:t xml:space="preserve"> aimed at accommodating </w:t>
      </w:r>
      <w:r w:rsidR="00535CC2" w:rsidRPr="00515AA2">
        <w:rPr>
          <w:color w:val="000000"/>
          <w:lang w:val="en-CA"/>
        </w:rPr>
        <w:t>persons</w:t>
      </w:r>
      <w:r w:rsidR="00A4611A" w:rsidRPr="00515AA2">
        <w:rPr>
          <w:color w:val="000000"/>
          <w:lang w:val="en-CA"/>
        </w:rPr>
        <w:t xml:space="preserve"> with a </w:t>
      </w:r>
      <w:r w:rsidRPr="00515AA2">
        <w:rPr>
          <w:color w:val="000000"/>
          <w:lang w:val="en-CA"/>
        </w:rPr>
        <w:t>physical</w:t>
      </w:r>
      <w:r w:rsidR="00A4611A" w:rsidRPr="00515AA2">
        <w:rPr>
          <w:color w:val="000000"/>
          <w:lang w:val="en-CA"/>
        </w:rPr>
        <w:t xml:space="preserve"> </w:t>
      </w:r>
      <w:r w:rsidRPr="00515AA2">
        <w:rPr>
          <w:color w:val="000000"/>
          <w:lang w:val="en-CA"/>
        </w:rPr>
        <w:t xml:space="preserve">or mental </w:t>
      </w:r>
      <w:r w:rsidR="00A4611A" w:rsidRPr="00515AA2">
        <w:rPr>
          <w:color w:val="000000"/>
          <w:lang w:val="en-CA"/>
        </w:rPr>
        <w:t>disability</w:t>
      </w:r>
      <w:r w:rsidR="00D258A9" w:rsidRPr="00515AA2">
        <w:rPr>
          <w:color w:val="000000"/>
          <w:lang w:val="en-CA"/>
        </w:rPr>
        <w:t xml:space="preserve">. </w:t>
      </w:r>
      <w:r w:rsidR="00C96A96" w:rsidRPr="00515AA2">
        <w:rPr>
          <w:color w:val="000000"/>
          <w:lang w:val="en-CA"/>
        </w:rPr>
        <w:t xml:space="preserve">The Supreme Court recognizes that </w:t>
      </w:r>
      <w:r w:rsidR="00A4611A" w:rsidRPr="00515AA2">
        <w:rPr>
          <w:color w:val="000000"/>
          <w:lang w:val="en-CA"/>
        </w:rPr>
        <w:t xml:space="preserve">an </w:t>
      </w:r>
      <w:r w:rsidR="00C96A96" w:rsidRPr="00515AA2">
        <w:rPr>
          <w:color w:val="000000"/>
          <w:lang w:val="en-CA"/>
        </w:rPr>
        <w:t xml:space="preserve">apparently neutral </w:t>
      </w:r>
      <w:r w:rsidR="00A4611A" w:rsidRPr="00515AA2">
        <w:rPr>
          <w:color w:val="000000"/>
          <w:lang w:val="en-CA"/>
        </w:rPr>
        <w:t>measure</w:t>
      </w:r>
      <w:r w:rsidR="00C96A96" w:rsidRPr="00515AA2">
        <w:rPr>
          <w:color w:val="000000"/>
          <w:lang w:val="en-CA"/>
        </w:rPr>
        <w:t xml:space="preserve"> can have an adverse effect on that group stemming</w:t>
      </w:r>
      <w:r w:rsidR="00D258A9" w:rsidRPr="00515AA2">
        <w:rPr>
          <w:color w:val="000000"/>
          <w:lang w:val="en-CA"/>
        </w:rPr>
        <w:t xml:space="preserve"> </w:t>
      </w:r>
      <w:r w:rsidR="00C96A96" w:rsidRPr="00515AA2">
        <w:rPr>
          <w:color w:val="000000"/>
          <w:lang w:val="en-CA"/>
        </w:rPr>
        <w:t>“from a failure to ensure that they benefit equally from a service offered to everyone.”</w:t>
      </w:r>
      <w:r w:rsidR="00D258A9" w:rsidRPr="00515AA2">
        <w:rPr>
          <w:color w:val="000000"/>
          <w:vertAlign w:val="superscript"/>
          <w:lang w:val="en-CA"/>
        </w:rPr>
        <w:footnoteReference w:id="144"/>
      </w:r>
      <w:r w:rsidR="00C96A96" w:rsidRPr="00515AA2">
        <w:rPr>
          <w:color w:val="000000"/>
          <w:lang w:val="en-CA"/>
        </w:rPr>
        <w:t xml:space="preserve"> </w:t>
      </w:r>
      <w:r w:rsidR="001D62CB" w:rsidRPr="00515AA2">
        <w:rPr>
          <w:color w:val="000000"/>
          <w:lang w:val="en-CA"/>
        </w:rPr>
        <w:t>It is necessary</w:t>
      </w:r>
      <w:r w:rsidR="00D258A9" w:rsidRPr="00515AA2">
        <w:rPr>
          <w:color w:val="000000"/>
          <w:lang w:val="en-CA"/>
        </w:rPr>
        <w:t xml:space="preserve"> </w:t>
      </w:r>
      <w:r w:rsidR="001D62CB" w:rsidRPr="00515AA2">
        <w:rPr>
          <w:color w:val="000000"/>
          <w:lang w:val="en-CA"/>
        </w:rPr>
        <w:t>“to take into account the true characteristics of this group which act as headwinds to the enjoyment of society’s benefits” and “to accommodate them.”</w:t>
      </w:r>
      <w:r w:rsidR="00D258A9" w:rsidRPr="00515AA2">
        <w:rPr>
          <w:color w:val="000000"/>
          <w:vertAlign w:val="superscript"/>
          <w:lang w:val="en-CA"/>
        </w:rPr>
        <w:footnoteReference w:id="145"/>
      </w:r>
      <w:r w:rsidR="00D258A9" w:rsidRPr="00515AA2">
        <w:rPr>
          <w:color w:val="000000"/>
          <w:lang w:val="en-CA"/>
        </w:rPr>
        <w:t xml:space="preserve"> </w:t>
      </w:r>
      <w:r w:rsidR="001D62CB" w:rsidRPr="00515AA2">
        <w:rPr>
          <w:color w:val="000000"/>
          <w:lang w:val="en-CA"/>
        </w:rPr>
        <w:t xml:space="preserve">The Supreme Court summarizes </w:t>
      </w:r>
      <w:r w:rsidR="00D43380" w:rsidRPr="00515AA2">
        <w:rPr>
          <w:color w:val="000000"/>
          <w:lang w:val="en-CA"/>
        </w:rPr>
        <w:t xml:space="preserve">the situation </w:t>
      </w:r>
      <w:r w:rsidR="001D62CB" w:rsidRPr="00515AA2">
        <w:rPr>
          <w:color w:val="000000"/>
          <w:lang w:val="en-CA"/>
        </w:rPr>
        <w:t>as follows:</w:t>
      </w:r>
      <w:r w:rsidR="00D258A9" w:rsidRPr="00515AA2">
        <w:rPr>
          <w:color w:val="000000"/>
          <w:vertAlign w:val="superscript"/>
        </w:rPr>
        <w:footnoteReference w:id="146"/>
      </w:r>
      <w:r w:rsidR="00D258A9" w:rsidRPr="00515AA2">
        <w:rPr>
          <w:color w:val="000000"/>
        </w:rPr>
        <w:t> </w:t>
      </w:r>
    </w:p>
    <w:p w14:paraId="5855D2DD" w14:textId="7519B1BE" w:rsidR="00D258A9" w:rsidRPr="00515AA2" w:rsidRDefault="0088484C" w:rsidP="00D6502D">
      <w:pPr>
        <w:pStyle w:val="Paragraphedeliste"/>
        <w:spacing w:before="120" w:after="120" w:line="240" w:lineRule="auto"/>
        <w:ind w:left="709" w:right="715"/>
        <w:jc w:val="both"/>
        <w:rPr>
          <w:color w:val="000000"/>
          <w:sz w:val="22"/>
          <w:szCs w:val="22"/>
          <w:lang w:val="en-CA"/>
        </w:rPr>
      </w:pPr>
      <w:r w:rsidRPr="00515AA2">
        <w:rPr>
          <w:color w:val="000000"/>
          <w:sz w:val="22"/>
          <w:szCs w:val="22"/>
          <w:lang w:val="en-CA"/>
        </w:rPr>
        <w:t xml:space="preserve">The other equally important objective seeks to take into account the true characteristics of this group which act as headwinds to the enjoyment of society’s benefits and to accommodate them. Exclusion from the mainstream of society results from the construction of a society based solely on “mainstream” attributes to which disabled persons will never be able to gain access. </w:t>
      </w:r>
      <w:r w:rsidR="00D258A9" w:rsidRPr="00515AA2">
        <w:rPr>
          <w:color w:val="000000"/>
          <w:kern w:val="24"/>
          <w:sz w:val="22"/>
          <w:szCs w:val="22"/>
          <w:lang w:val="en-CA"/>
        </w:rPr>
        <w:t xml:space="preserve">[…] </w:t>
      </w:r>
      <w:r w:rsidRPr="00515AA2">
        <w:rPr>
          <w:color w:val="000000"/>
          <w:sz w:val="22"/>
          <w:szCs w:val="22"/>
          <w:lang w:val="en-CA"/>
        </w:rPr>
        <w:t>The blind person cannot see and the person in a wheelchair needs a ramp. Rather, it is the failure to make reasonable accommodation, to fine-tune society so that its structures and assumptions do not result in the relegation and banishment of disabled persons from participation, which results in discrimination against them.</w:t>
      </w:r>
      <w:r w:rsidR="00D258A9" w:rsidRPr="00515AA2">
        <w:rPr>
          <w:color w:val="000000"/>
          <w:kern w:val="24"/>
          <w:sz w:val="22"/>
          <w:szCs w:val="22"/>
          <w:lang w:val="en-CA"/>
        </w:rPr>
        <w:t xml:space="preserve"> […] </w:t>
      </w:r>
      <w:r w:rsidRPr="00515AA2">
        <w:rPr>
          <w:color w:val="000000"/>
          <w:sz w:val="22"/>
          <w:szCs w:val="22"/>
          <w:lang w:val="en-CA"/>
        </w:rPr>
        <w:t xml:space="preserve">It is recognition </w:t>
      </w:r>
      <w:r w:rsidRPr="00515AA2">
        <w:rPr>
          <w:color w:val="000000"/>
          <w:sz w:val="22"/>
          <w:szCs w:val="22"/>
          <w:lang w:val="en-CA"/>
        </w:rPr>
        <w:lastRenderedPageBreak/>
        <w:t>of the actual characteristics, and reasonable accommodation of these characteristics which is the central purpose of s. 15(1) in relation to disability</w:t>
      </w:r>
      <w:r w:rsidR="00D258A9" w:rsidRPr="00515AA2">
        <w:rPr>
          <w:color w:val="000000"/>
          <w:kern w:val="24"/>
          <w:sz w:val="22"/>
          <w:szCs w:val="22"/>
          <w:lang w:val="en-CA"/>
        </w:rPr>
        <w:t>.</w:t>
      </w:r>
    </w:p>
    <w:p w14:paraId="6F874724" w14:textId="2352EA67" w:rsidR="00D258A9" w:rsidRPr="00515AA2" w:rsidRDefault="002F6047" w:rsidP="00F846E3">
      <w:pPr>
        <w:pStyle w:val="Paragraphe"/>
        <w:spacing w:line="280" w:lineRule="exact"/>
        <w:rPr>
          <w:color w:val="000000"/>
          <w:lang w:val="en-CA"/>
        </w:rPr>
      </w:pPr>
      <w:r w:rsidRPr="00515AA2">
        <w:rPr>
          <w:color w:val="000000"/>
          <w:lang w:val="en-CA"/>
        </w:rPr>
        <w:t xml:space="preserve">In those cases, the starting point of the analysis is the </w:t>
      </w:r>
      <w:r w:rsidR="00D43380" w:rsidRPr="00515AA2">
        <w:rPr>
          <w:color w:val="000000"/>
          <w:lang w:val="en-CA"/>
        </w:rPr>
        <w:t xml:space="preserve">principle </w:t>
      </w:r>
      <w:r w:rsidRPr="00515AA2">
        <w:rPr>
          <w:color w:val="000000"/>
          <w:lang w:val="en-CA"/>
        </w:rPr>
        <w:t xml:space="preserve">that everyone </w:t>
      </w:r>
      <w:r w:rsidR="00D727E4" w:rsidRPr="00515AA2">
        <w:rPr>
          <w:color w:val="000000"/>
          <w:lang w:val="en-CA"/>
        </w:rPr>
        <w:t>is entitled</w:t>
      </w:r>
      <w:r w:rsidRPr="00515AA2">
        <w:rPr>
          <w:color w:val="000000"/>
          <w:lang w:val="en-CA"/>
        </w:rPr>
        <w:t xml:space="preserve"> to access public services</w:t>
      </w:r>
      <w:r w:rsidR="00D258A9" w:rsidRPr="00515AA2">
        <w:rPr>
          <w:color w:val="000000"/>
          <w:lang w:val="en-CA"/>
        </w:rPr>
        <w:t xml:space="preserve">. </w:t>
      </w:r>
      <w:r w:rsidRPr="00515AA2">
        <w:rPr>
          <w:color w:val="000000"/>
          <w:lang w:val="en-CA"/>
        </w:rPr>
        <w:t xml:space="preserve">Persons </w:t>
      </w:r>
      <w:r w:rsidR="00202E09" w:rsidRPr="00515AA2">
        <w:rPr>
          <w:color w:val="000000"/>
          <w:lang w:val="en-CA"/>
        </w:rPr>
        <w:t xml:space="preserve">who </w:t>
      </w:r>
      <w:r w:rsidR="00D727E4" w:rsidRPr="00515AA2">
        <w:rPr>
          <w:color w:val="000000"/>
          <w:lang w:val="en-CA"/>
        </w:rPr>
        <w:t>do not have a</w:t>
      </w:r>
      <w:r w:rsidR="00A4611A" w:rsidRPr="00515AA2">
        <w:rPr>
          <w:color w:val="000000"/>
          <w:lang w:val="en-CA"/>
        </w:rPr>
        <w:t>ny</w:t>
      </w:r>
      <w:r w:rsidR="00D727E4" w:rsidRPr="00515AA2">
        <w:rPr>
          <w:color w:val="000000"/>
          <w:lang w:val="en-CA"/>
        </w:rPr>
        <w:t xml:space="preserve"> </w:t>
      </w:r>
      <w:r w:rsidRPr="00515AA2">
        <w:rPr>
          <w:color w:val="000000"/>
          <w:lang w:val="en-CA"/>
        </w:rPr>
        <w:t>physical</w:t>
      </w:r>
      <w:r w:rsidR="00D727E4" w:rsidRPr="00515AA2">
        <w:rPr>
          <w:color w:val="000000"/>
          <w:lang w:val="en-CA"/>
        </w:rPr>
        <w:t xml:space="preserve"> </w:t>
      </w:r>
      <w:r w:rsidRPr="00515AA2">
        <w:rPr>
          <w:color w:val="000000"/>
          <w:lang w:val="en-CA"/>
        </w:rPr>
        <w:t xml:space="preserve">or mental </w:t>
      </w:r>
      <w:r w:rsidR="00D727E4" w:rsidRPr="00515AA2">
        <w:rPr>
          <w:color w:val="000000"/>
          <w:lang w:val="en-CA"/>
        </w:rPr>
        <w:t>disability</w:t>
      </w:r>
      <w:r w:rsidRPr="00515AA2">
        <w:rPr>
          <w:color w:val="000000"/>
          <w:lang w:val="en-CA"/>
        </w:rPr>
        <w:t xml:space="preserve"> may not require any special </w:t>
      </w:r>
      <w:r w:rsidR="00A4611A" w:rsidRPr="00515AA2">
        <w:rPr>
          <w:color w:val="000000"/>
          <w:lang w:val="en-CA"/>
        </w:rPr>
        <w:t>measure</w:t>
      </w:r>
      <w:r w:rsidRPr="00515AA2">
        <w:rPr>
          <w:color w:val="000000"/>
          <w:lang w:val="en-CA"/>
        </w:rPr>
        <w:t xml:space="preserve"> </w:t>
      </w:r>
      <w:r w:rsidR="00D727E4" w:rsidRPr="00515AA2">
        <w:rPr>
          <w:color w:val="000000"/>
          <w:lang w:val="en-CA"/>
        </w:rPr>
        <w:t>enabling them</w:t>
      </w:r>
      <w:r w:rsidRPr="00515AA2">
        <w:rPr>
          <w:color w:val="000000"/>
          <w:lang w:val="en-CA"/>
        </w:rPr>
        <w:t xml:space="preserve"> to exercise that right, but absent any such </w:t>
      </w:r>
      <w:r w:rsidR="00A4611A" w:rsidRPr="00515AA2">
        <w:rPr>
          <w:color w:val="000000"/>
          <w:lang w:val="en-CA"/>
        </w:rPr>
        <w:t>measure</w:t>
      </w:r>
      <w:r w:rsidRPr="00515AA2">
        <w:rPr>
          <w:color w:val="000000"/>
          <w:lang w:val="en-CA"/>
        </w:rPr>
        <w:t xml:space="preserve">, </w:t>
      </w:r>
      <w:r w:rsidR="00202E09" w:rsidRPr="00515AA2">
        <w:rPr>
          <w:color w:val="000000"/>
          <w:lang w:val="en-CA"/>
        </w:rPr>
        <w:t xml:space="preserve">persons </w:t>
      </w:r>
      <w:r w:rsidR="00A4611A" w:rsidRPr="00515AA2">
        <w:rPr>
          <w:color w:val="000000"/>
          <w:lang w:val="en-CA"/>
        </w:rPr>
        <w:t xml:space="preserve">with a </w:t>
      </w:r>
      <w:r w:rsidRPr="00515AA2">
        <w:rPr>
          <w:color w:val="000000"/>
          <w:lang w:val="en-CA"/>
        </w:rPr>
        <w:t>physical</w:t>
      </w:r>
      <w:r w:rsidR="00A4611A" w:rsidRPr="00515AA2">
        <w:rPr>
          <w:color w:val="000000"/>
          <w:lang w:val="en-CA"/>
        </w:rPr>
        <w:t xml:space="preserve"> </w:t>
      </w:r>
      <w:r w:rsidRPr="00515AA2">
        <w:rPr>
          <w:color w:val="000000"/>
          <w:lang w:val="en-CA"/>
        </w:rPr>
        <w:t>or mental</w:t>
      </w:r>
      <w:r w:rsidR="00A4611A" w:rsidRPr="00515AA2">
        <w:rPr>
          <w:color w:val="000000"/>
          <w:lang w:val="en-CA"/>
        </w:rPr>
        <w:t xml:space="preserve"> disability</w:t>
      </w:r>
      <w:r w:rsidRPr="00515AA2">
        <w:rPr>
          <w:color w:val="000000"/>
          <w:lang w:val="en-CA"/>
        </w:rPr>
        <w:t xml:space="preserve"> cannot</w:t>
      </w:r>
      <w:r w:rsidR="00D727E4" w:rsidRPr="00515AA2">
        <w:rPr>
          <w:color w:val="000000"/>
          <w:lang w:val="en-CA"/>
        </w:rPr>
        <w:t xml:space="preserve"> do so</w:t>
      </w:r>
      <w:r w:rsidR="00D258A9" w:rsidRPr="00515AA2">
        <w:rPr>
          <w:color w:val="000000"/>
          <w:lang w:val="en-CA"/>
        </w:rPr>
        <w:t xml:space="preserve">. </w:t>
      </w:r>
      <w:r w:rsidRPr="00515AA2">
        <w:rPr>
          <w:color w:val="000000"/>
          <w:lang w:val="en-CA"/>
        </w:rPr>
        <w:t xml:space="preserve">Any </w:t>
      </w:r>
      <w:r w:rsidR="00A4611A" w:rsidRPr="00515AA2">
        <w:rPr>
          <w:color w:val="000000"/>
          <w:lang w:val="en-CA"/>
        </w:rPr>
        <w:t>measure</w:t>
      </w:r>
      <w:r w:rsidRPr="00515AA2">
        <w:rPr>
          <w:color w:val="000000"/>
          <w:lang w:val="en-CA"/>
        </w:rPr>
        <w:t xml:space="preserve"> enacted to accommodate them represents an advance, but where such </w:t>
      </w:r>
      <w:r w:rsidR="00A4611A" w:rsidRPr="00515AA2">
        <w:rPr>
          <w:color w:val="000000"/>
          <w:lang w:val="en-CA"/>
        </w:rPr>
        <w:t>measures</w:t>
      </w:r>
      <w:r w:rsidRPr="00515AA2">
        <w:rPr>
          <w:color w:val="000000"/>
          <w:lang w:val="en-CA"/>
        </w:rPr>
        <w:t xml:space="preserve"> do not allow the</w:t>
      </w:r>
      <w:r w:rsidR="00D727E4" w:rsidRPr="00515AA2">
        <w:rPr>
          <w:color w:val="000000"/>
          <w:lang w:val="en-CA"/>
        </w:rPr>
        <w:t>m</w:t>
      </w:r>
      <w:r w:rsidRPr="00515AA2">
        <w:rPr>
          <w:color w:val="000000"/>
          <w:lang w:val="en-CA"/>
        </w:rPr>
        <w:t xml:space="preserve"> to fully participate in society, </w:t>
      </w:r>
      <w:r w:rsidR="00D43380" w:rsidRPr="00515AA2">
        <w:rPr>
          <w:color w:val="000000"/>
          <w:lang w:val="en-CA"/>
        </w:rPr>
        <w:t xml:space="preserve">there may be </w:t>
      </w:r>
      <w:r w:rsidRPr="00515AA2">
        <w:rPr>
          <w:color w:val="000000"/>
          <w:lang w:val="en-CA"/>
        </w:rPr>
        <w:t>discrimination</w:t>
      </w:r>
      <w:r w:rsidR="00D258A9" w:rsidRPr="00515AA2">
        <w:rPr>
          <w:color w:val="000000"/>
          <w:lang w:val="en-CA"/>
        </w:rPr>
        <w:t>.</w:t>
      </w:r>
    </w:p>
    <w:p w14:paraId="33C12EA2" w14:textId="7FD8CF5C" w:rsidR="00D258A9" w:rsidRPr="00515AA2" w:rsidRDefault="00D727E4" w:rsidP="00F846E3">
      <w:pPr>
        <w:pStyle w:val="Paragraphe"/>
        <w:spacing w:line="280" w:lineRule="exact"/>
        <w:rPr>
          <w:color w:val="000000"/>
          <w:lang w:val="en-CA"/>
        </w:rPr>
      </w:pPr>
      <w:r w:rsidRPr="00515AA2">
        <w:rPr>
          <w:color w:val="000000"/>
          <w:lang w:val="en-CA"/>
        </w:rPr>
        <w:t xml:space="preserve">These propositions can be transposed to the situation of transgender or non-binary </w:t>
      </w:r>
      <w:r w:rsidR="00202E09" w:rsidRPr="00515AA2">
        <w:rPr>
          <w:color w:val="000000"/>
          <w:lang w:val="en-CA"/>
        </w:rPr>
        <w:t>persons</w:t>
      </w:r>
      <w:r w:rsidR="00D258A9" w:rsidRPr="00515AA2">
        <w:rPr>
          <w:color w:val="000000"/>
          <w:lang w:val="en-CA"/>
        </w:rPr>
        <w:t xml:space="preserve">. </w:t>
      </w:r>
      <w:r w:rsidRPr="00515AA2">
        <w:rPr>
          <w:color w:val="000000"/>
          <w:lang w:val="en-CA"/>
        </w:rPr>
        <w:t xml:space="preserve">I am in no way suggesting that being transgender or non-binary </w:t>
      </w:r>
      <w:r w:rsidR="00FF6944" w:rsidRPr="00515AA2">
        <w:rPr>
          <w:color w:val="000000"/>
          <w:lang w:val="en-CA"/>
        </w:rPr>
        <w:t>is a physical or mental disability</w:t>
      </w:r>
      <w:r w:rsidR="00D258A9" w:rsidRPr="00515AA2">
        <w:rPr>
          <w:color w:val="000000"/>
          <w:lang w:val="en-CA"/>
        </w:rPr>
        <w:t xml:space="preserve">. </w:t>
      </w:r>
      <w:r w:rsidR="00FF6944" w:rsidRPr="00515AA2">
        <w:rPr>
          <w:color w:val="000000"/>
          <w:lang w:val="en-CA"/>
        </w:rPr>
        <w:t xml:space="preserve">That is </w:t>
      </w:r>
      <w:r w:rsidR="0022437A" w:rsidRPr="00515AA2">
        <w:rPr>
          <w:color w:val="000000"/>
          <w:lang w:val="en-CA"/>
        </w:rPr>
        <w:t>obviously</w:t>
      </w:r>
      <w:r w:rsidR="00FF6944" w:rsidRPr="00515AA2">
        <w:rPr>
          <w:color w:val="000000"/>
          <w:lang w:val="en-CA"/>
        </w:rPr>
        <w:t xml:space="preserve"> not the case</w:t>
      </w:r>
      <w:r w:rsidR="00D258A9" w:rsidRPr="00515AA2">
        <w:rPr>
          <w:color w:val="000000"/>
          <w:lang w:val="en-CA"/>
        </w:rPr>
        <w:t xml:space="preserve">. </w:t>
      </w:r>
      <w:r w:rsidR="00FF6944" w:rsidRPr="00515AA2">
        <w:rPr>
          <w:color w:val="000000"/>
          <w:lang w:val="en-CA"/>
        </w:rPr>
        <w:t xml:space="preserve">But the fact remains that it is difficult for transgender or non-binary </w:t>
      </w:r>
      <w:r w:rsidR="00202E09" w:rsidRPr="00515AA2">
        <w:rPr>
          <w:color w:val="000000"/>
          <w:lang w:val="en-CA"/>
        </w:rPr>
        <w:t xml:space="preserve">persons </w:t>
      </w:r>
      <w:r w:rsidR="00FF6944" w:rsidRPr="00515AA2">
        <w:rPr>
          <w:color w:val="000000"/>
          <w:lang w:val="en-CA"/>
        </w:rPr>
        <w:t xml:space="preserve">to fully participate in society </w:t>
      </w:r>
      <w:r w:rsidR="00CC4886" w:rsidRPr="00515AA2">
        <w:rPr>
          <w:color w:val="000000"/>
          <w:lang w:val="en-CA"/>
        </w:rPr>
        <w:t xml:space="preserve">precisely </w:t>
      </w:r>
      <w:r w:rsidR="00FF6944" w:rsidRPr="00515AA2">
        <w:rPr>
          <w:color w:val="000000"/>
          <w:lang w:val="en-CA"/>
        </w:rPr>
        <w:t>because they are transgender or non-binary</w:t>
      </w:r>
      <w:r w:rsidR="00D258A9" w:rsidRPr="00515AA2">
        <w:rPr>
          <w:color w:val="000000"/>
          <w:lang w:val="en-CA"/>
        </w:rPr>
        <w:t xml:space="preserve">. </w:t>
      </w:r>
      <w:r w:rsidR="00FF6944" w:rsidRPr="00515AA2">
        <w:rPr>
          <w:color w:val="000000"/>
          <w:lang w:val="en-CA"/>
        </w:rPr>
        <w:t xml:space="preserve">In the trial judge’s view, the evidence </w:t>
      </w:r>
      <w:r w:rsidR="00D43380" w:rsidRPr="00515AA2">
        <w:rPr>
          <w:color w:val="000000"/>
          <w:lang w:val="en-CA"/>
        </w:rPr>
        <w:t xml:space="preserve">established </w:t>
      </w:r>
      <w:r w:rsidR="00FF6944" w:rsidRPr="00515AA2">
        <w:rPr>
          <w:color w:val="000000"/>
          <w:lang w:val="en-CA"/>
        </w:rPr>
        <w:t xml:space="preserve">that the inconsistency between civil status documents and true gender identity </w:t>
      </w:r>
      <w:r w:rsidR="00CC4886" w:rsidRPr="00515AA2">
        <w:rPr>
          <w:color w:val="000000"/>
          <w:lang w:val="en-CA"/>
        </w:rPr>
        <w:t>contributes to</w:t>
      </w:r>
      <w:r w:rsidR="00FF6944" w:rsidRPr="00515AA2">
        <w:rPr>
          <w:color w:val="000000"/>
          <w:lang w:val="en-CA"/>
        </w:rPr>
        <w:t xml:space="preserve"> that problem</w:t>
      </w:r>
      <w:r w:rsidR="00D258A9" w:rsidRPr="00515AA2">
        <w:rPr>
          <w:color w:val="000000"/>
          <w:lang w:val="en-CA"/>
        </w:rPr>
        <w:t xml:space="preserve">. </w:t>
      </w:r>
      <w:r w:rsidR="00FF6944" w:rsidRPr="00515AA2">
        <w:rPr>
          <w:color w:val="000000"/>
          <w:lang w:val="en-CA"/>
        </w:rPr>
        <w:t xml:space="preserve">Persons whose documents of civil status </w:t>
      </w:r>
      <w:r w:rsidR="0022437A" w:rsidRPr="00515AA2">
        <w:rPr>
          <w:color w:val="000000"/>
          <w:lang w:val="en-CA"/>
        </w:rPr>
        <w:t xml:space="preserve">do not </w:t>
      </w:r>
      <w:r w:rsidR="00D43380" w:rsidRPr="00515AA2">
        <w:rPr>
          <w:color w:val="000000"/>
          <w:lang w:val="en-CA"/>
        </w:rPr>
        <w:t>match</w:t>
      </w:r>
      <w:r w:rsidR="00FF6944" w:rsidRPr="00515AA2">
        <w:rPr>
          <w:color w:val="000000"/>
          <w:lang w:val="en-CA"/>
        </w:rPr>
        <w:t xml:space="preserve"> their gender identity therefore require special </w:t>
      </w:r>
      <w:r w:rsidR="0022437A" w:rsidRPr="00515AA2">
        <w:rPr>
          <w:color w:val="000000"/>
          <w:lang w:val="en-CA"/>
        </w:rPr>
        <w:t>measures</w:t>
      </w:r>
      <w:r w:rsidR="00FF6944" w:rsidRPr="00515AA2">
        <w:rPr>
          <w:color w:val="000000"/>
          <w:lang w:val="en-CA"/>
        </w:rPr>
        <w:t xml:space="preserve"> allowing them to </w:t>
      </w:r>
      <w:r w:rsidR="00D43380" w:rsidRPr="00515AA2">
        <w:rPr>
          <w:color w:val="000000"/>
          <w:lang w:val="en-CA"/>
        </w:rPr>
        <w:t xml:space="preserve">modify </w:t>
      </w:r>
      <w:r w:rsidR="00FF6944" w:rsidRPr="00515AA2">
        <w:rPr>
          <w:color w:val="000000"/>
          <w:lang w:val="en-CA"/>
        </w:rPr>
        <w:t xml:space="preserve">their documents, whereas </w:t>
      </w:r>
      <w:r w:rsidR="00202E09" w:rsidRPr="00515AA2">
        <w:rPr>
          <w:color w:val="000000"/>
          <w:lang w:val="en-CA"/>
        </w:rPr>
        <w:t xml:space="preserve">persons </w:t>
      </w:r>
      <w:r w:rsidR="00FF6944" w:rsidRPr="00515AA2">
        <w:rPr>
          <w:color w:val="000000"/>
          <w:lang w:val="en-CA"/>
        </w:rPr>
        <w:t>whose civil status documents are consistent with their gender identity</w:t>
      </w:r>
      <w:r w:rsidR="00524B28" w:rsidRPr="00515AA2">
        <w:rPr>
          <w:color w:val="000000"/>
          <w:lang w:val="en-CA"/>
        </w:rPr>
        <w:t xml:space="preserve"> have no need whatsoever for such </w:t>
      </w:r>
      <w:r w:rsidR="0022437A" w:rsidRPr="00515AA2">
        <w:rPr>
          <w:color w:val="000000"/>
          <w:lang w:val="en-CA"/>
        </w:rPr>
        <w:t>measures</w:t>
      </w:r>
      <w:r w:rsidR="00D258A9" w:rsidRPr="00515AA2">
        <w:rPr>
          <w:color w:val="000000"/>
          <w:lang w:val="en-CA"/>
        </w:rPr>
        <w:t xml:space="preserve">. </w:t>
      </w:r>
      <w:r w:rsidR="00524B28" w:rsidRPr="00515AA2">
        <w:rPr>
          <w:color w:val="000000"/>
          <w:lang w:val="en-CA"/>
        </w:rPr>
        <w:t>Article</w:t>
      </w:r>
      <w:r w:rsidR="00D258A9" w:rsidRPr="00515AA2">
        <w:rPr>
          <w:color w:val="000000"/>
          <w:lang w:val="en-CA"/>
        </w:rPr>
        <w:t xml:space="preserve"> 71 </w:t>
      </w:r>
      <w:r w:rsidR="00D258A9" w:rsidRPr="00515AA2">
        <w:rPr>
          <w:i/>
          <w:iCs/>
          <w:color w:val="000000"/>
          <w:lang w:val="en-CA"/>
        </w:rPr>
        <w:t>C.</w:t>
      </w:r>
      <w:r w:rsidR="00524B28" w:rsidRPr="00515AA2">
        <w:rPr>
          <w:i/>
          <w:iCs/>
          <w:color w:val="000000"/>
          <w:lang w:val="en-CA"/>
        </w:rPr>
        <w:t>C.</w:t>
      </w:r>
      <w:r w:rsidR="00D258A9" w:rsidRPr="00515AA2">
        <w:rPr>
          <w:i/>
          <w:iCs/>
          <w:color w:val="000000"/>
          <w:lang w:val="en-CA"/>
        </w:rPr>
        <w:t>Q.</w:t>
      </w:r>
      <w:r w:rsidR="00D258A9" w:rsidRPr="00515AA2">
        <w:rPr>
          <w:color w:val="000000"/>
          <w:lang w:val="en-CA"/>
        </w:rPr>
        <w:t xml:space="preserve"> </w:t>
      </w:r>
      <w:r w:rsidR="00524B28" w:rsidRPr="00515AA2">
        <w:rPr>
          <w:color w:val="000000"/>
          <w:lang w:val="en-CA"/>
        </w:rPr>
        <w:t>and the</w:t>
      </w:r>
      <w:r w:rsidR="00D258A9" w:rsidRPr="00515AA2">
        <w:rPr>
          <w:color w:val="000000"/>
          <w:lang w:val="en-CA"/>
        </w:rPr>
        <w:t xml:space="preserve"> </w:t>
      </w:r>
      <w:r w:rsidR="00D258A9" w:rsidRPr="00515AA2">
        <w:rPr>
          <w:i/>
          <w:iCs/>
          <w:color w:val="000000"/>
          <w:lang w:val="en-CA"/>
        </w:rPr>
        <w:t>R</w:t>
      </w:r>
      <w:r w:rsidR="00524B28" w:rsidRPr="00515AA2">
        <w:rPr>
          <w:i/>
          <w:iCs/>
          <w:color w:val="000000"/>
          <w:lang w:val="en-CA"/>
        </w:rPr>
        <w:t>e</w:t>
      </w:r>
      <w:r w:rsidR="00D258A9" w:rsidRPr="00515AA2">
        <w:rPr>
          <w:i/>
          <w:iCs/>
          <w:color w:val="000000"/>
          <w:lang w:val="en-CA"/>
        </w:rPr>
        <w:t>g</w:t>
      </w:r>
      <w:r w:rsidR="00524B28" w:rsidRPr="00515AA2">
        <w:rPr>
          <w:i/>
          <w:iCs/>
          <w:color w:val="000000"/>
          <w:lang w:val="en-CA"/>
        </w:rPr>
        <w:t xml:space="preserve">ulation </w:t>
      </w:r>
      <w:r w:rsidR="00D258A9" w:rsidRPr="00515AA2">
        <w:rPr>
          <w:color w:val="000000"/>
          <w:lang w:val="en-CA"/>
        </w:rPr>
        <w:t>repr</w:t>
      </w:r>
      <w:r w:rsidR="00524B28" w:rsidRPr="00515AA2">
        <w:rPr>
          <w:color w:val="000000"/>
          <w:lang w:val="en-CA"/>
        </w:rPr>
        <w:t>esent</w:t>
      </w:r>
      <w:r w:rsidR="00D258A9" w:rsidRPr="00515AA2">
        <w:rPr>
          <w:color w:val="000000"/>
          <w:lang w:val="en-CA"/>
        </w:rPr>
        <w:t xml:space="preserve"> </w:t>
      </w:r>
      <w:r w:rsidR="00524B28" w:rsidRPr="00515AA2">
        <w:rPr>
          <w:color w:val="000000"/>
          <w:lang w:val="en-CA"/>
        </w:rPr>
        <w:t>an important advance</w:t>
      </w:r>
      <w:r w:rsidR="00D258A9" w:rsidRPr="00515AA2">
        <w:rPr>
          <w:color w:val="000000"/>
          <w:lang w:val="en-CA"/>
        </w:rPr>
        <w:t xml:space="preserve">, </w:t>
      </w:r>
      <w:r w:rsidR="00524B28" w:rsidRPr="00515AA2">
        <w:rPr>
          <w:color w:val="000000"/>
          <w:lang w:val="en-CA"/>
        </w:rPr>
        <w:t xml:space="preserve">but the conditions imposed by </w:t>
      </w:r>
      <w:r w:rsidR="00202E09" w:rsidRPr="00515AA2">
        <w:rPr>
          <w:color w:val="000000"/>
          <w:lang w:val="en-CA"/>
        </w:rPr>
        <w:t>section</w:t>
      </w:r>
      <w:r w:rsidR="00D258A9" w:rsidRPr="00515AA2">
        <w:rPr>
          <w:color w:val="000000"/>
          <w:lang w:val="en-CA"/>
        </w:rPr>
        <w:t xml:space="preserve"> 23.2 </w:t>
      </w:r>
      <w:r w:rsidR="00524B28" w:rsidRPr="00515AA2">
        <w:rPr>
          <w:color w:val="000000"/>
          <w:lang w:val="en-CA"/>
        </w:rPr>
        <w:t>of the</w:t>
      </w:r>
      <w:r w:rsidR="00D258A9" w:rsidRPr="00515AA2">
        <w:rPr>
          <w:color w:val="000000"/>
          <w:lang w:val="en-CA"/>
        </w:rPr>
        <w:t xml:space="preserve"> </w:t>
      </w:r>
      <w:r w:rsidR="00D258A9" w:rsidRPr="00515AA2">
        <w:rPr>
          <w:i/>
          <w:iCs/>
          <w:color w:val="000000"/>
          <w:lang w:val="en-CA"/>
        </w:rPr>
        <w:t>R</w:t>
      </w:r>
      <w:r w:rsidR="00524B28" w:rsidRPr="00515AA2">
        <w:rPr>
          <w:i/>
          <w:iCs/>
          <w:color w:val="000000"/>
          <w:lang w:val="en-CA"/>
        </w:rPr>
        <w:t>egulation</w:t>
      </w:r>
      <w:r w:rsidR="00D258A9" w:rsidRPr="00515AA2">
        <w:rPr>
          <w:color w:val="000000"/>
          <w:lang w:val="en-CA"/>
        </w:rPr>
        <w:t xml:space="preserve">, </w:t>
      </w:r>
      <w:r w:rsidR="00CC4886" w:rsidRPr="00515AA2">
        <w:rPr>
          <w:color w:val="000000"/>
          <w:lang w:val="en-CA"/>
        </w:rPr>
        <w:t>if</w:t>
      </w:r>
      <w:r w:rsidR="00524B28" w:rsidRPr="00515AA2">
        <w:rPr>
          <w:color w:val="000000"/>
          <w:lang w:val="en-CA"/>
        </w:rPr>
        <w:t xml:space="preserve"> they prevent them from </w:t>
      </w:r>
      <w:r w:rsidR="0022437A" w:rsidRPr="00515AA2">
        <w:rPr>
          <w:color w:val="000000"/>
          <w:lang w:val="en-CA"/>
        </w:rPr>
        <w:t>amending</w:t>
      </w:r>
      <w:r w:rsidR="00524B28" w:rsidRPr="00515AA2">
        <w:rPr>
          <w:color w:val="000000"/>
          <w:lang w:val="en-CA"/>
        </w:rPr>
        <w:t xml:space="preserve"> their documents and fully participat</w:t>
      </w:r>
      <w:r w:rsidR="0022437A" w:rsidRPr="00515AA2">
        <w:rPr>
          <w:color w:val="000000"/>
          <w:lang w:val="en-CA"/>
        </w:rPr>
        <w:t>ing</w:t>
      </w:r>
      <w:r w:rsidR="00524B28" w:rsidRPr="00515AA2">
        <w:rPr>
          <w:color w:val="000000"/>
          <w:lang w:val="en-CA"/>
        </w:rPr>
        <w:t xml:space="preserve"> in society, </w:t>
      </w:r>
      <w:r w:rsidR="00CC4886" w:rsidRPr="00515AA2">
        <w:rPr>
          <w:color w:val="000000"/>
          <w:lang w:val="en-CA"/>
        </w:rPr>
        <w:t>can</w:t>
      </w:r>
      <w:r w:rsidR="00524B28" w:rsidRPr="00515AA2">
        <w:rPr>
          <w:color w:val="000000"/>
          <w:lang w:val="en-CA"/>
        </w:rPr>
        <w:t xml:space="preserve"> </w:t>
      </w:r>
      <w:r w:rsidR="00CC4886" w:rsidRPr="00515AA2">
        <w:rPr>
          <w:color w:val="000000"/>
          <w:lang w:val="en-CA"/>
        </w:rPr>
        <w:t xml:space="preserve">constitute </w:t>
      </w:r>
      <w:r w:rsidR="00524B28" w:rsidRPr="00515AA2">
        <w:rPr>
          <w:color w:val="000000"/>
          <w:lang w:val="en-CA"/>
        </w:rPr>
        <w:t>discrimina</w:t>
      </w:r>
      <w:r w:rsidR="00CC4886" w:rsidRPr="00515AA2">
        <w:rPr>
          <w:color w:val="000000"/>
          <w:lang w:val="en-CA"/>
        </w:rPr>
        <w:t>tion</w:t>
      </w:r>
      <w:r w:rsidR="00524B28" w:rsidRPr="00515AA2">
        <w:rPr>
          <w:color w:val="000000"/>
          <w:lang w:val="en-CA"/>
        </w:rPr>
        <w:t xml:space="preserve"> </w:t>
      </w:r>
      <w:r w:rsidR="00CC4886" w:rsidRPr="00515AA2">
        <w:rPr>
          <w:color w:val="000000"/>
          <w:lang w:val="en-CA"/>
        </w:rPr>
        <w:t>against</w:t>
      </w:r>
      <w:r w:rsidR="00524B28" w:rsidRPr="00515AA2">
        <w:rPr>
          <w:color w:val="000000"/>
          <w:lang w:val="en-CA"/>
        </w:rPr>
        <w:t xml:space="preserve"> transgender or non-binary </w:t>
      </w:r>
      <w:r w:rsidR="00202E09" w:rsidRPr="00515AA2">
        <w:rPr>
          <w:color w:val="000000"/>
          <w:lang w:val="en-CA"/>
        </w:rPr>
        <w:t>persons</w:t>
      </w:r>
      <w:r w:rsidR="00D258A9" w:rsidRPr="00515AA2">
        <w:rPr>
          <w:color w:val="000000"/>
          <w:lang w:val="en-CA"/>
        </w:rPr>
        <w:t>.</w:t>
      </w:r>
    </w:p>
    <w:p w14:paraId="1526CEC0" w14:textId="15D2C1B5" w:rsidR="00D258A9" w:rsidRPr="00515AA2" w:rsidRDefault="00B92DE5" w:rsidP="00F846E3">
      <w:pPr>
        <w:pStyle w:val="Paragraphe"/>
        <w:spacing w:line="280" w:lineRule="exact"/>
        <w:rPr>
          <w:color w:val="000000"/>
          <w:lang w:val="en-CA"/>
        </w:rPr>
      </w:pPr>
      <w:r w:rsidRPr="00515AA2">
        <w:rPr>
          <w:color w:val="000000"/>
          <w:lang w:val="en-CA"/>
        </w:rPr>
        <w:t>Section</w:t>
      </w:r>
      <w:r w:rsidR="00D258A9" w:rsidRPr="00515AA2">
        <w:rPr>
          <w:color w:val="000000"/>
          <w:lang w:val="en-CA"/>
        </w:rPr>
        <w:t xml:space="preserve"> 23.2 </w:t>
      </w:r>
      <w:r w:rsidRPr="00515AA2">
        <w:rPr>
          <w:color w:val="000000"/>
          <w:lang w:val="en-CA"/>
        </w:rPr>
        <w:t>of the</w:t>
      </w:r>
      <w:r w:rsidR="00D258A9" w:rsidRPr="00515AA2">
        <w:rPr>
          <w:color w:val="000000"/>
          <w:lang w:val="en-CA"/>
        </w:rPr>
        <w:t xml:space="preserve"> </w:t>
      </w:r>
      <w:r w:rsidR="00D258A9" w:rsidRPr="00515AA2">
        <w:rPr>
          <w:i/>
          <w:iCs/>
          <w:color w:val="000000"/>
          <w:lang w:val="en-CA"/>
        </w:rPr>
        <w:t>R</w:t>
      </w:r>
      <w:r w:rsidRPr="00515AA2">
        <w:rPr>
          <w:i/>
          <w:iCs/>
          <w:color w:val="000000"/>
          <w:lang w:val="en-CA"/>
        </w:rPr>
        <w:t>egulation</w:t>
      </w:r>
      <w:r w:rsidR="00D258A9" w:rsidRPr="00515AA2">
        <w:rPr>
          <w:i/>
          <w:iCs/>
          <w:color w:val="000000"/>
          <w:lang w:val="en-CA"/>
        </w:rPr>
        <w:t xml:space="preserve"> </w:t>
      </w:r>
      <w:r w:rsidR="006B5776" w:rsidRPr="00515AA2">
        <w:rPr>
          <w:color w:val="000000"/>
          <w:lang w:val="en-CA"/>
        </w:rPr>
        <w:t>also creates a distinction</w:t>
      </w:r>
      <w:r w:rsidR="00D258A9" w:rsidRPr="00515AA2">
        <w:rPr>
          <w:color w:val="000000"/>
          <w:lang w:val="en-CA"/>
        </w:rPr>
        <w:t xml:space="preserve"> </w:t>
      </w:r>
      <w:r w:rsidR="0022437A" w:rsidRPr="00515AA2">
        <w:rPr>
          <w:color w:val="000000"/>
          <w:u w:val="single"/>
          <w:lang w:val="en-CA"/>
        </w:rPr>
        <w:t>among</w:t>
      </w:r>
      <w:r w:rsidR="00D258A9" w:rsidRPr="00515AA2">
        <w:rPr>
          <w:color w:val="000000"/>
          <w:lang w:val="en-CA"/>
        </w:rPr>
        <w:t xml:space="preserve"> </w:t>
      </w:r>
      <w:r w:rsidR="006B5776" w:rsidRPr="00515AA2">
        <w:rPr>
          <w:color w:val="000000"/>
          <w:lang w:val="en-CA"/>
        </w:rPr>
        <w:t xml:space="preserve">transgender or non-binary </w:t>
      </w:r>
      <w:r w:rsidR="00202E09" w:rsidRPr="00515AA2">
        <w:rPr>
          <w:color w:val="000000"/>
          <w:lang w:val="en-CA"/>
        </w:rPr>
        <w:t xml:space="preserve">persons </w:t>
      </w:r>
      <w:r w:rsidR="006B5776" w:rsidRPr="00515AA2">
        <w:rPr>
          <w:color w:val="000000"/>
          <w:lang w:val="en-CA"/>
        </w:rPr>
        <w:t>on the basis of their age</w:t>
      </w:r>
      <w:r w:rsidR="00D258A9" w:rsidRPr="00515AA2">
        <w:rPr>
          <w:color w:val="000000"/>
          <w:lang w:val="en-CA"/>
        </w:rPr>
        <w:t xml:space="preserve">. </w:t>
      </w:r>
      <w:r w:rsidR="006B5776" w:rsidRPr="00515AA2">
        <w:rPr>
          <w:color w:val="000000"/>
          <w:lang w:val="en-CA"/>
        </w:rPr>
        <w:t xml:space="preserve">The legislator enacted a rule for transgender or non-binary </w:t>
      </w:r>
      <w:r w:rsidR="00202E09" w:rsidRPr="00515AA2">
        <w:rPr>
          <w:color w:val="000000"/>
          <w:lang w:val="en-CA"/>
        </w:rPr>
        <w:t xml:space="preserve">persons </w:t>
      </w:r>
      <w:r w:rsidR="006B5776" w:rsidRPr="00515AA2">
        <w:rPr>
          <w:color w:val="000000"/>
          <w:lang w:val="en-CA"/>
        </w:rPr>
        <w:t xml:space="preserve">of full age </w:t>
      </w:r>
      <w:r w:rsidR="00D258A9" w:rsidRPr="00515AA2">
        <w:rPr>
          <w:color w:val="000000"/>
          <w:lang w:val="en-CA"/>
        </w:rPr>
        <w:t xml:space="preserve">– </w:t>
      </w:r>
      <w:r w:rsidR="006B5776" w:rsidRPr="00515AA2">
        <w:rPr>
          <w:color w:val="000000"/>
          <w:lang w:val="en-CA"/>
        </w:rPr>
        <w:t xml:space="preserve">in the first paragraph of </w:t>
      </w:r>
      <w:r w:rsidR="00202E09" w:rsidRPr="00515AA2">
        <w:rPr>
          <w:color w:val="000000"/>
          <w:lang w:val="en-CA"/>
        </w:rPr>
        <w:t>section</w:t>
      </w:r>
      <w:r w:rsidR="00D258A9" w:rsidRPr="00515AA2">
        <w:rPr>
          <w:color w:val="000000"/>
          <w:lang w:val="en-CA"/>
        </w:rPr>
        <w:t xml:space="preserve"> 23.2 – </w:t>
      </w:r>
      <w:r w:rsidR="0022437A" w:rsidRPr="00515AA2">
        <w:rPr>
          <w:color w:val="000000"/>
          <w:lang w:val="en-CA"/>
        </w:rPr>
        <w:t>the</w:t>
      </w:r>
      <w:r w:rsidR="006B5776" w:rsidRPr="00515AA2">
        <w:rPr>
          <w:color w:val="000000"/>
          <w:lang w:val="en-CA"/>
        </w:rPr>
        <w:t xml:space="preserve"> validity </w:t>
      </w:r>
      <w:r w:rsidR="0022437A" w:rsidRPr="00515AA2">
        <w:rPr>
          <w:color w:val="000000"/>
          <w:lang w:val="en-CA"/>
        </w:rPr>
        <w:t xml:space="preserve">of which </w:t>
      </w:r>
      <w:r w:rsidR="006B5776" w:rsidRPr="00515AA2">
        <w:rPr>
          <w:color w:val="000000"/>
          <w:lang w:val="en-CA"/>
        </w:rPr>
        <w:t>is not questioned</w:t>
      </w:r>
      <w:r w:rsidR="00D258A9" w:rsidRPr="00515AA2">
        <w:rPr>
          <w:color w:val="000000"/>
          <w:lang w:val="en-CA"/>
        </w:rPr>
        <w:t xml:space="preserve">. </w:t>
      </w:r>
      <w:r w:rsidR="006B5776" w:rsidRPr="00515AA2">
        <w:rPr>
          <w:color w:val="000000"/>
          <w:lang w:val="en-CA"/>
        </w:rPr>
        <w:t>The rule is different for minors</w:t>
      </w:r>
      <w:r w:rsidR="00D258A9" w:rsidRPr="00515AA2">
        <w:rPr>
          <w:color w:val="000000"/>
          <w:lang w:val="en-CA"/>
        </w:rPr>
        <w:t xml:space="preserve">. </w:t>
      </w:r>
      <w:r w:rsidR="006B5776" w:rsidRPr="00515AA2">
        <w:rPr>
          <w:color w:val="000000"/>
          <w:lang w:val="en-CA"/>
        </w:rPr>
        <w:t xml:space="preserve">There is clearly a distinction based on age. The fact that the requirement imposed </w:t>
      </w:r>
      <w:r w:rsidR="0022437A" w:rsidRPr="00515AA2">
        <w:rPr>
          <w:color w:val="000000"/>
          <w:lang w:val="en-CA"/>
        </w:rPr>
        <w:t xml:space="preserve">in cases where </w:t>
      </w:r>
      <w:r w:rsidR="006B5776" w:rsidRPr="00515AA2">
        <w:rPr>
          <w:color w:val="000000"/>
          <w:lang w:val="en-CA"/>
        </w:rPr>
        <w:t>the application is made</w:t>
      </w:r>
      <w:r w:rsidR="00D258A9" w:rsidRPr="00515AA2">
        <w:rPr>
          <w:color w:val="000000"/>
          <w:lang w:val="en-CA"/>
        </w:rPr>
        <w:t xml:space="preserve"> </w:t>
      </w:r>
      <w:r w:rsidR="006B5776" w:rsidRPr="00515AA2">
        <w:rPr>
          <w:color w:val="000000"/>
          <w:lang w:val="en-CA"/>
        </w:rPr>
        <w:t xml:space="preserve">by a person of full age </w:t>
      </w:r>
      <w:r w:rsidR="00D43380" w:rsidRPr="00515AA2">
        <w:rPr>
          <w:color w:val="000000"/>
          <w:lang w:val="en-CA"/>
        </w:rPr>
        <w:t xml:space="preserve">may </w:t>
      </w:r>
      <w:r w:rsidR="006B5776" w:rsidRPr="00515AA2">
        <w:rPr>
          <w:color w:val="000000"/>
          <w:lang w:val="en-CA"/>
        </w:rPr>
        <w:t xml:space="preserve">be seen as reasonable does not </w:t>
      </w:r>
      <w:r w:rsidR="0022437A" w:rsidRPr="00515AA2">
        <w:rPr>
          <w:color w:val="000000"/>
          <w:lang w:val="en-CA"/>
        </w:rPr>
        <w:t xml:space="preserve">have the effect of </w:t>
      </w:r>
      <w:r w:rsidR="006B5776" w:rsidRPr="00515AA2">
        <w:rPr>
          <w:color w:val="000000"/>
          <w:lang w:val="en-CA"/>
        </w:rPr>
        <w:t>limit</w:t>
      </w:r>
      <w:r w:rsidR="0022437A" w:rsidRPr="00515AA2">
        <w:rPr>
          <w:color w:val="000000"/>
          <w:lang w:val="en-CA"/>
        </w:rPr>
        <w:t>ing</w:t>
      </w:r>
      <w:r w:rsidR="006B5776" w:rsidRPr="00515AA2">
        <w:rPr>
          <w:color w:val="000000"/>
          <w:lang w:val="en-CA"/>
        </w:rPr>
        <w:t xml:space="preserve"> the discrimination created by the second paragraph of </w:t>
      </w:r>
      <w:r w:rsidR="00202E09" w:rsidRPr="00515AA2">
        <w:rPr>
          <w:color w:val="000000"/>
          <w:lang w:val="en-CA"/>
        </w:rPr>
        <w:t>section</w:t>
      </w:r>
      <w:r w:rsidR="006B5776" w:rsidRPr="00515AA2">
        <w:rPr>
          <w:color w:val="000000"/>
          <w:lang w:val="en-CA"/>
        </w:rPr>
        <w:t xml:space="preserve"> </w:t>
      </w:r>
      <w:r w:rsidR="00D258A9" w:rsidRPr="00515AA2">
        <w:rPr>
          <w:color w:val="000000"/>
          <w:lang w:val="en-CA"/>
        </w:rPr>
        <w:t xml:space="preserve">23.2 </w:t>
      </w:r>
      <w:r w:rsidR="006B5776" w:rsidRPr="00515AA2">
        <w:rPr>
          <w:color w:val="000000"/>
          <w:lang w:val="en-CA"/>
        </w:rPr>
        <w:t>of the</w:t>
      </w:r>
      <w:r w:rsidR="00D258A9" w:rsidRPr="00515AA2">
        <w:rPr>
          <w:color w:val="000000"/>
          <w:lang w:val="en-CA"/>
        </w:rPr>
        <w:t xml:space="preserve"> </w:t>
      </w:r>
      <w:r w:rsidR="006B5776" w:rsidRPr="00515AA2">
        <w:rPr>
          <w:i/>
          <w:iCs/>
          <w:color w:val="000000"/>
          <w:lang w:val="en-CA"/>
        </w:rPr>
        <w:t>Regulation</w:t>
      </w:r>
      <w:r w:rsidR="00D258A9" w:rsidRPr="00515AA2">
        <w:rPr>
          <w:color w:val="000000"/>
          <w:lang w:val="en-CA"/>
        </w:rPr>
        <w:t xml:space="preserve"> </w:t>
      </w:r>
      <w:r w:rsidR="006B5776" w:rsidRPr="00515AA2">
        <w:rPr>
          <w:color w:val="000000"/>
          <w:lang w:val="en-CA"/>
        </w:rPr>
        <w:t>to discrimination based on age only</w:t>
      </w:r>
      <w:r w:rsidR="00D258A9" w:rsidRPr="00515AA2">
        <w:rPr>
          <w:color w:val="000000"/>
          <w:lang w:val="en-CA"/>
        </w:rPr>
        <w:t xml:space="preserve">. </w:t>
      </w:r>
      <w:r w:rsidR="006B5776" w:rsidRPr="00515AA2">
        <w:rPr>
          <w:color w:val="000000"/>
          <w:lang w:val="en-CA"/>
        </w:rPr>
        <w:t xml:space="preserve">Even if the first paragraph of </w:t>
      </w:r>
      <w:r w:rsidR="00202E09" w:rsidRPr="00515AA2">
        <w:rPr>
          <w:color w:val="000000"/>
          <w:lang w:val="en-CA"/>
        </w:rPr>
        <w:t>section</w:t>
      </w:r>
      <w:r w:rsidR="006B5776" w:rsidRPr="00515AA2">
        <w:rPr>
          <w:color w:val="000000"/>
          <w:lang w:val="en-CA"/>
        </w:rPr>
        <w:t xml:space="preserve"> 23.2 did not exist and the second paragraph applied to </w:t>
      </w:r>
      <w:r w:rsidR="0022437A" w:rsidRPr="00515AA2">
        <w:rPr>
          <w:color w:val="000000"/>
          <w:lang w:val="en-CA"/>
        </w:rPr>
        <w:t>all persons</w:t>
      </w:r>
      <w:r w:rsidR="006B5776" w:rsidRPr="00515AA2">
        <w:rPr>
          <w:color w:val="000000"/>
          <w:lang w:val="en-CA"/>
        </w:rPr>
        <w:t xml:space="preserve">, whether of full age or minor, it would nevertheless </w:t>
      </w:r>
      <w:r w:rsidR="0022437A" w:rsidRPr="00515AA2">
        <w:rPr>
          <w:color w:val="000000"/>
          <w:lang w:val="en-CA"/>
        </w:rPr>
        <w:t>remain</w:t>
      </w:r>
      <w:r w:rsidR="006B5776" w:rsidRPr="00515AA2">
        <w:rPr>
          <w:color w:val="000000"/>
          <w:lang w:val="en-CA"/>
        </w:rPr>
        <w:t xml:space="preserve"> potentially discriminatory </w:t>
      </w:r>
      <w:r w:rsidR="0022437A" w:rsidRPr="00515AA2">
        <w:rPr>
          <w:color w:val="000000"/>
          <w:lang w:val="en-CA"/>
        </w:rPr>
        <w:t>toward</w:t>
      </w:r>
      <w:r w:rsidR="006B5776" w:rsidRPr="00515AA2">
        <w:rPr>
          <w:color w:val="000000"/>
          <w:lang w:val="en-CA"/>
        </w:rPr>
        <w:t xml:space="preserve"> </w:t>
      </w:r>
      <w:r w:rsidR="00222369" w:rsidRPr="00515AA2">
        <w:rPr>
          <w:color w:val="000000"/>
          <w:lang w:val="en-CA"/>
        </w:rPr>
        <w:t xml:space="preserve">transgender or non-binary </w:t>
      </w:r>
      <w:r w:rsidR="00202E09" w:rsidRPr="00515AA2">
        <w:rPr>
          <w:color w:val="000000"/>
          <w:lang w:val="en-CA"/>
        </w:rPr>
        <w:t>persons</w:t>
      </w:r>
      <w:r w:rsidR="00D258A9" w:rsidRPr="00515AA2">
        <w:rPr>
          <w:color w:val="000000"/>
          <w:lang w:val="en-CA"/>
        </w:rPr>
        <w:t xml:space="preserve">. </w:t>
      </w:r>
      <w:r w:rsidR="00222369" w:rsidRPr="00515AA2">
        <w:rPr>
          <w:color w:val="000000"/>
          <w:lang w:val="en-CA"/>
        </w:rPr>
        <w:t xml:space="preserve">Indeed, the second paragraph of </w:t>
      </w:r>
      <w:r w:rsidR="00202E09" w:rsidRPr="00515AA2">
        <w:rPr>
          <w:color w:val="000000"/>
          <w:lang w:val="en-CA"/>
        </w:rPr>
        <w:t>section</w:t>
      </w:r>
      <w:r w:rsidR="00222369" w:rsidRPr="00515AA2">
        <w:rPr>
          <w:color w:val="000000"/>
          <w:lang w:val="en-CA"/>
        </w:rPr>
        <w:t xml:space="preserve"> </w:t>
      </w:r>
      <w:r w:rsidR="00D258A9" w:rsidRPr="00515AA2">
        <w:rPr>
          <w:color w:val="000000"/>
          <w:lang w:val="en-CA"/>
        </w:rPr>
        <w:t xml:space="preserve">23.2 </w:t>
      </w:r>
      <w:r w:rsidR="00222369" w:rsidRPr="00515AA2">
        <w:rPr>
          <w:color w:val="000000"/>
          <w:lang w:val="en-CA"/>
        </w:rPr>
        <w:t>of the</w:t>
      </w:r>
      <w:r w:rsidR="00D258A9" w:rsidRPr="00515AA2">
        <w:rPr>
          <w:color w:val="000000"/>
          <w:lang w:val="en-CA"/>
        </w:rPr>
        <w:t xml:space="preserve"> </w:t>
      </w:r>
      <w:r w:rsidR="00D258A9" w:rsidRPr="00515AA2">
        <w:rPr>
          <w:i/>
          <w:iCs/>
          <w:color w:val="000000"/>
          <w:lang w:val="en-CA"/>
        </w:rPr>
        <w:t>R</w:t>
      </w:r>
      <w:r w:rsidR="00222369" w:rsidRPr="00515AA2">
        <w:rPr>
          <w:i/>
          <w:iCs/>
          <w:color w:val="000000"/>
          <w:lang w:val="en-CA"/>
        </w:rPr>
        <w:t>egulation</w:t>
      </w:r>
      <w:r w:rsidR="00D258A9" w:rsidRPr="00515AA2">
        <w:rPr>
          <w:color w:val="000000"/>
          <w:lang w:val="en-CA"/>
        </w:rPr>
        <w:t xml:space="preserve"> </w:t>
      </w:r>
      <w:r w:rsidR="00222369" w:rsidRPr="00515AA2">
        <w:rPr>
          <w:color w:val="000000"/>
          <w:lang w:val="en-CA"/>
        </w:rPr>
        <w:t xml:space="preserve">creates a distinction for a doubly protected group, i.e, transgender or non-binary minors. These </w:t>
      </w:r>
      <w:r w:rsidR="0022437A" w:rsidRPr="00515AA2">
        <w:rPr>
          <w:color w:val="000000"/>
          <w:lang w:val="en-CA"/>
        </w:rPr>
        <w:t>represent</w:t>
      </w:r>
      <w:r w:rsidR="00222369" w:rsidRPr="00515AA2">
        <w:rPr>
          <w:color w:val="000000"/>
          <w:lang w:val="en-CA"/>
        </w:rPr>
        <w:t xml:space="preserve"> two distinct grounds of discrimination, which can </w:t>
      </w:r>
      <w:r w:rsidR="00554368" w:rsidRPr="00515AA2">
        <w:rPr>
          <w:color w:val="000000"/>
          <w:lang w:val="en-CA"/>
        </w:rPr>
        <w:t>intersect</w:t>
      </w:r>
      <w:r w:rsidR="00D258A9" w:rsidRPr="00515AA2">
        <w:rPr>
          <w:color w:val="000000"/>
          <w:lang w:val="en-CA"/>
        </w:rPr>
        <w:t xml:space="preserve"> (</w:t>
      </w:r>
      <w:r w:rsidR="00554368" w:rsidRPr="00515AA2">
        <w:rPr>
          <w:color w:val="000000"/>
          <w:lang w:val="en-CA"/>
        </w:rPr>
        <w:t>as is the case here</w:t>
      </w:r>
      <w:r w:rsidR="00D258A9" w:rsidRPr="00515AA2">
        <w:rPr>
          <w:color w:val="000000"/>
          <w:lang w:val="en-CA"/>
        </w:rPr>
        <w:t>).</w:t>
      </w:r>
    </w:p>
    <w:p w14:paraId="0CD663AF" w14:textId="29E559B9" w:rsidR="00D258A9" w:rsidRPr="00515AA2" w:rsidRDefault="00FC236B" w:rsidP="00F846E3">
      <w:pPr>
        <w:pStyle w:val="Paragraphe"/>
        <w:spacing w:line="280" w:lineRule="exact"/>
        <w:rPr>
          <w:color w:val="000000"/>
          <w:lang w:val="en-CA"/>
        </w:rPr>
      </w:pPr>
      <w:r w:rsidRPr="00515AA2">
        <w:rPr>
          <w:color w:val="000000"/>
          <w:lang w:val="en-CA"/>
        </w:rPr>
        <w:t>I now turn to</w:t>
      </w:r>
      <w:r w:rsidR="00D56E25" w:rsidRPr="00515AA2">
        <w:rPr>
          <w:color w:val="000000"/>
          <w:lang w:val="en-CA"/>
        </w:rPr>
        <w:t xml:space="preserve"> the second </w:t>
      </w:r>
      <w:r w:rsidRPr="00515AA2">
        <w:rPr>
          <w:color w:val="000000"/>
          <w:lang w:val="en-CA"/>
        </w:rPr>
        <w:t>branch</w:t>
      </w:r>
      <w:r w:rsidR="00D56E25" w:rsidRPr="00515AA2">
        <w:rPr>
          <w:color w:val="000000"/>
          <w:lang w:val="en-CA"/>
        </w:rPr>
        <w:t xml:space="preserve"> of the analysis which consists of determining whether that double distinction “perpetuates, reinforces or exacerbates disadvantage.”</w:t>
      </w:r>
      <w:r w:rsidR="00D258A9" w:rsidRPr="00515AA2">
        <w:rPr>
          <w:color w:val="000000"/>
          <w:lang w:val="en-CA"/>
        </w:rPr>
        <w:t xml:space="preserve"> </w:t>
      </w:r>
      <w:r w:rsidR="00D56E25" w:rsidRPr="00515AA2">
        <w:rPr>
          <w:color w:val="000000"/>
          <w:lang w:val="en-CA"/>
        </w:rPr>
        <w:t xml:space="preserve">In my opinion, </w:t>
      </w:r>
      <w:r w:rsidR="0022437A" w:rsidRPr="00515AA2">
        <w:rPr>
          <w:color w:val="000000"/>
          <w:lang w:val="en-CA"/>
        </w:rPr>
        <w:t>it does</w:t>
      </w:r>
      <w:r w:rsidR="00D258A9" w:rsidRPr="00515AA2">
        <w:rPr>
          <w:color w:val="000000"/>
          <w:lang w:val="en-CA"/>
        </w:rPr>
        <w:t xml:space="preserve">. </w:t>
      </w:r>
      <w:r w:rsidR="00D56E25" w:rsidRPr="00515AA2">
        <w:rPr>
          <w:color w:val="000000"/>
          <w:lang w:val="en-CA"/>
        </w:rPr>
        <w:t>Indeed, the evidence adduce</w:t>
      </w:r>
      <w:r w:rsidRPr="00515AA2">
        <w:rPr>
          <w:color w:val="000000"/>
          <w:lang w:val="en-CA"/>
        </w:rPr>
        <w:t>d</w:t>
      </w:r>
      <w:r w:rsidR="00D56E25" w:rsidRPr="00515AA2">
        <w:rPr>
          <w:color w:val="000000"/>
          <w:lang w:val="en-CA"/>
        </w:rPr>
        <w:t xml:space="preserve"> at trial and summarized by my colleagues clearly establishes that transgender or non-binary </w:t>
      </w:r>
      <w:r w:rsidR="00202E09" w:rsidRPr="00515AA2">
        <w:rPr>
          <w:color w:val="000000"/>
          <w:lang w:val="en-CA"/>
        </w:rPr>
        <w:t xml:space="preserve">persons </w:t>
      </w:r>
      <w:r w:rsidRPr="00515AA2">
        <w:rPr>
          <w:color w:val="000000"/>
          <w:lang w:val="en-CA"/>
        </w:rPr>
        <w:t>are</w:t>
      </w:r>
      <w:r w:rsidR="00D56E25" w:rsidRPr="00515AA2">
        <w:rPr>
          <w:color w:val="000000"/>
          <w:lang w:val="en-CA"/>
        </w:rPr>
        <w:t xml:space="preserve"> a disadvantaged group and that the discordance between the designations appearing on the</w:t>
      </w:r>
      <w:r w:rsidR="00202E09" w:rsidRPr="00515AA2">
        <w:rPr>
          <w:color w:val="000000"/>
          <w:lang w:val="en-CA"/>
        </w:rPr>
        <w:t>ir</w:t>
      </w:r>
      <w:r w:rsidR="00D56E25" w:rsidRPr="00515AA2">
        <w:rPr>
          <w:color w:val="000000"/>
          <w:lang w:val="en-CA"/>
        </w:rPr>
        <w:t xml:space="preserve"> civil status documents and their true identity perpetuates, reinforces or exacerbates</w:t>
      </w:r>
      <w:r w:rsidR="0022437A" w:rsidRPr="00515AA2">
        <w:rPr>
          <w:color w:val="000000"/>
          <w:lang w:val="en-CA"/>
        </w:rPr>
        <w:t xml:space="preserve"> </w:t>
      </w:r>
      <w:r w:rsidR="0022437A" w:rsidRPr="00515AA2">
        <w:rPr>
          <w:color w:val="000000"/>
          <w:lang w:val="en-CA"/>
        </w:rPr>
        <w:lastRenderedPageBreak/>
        <w:t>that</w:t>
      </w:r>
      <w:r w:rsidR="00D56E25" w:rsidRPr="00515AA2">
        <w:rPr>
          <w:color w:val="000000"/>
          <w:lang w:val="en-CA"/>
        </w:rPr>
        <w:t xml:space="preserve"> disadvantage</w:t>
      </w:r>
      <w:r w:rsidR="00D258A9" w:rsidRPr="00515AA2">
        <w:rPr>
          <w:color w:val="000000"/>
          <w:lang w:val="en-CA"/>
        </w:rPr>
        <w:t xml:space="preserve">. </w:t>
      </w:r>
      <w:r w:rsidR="00D56E25" w:rsidRPr="00515AA2">
        <w:rPr>
          <w:color w:val="000000"/>
          <w:lang w:val="en-CA"/>
        </w:rPr>
        <w:t xml:space="preserve">The second paragraph of </w:t>
      </w:r>
      <w:r w:rsidR="00202E09" w:rsidRPr="00515AA2">
        <w:rPr>
          <w:color w:val="000000"/>
          <w:lang w:val="en-CA"/>
        </w:rPr>
        <w:t>section</w:t>
      </w:r>
      <w:r w:rsidR="00D258A9" w:rsidRPr="00515AA2">
        <w:rPr>
          <w:color w:val="000000"/>
          <w:lang w:val="en-CA"/>
        </w:rPr>
        <w:t xml:space="preserve"> 23.2 </w:t>
      </w:r>
      <w:r w:rsidR="00D56E25" w:rsidRPr="00515AA2">
        <w:rPr>
          <w:color w:val="000000"/>
          <w:lang w:val="en-CA"/>
        </w:rPr>
        <w:t>of the</w:t>
      </w:r>
      <w:r w:rsidR="00D258A9" w:rsidRPr="00515AA2">
        <w:rPr>
          <w:color w:val="000000"/>
          <w:lang w:val="en-CA"/>
        </w:rPr>
        <w:t xml:space="preserve"> </w:t>
      </w:r>
      <w:r w:rsidR="00D56E25" w:rsidRPr="00515AA2">
        <w:rPr>
          <w:i/>
          <w:iCs/>
          <w:color w:val="000000"/>
          <w:lang w:val="en-CA"/>
        </w:rPr>
        <w:t>Regulation</w:t>
      </w:r>
      <w:r w:rsidR="00D258A9" w:rsidRPr="00515AA2">
        <w:rPr>
          <w:color w:val="000000"/>
          <w:lang w:val="en-CA"/>
        </w:rPr>
        <w:t xml:space="preserve"> impose</w:t>
      </w:r>
      <w:r w:rsidR="00D56E25" w:rsidRPr="00515AA2">
        <w:rPr>
          <w:color w:val="000000"/>
          <w:lang w:val="en-CA"/>
        </w:rPr>
        <w:t>s</w:t>
      </w:r>
      <w:r w:rsidR="00D258A9" w:rsidRPr="00515AA2">
        <w:rPr>
          <w:color w:val="000000"/>
          <w:lang w:val="en-CA"/>
        </w:rPr>
        <w:t xml:space="preserve"> </w:t>
      </w:r>
      <w:r w:rsidR="00D56E25" w:rsidRPr="00515AA2">
        <w:rPr>
          <w:color w:val="000000"/>
          <w:lang w:val="en-CA"/>
        </w:rPr>
        <w:t xml:space="preserve">upon transgender or non-binary minors an additional burden that can </w:t>
      </w:r>
      <w:r w:rsidR="003D4F0C" w:rsidRPr="00515AA2">
        <w:rPr>
          <w:color w:val="000000"/>
          <w:lang w:val="en-CA"/>
        </w:rPr>
        <w:t xml:space="preserve">prevent them from undertaking or, at the very least, </w:t>
      </w:r>
      <w:r w:rsidR="00D43380" w:rsidRPr="00515AA2">
        <w:rPr>
          <w:color w:val="000000"/>
          <w:lang w:val="en-CA"/>
        </w:rPr>
        <w:t xml:space="preserve">can </w:t>
      </w:r>
      <w:r w:rsidR="003D4F0C" w:rsidRPr="00515AA2">
        <w:rPr>
          <w:color w:val="000000"/>
          <w:lang w:val="en-CA"/>
        </w:rPr>
        <w:t xml:space="preserve">delay or slow the </w:t>
      </w:r>
      <w:r w:rsidR="00365E45" w:rsidRPr="00515AA2">
        <w:rPr>
          <w:color w:val="000000"/>
          <w:lang w:val="en-CA"/>
        </w:rPr>
        <w:t xml:space="preserve">necessary </w:t>
      </w:r>
      <w:r w:rsidR="003D4F0C" w:rsidRPr="00515AA2">
        <w:rPr>
          <w:color w:val="000000"/>
          <w:lang w:val="en-CA"/>
        </w:rPr>
        <w:t xml:space="preserve">steps </w:t>
      </w:r>
      <w:r w:rsidR="00524534" w:rsidRPr="00515AA2">
        <w:rPr>
          <w:color w:val="000000"/>
          <w:lang w:val="en-CA"/>
        </w:rPr>
        <w:t>to have their civil status documents changed</w:t>
      </w:r>
      <w:r w:rsidRPr="00515AA2">
        <w:rPr>
          <w:color w:val="000000"/>
          <w:lang w:val="en-CA"/>
        </w:rPr>
        <w:t xml:space="preserve">, </w:t>
      </w:r>
      <w:r w:rsidR="003D4F0C" w:rsidRPr="00515AA2">
        <w:rPr>
          <w:color w:val="000000"/>
          <w:lang w:val="en-CA"/>
        </w:rPr>
        <w:t>which</w:t>
      </w:r>
      <w:r w:rsidR="00524534" w:rsidRPr="00515AA2">
        <w:rPr>
          <w:color w:val="000000"/>
          <w:lang w:val="en-CA"/>
        </w:rPr>
        <w:t xml:space="preserve"> </w:t>
      </w:r>
      <w:r w:rsidR="00D43380" w:rsidRPr="00515AA2">
        <w:rPr>
          <w:color w:val="000000"/>
          <w:lang w:val="en-CA"/>
        </w:rPr>
        <w:t>has the effect of perpetuating</w:t>
      </w:r>
      <w:r w:rsidR="00524534" w:rsidRPr="00515AA2">
        <w:rPr>
          <w:color w:val="000000"/>
          <w:lang w:val="en-CA"/>
        </w:rPr>
        <w:t xml:space="preserve">, </w:t>
      </w:r>
      <w:r w:rsidR="00D43380" w:rsidRPr="00515AA2">
        <w:rPr>
          <w:color w:val="000000"/>
          <w:lang w:val="en-CA"/>
        </w:rPr>
        <w:t xml:space="preserve">reinforcing </w:t>
      </w:r>
      <w:r w:rsidR="00524534" w:rsidRPr="00515AA2">
        <w:rPr>
          <w:color w:val="000000"/>
          <w:lang w:val="en-CA"/>
        </w:rPr>
        <w:t xml:space="preserve">or </w:t>
      </w:r>
      <w:r w:rsidR="00D43380" w:rsidRPr="00515AA2">
        <w:rPr>
          <w:color w:val="000000"/>
          <w:lang w:val="en-CA"/>
        </w:rPr>
        <w:t xml:space="preserve">exacerbating the </w:t>
      </w:r>
      <w:r w:rsidR="00524534" w:rsidRPr="00515AA2">
        <w:rPr>
          <w:color w:val="000000"/>
          <w:lang w:val="en-CA"/>
        </w:rPr>
        <w:t>disadvantage</w:t>
      </w:r>
      <w:r w:rsidR="00D43380" w:rsidRPr="00515AA2">
        <w:rPr>
          <w:color w:val="000000"/>
          <w:lang w:val="en-CA"/>
        </w:rPr>
        <w:t>s</w:t>
      </w:r>
      <w:r w:rsidR="00524534" w:rsidRPr="00515AA2">
        <w:rPr>
          <w:color w:val="000000"/>
          <w:lang w:val="en-CA"/>
        </w:rPr>
        <w:t xml:space="preserve"> that they are already experiencing</w:t>
      </w:r>
      <w:r w:rsidR="00D258A9" w:rsidRPr="00515AA2">
        <w:rPr>
          <w:color w:val="000000"/>
          <w:lang w:val="en-CA"/>
        </w:rPr>
        <w:t>.</w:t>
      </w:r>
    </w:p>
    <w:p w14:paraId="17BAF270" w14:textId="4A4F4D6E" w:rsidR="00D258A9" w:rsidRPr="00515AA2" w:rsidRDefault="00EA2E6C" w:rsidP="00F846E3">
      <w:pPr>
        <w:pStyle w:val="Paragraphe"/>
        <w:spacing w:line="280" w:lineRule="exact"/>
        <w:rPr>
          <w:color w:val="000000"/>
          <w:lang w:val="en-CA"/>
        </w:rPr>
      </w:pPr>
      <w:r w:rsidRPr="00515AA2">
        <w:rPr>
          <w:color w:val="000000"/>
          <w:lang w:val="en-CA"/>
        </w:rPr>
        <w:t>I</w:t>
      </w:r>
      <w:r w:rsidR="00365E45" w:rsidRPr="00515AA2">
        <w:rPr>
          <w:color w:val="000000"/>
          <w:lang w:val="en-CA"/>
        </w:rPr>
        <w:t xml:space="preserve"> </w:t>
      </w:r>
      <w:r w:rsidR="00D43380" w:rsidRPr="00515AA2">
        <w:rPr>
          <w:color w:val="000000"/>
          <w:lang w:val="en-CA"/>
        </w:rPr>
        <w:t xml:space="preserve">am </w:t>
      </w:r>
      <w:r w:rsidRPr="00515AA2">
        <w:rPr>
          <w:color w:val="000000"/>
          <w:lang w:val="en-CA"/>
        </w:rPr>
        <w:t xml:space="preserve">therefore </w:t>
      </w:r>
      <w:r w:rsidR="00D43380" w:rsidRPr="00515AA2">
        <w:rPr>
          <w:color w:val="000000"/>
          <w:lang w:val="en-CA"/>
        </w:rPr>
        <w:t>of the opinion</w:t>
      </w:r>
      <w:r w:rsidRPr="00515AA2">
        <w:rPr>
          <w:color w:val="000000"/>
          <w:lang w:val="en-CA"/>
        </w:rPr>
        <w:t xml:space="preserve"> that the second paragraph of </w:t>
      </w:r>
      <w:r w:rsidR="00202E09" w:rsidRPr="00515AA2">
        <w:rPr>
          <w:color w:val="000000"/>
          <w:lang w:val="en-CA"/>
        </w:rPr>
        <w:t>section</w:t>
      </w:r>
      <w:r w:rsidR="00D258A9" w:rsidRPr="00515AA2">
        <w:rPr>
          <w:color w:val="000000"/>
          <w:lang w:val="en-CA"/>
        </w:rPr>
        <w:t xml:space="preserve"> 23.2 </w:t>
      </w:r>
      <w:r w:rsidRPr="00515AA2">
        <w:rPr>
          <w:color w:val="000000"/>
          <w:lang w:val="en-CA"/>
        </w:rPr>
        <w:t>of the</w:t>
      </w:r>
      <w:r w:rsidR="00D258A9" w:rsidRPr="00515AA2">
        <w:rPr>
          <w:color w:val="000000"/>
          <w:lang w:val="en-CA"/>
        </w:rPr>
        <w:t xml:space="preserve"> </w:t>
      </w:r>
      <w:r w:rsidRPr="00515AA2">
        <w:rPr>
          <w:i/>
          <w:iCs/>
          <w:color w:val="000000"/>
          <w:lang w:val="en-CA"/>
        </w:rPr>
        <w:t>Regulation</w:t>
      </w:r>
      <w:r w:rsidR="00D258A9" w:rsidRPr="00515AA2">
        <w:rPr>
          <w:color w:val="000000"/>
          <w:lang w:val="en-CA"/>
        </w:rPr>
        <w:t xml:space="preserve"> </w:t>
      </w:r>
      <w:r w:rsidRPr="00515AA2">
        <w:rPr>
          <w:color w:val="000000"/>
          <w:lang w:val="en-CA"/>
        </w:rPr>
        <w:t>should have been held to be discriminatory</w:t>
      </w:r>
      <w:r w:rsidR="00365E45" w:rsidRPr="00515AA2">
        <w:rPr>
          <w:color w:val="000000"/>
          <w:lang w:val="en-CA"/>
        </w:rPr>
        <w:t>, within the meaning of</w:t>
      </w:r>
      <w:r w:rsidRPr="00515AA2">
        <w:rPr>
          <w:color w:val="000000"/>
          <w:lang w:val="en-CA"/>
        </w:rPr>
        <w:t xml:space="preserve"> </w:t>
      </w:r>
      <w:r w:rsidR="00202E09" w:rsidRPr="00515AA2">
        <w:rPr>
          <w:color w:val="000000"/>
          <w:lang w:val="en-CA"/>
        </w:rPr>
        <w:t>section</w:t>
      </w:r>
      <w:r w:rsidR="00202E09" w:rsidRPr="00515AA2" w:rsidDel="00202E09">
        <w:rPr>
          <w:color w:val="000000"/>
          <w:lang w:val="en-CA"/>
        </w:rPr>
        <w:t xml:space="preserve"> </w:t>
      </w:r>
      <w:r w:rsidR="00D258A9" w:rsidRPr="00515AA2">
        <w:rPr>
          <w:color w:val="000000"/>
          <w:lang w:val="en-CA"/>
        </w:rPr>
        <w:t xml:space="preserve">15 </w:t>
      </w:r>
      <w:r w:rsidRPr="00515AA2">
        <w:rPr>
          <w:color w:val="000000"/>
          <w:lang w:val="en-CA"/>
        </w:rPr>
        <w:t>of the</w:t>
      </w:r>
      <w:r w:rsidR="00D258A9" w:rsidRPr="00515AA2">
        <w:rPr>
          <w:color w:val="000000"/>
          <w:lang w:val="en-CA"/>
        </w:rPr>
        <w:t xml:space="preserve"> </w:t>
      </w:r>
      <w:r w:rsidRPr="00515AA2">
        <w:rPr>
          <w:i/>
          <w:iCs/>
          <w:color w:val="000000"/>
          <w:lang w:val="en-CA"/>
        </w:rPr>
        <w:t>Canad</w:t>
      </w:r>
      <w:r w:rsidR="00365E45" w:rsidRPr="00515AA2">
        <w:rPr>
          <w:i/>
          <w:iCs/>
          <w:color w:val="000000"/>
          <w:lang w:val="en-CA"/>
        </w:rPr>
        <w:t>ian</w:t>
      </w:r>
      <w:r w:rsidRPr="00515AA2">
        <w:rPr>
          <w:i/>
          <w:iCs/>
          <w:color w:val="000000"/>
          <w:lang w:val="en-CA"/>
        </w:rPr>
        <w:t xml:space="preserve"> Charter</w:t>
      </w:r>
      <w:r w:rsidR="00D258A9" w:rsidRPr="00515AA2">
        <w:rPr>
          <w:color w:val="000000"/>
          <w:lang w:val="en-CA"/>
        </w:rPr>
        <w:t xml:space="preserve"> </w:t>
      </w:r>
      <w:r w:rsidRPr="00515AA2">
        <w:rPr>
          <w:color w:val="000000"/>
          <w:lang w:val="en-CA"/>
        </w:rPr>
        <w:t xml:space="preserve">and </w:t>
      </w:r>
      <w:r w:rsidR="00764FCE" w:rsidRPr="00515AA2">
        <w:rPr>
          <w:color w:val="000000"/>
          <w:lang w:val="en-CA"/>
        </w:rPr>
        <w:t>section</w:t>
      </w:r>
      <w:r w:rsidR="00D258A9" w:rsidRPr="00515AA2">
        <w:rPr>
          <w:color w:val="000000"/>
          <w:lang w:val="en-CA"/>
        </w:rPr>
        <w:t xml:space="preserve"> 10 </w:t>
      </w:r>
      <w:r w:rsidRPr="00515AA2">
        <w:rPr>
          <w:color w:val="000000"/>
          <w:lang w:val="en-CA"/>
        </w:rPr>
        <w:t>of the</w:t>
      </w:r>
      <w:r w:rsidR="00D258A9" w:rsidRPr="00515AA2">
        <w:rPr>
          <w:color w:val="000000"/>
          <w:lang w:val="en-CA"/>
        </w:rPr>
        <w:t xml:space="preserve"> </w:t>
      </w:r>
      <w:r w:rsidRPr="00515AA2">
        <w:rPr>
          <w:i/>
          <w:iCs/>
          <w:color w:val="000000"/>
          <w:lang w:val="en-CA"/>
        </w:rPr>
        <w:t>Quebec Charter</w:t>
      </w:r>
      <w:r w:rsidR="00365E45" w:rsidRPr="00515AA2">
        <w:rPr>
          <w:color w:val="000000"/>
          <w:lang w:val="en-CA"/>
        </w:rPr>
        <w:t>, toward</w:t>
      </w:r>
      <w:r w:rsidR="008E1D79" w:rsidRPr="00515AA2">
        <w:rPr>
          <w:color w:val="000000"/>
          <w:lang w:val="en-CA"/>
        </w:rPr>
        <w:t>s</w:t>
      </w:r>
      <w:r w:rsidRPr="00515AA2">
        <w:rPr>
          <w:color w:val="000000"/>
          <w:lang w:val="en-CA"/>
        </w:rPr>
        <w:t xml:space="preserve"> transgender or non-binary minors</w:t>
      </w:r>
      <w:r w:rsidR="00D258A9" w:rsidRPr="00515AA2">
        <w:rPr>
          <w:color w:val="000000"/>
          <w:lang w:val="en-CA"/>
        </w:rPr>
        <w:t>.</w:t>
      </w:r>
    </w:p>
    <w:p w14:paraId="79F37F90" w14:textId="0BD915CB" w:rsidR="00D258A9" w:rsidRPr="00515AA2" w:rsidRDefault="00EA2E6C" w:rsidP="00F846E3">
      <w:pPr>
        <w:pStyle w:val="Paragraphe"/>
        <w:spacing w:line="280" w:lineRule="exact"/>
        <w:rPr>
          <w:color w:val="000000"/>
          <w:lang w:val="en-CA"/>
        </w:rPr>
      </w:pPr>
      <w:r w:rsidRPr="00515AA2">
        <w:rPr>
          <w:color w:val="000000"/>
          <w:lang w:val="en-CA"/>
        </w:rPr>
        <w:t xml:space="preserve">My colleagues </w:t>
      </w:r>
      <w:r w:rsidR="009D135B" w:rsidRPr="00515AA2">
        <w:rPr>
          <w:color w:val="000000"/>
          <w:lang w:val="en-CA"/>
        </w:rPr>
        <w:t>reach</w:t>
      </w:r>
      <w:r w:rsidRPr="00515AA2">
        <w:rPr>
          <w:color w:val="000000"/>
          <w:lang w:val="en-CA"/>
        </w:rPr>
        <w:t xml:space="preserve"> </w:t>
      </w:r>
      <w:r w:rsidR="00D43380" w:rsidRPr="00515AA2">
        <w:rPr>
          <w:color w:val="000000"/>
          <w:lang w:val="en-CA"/>
        </w:rPr>
        <w:t xml:space="preserve">essentially </w:t>
      </w:r>
      <w:r w:rsidRPr="00515AA2">
        <w:rPr>
          <w:color w:val="000000"/>
          <w:lang w:val="en-CA"/>
        </w:rPr>
        <w:t xml:space="preserve">the same result in </w:t>
      </w:r>
      <w:r w:rsidR="00365E45" w:rsidRPr="00515AA2">
        <w:rPr>
          <w:color w:val="000000"/>
          <w:lang w:val="en-CA"/>
        </w:rPr>
        <w:t>find</w:t>
      </w:r>
      <w:r w:rsidRPr="00515AA2">
        <w:rPr>
          <w:color w:val="000000"/>
          <w:lang w:val="en-CA"/>
        </w:rPr>
        <w:t xml:space="preserve">ing that the second paragraph of </w:t>
      </w:r>
      <w:r w:rsidR="00764FCE" w:rsidRPr="00515AA2">
        <w:rPr>
          <w:color w:val="000000"/>
          <w:lang w:val="en-CA"/>
        </w:rPr>
        <w:t>section</w:t>
      </w:r>
      <w:r w:rsidR="00D258A9" w:rsidRPr="00515AA2">
        <w:rPr>
          <w:color w:val="000000"/>
          <w:lang w:val="en-CA"/>
        </w:rPr>
        <w:t xml:space="preserve"> 23.2 </w:t>
      </w:r>
      <w:r w:rsidRPr="00515AA2">
        <w:rPr>
          <w:color w:val="000000"/>
          <w:lang w:val="en-CA"/>
        </w:rPr>
        <w:t>of the</w:t>
      </w:r>
      <w:r w:rsidR="00D258A9" w:rsidRPr="00515AA2">
        <w:rPr>
          <w:color w:val="000000"/>
          <w:lang w:val="en-CA"/>
        </w:rPr>
        <w:t xml:space="preserve"> </w:t>
      </w:r>
      <w:r w:rsidR="00D258A9" w:rsidRPr="00515AA2">
        <w:rPr>
          <w:i/>
          <w:iCs/>
          <w:color w:val="000000"/>
          <w:lang w:val="en-CA"/>
        </w:rPr>
        <w:t>R</w:t>
      </w:r>
      <w:r w:rsidRPr="00515AA2">
        <w:rPr>
          <w:i/>
          <w:iCs/>
          <w:color w:val="000000"/>
          <w:lang w:val="en-CA"/>
        </w:rPr>
        <w:t>egulation</w:t>
      </w:r>
      <w:r w:rsidR="00D258A9" w:rsidRPr="00515AA2">
        <w:rPr>
          <w:color w:val="000000"/>
          <w:lang w:val="en-CA"/>
        </w:rPr>
        <w:t xml:space="preserve"> </w:t>
      </w:r>
      <w:r w:rsidR="009D135B" w:rsidRPr="00515AA2">
        <w:rPr>
          <w:color w:val="000000"/>
          <w:lang w:val="en-CA"/>
        </w:rPr>
        <w:t xml:space="preserve">violates the right of transgender and non-binary </w:t>
      </w:r>
      <w:r w:rsidR="00202E09" w:rsidRPr="00515AA2">
        <w:rPr>
          <w:color w:val="000000"/>
          <w:lang w:val="en-CA"/>
        </w:rPr>
        <w:t xml:space="preserve">persons </w:t>
      </w:r>
      <w:r w:rsidR="009D135B" w:rsidRPr="00515AA2">
        <w:rPr>
          <w:color w:val="000000"/>
          <w:lang w:val="en-CA"/>
        </w:rPr>
        <w:t>to the safeguard of their dignity</w:t>
      </w:r>
      <w:r w:rsidR="00D258A9" w:rsidRPr="00515AA2">
        <w:rPr>
          <w:color w:val="000000"/>
          <w:lang w:val="en-CA"/>
        </w:rPr>
        <w:t xml:space="preserve">. </w:t>
      </w:r>
      <w:r w:rsidR="00641707" w:rsidRPr="00515AA2">
        <w:rPr>
          <w:color w:val="000000"/>
          <w:lang w:val="en-CA"/>
        </w:rPr>
        <w:t>In my view</w:t>
      </w:r>
      <w:r w:rsidR="009D135B" w:rsidRPr="00515AA2">
        <w:rPr>
          <w:color w:val="000000"/>
          <w:lang w:val="en-CA"/>
        </w:rPr>
        <w:t xml:space="preserve">, however, </w:t>
      </w:r>
      <w:r w:rsidR="00365E45" w:rsidRPr="00515AA2">
        <w:rPr>
          <w:color w:val="000000"/>
          <w:lang w:val="en-CA"/>
        </w:rPr>
        <w:t xml:space="preserve">it is important to </w:t>
      </w:r>
      <w:r w:rsidR="00D43380" w:rsidRPr="00515AA2">
        <w:rPr>
          <w:color w:val="000000"/>
          <w:lang w:val="en-CA"/>
        </w:rPr>
        <w:t xml:space="preserve">emphasize </w:t>
      </w:r>
      <w:r w:rsidR="009D135B" w:rsidRPr="00515AA2">
        <w:rPr>
          <w:color w:val="000000"/>
          <w:lang w:val="en-CA"/>
        </w:rPr>
        <w:t>the element of discrimination</w:t>
      </w:r>
      <w:r w:rsidR="00641707" w:rsidRPr="00515AA2">
        <w:rPr>
          <w:color w:val="000000"/>
          <w:lang w:val="en-CA"/>
        </w:rPr>
        <w:t xml:space="preserve"> </w:t>
      </w:r>
      <w:r w:rsidR="00365E45" w:rsidRPr="00515AA2">
        <w:rPr>
          <w:color w:val="000000"/>
          <w:lang w:val="en-CA"/>
        </w:rPr>
        <w:t>for</w:t>
      </w:r>
      <w:r w:rsidR="009D135B" w:rsidRPr="00515AA2">
        <w:rPr>
          <w:color w:val="000000"/>
          <w:lang w:val="en-CA"/>
        </w:rPr>
        <w:t xml:space="preserve"> </w:t>
      </w:r>
      <w:r w:rsidR="00641707" w:rsidRPr="00515AA2">
        <w:rPr>
          <w:color w:val="000000"/>
          <w:lang w:val="en-CA"/>
        </w:rPr>
        <w:t xml:space="preserve">a future </w:t>
      </w:r>
      <w:r w:rsidR="009D135B" w:rsidRPr="00515AA2">
        <w:rPr>
          <w:color w:val="000000"/>
          <w:lang w:val="en-CA"/>
        </w:rPr>
        <w:t xml:space="preserve">case where dignity </w:t>
      </w:r>
      <w:r w:rsidR="00365E45" w:rsidRPr="00515AA2">
        <w:rPr>
          <w:color w:val="000000"/>
          <w:lang w:val="en-CA"/>
        </w:rPr>
        <w:t>will</w:t>
      </w:r>
      <w:r w:rsidR="009D135B" w:rsidRPr="00515AA2">
        <w:rPr>
          <w:color w:val="000000"/>
          <w:lang w:val="en-CA"/>
        </w:rPr>
        <w:t xml:space="preserve"> not</w:t>
      </w:r>
      <w:r w:rsidR="00365E45" w:rsidRPr="00515AA2">
        <w:rPr>
          <w:color w:val="000000"/>
          <w:lang w:val="en-CA"/>
        </w:rPr>
        <w:t xml:space="preserve"> be</w:t>
      </w:r>
      <w:r w:rsidR="009D135B" w:rsidRPr="00515AA2">
        <w:rPr>
          <w:color w:val="000000"/>
          <w:lang w:val="en-CA"/>
        </w:rPr>
        <w:t xml:space="preserve"> engaged</w:t>
      </w:r>
      <w:r w:rsidR="00D258A9" w:rsidRPr="00515AA2">
        <w:rPr>
          <w:color w:val="000000"/>
          <w:lang w:val="en-CA"/>
        </w:rPr>
        <w:t>.</w:t>
      </w:r>
    </w:p>
    <w:p w14:paraId="0D719F17" w14:textId="5522C249" w:rsidR="00D258A9" w:rsidRPr="00515AA2" w:rsidRDefault="00641707" w:rsidP="00F846E3">
      <w:pPr>
        <w:pStyle w:val="Paragraphe"/>
        <w:spacing w:line="280" w:lineRule="exact"/>
        <w:rPr>
          <w:color w:val="000000"/>
          <w:lang w:val="en-CA"/>
        </w:rPr>
      </w:pPr>
      <w:r w:rsidRPr="00515AA2">
        <w:rPr>
          <w:color w:val="000000"/>
          <w:lang w:val="en-CA"/>
        </w:rPr>
        <w:t xml:space="preserve">I agree with my colleagues as to their analysis </w:t>
      </w:r>
      <w:r w:rsidR="00365E45" w:rsidRPr="00515AA2">
        <w:rPr>
          <w:color w:val="000000"/>
          <w:lang w:val="en-CA"/>
        </w:rPr>
        <w:t>in</w:t>
      </w:r>
      <w:r w:rsidRPr="00515AA2">
        <w:rPr>
          <w:color w:val="000000"/>
          <w:lang w:val="en-CA"/>
        </w:rPr>
        <w:t xml:space="preserve"> determin</w:t>
      </w:r>
      <w:r w:rsidR="00365E45" w:rsidRPr="00515AA2">
        <w:rPr>
          <w:color w:val="000000"/>
          <w:lang w:val="en-CA"/>
        </w:rPr>
        <w:t>ing</w:t>
      </w:r>
      <w:r w:rsidRPr="00515AA2">
        <w:rPr>
          <w:color w:val="000000"/>
          <w:lang w:val="en-CA"/>
        </w:rPr>
        <w:t xml:space="preserve"> whether such a violation is nevertheless justified under </w:t>
      </w:r>
      <w:r w:rsidR="00764FCE" w:rsidRPr="00515AA2">
        <w:rPr>
          <w:color w:val="000000"/>
          <w:lang w:val="en-CA"/>
        </w:rPr>
        <w:t>section</w:t>
      </w:r>
      <w:r w:rsidR="00365E45" w:rsidRPr="00515AA2">
        <w:rPr>
          <w:color w:val="000000"/>
          <w:lang w:val="en-CA"/>
        </w:rPr>
        <w:t xml:space="preserve"> </w:t>
      </w:r>
      <w:r w:rsidR="00D258A9" w:rsidRPr="00515AA2">
        <w:rPr>
          <w:color w:val="000000"/>
          <w:lang w:val="en-CA"/>
        </w:rPr>
        <w:t xml:space="preserve">1 </w:t>
      </w:r>
      <w:r w:rsidRPr="00515AA2">
        <w:rPr>
          <w:color w:val="000000"/>
          <w:lang w:val="en-CA"/>
        </w:rPr>
        <w:t>of the</w:t>
      </w:r>
      <w:r w:rsidR="00D258A9" w:rsidRPr="00515AA2">
        <w:rPr>
          <w:color w:val="000000"/>
          <w:lang w:val="en-CA"/>
        </w:rPr>
        <w:t xml:space="preserve"> </w:t>
      </w:r>
      <w:r w:rsidRPr="00515AA2">
        <w:rPr>
          <w:i/>
          <w:iCs/>
          <w:color w:val="000000"/>
          <w:lang w:val="en-CA"/>
        </w:rPr>
        <w:t>Canadian Charter</w:t>
      </w:r>
      <w:r w:rsidR="00D258A9" w:rsidRPr="00515AA2">
        <w:rPr>
          <w:i/>
          <w:iCs/>
          <w:color w:val="000000"/>
          <w:lang w:val="en-CA"/>
        </w:rPr>
        <w:t xml:space="preserve"> </w:t>
      </w:r>
      <w:r w:rsidRPr="00515AA2">
        <w:rPr>
          <w:color w:val="000000"/>
          <w:lang w:val="en-CA"/>
        </w:rPr>
        <w:t xml:space="preserve">or </w:t>
      </w:r>
      <w:r w:rsidR="00764FCE" w:rsidRPr="00515AA2">
        <w:rPr>
          <w:color w:val="000000"/>
          <w:lang w:val="en-CA"/>
        </w:rPr>
        <w:t>section</w:t>
      </w:r>
      <w:r w:rsidR="00D258A9" w:rsidRPr="00515AA2">
        <w:rPr>
          <w:color w:val="000000"/>
          <w:lang w:val="en-CA"/>
        </w:rPr>
        <w:t xml:space="preserve"> 9.1 </w:t>
      </w:r>
      <w:r w:rsidRPr="00515AA2">
        <w:rPr>
          <w:color w:val="000000"/>
          <w:lang w:val="en-CA"/>
        </w:rPr>
        <w:t>of the</w:t>
      </w:r>
      <w:r w:rsidR="00D258A9" w:rsidRPr="00515AA2">
        <w:rPr>
          <w:color w:val="000000"/>
          <w:lang w:val="en-CA"/>
        </w:rPr>
        <w:t xml:space="preserve"> </w:t>
      </w:r>
      <w:r w:rsidRPr="00515AA2">
        <w:rPr>
          <w:i/>
          <w:iCs/>
          <w:color w:val="000000"/>
          <w:lang w:val="en-CA"/>
        </w:rPr>
        <w:t>Quebec Charter</w:t>
      </w:r>
      <w:r w:rsidR="00D258A9" w:rsidRPr="00515AA2">
        <w:rPr>
          <w:color w:val="000000"/>
          <w:lang w:val="en-CA"/>
        </w:rPr>
        <w:t xml:space="preserve">. </w:t>
      </w:r>
      <w:r w:rsidRPr="00515AA2">
        <w:rPr>
          <w:color w:val="000000"/>
          <w:lang w:val="en-CA"/>
        </w:rPr>
        <w:t>Although my colleagues conduct that analysis in a somewhat different context</w:t>
      </w:r>
      <w:r w:rsidR="00D258A9" w:rsidRPr="00515AA2">
        <w:rPr>
          <w:color w:val="000000"/>
          <w:lang w:val="en-CA"/>
        </w:rPr>
        <w:t xml:space="preserve"> (violation </w:t>
      </w:r>
      <w:r w:rsidRPr="00515AA2">
        <w:rPr>
          <w:color w:val="000000"/>
          <w:lang w:val="en-CA"/>
        </w:rPr>
        <w:t>of the right to dignity and</w:t>
      </w:r>
      <w:r w:rsidR="00D258A9" w:rsidRPr="00515AA2">
        <w:rPr>
          <w:color w:val="000000"/>
          <w:lang w:val="en-CA"/>
        </w:rPr>
        <w:t xml:space="preserve"> justification </w:t>
      </w:r>
      <w:r w:rsidRPr="00515AA2">
        <w:rPr>
          <w:color w:val="000000"/>
          <w:lang w:val="en-CA"/>
        </w:rPr>
        <w:t xml:space="preserve">under </w:t>
      </w:r>
      <w:r w:rsidR="00764FCE" w:rsidRPr="00515AA2">
        <w:rPr>
          <w:color w:val="000000"/>
          <w:lang w:val="en-CA"/>
        </w:rPr>
        <w:t>section</w:t>
      </w:r>
      <w:r w:rsidR="00D258A9" w:rsidRPr="00515AA2">
        <w:rPr>
          <w:color w:val="000000"/>
          <w:lang w:val="en-CA"/>
        </w:rPr>
        <w:t xml:space="preserve"> 9.1 </w:t>
      </w:r>
      <w:r w:rsidRPr="00515AA2">
        <w:rPr>
          <w:color w:val="000000"/>
          <w:lang w:val="en-CA"/>
        </w:rPr>
        <w:t>of the</w:t>
      </w:r>
      <w:r w:rsidR="00D258A9" w:rsidRPr="00515AA2">
        <w:rPr>
          <w:color w:val="000000"/>
          <w:lang w:val="en-CA"/>
        </w:rPr>
        <w:t xml:space="preserve"> </w:t>
      </w:r>
      <w:r w:rsidRPr="00515AA2">
        <w:rPr>
          <w:i/>
          <w:iCs/>
          <w:color w:val="000000"/>
          <w:lang w:val="en-CA"/>
        </w:rPr>
        <w:t>Quebec Charter</w:t>
      </w:r>
      <w:r w:rsidR="00D258A9" w:rsidRPr="00515AA2">
        <w:rPr>
          <w:color w:val="000000"/>
          <w:lang w:val="en-CA"/>
        </w:rPr>
        <w:t xml:space="preserve">), </w:t>
      </w:r>
      <w:r w:rsidRPr="00515AA2">
        <w:rPr>
          <w:color w:val="000000"/>
          <w:lang w:val="en-CA"/>
        </w:rPr>
        <w:t xml:space="preserve">the analysis is transposable to the violation of </w:t>
      </w:r>
      <w:r w:rsidR="00764FCE" w:rsidRPr="00515AA2">
        <w:rPr>
          <w:color w:val="000000"/>
          <w:lang w:val="en-CA"/>
        </w:rPr>
        <w:t>section</w:t>
      </w:r>
      <w:r w:rsidRPr="00515AA2">
        <w:rPr>
          <w:color w:val="000000"/>
          <w:lang w:val="en-CA"/>
        </w:rPr>
        <w:t xml:space="preserve"> </w:t>
      </w:r>
      <w:r w:rsidR="00D258A9" w:rsidRPr="00515AA2">
        <w:rPr>
          <w:color w:val="000000"/>
          <w:lang w:val="en-CA"/>
        </w:rPr>
        <w:t xml:space="preserve">15 </w:t>
      </w:r>
      <w:r w:rsidRPr="00515AA2">
        <w:rPr>
          <w:color w:val="000000"/>
          <w:lang w:val="en-CA"/>
        </w:rPr>
        <w:t>of the</w:t>
      </w:r>
      <w:r w:rsidR="00D258A9" w:rsidRPr="00515AA2">
        <w:rPr>
          <w:color w:val="000000"/>
          <w:lang w:val="en-CA"/>
        </w:rPr>
        <w:t xml:space="preserve"> </w:t>
      </w:r>
      <w:r w:rsidRPr="00515AA2">
        <w:rPr>
          <w:i/>
          <w:iCs/>
          <w:color w:val="000000"/>
          <w:lang w:val="en-CA"/>
        </w:rPr>
        <w:t>Canadian Charter</w:t>
      </w:r>
      <w:r w:rsidR="00D258A9" w:rsidRPr="00515AA2">
        <w:rPr>
          <w:color w:val="000000"/>
          <w:lang w:val="en-CA"/>
        </w:rPr>
        <w:t xml:space="preserve"> </w:t>
      </w:r>
      <w:r w:rsidRPr="00515AA2">
        <w:rPr>
          <w:color w:val="000000"/>
          <w:lang w:val="en-CA"/>
        </w:rPr>
        <w:t xml:space="preserve">and to the justification under </w:t>
      </w:r>
      <w:r w:rsidR="00764FCE" w:rsidRPr="00515AA2">
        <w:rPr>
          <w:color w:val="000000"/>
          <w:lang w:val="en-CA"/>
        </w:rPr>
        <w:t>section</w:t>
      </w:r>
      <w:r w:rsidRPr="00515AA2">
        <w:rPr>
          <w:color w:val="000000"/>
          <w:lang w:val="en-CA"/>
        </w:rPr>
        <w:t xml:space="preserve"> 1 and </w:t>
      </w:r>
      <w:r w:rsidR="00D43380" w:rsidRPr="00515AA2">
        <w:rPr>
          <w:color w:val="000000"/>
          <w:lang w:val="en-CA"/>
        </w:rPr>
        <w:t xml:space="preserve">reaches </w:t>
      </w:r>
      <w:r w:rsidRPr="00515AA2">
        <w:rPr>
          <w:color w:val="000000"/>
          <w:lang w:val="en-CA"/>
        </w:rPr>
        <w:t>the same result, i.e.</w:t>
      </w:r>
      <w:r w:rsidR="00F94396" w:rsidRPr="00515AA2">
        <w:rPr>
          <w:color w:val="000000"/>
          <w:lang w:val="en-CA"/>
        </w:rPr>
        <w:t>,</w:t>
      </w:r>
      <w:r w:rsidRPr="00515AA2">
        <w:rPr>
          <w:color w:val="000000"/>
          <w:lang w:val="en-CA"/>
        </w:rPr>
        <w:t xml:space="preserve"> that the violation is justified</w:t>
      </w:r>
      <w:r w:rsidR="00D258A9" w:rsidRPr="00515AA2">
        <w:rPr>
          <w:color w:val="000000"/>
          <w:lang w:val="en-CA"/>
        </w:rPr>
        <w:t>.</w:t>
      </w:r>
    </w:p>
    <w:p w14:paraId="5AF0FEDC" w14:textId="53E48A94" w:rsidR="00D258A9" w:rsidRPr="00515AA2" w:rsidRDefault="00641707" w:rsidP="00F846E3">
      <w:pPr>
        <w:pStyle w:val="Paragraphe"/>
        <w:spacing w:line="280" w:lineRule="exact"/>
        <w:rPr>
          <w:color w:val="000000"/>
          <w:lang w:val="en-CA"/>
        </w:rPr>
      </w:pPr>
      <w:r w:rsidRPr="00515AA2">
        <w:rPr>
          <w:color w:val="000000"/>
          <w:lang w:val="en-CA"/>
        </w:rPr>
        <w:t>For</w:t>
      </w:r>
      <w:r w:rsidR="00F94396" w:rsidRPr="00515AA2">
        <w:rPr>
          <w:color w:val="000000"/>
          <w:lang w:val="en-CA"/>
        </w:rPr>
        <w:t xml:space="preserve"> this reason</w:t>
      </w:r>
      <w:r w:rsidR="00D258A9" w:rsidRPr="00515AA2">
        <w:rPr>
          <w:color w:val="000000"/>
          <w:lang w:val="en-CA"/>
        </w:rPr>
        <w:t xml:space="preserve">, </w:t>
      </w:r>
      <w:r w:rsidR="00F94396" w:rsidRPr="00515AA2">
        <w:rPr>
          <w:color w:val="000000"/>
          <w:lang w:val="en-CA"/>
        </w:rPr>
        <w:t xml:space="preserve">and notwithstanding my differing opinion on that specific issue, I </w:t>
      </w:r>
      <w:r w:rsidR="00365E45" w:rsidRPr="00515AA2">
        <w:rPr>
          <w:color w:val="000000"/>
          <w:lang w:val="en-CA"/>
        </w:rPr>
        <w:t xml:space="preserve">am in </w:t>
      </w:r>
      <w:r w:rsidR="00F94396" w:rsidRPr="00515AA2">
        <w:rPr>
          <w:color w:val="000000"/>
          <w:lang w:val="en-CA"/>
        </w:rPr>
        <w:t>agree</w:t>
      </w:r>
      <w:r w:rsidR="00365E45" w:rsidRPr="00515AA2">
        <w:rPr>
          <w:color w:val="000000"/>
          <w:lang w:val="en-CA"/>
        </w:rPr>
        <w:t>ment</w:t>
      </w:r>
      <w:r w:rsidR="00F94396" w:rsidRPr="00515AA2">
        <w:rPr>
          <w:color w:val="000000"/>
          <w:lang w:val="en-CA"/>
        </w:rPr>
        <w:t xml:space="preserve"> with my colleagues’ conclusions</w:t>
      </w:r>
      <w:r w:rsidR="00D258A9" w:rsidRPr="00515AA2">
        <w:rPr>
          <w:color w:val="000000"/>
          <w:lang w:val="en-CA"/>
        </w:rPr>
        <w:t>.</w:t>
      </w:r>
      <w:bookmarkEnd w:id="80"/>
    </w:p>
    <w:tbl>
      <w:tblPr>
        <w:tblW w:w="0" w:type="auto"/>
        <w:tblLayout w:type="fixed"/>
        <w:tblCellMar>
          <w:left w:w="0" w:type="dxa"/>
          <w:right w:w="0" w:type="dxa"/>
        </w:tblCellMar>
        <w:tblLook w:val="0000" w:firstRow="0" w:lastRow="0" w:firstColumn="0" w:lastColumn="0" w:noHBand="0" w:noVBand="0"/>
      </w:tblPr>
      <w:tblGrid>
        <w:gridCol w:w="4735"/>
        <w:gridCol w:w="4625"/>
      </w:tblGrid>
      <w:tr w:rsidR="00515AA2" w:rsidRPr="00C83535" w14:paraId="1DA938F8" w14:textId="77777777" w:rsidTr="009D5805">
        <w:trPr>
          <w:cantSplit/>
          <w:trHeight w:val="513"/>
        </w:trPr>
        <w:tc>
          <w:tcPr>
            <w:tcW w:w="9360" w:type="dxa"/>
            <w:gridSpan w:val="2"/>
          </w:tcPr>
          <w:p w14:paraId="6A6E1F07" w14:textId="77777777" w:rsidR="00D258A9" w:rsidRPr="00515AA2" w:rsidRDefault="00D258A9" w:rsidP="009D5805">
            <w:pPr>
              <w:rPr>
                <w:color w:val="000000"/>
                <w:lang w:val="en-CA"/>
              </w:rPr>
            </w:pPr>
          </w:p>
        </w:tc>
      </w:tr>
      <w:tr w:rsidR="00515AA2" w:rsidRPr="00C83535" w14:paraId="7496C4C3" w14:textId="77777777" w:rsidTr="009D5805">
        <w:trPr>
          <w:cantSplit/>
          <w:trHeight w:val="277"/>
        </w:trPr>
        <w:tc>
          <w:tcPr>
            <w:tcW w:w="4735" w:type="dxa"/>
            <w:vMerge w:val="restart"/>
          </w:tcPr>
          <w:p w14:paraId="7FFB4B5F" w14:textId="77777777" w:rsidR="00D258A9" w:rsidRPr="00515AA2" w:rsidRDefault="00D258A9" w:rsidP="009D5805">
            <w:pPr>
              <w:rPr>
                <w:color w:val="000000"/>
                <w:lang w:val="en-CA"/>
              </w:rPr>
            </w:pPr>
          </w:p>
        </w:tc>
        <w:tc>
          <w:tcPr>
            <w:tcW w:w="4625" w:type="dxa"/>
            <w:tcBorders>
              <w:bottom w:val="single" w:sz="8" w:space="0" w:color="auto"/>
            </w:tcBorders>
          </w:tcPr>
          <w:p w14:paraId="66876E13" w14:textId="77777777" w:rsidR="00D258A9" w:rsidRPr="00515AA2" w:rsidRDefault="00D258A9" w:rsidP="009D5805">
            <w:pPr>
              <w:rPr>
                <w:color w:val="000000"/>
                <w:lang w:val="en-CA"/>
              </w:rPr>
            </w:pPr>
          </w:p>
        </w:tc>
      </w:tr>
      <w:tr w:rsidR="00515AA2" w:rsidRPr="00C83535" w14:paraId="1F0A2326" w14:textId="77777777" w:rsidTr="009D5805">
        <w:trPr>
          <w:cantSplit/>
          <w:trHeight w:val="276"/>
        </w:trPr>
        <w:tc>
          <w:tcPr>
            <w:tcW w:w="4735" w:type="dxa"/>
            <w:vMerge/>
          </w:tcPr>
          <w:p w14:paraId="57076254" w14:textId="77777777" w:rsidR="00D258A9" w:rsidRPr="00515AA2" w:rsidRDefault="00D258A9" w:rsidP="009D5805">
            <w:pPr>
              <w:rPr>
                <w:color w:val="000000"/>
                <w:lang w:val="en-CA"/>
              </w:rPr>
            </w:pPr>
          </w:p>
        </w:tc>
        <w:tc>
          <w:tcPr>
            <w:tcW w:w="4625" w:type="dxa"/>
          </w:tcPr>
          <w:p w14:paraId="51540329" w14:textId="091099E6" w:rsidR="00D258A9" w:rsidRPr="00515AA2" w:rsidRDefault="00D258A9" w:rsidP="009D5805">
            <w:pPr>
              <w:rPr>
                <w:color w:val="000000"/>
                <w:lang w:val="en-CA"/>
              </w:rPr>
            </w:pPr>
            <w:r w:rsidRPr="00515AA2">
              <w:rPr>
                <w:color w:val="000000"/>
              </w:rPr>
              <w:fldChar w:fldCharType="begin"/>
            </w:r>
            <w:r w:rsidRPr="00515AA2">
              <w:rPr>
                <w:color w:val="000000"/>
                <w:lang w:val="en-CA"/>
              </w:rPr>
              <w:instrText xml:space="preserve"> REF NomJuge3 </w:instrText>
            </w:r>
            <w:r w:rsidR="00FB3810" w:rsidRPr="00515AA2">
              <w:rPr>
                <w:color w:val="000000"/>
                <w:lang w:val="en-CA"/>
              </w:rPr>
              <w:instrText xml:space="preserve"> \* MERGEFORMAT </w:instrText>
            </w:r>
            <w:r w:rsidRPr="00515AA2">
              <w:rPr>
                <w:color w:val="000000"/>
              </w:rPr>
              <w:fldChar w:fldCharType="separate"/>
            </w:r>
            <w:r w:rsidR="00C83535" w:rsidRPr="00515AA2">
              <w:rPr>
                <w:color w:val="000000"/>
                <w:lang w:val="en-CA"/>
              </w:rPr>
              <w:t>STEPHEN W. HAMILTON, J.A.</w:t>
            </w:r>
            <w:r w:rsidRPr="00515AA2">
              <w:rPr>
                <w:color w:val="000000"/>
              </w:rPr>
              <w:fldChar w:fldCharType="end"/>
            </w:r>
          </w:p>
        </w:tc>
      </w:tr>
    </w:tbl>
    <w:p w14:paraId="6F777DE1" w14:textId="097B4310" w:rsidR="00D258A9" w:rsidRPr="00515AA2" w:rsidRDefault="00D258A9" w:rsidP="00793FCC">
      <w:pPr>
        <w:spacing w:line="240" w:lineRule="auto"/>
        <w:rPr>
          <w:color w:val="000000"/>
          <w:lang w:val="en-CA"/>
        </w:rPr>
      </w:pPr>
    </w:p>
    <w:p w14:paraId="58C87FDF" w14:textId="77777777" w:rsidR="00D258A9" w:rsidRPr="00515AA2" w:rsidRDefault="00D258A9">
      <w:pPr>
        <w:spacing w:line="240" w:lineRule="auto"/>
        <w:rPr>
          <w:color w:val="000000"/>
          <w:lang w:val="en-CA"/>
        </w:rPr>
      </w:pPr>
      <w:r w:rsidRPr="00515AA2">
        <w:rPr>
          <w:color w:val="000000"/>
          <w:lang w:val="en-CA"/>
        </w:rPr>
        <w:br w:type="page"/>
      </w:r>
    </w:p>
    <w:p w14:paraId="657594C5" w14:textId="6EA47A86" w:rsidR="00945DE2" w:rsidRPr="00515AA2" w:rsidRDefault="00945DE2" w:rsidP="003803FB">
      <w:pPr>
        <w:pStyle w:val="appendix"/>
        <w:rPr>
          <w:color w:val="000000"/>
        </w:rPr>
      </w:pPr>
      <w:bookmarkStart w:id="84" w:name="_Toc161830125"/>
      <w:r w:rsidRPr="00515AA2">
        <w:rPr>
          <w:color w:val="000000"/>
        </w:rPr>
        <w:lastRenderedPageBreak/>
        <w:t>APPENDIX</w:t>
      </w:r>
      <w:bookmarkEnd w:id="84"/>
    </w:p>
    <w:tbl>
      <w:tblPr>
        <w:tblStyle w:val="Grilledutableau1"/>
        <w:tblW w:w="0" w:type="auto"/>
        <w:tblLook w:val="04A0" w:firstRow="1" w:lastRow="0" w:firstColumn="1" w:lastColumn="0" w:noHBand="0" w:noVBand="1"/>
      </w:tblPr>
      <w:tblGrid>
        <w:gridCol w:w="2609"/>
        <w:gridCol w:w="2125"/>
        <w:gridCol w:w="2325"/>
        <w:gridCol w:w="2293"/>
      </w:tblGrid>
      <w:tr w:rsidR="00515AA2" w:rsidRPr="00515AA2" w14:paraId="28DDEAF3" w14:textId="77777777" w:rsidTr="009D5805">
        <w:tc>
          <w:tcPr>
            <w:tcW w:w="3237" w:type="dxa"/>
          </w:tcPr>
          <w:p w14:paraId="6AD934F0" w14:textId="77777777" w:rsidR="00945DE2" w:rsidRPr="00515AA2" w:rsidRDefault="00945DE2" w:rsidP="009D5805">
            <w:pPr>
              <w:spacing w:line="240" w:lineRule="auto"/>
              <w:rPr>
                <w:b/>
                <w:bCs/>
                <w:color w:val="000000"/>
                <w:lang w:eastAsia="en-US"/>
              </w:rPr>
            </w:pPr>
          </w:p>
        </w:tc>
        <w:tc>
          <w:tcPr>
            <w:tcW w:w="3237" w:type="dxa"/>
            <w:vAlign w:val="center"/>
          </w:tcPr>
          <w:p w14:paraId="29D0C031" w14:textId="30E912CF" w:rsidR="00945DE2" w:rsidRPr="00515AA2" w:rsidRDefault="00945DE2" w:rsidP="009D5805">
            <w:pPr>
              <w:spacing w:line="240" w:lineRule="auto"/>
              <w:jc w:val="center"/>
              <w:rPr>
                <w:b/>
                <w:bCs/>
                <w:color w:val="000000"/>
                <w:lang w:val="en-CA" w:eastAsia="en-US"/>
              </w:rPr>
            </w:pPr>
            <w:r w:rsidRPr="00515AA2">
              <w:rPr>
                <w:b/>
                <w:bCs/>
                <w:color w:val="000000"/>
                <w:lang w:val="en-CA" w:eastAsia="en-US"/>
              </w:rPr>
              <w:t xml:space="preserve">Affidavit </w:t>
            </w:r>
            <w:r w:rsidR="0048501E" w:rsidRPr="00515AA2">
              <w:rPr>
                <w:b/>
                <w:bCs/>
                <w:color w:val="000000"/>
                <w:lang w:val="en-CA" w:eastAsia="en-US"/>
              </w:rPr>
              <w:t>from the</w:t>
            </w:r>
            <w:r w:rsidRPr="00515AA2">
              <w:rPr>
                <w:b/>
                <w:bCs/>
                <w:color w:val="000000"/>
                <w:lang w:val="en-CA" w:eastAsia="en-US"/>
              </w:rPr>
              <w:t xml:space="preserve"> applicant</w:t>
            </w:r>
          </w:p>
        </w:tc>
        <w:tc>
          <w:tcPr>
            <w:tcW w:w="3238" w:type="dxa"/>
            <w:vAlign w:val="center"/>
          </w:tcPr>
          <w:p w14:paraId="4869EBF2" w14:textId="77777777" w:rsidR="00945DE2" w:rsidRPr="00515AA2" w:rsidRDefault="00945DE2" w:rsidP="009D5805">
            <w:pPr>
              <w:spacing w:line="240" w:lineRule="auto"/>
              <w:jc w:val="center"/>
              <w:rPr>
                <w:b/>
                <w:bCs/>
                <w:color w:val="000000"/>
                <w:lang w:val="en-CA" w:eastAsia="en-US"/>
              </w:rPr>
            </w:pPr>
            <w:r w:rsidRPr="00515AA2">
              <w:rPr>
                <w:b/>
                <w:bCs/>
                <w:color w:val="000000"/>
                <w:lang w:val="en-CA" w:eastAsia="en-US"/>
              </w:rPr>
              <w:t>Letter from a professional</w:t>
            </w:r>
          </w:p>
        </w:tc>
        <w:tc>
          <w:tcPr>
            <w:tcW w:w="3238" w:type="dxa"/>
            <w:vAlign w:val="center"/>
          </w:tcPr>
          <w:p w14:paraId="228D7C15" w14:textId="77777777" w:rsidR="00945DE2" w:rsidRPr="00515AA2" w:rsidRDefault="00945DE2" w:rsidP="009D5805">
            <w:pPr>
              <w:spacing w:line="240" w:lineRule="auto"/>
              <w:jc w:val="center"/>
              <w:rPr>
                <w:b/>
                <w:bCs/>
                <w:color w:val="000000"/>
                <w:lang w:val="en-CA" w:eastAsia="en-US"/>
              </w:rPr>
            </w:pPr>
            <w:r w:rsidRPr="00515AA2">
              <w:rPr>
                <w:b/>
                <w:bCs/>
                <w:color w:val="000000"/>
                <w:lang w:val="en-CA" w:eastAsia="en-US"/>
              </w:rPr>
              <w:t>Minor</w:t>
            </w:r>
            <w:r w:rsidRPr="00515AA2">
              <w:rPr>
                <w:rStyle w:val="Appelnotedebasdep"/>
                <w:b/>
                <w:bCs/>
                <w:color w:val="000000"/>
                <w:lang w:val="en-CA" w:eastAsia="en-US"/>
              </w:rPr>
              <w:footnoteReference w:id="147"/>
            </w:r>
            <w:r w:rsidRPr="00515AA2">
              <w:rPr>
                <w:b/>
                <w:bCs/>
                <w:color w:val="000000"/>
                <w:lang w:val="en-CA" w:eastAsia="en-US"/>
              </w:rPr>
              <w:t>: parents’ consent</w:t>
            </w:r>
          </w:p>
        </w:tc>
      </w:tr>
      <w:tr w:rsidR="00515AA2" w:rsidRPr="00C83535" w14:paraId="498B45B4" w14:textId="77777777" w:rsidTr="009D5805">
        <w:tc>
          <w:tcPr>
            <w:tcW w:w="3237" w:type="dxa"/>
          </w:tcPr>
          <w:p w14:paraId="648B4464" w14:textId="77777777" w:rsidR="00945DE2" w:rsidRPr="00515AA2" w:rsidRDefault="00945DE2" w:rsidP="003D581F">
            <w:pPr>
              <w:spacing w:line="240" w:lineRule="auto"/>
              <w:jc w:val="both"/>
              <w:rPr>
                <w:b/>
                <w:bCs/>
                <w:color w:val="000000"/>
                <w:lang w:eastAsia="en-US"/>
              </w:rPr>
            </w:pPr>
            <w:r w:rsidRPr="00515AA2">
              <w:rPr>
                <w:b/>
                <w:bCs/>
                <w:color w:val="000000"/>
                <w:lang w:eastAsia="en-US"/>
              </w:rPr>
              <w:t>Alberta</w:t>
            </w:r>
            <w:r w:rsidRPr="00515AA2">
              <w:rPr>
                <w:color w:val="000000"/>
                <w:vertAlign w:val="superscript"/>
                <w:lang w:eastAsia="en-US"/>
              </w:rPr>
              <w:footnoteReference w:id="148"/>
            </w:r>
            <w:r w:rsidRPr="00515AA2">
              <w:rPr>
                <w:color w:val="000000"/>
                <w:lang w:eastAsia="en-US"/>
              </w:rPr>
              <w:t xml:space="preserve"> </w:t>
            </w:r>
          </w:p>
        </w:tc>
        <w:tc>
          <w:tcPr>
            <w:tcW w:w="3237" w:type="dxa"/>
          </w:tcPr>
          <w:p w14:paraId="4DCBA18B" w14:textId="77777777" w:rsidR="00945DE2" w:rsidRPr="00515AA2" w:rsidRDefault="00945DE2" w:rsidP="003D581F">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18013CF2" w14:textId="7D96044A" w:rsidR="00945DE2" w:rsidRPr="00515AA2" w:rsidRDefault="006D7AC5" w:rsidP="003D581F">
            <w:pPr>
              <w:spacing w:line="240" w:lineRule="auto"/>
              <w:jc w:val="both"/>
              <w:rPr>
                <w:color w:val="000000"/>
                <w:sz w:val="22"/>
                <w:szCs w:val="22"/>
                <w:lang w:val="en-CA" w:eastAsia="en-US"/>
              </w:rPr>
            </w:pPr>
            <w:r w:rsidRPr="00515AA2">
              <w:rPr>
                <w:color w:val="000000"/>
                <w:sz w:val="22"/>
                <w:szCs w:val="22"/>
                <w:lang w:val="en-CA" w:eastAsia="en-US"/>
              </w:rPr>
              <w:t>Only if</w:t>
            </w:r>
            <w:r w:rsidR="00945DE2" w:rsidRPr="00515AA2">
              <w:rPr>
                <w:color w:val="000000"/>
                <w:sz w:val="22"/>
                <w:szCs w:val="22"/>
                <w:lang w:val="en-CA" w:eastAsia="en-US"/>
              </w:rPr>
              <w:t xml:space="preserve"> the applicant is less than 12 years old (physician, psychologist, nurse, social worker)</w:t>
            </w:r>
          </w:p>
        </w:tc>
        <w:tc>
          <w:tcPr>
            <w:tcW w:w="3238" w:type="dxa"/>
          </w:tcPr>
          <w:p w14:paraId="028BD587" w14:textId="77777777" w:rsidR="00945DE2" w:rsidRPr="00515AA2" w:rsidRDefault="00945DE2" w:rsidP="003D581F">
            <w:pPr>
              <w:spacing w:line="240" w:lineRule="auto"/>
              <w:jc w:val="both"/>
              <w:rPr>
                <w:color w:val="000000"/>
                <w:sz w:val="22"/>
                <w:szCs w:val="22"/>
                <w:lang w:val="en-CA" w:eastAsia="en-US"/>
              </w:rPr>
            </w:pPr>
            <w:r w:rsidRPr="00515AA2">
              <w:rPr>
                <w:color w:val="000000"/>
                <w:sz w:val="22"/>
                <w:szCs w:val="22"/>
                <w:lang w:val="en-CA" w:eastAsia="en-US"/>
              </w:rPr>
              <w:t xml:space="preserve">Yes (request submitted by the parent, minor’s consent required if aged 12 and over), unless widowed, divorced, married or an adult independent partner </w:t>
            </w:r>
          </w:p>
        </w:tc>
      </w:tr>
      <w:tr w:rsidR="00515AA2" w:rsidRPr="00515AA2" w14:paraId="69997A66" w14:textId="77777777" w:rsidTr="009D5805">
        <w:tc>
          <w:tcPr>
            <w:tcW w:w="3237" w:type="dxa"/>
          </w:tcPr>
          <w:p w14:paraId="7EFDE3EE" w14:textId="77777777" w:rsidR="00945DE2" w:rsidRPr="00515AA2" w:rsidRDefault="00945DE2" w:rsidP="003D581F">
            <w:pPr>
              <w:spacing w:line="240" w:lineRule="auto"/>
              <w:jc w:val="both"/>
              <w:rPr>
                <w:b/>
                <w:bCs/>
                <w:color w:val="000000"/>
                <w:lang w:eastAsia="en-US"/>
              </w:rPr>
            </w:pPr>
            <w:r w:rsidRPr="00515AA2">
              <w:rPr>
                <w:b/>
                <w:bCs/>
                <w:color w:val="000000"/>
                <w:lang w:eastAsia="en-US"/>
              </w:rPr>
              <w:t>British Columbia</w:t>
            </w:r>
            <w:r w:rsidRPr="00515AA2">
              <w:rPr>
                <w:color w:val="000000"/>
                <w:vertAlign w:val="superscript"/>
                <w:lang w:eastAsia="en-US"/>
              </w:rPr>
              <w:footnoteReference w:id="149"/>
            </w:r>
          </w:p>
        </w:tc>
        <w:tc>
          <w:tcPr>
            <w:tcW w:w="3237" w:type="dxa"/>
          </w:tcPr>
          <w:p w14:paraId="6D1E14A0" w14:textId="77777777" w:rsidR="00945DE2" w:rsidRPr="00515AA2" w:rsidRDefault="00945DE2" w:rsidP="003D581F">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360A1F02" w14:textId="2CBD72E0" w:rsidR="00945DE2" w:rsidRPr="00515AA2" w:rsidRDefault="006D7AC5" w:rsidP="003D581F">
            <w:pPr>
              <w:spacing w:line="240" w:lineRule="auto"/>
              <w:jc w:val="both"/>
              <w:rPr>
                <w:color w:val="000000"/>
                <w:sz w:val="22"/>
                <w:szCs w:val="22"/>
                <w:lang w:val="en-CA" w:eastAsia="en-US"/>
              </w:rPr>
            </w:pPr>
            <w:r w:rsidRPr="00515AA2">
              <w:rPr>
                <w:color w:val="000000"/>
                <w:sz w:val="22"/>
                <w:szCs w:val="22"/>
                <w:lang w:val="en-CA" w:eastAsia="en-US"/>
              </w:rPr>
              <w:t>Only if the applicant is less than 12 years o</w:t>
            </w:r>
            <w:r w:rsidR="00A864CA" w:rsidRPr="00515AA2">
              <w:rPr>
                <w:color w:val="000000"/>
                <w:sz w:val="22"/>
                <w:szCs w:val="22"/>
                <w:lang w:val="en-CA" w:eastAsia="en-US"/>
              </w:rPr>
              <w:t>ld</w:t>
            </w:r>
            <w:r w:rsidR="00945DE2" w:rsidRPr="00515AA2">
              <w:rPr>
                <w:color w:val="000000"/>
                <w:sz w:val="22"/>
                <w:szCs w:val="22"/>
                <w:lang w:val="en-CA" w:eastAsia="en-US"/>
              </w:rPr>
              <w:t xml:space="preserve"> (physician, psychologist) “</w:t>
            </w:r>
            <w:r w:rsidR="00945DE2" w:rsidRPr="00515AA2">
              <w:rPr>
                <w:i/>
                <w:iCs/>
                <w:color w:val="000000"/>
                <w:sz w:val="22"/>
                <w:szCs w:val="22"/>
                <w:lang w:val="en-CA"/>
              </w:rPr>
              <w:t>confirm[ing] that the sex designation on the applicant's birth registration does not correspond with the applicant's gender identity</w:t>
            </w:r>
            <w:r w:rsidR="00945DE2" w:rsidRPr="00515AA2">
              <w:rPr>
                <w:color w:val="000000"/>
                <w:sz w:val="22"/>
                <w:szCs w:val="22"/>
                <w:lang w:val="en-CA"/>
              </w:rPr>
              <w:t>”</w:t>
            </w:r>
          </w:p>
        </w:tc>
        <w:tc>
          <w:tcPr>
            <w:tcW w:w="3238" w:type="dxa"/>
          </w:tcPr>
          <w:p w14:paraId="3D546452" w14:textId="77777777" w:rsidR="00945DE2" w:rsidRPr="00515AA2" w:rsidRDefault="00945DE2" w:rsidP="003D581F">
            <w:pPr>
              <w:spacing w:line="240" w:lineRule="auto"/>
              <w:jc w:val="both"/>
              <w:rPr>
                <w:color w:val="000000"/>
                <w:sz w:val="22"/>
                <w:szCs w:val="22"/>
                <w:lang w:eastAsia="en-US"/>
              </w:rPr>
            </w:pPr>
            <w:r w:rsidRPr="00515AA2">
              <w:rPr>
                <w:color w:val="000000"/>
                <w:sz w:val="22"/>
                <w:szCs w:val="22"/>
                <w:lang w:eastAsia="en-US"/>
              </w:rPr>
              <w:t>Yes</w:t>
            </w:r>
          </w:p>
        </w:tc>
      </w:tr>
      <w:tr w:rsidR="00515AA2" w:rsidRPr="00C83535" w14:paraId="7B7F9C97" w14:textId="77777777" w:rsidTr="009D5805">
        <w:tc>
          <w:tcPr>
            <w:tcW w:w="3237" w:type="dxa"/>
          </w:tcPr>
          <w:p w14:paraId="3FF98860" w14:textId="77777777" w:rsidR="00945DE2" w:rsidRPr="00515AA2" w:rsidRDefault="00945DE2" w:rsidP="003D581F">
            <w:pPr>
              <w:spacing w:line="240" w:lineRule="auto"/>
              <w:jc w:val="both"/>
              <w:rPr>
                <w:b/>
                <w:bCs/>
                <w:color w:val="000000"/>
                <w:lang w:eastAsia="en-US"/>
              </w:rPr>
            </w:pPr>
            <w:r w:rsidRPr="00515AA2">
              <w:rPr>
                <w:b/>
                <w:bCs/>
                <w:color w:val="000000"/>
                <w:lang w:eastAsia="en-US"/>
              </w:rPr>
              <w:t>Prince Edward Island</w:t>
            </w:r>
            <w:r w:rsidRPr="00515AA2">
              <w:rPr>
                <w:color w:val="000000"/>
                <w:vertAlign w:val="superscript"/>
                <w:lang w:eastAsia="en-US"/>
              </w:rPr>
              <w:footnoteReference w:id="150"/>
            </w:r>
            <w:r w:rsidRPr="00515AA2">
              <w:rPr>
                <w:color w:val="000000"/>
                <w:lang w:eastAsia="en-US"/>
              </w:rPr>
              <w:t xml:space="preserve"> </w:t>
            </w:r>
          </w:p>
        </w:tc>
        <w:tc>
          <w:tcPr>
            <w:tcW w:w="3237" w:type="dxa"/>
          </w:tcPr>
          <w:p w14:paraId="62F1A53D" w14:textId="77777777" w:rsidR="00945DE2" w:rsidRPr="00515AA2" w:rsidRDefault="00945DE2" w:rsidP="003D581F">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6B5CF13F" w14:textId="77777777" w:rsidR="00945DE2" w:rsidRPr="00515AA2" w:rsidRDefault="00945DE2" w:rsidP="003D581F">
            <w:pPr>
              <w:spacing w:line="240" w:lineRule="auto"/>
              <w:jc w:val="both"/>
              <w:rPr>
                <w:color w:val="000000"/>
                <w:sz w:val="22"/>
                <w:szCs w:val="22"/>
                <w:lang w:val="en-CA" w:eastAsia="en-US"/>
              </w:rPr>
            </w:pPr>
            <w:r w:rsidRPr="00515AA2">
              <w:rPr>
                <w:color w:val="000000"/>
                <w:sz w:val="22"/>
                <w:szCs w:val="22"/>
                <w:lang w:val="en-CA" w:eastAsia="en-US"/>
              </w:rPr>
              <w:t>Yes (physician, nurse) “</w:t>
            </w:r>
            <w:r w:rsidRPr="00515AA2">
              <w:rPr>
                <w:i/>
                <w:iCs/>
                <w:color w:val="000000"/>
                <w:sz w:val="22"/>
                <w:szCs w:val="22"/>
                <w:lang w:val="en-CA" w:eastAsia="en-US"/>
              </w:rPr>
              <w:t>confirming that the sex recorded on the person’s registration of birth does not correspond with the person’s gender identity</w:t>
            </w:r>
            <w:r w:rsidRPr="00515AA2">
              <w:rPr>
                <w:color w:val="000000"/>
                <w:sz w:val="22"/>
                <w:szCs w:val="22"/>
                <w:lang w:val="en-CA" w:eastAsia="en-US"/>
              </w:rPr>
              <w:t>”</w:t>
            </w:r>
          </w:p>
        </w:tc>
        <w:tc>
          <w:tcPr>
            <w:tcW w:w="3238" w:type="dxa"/>
          </w:tcPr>
          <w:p w14:paraId="679FE0CA" w14:textId="77777777" w:rsidR="00945DE2" w:rsidRPr="00515AA2" w:rsidRDefault="00945DE2" w:rsidP="003D581F">
            <w:pPr>
              <w:spacing w:line="240" w:lineRule="auto"/>
              <w:jc w:val="both"/>
              <w:rPr>
                <w:color w:val="000000"/>
                <w:sz w:val="22"/>
                <w:szCs w:val="22"/>
                <w:lang w:val="en-CA" w:eastAsia="en-US"/>
              </w:rPr>
            </w:pPr>
            <w:r w:rsidRPr="00515AA2">
              <w:rPr>
                <w:color w:val="000000"/>
                <w:sz w:val="22"/>
                <w:szCs w:val="22"/>
                <w:lang w:val="en-CA" w:eastAsia="en-US"/>
              </w:rPr>
              <w:t>Yes (request submitted by a parent, minor’s consent required if aged 12 or over)</w:t>
            </w:r>
          </w:p>
        </w:tc>
      </w:tr>
      <w:tr w:rsidR="00515AA2" w:rsidRPr="00515AA2" w14:paraId="28BFAC95" w14:textId="77777777" w:rsidTr="009D5805">
        <w:tc>
          <w:tcPr>
            <w:tcW w:w="3237" w:type="dxa"/>
          </w:tcPr>
          <w:p w14:paraId="69A74CAE" w14:textId="26FC7D39" w:rsidR="00945DE2" w:rsidRPr="00515AA2" w:rsidRDefault="00945DE2" w:rsidP="009924A6">
            <w:pPr>
              <w:spacing w:line="240" w:lineRule="auto"/>
              <w:jc w:val="both"/>
              <w:rPr>
                <w:b/>
                <w:bCs/>
                <w:color w:val="000000"/>
                <w:lang w:eastAsia="en-US"/>
              </w:rPr>
            </w:pPr>
            <w:r w:rsidRPr="00515AA2">
              <w:rPr>
                <w:b/>
                <w:bCs/>
                <w:color w:val="000000"/>
                <w:lang w:eastAsia="en-US"/>
              </w:rPr>
              <w:lastRenderedPageBreak/>
              <w:t>Manitoba</w:t>
            </w:r>
            <w:r w:rsidRPr="00515AA2">
              <w:rPr>
                <w:color w:val="000000"/>
                <w:vertAlign w:val="superscript"/>
                <w:lang w:eastAsia="en-US"/>
              </w:rPr>
              <w:footnoteReference w:id="151"/>
            </w:r>
          </w:p>
        </w:tc>
        <w:tc>
          <w:tcPr>
            <w:tcW w:w="3237" w:type="dxa"/>
          </w:tcPr>
          <w:p w14:paraId="5235AAEB" w14:textId="03167F01"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6FEACEF0" w14:textId="78DD293C"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 xml:space="preserve">Yes (physician, psychologist, nurse) </w:t>
            </w:r>
            <w:r w:rsidRPr="00515AA2">
              <w:rPr>
                <w:color w:val="000000"/>
                <w:sz w:val="22"/>
                <w:szCs w:val="22"/>
                <w:lang w:val="en-CA"/>
              </w:rPr>
              <w:t>“</w:t>
            </w:r>
            <w:r w:rsidRPr="00515AA2">
              <w:rPr>
                <w:i/>
                <w:iCs/>
                <w:color w:val="000000"/>
                <w:sz w:val="22"/>
                <w:szCs w:val="22"/>
                <w:lang w:val="en-CA"/>
              </w:rPr>
              <w:t>the sex designation on the applicant’s birth registration</w:t>
            </w:r>
            <w:r w:rsidRPr="00515AA2">
              <w:rPr>
                <w:color w:val="000000"/>
                <w:sz w:val="22"/>
                <w:szCs w:val="22"/>
                <w:lang w:val="en-CA"/>
              </w:rPr>
              <w:t xml:space="preserve"> </w:t>
            </w:r>
            <w:r w:rsidRPr="00515AA2">
              <w:rPr>
                <w:i/>
                <w:iCs/>
                <w:color w:val="000000"/>
                <w:sz w:val="22"/>
                <w:szCs w:val="22"/>
                <w:lang w:val="en-CA"/>
              </w:rPr>
              <w:t>[…] is, in the health care professional’s opinion, inconsistent with the sex designation with which the applicant identifies”</w:t>
            </w:r>
            <w:r w:rsidR="005745E0" w:rsidRPr="00515AA2">
              <w:rPr>
                <w:i/>
                <w:iCs/>
                <w:color w:val="000000"/>
                <w:sz w:val="22"/>
                <w:szCs w:val="22"/>
                <w:lang w:val="en-CA"/>
              </w:rPr>
              <w:t xml:space="preserve"> </w:t>
            </w:r>
            <w:r w:rsidR="005745E0" w:rsidRPr="00515AA2">
              <w:rPr>
                <w:color w:val="000000"/>
                <w:sz w:val="22"/>
                <w:szCs w:val="22"/>
                <w:lang w:val="en-CA"/>
              </w:rPr>
              <w:t>and, in the case of a minor,</w:t>
            </w:r>
            <w:r w:rsidR="005745E0" w:rsidRPr="00515AA2">
              <w:rPr>
                <w:i/>
                <w:iCs/>
                <w:color w:val="000000"/>
                <w:sz w:val="22"/>
                <w:szCs w:val="22"/>
                <w:lang w:val="en-CA"/>
              </w:rPr>
              <w:t xml:space="preserve"> “a statement that the health care professional is of the opinion that the minor has the capacity to make health care decisions”</w:t>
            </w:r>
          </w:p>
        </w:tc>
        <w:tc>
          <w:tcPr>
            <w:tcW w:w="3238" w:type="dxa"/>
          </w:tcPr>
          <w:p w14:paraId="1E11B7AA"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No</w:t>
            </w:r>
          </w:p>
        </w:tc>
      </w:tr>
      <w:tr w:rsidR="00515AA2" w:rsidRPr="00C83535" w14:paraId="7B41EE48" w14:textId="77777777" w:rsidTr="009D5805">
        <w:trPr>
          <w:trHeight w:val="981"/>
        </w:trPr>
        <w:tc>
          <w:tcPr>
            <w:tcW w:w="3237" w:type="dxa"/>
          </w:tcPr>
          <w:p w14:paraId="5C4C8FF7" w14:textId="77777777" w:rsidR="00945DE2" w:rsidRPr="00515AA2" w:rsidRDefault="00945DE2" w:rsidP="009924A6">
            <w:pPr>
              <w:spacing w:line="240" w:lineRule="auto"/>
              <w:jc w:val="both"/>
              <w:rPr>
                <w:b/>
                <w:bCs/>
                <w:color w:val="000000"/>
                <w:lang w:eastAsia="en-US"/>
              </w:rPr>
            </w:pPr>
            <w:r w:rsidRPr="00515AA2">
              <w:rPr>
                <w:b/>
                <w:bCs/>
                <w:color w:val="000000"/>
                <w:lang w:eastAsia="en-US"/>
              </w:rPr>
              <w:t>New Brunswick</w:t>
            </w:r>
            <w:r w:rsidRPr="00515AA2">
              <w:rPr>
                <w:color w:val="000000"/>
                <w:vertAlign w:val="superscript"/>
                <w:lang w:eastAsia="en-US"/>
              </w:rPr>
              <w:footnoteReference w:id="152"/>
            </w:r>
          </w:p>
        </w:tc>
        <w:tc>
          <w:tcPr>
            <w:tcW w:w="3237" w:type="dxa"/>
          </w:tcPr>
          <w:p w14:paraId="003BEDA5"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Yes</w:t>
            </w:r>
          </w:p>
          <w:p w14:paraId="16189089"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(the written declaration does not need to be under oath)</w:t>
            </w:r>
          </w:p>
        </w:tc>
        <w:tc>
          <w:tcPr>
            <w:tcW w:w="3238" w:type="dxa"/>
          </w:tcPr>
          <w:p w14:paraId="476D9716"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 xml:space="preserve">Yes (physician, psychologist) </w:t>
            </w:r>
            <w:r w:rsidRPr="00515AA2">
              <w:rPr>
                <w:color w:val="000000"/>
                <w:sz w:val="22"/>
                <w:szCs w:val="22"/>
                <w:lang w:val="en-CA"/>
              </w:rPr>
              <w:t>“</w:t>
            </w:r>
            <w:r w:rsidRPr="00515AA2">
              <w:rPr>
                <w:i/>
                <w:iCs/>
                <w:color w:val="000000"/>
                <w:sz w:val="22"/>
                <w:szCs w:val="22"/>
                <w:lang w:val="en-CA"/>
              </w:rPr>
              <w:t>confirms that the sex designation of the applicant is inconsistent with the gender with which the applicant identifies and, as a result, the sex designation should be changed”</w:t>
            </w:r>
          </w:p>
        </w:tc>
        <w:tc>
          <w:tcPr>
            <w:tcW w:w="3238" w:type="dxa"/>
          </w:tcPr>
          <w:p w14:paraId="5249FB7E"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 xml:space="preserve">Yes, if aged 15 or under (request submitted by a parent, minor’s consent required if aged 12 or over) </w:t>
            </w:r>
          </w:p>
        </w:tc>
      </w:tr>
      <w:tr w:rsidR="00515AA2" w:rsidRPr="00C83535" w14:paraId="144852B7" w14:textId="77777777" w:rsidTr="009D5805">
        <w:tc>
          <w:tcPr>
            <w:tcW w:w="3237" w:type="dxa"/>
          </w:tcPr>
          <w:p w14:paraId="2B5F345F" w14:textId="77777777" w:rsidR="00945DE2" w:rsidRPr="00515AA2" w:rsidRDefault="00945DE2" w:rsidP="009924A6">
            <w:pPr>
              <w:spacing w:line="240" w:lineRule="auto"/>
              <w:jc w:val="both"/>
              <w:rPr>
                <w:b/>
                <w:bCs/>
                <w:color w:val="000000"/>
                <w:lang w:eastAsia="en-US"/>
              </w:rPr>
            </w:pPr>
            <w:r w:rsidRPr="00515AA2">
              <w:rPr>
                <w:b/>
                <w:bCs/>
                <w:color w:val="000000"/>
                <w:lang w:eastAsia="en-US"/>
              </w:rPr>
              <w:t>Nova Scotia</w:t>
            </w:r>
            <w:r w:rsidRPr="00515AA2">
              <w:rPr>
                <w:color w:val="000000"/>
                <w:vertAlign w:val="superscript"/>
                <w:lang w:eastAsia="en-US"/>
              </w:rPr>
              <w:footnoteReference w:id="153"/>
            </w:r>
          </w:p>
        </w:tc>
        <w:tc>
          <w:tcPr>
            <w:tcW w:w="3237" w:type="dxa"/>
          </w:tcPr>
          <w:p w14:paraId="7E68EFDB"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1AC6B27A" w14:textId="3054F5E5" w:rsidR="00945DE2" w:rsidRPr="00515AA2" w:rsidRDefault="005745E0" w:rsidP="009924A6">
            <w:pPr>
              <w:spacing w:line="240" w:lineRule="auto"/>
              <w:jc w:val="both"/>
              <w:rPr>
                <w:color w:val="000000"/>
                <w:sz w:val="22"/>
                <w:szCs w:val="22"/>
                <w:lang w:val="en-CA" w:eastAsia="en-US"/>
              </w:rPr>
            </w:pPr>
            <w:r w:rsidRPr="00515AA2">
              <w:rPr>
                <w:color w:val="000000"/>
                <w:sz w:val="22"/>
                <w:szCs w:val="22"/>
                <w:lang w:val="en-CA" w:eastAsia="en-US"/>
              </w:rPr>
              <w:t>Only if the applicant is</w:t>
            </w:r>
            <w:r w:rsidR="00945DE2" w:rsidRPr="00515AA2">
              <w:rPr>
                <w:color w:val="000000"/>
                <w:sz w:val="22"/>
                <w:szCs w:val="22"/>
                <w:lang w:val="en-CA" w:eastAsia="en-US"/>
              </w:rPr>
              <w:t xml:space="preserve"> under the age of 16 (physician, psychologist) “</w:t>
            </w:r>
            <w:r w:rsidR="00945DE2" w:rsidRPr="00515AA2">
              <w:rPr>
                <w:i/>
                <w:iCs/>
                <w:color w:val="000000"/>
                <w:sz w:val="22"/>
                <w:szCs w:val="22"/>
                <w:lang w:val="en-CA" w:eastAsia="en-US"/>
              </w:rPr>
              <w:t xml:space="preserve">the person has treated or evaluated the applicant and that, in the person’s opinion, (C) the sex indicator </w:t>
            </w:r>
            <w:r w:rsidR="00945DE2" w:rsidRPr="00515AA2">
              <w:rPr>
                <w:i/>
                <w:iCs/>
                <w:color w:val="000000"/>
                <w:sz w:val="22"/>
                <w:szCs w:val="22"/>
                <w:lang w:val="en-CA" w:eastAsia="en-US"/>
              </w:rPr>
              <w:lastRenderedPageBreak/>
              <w:t>on the applicant’s birth registration, whether the birth was registered in the Province or elsewhere, does not correspond with the applicant’s gender identity, and (D) the applicant has the capacity to make an informed decision about whether to make an application under this Section”</w:t>
            </w:r>
          </w:p>
        </w:tc>
        <w:tc>
          <w:tcPr>
            <w:tcW w:w="3238" w:type="dxa"/>
          </w:tcPr>
          <w:p w14:paraId="53B9A6FE" w14:textId="0B3AABD1" w:rsidR="00945DE2" w:rsidRPr="00515AA2" w:rsidRDefault="005745E0" w:rsidP="009924A6">
            <w:pPr>
              <w:spacing w:line="240" w:lineRule="auto"/>
              <w:jc w:val="both"/>
              <w:rPr>
                <w:color w:val="000000"/>
                <w:sz w:val="22"/>
                <w:szCs w:val="22"/>
                <w:lang w:val="en-CA" w:eastAsia="en-US"/>
              </w:rPr>
            </w:pPr>
            <w:r w:rsidRPr="00515AA2">
              <w:rPr>
                <w:color w:val="000000"/>
                <w:sz w:val="22"/>
                <w:szCs w:val="22"/>
                <w:lang w:val="en-CA" w:eastAsia="en-US"/>
              </w:rPr>
              <w:lastRenderedPageBreak/>
              <w:t>Only</w:t>
            </w:r>
            <w:r w:rsidR="00945DE2" w:rsidRPr="00515AA2">
              <w:rPr>
                <w:color w:val="000000"/>
                <w:sz w:val="22"/>
                <w:szCs w:val="22"/>
                <w:lang w:val="en-CA" w:eastAsia="en-US"/>
              </w:rPr>
              <w:t xml:space="preserve"> if </w:t>
            </w:r>
            <w:r w:rsidRPr="00515AA2">
              <w:rPr>
                <w:color w:val="000000"/>
                <w:sz w:val="22"/>
                <w:szCs w:val="22"/>
                <w:lang w:val="en-CA" w:eastAsia="en-US"/>
              </w:rPr>
              <w:t>under the age of 16</w:t>
            </w:r>
          </w:p>
        </w:tc>
      </w:tr>
      <w:tr w:rsidR="00515AA2" w:rsidRPr="00515AA2" w14:paraId="13F4DB83" w14:textId="77777777" w:rsidTr="009D5805">
        <w:tc>
          <w:tcPr>
            <w:tcW w:w="3237" w:type="dxa"/>
          </w:tcPr>
          <w:p w14:paraId="3599F44C" w14:textId="77777777" w:rsidR="00945DE2" w:rsidRPr="00515AA2" w:rsidRDefault="00945DE2" w:rsidP="009924A6">
            <w:pPr>
              <w:spacing w:line="240" w:lineRule="auto"/>
              <w:jc w:val="both"/>
              <w:rPr>
                <w:b/>
                <w:bCs/>
                <w:color w:val="000000"/>
                <w:lang w:eastAsia="en-US"/>
              </w:rPr>
            </w:pPr>
            <w:r w:rsidRPr="00515AA2">
              <w:rPr>
                <w:b/>
                <w:bCs/>
                <w:color w:val="000000"/>
                <w:lang w:eastAsia="en-US"/>
              </w:rPr>
              <w:t>Nunavut</w:t>
            </w:r>
            <w:r w:rsidRPr="00515AA2">
              <w:rPr>
                <w:color w:val="000000"/>
                <w:vertAlign w:val="superscript"/>
                <w:lang w:eastAsia="en-US"/>
              </w:rPr>
              <w:footnoteReference w:id="154"/>
            </w:r>
          </w:p>
        </w:tc>
        <w:tc>
          <w:tcPr>
            <w:tcW w:w="3237" w:type="dxa"/>
          </w:tcPr>
          <w:p w14:paraId="6E3DDBD4"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56273426"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Yes – two letters (physician, psychologist, nurse) “</w:t>
            </w:r>
            <w:r w:rsidRPr="00515AA2">
              <w:rPr>
                <w:i/>
                <w:iCs/>
                <w:color w:val="000000"/>
                <w:sz w:val="22"/>
                <w:szCs w:val="22"/>
                <w:lang w:val="en-CA" w:eastAsia="en-US"/>
              </w:rPr>
              <w:t>a statement that the health care professional is of the opinion (i) that the sex designation on the applicant’s registration of birth is inconsistent with the sex designation with which the applicant identifies and (ii) that the sex designation requested by the applicant is consistent with the sex designation</w:t>
            </w:r>
            <w:r w:rsidRPr="00515AA2">
              <w:rPr>
                <w:color w:val="000000"/>
                <w:sz w:val="22"/>
                <w:szCs w:val="22"/>
                <w:lang w:val="en-CA" w:eastAsia="en-US"/>
              </w:rPr>
              <w:t xml:space="preserve"> </w:t>
            </w:r>
            <w:r w:rsidRPr="00515AA2">
              <w:rPr>
                <w:i/>
                <w:iCs/>
                <w:color w:val="000000"/>
                <w:sz w:val="22"/>
                <w:szCs w:val="22"/>
                <w:lang w:val="en-CA" w:eastAsia="en-US"/>
              </w:rPr>
              <w:t>with which the applicant identifies; […] a statement that the health care professional is of the opinion that the minor has the capacity to make health care decisions”</w:t>
            </w:r>
          </w:p>
        </w:tc>
        <w:tc>
          <w:tcPr>
            <w:tcW w:w="3238" w:type="dxa"/>
          </w:tcPr>
          <w:p w14:paraId="39087171"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No</w:t>
            </w:r>
          </w:p>
        </w:tc>
      </w:tr>
      <w:tr w:rsidR="00515AA2" w:rsidRPr="00C83535" w14:paraId="1F070338" w14:textId="77777777" w:rsidTr="009D5805">
        <w:tc>
          <w:tcPr>
            <w:tcW w:w="3237" w:type="dxa"/>
          </w:tcPr>
          <w:p w14:paraId="3395F3CD" w14:textId="77777777" w:rsidR="00945DE2" w:rsidRPr="00515AA2" w:rsidRDefault="00945DE2" w:rsidP="009924A6">
            <w:pPr>
              <w:spacing w:line="240" w:lineRule="auto"/>
              <w:jc w:val="both"/>
              <w:rPr>
                <w:b/>
                <w:bCs/>
                <w:color w:val="000000"/>
                <w:lang w:eastAsia="en-US"/>
              </w:rPr>
            </w:pPr>
            <w:r w:rsidRPr="00515AA2">
              <w:rPr>
                <w:b/>
                <w:bCs/>
                <w:color w:val="000000"/>
                <w:lang w:eastAsia="en-US"/>
              </w:rPr>
              <w:lastRenderedPageBreak/>
              <w:t>Ontario</w:t>
            </w:r>
            <w:r w:rsidRPr="00515AA2">
              <w:rPr>
                <w:color w:val="000000"/>
                <w:vertAlign w:val="superscript"/>
                <w:lang w:eastAsia="en-US"/>
              </w:rPr>
              <w:footnoteReference w:id="155"/>
            </w:r>
          </w:p>
        </w:tc>
        <w:tc>
          <w:tcPr>
            <w:tcW w:w="3237" w:type="dxa"/>
          </w:tcPr>
          <w:p w14:paraId="1AB6D6B1"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73570842" w14:textId="55B6671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Yes (physician, psychologist) “</w:t>
            </w:r>
            <w:r w:rsidRPr="00515AA2">
              <w:rPr>
                <w:i/>
                <w:iCs/>
                <w:color w:val="000000"/>
                <w:sz w:val="22"/>
                <w:szCs w:val="22"/>
                <w:lang w:val="en-CA" w:eastAsia="en-US"/>
              </w:rPr>
              <w:t xml:space="preserve">confirm </w:t>
            </w:r>
            <w:r w:rsidR="00CF5213" w:rsidRPr="00515AA2">
              <w:rPr>
                <w:i/>
                <w:iCs/>
                <w:color w:val="000000"/>
                <w:sz w:val="22"/>
                <w:szCs w:val="22"/>
                <w:lang w:val="en-CA" w:eastAsia="en-US"/>
              </w:rPr>
              <w:t>that</w:t>
            </w:r>
            <w:r w:rsidRPr="00515AA2">
              <w:rPr>
                <w:i/>
                <w:iCs/>
                <w:color w:val="000000"/>
                <w:sz w:val="22"/>
                <w:szCs w:val="22"/>
                <w:lang w:val="en-CA" w:eastAsia="en-US"/>
              </w:rPr>
              <w:t xml:space="preserve"> the </w:t>
            </w:r>
            <w:r w:rsidR="00A864CA" w:rsidRPr="00515AA2">
              <w:rPr>
                <w:i/>
                <w:iCs/>
                <w:color w:val="000000"/>
                <w:sz w:val="22"/>
                <w:szCs w:val="22"/>
                <w:lang w:val="en-CA" w:eastAsia="en-US"/>
              </w:rPr>
              <w:t>applicant</w:t>
            </w:r>
            <w:r w:rsidRPr="00515AA2">
              <w:rPr>
                <w:i/>
                <w:iCs/>
                <w:color w:val="000000"/>
                <w:sz w:val="22"/>
                <w:szCs w:val="22"/>
                <w:lang w:val="en-CA" w:eastAsia="en-US"/>
              </w:rPr>
              <w:t>’s gender identity does not accord with the sex designation on the child’s birth registration; and are of the opinion that the change of sex designation on the birth registration is appropriate”</w:t>
            </w:r>
          </w:p>
        </w:tc>
        <w:tc>
          <w:tcPr>
            <w:tcW w:w="3238" w:type="dxa"/>
          </w:tcPr>
          <w:p w14:paraId="6CE4C283"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Yes, if aged 15 or under (request submitted by a parent, minor’s consent required)</w:t>
            </w:r>
          </w:p>
        </w:tc>
      </w:tr>
      <w:tr w:rsidR="00515AA2" w:rsidRPr="00515AA2" w14:paraId="4AF95FB8" w14:textId="77777777" w:rsidTr="009D5805">
        <w:tc>
          <w:tcPr>
            <w:tcW w:w="3237" w:type="dxa"/>
          </w:tcPr>
          <w:p w14:paraId="6B1336E9" w14:textId="77777777" w:rsidR="00945DE2" w:rsidRPr="00515AA2" w:rsidRDefault="00945DE2" w:rsidP="009924A6">
            <w:pPr>
              <w:spacing w:line="240" w:lineRule="auto"/>
              <w:jc w:val="both"/>
              <w:rPr>
                <w:b/>
                <w:bCs/>
                <w:color w:val="000000"/>
                <w:lang w:eastAsia="en-US"/>
              </w:rPr>
            </w:pPr>
            <w:r w:rsidRPr="00515AA2">
              <w:rPr>
                <w:b/>
                <w:bCs/>
                <w:color w:val="000000"/>
                <w:lang w:eastAsia="en-US"/>
              </w:rPr>
              <w:t>Saskatchewan</w:t>
            </w:r>
            <w:r w:rsidRPr="00515AA2">
              <w:rPr>
                <w:color w:val="000000"/>
                <w:vertAlign w:val="superscript"/>
                <w:lang w:eastAsia="en-US"/>
              </w:rPr>
              <w:footnoteReference w:id="156"/>
            </w:r>
          </w:p>
        </w:tc>
        <w:tc>
          <w:tcPr>
            <w:tcW w:w="3237" w:type="dxa"/>
          </w:tcPr>
          <w:p w14:paraId="5B2E71FE"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3D6ECB58" w14:textId="69C5FC0F"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Yes (physician, psychologist) « </w:t>
            </w:r>
            <w:r w:rsidRPr="00515AA2">
              <w:rPr>
                <w:i/>
                <w:iCs/>
                <w:color w:val="000000"/>
                <w:sz w:val="22"/>
                <w:szCs w:val="22"/>
                <w:lang w:val="en-CA" w:eastAsia="en-US"/>
              </w:rPr>
              <w:t xml:space="preserve">in the health care professional’s opinion, the applicant has assumed, identifies with and is maintaining the gender identity that corresponds with the </w:t>
            </w:r>
            <w:r w:rsidRPr="00515AA2">
              <w:rPr>
                <w:i/>
                <w:iCs/>
                <w:color w:val="000000"/>
                <w:sz w:val="22"/>
                <w:szCs w:val="22"/>
                <w:lang w:val="en-CA" w:eastAsia="en-US"/>
              </w:rPr>
              <w:lastRenderedPageBreak/>
              <w:t xml:space="preserve">requested amendment to the designation of sex on the applicant’s statement; and </w:t>
            </w:r>
            <w:r w:rsidR="00A864CA" w:rsidRPr="00515AA2">
              <w:rPr>
                <w:i/>
                <w:iCs/>
                <w:color w:val="000000"/>
                <w:sz w:val="22"/>
                <w:szCs w:val="22"/>
                <w:lang w:val="en-CA" w:eastAsia="en-US"/>
              </w:rPr>
              <w:t>[…]</w:t>
            </w:r>
            <w:r w:rsidRPr="00515AA2">
              <w:rPr>
                <w:i/>
                <w:iCs/>
                <w:color w:val="000000"/>
                <w:sz w:val="22"/>
                <w:szCs w:val="22"/>
                <w:lang w:val="en-CA" w:eastAsia="en-US"/>
              </w:rPr>
              <w:t xml:space="preserve"> in the health care professional’s opinion, the change of sex designation</w:t>
            </w:r>
            <w:r w:rsidRPr="00515AA2">
              <w:rPr>
                <w:color w:val="000000"/>
                <w:sz w:val="22"/>
                <w:szCs w:val="22"/>
                <w:lang w:val="en-CA" w:eastAsia="en-US"/>
              </w:rPr>
              <w:t xml:space="preserve"> </w:t>
            </w:r>
            <w:r w:rsidRPr="00515AA2">
              <w:rPr>
                <w:i/>
                <w:iCs/>
                <w:color w:val="000000"/>
                <w:sz w:val="22"/>
                <w:szCs w:val="22"/>
                <w:lang w:val="en-CA" w:eastAsia="en-US"/>
              </w:rPr>
              <w:t>on the applicant’s statement is appropriate” and “in the health care professional’s opinion, the applicant has the capacity to make health care decisions”</w:t>
            </w:r>
          </w:p>
        </w:tc>
        <w:tc>
          <w:tcPr>
            <w:tcW w:w="3238" w:type="dxa"/>
          </w:tcPr>
          <w:p w14:paraId="5E7BB5C6"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lastRenderedPageBreak/>
              <w:t>No</w:t>
            </w:r>
          </w:p>
        </w:tc>
      </w:tr>
      <w:tr w:rsidR="00515AA2" w:rsidRPr="00C83535" w14:paraId="22062D3B" w14:textId="77777777" w:rsidTr="009D5805">
        <w:tc>
          <w:tcPr>
            <w:tcW w:w="3237" w:type="dxa"/>
          </w:tcPr>
          <w:p w14:paraId="5BD9FA2C" w14:textId="77777777" w:rsidR="00945DE2" w:rsidRPr="00515AA2" w:rsidRDefault="00945DE2" w:rsidP="009924A6">
            <w:pPr>
              <w:spacing w:line="240" w:lineRule="auto"/>
              <w:jc w:val="both"/>
              <w:rPr>
                <w:b/>
                <w:bCs/>
                <w:color w:val="000000"/>
                <w:lang w:eastAsia="en-US"/>
              </w:rPr>
            </w:pPr>
            <w:r w:rsidRPr="00515AA2">
              <w:rPr>
                <w:b/>
                <w:bCs/>
                <w:color w:val="000000"/>
                <w:lang w:eastAsia="en-US"/>
              </w:rPr>
              <w:t>Newfoundland and Labrador</w:t>
            </w:r>
            <w:r w:rsidRPr="00515AA2">
              <w:rPr>
                <w:color w:val="000000"/>
                <w:vertAlign w:val="superscript"/>
                <w:lang w:eastAsia="en-US"/>
              </w:rPr>
              <w:footnoteReference w:id="157"/>
            </w:r>
          </w:p>
        </w:tc>
        <w:tc>
          <w:tcPr>
            <w:tcW w:w="3237" w:type="dxa"/>
          </w:tcPr>
          <w:p w14:paraId="545F4C24"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66F8D8F8" w14:textId="1221690F" w:rsidR="00945DE2" w:rsidRPr="00515AA2" w:rsidRDefault="00A864CA" w:rsidP="009924A6">
            <w:pPr>
              <w:spacing w:line="240" w:lineRule="auto"/>
              <w:jc w:val="both"/>
              <w:rPr>
                <w:color w:val="000000"/>
                <w:sz w:val="22"/>
                <w:szCs w:val="22"/>
                <w:lang w:val="en-CA" w:eastAsia="en-US"/>
              </w:rPr>
            </w:pPr>
            <w:r w:rsidRPr="00515AA2">
              <w:rPr>
                <w:color w:val="000000"/>
                <w:sz w:val="22"/>
                <w:szCs w:val="22"/>
                <w:lang w:val="en-CA" w:eastAsia="en-US"/>
              </w:rPr>
              <w:t>Only if the applicant is</w:t>
            </w:r>
            <w:r w:rsidR="00945DE2" w:rsidRPr="00515AA2">
              <w:rPr>
                <w:color w:val="000000"/>
                <w:sz w:val="22"/>
                <w:szCs w:val="22"/>
                <w:lang w:val="en-CA" w:eastAsia="en-US"/>
              </w:rPr>
              <w:t xml:space="preserve"> </w:t>
            </w:r>
            <w:r w:rsidRPr="00515AA2">
              <w:rPr>
                <w:color w:val="000000"/>
                <w:sz w:val="22"/>
                <w:szCs w:val="22"/>
                <w:lang w:val="en-CA" w:eastAsia="en-US"/>
              </w:rPr>
              <w:t>under</w:t>
            </w:r>
            <w:r w:rsidR="00945DE2" w:rsidRPr="00515AA2">
              <w:rPr>
                <w:color w:val="000000"/>
                <w:sz w:val="22"/>
                <w:szCs w:val="22"/>
                <w:lang w:val="en-CA" w:eastAsia="en-US"/>
              </w:rPr>
              <w:t xml:space="preserve"> </w:t>
            </w:r>
            <w:r w:rsidR="00226DCA" w:rsidRPr="00515AA2">
              <w:rPr>
                <w:color w:val="000000"/>
                <w:sz w:val="22"/>
                <w:szCs w:val="22"/>
                <w:lang w:val="en-CA" w:eastAsia="en-US"/>
              </w:rPr>
              <w:t xml:space="preserve">the age of </w:t>
            </w:r>
            <w:r w:rsidR="00945DE2" w:rsidRPr="00515AA2">
              <w:rPr>
                <w:color w:val="000000"/>
                <w:sz w:val="22"/>
                <w:szCs w:val="22"/>
                <w:lang w:val="en-CA" w:eastAsia="en-US"/>
              </w:rPr>
              <w:t>16 (physician, psychologist, nurse, social worker) – a second statement is required if aged under 12 “</w:t>
            </w:r>
            <w:r w:rsidR="00945DE2" w:rsidRPr="00515AA2">
              <w:rPr>
                <w:i/>
                <w:iCs/>
                <w:color w:val="000000"/>
                <w:sz w:val="22"/>
                <w:szCs w:val="22"/>
                <w:lang w:val="en-CA" w:eastAsia="en-US"/>
              </w:rPr>
              <w:t>confirms that the sex designation requested by the applicant is consistent with the sex designation with which the child identifies”</w:t>
            </w:r>
          </w:p>
        </w:tc>
        <w:tc>
          <w:tcPr>
            <w:tcW w:w="3238" w:type="dxa"/>
          </w:tcPr>
          <w:p w14:paraId="73A87E67" w14:textId="2F99BD78" w:rsidR="00945DE2" w:rsidRPr="00515AA2" w:rsidRDefault="00A864CA" w:rsidP="009924A6">
            <w:pPr>
              <w:spacing w:line="240" w:lineRule="auto"/>
              <w:jc w:val="both"/>
              <w:rPr>
                <w:color w:val="000000"/>
                <w:sz w:val="22"/>
                <w:szCs w:val="22"/>
                <w:lang w:val="en-CA" w:eastAsia="en-US"/>
              </w:rPr>
            </w:pPr>
            <w:r w:rsidRPr="00515AA2">
              <w:rPr>
                <w:color w:val="000000"/>
                <w:sz w:val="22"/>
                <w:szCs w:val="22"/>
                <w:lang w:val="en-CA" w:eastAsia="en-US"/>
              </w:rPr>
              <w:t>Only</w:t>
            </w:r>
            <w:r w:rsidR="00945DE2" w:rsidRPr="00515AA2">
              <w:rPr>
                <w:color w:val="000000"/>
                <w:sz w:val="22"/>
                <w:szCs w:val="22"/>
                <w:lang w:val="en-CA" w:eastAsia="en-US"/>
              </w:rPr>
              <w:t xml:space="preserve"> if </w:t>
            </w:r>
            <w:r w:rsidRPr="00515AA2">
              <w:rPr>
                <w:color w:val="000000"/>
                <w:sz w:val="22"/>
                <w:szCs w:val="22"/>
                <w:lang w:val="en-CA" w:eastAsia="en-US"/>
              </w:rPr>
              <w:t xml:space="preserve">under </w:t>
            </w:r>
            <w:r w:rsidR="00226DCA" w:rsidRPr="00515AA2">
              <w:rPr>
                <w:color w:val="000000"/>
                <w:sz w:val="22"/>
                <w:szCs w:val="22"/>
                <w:lang w:val="en-CA" w:eastAsia="en-US"/>
              </w:rPr>
              <w:t>the age of 1</w:t>
            </w:r>
            <w:r w:rsidRPr="00515AA2">
              <w:rPr>
                <w:color w:val="000000"/>
                <w:sz w:val="22"/>
                <w:szCs w:val="22"/>
                <w:lang w:val="en-CA" w:eastAsia="en-US"/>
              </w:rPr>
              <w:t>6</w:t>
            </w:r>
            <w:r w:rsidR="00945DE2" w:rsidRPr="00515AA2">
              <w:rPr>
                <w:color w:val="000000"/>
                <w:sz w:val="22"/>
                <w:szCs w:val="22"/>
                <w:lang w:val="en-CA" w:eastAsia="en-US"/>
              </w:rPr>
              <w:t xml:space="preserve"> (request submitted by a parent, minor’s consent is required if aged 12 and over)</w:t>
            </w:r>
          </w:p>
        </w:tc>
      </w:tr>
      <w:tr w:rsidR="00515AA2" w:rsidRPr="00C83535" w14:paraId="1771FD71" w14:textId="77777777" w:rsidTr="009D5805">
        <w:tc>
          <w:tcPr>
            <w:tcW w:w="3237" w:type="dxa"/>
          </w:tcPr>
          <w:p w14:paraId="6201F4FE" w14:textId="77777777" w:rsidR="00945DE2" w:rsidRPr="00515AA2" w:rsidRDefault="00945DE2" w:rsidP="009924A6">
            <w:pPr>
              <w:spacing w:line="240" w:lineRule="auto"/>
              <w:jc w:val="both"/>
              <w:rPr>
                <w:b/>
                <w:bCs/>
                <w:color w:val="000000"/>
                <w:lang w:eastAsia="en-US"/>
              </w:rPr>
            </w:pPr>
            <w:r w:rsidRPr="00515AA2">
              <w:rPr>
                <w:b/>
                <w:bCs/>
                <w:color w:val="000000"/>
                <w:lang w:eastAsia="en-US"/>
              </w:rPr>
              <w:t>Northwest Territories</w:t>
            </w:r>
            <w:r w:rsidRPr="00515AA2">
              <w:rPr>
                <w:color w:val="000000"/>
                <w:vertAlign w:val="superscript"/>
                <w:lang w:eastAsia="en-US"/>
              </w:rPr>
              <w:footnoteReference w:id="158"/>
            </w:r>
          </w:p>
        </w:tc>
        <w:tc>
          <w:tcPr>
            <w:tcW w:w="3237" w:type="dxa"/>
          </w:tcPr>
          <w:p w14:paraId="002095D6" w14:textId="77777777" w:rsidR="00945DE2" w:rsidRPr="00515AA2" w:rsidRDefault="00945DE2" w:rsidP="009924A6">
            <w:pPr>
              <w:spacing w:line="240" w:lineRule="auto"/>
              <w:jc w:val="both"/>
              <w:rPr>
                <w:color w:val="000000"/>
                <w:sz w:val="22"/>
                <w:szCs w:val="22"/>
                <w:lang w:eastAsia="en-US"/>
              </w:rPr>
            </w:pPr>
            <w:r w:rsidRPr="00515AA2">
              <w:rPr>
                <w:color w:val="000000"/>
                <w:sz w:val="22"/>
                <w:szCs w:val="22"/>
                <w:lang w:eastAsia="en-US"/>
              </w:rPr>
              <w:t>Yes</w:t>
            </w:r>
          </w:p>
        </w:tc>
        <w:tc>
          <w:tcPr>
            <w:tcW w:w="3238" w:type="dxa"/>
          </w:tcPr>
          <w:p w14:paraId="7D20D2E2"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Yes (physician, psychologist, nurse, social worker) “</w:t>
            </w:r>
            <w:r w:rsidRPr="00515AA2">
              <w:rPr>
                <w:i/>
                <w:iCs/>
                <w:color w:val="000000"/>
                <w:sz w:val="22"/>
                <w:szCs w:val="22"/>
                <w:lang w:val="en-CA" w:eastAsia="en-US"/>
              </w:rPr>
              <w:t xml:space="preserve">in the professional opinion of the designated professional, the requested amendment to the </w:t>
            </w:r>
            <w:r w:rsidRPr="00515AA2">
              <w:rPr>
                <w:i/>
                <w:iCs/>
                <w:color w:val="000000"/>
                <w:sz w:val="22"/>
                <w:szCs w:val="22"/>
                <w:lang w:val="en-CA" w:eastAsia="en-US"/>
              </w:rPr>
              <w:lastRenderedPageBreak/>
              <w:t>designation of sex corresponds with the gender identity with which the minor identifies</w:t>
            </w:r>
            <w:r w:rsidRPr="00515AA2">
              <w:rPr>
                <w:color w:val="000000"/>
                <w:sz w:val="22"/>
                <w:szCs w:val="22"/>
                <w:lang w:val="en-CA" w:eastAsia="en-US"/>
              </w:rPr>
              <w:t>”</w:t>
            </w:r>
          </w:p>
        </w:tc>
        <w:tc>
          <w:tcPr>
            <w:tcW w:w="3238" w:type="dxa"/>
          </w:tcPr>
          <w:p w14:paraId="6F472561"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lastRenderedPageBreak/>
              <w:t xml:space="preserve">Yes (request submitted by a parent), unless aged 16 and over and living independently </w:t>
            </w:r>
          </w:p>
        </w:tc>
      </w:tr>
      <w:tr w:rsidR="00515AA2" w:rsidRPr="00C83535" w14:paraId="3DC9A4C1" w14:textId="77777777" w:rsidTr="009D5805">
        <w:tc>
          <w:tcPr>
            <w:tcW w:w="3237" w:type="dxa"/>
          </w:tcPr>
          <w:p w14:paraId="0B148DA1" w14:textId="77777777" w:rsidR="00945DE2" w:rsidRPr="00515AA2" w:rsidRDefault="00945DE2" w:rsidP="009924A6">
            <w:pPr>
              <w:spacing w:line="240" w:lineRule="auto"/>
              <w:jc w:val="both"/>
              <w:rPr>
                <w:b/>
                <w:bCs/>
                <w:color w:val="000000"/>
                <w:lang w:eastAsia="en-US"/>
              </w:rPr>
            </w:pPr>
            <w:r w:rsidRPr="00515AA2">
              <w:rPr>
                <w:b/>
                <w:bCs/>
                <w:color w:val="000000"/>
                <w:lang w:eastAsia="en-US"/>
              </w:rPr>
              <w:t>Yukon</w:t>
            </w:r>
            <w:r w:rsidRPr="00515AA2">
              <w:rPr>
                <w:color w:val="000000"/>
                <w:vertAlign w:val="superscript"/>
                <w:lang w:eastAsia="en-US"/>
              </w:rPr>
              <w:footnoteReference w:id="159"/>
            </w:r>
          </w:p>
        </w:tc>
        <w:tc>
          <w:tcPr>
            <w:tcW w:w="3237" w:type="dxa"/>
          </w:tcPr>
          <w:p w14:paraId="2E8A0818"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Yes</w:t>
            </w:r>
          </w:p>
          <w:p w14:paraId="006559D0" w14:textId="77777777"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(the declaration does not need to be under oath)</w:t>
            </w:r>
          </w:p>
        </w:tc>
        <w:tc>
          <w:tcPr>
            <w:tcW w:w="3238" w:type="dxa"/>
          </w:tcPr>
          <w:p w14:paraId="4B3332EA" w14:textId="2D14CA3B" w:rsidR="00945DE2" w:rsidRPr="00515AA2" w:rsidRDefault="00226DCA" w:rsidP="009924A6">
            <w:pPr>
              <w:spacing w:line="240" w:lineRule="auto"/>
              <w:jc w:val="both"/>
              <w:rPr>
                <w:color w:val="000000"/>
                <w:sz w:val="22"/>
                <w:szCs w:val="22"/>
                <w:lang w:val="en-CA" w:eastAsia="en-US"/>
              </w:rPr>
            </w:pPr>
            <w:r w:rsidRPr="00515AA2">
              <w:rPr>
                <w:color w:val="000000"/>
                <w:sz w:val="22"/>
                <w:szCs w:val="22"/>
                <w:lang w:val="en-CA" w:eastAsia="en-US"/>
              </w:rPr>
              <w:t>Only if</w:t>
            </w:r>
            <w:r w:rsidR="00945DE2" w:rsidRPr="00515AA2">
              <w:rPr>
                <w:color w:val="000000"/>
                <w:sz w:val="22"/>
                <w:szCs w:val="22"/>
                <w:lang w:val="en-CA" w:eastAsia="en-US"/>
              </w:rPr>
              <w:t xml:space="preserve"> under 16 (physician, psychologist, nurse, social worker, lawyer, chief or councillor of a Yukon First Nation, teacher or school counselor) “</w:t>
            </w:r>
            <w:r w:rsidR="00945DE2" w:rsidRPr="00515AA2">
              <w:rPr>
                <w:i/>
                <w:iCs/>
                <w:color w:val="000000"/>
                <w:sz w:val="22"/>
                <w:szCs w:val="22"/>
                <w:lang w:val="en-CA" w:eastAsia="en-US"/>
              </w:rPr>
              <w:t>in their opinion, the young person would like the notation of change</w:t>
            </w:r>
            <w:r w:rsidR="00945DE2" w:rsidRPr="00515AA2">
              <w:rPr>
                <w:color w:val="000000"/>
                <w:sz w:val="22"/>
                <w:szCs w:val="22"/>
                <w:lang w:val="en-CA" w:eastAsia="en-US"/>
              </w:rPr>
              <w:t>”</w:t>
            </w:r>
          </w:p>
        </w:tc>
        <w:tc>
          <w:tcPr>
            <w:tcW w:w="3238" w:type="dxa"/>
          </w:tcPr>
          <w:p w14:paraId="06351740" w14:textId="78BBD61E" w:rsidR="00945DE2" w:rsidRPr="00515AA2" w:rsidRDefault="00945DE2" w:rsidP="009924A6">
            <w:pPr>
              <w:spacing w:line="240" w:lineRule="auto"/>
              <w:jc w:val="both"/>
              <w:rPr>
                <w:color w:val="000000"/>
                <w:sz w:val="22"/>
                <w:szCs w:val="22"/>
                <w:lang w:val="en-CA" w:eastAsia="en-US"/>
              </w:rPr>
            </w:pPr>
            <w:r w:rsidRPr="00515AA2">
              <w:rPr>
                <w:color w:val="000000"/>
                <w:sz w:val="22"/>
                <w:szCs w:val="22"/>
                <w:lang w:val="en-CA" w:eastAsia="en-US"/>
              </w:rPr>
              <w:t xml:space="preserve">Yes, if </w:t>
            </w:r>
            <w:r w:rsidR="00226DCA" w:rsidRPr="00515AA2">
              <w:rPr>
                <w:color w:val="000000"/>
                <w:sz w:val="22"/>
                <w:szCs w:val="22"/>
                <w:lang w:val="en-CA" w:eastAsia="en-US"/>
              </w:rPr>
              <w:t xml:space="preserve">under16 years of age </w:t>
            </w:r>
            <w:r w:rsidRPr="00515AA2">
              <w:rPr>
                <w:color w:val="000000"/>
                <w:sz w:val="22"/>
                <w:szCs w:val="22"/>
                <w:lang w:val="en-CA" w:eastAsia="en-US"/>
              </w:rPr>
              <w:t>(request submitted by a parent, minor’s consent required if aged 12 and over)</w:t>
            </w:r>
          </w:p>
        </w:tc>
      </w:tr>
      <w:bookmarkEnd w:id="11"/>
    </w:tbl>
    <w:p w14:paraId="2DA76285" w14:textId="77777777" w:rsidR="006E4A8A" w:rsidRPr="00515AA2" w:rsidRDefault="006E4A8A" w:rsidP="00793FCC">
      <w:pPr>
        <w:spacing w:line="240" w:lineRule="auto"/>
        <w:rPr>
          <w:color w:val="000000"/>
          <w:lang w:val="en-CA"/>
        </w:rPr>
      </w:pPr>
    </w:p>
    <w:p w14:paraId="4AEC062F" w14:textId="77777777" w:rsidR="005E1AB0" w:rsidRPr="00515AA2" w:rsidRDefault="005E1AB0" w:rsidP="00793FCC">
      <w:pPr>
        <w:spacing w:line="240" w:lineRule="auto"/>
        <w:rPr>
          <w:color w:val="000000"/>
          <w:lang w:val="en-CA"/>
        </w:rPr>
      </w:pPr>
    </w:p>
    <w:tbl>
      <w:tblPr>
        <w:tblW w:w="0" w:type="auto"/>
        <w:tblLayout w:type="fixed"/>
        <w:tblCellMar>
          <w:left w:w="70" w:type="dxa"/>
          <w:right w:w="70" w:type="dxa"/>
        </w:tblCellMar>
        <w:tblLook w:val="0000" w:firstRow="0" w:lastRow="0" w:firstColumn="0" w:lastColumn="0" w:noHBand="0" w:noVBand="0"/>
      </w:tblPr>
      <w:tblGrid>
        <w:gridCol w:w="4681"/>
        <w:gridCol w:w="4681"/>
      </w:tblGrid>
      <w:tr w:rsidR="00515AA2" w:rsidRPr="00C83535" w14:paraId="12DDA1F5" w14:textId="77777777" w:rsidTr="005E1AB0">
        <w:tc>
          <w:tcPr>
            <w:tcW w:w="4681" w:type="dxa"/>
            <w:shd w:val="clear" w:color="auto" w:fill="auto"/>
          </w:tcPr>
          <w:p w14:paraId="3EB2F304" w14:textId="77777777" w:rsidR="005E1AB0" w:rsidRPr="00515AA2" w:rsidRDefault="005E1AB0" w:rsidP="005E1AB0">
            <w:pPr>
              <w:pStyle w:val="Tableaugauchefranais"/>
              <w:rPr>
                <w:color w:val="000000"/>
                <w:lang w:val="en-CA"/>
              </w:rPr>
            </w:pPr>
          </w:p>
        </w:tc>
        <w:tc>
          <w:tcPr>
            <w:tcW w:w="4681" w:type="dxa"/>
            <w:shd w:val="clear" w:color="auto" w:fill="auto"/>
          </w:tcPr>
          <w:p w14:paraId="7221B9B1" w14:textId="77777777" w:rsidR="005E1AB0" w:rsidRPr="00515AA2" w:rsidRDefault="005E1AB0" w:rsidP="005E1AB0">
            <w:pPr>
              <w:pStyle w:val="Tableaudroiteanglais"/>
              <w:rPr>
                <w:color w:val="000000"/>
              </w:rPr>
            </w:pPr>
          </w:p>
        </w:tc>
      </w:tr>
    </w:tbl>
    <w:p w14:paraId="2B9961CD" w14:textId="1867386A" w:rsidR="005E1AB0" w:rsidRPr="00515AA2" w:rsidRDefault="005E1AB0" w:rsidP="00793FCC">
      <w:pPr>
        <w:spacing w:line="240" w:lineRule="auto"/>
        <w:rPr>
          <w:color w:val="000000"/>
          <w:lang w:val="en-CA"/>
        </w:rPr>
      </w:pPr>
    </w:p>
    <w:sectPr w:rsidR="005E1AB0" w:rsidRPr="00515AA2" w:rsidSect="00091849">
      <w:headerReference w:type="default" r:id="rId10"/>
      <w:type w:val="continuous"/>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6824" w14:textId="77777777" w:rsidR="00826134" w:rsidRDefault="00826134">
      <w:r>
        <w:separator/>
      </w:r>
    </w:p>
  </w:endnote>
  <w:endnote w:type="continuationSeparator" w:id="0">
    <w:p w14:paraId="14A72EB6" w14:textId="77777777" w:rsidR="00826134" w:rsidRDefault="0082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A2F2" w14:textId="77777777" w:rsidR="00826134" w:rsidRDefault="00826134">
      <w:r>
        <w:separator/>
      </w:r>
    </w:p>
  </w:footnote>
  <w:footnote w:type="continuationSeparator" w:id="0">
    <w:p w14:paraId="51C8DA35" w14:textId="77777777" w:rsidR="00826134" w:rsidRDefault="00826134">
      <w:r>
        <w:continuationSeparator/>
      </w:r>
    </w:p>
  </w:footnote>
  <w:footnote w:id="1">
    <w:p w14:paraId="52A19125" w14:textId="75E722A2" w:rsidR="008100DD" w:rsidRPr="008100DD" w:rsidRDefault="008100DD">
      <w:pPr>
        <w:pStyle w:val="Notedebasdepage"/>
        <w:rPr>
          <w:lang w:val="en-CA"/>
        </w:rPr>
      </w:pPr>
      <w:r>
        <w:rPr>
          <w:rStyle w:val="Appelnotedebasdep"/>
        </w:rPr>
        <w:footnoteRef/>
      </w:r>
      <w:r w:rsidRPr="008100DD">
        <w:rPr>
          <w:lang w:val="en-CA"/>
        </w:rPr>
        <w:t xml:space="preserve"> </w:t>
      </w:r>
      <w:r>
        <w:rPr>
          <w:lang w:val="en-CA"/>
        </w:rPr>
        <w:t xml:space="preserve"> </w:t>
      </w:r>
      <w:r>
        <w:rPr>
          <w:lang w:val="en-CA"/>
        </w:rPr>
        <w:tab/>
        <w:t>The LGBT Family Coalition discontinued on appeal.</w:t>
      </w:r>
    </w:p>
  </w:footnote>
  <w:footnote w:id="2">
    <w:p w14:paraId="5C5A7B8F" w14:textId="537397D5" w:rsidR="00D00C0C" w:rsidRPr="00515AA2" w:rsidRDefault="00D00C0C" w:rsidP="00D00C0C">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Pr="00515AA2">
        <w:rPr>
          <w:rFonts w:cs="Arial"/>
          <w:i/>
          <w:lang w:val="en-CA"/>
        </w:rPr>
        <w:t>Centre for Gender Advocacy c. Québec (Attorney General)</w:t>
      </w:r>
      <w:r w:rsidRPr="00515AA2">
        <w:rPr>
          <w:rFonts w:cs="Arial"/>
          <w:lang w:val="en-CA"/>
        </w:rPr>
        <w:t>, 2015 QCCS 6026,</w:t>
      </w:r>
      <w:r w:rsidR="00A2283C" w:rsidRPr="00515AA2">
        <w:rPr>
          <w:rFonts w:cs="Arial"/>
          <w:lang w:val="en-CA"/>
        </w:rPr>
        <w:t xml:space="preserve"> </w:t>
      </w:r>
      <w:r w:rsidRPr="00515AA2">
        <w:rPr>
          <w:rFonts w:cs="Arial"/>
          <w:lang w:val="en-CA"/>
        </w:rPr>
        <w:t>para</w:t>
      </w:r>
      <w:r w:rsidR="00612E62" w:rsidRPr="00515AA2">
        <w:rPr>
          <w:rFonts w:cs="Arial"/>
          <w:lang w:val="en-CA"/>
        </w:rPr>
        <w:t>s</w:t>
      </w:r>
      <w:r w:rsidRPr="00515AA2">
        <w:rPr>
          <w:rFonts w:cs="Arial"/>
          <w:lang w:val="en-CA"/>
        </w:rPr>
        <w:t>.</w:t>
      </w:r>
      <w:r w:rsidR="00873B58" w:rsidRPr="00515AA2">
        <w:rPr>
          <w:rFonts w:cs="Arial"/>
          <w:lang w:val="en-CA"/>
        </w:rPr>
        <w:t> </w:t>
      </w:r>
      <w:r w:rsidRPr="00515AA2">
        <w:rPr>
          <w:rFonts w:cs="Arial"/>
          <w:lang w:val="en-CA"/>
        </w:rPr>
        <w:t>27-30.</w:t>
      </w:r>
      <w:r w:rsidR="00324C45" w:rsidRPr="00515AA2">
        <w:rPr>
          <w:rFonts w:cs="Arial"/>
          <w:lang w:val="en-CA"/>
        </w:rPr>
        <w:t xml:space="preserve"> </w:t>
      </w:r>
      <w:r w:rsidR="00612E62" w:rsidRPr="00515AA2">
        <w:rPr>
          <w:rFonts w:cs="Arial"/>
          <w:lang w:val="en-CA"/>
        </w:rPr>
        <w:t xml:space="preserve">The Extended Healthcare Professionals Coalition intervened on appeal, </w:t>
      </w:r>
      <w:r w:rsidR="00324C45" w:rsidRPr="00515AA2">
        <w:rPr>
          <w:rFonts w:cs="Arial"/>
          <w:i/>
          <w:iCs/>
          <w:lang w:val="en-CA"/>
        </w:rPr>
        <w:t>Attorney General of Quebec c. Center for Gender Advocacy</w:t>
      </w:r>
      <w:r w:rsidR="00324C45" w:rsidRPr="00515AA2">
        <w:rPr>
          <w:rFonts w:cs="Arial"/>
          <w:lang w:val="en-CA"/>
        </w:rPr>
        <w:t>, 2021 QCCA 1300.</w:t>
      </w:r>
    </w:p>
  </w:footnote>
  <w:footnote w:id="3">
    <w:p w14:paraId="52FD68A5" w14:textId="223DD3F1" w:rsidR="001B4B82" w:rsidRPr="00515AA2" w:rsidRDefault="001B4B82" w:rsidP="001B4B82">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612E62" w:rsidRPr="00515AA2">
        <w:rPr>
          <w:rFonts w:cs="Arial"/>
          <w:i/>
          <w:iCs/>
          <w:lang w:val="en-CA"/>
        </w:rPr>
        <w:t>An Act to amend the Civil Code as regards civil status, successions</w:t>
      </w:r>
      <w:r w:rsidR="00612E62" w:rsidRPr="00515AA2">
        <w:rPr>
          <w:rFonts w:cs="Arial"/>
          <w:i/>
          <w:lang w:val="en-CA"/>
        </w:rPr>
        <w:t xml:space="preserve"> and the publication of rights, </w:t>
      </w:r>
      <w:r w:rsidR="00612E62" w:rsidRPr="00515AA2">
        <w:rPr>
          <w:rFonts w:cs="Arial"/>
          <w:lang w:val="en-CA"/>
        </w:rPr>
        <w:t>S.Q. 2013, c. 27, s. 3</w:t>
      </w:r>
      <w:r w:rsidRPr="00515AA2">
        <w:rPr>
          <w:rFonts w:cs="Arial"/>
          <w:lang w:val="en-CA"/>
        </w:rPr>
        <w:t>.</w:t>
      </w:r>
    </w:p>
  </w:footnote>
  <w:footnote w:id="4">
    <w:p w14:paraId="575C2C26" w14:textId="4D951083" w:rsidR="007462BB" w:rsidRPr="00515AA2" w:rsidRDefault="007462BB" w:rsidP="00351B63">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612E62" w:rsidRPr="00515AA2">
        <w:rPr>
          <w:rFonts w:cs="Arial"/>
          <w:i/>
          <w:lang w:val="en-CA"/>
        </w:rPr>
        <w:t>An Act to strengthen the fight against transphobia and improve the situation of transgender minors in particular</w:t>
      </w:r>
      <w:r w:rsidR="00612E62" w:rsidRPr="00515AA2">
        <w:rPr>
          <w:rFonts w:cs="Arial"/>
          <w:lang w:val="en-CA"/>
        </w:rPr>
        <w:t>, S.Q. 2016, c. 19</w:t>
      </w:r>
      <w:r w:rsidRPr="00515AA2">
        <w:rPr>
          <w:rFonts w:cs="Arial"/>
          <w:lang w:val="en-CA"/>
        </w:rPr>
        <w:t>.</w:t>
      </w:r>
      <w:r w:rsidR="00F82CE0" w:rsidRPr="00515AA2">
        <w:rPr>
          <w:rFonts w:cs="Arial"/>
          <w:lang w:val="en-CA"/>
        </w:rPr>
        <w:t xml:space="preserve"> </w:t>
      </w:r>
    </w:p>
  </w:footnote>
  <w:footnote w:id="5">
    <w:p w14:paraId="38A71415" w14:textId="7D0E48BF" w:rsidR="00FC34BA" w:rsidRPr="00515AA2" w:rsidRDefault="00FC34BA" w:rsidP="00FC34BA">
      <w:pPr>
        <w:pStyle w:val="Notedebasdepage"/>
        <w:rPr>
          <w:lang w:val="en-CA"/>
        </w:rPr>
      </w:pPr>
      <w:r w:rsidRPr="00515AA2">
        <w:rPr>
          <w:rStyle w:val="Appelnotedebasdep"/>
        </w:rPr>
        <w:footnoteRef/>
      </w:r>
      <w:r w:rsidRPr="00515AA2">
        <w:rPr>
          <w:lang w:val="en-CA"/>
        </w:rPr>
        <w:t xml:space="preserve"> </w:t>
      </w:r>
      <w:r w:rsidRPr="00515AA2">
        <w:rPr>
          <w:lang w:val="en-CA"/>
        </w:rPr>
        <w:tab/>
      </w:r>
      <w:r w:rsidR="00612E62" w:rsidRPr="00515AA2">
        <w:rPr>
          <w:i/>
          <w:lang w:val="en-CA"/>
        </w:rPr>
        <w:t>Charter of Human Rights and Freedoms</w:t>
      </w:r>
      <w:r w:rsidR="00612E62" w:rsidRPr="00515AA2">
        <w:rPr>
          <w:lang w:val="en-CA"/>
        </w:rPr>
        <w:t xml:space="preserve">, </w:t>
      </w:r>
      <w:r w:rsidR="00ED21C0" w:rsidRPr="00515AA2">
        <w:rPr>
          <w:lang w:val="en-CA"/>
        </w:rPr>
        <w:t>CQ</w:t>
      </w:r>
      <w:r w:rsidR="00612E62" w:rsidRPr="00515AA2">
        <w:rPr>
          <w:lang w:val="en-CA"/>
        </w:rPr>
        <w:t>LR, c. C-12</w:t>
      </w:r>
      <w:r w:rsidRPr="00515AA2">
        <w:rPr>
          <w:lang w:val="en-CA"/>
        </w:rPr>
        <w:t>.</w:t>
      </w:r>
    </w:p>
  </w:footnote>
  <w:footnote w:id="6">
    <w:p w14:paraId="28E01C4E" w14:textId="012E08FB" w:rsidR="007462BB" w:rsidRPr="00515AA2" w:rsidRDefault="007462BB" w:rsidP="00351B63">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612E62" w:rsidRPr="00515AA2">
        <w:rPr>
          <w:rFonts w:cs="Arial"/>
          <w:i/>
          <w:lang w:val="en-CA"/>
        </w:rPr>
        <w:t>An Act to strengthen the fight against transphobia and improve the situation of transgender minors in particular</w:t>
      </w:r>
      <w:r w:rsidR="00612E62" w:rsidRPr="00515AA2">
        <w:rPr>
          <w:rFonts w:cs="Arial"/>
          <w:lang w:val="en-CA"/>
        </w:rPr>
        <w:t xml:space="preserve">, </w:t>
      </w:r>
      <w:r w:rsidR="00612E62" w:rsidRPr="00515AA2">
        <w:rPr>
          <w:rFonts w:cs="Arial"/>
          <w:i/>
          <w:lang w:val="en-CA"/>
        </w:rPr>
        <w:t>supra</w:t>
      </w:r>
      <w:r w:rsidR="00612E62" w:rsidRPr="00515AA2">
        <w:rPr>
          <w:rFonts w:cs="Arial"/>
          <w:lang w:val="en-CA"/>
        </w:rPr>
        <w:t>, note</w:t>
      </w:r>
      <w:r w:rsidR="00A26334" w:rsidRPr="00515AA2">
        <w:rPr>
          <w:rFonts w:cs="Arial"/>
          <w:lang w:val="en-CA"/>
        </w:rPr>
        <w:t xml:space="preserve"> </w:t>
      </w:r>
      <w:r w:rsidR="00A26334" w:rsidRPr="00515AA2">
        <w:rPr>
          <w:rFonts w:cs="Arial"/>
          <w:lang w:val="en-CA"/>
        </w:rPr>
        <w:fldChar w:fldCharType="begin"/>
      </w:r>
      <w:r w:rsidR="00A26334" w:rsidRPr="00515AA2">
        <w:rPr>
          <w:rFonts w:cs="Arial"/>
          <w:lang w:val="en-CA"/>
        </w:rPr>
        <w:instrText xml:space="preserve"> NOTEREF _Ref157497481 \h </w:instrText>
      </w:r>
      <w:r w:rsidR="00FB3810" w:rsidRPr="00515AA2">
        <w:rPr>
          <w:rFonts w:cs="Arial"/>
          <w:lang w:val="en-CA"/>
        </w:rPr>
        <w:instrText xml:space="preserve"> \* MERGEFORMAT </w:instrText>
      </w:r>
      <w:r w:rsidR="00A26334" w:rsidRPr="00515AA2">
        <w:rPr>
          <w:rFonts w:cs="Arial"/>
          <w:lang w:val="en-CA"/>
        </w:rPr>
      </w:r>
      <w:r w:rsidR="00A26334" w:rsidRPr="00515AA2">
        <w:rPr>
          <w:rFonts w:cs="Arial"/>
          <w:lang w:val="en-CA"/>
        </w:rPr>
        <w:fldChar w:fldCharType="separate"/>
      </w:r>
      <w:r w:rsidR="00C83535">
        <w:rPr>
          <w:rFonts w:cs="Arial"/>
          <w:lang w:val="en-CA"/>
        </w:rPr>
        <w:t>4</w:t>
      </w:r>
      <w:r w:rsidR="00A26334" w:rsidRPr="00515AA2">
        <w:rPr>
          <w:rFonts w:cs="Arial"/>
          <w:lang w:val="en-CA"/>
        </w:rPr>
        <w:fldChar w:fldCharType="end"/>
      </w:r>
      <w:r w:rsidR="00612E62" w:rsidRPr="00515AA2">
        <w:rPr>
          <w:rFonts w:cs="Arial"/>
          <w:lang w:val="en-CA"/>
        </w:rPr>
        <w:t>, s</w:t>
      </w:r>
      <w:r w:rsidR="00E85830" w:rsidRPr="00515AA2">
        <w:rPr>
          <w:rFonts w:cs="Arial"/>
          <w:lang w:val="en-CA"/>
        </w:rPr>
        <w:t>s</w:t>
      </w:r>
      <w:r w:rsidR="00612E62" w:rsidRPr="00515AA2">
        <w:rPr>
          <w:rFonts w:cs="Arial"/>
          <w:lang w:val="en-CA"/>
        </w:rPr>
        <w:t>. 2 and 9</w:t>
      </w:r>
      <w:r w:rsidRPr="00515AA2">
        <w:rPr>
          <w:rFonts w:cs="Arial"/>
          <w:lang w:val="en-CA"/>
        </w:rPr>
        <w:t>.</w:t>
      </w:r>
    </w:p>
  </w:footnote>
  <w:footnote w:id="7">
    <w:p w14:paraId="067800E8" w14:textId="05AA582E" w:rsidR="007462BB" w:rsidRPr="00515AA2" w:rsidRDefault="007462BB" w:rsidP="00BD6CED">
      <w:pPr>
        <w:pStyle w:val="Notedebasdepage"/>
        <w:rPr>
          <w:lang w:val="en-CA"/>
        </w:rPr>
      </w:pPr>
      <w:r w:rsidRPr="00515AA2">
        <w:rPr>
          <w:rStyle w:val="Appelnotedebasdep"/>
        </w:rPr>
        <w:footnoteRef/>
      </w:r>
      <w:r w:rsidRPr="00515AA2">
        <w:rPr>
          <w:lang w:val="en-CA"/>
        </w:rPr>
        <w:t xml:space="preserve"> </w:t>
      </w:r>
      <w:r w:rsidRPr="00515AA2">
        <w:rPr>
          <w:lang w:val="en-CA"/>
        </w:rPr>
        <w:tab/>
      </w:r>
      <w:r w:rsidR="00612E62" w:rsidRPr="00515AA2">
        <w:rPr>
          <w:i/>
          <w:iCs/>
          <w:lang w:val="en-CA"/>
        </w:rPr>
        <w:t>Canadian Charter of Rights and Freedoms</w:t>
      </w:r>
      <w:r w:rsidR="00612E62" w:rsidRPr="00515AA2">
        <w:rPr>
          <w:lang w:val="en-CA"/>
        </w:rPr>
        <w:t xml:space="preserve">, part I of the </w:t>
      </w:r>
      <w:r w:rsidR="00612E62" w:rsidRPr="00515AA2">
        <w:rPr>
          <w:i/>
          <w:iCs/>
          <w:lang w:val="en-CA"/>
        </w:rPr>
        <w:t>Constitution Act, 1982, Schedule B to the Canada Act 1982 (UK)</w:t>
      </w:r>
      <w:r w:rsidR="00612E62" w:rsidRPr="00515AA2">
        <w:rPr>
          <w:lang w:val="en-CA"/>
        </w:rPr>
        <w:t>, 1982, c. 11</w:t>
      </w:r>
      <w:r w:rsidRPr="00515AA2">
        <w:rPr>
          <w:lang w:val="en-CA"/>
        </w:rPr>
        <w:t>.</w:t>
      </w:r>
    </w:p>
  </w:footnote>
  <w:footnote w:id="8">
    <w:p w14:paraId="46654C46" w14:textId="7DA55FBD" w:rsidR="00CB5A64" w:rsidRPr="00515AA2" w:rsidRDefault="00CB5A64" w:rsidP="00CB5A64">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Regulation respecting change of name and of other particulars of civil status</w:t>
      </w:r>
      <w:r w:rsidRPr="00515AA2">
        <w:rPr>
          <w:lang w:val="en-CA"/>
        </w:rPr>
        <w:t>, CQLR, c. CCQ, r. 4.</w:t>
      </w:r>
    </w:p>
    <w:p w14:paraId="1FD3B0E9" w14:textId="372BF37F" w:rsidR="00CB5A64" w:rsidRPr="00515AA2" w:rsidRDefault="00CB5A64">
      <w:pPr>
        <w:pStyle w:val="Notedebasdepage"/>
        <w:rPr>
          <w:lang w:val="en-CA"/>
        </w:rPr>
      </w:pPr>
    </w:p>
  </w:footnote>
  <w:footnote w:id="9">
    <w:p w14:paraId="4B8F3833" w14:textId="3BA7D896" w:rsidR="00E96313" w:rsidRPr="00515AA2" w:rsidRDefault="00E96313" w:rsidP="00C217D6">
      <w:pPr>
        <w:pStyle w:val="Notedebasdepage"/>
        <w:rPr>
          <w:lang w:val="en-CA"/>
        </w:rPr>
      </w:pPr>
      <w:r w:rsidRPr="00515AA2">
        <w:rPr>
          <w:rStyle w:val="Appelnotedebasdep"/>
        </w:rPr>
        <w:footnoteRef/>
      </w:r>
      <w:r w:rsidRPr="00515AA2">
        <w:rPr>
          <w:lang w:val="en-CA"/>
        </w:rPr>
        <w:t xml:space="preserve"> </w:t>
      </w:r>
      <w:r w:rsidR="00D03B8C" w:rsidRPr="00515AA2">
        <w:rPr>
          <w:lang w:val="en-CA"/>
        </w:rPr>
        <w:tab/>
      </w:r>
      <w:r w:rsidR="00CB4CAA" w:rsidRPr="00515AA2">
        <w:rPr>
          <w:rFonts w:cs="Arial"/>
          <w:i/>
          <w:lang w:val="en-CA"/>
        </w:rPr>
        <w:t>Centre for Gender Advocacy c. Attorney General of Quebec</w:t>
      </w:r>
      <w:r w:rsidR="00CB4CAA" w:rsidRPr="00515AA2">
        <w:rPr>
          <w:rFonts w:cs="Arial"/>
          <w:lang w:val="en-CA"/>
        </w:rPr>
        <w:t>, 2021 QCCS 191 [Judgment under appeal]</w:t>
      </w:r>
      <w:r w:rsidR="00C217D6" w:rsidRPr="00515AA2">
        <w:rPr>
          <w:rFonts w:cs="Arial"/>
          <w:lang w:val="en-CA"/>
        </w:rPr>
        <w:t>; t</w:t>
      </w:r>
      <w:r w:rsidR="00612E62" w:rsidRPr="00515AA2">
        <w:rPr>
          <w:rFonts w:cs="Arial"/>
          <w:lang w:val="en-CA"/>
        </w:rPr>
        <w:t>he Judgment under appeal was corrected on February 9, 2021</w:t>
      </w:r>
      <w:r w:rsidR="00A26334" w:rsidRPr="00515AA2">
        <w:rPr>
          <w:rFonts w:cs="Arial"/>
          <w:lang w:val="en-CA"/>
        </w:rPr>
        <w:t>,</w:t>
      </w:r>
      <w:r w:rsidR="00612E62" w:rsidRPr="00515AA2">
        <w:rPr>
          <w:rFonts w:cs="Arial"/>
          <w:lang w:val="en-CA"/>
        </w:rPr>
        <w:t xml:space="preserve"> to correct the spelling of the respondent’s name, Centre for Gender Advocacy</w:t>
      </w:r>
      <w:r w:rsidR="00AE7557" w:rsidRPr="00515AA2">
        <w:rPr>
          <w:rFonts w:cs="Arial"/>
          <w:lang w:val="en-CA"/>
        </w:rPr>
        <w:t>.</w:t>
      </w:r>
    </w:p>
  </w:footnote>
  <w:footnote w:id="10">
    <w:p w14:paraId="717DC9B0" w14:textId="682F6822" w:rsidR="00E96313" w:rsidRPr="00515AA2" w:rsidRDefault="00E96313">
      <w:pPr>
        <w:pStyle w:val="Notedebasdepage"/>
        <w:rPr>
          <w:lang w:val="en-CA"/>
        </w:rPr>
      </w:pPr>
      <w:r w:rsidRPr="00515AA2">
        <w:rPr>
          <w:rStyle w:val="Appelnotedebasdep"/>
        </w:rPr>
        <w:footnoteRef/>
      </w:r>
      <w:r w:rsidRPr="00515AA2">
        <w:rPr>
          <w:lang w:val="en-CA"/>
        </w:rPr>
        <w:t xml:space="preserve"> </w:t>
      </w:r>
      <w:r w:rsidR="00D03B8C" w:rsidRPr="00515AA2">
        <w:rPr>
          <w:lang w:val="en-CA"/>
        </w:rPr>
        <w:tab/>
      </w:r>
      <w:r w:rsidR="00612E62" w:rsidRPr="00515AA2">
        <w:rPr>
          <w:lang w:val="en-CA"/>
        </w:rPr>
        <w:t xml:space="preserve">More precisely, the trial was held on January </w:t>
      </w:r>
      <w:r w:rsidR="00612E62" w:rsidRPr="00515AA2">
        <w:rPr>
          <w:rFonts w:cs="Arial"/>
          <w:lang w:val="en-CA"/>
        </w:rPr>
        <w:t>15, 17, 18, 23, 24, 25, 29, 30 and 31 and on February 1, 6, 7, 8, 13, 14, 15, 19, 25, 26 and 27, 2019</w:t>
      </w:r>
      <w:r w:rsidR="00D03B8C" w:rsidRPr="00515AA2">
        <w:rPr>
          <w:rFonts w:cs="Arial"/>
          <w:lang w:val="en-CA"/>
        </w:rPr>
        <w:t>.</w:t>
      </w:r>
    </w:p>
  </w:footnote>
  <w:footnote w:id="11">
    <w:p w14:paraId="300ECC64" w14:textId="534894DD" w:rsidR="00E96313" w:rsidRPr="00515AA2" w:rsidRDefault="00E96313">
      <w:pPr>
        <w:pStyle w:val="Notedebasdepage"/>
        <w:rPr>
          <w:lang w:val="en-CA"/>
        </w:rPr>
      </w:pPr>
      <w:r w:rsidRPr="00515AA2">
        <w:rPr>
          <w:rStyle w:val="Appelnotedebasdep"/>
        </w:rPr>
        <w:footnoteRef/>
      </w:r>
      <w:r w:rsidRPr="00515AA2">
        <w:rPr>
          <w:lang w:val="en-CA"/>
        </w:rPr>
        <w:t xml:space="preserve"> </w:t>
      </w:r>
      <w:r w:rsidR="00D03B8C" w:rsidRPr="00515AA2">
        <w:rPr>
          <w:lang w:val="en-CA"/>
        </w:rPr>
        <w:tab/>
      </w:r>
      <w:r w:rsidR="00612E62" w:rsidRPr="00515AA2">
        <w:rPr>
          <w:rFonts w:cs="Arial"/>
          <w:lang w:val="en-CA"/>
        </w:rPr>
        <w:t>Judgment under appeal,</w:t>
      </w:r>
      <w:r w:rsidR="008C25BF" w:rsidRPr="00515AA2">
        <w:rPr>
          <w:rFonts w:cs="Arial"/>
          <w:lang w:val="en-CA"/>
        </w:rPr>
        <w:t xml:space="preserve"> </w:t>
      </w:r>
      <w:r w:rsidR="008C25BF" w:rsidRPr="00515AA2">
        <w:rPr>
          <w:rFonts w:cs="Arial"/>
          <w:i/>
          <w:iCs/>
          <w:lang w:val="en-CA"/>
        </w:rPr>
        <w:t>supra</w:t>
      </w:r>
      <w:r w:rsidR="008C25BF" w:rsidRPr="00515AA2">
        <w:rPr>
          <w:rFonts w:cs="Arial"/>
          <w:lang w:val="en-CA"/>
        </w:rPr>
        <w:t xml:space="preserve">, </w:t>
      </w:r>
      <w:bookmarkStart w:id="24" w:name="_Hlk161233709"/>
      <w:r w:rsidR="008C25BF" w:rsidRPr="00515AA2">
        <w:rPr>
          <w:rFonts w:cs="Arial"/>
          <w:lang w:val="en-CA"/>
        </w:rPr>
        <w:t xml:space="preserve">note </w:t>
      </w:r>
      <w:r w:rsidR="00D05F70" w:rsidRPr="00515AA2">
        <w:rPr>
          <w:rFonts w:cs="Arial"/>
        </w:rPr>
        <w:fldChar w:fldCharType="begin"/>
      </w:r>
      <w:r w:rsidR="00D05F70" w:rsidRPr="00515AA2">
        <w:rPr>
          <w:rFonts w:cs="Arial"/>
          <w:lang w:val="en-CA"/>
        </w:rPr>
        <w:instrText xml:space="preserve"> NOTEREF _Ref161233644 \h </w:instrText>
      </w:r>
      <w:r w:rsidR="00515AA2" w:rsidRPr="00433D44">
        <w:rPr>
          <w:rFonts w:cs="Arial"/>
          <w:lang w:val="en-CA"/>
        </w:rPr>
        <w:instrText xml:space="preserve"> \* MERGEFORMAT </w:instrText>
      </w:r>
      <w:r w:rsidR="00D05F70" w:rsidRPr="00515AA2">
        <w:rPr>
          <w:rFonts w:cs="Arial"/>
        </w:rPr>
      </w:r>
      <w:r w:rsidR="00D05F70" w:rsidRPr="00515AA2">
        <w:rPr>
          <w:rFonts w:cs="Arial"/>
        </w:rPr>
        <w:fldChar w:fldCharType="separate"/>
      </w:r>
      <w:r w:rsidR="00C83535">
        <w:rPr>
          <w:rFonts w:cs="Arial"/>
          <w:lang w:val="en-CA"/>
        </w:rPr>
        <w:t>9</w:t>
      </w:r>
      <w:r w:rsidR="00D05F70" w:rsidRPr="00515AA2">
        <w:rPr>
          <w:rFonts w:cs="Arial"/>
        </w:rPr>
        <w:fldChar w:fldCharType="end"/>
      </w:r>
      <w:r w:rsidR="008C25BF" w:rsidRPr="00515AA2">
        <w:rPr>
          <w:rFonts w:cs="Arial"/>
          <w:lang w:val="en-CA"/>
        </w:rPr>
        <w:t>,</w:t>
      </w:r>
      <w:bookmarkEnd w:id="24"/>
      <w:r w:rsidR="00A26334" w:rsidRPr="00515AA2">
        <w:rPr>
          <w:rFonts w:cs="Arial"/>
          <w:lang w:val="en-CA"/>
        </w:rPr>
        <w:t xml:space="preserve"> </w:t>
      </w:r>
      <w:r w:rsidR="00612E62" w:rsidRPr="00515AA2">
        <w:rPr>
          <w:rFonts w:cs="Arial"/>
          <w:lang w:val="en-CA"/>
        </w:rPr>
        <w:t>paras. 337-345</w:t>
      </w:r>
      <w:r w:rsidR="00D03B8C" w:rsidRPr="00515AA2">
        <w:rPr>
          <w:rFonts w:cs="Arial"/>
          <w:lang w:val="en-CA"/>
        </w:rPr>
        <w:t>.</w:t>
      </w:r>
    </w:p>
  </w:footnote>
  <w:footnote w:id="12">
    <w:p w14:paraId="2736BBDD" w14:textId="2F465E12" w:rsidR="00E96313" w:rsidRPr="00515AA2" w:rsidRDefault="00E96313">
      <w:pPr>
        <w:pStyle w:val="Notedebasdepage"/>
        <w:rPr>
          <w:lang w:val="en-CA"/>
        </w:rPr>
      </w:pPr>
      <w:r w:rsidRPr="00515AA2">
        <w:rPr>
          <w:rStyle w:val="Appelnotedebasdep"/>
        </w:rPr>
        <w:footnoteRef/>
      </w:r>
      <w:r w:rsidRPr="00515AA2">
        <w:rPr>
          <w:lang w:val="en-CA"/>
        </w:rPr>
        <w:t xml:space="preserve"> </w:t>
      </w:r>
      <w:r w:rsidR="00D03B8C" w:rsidRPr="00515AA2">
        <w:rPr>
          <w:lang w:val="en-CA"/>
        </w:rPr>
        <w:tab/>
      </w:r>
      <w:r w:rsidR="00612E62" w:rsidRPr="00515AA2">
        <w:rPr>
          <w:rFonts w:cs="Arial"/>
          <w:i/>
          <w:iCs/>
          <w:lang w:val="en-CA"/>
        </w:rPr>
        <w:t>Id.</w:t>
      </w:r>
      <w:r w:rsidR="00612E62" w:rsidRPr="00515AA2">
        <w:rPr>
          <w:rFonts w:cs="Arial"/>
          <w:lang w:val="en-CA"/>
        </w:rPr>
        <w:t>,</w:t>
      </w:r>
      <w:r w:rsidR="00A2283C" w:rsidRPr="00515AA2">
        <w:rPr>
          <w:rFonts w:cs="Arial"/>
          <w:lang w:val="en-CA"/>
        </w:rPr>
        <w:t xml:space="preserve"> </w:t>
      </w:r>
      <w:r w:rsidR="00612E62" w:rsidRPr="00515AA2">
        <w:rPr>
          <w:rFonts w:cs="Arial"/>
          <w:lang w:val="en-CA"/>
        </w:rPr>
        <w:t>paras. 289-310</w:t>
      </w:r>
      <w:r w:rsidR="00D03B8C" w:rsidRPr="00515AA2">
        <w:rPr>
          <w:rFonts w:cs="Arial"/>
          <w:lang w:val="en-CA"/>
        </w:rPr>
        <w:t>.</w:t>
      </w:r>
    </w:p>
  </w:footnote>
  <w:footnote w:id="13">
    <w:p w14:paraId="28E9D365" w14:textId="2F3FE1AC" w:rsidR="00DA18CD" w:rsidRPr="00515AA2" w:rsidRDefault="00DA18CD" w:rsidP="00DA18CD">
      <w:pPr>
        <w:pStyle w:val="Notedebasdepage"/>
        <w:rPr>
          <w:lang w:val="en-CA"/>
        </w:rPr>
      </w:pPr>
      <w:r w:rsidRPr="00515AA2">
        <w:rPr>
          <w:rStyle w:val="Appelnotedebasdep"/>
        </w:rPr>
        <w:footnoteRef/>
      </w:r>
      <w:r w:rsidRPr="00515AA2">
        <w:rPr>
          <w:lang w:val="en-CA"/>
        </w:rPr>
        <w:t xml:space="preserve"> </w:t>
      </w:r>
      <w:r w:rsidRPr="00515AA2">
        <w:rPr>
          <w:lang w:val="en-CA"/>
        </w:rPr>
        <w:tab/>
      </w:r>
      <w:bookmarkStart w:id="25" w:name="_Hlk161049415"/>
      <w:r w:rsidR="00612E62" w:rsidRPr="00515AA2">
        <w:rPr>
          <w:i/>
          <w:iCs/>
          <w:lang w:val="en-CA"/>
        </w:rPr>
        <w:t>An Act respecting family law reform with regard to filiation and amending the Civil Code in relation to personality rights and civil status</w:t>
      </w:r>
      <w:r w:rsidR="00612E62" w:rsidRPr="00515AA2">
        <w:rPr>
          <w:lang w:val="en-CA"/>
        </w:rPr>
        <w:t xml:space="preserve">, </w:t>
      </w:r>
      <w:bookmarkEnd w:id="25"/>
      <w:r w:rsidR="00612E62" w:rsidRPr="00515AA2">
        <w:rPr>
          <w:lang w:val="en-CA"/>
        </w:rPr>
        <w:t>S.Q. 2022, c. 22</w:t>
      </w:r>
      <w:r w:rsidRPr="00515AA2">
        <w:rPr>
          <w:lang w:val="en-CA"/>
        </w:rPr>
        <w:t>.</w:t>
      </w:r>
    </w:p>
  </w:footnote>
  <w:footnote w:id="14">
    <w:p w14:paraId="2D5F95BF" w14:textId="31F09E85" w:rsidR="00DA18CD" w:rsidRPr="00515AA2" w:rsidRDefault="00DA18CD" w:rsidP="00DA18CD">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Id.</w:t>
      </w:r>
      <w:r w:rsidRPr="00515AA2">
        <w:rPr>
          <w:lang w:val="en-CA"/>
        </w:rPr>
        <w:t xml:space="preserve">, </w:t>
      </w:r>
      <w:r w:rsidR="00612E62" w:rsidRPr="00515AA2">
        <w:rPr>
          <w:lang w:val="en-CA"/>
        </w:rPr>
        <w:t>ss</w:t>
      </w:r>
      <w:r w:rsidRPr="00515AA2">
        <w:rPr>
          <w:lang w:val="en-CA"/>
        </w:rPr>
        <w:t>. 17</w:t>
      </w:r>
      <w:r w:rsidR="00612E62" w:rsidRPr="00515AA2">
        <w:rPr>
          <w:lang w:val="en-CA"/>
        </w:rPr>
        <w:t xml:space="preserve">, </w:t>
      </w:r>
      <w:r w:rsidRPr="00515AA2">
        <w:rPr>
          <w:lang w:val="en-CA"/>
        </w:rPr>
        <w:t>28.</w:t>
      </w:r>
    </w:p>
  </w:footnote>
  <w:footnote w:id="15">
    <w:p w14:paraId="470081E0" w14:textId="70278B52" w:rsidR="00DA18CD" w:rsidRPr="00515AA2" w:rsidRDefault="00DA18CD" w:rsidP="00DA18CD">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Id.</w:t>
      </w:r>
      <w:r w:rsidRPr="00515AA2">
        <w:rPr>
          <w:lang w:val="en-CA"/>
        </w:rPr>
        <w:t xml:space="preserve">, </w:t>
      </w:r>
      <w:r w:rsidR="00612E62" w:rsidRPr="00515AA2">
        <w:rPr>
          <w:lang w:val="en-CA"/>
        </w:rPr>
        <w:t>s</w:t>
      </w:r>
      <w:r w:rsidRPr="00515AA2">
        <w:rPr>
          <w:lang w:val="en-CA"/>
        </w:rPr>
        <w:t>. 26.</w:t>
      </w:r>
    </w:p>
  </w:footnote>
  <w:footnote w:id="16">
    <w:p w14:paraId="79833EC5" w14:textId="28569B0C" w:rsidR="00DA18CD" w:rsidRPr="00515AA2" w:rsidRDefault="00DA18CD" w:rsidP="00DA18CD">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Id.</w:t>
      </w:r>
      <w:r w:rsidRPr="00515AA2">
        <w:rPr>
          <w:lang w:val="en-CA"/>
        </w:rPr>
        <w:t xml:space="preserve">, </w:t>
      </w:r>
      <w:r w:rsidR="00612E62" w:rsidRPr="00515AA2">
        <w:rPr>
          <w:lang w:val="en-CA"/>
        </w:rPr>
        <w:t>ss</w:t>
      </w:r>
      <w:r w:rsidRPr="00515AA2">
        <w:rPr>
          <w:lang w:val="en-CA"/>
        </w:rPr>
        <w:t>. 32</w:t>
      </w:r>
      <w:r w:rsidR="00612E62" w:rsidRPr="00515AA2">
        <w:rPr>
          <w:lang w:val="en-CA"/>
        </w:rPr>
        <w:t>,</w:t>
      </w:r>
      <w:r w:rsidRPr="00515AA2">
        <w:rPr>
          <w:lang w:val="en-CA"/>
        </w:rPr>
        <w:t xml:space="preserve"> 34.</w:t>
      </w:r>
    </w:p>
  </w:footnote>
  <w:footnote w:id="17">
    <w:p w14:paraId="3B0C07F3" w14:textId="6C02391C" w:rsidR="00DA18CD" w:rsidRPr="00515AA2" w:rsidRDefault="00DA18CD" w:rsidP="00DA18CD">
      <w:pPr>
        <w:pStyle w:val="Notedebasdepage"/>
        <w:rPr>
          <w:lang w:val="en-CA"/>
        </w:rPr>
      </w:pPr>
      <w:r w:rsidRPr="00515AA2">
        <w:rPr>
          <w:rStyle w:val="Appelnotedebasdep"/>
        </w:rPr>
        <w:footnoteRef/>
      </w:r>
      <w:r w:rsidRPr="00515AA2">
        <w:rPr>
          <w:lang w:val="en-CA"/>
        </w:rPr>
        <w:t xml:space="preserve"> </w:t>
      </w:r>
      <w:r w:rsidRPr="00515AA2">
        <w:rPr>
          <w:i/>
          <w:iCs/>
          <w:lang w:val="en-CA"/>
        </w:rPr>
        <w:tab/>
      </w:r>
      <w:r w:rsidR="003C11CF" w:rsidRPr="00515AA2">
        <w:rPr>
          <w:i/>
          <w:iCs/>
          <w:lang w:val="en-CA"/>
        </w:rPr>
        <w:t>An Act respecting family law reform with regard to filiation and amending the Civil Code in relation to personality rights and civil status</w:t>
      </w:r>
      <w:r w:rsidR="003C11CF" w:rsidRPr="00515AA2">
        <w:rPr>
          <w:lang w:val="en-CA"/>
        </w:rPr>
        <w:t>, S.Q. 2022, c. 22</w:t>
      </w:r>
      <w:r w:rsidR="003C11CF">
        <w:rPr>
          <w:lang w:val="en-CA"/>
        </w:rPr>
        <w:t xml:space="preserve">, </w:t>
      </w:r>
      <w:r w:rsidR="00612E62" w:rsidRPr="00515AA2">
        <w:rPr>
          <w:lang w:val="en-CA"/>
        </w:rPr>
        <w:t>s</w:t>
      </w:r>
      <w:r w:rsidRPr="00515AA2">
        <w:rPr>
          <w:lang w:val="en-CA"/>
        </w:rPr>
        <w:t>. 39.</w:t>
      </w:r>
    </w:p>
  </w:footnote>
  <w:footnote w:id="18">
    <w:p w14:paraId="5799BCD5" w14:textId="07E27BBA" w:rsidR="00DA18CD" w:rsidRPr="00433D44" w:rsidRDefault="00DA18CD" w:rsidP="00DA18CD">
      <w:pPr>
        <w:pStyle w:val="Notedebasdepage"/>
      </w:pPr>
      <w:r w:rsidRPr="00515AA2">
        <w:rPr>
          <w:rStyle w:val="Appelnotedebasdep"/>
        </w:rPr>
        <w:footnoteRef/>
      </w:r>
      <w:r w:rsidRPr="00433D44">
        <w:t xml:space="preserve"> </w:t>
      </w:r>
      <w:r w:rsidRPr="00433D44">
        <w:tab/>
      </w:r>
      <w:r w:rsidR="003C11CF" w:rsidRPr="00433D44">
        <w:rPr>
          <w:i/>
          <w:iCs/>
        </w:rPr>
        <w:t>Id.</w:t>
      </w:r>
      <w:r w:rsidRPr="00433D44">
        <w:t xml:space="preserve">, </w:t>
      </w:r>
      <w:r w:rsidR="00612E62" w:rsidRPr="00433D44">
        <w:t>s</w:t>
      </w:r>
      <w:r w:rsidRPr="00433D44">
        <w:t>. 41.</w:t>
      </w:r>
    </w:p>
  </w:footnote>
  <w:footnote w:id="19">
    <w:p w14:paraId="18C19EE5" w14:textId="77777777" w:rsidR="008C25BF" w:rsidRPr="00515AA2" w:rsidRDefault="00476F78" w:rsidP="008C25BF">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t xml:space="preserve">Charton, L. </w:t>
      </w:r>
      <w:r w:rsidR="0001343F" w:rsidRPr="00515AA2">
        <w:rPr>
          <w:rFonts w:cs="Arial"/>
        </w:rPr>
        <w:t>&amp;</w:t>
      </w:r>
      <w:r w:rsidRPr="00515AA2">
        <w:rPr>
          <w:rFonts w:cs="Arial"/>
        </w:rPr>
        <w:t xml:space="preserve"> C. de Pierrepont. </w:t>
      </w:r>
      <w:r w:rsidR="0001343F" w:rsidRPr="00515AA2">
        <w:t>“</w:t>
      </w:r>
      <w:r w:rsidRPr="00515AA2">
        <w:rPr>
          <w:rFonts w:cs="Arial"/>
        </w:rPr>
        <w:t>Les forums de discussion dans le processus de prénomination de l’enfant</w:t>
      </w:r>
      <w:r w:rsidR="0001343F" w:rsidRPr="00515AA2">
        <w:rPr>
          <w:rFonts w:cs="Arial"/>
        </w:rPr>
        <w:t>ˮ</w:t>
      </w:r>
      <w:r w:rsidRPr="00515AA2">
        <w:rPr>
          <w:rFonts w:cs="Arial"/>
        </w:rPr>
        <w:t xml:space="preserve">. </w:t>
      </w:r>
      <w:r w:rsidRPr="00515AA2">
        <w:rPr>
          <w:rFonts w:cs="Arial"/>
          <w:i/>
          <w:iCs/>
        </w:rPr>
        <w:t>Enfances Familles Générations</w:t>
      </w:r>
      <w:r w:rsidRPr="00515AA2">
        <w:rPr>
          <w:rFonts w:cs="Arial"/>
        </w:rPr>
        <w:t xml:space="preserve">, 2018, 31 : 81-90, </w:t>
      </w:r>
      <w:r w:rsidR="0001343F" w:rsidRPr="00515AA2">
        <w:rPr>
          <w:rFonts w:cs="Arial"/>
        </w:rPr>
        <w:t>online</w:t>
      </w:r>
      <w:r w:rsidRPr="00515AA2">
        <w:rPr>
          <w:rFonts w:cs="Arial"/>
        </w:rPr>
        <w:t>:</w:t>
      </w:r>
    </w:p>
    <w:p w14:paraId="19F40C6D" w14:textId="000EF053" w:rsidR="00476F78" w:rsidRPr="00515AA2" w:rsidRDefault="008C25BF" w:rsidP="00B42A8F">
      <w:pPr>
        <w:pStyle w:val="Notedebasdepage"/>
        <w:ind w:firstLine="0"/>
        <w:rPr>
          <w:rFonts w:cs="Arial"/>
          <w:color w:val="000000"/>
          <w:shd w:val="clear" w:color="auto" w:fill="FFFFFF"/>
        </w:rPr>
      </w:pPr>
      <w:r w:rsidRPr="00EA005A">
        <w:rPr>
          <w:rFonts w:cs="Arial"/>
          <w:lang w:val="en-CA"/>
        </w:rPr>
        <w:t>https://id.erudit.org/iderudit/1061780ar</w:t>
      </w:r>
      <w:r w:rsidR="00494E92" w:rsidRPr="00C83535">
        <w:rPr>
          <w:rFonts w:cs="Arial"/>
          <w:lang w:val="en-CA"/>
        </w:rPr>
        <w:t>,</w:t>
      </w:r>
      <w:r w:rsidR="00476F78" w:rsidRPr="00C83535">
        <w:rPr>
          <w:rFonts w:cs="Arial"/>
          <w:lang w:val="en-CA"/>
        </w:rPr>
        <w:t xml:space="preserve"> </w:t>
      </w:r>
      <w:r w:rsidR="0084404F" w:rsidRPr="00C83535">
        <w:rPr>
          <w:rFonts w:cs="Arial"/>
          <w:lang w:val="en-CA"/>
        </w:rPr>
        <w:t xml:space="preserve">at </w:t>
      </w:r>
      <w:r w:rsidR="00476F78" w:rsidRPr="00C83535">
        <w:rPr>
          <w:rFonts w:cs="Arial"/>
          <w:lang w:val="en-CA"/>
        </w:rPr>
        <w:t>para.</w:t>
      </w:r>
      <w:r w:rsidR="00873B58" w:rsidRPr="00C83535">
        <w:rPr>
          <w:rFonts w:cs="Arial"/>
          <w:lang w:val="en-CA"/>
        </w:rPr>
        <w:t> </w:t>
      </w:r>
      <w:r w:rsidR="00476F78" w:rsidRPr="00515AA2">
        <w:rPr>
          <w:rFonts w:cs="Arial"/>
        </w:rPr>
        <w:t>61.</w:t>
      </w:r>
    </w:p>
  </w:footnote>
  <w:footnote w:id="20">
    <w:p w14:paraId="428D6479" w14:textId="31C0E8A0" w:rsidR="00476F78" w:rsidRPr="00515AA2" w:rsidRDefault="00476F78" w:rsidP="00476F78">
      <w:pPr>
        <w:pStyle w:val="Notedebasdepage"/>
      </w:pPr>
      <w:r w:rsidRPr="00515AA2">
        <w:rPr>
          <w:rStyle w:val="Appelnotedebasdep"/>
        </w:rPr>
        <w:footnoteRef/>
      </w:r>
      <w:r w:rsidRPr="00515AA2">
        <w:t xml:space="preserve"> </w:t>
      </w:r>
      <w:r w:rsidRPr="00515AA2">
        <w:tab/>
      </w:r>
      <w:r w:rsidRPr="00515AA2">
        <w:rPr>
          <w:i/>
        </w:rPr>
        <w:t>Montreuil</w:t>
      </w:r>
      <w:r w:rsidRPr="00515AA2">
        <w:t xml:space="preserve"> </w:t>
      </w:r>
      <w:r w:rsidRPr="00515AA2">
        <w:rPr>
          <w:i/>
          <w:iCs/>
        </w:rPr>
        <w:t>c.</w:t>
      </w:r>
      <w:r w:rsidRPr="00515AA2">
        <w:t xml:space="preserve"> </w:t>
      </w:r>
      <w:r w:rsidRPr="00515AA2">
        <w:rPr>
          <w:i/>
        </w:rPr>
        <w:t>Directeur de l</w:t>
      </w:r>
      <w:r w:rsidR="00751423" w:rsidRPr="00515AA2">
        <w:rPr>
          <w:i/>
        </w:rPr>
        <w:t>’</w:t>
      </w:r>
      <w:r w:rsidRPr="00515AA2">
        <w:rPr>
          <w:i/>
        </w:rPr>
        <w:t>état civil</w:t>
      </w:r>
      <w:r w:rsidRPr="00515AA2">
        <w:t>, [1999] R.J.Q. 2819 (C.A.).</w:t>
      </w:r>
    </w:p>
  </w:footnote>
  <w:footnote w:id="21">
    <w:p w14:paraId="45545C9C" w14:textId="1161917C" w:rsidR="00476F78" w:rsidRPr="00515AA2" w:rsidRDefault="00476F78" w:rsidP="00476F78">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01343F" w:rsidRPr="00515AA2">
        <w:rPr>
          <w:rFonts w:cs="Arial"/>
        </w:rPr>
        <w:t xml:space="preserve">On the importance of name stability: </w:t>
      </w:r>
      <w:r w:rsidR="0001343F" w:rsidRPr="00515AA2">
        <w:rPr>
          <w:rFonts w:cs="Arial"/>
          <w:i/>
          <w:iCs/>
        </w:rPr>
        <w:t>Plante c. Directeur de l’état civil</w:t>
      </w:r>
      <w:r w:rsidR="0001343F" w:rsidRPr="00515AA2">
        <w:rPr>
          <w:rFonts w:cs="Arial"/>
        </w:rPr>
        <w:t xml:space="preserve">, [1996] R.D.F. 54 (C.S.); </w:t>
      </w:r>
      <w:r w:rsidR="0001343F" w:rsidRPr="00515AA2">
        <w:rPr>
          <w:rFonts w:cs="Arial"/>
          <w:i/>
          <w:iCs/>
        </w:rPr>
        <w:t>Montreuil c. Directeur de l’état civil</w:t>
      </w:r>
      <w:r w:rsidR="0001343F" w:rsidRPr="00515AA2">
        <w:rPr>
          <w:rFonts w:cs="Arial"/>
        </w:rPr>
        <w:t xml:space="preserve">, [1999] R.J.Q. 2819 (C.A.); in </w:t>
      </w:r>
      <w:r w:rsidR="0001343F" w:rsidRPr="00515AA2">
        <w:rPr>
          <w:rFonts w:cs="Arial"/>
          <w:shd w:val="clear" w:color="auto" w:fill="FFFFFF"/>
        </w:rPr>
        <w:t xml:space="preserve">Benoît Moore, </w:t>
      </w:r>
      <w:r w:rsidR="0001343F" w:rsidRPr="00515AA2">
        <w:rPr>
          <w:rFonts w:cs="Arial"/>
          <w:i/>
          <w:iCs/>
          <w:shd w:val="clear" w:color="auto" w:fill="FFFFFF"/>
        </w:rPr>
        <w:t>Le droit de la famille et les minorités</w:t>
      </w:r>
      <w:r w:rsidR="0001343F" w:rsidRPr="00515AA2">
        <w:rPr>
          <w:rFonts w:cs="Arial"/>
          <w:shd w:val="clear" w:color="auto" w:fill="FFFFFF"/>
        </w:rPr>
        <w:t>, 2004 34-1-2 </w:t>
      </w:r>
      <w:r w:rsidR="0001343F" w:rsidRPr="00515AA2">
        <w:rPr>
          <w:rFonts w:cs="Arial"/>
          <w:i/>
          <w:iCs/>
          <w:shd w:val="clear" w:color="auto" w:fill="FFFFFF"/>
        </w:rPr>
        <w:t>Revue de Droit de l’Université de Sherbrooke</w:t>
      </w:r>
      <w:r w:rsidR="0001343F" w:rsidRPr="00515AA2">
        <w:rPr>
          <w:rFonts w:cs="Arial"/>
          <w:shd w:val="clear" w:color="auto" w:fill="FFFFFF"/>
        </w:rPr>
        <w:t> 229, 2004 CanLIIDocs 184, &lt;https://canlii.ca/t/2s41&gt;, consulted on 2023-03-13.</w:t>
      </w:r>
    </w:p>
  </w:footnote>
  <w:footnote w:id="22">
    <w:p w14:paraId="78F5AC37" w14:textId="22D0A971" w:rsidR="00335337" w:rsidRPr="00515AA2" w:rsidRDefault="00335337">
      <w:pPr>
        <w:pStyle w:val="Notedebasdepage"/>
        <w:rPr>
          <w:lang w:val="en-CA"/>
        </w:rPr>
      </w:pPr>
      <w:r w:rsidRPr="00515AA2">
        <w:rPr>
          <w:rStyle w:val="Appelnotedebasdep"/>
        </w:rPr>
        <w:footnoteRef/>
      </w:r>
      <w:r w:rsidRPr="00515AA2">
        <w:rPr>
          <w:lang w:val="en-CA"/>
        </w:rPr>
        <w:t xml:space="preserve"> </w:t>
      </w:r>
      <w:r w:rsidRPr="00515AA2">
        <w:rPr>
          <w:lang w:val="en-CA"/>
        </w:rPr>
        <w:tab/>
      </w:r>
      <w:r w:rsidR="0001343F" w:rsidRPr="00515AA2">
        <w:rPr>
          <w:rFonts w:cs="Arial"/>
          <w:i/>
          <w:iCs/>
          <w:color w:val="212529"/>
          <w:lang w:val="en-CA"/>
        </w:rPr>
        <w:t>Act respecting the change of name and of other particulars of civil status</w:t>
      </w:r>
      <w:r w:rsidR="0001343F" w:rsidRPr="00515AA2">
        <w:rPr>
          <w:rFonts w:cs="Arial"/>
          <w:color w:val="212529"/>
          <w:lang w:val="en-CA"/>
        </w:rPr>
        <w:t>, R.S.Q., c. C-10, s. 3</w:t>
      </w:r>
      <w:r w:rsidRPr="00515AA2">
        <w:rPr>
          <w:lang w:val="en-CA"/>
        </w:rPr>
        <w:t>.</w:t>
      </w:r>
    </w:p>
  </w:footnote>
  <w:footnote w:id="23">
    <w:p w14:paraId="6183259D" w14:textId="12240A28" w:rsidR="00335337" w:rsidRPr="00515AA2" w:rsidRDefault="00335337">
      <w:pPr>
        <w:pStyle w:val="Notedebasdepage"/>
        <w:rPr>
          <w:lang w:val="en-CA"/>
        </w:rPr>
      </w:pPr>
      <w:r w:rsidRPr="00515AA2">
        <w:rPr>
          <w:rStyle w:val="Appelnotedebasdep"/>
        </w:rPr>
        <w:footnoteRef/>
      </w:r>
      <w:r w:rsidRPr="00515AA2">
        <w:rPr>
          <w:lang w:val="en-CA"/>
        </w:rPr>
        <w:t xml:space="preserve"> </w:t>
      </w:r>
      <w:r w:rsidRPr="00515AA2">
        <w:rPr>
          <w:lang w:val="en-CA"/>
        </w:rPr>
        <w:tab/>
      </w:r>
      <w:r w:rsidR="008C25BF" w:rsidRPr="00515AA2">
        <w:rPr>
          <w:i/>
          <w:iCs/>
          <w:lang w:val="en-CA"/>
        </w:rPr>
        <w:t xml:space="preserve">Id., </w:t>
      </w:r>
      <w:r w:rsidR="0001343F" w:rsidRPr="00515AA2">
        <w:rPr>
          <w:lang w:val="en-CA"/>
        </w:rPr>
        <w:t>ss. 6, 8</w:t>
      </w:r>
      <w:r w:rsidRPr="00515AA2">
        <w:rPr>
          <w:lang w:val="en-CA"/>
        </w:rPr>
        <w:t>.</w:t>
      </w:r>
    </w:p>
  </w:footnote>
  <w:footnote w:id="24">
    <w:p w14:paraId="2A2FFDF5" w14:textId="544C9643" w:rsidR="00C96AC7" w:rsidRPr="00515AA2" w:rsidRDefault="00C96AC7" w:rsidP="00C96AC7">
      <w:pPr>
        <w:pStyle w:val="Notedebasdepage"/>
        <w:rPr>
          <w:lang w:val="en-CA"/>
        </w:rPr>
      </w:pPr>
      <w:r w:rsidRPr="00515AA2">
        <w:rPr>
          <w:rStyle w:val="Appelnotedebasdep"/>
        </w:rPr>
        <w:footnoteRef/>
      </w:r>
      <w:r w:rsidRPr="00515AA2">
        <w:rPr>
          <w:lang w:val="en-CA"/>
        </w:rPr>
        <w:t xml:space="preserve"> </w:t>
      </w:r>
      <w:r w:rsidRPr="00515AA2">
        <w:rPr>
          <w:lang w:val="en-CA"/>
        </w:rPr>
        <w:tab/>
      </w:r>
      <w:bookmarkStart w:id="28" w:name="_Hlk161049552"/>
      <w:r w:rsidR="0001343F" w:rsidRPr="00515AA2">
        <w:rPr>
          <w:i/>
          <w:iCs/>
          <w:lang w:val="en-CA"/>
        </w:rPr>
        <w:t>Act to amend</w:t>
      </w:r>
      <w:r w:rsidR="0001343F" w:rsidRPr="00515AA2">
        <w:rPr>
          <w:lang w:val="en-CA"/>
        </w:rPr>
        <w:t xml:space="preserve"> </w:t>
      </w:r>
      <w:r w:rsidR="0001343F" w:rsidRPr="00515AA2">
        <w:rPr>
          <w:i/>
          <w:lang w:val="en-CA"/>
        </w:rPr>
        <w:t xml:space="preserve">the Act respecting the change of </w:t>
      </w:r>
      <w:r w:rsidR="00B36915" w:rsidRPr="00515AA2">
        <w:rPr>
          <w:i/>
          <w:lang w:val="en-CA"/>
        </w:rPr>
        <w:t>n</w:t>
      </w:r>
      <w:r w:rsidR="0001343F" w:rsidRPr="00515AA2">
        <w:rPr>
          <w:i/>
          <w:lang w:val="en-CA"/>
        </w:rPr>
        <w:t>ame</w:t>
      </w:r>
      <w:r w:rsidR="0001343F" w:rsidRPr="00515AA2">
        <w:rPr>
          <w:lang w:val="en-CA"/>
        </w:rPr>
        <w:t xml:space="preserve">, </w:t>
      </w:r>
      <w:bookmarkEnd w:id="28"/>
      <w:r w:rsidR="0001343F" w:rsidRPr="00515AA2">
        <w:rPr>
          <w:lang w:val="en-CA"/>
        </w:rPr>
        <w:t>S.Q. 1977, c. 19</w:t>
      </w:r>
      <w:r w:rsidRPr="00515AA2">
        <w:rPr>
          <w:lang w:val="en-CA"/>
        </w:rPr>
        <w:t>.</w:t>
      </w:r>
    </w:p>
  </w:footnote>
  <w:footnote w:id="25">
    <w:p w14:paraId="3CF8633D" w14:textId="7F261291" w:rsidR="007462BB" w:rsidRPr="00515AA2" w:rsidRDefault="007462BB" w:rsidP="003624CE">
      <w:pPr>
        <w:pStyle w:val="Notedebasdepage"/>
        <w:rPr>
          <w:lang w:val="en-CA"/>
        </w:rPr>
      </w:pPr>
      <w:r w:rsidRPr="00515AA2">
        <w:rPr>
          <w:rStyle w:val="Appelnotedebasdep"/>
        </w:rPr>
        <w:footnoteRef/>
      </w:r>
      <w:r w:rsidRPr="00515AA2">
        <w:rPr>
          <w:lang w:val="en-CA"/>
        </w:rPr>
        <w:t xml:space="preserve"> </w:t>
      </w:r>
      <w:r w:rsidRPr="00515AA2">
        <w:rPr>
          <w:lang w:val="en-CA"/>
        </w:rPr>
        <w:tab/>
      </w:r>
      <w:r w:rsidR="00310F3D" w:rsidRPr="00515AA2">
        <w:rPr>
          <w:i/>
          <w:iCs/>
          <w:lang w:val="en-CA"/>
        </w:rPr>
        <w:t>Id.</w:t>
      </w:r>
      <w:r w:rsidR="008C25BF" w:rsidRPr="00515AA2">
        <w:rPr>
          <w:lang w:val="en-CA"/>
        </w:rPr>
        <w:t>,</w:t>
      </w:r>
      <w:r w:rsidRPr="00515AA2">
        <w:rPr>
          <w:lang w:val="en-CA"/>
        </w:rPr>
        <w:t xml:space="preserve"> </w:t>
      </w:r>
      <w:r w:rsidR="0001343F" w:rsidRPr="00515AA2">
        <w:rPr>
          <w:lang w:val="en-CA"/>
        </w:rPr>
        <w:t>s</w:t>
      </w:r>
      <w:r w:rsidRPr="00515AA2">
        <w:rPr>
          <w:lang w:val="en-CA"/>
        </w:rPr>
        <w:t>s</w:t>
      </w:r>
      <w:r w:rsidR="0001343F" w:rsidRPr="00515AA2">
        <w:rPr>
          <w:lang w:val="en-CA"/>
        </w:rPr>
        <w:t>.</w:t>
      </w:r>
      <w:r w:rsidR="0038182A" w:rsidRPr="00515AA2">
        <w:rPr>
          <w:lang w:val="en-CA"/>
        </w:rPr>
        <w:t> </w:t>
      </w:r>
      <w:r w:rsidRPr="00515AA2">
        <w:rPr>
          <w:lang w:val="en-CA"/>
        </w:rPr>
        <w:t>16</w:t>
      </w:r>
      <w:r w:rsidR="00A26334" w:rsidRPr="00515AA2">
        <w:rPr>
          <w:lang w:val="en-CA"/>
        </w:rPr>
        <w:t>ff</w:t>
      </w:r>
      <w:r w:rsidRPr="00515AA2">
        <w:rPr>
          <w:lang w:val="en-CA"/>
        </w:rPr>
        <w:t>.</w:t>
      </w:r>
    </w:p>
  </w:footnote>
  <w:footnote w:id="26">
    <w:p w14:paraId="5336CE88" w14:textId="259187E1" w:rsidR="007462BB" w:rsidRPr="00515AA2" w:rsidRDefault="007462BB" w:rsidP="003624CE">
      <w:pPr>
        <w:pStyle w:val="Notedebasdepage"/>
        <w:rPr>
          <w:lang w:val="en-CA"/>
        </w:rPr>
      </w:pPr>
      <w:r w:rsidRPr="00515AA2">
        <w:rPr>
          <w:rStyle w:val="Appelnotedebasdep"/>
        </w:rPr>
        <w:footnoteRef/>
      </w:r>
      <w:r w:rsidRPr="00515AA2">
        <w:rPr>
          <w:lang w:val="en-CA"/>
        </w:rPr>
        <w:t xml:space="preserve"> </w:t>
      </w:r>
      <w:r w:rsidRPr="00515AA2">
        <w:rPr>
          <w:lang w:val="en-CA"/>
        </w:rPr>
        <w:tab/>
      </w:r>
      <w:r w:rsidR="0001343F" w:rsidRPr="00515AA2">
        <w:rPr>
          <w:i/>
          <w:lang w:val="en-CA"/>
        </w:rPr>
        <w:t>Id.</w:t>
      </w:r>
      <w:r w:rsidRPr="00515AA2">
        <w:rPr>
          <w:lang w:val="en-CA"/>
        </w:rPr>
        <w:t xml:space="preserve">, </w:t>
      </w:r>
      <w:r w:rsidR="0001343F" w:rsidRPr="00515AA2">
        <w:rPr>
          <w:lang w:val="en-CA"/>
        </w:rPr>
        <w:t>s</w:t>
      </w:r>
      <w:r w:rsidRPr="00515AA2">
        <w:rPr>
          <w:lang w:val="en-CA"/>
        </w:rPr>
        <w:t>.</w:t>
      </w:r>
      <w:r w:rsidR="0038182A" w:rsidRPr="00515AA2">
        <w:rPr>
          <w:lang w:val="en-CA"/>
        </w:rPr>
        <w:t> </w:t>
      </w:r>
      <w:r w:rsidR="00380B41" w:rsidRPr="00515AA2">
        <w:rPr>
          <w:lang w:val="en-CA"/>
        </w:rPr>
        <w:t>1</w:t>
      </w:r>
      <w:r w:rsidRPr="00515AA2">
        <w:rPr>
          <w:lang w:val="en-CA"/>
        </w:rPr>
        <w:t>6.</w:t>
      </w:r>
    </w:p>
  </w:footnote>
  <w:footnote w:id="27">
    <w:p w14:paraId="2ACD9070" w14:textId="6D2D36BB" w:rsidR="0038182A" w:rsidRPr="00515AA2" w:rsidRDefault="007462BB" w:rsidP="00DA18CD">
      <w:pPr>
        <w:pStyle w:val="Notedebasdepage"/>
        <w:ind w:left="0" w:firstLine="0"/>
        <w:rPr>
          <w:lang w:val="en-CA"/>
        </w:rPr>
      </w:pPr>
      <w:r w:rsidRPr="00515AA2">
        <w:rPr>
          <w:rStyle w:val="Appelnotedebasdep"/>
        </w:rPr>
        <w:footnoteRef/>
      </w:r>
      <w:r w:rsidRPr="00515AA2">
        <w:rPr>
          <w:lang w:val="en-CA"/>
        </w:rPr>
        <w:t xml:space="preserve"> </w:t>
      </w:r>
      <w:r w:rsidRPr="00515AA2">
        <w:rPr>
          <w:lang w:val="en-CA"/>
        </w:rPr>
        <w:tab/>
      </w:r>
      <w:r w:rsidR="00992063" w:rsidRPr="00515AA2">
        <w:rPr>
          <w:i/>
          <w:iCs/>
          <w:lang w:val="en-CA"/>
        </w:rPr>
        <w:t>C.</w:t>
      </w:r>
      <w:r w:rsidR="0001343F" w:rsidRPr="00515AA2">
        <w:rPr>
          <w:i/>
          <w:iCs/>
          <w:lang w:val="en-CA"/>
        </w:rPr>
        <w:t>C</w:t>
      </w:r>
      <w:r w:rsidR="00992063" w:rsidRPr="00515AA2">
        <w:rPr>
          <w:i/>
          <w:iCs/>
          <w:lang w:val="en-CA"/>
        </w:rPr>
        <w:t xml:space="preserve">.Q., </w:t>
      </w:r>
      <w:r w:rsidR="00992063" w:rsidRPr="00515AA2">
        <w:rPr>
          <w:lang w:val="en-CA"/>
        </w:rPr>
        <w:t>a</w:t>
      </w:r>
      <w:r w:rsidRPr="00515AA2">
        <w:rPr>
          <w:lang w:val="en-CA"/>
        </w:rPr>
        <w:t>rt. 71</w:t>
      </w:r>
      <w:r w:rsidRPr="00515AA2">
        <w:rPr>
          <w:i/>
          <w:lang w:val="en-CA"/>
        </w:rPr>
        <w:t>,</w:t>
      </w:r>
      <w:r w:rsidR="00A96ED1" w:rsidRPr="00515AA2">
        <w:rPr>
          <w:i/>
          <w:lang w:val="en-CA"/>
        </w:rPr>
        <w:t xml:space="preserve"> </w:t>
      </w:r>
      <w:r w:rsidR="0001343F" w:rsidRPr="00515AA2">
        <w:rPr>
          <w:lang w:val="en-CA"/>
        </w:rPr>
        <w:t xml:space="preserve">as it read in </w:t>
      </w:r>
      <w:r w:rsidRPr="00515AA2">
        <w:rPr>
          <w:lang w:val="en-CA"/>
        </w:rPr>
        <w:t>1994:</w:t>
      </w:r>
    </w:p>
    <w:p w14:paraId="4276432F" w14:textId="77777777" w:rsidR="0038182A" w:rsidRPr="00515AA2" w:rsidRDefault="0038182A" w:rsidP="003624CE">
      <w:pPr>
        <w:pStyle w:val="Notedebasdepage"/>
        <w:rPr>
          <w:lang w:val="en-CA"/>
        </w:rPr>
      </w:pPr>
    </w:p>
    <w:tbl>
      <w:tblPr>
        <w:tblW w:w="9359" w:type="dxa"/>
        <w:tblLayout w:type="fixed"/>
        <w:tblCellMar>
          <w:left w:w="70" w:type="dxa"/>
          <w:right w:w="70" w:type="dxa"/>
        </w:tblCellMar>
        <w:tblLook w:val="0000" w:firstRow="0" w:lastRow="0" w:firstColumn="0" w:lastColumn="0" w:noHBand="0" w:noVBand="0"/>
      </w:tblPr>
      <w:tblGrid>
        <w:gridCol w:w="4678"/>
        <w:gridCol w:w="4681"/>
      </w:tblGrid>
      <w:tr w:rsidR="007462BB" w:rsidRPr="00515AA2" w14:paraId="14D3E406" w14:textId="77777777" w:rsidTr="005E1AB0">
        <w:tc>
          <w:tcPr>
            <w:tcW w:w="4678" w:type="dxa"/>
            <w:shd w:val="clear" w:color="auto" w:fill="auto"/>
          </w:tcPr>
          <w:p w14:paraId="36BEDFAB" w14:textId="77777777" w:rsidR="0001343F" w:rsidRPr="00515AA2" w:rsidRDefault="007462BB" w:rsidP="005E1AB0">
            <w:pPr>
              <w:spacing w:line="240" w:lineRule="auto"/>
              <w:ind w:left="720" w:right="216"/>
              <w:jc w:val="both"/>
              <w:rPr>
                <w:sz w:val="18"/>
                <w:szCs w:val="18"/>
                <w:lang w:val="en-CA"/>
              </w:rPr>
            </w:pPr>
            <w:r w:rsidRPr="00515AA2">
              <w:rPr>
                <w:b/>
                <w:sz w:val="18"/>
                <w:szCs w:val="18"/>
                <w:lang w:val="en-CA"/>
              </w:rPr>
              <w:t>Art. 71.</w:t>
            </w:r>
            <w:r w:rsidRPr="00515AA2">
              <w:rPr>
                <w:sz w:val="18"/>
                <w:szCs w:val="18"/>
                <w:lang w:val="en-CA"/>
              </w:rPr>
              <w:t xml:space="preserve"> </w:t>
            </w:r>
            <w:r w:rsidR="0001343F" w:rsidRPr="00515AA2">
              <w:rPr>
                <w:sz w:val="18"/>
                <w:szCs w:val="18"/>
                <w:lang w:val="en-CA"/>
              </w:rPr>
              <w:t>Every person who has successfully undergone medical treatments and surgical operations involving a structural modification of the sexual organs intended to change his secondary sexual characteristics may have the designation of sex which appears on his act of birth and, if necessary, his given names changed.</w:t>
            </w:r>
          </w:p>
          <w:p w14:paraId="63EC68D5" w14:textId="77777777" w:rsidR="00494E92" w:rsidRPr="00515AA2" w:rsidRDefault="00494E92" w:rsidP="005D7772">
            <w:pPr>
              <w:spacing w:line="240" w:lineRule="auto"/>
              <w:ind w:left="720"/>
              <w:jc w:val="both"/>
              <w:rPr>
                <w:sz w:val="18"/>
                <w:szCs w:val="18"/>
                <w:lang w:val="en-CA"/>
              </w:rPr>
            </w:pPr>
          </w:p>
          <w:p w14:paraId="4F3D3F81" w14:textId="6428FA09" w:rsidR="007462BB" w:rsidRPr="00515AA2" w:rsidRDefault="0001343F" w:rsidP="005E1AB0">
            <w:pPr>
              <w:spacing w:line="240" w:lineRule="auto"/>
              <w:ind w:left="720" w:right="216"/>
              <w:jc w:val="both"/>
              <w:rPr>
                <w:sz w:val="18"/>
                <w:szCs w:val="18"/>
                <w:lang w:val="en-CA"/>
              </w:rPr>
            </w:pPr>
            <w:r w:rsidRPr="00515AA2">
              <w:rPr>
                <w:sz w:val="18"/>
                <w:szCs w:val="18"/>
                <w:lang w:val="en-CA"/>
              </w:rPr>
              <w:t>Only an unmarried person of full age who has been domiciled in Québec for at least one year and is a Canadian citizen may make an application under this article.</w:t>
            </w:r>
          </w:p>
        </w:tc>
        <w:tc>
          <w:tcPr>
            <w:tcW w:w="4681" w:type="dxa"/>
            <w:shd w:val="clear" w:color="auto" w:fill="auto"/>
          </w:tcPr>
          <w:p w14:paraId="7BBA2302" w14:textId="010CCC44" w:rsidR="007462BB" w:rsidRPr="00515AA2" w:rsidRDefault="007462BB" w:rsidP="005E1AB0">
            <w:pPr>
              <w:spacing w:line="240" w:lineRule="auto"/>
              <w:ind w:left="218" w:right="638"/>
              <w:jc w:val="both"/>
              <w:rPr>
                <w:sz w:val="18"/>
                <w:szCs w:val="18"/>
              </w:rPr>
            </w:pPr>
            <w:r w:rsidRPr="00515AA2">
              <w:rPr>
                <w:b/>
                <w:sz w:val="18"/>
                <w:szCs w:val="18"/>
              </w:rPr>
              <w:t>Art. 71.</w:t>
            </w:r>
            <w:r w:rsidRPr="00515AA2">
              <w:rPr>
                <w:sz w:val="18"/>
                <w:szCs w:val="18"/>
              </w:rPr>
              <w:t xml:space="preserve"> </w:t>
            </w:r>
            <w:r w:rsidR="0001343F" w:rsidRPr="00515AA2">
              <w:rPr>
                <w:sz w:val="18"/>
                <w:szCs w:val="18"/>
              </w:rPr>
              <w:t>La personne qui a subi avec succès des traitements médicaux et des interventions chirurgicales impliquant une modification structurale des organes sexuels, et destinés à changer ses caractères sexuels apparents, peut obtenir la modification de la mention du sexe figurant sur son acte de naissance et, s’il y a lieu, de ses prénoms</w:t>
            </w:r>
            <w:r w:rsidRPr="00515AA2">
              <w:rPr>
                <w:sz w:val="18"/>
                <w:szCs w:val="18"/>
              </w:rPr>
              <w:t>.</w:t>
            </w:r>
          </w:p>
          <w:p w14:paraId="3912BFF1" w14:textId="77777777" w:rsidR="00494E92" w:rsidRPr="00515AA2" w:rsidRDefault="00494E92" w:rsidP="005D7772">
            <w:pPr>
              <w:spacing w:line="240" w:lineRule="auto"/>
              <w:ind w:left="720"/>
              <w:jc w:val="both"/>
              <w:rPr>
                <w:sz w:val="18"/>
                <w:szCs w:val="18"/>
              </w:rPr>
            </w:pPr>
          </w:p>
          <w:p w14:paraId="2EDDFA31" w14:textId="55043BB8" w:rsidR="007462BB" w:rsidRPr="00515AA2" w:rsidRDefault="0001343F" w:rsidP="005E1AB0">
            <w:pPr>
              <w:spacing w:line="240" w:lineRule="auto"/>
              <w:ind w:left="218" w:right="638"/>
              <w:jc w:val="both"/>
              <w:rPr>
                <w:rFonts w:ascii="Calibri" w:hAnsi="Calibri"/>
                <w:sz w:val="18"/>
                <w:szCs w:val="18"/>
                <w:lang w:eastAsia="en-US"/>
              </w:rPr>
            </w:pPr>
            <w:r w:rsidRPr="00515AA2">
              <w:rPr>
                <w:sz w:val="18"/>
                <w:szCs w:val="18"/>
              </w:rPr>
              <w:t>Seul un majeur, non marié, domicilié au Québec depuis au moins un an et ayant la citoyenneté canadienne, peut faire cette demande.</w:t>
            </w:r>
          </w:p>
        </w:tc>
      </w:tr>
    </w:tbl>
    <w:p w14:paraId="1FDF72D4" w14:textId="77777777" w:rsidR="007462BB" w:rsidRPr="00515AA2" w:rsidRDefault="007462BB" w:rsidP="003624CE">
      <w:pPr>
        <w:pStyle w:val="Notedebasdepage"/>
      </w:pPr>
    </w:p>
  </w:footnote>
  <w:footnote w:id="28">
    <w:p w14:paraId="2189383D" w14:textId="478EE406"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992063" w:rsidRPr="00515AA2">
        <w:rPr>
          <w:i/>
          <w:iCs/>
          <w:lang w:val="en-CA"/>
        </w:rPr>
        <w:t>C.</w:t>
      </w:r>
      <w:r w:rsidR="0001343F" w:rsidRPr="00515AA2">
        <w:rPr>
          <w:i/>
          <w:iCs/>
          <w:lang w:val="en-CA"/>
        </w:rPr>
        <w:t>C</w:t>
      </w:r>
      <w:r w:rsidR="00992063" w:rsidRPr="00515AA2">
        <w:rPr>
          <w:i/>
          <w:iCs/>
          <w:lang w:val="en-CA"/>
        </w:rPr>
        <w:t xml:space="preserve">.Q., </w:t>
      </w:r>
      <w:r w:rsidR="00992063" w:rsidRPr="00515AA2">
        <w:rPr>
          <w:lang w:val="en-CA"/>
        </w:rPr>
        <w:t>a</w:t>
      </w:r>
      <w:r w:rsidRPr="00515AA2">
        <w:rPr>
          <w:rFonts w:cs="Arial"/>
          <w:lang w:val="en-CA"/>
        </w:rPr>
        <w:t>rt.</w:t>
      </w:r>
      <w:r w:rsidR="0038182A" w:rsidRPr="00515AA2">
        <w:rPr>
          <w:rFonts w:cs="Arial"/>
          <w:lang w:val="en-CA"/>
        </w:rPr>
        <w:t> </w:t>
      </w:r>
      <w:r w:rsidRPr="00515AA2">
        <w:rPr>
          <w:rFonts w:cs="Arial"/>
          <w:lang w:val="en-CA"/>
        </w:rPr>
        <w:t xml:space="preserve">60, </w:t>
      </w:r>
      <w:r w:rsidR="0001343F" w:rsidRPr="00515AA2">
        <w:rPr>
          <w:rFonts w:cs="Arial"/>
          <w:lang w:val="en-CA"/>
        </w:rPr>
        <w:t>as it read in</w:t>
      </w:r>
      <w:r w:rsidRPr="00515AA2">
        <w:rPr>
          <w:rFonts w:cs="Arial"/>
          <w:lang w:val="en-CA"/>
        </w:rPr>
        <w:t xml:space="preserve"> 1994:</w:t>
      </w:r>
    </w:p>
    <w:p w14:paraId="00D26E8E" w14:textId="77777777" w:rsidR="0038182A" w:rsidRPr="00515AA2" w:rsidRDefault="0038182A" w:rsidP="003624CE">
      <w:pPr>
        <w:pStyle w:val="Notedebasdepage"/>
        <w:rPr>
          <w:rFonts w:cs="Arial"/>
          <w:lang w:val="en-CA"/>
        </w:rPr>
      </w:pPr>
    </w:p>
    <w:tbl>
      <w:tblPr>
        <w:tblW w:w="9362" w:type="dxa"/>
        <w:tblLayout w:type="fixed"/>
        <w:tblCellMar>
          <w:left w:w="70" w:type="dxa"/>
          <w:right w:w="70" w:type="dxa"/>
        </w:tblCellMar>
        <w:tblLook w:val="0000" w:firstRow="0" w:lastRow="0" w:firstColumn="0" w:lastColumn="0" w:noHBand="0" w:noVBand="0"/>
      </w:tblPr>
      <w:tblGrid>
        <w:gridCol w:w="4681"/>
        <w:gridCol w:w="4681"/>
      </w:tblGrid>
      <w:tr w:rsidR="007462BB" w:rsidRPr="00515AA2" w14:paraId="277BE215" w14:textId="77777777" w:rsidTr="00CB4AAB">
        <w:tc>
          <w:tcPr>
            <w:tcW w:w="4681" w:type="dxa"/>
            <w:shd w:val="clear" w:color="auto" w:fill="auto"/>
          </w:tcPr>
          <w:p w14:paraId="283F3DE0" w14:textId="45962A2E" w:rsidR="007462BB" w:rsidRPr="00515AA2" w:rsidRDefault="007462BB" w:rsidP="005E1AB0">
            <w:pPr>
              <w:spacing w:line="240" w:lineRule="auto"/>
              <w:ind w:left="720" w:right="216"/>
              <w:jc w:val="both"/>
              <w:rPr>
                <w:sz w:val="18"/>
                <w:szCs w:val="18"/>
                <w:lang w:val="en-CA"/>
              </w:rPr>
            </w:pPr>
            <w:r w:rsidRPr="00515AA2">
              <w:rPr>
                <w:b/>
                <w:sz w:val="18"/>
                <w:szCs w:val="18"/>
                <w:lang w:val="en-CA"/>
              </w:rPr>
              <w:t>Art. 60.</w:t>
            </w:r>
            <w:r w:rsidR="0001343F" w:rsidRPr="00515AA2">
              <w:rPr>
                <w:sz w:val="18"/>
                <w:szCs w:val="18"/>
                <w:lang w:val="en-CA"/>
              </w:rPr>
              <w:t xml:space="preserve"> The tutor to a minor may apply for the change of the name of his pupil, if the latter is a Canadian citizen and has been domiciled in Québec for at least one year.</w:t>
            </w:r>
          </w:p>
        </w:tc>
        <w:tc>
          <w:tcPr>
            <w:tcW w:w="4681" w:type="dxa"/>
            <w:shd w:val="clear" w:color="auto" w:fill="auto"/>
          </w:tcPr>
          <w:p w14:paraId="7D398A33" w14:textId="1A17E6CD" w:rsidR="007462BB" w:rsidRPr="00515AA2" w:rsidRDefault="007462BB" w:rsidP="005E1AB0">
            <w:pPr>
              <w:spacing w:line="240" w:lineRule="auto"/>
              <w:ind w:left="209" w:right="646"/>
              <w:jc w:val="both"/>
              <w:rPr>
                <w:sz w:val="18"/>
                <w:szCs w:val="18"/>
              </w:rPr>
            </w:pPr>
            <w:r w:rsidRPr="00515AA2">
              <w:rPr>
                <w:b/>
                <w:sz w:val="18"/>
                <w:szCs w:val="18"/>
              </w:rPr>
              <w:t>Art. 60.</w:t>
            </w:r>
            <w:r w:rsidRPr="00515AA2">
              <w:rPr>
                <w:sz w:val="18"/>
                <w:szCs w:val="18"/>
              </w:rPr>
              <w:t xml:space="preserve"> </w:t>
            </w:r>
            <w:r w:rsidR="0001343F" w:rsidRPr="00515AA2">
              <w:rPr>
                <w:sz w:val="18"/>
                <w:szCs w:val="18"/>
              </w:rPr>
              <w:t>Le tuteur d’un mineur peut demander le changement de nom de son pupille, si ce dernier a la citoyenneté canadienne et est domicilié au Québec depuis au moins un an.</w:t>
            </w:r>
          </w:p>
          <w:p w14:paraId="1D357951" w14:textId="5F45361B" w:rsidR="0038182A" w:rsidRPr="00515AA2" w:rsidRDefault="0038182A" w:rsidP="005D7772">
            <w:pPr>
              <w:spacing w:line="240" w:lineRule="auto"/>
              <w:ind w:left="720"/>
              <w:jc w:val="both"/>
              <w:rPr>
                <w:sz w:val="18"/>
                <w:szCs w:val="18"/>
              </w:rPr>
            </w:pPr>
          </w:p>
        </w:tc>
      </w:tr>
    </w:tbl>
    <w:p w14:paraId="5EA6F406" w14:textId="77777777" w:rsidR="009D6E00" w:rsidRPr="00515AA2" w:rsidRDefault="0001343F" w:rsidP="0001343F">
      <w:pPr>
        <w:pStyle w:val="Notedebasdepage"/>
        <w:ind w:firstLine="0"/>
        <w:rPr>
          <w:rFonts w:cs="Arial"/>
          <w:lang w:val="en-CA"/>
        </w:rPr>
      </w:pPr>
      <w:r w:rsidRPr="00515AA2">
        <w:rPr>
          <w:rFonts w:cs="Arial"/>
          <w:lang w:val="en-CA"/>
        </w:rPr>
        <w:t>The Minister’s commentaries are instructive in this regard:</w:t>
      </w:r>
    </w:p>
    <w:p w14:paraId="67A9873D" w14:textId="01499434" w:rsidR="00494E92" w:rsidRPr="00515AA2" w:rsidRDefault="009D6E00" w:rsidP="00494E92">
      <w:pPr>
        <w:pStyle w:val="Notedebasdepage"/>
        <w:ind w:firstLine="0"/>
        <w:rPr>
          <w:rFonts w:cs="Arial"/>
          <w:lang w:val="en-CA"/>
        </w:rPr>
      </w:pPr>
      <w:r w:rsidRPr="00515AA2">
        <w:rPr>
          <w:rFonts w:cs="Arial"/>
          <w:lang w:val="en-CA"/>
        </w:rPr>
        <w:tab/>
        <w:t>[</w:t>
      </w:r>
      <w:r w:rsidRPr="00515AA2">
        <w:rPr>
          <w:rFonts w:cs="Arial"/>
          <w:smallCaps/>
          <w:lang w:val="en-CA"/>
        </w:rPr>
        <w:t>Translation</w:t>
      </w:r>
      <w:r w:rsidRPr="00515AA2">
        <w:rPr>
          <w:rFonts w:cs="Arial"/>
          <w:lang w:val="en-CA"/>
        </w:rPr>
        <w:t>]</w:t>
      </w:r>
    </w:p>
    <w:p w14:paraId="68302243" w14:textId="44D053E4" w:rsidR="0001343F" w:rsidRPr="00515AA2" w:rsidRDefault="0001343F" w:rsidP="0001343F">
      <w:pPr>
        <w:shd w:val="clear" w:color="auto" w:fill="FFFFFF"/>
        <w:spacing w:line="240" w:lineRule="auto"/>
        <w:ind w:left="709"/>
        <w:jc w:val="both"/>
        <w:textAlignment w:val="top"/>
        <w:rPr>
          <w:rFonts w:cs="Arial"/>
          <w:sz w:val="18"/>
          <w:szCs w:val="18"/>
          <w:lang w:val="en-CA" w:eastAsia="fr-CA"/>
        </w:rPr>
      </w:pPr>
      <w:r w:rsidRPr="00515AA2">
        <w:rPr>
          <w:rFonts w:cs="Arial"/>
          <w:sz w:val="18"/>
          <w:szCs w:val="18"/>
          <w:lang w:val="en-CA" w:eastAsia="fr-CA"/>
        </w:rPr>
        <w:t xml:space="preserve">This article amends the rules set out in </w:t>
      </w:r>
      <w:r w:rsidR="009D6E00" w:rsidRPr="00515AA2">
        <w:rPr>
          <w:rFonts w:cs="Arial"/>
          <w:sz w:val="18"/>
          <w:szCs w:val="18"/>
          <w:lang w:val="en-CA" w:eastAsia="fr-CA"/>
        </w:rPr>
        <w:t>sections</w:t>
      </w:r>
      <w:r w:rsidRPr="00515AA2">
        <w:rPr>
          <w:rFonts w:cs="Arial"/>
          <w:sz w:val="18"/>
          <w:szCs w:val="18"/>
          <w:lang w:val="en-CA" w:eastAsia="fr-CA"/>
        </w:rPr>
        <w:t xml:space="preserve"> 6 and 8 of the </w:t>
      </w:r>
      <w:r w:rsidRPr="00515AA2">
        <w:rPr>
          <w:rFonts w:cs="Arial"/>
          <w:i/>
          <w:iCs/>
          <w:sz w:val="18"/>
          <w:szCs w:val="18"/>
          <w:lang w:val="en-CA" w:eastAsia="fr-CA"/>
        </w:rPr>
        <w:t>Act respecting the change of name and of other particulars of civil status</w:t>
      </w:r>
      <w:r w:rsidRPr="00515AA2">
        <w:rPr>
          <w:rFonts w:cs="Arial"/>
          <w:sz w:val="18"/>
          <w:szCs w:val="18"/>
          <w:lang w:val="en-CA" w:eastAsia="fr-CA"/>
        </w:rPr>
        <w:t xml:space="preserve">. Given that </w:t>
      </w:r>
      <w:r w:rsidR="009D6E00" w:rsidRPr="00515AA2">
        <w:rPr>
          <w:rFonts w:cs="Arial"/>
          <w:sz w:val="18"/>
          <w:szCs w:val="18"/>
          <w:lang w:val="en-CA" w:eastAsia="fr-CA"/>
        </w:rPr>
        <w:t xml:space="preserve">art. </w:t>
      </w:r>
      <w:r w:rsidRPr="00515AA2">
        <w:rPr>
          <w:rFonts w:cs="Arial"/>
          <w:sz w:val="18"/>
          <w:szCs w:val="18"/>
          <w:lang w:val="en-CA" w:eastAsia="fr-CA"/>
        </w:rPr>
        <w:t xml:space="preserve">442 </w:t>
      </w:r>
      <w:r w:rsidRPr="00515AA2">
        <w:rPr>
          <w:rFonts w:cs="Arial"/>
          <w:i/>
          <w:iCs/>
          <w:sz w:val="18"/>
          <w:szCs w:val="18"/>
          <w:lang w:val="en-CA" w:eastAsia="fr-CA"/>
        </w:rPr>
        <w:t>C</w:t>
      </w:r>
      <w:r w:rsidR="008C25BF" w:rsidRPr="00515AA2">
        <w:rPr>
          <w:rFonts w:cs="Arial"/>
          <w:i/>
          <w:iCs/>
          <w:sz w:val="18"/>
          <w:szCs w:val="18"/>
          <w:lang w:val="en-CA" w:eastAsia="fr-CA"/>
        </w:rPr>
        <w:t>.</w:t>
      </w:r>
      <w:r w:rsidRPr="00515AA2">
        <w:rPr>
          <w:rFonts w:cs="Arial"/>
          <w:i/>
          <w:iCs/>
          <w:sz w:val="18"/>
          <w:szCs w:val="18"/>
          <w:lang w:val="en-CA" w:eastAsia="fr-CA"/>
        </w:rPr>
        <w:t>C</w:t>
      </w:r>
      <w:r w:rsidR="008C25BF" w:rsidRPr="00515AA2">
        <w:rPr>
          <w:rFonts w:cs="Arial"/>
          <w:i/>
          <w:iCs/>
          <w:sz w:val="18"/>
          <w:szCs w:val="18"/>
          <w:lang w:val="en-CA" w:eastAsia="fr-CA"/>
        </w:rPr>
        <w:t>.</w:t>
      </w:r>
      <w:r w:rsidRPr="00515AA2">
        <w:rPr>
          <w:rFonts w:cs="Arial"/>
          <w:i/>
          <w:iCs/>
          <w:sz w:val="18"/>
          <w:szCs w:val="18"/>
          <w:lang w:val="en-CA" w:eastAsia="fr-CA"/>
        </w:rPr>
        <w:t>Q</w:t>
      </w:r>
      <w:r w:rsidR="008C25BF" w:rsidRPr="00515AA2">
        <w:rPr>
          <w:rFonts w:cs="Arial"/>
          <w:i/>
          <w:iCs/>
          <w:sz w:val="18"/>
          <w:szCs w:val="18"/>
          <w:lang w:val="en-CA" w:eastAsia="fr-CA"/>
        </w:rPr>
        <w:t>.</w:t>
      </w:r>
      <w:r w:rsidRPr="00515AA2">
        <w:rPr>
          <w:rFonts w:cs="Arial"/>
          <w:sz w:val="18"/>
          <w:szCs w:val="18"/>
          <w:lang w:val="en-CA" w:eastAsia="fr-CA"/>
        </w:rPr>
        <w:t xml:space="preserve"> (1980), reproduced in </w:t>
      </w:r>
      <w:r w:rsidR="009D6E00" w:rsidRPr="00515AA2">
        <w:rPr>
          <w:rFonts w:cs="Arial"/>
          <w:sz w:val="18"/>
          <w:szCs w:val="18"/>
          <w:lang w:val="en-CA" w:eastAsia="fr-CA"/>
        </w:rPr>
        <w:t>article</w:t>
      </w:r>
      <w:r w:rsidRPr="00515AA2">
        <w:rPr>
          <w:rFonts w:cs="Arial"/>
          <w:sz w:val="18"/>
          <w:szCs w:val="18"/>
          <w:lang w:val="en-CA" w:eastAsia="fr-CA"/>
        </w:rPr>
        <w:t xml:space="preserve"> 393, establishes that each spouse keeps their name during marriage, and that </w:t>
      </w:r>
      <w:r w:rsidR="009D6E00" w:rsidRPr="00515AA2">
        <w:rPr>
          <w:rFonts w:cs="Arial"/>
          <w:sz w:val="18"/>
          <w:szCs w:val="18"/>
          <w:lang w:val="en-CA" w:eastAsia="fr-CA"/>
        </w:rPr>
        <w:t>article</w:t>
      </w:r>
      <w:r w:rsidRPr="00515AA2">
        <w:rPr>
          <w:rFonts w:cs="Arial"/>
          <w:sz w:val="18"/>
          <w:szCs w:val="18"/>
          <w:lang w:val="en-CA" w:eastAsia="fr-CA"/>
        </w:rPr>
        <w:t xml:space="preserve"> 51 provides that the child does not necessarily or solely bear the name of one of their parents, it is no longer necessary to require the consent of the spouse and of the minor aged fourteen or over for the change of name of the parent who requires it for themself. However, it is still necessary to allow the minor’s tutor or the minor aged fourteen or over to object to the change of the minor’s name or, in the case of the addition of a part to the minor’s surname, to object to the change of the minor’s name. The right to maintain one’s name is in addition to the other rights recognized by the Code. Underlying this article is the obligation to notify the child’s tutor and the child aged fourteen and over, so that they can object if they wish.</w:t>
      </w:r>
    </w:p>
    <w:p w14:paraId="199F5F4D" w14:textId="77777777" w:rsidR="0001343F" w:rsidRPr="00515AA2" w:rsidRDefault="0001343F" w:rsidP="0001343F">
      <w:pPr>
        <w:pStyle w:val="Notedebasdepage"/>
        <w:ind w:firstLine="0"/>
        <w:rPr>
          <w:rFonts w:cs="Arial"/>
        </w:rPr>
      </w:pPr>
      <w:r w:rsidRPr="00515AA2">
        <w:rPr>
          <w:rFonts w:cs="Arial"/>
          <w:color w:val="000000"/>
        </w:rPr>
        <w:t>Ministère de la Justice. </w:t>
      </w:r>
      <w:r w:rsidRPr="00515AA2">
        <w:rPr>
          <w:rFonts w:cs="Arial"/>
          <w:i/>
          <w:iCs/>
          <w:color w:val="000000"/>
        </w:rPr>
        <w:t xml:space="preserve">Commentaires du ministre de la Justice: </w:t>
      </w:r>
      <w:r w:rsidRPr="00515AA2">
        <w:rPr>
          <w:rFonts w:cs="Arial"/>
          <w:i/>
          <w:iCs/>
        </w:rPr>
        <w:t>Le Code civil du Québec</w:t>
      </w:r>
      <w:r w:rsidRPr="00515AA2">
        <w:rPr>
          <w:rFonts w:cs="Arial"/>
        </w:rPr>
        <w:t>, t. I., Québec: Publications du Québec, 1993, at p. 51.</w:t>
      </w:r>
    </w:p>
    <w:p w14:paraId="569D084F" w14:textId="77777777" w:rsidR="007462BB" w:rsidRPr="00515AA2" w:rsidRDefault="007462BB" w:rsidP="003624CE">
      <w:pPr>
        <w:pStyle w:val="Notedebasdepage"/>
        <w:rPr>
          <w:rFonts w:cs="Arial"/>
        </w:rPr>
      </w:pPr>
    </w:p>
  </w:footnote>
  <w:footnote w:id="29">
    <w:p w14:paraId="48F4BA2B" w14:textId="4D5B6DC4"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01343F" w:rsidRPr="00515AA2">
        <w:rPr>
          <w:rFonts w:cs="Arial"/>
          <w:i/>
          <w:iCs/>
          <w:lang w:val="en-CA"/>
        </w:rPr>
        <w:t>C.C.Q</w:t>
      </w:r>
      <w:r w:rsidR="0001343F" w:rsidRPr="00515AA2">
        <w:rPr>
          <w:rFonts w:cs="Arial"/>
          <w:lang w:val="en-CA"/>
        </w:rPr>
        <w:t>., a</w:t>
      </w:r>
      <w:r w:rsidRPr="00515AA2">
        <w:rPr>
          <w:rFonts w:cs="Arial"/>
          <w:lang w:val="en-CA"/>
        </w:rPr>
        <w:t>rt. 62</w:t>
      </w:r>
      <w:r w:rsidR="0001343F" w:rsidRPr="00515AA2">
        <w:rPr>
          <w:rFonts w:cs="Arial"/>
          <w:lang w:val="en-CA"/>
        </w:rPr>
        <w:t xml:space="preserve">, as it read in </w:t>
      </w:r>
      <w:r w:rsidRPr="00515AA2">
        <w:rPr>
          <w:rFonts w:cs="Arial"/>
          <w:lang w:val="en-CA"/>
        </w:rPr>
        <w:t>1994:</w:t>
      </w:r>
    </w:p>
    <w:p w14:paraId="50FAC373" w14:textId="77777777" w:rsidR="0038182A" w:rsidRPr="00515AA2" w:rsidRDefault="0038182A" w:rsidP="0038182A">
      <w:pPr>
        <w:pStyle w:val="Notedebasdepage"/>
        <w:ind w:left="0" w:firstLine="0"/>
        <w:rPr>
          <w:rFonts w:cs="Arial"/>
          <w:lang w:val="en-CA"/>
        </w:rPr>
      </w:pPr>
    </w:p>
    <w:tbl>
      <w:tblPr>
        <w:tblW w:w="0" w:type="auto"/>
        <w:tblLayout w:type="fixed"/>
        <w:tblCellMar>
          <w:left w:w="70" w:type="dxa"/>
          <w:right w:w="70" w:type="dxa"/>
        </w:tblCellMar>
        <w:tblLook w:val="0000" w:firstRow="0" w:lastRow="0" w:firstColumn="0" w:lastColumn="0" w:noHBand="0" w:noVBand="0"/>
      </w:tblPr>
      <w:tblGrid>
        <w:gridCol w:w="4681"/>
        <w:gridCol w:w="4681"/>
      </w:tblGrid>
      <w:tr w:rsidR="007462BB" w:rsidRPr="00515AA2" w14:paraId="004B9DED" w14:textId="77777777" w:rsidTr="00C23C91">
        <w:tc>
          <w:tcPr>
            <w:tcW w:w="4681" w:type="dxa"/>
            <w:shd w:val="clear" w:color="auto" w:fill="auto"/>
          </w:tcPr>
          <w:p w14:paraId="5DCAD228" w14:textId="1B504F82" w:rsidR="0001343F" w:rsidRPr="00515AA2" w:rsidRDefault="007462BB" w:rsidP="005E1AB0">
            <w:pPr>
              <w:spacing w:line="240" w:lineRule="auto"/>
              <w:ind w:left="720" w:right="216"/>
              <w:jc w:val="both"/>
              <w:rPr>
                <w:sz w:val="18"/>
                <w:szCs w:val="18"/>
                <w:lang w:val="en-CA"/>
              </w:rPr>
            </w:pPr>
            <w:r w:rsidRPr="00515AA2">
              <w:rPr>
                <w:rFonts w:cs="Arial"/>
                <w:b/>
                <w:sz w:val="18"/>
                <w:szCs w:val="18"/>
                <w:lang w:val="en-CA"/>
              </w:rPr>
              <w:t>Art. 62.</w:t>
            </w:r>
            <w:r w:rsidRPr="00515AA2">
              <w:rPr>
                <w:rFonts w:cs="Arial"/>
                <w:sz w:val="18"/>
                <w:szCs w:val="18"/>
                <w:lang w:val="en-CA"/>
              </w:rPr>
              <w:t xml:space="preserve"> </w:t>
            </w:r>
            <w:r w:rsidR="0001343F" w:rsidRPr="00515AA2">
              <w:rPr>
                <w:sz w:val="18"/>
                <w:szCs w:val="18"/>
                <w:lang w:val="en-CA"/>
              </w:rPr>
              <w:t>Except for a compelling reason, no change of name of a minor child may be granted if the tutor or the minor, if fourteen years of age or over, has not been notified of the application or objects to it.</w:t>
            </w:r>
          </w:p>
          <w:p w14:paraId="1A8B4C00" w14:textId="77777777" w:rsidR="00494E92" w:rsidRPr="00515AA2" w:rsidRDefault="00494E92" w:rsidP="0001343F">
            <w:pPr>
              <w:spacing w:line="240" w:lineRule="auto"/>
              <w:ind w:left="720"/>
              <w:jc w:val="both"/>
              <w:rPr>
                <w:rFonts w:ascii="Calibri" w:hAnsi="Calibri"/>
                <w:sz w:val="18"/>
                <w:szCs w:val="18"/>
                <w:lang w:val="en-CA" w:eastAsia="en-US"/>
              </w:rPr>
            </w:pPr>
          </w:p>
          <w:p w14:paraId="07A9E157" w14:textId="7ECAA58A" w:rsidR="007462BB" w:rsidRPr="00515AA2" w:rsidRDefault="0001343F" w:rsidP="005E1AB0">
            <w:pPr>
              <w:pStyle w:val="Notedebasdepage"/>
              <w:ind w:left="720" w:right="216" w:firstLine="56"/>
              <w:rPr>
                <w:sz w:val="18"/>
                <w:szCs w:val="18"/>
                <w:lang w:val="en-CA"/>
              </w:rPr>
            </w:pPr>
            <w:r w:rsidRPr="00515AA2">
              <w:rPr>
                <w:sz w:val="18"/>
                <w:szCs w:val="18"/>
                <w:lang w:val="en-CA"/>
              </w:rPr>
              <w:t>However, in the case of an application for the addition to the surname of the minor of a part taken from the surname of the father or mother, only the minor has the right to object.</w:t>
            </w:r>
          </w:p>
        </w:tc>
        <w:tc>
          <w:tcPr>
            <w:tcW w:w="4681" w:type="dxa"/>
            <w:shd w:val="clear" w:color="auto" w:fill="auto"/>
          </w:tcPr>
          <w:p w14:paraId="6C04916E" w14:textId="77777777" w:rsidR="0001343F" w:rsidRPr="00515AA2" w:rsidRDefault="007462BB" w:rsidP="005E1AB0">
            <w:pPr>
              <w:pStyle w:val="Notedebasdepage"/>
              <w:ind w:left="209" w:right="646" w:firstLine="0"/>
              <w:rPr>
                <w:rFonts w:cs="Arial"/>
                <w:sz w:val="18"/>
                <w:szCs w:val="18"/>
              </w:rPr>
            </w:pPr>
            <w:r w:rsidRPr="00515AA2">
              <w:rPr>
                <w:b/>
                <w:sz w:val="18"/>
                <w:szCs w:val="18"/>
              </w:rPr>
              <w:t>Art. 62</w:t>
            </w:r>
            <w:r w:rsidRPr="00515AA2">
              <w:rPr>
                <w:sz w:val="18"/>
                <w:szCs w:val="18"/>
              </w:rPr>
              <w:t>.</w:t>
            </w:r>
            <w:r w:rsidR="0001343F" w:rsidRPr="00515AA2">
              <w:rPr>
                <w:sz w:val="18"/>
                <w:szCs w:val="18"/>
              </w:rPr>
              <w:t xml:space="preserve"> </w:t>
            </w:r>
            <w:r w:rsidR="0001343F" w:rsidRPr="00515AA2">
              <w:rPr>
                <w:rFonts w:cs="Arial"/>
                <w:sz w:val="18"/>
                <w:szCs w:val="18"/>
              </w:rPr>
              <w:t>À moins d’un motif impérieux, le changement de nom à l’égard d’un enfant mineur n’est pas accordé si le tuteur ou le mineur de quatorze ans et plus n’a pas été avisé de la demande ou s’il s’y oppose.</w:t>
            </w:r>
          </w:p>
          <w:p w14:paraId="38075C1C" w14:textId="77777777" w:rsidR="00494E92" w:rsidRPr="00515AA2" w:rsidRDefault="00494E92" w:rsidP="0001343F">
            <w:pPr>
              <w:pStyle w:val="Notedebasdepage"/>
              <w:ind w:left="720" w:hanging="88"/>
              <w:rPr>
                <w:rFonts w:cs="Arial"/>
                <w:sz w:val="18"/>
                <w:szCs w:val="18"/>
              </w:rPr>
            </w:pPr>
          </w:p>
          <w:p w14:paraId="1291D957" w14:textId="3E6C48C8" w:rsidR="007462BB" w:rsidRPr="00515AA2" w:rsidRDefault="0001343F" w:rsidP="005E1AB0">
            <w:pPr>
              <w:spacing w:line="240" w:lineRule="auto"/>
              <w:ind w:left="209" w:right="646"/>
              <w:jc w:val="both"/>
              <w:rPr>
                <w:sz w:val="18"/>
                <w:szCs w:val="18"/>
              </w:rPr>
            </w:pPr>
            <w:r w:rsidRPr="00515AA2">
              <w:rPr>
                <w:sz w:val="18"/>
                <w:szCs w:val="18"/>
              </w:rPr>
              <w:t>Cependant, lorsque l’on demande l’ajout au nom de famille du mineur d’une partie provenant du nom de famille de son père ou de sa mère, le droit d’opposition est réservé au mineur</w:t>
            </w:r>
            <w:r w:rsidR="00494E92" w:rsidRPr="00515AA2">
              <w:rPr>
                <w:sz w:val="18"/>
                <w:szCs w:val="18"/>
              </w:rPr>
              <w:t>.</w:t>
            </w:r>
          </w:p>
        </w:tc>
      </w:tr>
    </w:tbl>
    <w:p w14:paraId="6FF62CDD" w14:textId="77777777" w:rsidR="007462BB" w:rsidRPr="00515AA2" w:rsidRDefault="007462BB" w:rsidP="003624CE">
      <w:pPr>
        <w:pStyle w:val="Notedebasdepage"/>
        <w:ind w:firstLine="0"/>
        <w:rPr>
          <w:rFonts w:cs="Arial"/>
        </w:rPr>
      </w:pPr>
    </w:p>
  </w:footnote>
  <w:footnote w:id="30">
    <w:p w14:paraId="2F3B0FF3" w14:textId="4E1F3E94" w:rsidR="00ED1677" w:rsidRPr="00515AA2" w:rsidRDefault="00ED1677" w:rsidP="00ED1677">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Pr="00515AA2">
        <w:rPr>
          <w:rFonts w:cs="Arial"/>
          <w:i/>
          <w:color w:val="212529"/>
        </w:rPr>
        <w:t>Ligue catholique pour les droits de l</w:t>
      </w:r>
      <w:r w:rsidR="00751423" w:rsidRPr="00515AA2">
        <w:rPr>
          <w:rFonts w:cs="Arial"/>
          <w:i/>
          <w:color w:val="212529"/>
        </w:rPr>
        <w:t>’</w:t>
      </w:r>
      <w:r w:rsidRPr="00515AA2">
        <w:rPr>
          <w:rFonts w:cs="Arial"/>
          <w:i/>
          <w:color w:val="212529"/>
        </w:rPr>
        <w:t>homme c. Hendricks</w:t>
      </w:r>
      <w:r w:rsidRPr="00515AA2">
        <w:rPr>
          <w:rFonts w:cs="Arial"/>
          <w:color w:val="212529"/>
        </w:rPr>
        <w:t>, [2004] R.J.Q. 851, [2004] R.D.F. 247.</w:t>
      </w:r>
    </w:p>
  </w:footnote>
  <w:footnote w:id="31">
    <w:p w14:paraId="7DA31C9C" w14:textId="7B26B59F" w:rsidR="005B222F" w:rsidRPr="00515AA2" w:rsidRDefault="005B222F" w:rsidP="005B222F">
      <w:pPr>
        <w:pStyle w:val="Notedebasdepage"/>
        <w:rPr>
          <w:lang w:val="en-CA"/>
        </w:rPr>
      </w:pPr>
      <w:r w:rsidRPr="00515AA2">
        <w:rPr>
          <w:rStyle w:val="Appelnotedebasdep"/>
        </w:rPr>
        <w:footnoteRef/>
      </w:r>
      <w:r w:rsidRPr="00515AA2">
        <w:rPr>
          <w:lang w:val="en-CA"/>
        </w:rPr>
        <w:t xml:space="preserve"> </w:t>
      </w:r>
      <w:r w:rsidRPr="00515AA2">
        <w:rPr>
          <w:lang w:val="en-CA"/>
        </w:rPr>
        <w:tab/>
      </w:r>
      <w:r w:rsidR="000D7F0C" w:rsidRPr="00515AA2">
        <w:rPr>
          <w:lang w:val="en-CA"/>
        </w:rPr>
        <w:t xml:space="preserve">National Assembly, </w:t>
      </w:r>
      <w:r w:rsidR="000D7F0C" w:rsidRPr="00515AA2">
        <w:rPr>
          <w:i/>
          <w:lang w:val="en-CA"/>
        </w:rPr>
        <w:t>Journal des débats</w:t>
      </w:r>
      <w:r w:rsidR="000D7F0C" w:rsidRPr="00515AA2">
        <w:rPr>
          <w:lang w:val="en-CA"/>
        </w:rPr>
        <w:t>, 38</w:t>
      </w:r>
      <w:r w:rsidR="000D7F0C" w:rsidRPr="00515AA2">
        <w:rPr>
          <w:vertAlign w:val="superscript"/>
          <w:lang w:val="en-CA"/>
        </w:rPr>
        <w:t>th</w:t>
      </w:r>
      <w:r w:rsidR="000D7F0C" w:rsidRPr="00515AA2">
        <w:rPr>
          <w:lang w:val="en-CA"/>
        </w:rPr>
        <w:t xml:space="preserve"> Leg., 1</w:t>
      </w:r>
      <w:r w:rsidR="000D7F0C" w:rsidRPr="00515AA2">
        <w:rPr>
          <w:vertAlign w:val="superscript"/>
          <w:lang w:val="en-CA"/>
        </w:rPr>
        <w:t>st</w:t>
      </w:r>
      <w:r w:rsidR="000D7F0C" w:rsidRPr="00515AA2">
        <w:rPr>
          <w:lang w:val="en-CA"/>
        </w:rPr>
        <w:t xml:space="preserve"> sess., No. 59, 21 September 2004 (Jacques P. Dupuis)</w:t>
      </w:r>
      <w:r w:rsidRPr="00515AA2">
        <w:rPr>
          <w:lang w:val="en-CA"/>
        </w:rPr>
        <w:t>.</w:t>
      </w:r>
    </w:p>
  </w:footnote>
  <w:footnote w:id="32">
    <w:p w14:paraId="271739FC" w14:textId="2A4F1D05" w:rsidR="005B222F" w:rsidRPr="00515AA2" w:rsidRDefault="005B222F" w:rsidP="005B222F">
      <w:pPr>
        <w:pStyle w:val="Notedebasdepage"/>
        <w:rPr>
          <w:i/>
          <w:iCs/>
          <w:lang w:val="en-CA"/>
        </w:rPr>
      </w:pPr>
      <w:r w:rsidRPr="00515AA2">
        <w:rPr>
          <w:rStyle w:val="Appelnotedebasdep"/>
        </w:rPr>
        <w:footnoteRef/>
      </w:r>
      <w:r w:rsidRPr="00515AA2">
        <w:rPr>
          <w:lang w:val="en-CA"/>
        </w:rPr>
        <w:t xml:space="preserve"> </w:t>
      </w:r>
      <w:r w:rsidRPr="00515AA2">
        <w:rPr>
          <w:lang w:val="en-CA"/>
        </w:rPr>
        <w:tab/>
      </w:r>
      <w:r w:rsidR="00AC48A4" w:rsidRPr="00515AA2">
        <w:rPr>
          <w:i/>
          <w:iCs/>
          <w:lang w:val="en-CA"/>
        </w:rPr>
        <w:t>Ibid.</w:t>
      </w:r>
    </w:p>
  </w:footnote>
  <w:footnote w:id="33">
    <w:p w14:paraId="4E300C82" w14:textId="1AF3C764"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0D7F0C" w:rsidRPr="00515AA2">
        <w:rPr>
          <w:rFonts w:cs="Arial"/>
          <w:i/>
          <w:lang w:val="en-CA"/>
        </w:rPr>
        <w:t>An Act to amend the Civil Code as regards marriage</w:t>
      </w:r>
      <w:r w:rsidR="000D7F0C" w:rsidRPr="00515AA2">
        <w:rPr>
          <w:rFonts w:cs="Arial"/>
          <w:lang w:val="en-CA"/>
        </w:rPr>
        <w:t>, S.Q. 2004, c. 23, s. 1</w:t>
      </w:r>
      <w:r w:rsidRPr="00515AA2">
        <w:rPr>
          <w:rFonts w:cs="Arial"/>
          <w:lang w:val="en-CA"/>
        </w:rPr>
        <w:t>.</w:t>
      </w:r>
    </w:p>
  </w:footnote>
  <w:footnote w:id="34">
    <w:p w14:paraId="6CA6BC31" w14:textId="48897EAE"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0D7F0C" w:rsidRPr="00515AA2">
        <w:rPr>
          <w:rFonts w:cs="Arial"/>
          <w:lang w:val="en-CA"/>
        </w:rPr>
        <w:t xml:space="preserve">National Assembly, </w:t>
      </w:r>
      <w:r w:rsidR="000D7F0C" w:rsidRPr="00515AA2">
        <w:rPr>
          <w:rFonts w:cs="Arial"/>
          <w:i/>
          <w:lang w:val="en-CA"/>
        </w:rPr>
        <w:t>Journal des débats</w:t>
      </w:r>
      <w:r w:rsidR="000D7F0C" w:rsidRPr="00515AA2">
        <w:rPr>
          <w:rFonts w:cs="Arial"/>
          <w:lang w:val="en-CA"/>
        </w:rPr>
        <w:t>, 40th Leg., 1st sess., vol. 43, No. 40, 17 April 2013, p. 2492</w:t>
      </w:r>
      <w:r w:rsidRPr="00515AA2">
        <w:rPr>
          <w:rFonts w:cs="Arial"/>
          <w:lang w:val="en-CA"/>
        </w:rPr>
        <w:t>.</w:t>
      </w:r>
    </w:p>
  </w:footnote>
  <w:footnote w:id="35">
    <w:p w14:paraId="370A0B85" w14:textId="2214D4FC" w:rsidR="00310A4E" w:rsidRPr="00515AA2" w:rsidRDefault="00310A4E" w:rsidP="00310A4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0D7F0C" w:rsidRPr="00515AA2">
        <w:rPr>
          <w:rFonts w:cs="Arial"/>
          <w:lang w:val="en-CA"/>
        </w:rPr>
        <w:t xml:space="preserve">Bill 35, </w:t>
      </w:r>
      <w:r w:rsidR="000D7F0C" w:rsidRPr="00515AA2">
        <w:rPr>
          <w:rFonts w:cs="Arial"/>
          <w:i/>
          <w:lang w:val="en-CA"/>
        </w:rPr>
        <w:t>An Act to amend the Civil Code as regards civil status, successions and the publication of rights</w:t>
      </w:r>
      <w:r w:rsidR="000D7F0C" w:rsidRPr="00515AA2">
        <w:rPr>
          <w:rFonts w:cs="Arial"/>
          <w:lang w:val="en-CA"/>
        </w:rPr>
        <w:t>, 40</w:t>
      </w:r>
      <w:r w:rsidR="000D7F0C" w:rsidRPr="00515AA2">
        <w:rPr>
          <w:rFonts w:cs="Arial"/>
          <w:vertAlign w:val="superscript"/>
          <w:lang w:val="en-CA"/>
        </w:rPr>
        <w:t>th</w:t>
      </w:r>
      <w:r w:rsidR="000D7F0C" w:rsidRPr="00515AA2">
        <w:rPr>
          <w:rFonts w:cs="Arial"/>
          <w:lang w:val="en-CA"/>
        </w:rPr>
        <w:t xml:space="preserve"> Leg. (Qc.), 1st sess., 2013, ss. 1, 2</w:t>
      </w:r>
      <w:r w:rsidRPr="00515AA2">
        <w:rPr>
          <w:rFonts w:cs="Arial"/>
          <w:lang w:val="en-CA"/>
        </w:rPr>
        <w:t>.</w:t>
      </w:r>
    </w:p>
  </w:footnote>
  <w:footnote w:id="36">
    <w:p w14:paraId="21B53202" w14:textId="2DED2184"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0D7F0C" w:rsidRPr="00515AA2">
        <w:rPr>
          <w:rFonts w:cs="Arial"/>
          <w:i/>
          <w:iCs/>
          <w:lang w:val="en-CA"/>
        </w:rPr>
        <w:t>Id.</w:t>
      </w:r>
      <w:r w:rsidRPr="00515AA2">
        <w:rPr>
          <w:rFonts w:cs="Arial"/>
          <w:lang w:val="en-CA"/>
        </w:rPr>
        <w:t xml:space="preserve">, </w:t>
      </w:r>
      <w:r w:rsidR="000D7F0C" w:rsidRPr="00515AA2">
        <w:rPr>
          <w:rFonts w:cs="Arial"/>
          <w:lang w:val="en-CA"/>
        </w:rPr>
        <w:t>ss</w:t>
      </w:r>
      <w:r w:rsidRPr="00515AA2">
        <w:rPr>
          <w:rFonts w:cs="Arial"/>
          <w:lang w:val="en-CA"/>
        </w:rPr>
        <w:t>.</w:t>
      </w:r>
      <w:r w:rsidR="0038182A" w:rsidRPr="00515AA2">
        <w:rPr>
          <w:rFonts w:cs="Arial"/>
          <w:lang w:val="en-CA"/>
        </w:rPr>
        <w:t> </w:t>
      </w:r>
      <w:r w:rsidRPr="00515AA2">
        <w:rPr>
          <w:rFonts w:cs="Arial"/>
          <w:lang w:val="en-CA"/>
        </w:rPr>
        <w:t>3</w:t>
      </w:r>
      <w:r w:rsidR="000D7F0C" w:rsidRPr="00515AA2">
        <w:rPr>
          <w:rFonts w:cs="Arial"/>
          <w:lang w:val="en-CA"/>
        </w:rPr>
        <w:t>,</w:t>
      </w:r>
      <w:r w:rsidRPr="00515AA2">
        <w:rPr>
          <w:rFonts w:cs="Arial"/>
          <w:lang w:val="en-CA"/>
        </w:rPr>
        <w:t xml:space="preserve"> 3</w:t>
      </w:r>
      <w:r w:rsidR="006B16DA" w:rsidRPr="00515AA2">
        <w:rPr>
          <w:rFonts w:cs="Arial"/>
          <w:lang w:val="en-CA"/>
        </w:rPr>
        <w:t>8</w:t>
      </w:r>
      <w:r w:rsidRPr="00515AA2">
        <w:rPr>
          <w:rFonts w:cs="Arial"/>
          <w:lang w:val="en-CA"/>
        </w:rPr>
        <w:t>.</w:t>
      </w:r>
    </w:p>
  </w:footnote>
  <w:footnote w:id="37">
    <w:p w14:paraId="36332AFD" w14:textId="22619FF8" w:rsidR="00CB20C0" w:rsidRPr="00515AA2" w:rsidRDefault="00CB20C0" w:rsidP="00CB20C0">
      <w:pPr>
        <w:pStyle w:val="Notedebasdepage"/>
        <w:rPr>
          <w:rFonts w:cs="Arial"/>
        </w:rPr>
      </w:pPr>
      <w:r w:rsidRPr="00515AA2">
        <w:rPr>
          <w:rStyle w:val="Appelnotedebasdep"/>
          <w:rFonts w:cs="Arial"/>
        </w:rPr>
        <w:footnoteRef/>
      </w:r>
      <w:r w:rsidRPr="00515AA2">
        <w:rPr>
          <w:rFonts w:cs="Arial"/>
          <w:lang w:val="en-CA"/>
        </w:rPr>
        <w:t xml:space="preserve"> </w:t>
      </w:r>
      <w:r w:rsidRPr="00515AA2">
        <w:rPr>
          <w:rFonts w:cs="Arial"/>
          <w:lang w:val="en-CA"/>
        </w:rPr>
        <w:tab/>
      </w:r>
      <w:r w:rsidR="000D7F0C" w:rsidRPr="00515AA2">
        <w:rPr>
          <w:rFonts w:cs="Arial"/>
          <w:lang w:val="en-CA"/>
        </w:rPr>
        <w:t xml:space="preserve">National Assembly, </w:t>
      </w:r>
      <w:r w:rsidR="000D7F0C" w:rsidRPr="00515AA2">
        <w:rPr>
          <w:rFonts w:cs="Arial"/>
          <w:i/>
          <w:lang w:val="en-CA"/>
        </w:rPr>
        <w:t>Journal des débats</w:t>
      </w:r>
      <w:r w:rsidR="000D7F0C" w:rsidRPr="00515AA2">
        <w:rPr>
          <w:rFonts w:cs="Arial"/>
          <w:lang w:val="en-CA"/>
        </w:rPr>
        <w:t xml:space="preserve">, 40th Leg., 1st sess., vol. 43, No. 54, 22 May 2013, pp. 15-1 (Mathieu-Joel Gervais). At the time, the latter expressed reservations about the requirement to obtain a letter from a professional in order to change one’s sex designation, given the difficulties of access, and proposed a simple solemn declaration (p. 19); National Assembly, </w:t>
      </w:r>
      <w:r w:rsidR="000D7F0C" w:rsidRPr="00515AA2">
        <w:rPr>
          <w:rFonts w:cs="Arial"/>
          <w:i/>
          <w:lang w:val="en-CA"/>
        </w:rPr>
        <w:t>Journal des débats</w:t>
      </w:r>
      <w:r w:rsidR="000D7F0C" w:rsidRPr="00515AA2">
        <w:rPr>
          <w:rFonts w:cs="Arial"/>
          <w:lang w:val="en-CA"/>
        </w:rPr>
        <w:t xml:space="preserve">, 40th Leg., 1st sess., vol. 43, No. 54, 23 May 2013, p. 28 et seq. </w:t>
      </w:r>
      <w:r w:rsidR="000D7F0C" w:rsidRPr="00515AA2">
        <w:rPr>
          <w:rFonts w:cs="Arial"/>
        </w:rPr>
        <w:t xml:space="preserve">(Gabrielle Bouchard); Quebec, National Assembly, </w:t>
      </w:r>
      <w:r w:rsidR="000D7F0C" w:rsidRPr="00515AA2">
        <w:rPr>
          <w:rFonts w:cs="Arial"/>
          <w:i/>
        </w:rPr>
        <w:t>Mémoire déposé par le Comité trans du Conseil québécois LGBT dans le cadre des consultations particulières et auditions publiques sur le projet de loi 35</w:t>
      </w:r>
      <w:r w:rsidR="000D7F0C" w:rsidRPr="00515AA2">
        <w:rPr>
          <w:rFonts w:cs="Arial"/>
        </w:rPr>
        <w:t xml:space="preserve">, CI-007M, 23 May 2013, p. 4; Quebec, National Assembly, </w:t>
      </w:r>
      <w:r w:rsidR="000D7F0C" w:rsidRPr="00515AA2">
        <w:rPr>
          <w:rFonts w:cs="Arial"/>
          <w:i/>
        </w:rPr>
        <w:t>Mémoire déposé par la Commission des droits de la personne et des droits de la jeunesse dans le cadre des consultations particulières et auditions publiques sur le projet de loi 35</w:t>
      </w:r>
      <w:r w:rsidR="000D7F0C" w:rsidRPr="00515AA2">
        <w:rPr>
          <w:rFonts w:cs="Arial"/>
        </w:rPr>
        <w:t xml:space="preserve">, CI-001M, 17 May 2013, pp. 6-10; Quebec, National Assembly, </w:t>
      </w:r>
      <w:r w:rsidR="000D7F0C" w:rsidRPr="00515AA2">
        <w:rPr>
          <w:rFonts w:cs="Arial"/>
          <w:i/>
        </w:rPr>
        <w:t>Mémoire déposé par Dre Karine J. Igartua dans le cadre des consultations particulières et auditions publiques sur le projet de loi 35</w:t>
      </w:r>
      <w:r w:rsidR="000D7F0C" w:rsidRPr="00515AA2">
        <w:rPr>
          <w:rFonts w:cs="Arial"/>
        </w:rPr>
        <w:t xml:space="preserve">, CI-009M, 23 May 2013, p. 4; Quebec, National Assembly, </w:t>
      </w:r>
      <w:r w:rsidR="000D7F0C" w:rsidRPr="00515AA2">
        <w:rPr>
          <w:rFonts w:cs="Arial"/>
          <w:i/>
        </w:rPr>
        <w:t>Mémoire déposé par Aide aux transsexuels et transsexuelles du Québec dans le cadre des consultations particulières et auditions publiques sur le projet de loi 35</w:t>
      </w:r>
      <w:r w:rsidR="000D7F0C" w:rsidRPr="00515AA2">
        <w:rPr>
          <w:rFonts w:cs="Arial"/>
        </w:rPr>
        <w:t xml:space="preserve">, CI-011M, May 2013, p. 4; Quebec, National Assembly, </w:t>
      </w:r>
      <w:r w:rsidR="000D7F0C" w:rsidRPr="00515AA2">
        <w:rPr>
          <w:rFonts w:cs="Arial"/>
          <w:i/>
        </w:rPr>
        <w:t>Mémoire déposé par l’association canadienne des professionnels en santé des personnes transsexuelles dans le cadre des consultations particulières et auditions publiques sur le projet de loi 35</w:t>
      </w:r>
      <w:r w:rsidR="000D7F0C" w:rsidRPr="00515AA2">
        <w:rPr>
          <w:rFonts w:cs="Arial"/>
        </w:rPr>
        <w:t>, CI-008M, 23 May 2013, p. 2-5</w:t>
      </w:r>
      <w:r w:rsidRPr="00515AA2">
        <w:rPr>
          <w:rFonts w:cs="Arial"/>
        </w:rPr>
        <w:t>.</w:t>
      </w:r>
    </w:p>
  </w:footnote>
  <w:footnote w:id="38">
    <w:p w14:paraId="031A75ED" w14:textId="161B0C08"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0D7F0C" w:rsidRPr="00515AA2">
        <w:rPr>
          <w:rFonts w:cs="Arial"/>
          <w:i/>
          <w:lang w:val="en-CA"/>
        </w:rPr>
        <w:t>An Act to amend the Civil Code as regards civil status, successions and the publication of rights</w:t>
      </w:r>
      <w:r w:rsidR="000D7F0C" w:rsidRPr="00515AA2">
        <w:rPr>
          <w:rFonts w:cs="Arial"/>
          <w:lang w:val="en-CA"/>
        </w:rPr>
        <w:t>, S.Q. 2013, c 27, ss. 3, 4</w:t>
      </w:r>
      <w:r w:rsidRPr="00515AA2">
        <w:rPr>
          <w:rFonts w:cs="Arial"/>
          <w:lang w:val="en-CA"/>
        </w:rPr>
        <w:t>.</w:t>
      </w:r>
    </w:p>
  </w:footnote>
  <w:footnote w:id="39">
    <w:p w14:paraId="292AB13B" w14:textId="6E83BE7A"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A26334" w:rsidRPr="00515AA2">
        <w:rPr>
          <w:rFonts w:cs="Arial"/>
          <w:i/>
          <w:lang w:val="en-CA"/>
        </w:rPr>
        <w:t>Id.</w:t>
      </w:r>
      <w:r w:rsidR="000D7F0C" w:rsidRPr="00515AA2">
        <w:rPr>
          <w:rFonts w:cs="Arial"/>
          <w:lang w:val="en-CA"/>
        </w:rPr>
        <w:t>, s. 43</w:t>
      </w:r>
      <w:r w:rsidRPr="00515AA2">
        <w:rPr>
          <w:rFonts w:cs="Arial"/>
          <w:lang w:val="en-CA"/>
        </w:rPr>
        <w:t>.</w:t>
      </w:r>
    </w:p>
  </w:footnote>
  <w:footnote w:id="40">
    <w:p w14:paraId="65DDFDC0" w14:textId="4CDED72C"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0D7F0C" w:rsidRPr="00515AA2">
        <w:rPr>
          <w:rFonts w:cs="Arial"/>
          <w:i/>
          <w:iCs/>
          <w:lang w:val="en-CA"/>
        </w:rPr>
        <w:t>Regulation to amend the Regulation respecting change of name and other particulars of civil status</w:t>
      </w:r>
      <w:r w:rsidR="000D7F0C" w:rsidRPr="00515AA2">
        <w:rPr>
          <w:rFonts w:cs="Arial"/>
          <w:lang w:val="en-CA"/>
        </w:rPr>
        <w:t xml:space="preserve"> (Draft Regulation), (2014) 146 G.O. II, 2789, s. 1</w:t>
      </w:r>
      <w:r w:rsidRPr="00515AA2">
        <w:rPr>
          <w:rFonts w:cs="Arial"/>
          <w:lang w:val="en-CA"/>
        </w:rPr>
        <w:t>.</w:t>
      </w:r>
    </w:p>
  </w:footnote>
  <w:footnote w:id="41">
    <w:p w14:paraId="105C8D03" w14:textId="3EB8A6AC"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0D7F0C" w:rsidRPr="00515AA2">
        <w:rPr>
          <w:rFonts w:cs="Arial"/>
          <w:i/>
          <w:iCs/>
        </w:rPr>
        <w:t>Ibid</w:t>
      </w:r>
      <w:r w:rsidRPr="00515AA2">
        <w:rPr>
          <w:rFonts w:cs="Arial"/>
          <w:i/>
          <w:iCs/>
        </w:rPr>
        <w:t>.</w:t>
      </w:r>
    </w:p>
  </w:footnote>
  <w:footnote w:id="42">
    <w:p w14:paraId="499A72E6" w14:textId="77777777" w:rsidR="007462BB" w:rsidRPr="00515AA2" w:rsidRDefault="007462BB">
      <w:pPr>
        <w:pStyle w:val="Notedebasdepage"/>
      </w:pPr>
      <w:r w:rsidRPr="00515AA2">
        <w:rPr>
          <w:rStyle w:val="Appelnotedebasdep"/>
        </w:rPr>
        <w:footnoteRef/>
      </w:r>
      <w:r w:rsidRPr="00515AA2">
        <w:t xml:space="preserve"> </w:t>
      </w:r>
      <w:r w:rsidRPr="00515AA2">
        <w:tab/>
      </w:r>
      <w:r w:rsidRPr="00515AA2">
        <w:rPr>
          <w:i/>
        </w:rPr>
        <w:t>Ibid</w:t>
      </w:r>
      <w:r w:rsidRPr="00515AA2">
        <w:t>.</w:t>
      </w:r>
    </w:p>
  </w:footnote>
  <w:footnote w:id="43">
    <w:p w14:paraId="2AFCF2EE" w14:textId="7075E9E5" w:rsidR="001F021B" w:rsidRPr="00515AA2" w:rsidRDefault="001F021B" w:rsidP="001F021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0D7F0C" w:rsidRPr="00515AA2">
        <w:rPr>
          <w:rFonts w:cs="Arial"/>
        </w:rPr>
        <w:t xml:space="preserve">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Commission des droits de la personne et des droits de la jeunesse</w:t>
      </w:r>
      <w:r w:rsidR="000D7F0C" w:rsidRPr="00515AA2">
        <w:rPr>
          <w:rFonts w:cs="Arial"/>
        </w:rPr>
        <w:t xml:space="preserve">, CI-003M, 13 February 2015, p. 21;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Coalition jeunesse montréalaise de lutte à l’homophobie</w:t>
      </w:r>
      <w:r w:rsidR="000D7F0C" w:rsidRPr="00515AA2">
        <w:rPr>
          <w:rFonts w:cs="Arial"/>
        </w:rPr>
        <w:t xml:space="preserve">, CI-010M, 30 January 2015, p. 1;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Coalition des familles LGBT</w:t>
      </w:r>
      <w:r w:rsidR="000D7F0C" w:rsidRPr="00515AA2">
        <w:rPr>
          <w:rFonts w:cs="Arial"/>
        </w:rPr>
        <w:t xml:space="preserve">, CI-001M, 29 January 2015, p. 1;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Action Santé travesti(e)s &amp; tran</w:t>
      </w:r>
      <w:r w:rsidR="005C3D0F" w:rsidRPr="00515AA2">
        <w:rPr>
          <w:rFonts w:cs="Arial"/>
          <w:i/>
        </w:rPr>
        <w:t>s</w:t>
      </w:r>
      <w:r w:rsidR="000D7F0C" w:rsidRPr="00515AA2">
        <w:rPr>
          <w:rFonts w:cs="Arial"/>
          <w:i/>
        </w:rPr>
        <w:t>sexuel(le)s du Québec</w:t>
      </w:r>
      <w:r w:rsidR="000D7F0C" w:rsidRPr="00515AA2">
        <w:rPr>
          <w:rFonts w:cs="Arial"/>
        </w:rPr>
        <w:t xml:space="preserve">, CI-011M, 15 April 2015, pp. 2-3;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Françoise Susset</w:t>
      </w:r>
      <w:r w:rsidR="000D7F0C" w:rsidRPr="00515AA2">
        <w:rPr>
          <w:rFonts w:cs="Arial"/>
        </w:rPr>
        <w:t xml:space="preserve">, CI-004M, 13 April 2015, pp. 2-3;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Conseil québécois LGBT</w:t>
      </w:r>
      <w:r w:rsidR="000D7F0C" w:rsidRPr="00515AA2">
        <w:rPr>
          <w:rFonts w:cs="Arial"/>
        </w:rPr>
        <w:t xml:space="preserve">, CI-008M, January 2015, pp. 9-10;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Barreau du Québec</w:t>
      </w:r>
      <w:r w:rsidR="000D7F0C" w:rsidRPr="00515AA2">
        <w:rPr>
          <w:rFonts w:cs="Arial"/>
        </w:rPr>
        <w:t xml:space="preserve">, CI-008M, January 2015, pp. 5-6;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groupe d’action trans de l’Université de Montréal</w:t>
      </w:r>
      <w:r w:rsidR="000D7F0C" w:rsidRPr="00515AA2">
        <w:rPr>
          <w:rFonts w:cs="Arial"/>
        </w:rPr>
        <w:t xml:space="preserve">, CI-006M, 12 April 2015, pp. 6-11; Quebec, National Assembly, </w:t>
      </w:r>
      <w:r w:rsidR="000D7F0C"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Matthew McLauchlin</w:t>
      </w:r>
      <w:r w:rsidR="000D7F0C" w:rsidRPr="00515AA2">
        <w:rPr>
          <w:rFonts w:cs="Arial"/>
        </w:rPr>
        <w:t>, CI-012M, 27 January 2015, pp. 1-2</w:t>
      </w:r>
      <w:r w:rsidRPr="00515AA2">
        <w:rPr>
          <w:rFonts w:cs="Arial"/>
        </w:rPr>
        <w:t>.</w:t>
      </w:r>
    </w:p>
  </w:footnote>
  <w:footnote w:id="44">
    <w:p w14:paraId="4500580C" w14:textId="7BB235E3" w:rsidR="001F021B" w:rsidRPr="00515AA2" w:rsidRDefault="001F021B" w:rsidP="001F021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8736F5" w:rsidRPr="00515AA2">
        <w:rPr>
          <w:rFonts w:cs="Arial"/>
        </w:rPr>
        <w:t xml:space="preserve">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Commission des droits de la personne et des droits de la jeunesse</w:t>
      </w:r>
      <w:r w:rsidR="008736F5" w:rsidRPr="00515AA2">
        <w:rPr>
          <w:rFonts w:cs="Arial"/>
        </w:rPr>
        <w:t xml:space="preserve">, CI-003M, 13 February 2015, p. 22;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Coalition jeunesse montréalaise de lutte à l’homophobie</w:t>
      </w:r>
      <w:r w:rsidR="008736F5" w:rsidRPr="00515AA2">
        <w:rPr>
          <w:rFonts w:cs="Arial"/>
        </w:rPr>
        <w:t xml:space="preserve">, CI-010M, 30 January 2015, p. 2;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Conseil québécois LGBT</w:t>
      </w:r>
      <w:r w:rsidR="008736F5" w:rsidRPr="00515AA2">
        <w:rPr>
          <w:rFonts w:cs="Arial"/>
        </w:rPr>
        <w:t xml:space="preserve">, CI-008M, January 2015, p. 8;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groupe d’action trans de l’Université de Montréal</w:t>
      </w:r>
      <w:r w:rsidR="008736F5" w:rsidRPr="00515AA2">
        <w:rPr>
          <w:rFonts w:cs="Arial"/>
        </w:rPr>
        <w:t xml:space="preserve">, CI-006M, 12 April 2015, pp. 15-16;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Matthew McLauchlin</w:t>
      </w:r>
      <w:r w:rsidR="008736F5" w:rsidRPr="00515AA2">
        <w:rPr>
          <w:rFonts w:cs="Arial"/>
        </w:rPr>
        <w:t>, CI-012M, 27 January 2015, p. 4</w:t>
      </w:r>
      <w:r w:rsidRPr="00515AA2">
        <w:rPr>
          <w:rFonts w:cs="Arial"/>
        </w:rPr>
        <w:t>.</w:t>
      </w:r>
    </w:p>
  </w:footnote>
  <w:footnote w:id="45">
    <w:p w14:paraId="5488B847" w14:textId="514BBF02"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8736F5" w:rsidRPr="00515AA2">
        <w:rPr>
          <w:rFonts w:cs="Arial"/>
        </w:rPr>
        <w:t xml:space="preserve">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Centre d’orientation sexuelle de l’Université McGill</w:t>
      </w:r>
      <w:r w:rsidR="008736F5" w:rsidRPr="00515AA2">
        <w:rPr>
          <w:rFonts w:cs="Arial"/>
        </w:rPr>
        <w:t>, CI-015M, 1 May 2015, p. 3</w:t>
      </w:r>
      <w:r w:rsidRPr="00515AA2">
        <w:rPr>
          <w:rFonts w:cs="Arial"/>
        </w:rPr>
        <w:t>.</w:t>
      </w:r>
    </w:p>
  </w:footnote>
  <w:footnote w:id="46">
    <w:p w14:paraId="1C12581B" w14:textId="684D0067"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8736F5" w:rsidRPr="00515AA2">
        <w:rPr>
          <w:rFonts w:cs="Arial"/>
        </w:rPr>
        <w:t xml:space="preserve">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Commission des droits de la personne et des droits de la jeunesse</w:t>
      </w:r>
      <w:r w:rsidR="008736F5" w:rsidRPr="00515AA2">
        <w:rPr>
          <w:rFonts w:cs="Arial"/>
        </w:rPr>
        <w:t xml:space="preserve">, CI-003M, 13 February 2015, p. 22;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Françoise Susset</w:t>
      </w:r>
      <w:r w:rsidR="008736F5" w:rsidRPr="00515AA2">
        <w:rPr>
          <w:rFonts w:cs="Arial"/>
        </w:rPr>
        <w:t xml:space="preserve">, CI-004M, 13 April 2015, p. 6;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Barreau du Québec</w:t>
      </w:r>
      <w:r w:rsidR="008736F5" w:rsidRPr="00515AA2">
        <w:rPr>
          <w:rFonts w:cs="Arial"/>
        </w:rPr>
        <w:t>, CI-008M, January 2015, p. 8; Qu</w:t>
      </w:r>
      <w:r w:rsidR="0084404F" w:rsidRPr="00515AA2">
        <w:rPr>
          <w:rFonts w:cs="Arial"/>
        </w:rPr>
        <w:t>e</w:t>
      </w:r>
      <w:r w:rsidR="008736F5" w:rsidRPr="00515AA2">
        <w:rPr>
          <w:rFonts w:cs="Arial"/>
        </w:rPr>
        <w:t xml:space="preserve">bec, </w:t>
      </w:r>
      <w:r w:rsidR="0084404F" w:rsidRPr="00515AA2">
        <w:rPr>
          <w:rFonts w:cs="Arial"/>
        </w:rPr>
        <w:t xml:space="preserve">National </w:t>
      </w:r>
      <w:r w:rsidR="008736F5" w:rsidRPr="00515AA2">
        <w:rPr>
          <w:rFonts w:cs="Arial"/>
        </w:rPr>
        <w:t>Assembl</w:t>
      </w:r>
      <w:r w:rsidR="0084404F" w:rsidRPr="00515AA2">
        <w:rPr>
          <w:rFonts w:cs="Arial"/>
        </w:rPr>
        <w:t>y</w:t>
      </w:r>
      <w:r w:rsidR="008736F5" w:rsidRPr="00515AA2">
        <w:rPr>
          <w:rFonts w:cs="Arial"/>
        </w:rPr>
        <w:t xml:space="preserve">,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Comité visibilité intersexe</w:t>
      </w:r>
      <w:r w:rsidR="008736F5" w:rsidRPr="00515AA2">
        <w:rPr>
          <w:rFonts w:cs="Arial"/>
        </w:rPr>
        <w:t xml:space="preserve">, CI-013M, 24 April 2015, p. 3;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groupe d’action trans de l’Université de Montréal</w:t>
      </w:r>
      <w:r w:rsidR="008736F5" w:rsidRPr="00515AA2">
        <w:rPr>
          <w:rFonts w:cs="Arial"/>
        </w:rPr>
        <w:t xml:space="preserve">, CI-006M, 12 April 2015, pp. 17-20;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Centre d’orientation sexuelle de l’Université McGill</w:t>
      </w:r>
      <w:r w:rsidR="008736F5" w:rsidRPr="00515AA2">
        <w:rPr>
          <w:rFonts w:cs="Arial"/>
        </w:rPr>
        <w:t>, CI-015M, 1 May 2015, p. 3</w:t>
      </w:r>
      <w:r w:rsidRPr="00515AA2">
        <w:rPr>
          <w:rFonts w:cs="Arial"/>
        </w:rPr>
        <w:t>.</w:t>
      </w:r>
    </w:p>
  </w:footnote>
  <w:footnote w:id="47">
    <w:p w14:paraId="06CAD542" w14:textId="45BD6C63"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8736F5" w:rsidRPr="00515AA2">
        <w:rPr>
          <w:rFonts w:cs="Arial"/>
        </w:rPr>
        <w:t xml:space="preserve">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Commission des droits de la personne et des droits de la jeunesse</w:t>
      </w:r>
      <w:r w:rsidR="008736F5" w:rsidRPr="00515AA2">
        <w:rPr>
          <w:rFonts w:cs="Arial"/>
        </w:rPr>
        <w:t xml:space="preserve">, CI-003M, 13 February 2015, p. 23;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Coalition jeunesse montréalaise de lutte à l’homophobie</w:t>
      </w:r>
      <w:r w:rsidR="008736F5" w:rsidRPr="00515AA2">
        <w:rPr>
          <w:rFonts w:cs="Arial"/>
        </w:rPr>
        <w:t xml:space="preserve">, CI-010M, 30 January 2015, p. 2;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la Coalition des familles LGBT</w:t>
      </w:r>
      <w:r w:rsidR="008736F5" w:rsidRPr="00515AA2">
        <w:rPr>
          <w:rFonts w:cs="Arial"/>
        </w:rPr>
        <w:t xml:space="preserve">, CI-001M, 29 January 2015, p. 2;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Action Santé travesti(e)s &amp; tran</w:t>
      </w:r>
      <w:r w:rsidR="005C3D0F" w:rsidRPr="00515AA2">
        <w:rPr>
          <w:rFonts w:cs="Arial"/>
          <w:i/>
        </w:rPr>
        <w:t>s</w:t>
      </w:r>
      <w:r w:rsidR="008736F5" w:rsidRPr="00515AA2">
        <w:rPr>
          <w:rFonts w:cs="Arial"/>
          <w:i/>
        </w:rPr>
        <w:t>sexuel(le)s du Québec</w:t>
      </w:r>
      <w:r w:rsidR="008736F5" w:rsidRPr="00515AA2">
        <w:rPr>
          <w:rFonts w:cs="Arial"/>
        </w:rPr>
        <w:t xml:space="preserve">, CI-011M, 15 April 2015, pp. 3-4;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Françoise Susset</w:t>
      </w:r>
      <w:r w:rsidR="008736F5" w:rsidRPr="00515AA2">
        <w:rPr>
          <w:rFonts w:cs="Arial"/>
        </w:rPr>
        <w:t xml:space="preserve">, CI-004M, 13 April 2015, pp. 4-5;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Conseil québécois LGBT</w:t>
      </w:r>
      <w:r w:rsidR="008736F5" w:rsidRPr="00515AA2">
        <w:rPr>
          <w:rFonts w:cs="Arial"/>
        </w:rPr>
        <w:t xml:space="preserve">, CI-008M, January 2015, p. 11;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Barreau du Québec</w:t>
      </w:r>
      <w:r w:rsidR="008736F5" w:rsidRPr="00515AA2">
        <w:rPr>
          <w:rFonts w:cs="Arial"/>
        </w:rPr>
        <w:t xml:space="preserve">, CI-008M, January 2015, pp. 4-5, 6-7;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Collège des médecins</w:t>
      </w:r>
      <w:r w:rsidR="008736F5" w:rsidRPr="00515AA2">
        <w:rPr>
          <w:rFonts w:cs="Arial"/>
        </w:rPr>
        <w:t xml:space="preserve">, CI-014M, 29 April 2015, p. 2;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groupe d’action trans de l’Université de Montréal</w:t>
      </w:r>
      <w:r w:rsidR="008736F5" w:rsidRPr="00515AA2">
        <w:rPr>
          <w:rFonts w:cs="Arial"/>
        </w:rPr>
        <w:t>, CI-006M, 12 April 2015, pp. 12</w:t>
      </w:r>
      <w:r w:rsidR="008736F5" w:rsidRPr="00515AA2">
        <w:rPr>
          <w:rFonts w:cs="Arial"/>
        </w:rPr>
        <w:noBreakHyphen/>
        <w:t xml:space="preserve">14;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Centre d’orientation sexuelle de l’Université McGill</w:t>
      </w:r>
      <w:r w:rsidR="008736F5" w:rsidRPr="00515AA2">
        <w:rPr>
          <w:rFonts w:cs="Arial"/>
        </w:rPr>
        <w:t xml:space="preserve">, CI-015M, 1 May 2015, p. 3;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Matthew McLauchlin</w:t>
      </w:r>
      <w:r w:rsidR="008736F5" w:rsidRPr="00515AA2">
        <w:rPr>
          <w:rFonts w:cs="Arial"/>
        </w:rPr>
        <w:t>, CI</w:t>
      </w:r>
      <w:r w:rsidR="008736F5" w:rsidRPr="00515AA2">
        <w:rPr>
          <w:rFonts w:cs="Arial"/>
        </w:rPr>
        <w:noBreakHyphen/>
        <w:t>012M, 27 January 2015</w:t>
      </w:r>
      <w:r w:rsidRPr="00515AA2">
        <w:rPr>
          <w:rFonts w:cs="Arial"/>
        </w:rPr>
        <w:t>.</w:t>
      </w:r>
    </w:p>
  </w:footnote>
  <w:footnote w:id="48">
    <w:p w14:paraId="27BDADF4" w14:textId="29F74EA5" w:rsidR="007E0ECD" w:rsidRPr="00515AA2" w:rsidRDefault="007E0ECD" w:rsidP="007E0ECD">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8736F5" w:rsidRPr="00515AA2">
        <w:rPr>
          <w:rFonts w:cs="Arial"/>
        </w:rPr>
        <w:t xml:space="preserve">National Assembly, </w:t>
      </w:r>
      <w:r w:rsidR="008736F5" w:rsidRPr="00515AA2">
        <w:rPr>
          <w:rFonts w:cs="Arial"/>
          <w:i/>
        </w:rPr>
        <w:t>Journal des débats</w:t>
      </w:r>
      <w:r w:rsidR="008736F5" w:rsidRPr="00515AA2">
        <w:rPr>
          <w:rFonts w:cs="Arial"/>
        </w:rPr>
        <w:t>, 41</w:t>
      </w:r>
      <w:r w:rsidR="00D506F7" w:rsidRPr="00515AA2">
        <w:rPr>
          <w:rFonts w:cs="Arial"/>
        </w:rPr>
        <w:t>st</w:t>
      </w:r>
      <w:r w:rsidR="008736F5" w:rsidRPr="00515AA2">
        <w:rPr>
          <w:rFonts w:cs="Arial"/>
        </w:rPr>
        <w:t xml:space="preserve"> Leg., 1st sess., vol. 44, No. 30, 15 April 2015, pp. 1-2. In his comments, the registrar of civil status reiterated the importance of stability, corroboration and consistency: Quebec, National Assembly, </w:t>
      </w:r>
      <w:r w:rsidR="008736F5" w:rsidRPr="00515AA2">
        <w:rPr>
          <w:rFonts w:cs="Arial"/>
          <w:i/>
        </w:rPr>
        <w:t>Mémoire déposé lors du mandat « Consultations particulières et auditions publiques sur le projet de règlement relatif au Règlement sur le changement de nom et d’autres qualités de l’état civil pour les personnes transsexuelles ou transgenres » par le directeur de l’état civil</w:t>
      </w:r>
      <w:r w:rsidR="008736F5" w:rsidRPr="00515AA2">
        <w:rPr>
          <w:rFonts w:cs="Arial"/>
        </w:rPr>
        <w:t>, CI-016M, 7 May 2015, p. 5</w:t>
      </w:r>
      <w:r w:rsidRPr="00515AA2">
        <w:rPr>
          <w:rFonts w:cs="Arial"/>
        </w:rPr>
        <w:t>.</w:t>
      </w:r>
    </w:p>
  </w:footnote>
  <w:footnote w:id="49">
    <w:p w14:paraId="2E640976" w14:textId="1C057E84" w:rsidR="007462BB" w:rsidRPr="00515AA2" w:rsidRDefault="007462BB" w:rsidP="003624CE">
      <w:pPr>
        <w:pStyle w:val="Notedebasdepage"/>
        <w:rPr>
          <w:lang w:val="en-CA"/>
        </w:rPr>
      </w:pPr>
      <w:r w:rsidRPr="00515AA2">
        <w:rPr>
          <w:rStyle w:val="Appelnotedebasdep"/>
        </w:rPr>
        <w:footnoteRef/>
      </w:r>
      <w:r w:rsidRPr="00515AA2">
        <w:rPr>
          <w:lang w:val="en-CA"/>
        </w:rPr>
        <w:t xml:space="preserve"> </w:t>
      </w:r>
      <w:r w:rsidRPr="00515AA2">
        <w:rPr>
          <w:lang w:val="en-CA"/>
        </w:rPr>
        <w:tab/>
      </w:r>
      <w:r w:rsidR="008736F5" w:rsidRPr="00515AA2">
        <w:rPr>
          <w:rFonts w:cs="Arial"/>
          <w:lang w:val="en-CA"/>
        </w:rPr>
        <w:t>Quebec, National Assembly, Committee on Institutions, Special consultations and public hearings on the draft regulation concerning the Regulation respecting change of name and of other particulars of civil status for transsexual and transgender persons: observations and recommendations, May 2015, p. 2</w:t>
      </w:r>
      <w:r w:rsidRPr="00515AA2">
        <w:rPr>
          <w:rFonts w:cs="Arial"/>
          <w:lang w:val="en-CA"/>
        </w:rPr>
        <w:t>.</w:t>
      </w:r>
    </w:p>
  </w:footnote>
  <w:footnote w:id="50">
    <w:p w14:paraId="4ECBCE74" w14:textId="2230AF97"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310F3D" w:rsidRPr="00515AA2">
        <w:rPr>
          <w:rFonts w:cs="Arial"/>
          <w:lang w:val="en-CA"/>
        </w:rPr>
        <w:t>Quebec, National Assembly, Committee on Institutions, Special consultations and public hearings on the draft regulation concerning the Regulation respecting change of name and of other particulars of civil status for transsexual and transgender persons: observations and recommendations, May 2015, p. 2</w:t>
      </w:r>
      <w:r w:rsidRPr="00515AA2">
        <w:rPr>
          <w:rFonts w:cs="Arial"/>
          <w:lang w:val="en-CA"/>
        </w:rPr>
        <w:t>.</w:t>
      </w:r>
    </w:p>
  </w:footnote>
  <w:footnote w:id="51">
    <w:p w14:paraId="7BBC2921" w14:textId="77777777"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Pr="00515AA2">
        <w:rPr>
          <w:rFonts w:cs="Arial"/>
          <w:i/>
          <w:lang w:val="en-CA"/>
        </w:rPr>
        <w:t>Id</w:t>
      </w:r>
      <w:r w:rsidRPr="00515AA2">
        <w:rPr>
          <w:rFonts w:cs="Arial"/>
          <w:lang w:val="en-CA"/>
        </w:rPr>
        <w:t>., p. 3.</w:t>
      </w:r>
    </w:p>
  </w:footnote>
  <w:footnote w:id="52">
    <w:p w14:paraId="1E92955A" w14:textId="0783D02B" w:rsidR="002F27E0" w:rsidRPr="00515AA2" w:rsidRDefault="002F27E0" w:rsidP="002F27E0">
      <w:pPr>
        <w:pStyle w:val="Notedebasdepage"/>
        <w:rPr>
          <w:lang w:val="en-CA"/>
        </w:rPr>
      </w:pPr>
      <w:r w:rsidRPr="00515AA2">
        <w:rPr>
          <w:rStyle w:val="Appelnotedebasdep"/>
        </w:rPr>
        <w:footnoteRef/>
      </w:r>
      <w:r w:rsidRPr="00515AA2">
        <w:rPr>
          <w:lang w:val="en-CA"/>
        </w:rPr>
        <w:t xml:space="preserve"> </w:t>
      </w:r>
      <w:r w:rsidRPr="00515AA2">
        <w:rPr>
          <w:lang w:val="en-CA"/>
        </w:rPr>
        <w:tab/>
      </w:r>
      <w:r w:rsidR="00DA5DB2" w:rsidRPr="00515AA2">
        <w:rPr>
          <w:rFonts w:cs="Arial"/>
          <w:i/>
          <w:iCs/>
          <w:lang w:val="en-CA"/>
        </w:rPr>
        <w:t>Regulation to amend the Regulation respecting change of name and of other particulars of civil status</w:t>
      </w:r>
      <w:r w:rsidR="00DA5DB2" w:rsidRPr="00515AA2">
        <w:rPr>
          <w:rFonts w:cs="Arial"/>
          <w:lang w:val="en-CA"/>
        </w:rPr>
        <w:t>, (2015) 147 G.O. II, 2204, s. 1</w:t>
      </w:r>
      <w:r w:rsidRPr="00515AA2">
        <w:rPr>
          <w:rFonts w:cs="Arial"/>
          <w:lang w:val="en-CA"/>
        </w:rPr>
        <w:t>.</w:t>
      </w:r>
    </w:p>
  </w:footnote>
  <w:footnote w:id="53">
    <w:p w14:paraId="235CEF83" w14:textId="217AA24F"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DA5DB2" w:rsidRPr="00515AA2">
        <w:rPr>
          <w:rFonts w:cs="Arial"/>
          <w:lang w:val="en-CA"/>
        </w:rPr>
        <w:t xml:space="preserve">Bill 598, </w:t>
      </w:r>
      <w:r w:rsidR="00DA5DB2" w:rsidRPr="00515AA2">
        <w:rPr>
          <w:rFonts w:cs="Arial"/>
          <w:i/>
          <w:lang w:val="en-CA"/>
        </w:rPr>
        <w:t>An Act to amend the Civil Code as regards civil status to allow a change of designation of sex for transgender children</w:t>
      </w:r>
      <w:r w:rsidR="00DA5DB2" w:rsidRPr="00515AA2">
        <w:rPr>
          <w:rFonts w:cs="Arial"/>
          <w:lang w:val="en-CA"/>
        </w:rPr>
        <w:t>, 41st Leg. (Qc.), 1st sess., 2016</w:t>
      </w:r>
      <w:r w:rsidRPr="00515AA2">
        <w:rPr>
          <w:rFonts w:cs="Arial"/>
          <w:lang w:val="en-CA"/>
        </w:rPr>
        <w:t>.</w:t>
      </w:r>
    </w:p>
  </w:footnote>
  <w:footnote w:id="54">
    <w:p w14:paraId="3F5D3DDF" w14:textId="711707FB" w:rsidR="007462BB" w:rsidRPr="00515AA2" w:rsidRDefault="007462BB" w:rsidP="003624C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DA5DB2" w:rsidRPr="00515AA2">
        <w:rPr>
          <w:rFonts w:cs="Arial"/>
          <w:lang w:val="en-CA"/>
        </w:rPr>
        <w:t xml:space="preserve">Bill 103, </w:t>
      </w:r>
      <w:r w:rsidR="00DA5DB2" w:rsidRPr="00515AA2">
        <w:rPr>
          <w:rFonts w:cs="Arial"/>
          <w:i/>
          <w:lang w:val="en-CA"/>
        </w:rPr>
        <w:t>An Act to strengthen the fight against transphobia and improve the situation of transgender minors in particular</w:t>
      </w:r>
      <w:r w:rsidR="00DA5DB2" w:rsidRPr="00515AA2">
        <w:rPr>
          <w:rFonts w:cs="Arial"/>
          <w:lang w:val="en-CA"/>
        </w:rPr>
        <w:t>, 41st Leg. (Qc.), 1st sess., 2016</w:t>
      </w:r>
      <w:r w:rsidRPr="00515AA2">
        <w:rPr>
          <w:rFonts w:cs="Arial"/>
          <w:lang w:val="en-CA"/>
        </w:rPr>
        <w:t>.</w:t>
      </w:r>
    </w:p>
  </w:footnote>
  <w:footnote w:id="55">
    <w:p w14:paraId="56E60107" w14:textId="63BE5C6D" w:rsidR="000B0E95" w:rsidRPr="00515AA2" w:rsidRDefault="000B0E95">
      <w:pPr>
        <w:pStyle w:val="Notedebasdepage"/>
        <w:rPr>
          <w:lang w:val="en-CA"/>
        </w:rPr>
      </w:pPr>
      <w:r w:rsidRPr="00515AA2">
        <w:rPr>
          <w:rStyle w:val="Appelnotedebasdep"/>
        </w:rPr>
        <w:footnoteRef/>
      </w:r>
      <w:r w:rsidRPr="00515AA2">
        <w:rPr>
          <w:lang w:val="en-CA"/>
        </w:rPr>
        <w:t xml:space="preserve"> </w:t>
      </w:r>
      <w:r w:rsidRPr="00515AA2">
        <w:rPr>
          <w:lang w:val="en-CA"/>
        </w:rPr>
        <w:tab/>
      </w:r>
      <w:r w:rsidR="00DA5DB2" w:rsidRPr="00515AA2">
        <w:rPr>
          <w:i/>
          <w:iCs/>
          <w:lang w:val="en-CA"/>
        </w:rPr>
        <w:t>Id.,</w:t>
      </w:r>
      <w:r w:rsidR="00DA5DB2" w:rsidRPr="00515AA2">
        <w:rPr>
          <w:lang w:val="en-CA"/>
        </w:rPr>
        <w:t xml:space="preserve"> ss. 8, 9</w:t>
      </w:r>
      <w:r w:rsidRPr="00515AA2">
        <w:rPr>
          <w:lang w:val="en-CA"/>
        </w:rPr>
        <w:t>.</w:t>
      </w:r>
    </w:p>
  </w:footnote>
  <w:footnote w:id="56">
    <w:p w14:paraId="7046ED67" w14:textId="476D09FC" w:rsidR="007462BB" w:rsidRPr="00515AA2" w:rsidRDefault="007462BB" w:rsidP="003624CE">
      <w:pPr>
        <w:pStyle w:val="Notedebasdepage"/>
        <w:rPr>
          <w:lang w:val="en-CA"/>
        </w:rPr>
      </w:pPr>
      <w:r w:rsidRPr="00515AA2">
        <w:rPr>
          <w:rStyle w:val="Appelnotedebasdep"/>
        </w:rPr>
        <w:footnoteRef/>
      </w:r>
      <w:r w:rsidRPr="00515AA2">
        <w:rPr>
          <w:lang w:val="en-CA"/>
        </w:rPr>
        <w:t xml:space="preserve"> </w:t>
      </w:r>
      <w:r w:rsidRPr="00515AA2">
        <w:rPr>
          <w:lang w:val="en-CA"/>
        </w:rPr>
        <w:tab/>
      </w:r>
      <w:bookmarkStart w:id="31" w:name="_Hlk141289015"/>
      <w:r w:rsidR="00ED7537" w:rsidRPr="00515AA2">
        <w:rPr>
          <w:rFonts w:cs="Arial"/>
          <w:lang w:val="en-CA"/>
        </w:rPr>
        <w:t xml:space="preserve">Bill 103, </w:t>
      </w:r>
      <w:r w:rsidR="00ED7537" w:rsidRPr="00515AA2">
        <w:rPr>
          <w:rFonts w:cs="Arial"/>
          <w:i/>
          <w:lang w:val="en-CA"/>
        </w:rPr>
        <w:t>An Act to strengthen the fight against transphobia and improve the situation of transgender minors in particular</w:t>
      </w:r>
      <w:r w:rsidR="00ED7537" w:rsidRPr="00515AA2">
        <w:rPr>
          <w:rFonts w:cs="Arial"/>
          <w:lang w:val="en-CA"/>
        </w:rPr>
        <w:t>,</w:t>
      </w:r>
      <w:r w:rsidR="00DA5DB2" w:rsidRPr="00515AA2">
        <w:rPr>
          <w:rFonts w:cs="Arial"/>
          <w:lang w:val="en-CA"/>
        </w:rPr>
        <w:t xml:space="preserve"> s. 2</w:t>
      </w:r>
      <w:r w:rsidRPr="00515AA2">
        <w:rPr>
          <w:rFonts w:cs="Arial"/>
          <w:lang w:val="en-CA"/>
        </w:rPr>
        <w:t>.</w:t>
      </w:r>
    </w:p>
    <w:bookmarkEnd w:id="31"/>
  </w:footnote>
  <w:footnote w:id="57">
    <w:p w14:paraId="64698EB9" w14:textId="34814124" w:rsidR="00C06EDB" w:rsidRPr="00AB54C6" w:rsidRDefault="00C06EDB" w:rsidP="00C06EDB">
      <w:pPr>
        <w:pStyle w:val="Notedebasdepage"/>
      </w:pPr>
      <w:r w:rsidRPr="00515AA2">
        <w:rPr>
          <w:rStyle w:val="Appelnotedebasdep"/>
        </w:rPr>
        <w:footnoteRef/>
      </w:r>
      <w:r w:rsidRPr="00AB54C6">
        <w:t xml:space="preserve"> </w:t>
      </w:r>
      <w:r w:rsidRPr="00AB54C6">
        <w:tab/>
      </w:r>
      <w:r w:rsidR="00DA5DB2" w:rsidRPr="00AB54C6">
        <w:rPr>
          <w:i/>
          <w:iCs/>
        </w:rPr>
        <w:t>Id.</w:t>
      </w:r>
      <w:r w:rsidR="00DA5DB2" w:rsidRPr="00AB54C6">
        <w:t>, s. 4</w:t>
      </w:r>
      <w:r w:rsidRPr="00AB54C6">
        <w:t>.</w:t>
      </w:r>
    </w:p>
  </w:footnote>
  <w:footnote w:id="58">
    <w:p w14:paraId="1536BB15" w14:textId="09F1ED50" w:rsidR="000B0E95" w:rsidRPr="00515AA2" w:rsidRDefault="000B0E95">
      <w:pPr>
        <w:pStyle w:val="Notedebasdepage"/>
      </w:pPr>
      <w:r w:rsidRPr="00515AA2">
        <w:rPr>
          <w:rStyle w:val="Appelnotedebasdep"/>
        </w:rPr>
        <w:footnoteRef/>
      </w:r>
      <w:r w:rsidRPr="00AB54C6">
        <w:t xml:space="preserve"> </w:t>
      </w:r>
      <w:r w:rsidRPr="00AB54C6">
        <w:tab/>
      </w:r>
      <w:r w:rsidR="00ED7537" w:rsidRPr="00AB54C6">
        <w:rPr>
          <w:rFonts w:cs="Arial"/>
          <w:i/>
          <w:iCs/>
        </w:rPr>
        <w:t>Id.</w:t>
      </w:r>
      <w:r w:rsidR="00DA5DB2" w:rsidRPr="00ED7537">
        <w:t>,</w:t>
      </w:r>
      <w:r w:rsidR="00DA5DB2" w:rsidRPr="00515AA2">
        <w:t xml:space="preserve"> s</w:t>
      </w:r>
      <w:r w:rsidRPr="00515AA2">
        <w:t>.</w:t>
      </w:r>
      <w:r w:rsidR="0038182A" w:rsidRPr="00515AA2">
        <w:t> </w:t>
      </w:r>
      <w:r w:rsidR="00F07455" w:rsidRPr="00515AA2">
        <w:t>19</w:t>
      </w:r>
      <w:r w:rsidRPr="00515AA2">
        <w:t>.</w:t>
      </w:r>
    </w:p>
  </w:footnote>
  <w:footnote w:id="59">
    <w:p w14:paraId="01F5AC09" w14:textId="6D1A8ECC"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i/>
          <w:iCs/>
        </w:rPr>
        <w:t>Id.</w:t>
      </w:r>
      <w:r w:rsidR="00DA5DB2" w:rsidRPr="00ED7537">
        <w:t xml:space="preserve">, </w:t>
      </w:r>
      <w:r w:rsidR="00DA5DB2" w:rsidRPr="00515AA2">
        <w:t>s. </w:t>
      </w:r>
      <w:r w:rsidR="00F07455" w:rsidRPr="00515AA2">
        <w:rPr>
          <w:rFonts w:cs="Arial"/>
        </w:rPr>
        <w:t>11</w:t>
      </w:r>
      <w:r w:rsidRPr="00515AA2">
        <w:rPr>
          <w:rFonts w:cs="Arial"/>
        </w:rPr>
        <w:t>.</w:t>
      </w:r>
    </w:p>
  </w:footnote>
  <w:footnote w:id="60">
    <w:p w14:paraId="76D8C11C" w14:textId="5E9CD24E"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rPr>
        <w:t xml:space="preserve">Quebec, National Assembly, </w:t>
      </w:r>
      <w:r w:rsidR="00DA5DB2" w:rsidRPr="00515AA2">
        <w:rPr>
          <w:rFonts w:cs="Arial"/>
          <w:i/>
        </w:rPr>
        <w:t>Mémoire déposé par le Dr Shuvo Ghosh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CRC-008M, 7 June 2016, pp. 3-4; Quebec, National Assembly, </w:t>
      </w:r>
      <w:r w:rsidR="00DA5DB2" w:rsidRPr="00515AA2">
        <w:rPr>
          <w:rFonts w:cs="Arial"/>
          <w:i/>
        </w:rPr>
        <w:t>Mémoire déposé par la Coalition des familles LGBT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CRC-001M, 2 June 2016, p. 1; Quebec, National Assembly, </w:t>
      </w:r>
      <w:r w:rsidR="00DA5DB2" w:rsidRPr="00515AA2">
        <w:rPr>
          <w:rFonts w:cs="Arial"/>
          <w:i/>
        </w:rPr>
        <w:t>Mémoire déposé par l’ordre des psychologues du Québec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CRC-003M, 6 June 2016, p. 3; Quebec, National Assembly, </w:t>
      </w:r>
      <w:r w:rsidR="00DA5DB2" w:rsidRPr="00515AA2">
        <w:rPr>
          <w:rFonts w:cs="Arial"/>
          <w:i/>
        </w:rPr>
        <w:t>Mémoire déposé par la Commission des droits de la personne et des droits de la jeunesse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CRC-005M, 6 June 2016, pp. 1-2; Quebec, National Assembly, </w:t>
      </w:r>
      <w:r w:rsidR="00DA5DB2" w:rsidRPr="00515AA2">
        <w:rPr>
          <w:rFonts w:cs="Arial"/>
          <w:i/>
        </w:rPr>
        <w:t>Mémoire déposé par le Conseil québécois LGBT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CRC-007M, 6 June2016, p. 2; Quebec, National Assembly, </w:t>
      </w:r>
      <w:r w:rsidR="00DA5DB2" w:rsidRPr="00515AA2">
        <w:rPr>
          <w:rFonts w:cs="Arial"/>
          <w:i/>
        </w:rPr>
        <w:t>Mémoire déposé par la Fondation émergence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CRC-004M, 6 June 2016, p. 1; Quebec, National Assembly, </w:t>
      </w:r>
      <w:r w:rsidR="00DA5DB2" w:rsidRPr="00515AA2">
        <w:rPr>
          <w:rFonts w:cs="Arial"/>
          <w:i/>
        </w:rPr>
        <w:t>Mémoire déposé par l’Ordre des travailleurs sociaux et des thérapeutes conjugaux et familiaux du Québec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CRC-006M, 6 June 2016, p. 1; Quebec, National Assembly, </w:t>
      </w:r>
      <w:r w:rsidR="00DA5DB2" w:rsidRPr="00515AA2">
        <w:rPr>
          <w:rFonts w:cs="Arial"/>
          <w:i/>
        </w:rPr>
        <w:t>Mémoire déposé par Enfants transgenres Canada dans le cadre des consultations particulières sur le projet de loi 103 visant à renforcer la lutte contre la transphobie et à améliorer notamment la situation des mineurs transgenres</w:t>
      </w:r>
      <w:r w:rsidR="00DA5DB2" w:rsidRPr="00515AA2">
        <w:rPr>
          <w:rFonts w:cs="Arial"/>
        </w:rPr>
        <w:t>, CRC-002M, 3 June 2016, pp. 2 &amp; 5</w:t>
      </w:r>
      <w:r w:rsidRPr="00515AA2">
        <w:rPr>
          <w:rFonts w:cs="Arial"/>
        </w:rPr>
        <w:t>.</w:t>
      </w:r>
    </w:p>
  </w:footnote>
  <w:footnote w:id="61">
    <w:p w14:paraId="7475554A" w14:textId="5048B03D"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rPr>
        <w:t xml:space="preserve">Quebec, National Assembly, </w:t>
      </w:r>
      <w:r w:rsidR="00DA5DB2" w:rsidRPr="00515AA2">
        <w:rPr>
          <w:rFonts w:cs="Arial"/>
          <w:i/>
        </w:rPr>
        <w:t>Mémoire déposé par le Conseil québécois LGBT dans le cadre des consultations particulières sur le projet de loi 103 visant à renforcer la lutte contre la transphobie et à améliorer notamment la situation des mineurs transgenres</w:t>
      </w:r>
      <w:r w:rsidR="00DA5DB2" w:rsidRPr="00515AA2">
        <w:rPr>
          <w:rFonts w:cs="Arial"/>
        </w:rPr>
        <w:t>, CRC-007M, 6 June 2016, p. 2</w:t>
      </w:r>
      <w:r w:rsidRPr="00515AA2">
        <w:rPr>
          <w:rFonts w:cs="Arial"/>
        </w:rPr>
        <w:t>.</w:t>
      </w:r>
    </w:p>
  </w:footnote>
  <w:footnote w:id="62">
    <w:p w14:paraId="5455FD7B" w14:textId="719D1500" w:rsidR="007462BB" w:rsidRPr="00515AA2" w:rsidRDefault="007462BB" w:rsidP="003624CE">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rPr>
        <w:t xml:space="preserve">Quebec, National Assembly, </w:t>
      </w:r>
      <w:r w:rsidR="00DA5DB2" w:rsidRPr="00515AA2">
        <w:rPr>
          <w:rFonts w:cs="Arial"/>
          <w:i/>
        </w:rPr>
        <w:t>Mémoire déposé par la Fondation émergence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CRC-004M, 6 June 2016, p. 2; Quebec, National Assembly, </w:t>
      </w:r>
      <w:r w:rsidR="00DA5DB2" w:rsidRPr="00515AA2">
        <w:rPr>
          <w:rFonts w:cs="Arial"/>
          <w:i/>
        </w:rPr>
        <w:t>Mémoire déposé par l’Ordre des travailleurs sociaux et des thérapeutes conjugaux et familiaux du Québec dans le cadre des consultations particulières sur le projet de loi 103 visant à renforcer la lutte contre la transphobie et à améliorer notamment la situation des mineurs transgenres</w:t>
      </w:r>
      <w:r w:rsidR="00DA5DB2" w:rsidRPr="00515AA2">
        <w:rPr>
          <w:rFonts w:cs="Arial"/>
        </w:rPr>
        <w:t xml:space="preserve">, CRC-006M, 6 June 2016, p. 2; Quebec, National Assembly, </w:t>
      </w:r>
      <w:r w:rsidR="00DA5DB2" w:rsidRPr="00515AA2">
        <w:rPr>
          <w:rFonts w:cs="Arial"/>
          <w:i/>
        </w:rPr>
        <w:t>Mémoire déposé par Enfants transgenres Canada dans le cadre des consultations particulières sur le projet de loi 103 visant à renforcer la lutte contre la transphobie et à améliorer notamment la situation des mineurs transgenres</w:t>
      </w:r>
      <w:r w:rsidR="00DA5DB2" w:rsidRPr="00515AA2">
        <w:rPr>
          <w:rFonts w:cs="Arial"/>
        </w:rPr>
        <w:t>, CRC-002M, 3 June 2016, p. 2</w:t>
      </w:r>
      <w:r w:rsidRPr="00515AA2">
        <w:rPr>
          <w:rFonts w:cs="Arial"/>
        </w:rPr>
        <w:t>.</w:t>
      </w:r>
    </w:p>
  </w:footnote>
  <w:footnote w:id="63">
    <w:p w14:paraId="7FBBB66F" w14:textId="7137CA92" w:rsidR="00E42A64" w:rsidRPr="00515AA2" w:rsidRDefault="00E42A64">
      <w:pPr>
        <w:pStyle w:val="Notedebasdepage"/>
        <w:rPr>
          <w:lang w:val="en-CA"/>
        </w:rPr>
      </w:pPr>
      <w:r w:rsidRPr="00515AA2">
        <w:rPr>
          <w:rStyle w:val="Appelnotedebasdep"/>
        </w:rPr>
        <w:footnoteRef/>
      </w:r>
      <w:r w:rsidRPr="00515AA2">
        <w:rPr>
          <w:lang w:val="en-CA"/>
        </w:rPr>
        <w:t xml:space="preserve"> </w:t>
      </w:r>
      <w:r w:rsidRPr="00515AA2">
        <w:rPr>
          <w:lang w:val="en-CA"/>
        </w:rPr>
        <w:tab/>
      </w:r>
      <w:r w:rsidR="00DA5DB2" w:rsidRPr="00515AA2">
        <w:rPr>
          <w:i/>
          <w:lang w:val="en-CA"/>
        </w:rPr>
        <w:t>An Act to strengthen the fight against transphobia and improve the situation of transgender minors in particular</w:t>
      </w:r>
      <w:r w:rsidR="00DA5DB2" w:rsidRPr="00515AA2">
        <w:rPr>
          <w:lang w:val="en-CA"/>
        </w:rPr>
        <w:t>, S.Q. 2016, c. 19</w:t>
      </w:r>
      <w:r w:rsidRPr="00515AA2">
        <w:rPr>
          <w:lang w:val="en-CA"/>
        </w:rPr>
        <w:t>.</w:t>
      </w:r>
    </w:p>
  </w:footnote>
  <w:footnote w:id="64">
    <w:p w14:paraId="248CC3DA" w14:textId="09949BC2" w:rsidR="0038182A" w:rsidRPr="00515AA2" w:rsidRDefault="00CD0537" w:rsidP="0038182A">
      <w:pPr>
        <w:pStyle w:val="Notedebasdepage"/>
        <w:rPr>
          <w:lang w:val="en-CA"/>
        </w:rPr>
      </w:pPr>
      <w:r w:rsidRPr="00515AA2">
        <w:rPr>
          <w:rStyle w:val="Appelnotedebasdep"/>
        </w:rPr>
        <w:footnoteRef/>
      </w:r>
      <w:r w:rsidRPr="00515AA2">
        <w:rPr>
          <w:lang w:val="en-CA"/>
        </w:rPr>
        <w:t xml:space="preserve"> </w:t>
      </w:r>
      <w:r w:rsidRPr="00515AA2">
        <w:rPr>
          <w:lang w:val="en-CA"/>
        </w:rPr>
        <w:tab/>
      </w:r>
      <w:r w:rsidR="00DA5DB2" w:rsidRPr="00515AA2">
        <w:rPr>
          <w:lang w:val="en-CA"/>
        </w:rPr>
        <w:t>See paras</w:t>
      </w:r>
      <w:r w:rsidR="004F1990" w:rsidRPr="00515AA2">
        <w:rPr>
          <w:lang w:val="en-CA"/>
        </w:rPr>
        <w:t>.</w:t>
      </w:r>
      <w:r w:rsidR="00DA5DB2" w:rsidRPr="00515AA2">
        <w:rPr>
          <w:lang w:val="en-CA"/>
        </w:rPr>
        <w:t> 22-26 above.</w:t>
      </w:r>
    </w:p>
  </w:footnote>
  <w:footnote w:id="65">
    <w:p w14:paraId="0BD34279" w14:textId="6BB58AC4" w:rsidR="007462BB" w:rsidRPr="00515AA2" w:rsidRDefault="007462BB">
      <w:pPr>
        <w:pStyle w:val="Notedebasdepage"/>
        <w:rPr>
          <w:lang w:val="en-CA"/>
        </w:rPr>
      </w:pPr>
      <w:r w:rsidRPr="00515AA2">
        <w:rPr>
          <w:rStyle w:val="Appelnotedebasdep"/>
        </w:rPr>
        <w:footnoteRef/>
      </w:r>
      <w:r w:rsidRPr="00515AA2">
        <w:rPr>
          <w:lang w:val="en-CA"/>
        </w:rPr>
        <w:t xml:space="preserve"> </w:t>
      </w:r>
      <w:r w:rsidRPr="00515AA2">
        <w:rPr>
          <w:lang w:val="en-CA"/>
        </w:rPr>
        <w:tab/>
      </w:r>
      <w:r w:rsidR="00DA5DB2" w:rsidRPr="00515AA2">
        <w:rPr>
          <w:lang w:val="en-CA"/>
        </w:rPr>
        <w:t xml:space="preserve">Section 23.2, para. 2 of the </w:t>
      </w:r>
      <w:r w:rsidR="00DA5DB2" w:rsidRPr="00515AA2">
        <w:rPr>
          <w:i/>
          <w:iCs/>
          <w:lang w:val="en-CA"/>
        </w:rPr>
        <w:t>Regulation</w:t>
      </w:r>
      <w:r w:rsidR="00DA5DB2" w:rsidRPr="00515AA2">
        <w:rPr>
          <w:lang w:val="en-CA"/>
        </w:rPr>
        <w:t xml:space="preserve"> reads as follows:</w:t>
      </w:r>
    </w:p>
    <w:p w14:paraId="489A1919" w14:textId="77777777" w:rsidR="0038182A" w:rsidRPr="00515AA2" w:rsidRDefault="0038182A">
      <w:pPr>
        <w:pStyle w:val="Notedebasdepage"/>
        <w:rPr>
          <w:lang w:val="en-CA"/>
        </w:rPr>
      </w:pPr>
    </w:p>
    <w:tbl>
      <w:tblPr>
        <w:tblW w:w="9362" w:type="dxa"/>
        <w:tblLayout w:type="fixed"/>
        <w:tblCellMar>
          <w:left w:w="70" w:type="dxa"/>
          <w:right w:w="70" w:type="dxa"/>
        </w:tblCellMar>
        <w:tblLook w:val="0000" w:firstRow="0" w:lastRow="0" w:firstColumn="0" w:lastColumn="0" w:noHBand="0" w:noVBand="0"/>
      </w:tblPr>
      <w:tblGrid>
        <w:gridCol w:w="4681"/>
        <w:gridCol w:w="4681"/>
      </w:tblGrid>
      <w:tr w:rsidR="007462BB" w:rsidRPr="00515AA2" w14:paraId="2D451F2F" w14:textId="77777777" w:rsidTr="00D24427">
        <w:tc>
          <w:tcPr>
            <w:tcW w:w="4681" w:type="dxa"/>
            <w:shd w:val="clear" w:color="auto" w:fill="auto"/>
          </w:tcPr>
          <w:p w14:paraId="3EB00D26" w14:textId="046332B0" w:rsidR="00AC48A4" w:rsidRPr="00515AA2" w:rsidRDefault="007462BB" w:rsidP="00710E4C">
            <w:pPr>
              <w:pStyle w:val="Tableaugauchefranais"/>
              <w:spacing w:line="240" w:lineRule="auto"/>
              <w:rPr>
                <w:sz w:val="18"/>
                <w:szCs w:val="18"/>
                <w:lang w:val="en-CA"/>
              </w:rPr>
            </w:pPr>
            <w:r w:rsidRPr="00515AA2">
              <w:rPr>
                <w:sz w:val="18"/>
                <w:szCs w:val="18"/>
                <w:lang w:val="en-CA"/>
              </w:rPr>
              <w:t>23.2.</w:t>
            </w:r>
          </w:p>
          <w:p w14:paraId="50378C0A" w14:textId="7B85EB2D" w:rsidR="00AC48A4" w:rsidRPr="00515AA2" w:rsidRDefault="00D506F7" w:rsidP="00710E4C">
            <w:pPr>
              <w:pStyle w:val="Tableaugauchefranais"/>
              <w:spacing w:line="240" w:lineRule="auto"/>
              <w:rPr>
                <w:sz w:val="18"/>
                <w:szCs w:val="18"/>
                <w:lang w:val="en-CA"/>
              </w:rPr>
            </w:pPr>
            <w:r w:rsidRPr="00515AA2">
              <w:rPr>
                <w:sz w:val="18"/>
                <w:szCs w:val="18"/>
                <w:lang w:val="en-CA"/>
              </w:rPr>
              <w:t>(</w:t>
            </w:r>
            <w:r w:rsidR="00AC48A4" w:rsidRPr="00515AA2">
              <w:rPr>
                <w:sz w:val="18"/>
                <w:szCs w:val="18"/>
                <w:lang w:val="en-CA"/>
              </w:rPr>
              <w:t>…</w:t>
            </w:r>
            <w:r w:rsidRPr="00515AA2">
              <w:rPr>
                <w:sz w:val="18"/>
                <w:szCs w:val="18"/>
                <w:lang w:val="en-CA"/>
              </w:rPr>
              <w:t>)</w:t>
            </w:r>
          </w:p>
          <w:p w14:paraId="42A9D162" w14:textId="5B655BAB" w:rsidR="007462BB" w:rsidRPr="00515AA2" w:rsidRDefault="00DA5DB2" w:rsidP="00710E4C">
            <w:pPr>
              <w:pStyle w:val="Tableaugauchefranais"/>
              <w:spacing w:line="240" w:lineRule="auto"/>
              <w:rPr>
                <w:sz w:val="18"/>
                <w:szCs w:val="18"/>
                <w:lang w:val="en-CA"/>
              </w:rPr>
            </w:pPr>
            <w:r w:rsidRPr="00515AA2">
              <w:rPr>
                <w:sz w:val="18"/>
                <w:szCs w:val="18"/>
                <w:shd w:val="clear" w:color="auto" w:fill="FFFFFF"/>
                <w:lang w:val="en-CA"/>
              </w:rPr>
              <w:t>An application for a change of the designation of sex for a minor child must be accompanied by, in addition to the documents referred to in section 4, a letter from a physician, a psychologist, a psychiatrist, a sexologist or a social worker authorized to practise in Canada or in the State in which the child is domiciled who declares having evaluated or followed the child and is of the opinion that the change of designation is appropriate</w:t>
            </w:r>
            <w:r w:rsidR="007462BB" w:rsidRPr="00515AA2">
              <w:rPr>
                <w:sz w:val="18"/>
                <w:szCs w:val="18"/>
                <w:lang w:val="en-CA"/>
              </w:rPr>
              <w:t>.</w:t>
            </w:r>
          </w:p>
        </w:tc>
        <w:tc>
          <w:tcPr>
            <w:tcW w:w="4681" w:type="dxa"/>
            <w:shd w:val="clear" w:color="auto" w:fill="auto"/>
          </w:tcPr>
          <w:p w14:paraId="2E295B48" w14:textId="6C9C2FEC" w:rsidR="00AC48A4" w:rsidRPr="00515AA2" w:rsidRDefault="007462BB" w:rsidP="00710E4C">
            <w:pPr>
              <w:pStyle w:val="Tableaudroiteanglais"/>
              <w:spacing w:line="240" w:lineRule="auto"/>
              <w:rPr>
                <w:sz w:val="18"/>
                <w:szCs w:val="18"/>
                <w:shd w:val="clear" w:color="auto" w:fill="FFFFFF"/>
                <w:lang w:val="fr-CA"/>
              </w:rPr>
            </w:pPr>
            <w:r w:rsidRPr="00515AA2">
              <w:rPr>
                <w:sz w:val="18"/>
                <w:szCs w:val="18"/>
                <w:shd w:val="clear" w:color="auto" w:fill="FFFFFF"/>
                <w:lang w:val="fr-CA"/>
              </w:rPr>
              <w:t>23.2.</w:t>
            </w:r>
          </w:p>
          <w:p w14:paraId="655C7D5B" w14:textId="77777777" w:rsidR="00C41B91" w:rsidRPr="00515AA2" w:rsidRDefault="00AC48A4" w:rsidP="00710E4C">
            <w:pPr>
              <w:pStyle w:val="Tableaudroiteanglais"/>
              <w:spacing w:line="240" w:lineRule="auto"/>
              <w:rPr>
                <w:sz w:val="18"/>
                <w:szCs w:val="18"/>
                <w:shd w:val="clear" w:color="auto" w:fill="FFFFFF"/>
                <w:lang w:val="fr-CA"/>
              </w:rPr>
            </w:pPr>
            <w:r w:rsidRPr="00515AA2">
              <w:rPr>
                <w:sz w:val="18"/>
                <w:szCs w:val="18"/>
                <w:shd w:val="clear" w:color="auto" w:fill="FFFFFF"/>
                <w:lang w:val="fr-CA"/>
              </w:rPr>
              <w:t>[…]</w:t>
            </w:r>
          </w:p>
          <w:p w14:paraId="07D263A3" w14:textId="31B72F1E" w:rsidR="007462BB" w:rsidRPr="00515AA2" w:rsidRDefault="00DA5DB2" w:rsidP="00710E4C">
            <w:pPr>
              <w:pStyle w:val="Tableaudroiteanglais"/>
              <w:spacing w:line="240" w:lineRule="auto"/>
              <w:rPr>
                <w:sz w:val="18"/>
                <w:szCs w:val="18"/>
                <w:lang w:val="fr-CA"/>
              </w:rPr>
            </w:pPr>
            <w:r w:rsidRPr="00515AA2">
              <w:rPr>
                <w:sz w:val="18"/>
                <w:szCs w:val="18"/>
                <w:lang w:val="fr-CA"/>
              </w:rPr>
              <w:t>La demande de changement de la mention du sexe d’un enfant mineur doit, outre les documents prévus à l’article 4, être accompagnée d’une lettre d’un médecin, d’un psychologue, d’un psychiatre, d’un sexologue ou d’un travailleur social autorisé à exercer au Canada ou dans l’État du domicile de l’enfant, qui déclare avoir évalué ou suivi l’enfant et qui est d’avis que le changement de cette mention est approprié.</w:t>
            </w:r>
          </w:p>
        </w:tc>
      </w:tr>
    </w:tbl>
    <w:p w14:paraId="4FCA260A" w14:textId="77777777" w:rsidR="007462BB" w:rsidRPr="00515AA2" w:rsidRDefault="007462BB">
      <w:pPr>
        <w:pStyle w:val="Notedebasdepage"/>
      </w:pPr>
    </w:p>
  </w:footnote>
  <w:footnote w:id="66">
    <w:p w14:paraId="192230EA" w14:textId="683774F6" w:rsidR="007462BB" w:rsidRPr="00515AA2" w:rsidRDefault="007462BB" w:rsidP="00FF3B77">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DA5DB2" w:rsidRPr="00515AA2">
        <w:rPr>
          <w:rFonts w:cs="Arial"/>
          <w:lang w:val="en-CA"/>
        </w:rPr>
        <w:t xml:space="preserve">Judgment under appeal, at </w:t>
      </w:r>
      <w:r w:rsidRPr="00515AA2">
        <w:rPr>
          <w:rFonts w:cs="Arial"/>
          <w:lang w:val="en-CA"/>
        </w:rPr>
        <w:t>para</w:t>
      </w:r>
      <w:r w:rsidR="00DA5DB2" w:rsidRPr="00515AA2">
        <w:rPr>
          <w:rFonts w:cs="Arial"/>
          <w:lang w:val="en-CA"/>
        </w:rPr>
        <w:t>s</w:t>
      </w:r>
      <w:r w:rsidRPr="00515AA2">
        <w:rPr>
          <w:rFonts w:cs="Arial"/>
          <w:lang w:val="en-CA"/>
        </w:rPr>
        <w:t>. 257</w:t>
      </w:r>
      <w:r w:rsidR="00DA5DB2" w:rsidRPr="00515AA2">
        <w:rPr>
          <w:rFonts w:cs="Arial"/>
          <w:lang w:val="en-CA"/>
        </w:rPr>
        <w:t>-</w:t>
      </w:r>
      <w:r w:rsidRPr="00515AA2">
        <w:rPr>
          <w:rFonts w:cs="Arial"/>
          <w:lang w:val="en-CA"/>
        </w:rPr>
        <w:t xml:space="preserve">258. </w:t>
      </w:r>
      <w:r w:rsidR="00DA5DB2" w:rsidRPr="00515AA2">
        <w:rPr>
          <w:rFonts w:cs="Arial"/>
          <w:lang w:val="en-CA"/>
        </w:rPr>
        <w:t xml:space="preserve">Indeed, s. 23.2, para. 1 of the </w:t>
      </w:r>
      <w:r w:rsidR="00DA5DB2" w:rsidRPr="00515AA2">
        <w:rPr>
          <w:rFonts w:cs="Arial"/>
          <w:i/>
          <w:iCs/>
          <w:lang w:val="en-CA"/>
        </w:rPr>
        <w:t xml:space="preserve">Regulation </w:t>
      </w:r>
      <w:r w:rsidR="00DA5DB2" w:rsidRPr="00515AA2">
        <w:rPr>
          <w:rFonts w:cs="Arial"/>
          <w:lang w:val="en-CA"/>
        </w:rPr>
        <w:t>provides as follows for persons of full age:</w:t>
      </w:r>
    </w:p>
    <w:tbl>
      <w:tblPr>
        <w:tblW w:w="9362" w:type="dxa"/>
        <w:tblLayout w:type="fixed"/>
        <w:tblCellMar>
          <w:left w:w="70" w:type="dxa"/>
          <w:right w:w="70" w:type="dxa"/>
        </w:tblCellMar>
        <w:tblLook w:val="0000" w:firstRow="0" w:lastRow="0" w:firstColumn="0" w:lastColumn="0" w:noHBand="0" w:noVBand="0"/>
      </w:tblPr>
      <w:tblGrid>
        <w:gridCol w:w="4681"/>
        <w:gridCol w:w="4681"/>
      </w:tblGrid>
      <w:tr w:rsidR="007462BB" w:rsidRPr="00515AA2" w14:paraId="56F90283" w14:textId="77777777" w:rsidTr="00D24427">
        <w:tc>
          <w:tcPr>
            <w:tcW w:w="4681" w:type="dxa"/>
            <w:shd w:val="clear" w:color="auto" w:fill="auto"/>
          </w:tcPr>
          <w:p w14:paraId="076F5DB8" w14:textId="5AC39BB6" w:rsidR="007462BB" w:rsidRPr="00515AA2" w:rsidRDefault="007462BB" w:rsidP="00710E4C">
            <w:pPr>
              <w:pStyle w:val="Tableaugauchefranais"/>
              <w:spacing w:line="240" w:lineRule="auto"/>
              <w:rPr>
                <w:sz w:val="18"/>
                <w:szCs w:val="18"/>
                <w:lang w:val="en-CA"/>
              </w:rPr>
            </w:pPr>
            <w:r w:rsidRPr="00515AA2">
              <w:rPr>
                <w:b/>
                <w:sz w:val="18"/>
                <w:szCs w:val="18"/>
                <w:lang w:val="en-CA"/>
              </w:rPr>
              <w:t>23.2.</w:t>
            </w:r>
            <w:r w:rsidRPr="00515AA2">
              <w:rPr>
                <w:sz w:val="18"/>
                <w:szCs w:val="18"/>
                <w:lang w:val="en-CA"/>
              </w:rPr>
              <w:t xml:space="preserve"> </w:t>
            </w:r>
            <w:r w:rsidR="00DA5DB2" w:rsidRPr="00515AA2">
              <w:rPr>
                <w:sz w:val="18"/>
                <w:szCs w:val="18"/>
                <w:shd w:val="clear" w:color="auto" w:fill="FFFFFF"/>
                <w:lang w:val="en-CA"/>
              </w:rPr>
              <w:t>An application for a change of the designation of sex that appears in an act of birth of a person of full age must be accompanied by, in addition to the documents referred to in section 4, an affidavit of a person of full age who attests to having known the applicant for at least one year and who confirms that the applicant is fully aware of the seriousness of the application.</w:t>
            </w:r>
          </w:p>
          <w:p w14:paraId="4FBB4E55" w14:textId="1F0EED3E" w:rsidR="00AC48A4" w:rsidRPr="00515AA2" w:rsidRDefault="009D5FF2" w:rsidP="00710E4C">
            <w:pPr>
              <w:pStyle w:val="Tableaugauchefranais"/>
              <w:spacing w:line="240" w:lineRule="auto"/>
              <w:rPr>
                <w:sz w:val="18"/>
                <w:szCs w:val="18"/>
              </w:rPr>
            </w:pPr>
            <w:r w:rsidRPr="00515AA2">
              <w:rPr>
                <w:bCs/>
                <w:sz w:val="18"/>
                <w:szCs w:val="18"/>
              </w:rPr>
              <w:t>(</w:t>
            </w:r>
            <w:r w:rsidR="00AC48A4" w:rsidRPr="00515AA2">
              <w:rPr>
                <w:b/>
                <w:sz w:val="18"/>
                <w:szCs w:val="18"/>
              </w:rPr>
              <w:t>…</w:t>
            </w:r>
            <w:r w:rsidRPr="00515AA2">
              <w:rPr>
                <w:sz w:val="18"/>
                <w:szCs w:val="18"/>
              </w:rPr>
              <w:t>)</w:t>
            </w:r>
          </w:p>
        </w:tc>
        <w:tc>
          <w:tcPr>
            <w:tcW w:w="4681" w:type="dxa"/>
            <w:shd w:val="clear" w:color="auto" w:fill="auto"/>
          </w:tcPr>
          <w:p w14:paraId="16629943" w14:textId="0357CF98" w:rsidR="007462BB" w:rsidRPr="00515AA2" w:rsidRDefault="007462BB" w:rsidP="00710E4C">
            <w:pPr>
              <w:pStyle w:val="Tableaudroiteanglais"/>
              <w:spacing w:line="240" w:lineRule="auto"/>
              <w:rPr>
                <w:sz w:val="18"/>
                <w:szCs w:val="18"/>
                <w:shd w:val="clear" w:color="auto" w:fill="FFFFFF"/>
                <w:lang w:val="fr-CA"/>
              </w:rPr>
            </w:pPr>
            <w:r w:rsidRPr="00515AA2">
              <w:rPr>
                <w:b/>
                <w:sz w:val="18"/>
                <w:szCs w:val="18"/>
                <w:lang w:val="fr-CA"/>
              </w:rPr>
              <w:t>23.2.</w:t>
            </w:r>
            <w:r w:rsidR="00DA5DB2" w:rsidRPr="00515AA2">
              <w:rPr>
                <w:sz w:val="18"/>
                <w:szCs w:val="18"/>
                <w:lang w:val="fr-CA"/>
              </w:rPr>
              <w:t xml:space="preserve"> La demande de changement de la mention du sexe figurant à un acte de naissance d’une personne majeure, outre les documents prévus à l’article 4, doit être accompagnée d’une déclaration sous serment d’une personne majeure qui atteste connaître le demandeur depuis au moins un an et qui confirme que le demandeur reconnaît le sérieux de sa demande</w:t>
            </w:r>
          </w:p>
          <w:p w14:paraId="5FB8FE1A" w14:textId="4EC1F643" w:rsidR="00AC48A4" w:rsidRPr="00515AA2" w:rsidRDefault="00AC48A4" w:rsidP="00710E4C">
            <w:pPr>
              <w:pStyle w:val="Tableaudroiteanglais"/>
              <w:spacing w:line="240" w:lineRule="auto"/>
              <w:rPr>
                <w:rFonts w:cs="Arial"/>
                <w:sz w:val="18"/>
                <w:szCs w:val="18"/>
                <w:lang w:val="fr-CA"/>
              </w:rPr>
            </w:pPr>
            <w:r w:rsidRPr="00515AA2">
              <w:rPr>
                <w:bCs/>
                <w:sz w:val="18"/>
                <w:szCs w:val="18"/>
                <w:lang w:val="fr-CA"/>
              </w:rPr>
              <w:t>[</w:t>
            </w:r>
            <w:r w:rsidRPr="00515AA2">
              <w:rPr>
                <w:b/>
                <w:sz w:val="18"/>
                <w:szCs w:val="18"/>
                <w:lang w:val="fr-CA"/>
              </w:rPr>
              <w:t>…</w:t>
            </w:r>
            <w:r w:rsidRPr="00515AA2">
              <w:rPr>
                <w:rFonts w:cs="Arial"/>
                <w:sz w:val="18"/>
                <w:szCs w:val="18"/>
                <w:lang w:val="fr-CA"/>
              </w:rPr>
              <w:t>]</w:t>
            </w:r>
          </w:p>
        </w:tc>
      </w:tr>
    </w:tbl>
    <w:p w14:paraId="29E237FA" w14:textId="77777777" w:rsidR="007462BB" w:rsidRPr="00515AA2" w:rsidRDefault="007462BB" w:rsidP="00D24427">
      <w:pPr>
        <w:pStyle w:val="Notedebasdepage"/>
        <w:ind w:left="0" w:firstLine="0"/>
        <w:rPr>
          <w:rFonts w:cs="Arial"/>
        </w:rPr>
      </w:pPr>
    </w:p>
  </w:footnote>
  <w:footnote w:id="67">
    <w:p w14:paraId="668A4A3C" w14:textId="55255DB3" w:rsidR="007462BB" w:rsidRPr="00515AA2" w:rsidRDefault="007462BB" w:rsidP="000F58BB">
      <w:pPr>
        <w:pStyle w:val="Notedebasdepage"/>
        <w:rPr>
          <w:rFonts w:cs="Arial"/>
        </w:rPr>
      </w:pPr>
      <w:r w:rsidRPr="00515AA2">
        <w:rPr>
          <w:rStyle w:val="Appelnotedebasdep"/>
          <w:rFonts w:cs="Arial"/>
        </w:rPr>
        <w:footnoteRef/>
      </w:r>
      <w:r w:rsidRPr="00515AA2">
        <w:rPr>
          <w:rFonts w:cs="Arial"/>
          <w:lang w:val="en-CA"/>
        </w:rPr>
        <w:t xml:space="preserve"> </w:t>
      </w:r>
      <w:r w:rsidRPr="00515AA2">
        <w:rPr>
          <w:rFonts w:cs="Arial"/>
          <w:lang w:val="en-CA"/>
        </w:rPr>
        <w:tab/>
      </w:r>
      <w:bookmarkStart w:id="34" w:name="_Hlk157500185"/>
      <w:r w:rsidR="00DA5DB2" w:rsidRPr="00515AA2">
        <w:rPr>
          <w:rFonts w:cs="Arial"/>
          <w:lang w:val="en-CA"/>
        </w:rPr>
        <w:t xml:space="preserve">Judgment under appeal, </w:t>
      </w:r>
      <w:bookmarkEnd w:id="34"/>
      <w:r w:rsidR="009D5FF2" w:rsidRPr="00515AA2">
        <w:rPr>
          <w:rFonts w:cs="Arial"/>
          <w:i/>
          <w:iCs/>
          <w:lang w:val="en-CA"/>
        </w:rPr>
        <w:t>supra</w:t>
      </w:r>
      <w:r w:rsidR="009D5FF2" w:rsidRPr="00515AA2">
        <w:rPr>
          <w:rFonts w:cs="Arial"/>
          <w:lang w:val="en-CA"/>
        </w:rPr>
        <w:t xml:space="preserve">, </w:t>
      </w:r>
      <w:r w:rsidR="00D05F70" w:rsidRPr="00515AA2">
        <w:rPr>
          <w:rFonts w:cs="Arial"/>
          <w:lang w:val="en-CA"/>
        </w:rPr>
        <w:t xml:space="preserve">note </w:t>
      </w:r>
      <w:r w:rsidR="00D05F70" w:rsidRPr="00515AA2">
        <w:rPr>
          <w:rFonts w:cs="Arial"/>
        </w:rPr>
        <w:fldChar w:fldCharType="begin"/>
      </w:r>
      <w:r w:rsidR="00D05F70" w:rsidRPr="00515AA2">
        <w:rPr>
          <w:rFonts w:cs="Arial"/>
          <w:lang w:val="en-CA"/>
        </w:rPr>
        <w:instrText xml:space="preserve"> NOTEREF _Ref161233644 \h </w:instrText>
      </w:r>
      <w:r w:rsidR="00515AA2">
        <w:rPr>
          <w:rFonts w:cs="Arial"/>
        </w:rPr>
        <w:instrText xml:space="preserve"> \* MERGEFORMAT </w:instrText>
      </w:r>
      <w:r w:rsidR="00D05F70" w:rsidRPr="00515AA2">
        <w:rPr>
          <w:rFonts w:cs="Arial"/>
        </w:rPr>
      </w:r>
      <w:r w:rsidR="00D05F70" w:rsidRPr="00515AA2">
        <w:rPr>
          <w:rFonts w:cs="Arial"/>
        </w:rPr>
        <w:fldChar w:fldCharType="separate"/>
      </w:r>
      <w:r w:rsidR="00C83535">
        <w:rPr>
          <w:rFonts w:cs="Arial"/>
          <w:lang w:val="en-CA"/>
        </w:rPr>
        <w:t>9</w:t>
      </w:r>
      <w:r w:rsidR="00D05F70" w:rsidRPr="00515AA2">
        <w:rPr>
          <w:rFonts w:cs="Arial"/>
        </w:rPr>
        <w:fldChar w:fldCharType="end"/>
      </w:r>
      <w:r w:rsidR="00D05F70" w:rsidRPr="00515AA2">
        <w:rPr>
          <w:rFonts w:cs="Arial"/>
          <w:lang w:val="en-CA"/>
        </w:rPr>
        <w:t xml:space="preserve">, </w:t>
      </w:r>
      <w:r w:rsidRPr="00515AA2">
        <w:rPr>
          <w:rFonts w:cs="Arial"/>
        </w:rPr>
        <w:t>para</w:t>
      </w:r>
      <w:r w:rsidR="00DA5DB2" w:rsidRPr="00515AA2">
        <w:rPr>
          <w:rFonts w:cs="Arial"/>
        </w:rPr>
        <w:t>s</w:t>
      </w:r>
      <w:r w:rsidRPr="00515AA2">
        <w:rPr>
          <w:rFonts w:cs="Arial"/>
        </w:rPr>
        <w:t>.</w:t>
      </w:r>
      <w:r w:rsidR="0076197F" w:rsidRPr="00515AA2">
        <w:rPr>
          <w:rFonts w:cs="Arial"/>
        </w:rPr>
        <w:t> </w:t>
      </w:r>
      <w:r w:rsidRPr="00515AA2">
        <w:rPr>
          <w:rFonts w:cs="Arial"/>
        </w:rPr>
        <w:t>260-263.</w:t>
      </w:r>
    </w:p>
  </w:footnote>
  <w:footnote w:id="68">
    <w:p w14:paraId="624EC686" w14:textId="1518B6C3" w:rsidR="007462BB" w:rsidRPr="00515AA2" w:rsidRDefault="007462BB" w:rsidP="000F58B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i/>
          <w:iCs/>
        </w:rPr>
        <w:t>Id.</w:t>
      </w:r>
      <w:r w:rsidR="00DA5DB2" w:rsidRPr="00515AA2">
        <w:rPr>
          <w:rFonts w:cs="Arial"/>
        </w:rPr>
        <w:t>, para.</w:t>
      </w:r>
      <w:r w:rsidR="0076197F" w:rsidRPr="00515AA2">
        <w:rPr>
          <w:rFonts w:cs="Arial"/>
        </w:rPr>
        <w:t> </w:t>
      </w:r>
      <w:r w:rsidRPr="00515AA2">
        <w:rPr>
          <w:rFonts w:cs="Arial"/>
        </w:rPr>
        <w:t>266.</w:t>
      </w:r>
    </w:p>
  </w:footnote>
  <w:footnote w:id="69">
    <w:p w14:paraId="0322DDA6" w14:textId="70280F7C" w:rsidR="007462BB" w:rsidRPr="00515AA2" w:rsidRDefault="007462BB" w:rsidP="000F58B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i/>
          <w:iCs/>
        </w:rPr>
        <w:t>Id.</w:t>
      </w:r>
      <w:r w:rsidR="00DA5DB2" w:rsidRPr="00515AA2">
        <w:rPr>
          <w:rFonts w:cs="Arial"/>
        </w:rPr>
        <w:t>, para.</w:t>
      </w:r>
      <w:r w:rsidR="0076197F" w:rsidRPr="00515AA2">
        <w:rPr>
          <w:rFonts w:cs="Arial"/>
        </w:rPr>
        <w:t> </w:t>
      </w:r>
      <w:r w:rsidRPr="00515AA2">
        <w:rPr>
          <w:rFonts w:cs="Arial"/>
        </w:rPr>
        <w:t>267.</w:t>
      </w:r>
    </w:p>
  </w:footnote>
  <w:footnote w:id="70">
    <w:p w14:paraId="6B9DCA0C" w14:textId="4F2F44DB" w:rsidR="007462BB" w:rsidRPr="00515AA2" w:rsidRDefault="007462BB" w:rsidP="000F58B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i/>
          <w:iCs/>
        </w:rPr>
        <w:t>I</w:t>
      </w:r>
      <w:r w:rsidR="001652EE" w:rsidRPr="00515AA2">
        <w:rPr>
          <w:rFonts w:cs="Arial"/>
          <w:i/>
          <w:iCs/>
        </w:rPr>
        <w:t>bi</w:t>
      </w:r>
      <w:r w:rsidR="00DA5DB2" w:rsidRPr="00515AA2">
        <w:rPr>
          <w:rFonts w:cs="Arial"/>
          <w:i/>
          <w:iCs/>
        </w:rPr>
        <w:t>d.</w:t>
      </w:r>
    </w:p>
  </w:footnote>
  <w:footnote w:id="71">
    <w:p w14:paraId="1F5D16AA" w14:textId="4BE6EE2C" w:rsidR="007462BB" w:rsidRPr="00515AA2" w:rsidRDefault="007462BB" w:rsidP="000F58B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i/>
          <w:iCs/>
        </w:rPr>
        <w:t>Id.</w:t>
      </w:r>
      <w:r w:rsidR="00DA5DB2" w:rsidRPr="00515AA2">
        <w:rPr>
          <w:rFonts w:cs="Arial"/>
        </w:rPr>
        <w:t>, para.</w:t>
      </w:r>
      <w:r w:rsidR="0076197F" w:rsidRPr="00515AA2">
        <w:rPr>
          <w:rFonts w:cs="Arial"/>
        </w:rPr>
        <w:t> </w:t>
      </w:r>
      <w:r w:rsidRPr="00515AA2">
        <w:rPr>
          <w:rFonts w:cs="Arial"/>
        </w:rPr>
        <w:t>268.</w:t>
      </w:r>
    </w:p>
  </w:footnote>
  <w:footnote w:id="72">
    <w:p w14:paraId="513B3C51" w14:textId="754BFE00" w:rsidR="007462BB" w:rsidRPr="00515AA2" w:rsidRDefault="007462BB" w:rsidP="000F58B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DA5DB2" w:rsidRPr="00515AA2">
        <w:rPr>
          <w:rFonts w:cs="Arial"/>
          <w:i/>
          <w:iCs/>
        </w:rPr>
        <w:t>Id.</w:t>
      </w:r>
      <w:r w:rsidR="00DA5DB2" w:rsidRPr="00515AA2">
        <w:rPr>
          <w:rFonts w:cs="Arial"/>
        </w:rPr>
        <w:t>, paras.</w:t>
      </w:r>
      <w:r w:rsidR="0076197F" w:rsidRPr="00515AA2">
        <w:rPr>
          <w:rFonts w:cs="Arial"/>
        </w:rPr>
        <w:t> </w:t>
      </w:r>
      <w:r w:rsidRPr="00515AA2">
        <w:rPr>
          <w:rFonts w:cs="Arial"/>
        </w:rPr>
        <w:t>272</w:t>
      </w:r>
      <w:r w:rsidR="00DA5DB2" w:rsidRPr="00515AA2">
        <w:rPr>
          <w:rFonts w:cs="Arial"/>
        </w:rPr>
        <w:t>-</w:t>
      </w:r>
      <w:r w:rsidRPr="00515AA2">
        <w:rPr>
          <w:rFonts w:cs="Arial"/>
        </w:rPr>
        <w:t>273.</w:t>
      </w:r>
    </w:p>
  </w:footnote>
  <w:footnote w:id="73">
    <w:p w14:paraId="6885D0FB" w14:textId="3001AD1B" w:rsidR="007462BB" w:rsidRPr="00515AA2" w:rsidRDefault="007462BB" w:rsidP="000F58BB">
      <w:pPr>
        <w:pStyle w:val="Notedebasdepage"/>
        <w:rPr>
          <w:rFonts w:cs="Arial"/>
        </w:rPr>
      </w:pPr>
      <w:r w:rsidRPr="00515AA2">
        <w:rPr>
          <w:rStyle w:val="Appelnotedebasdep"/>
          <w:rFonts w:cs="Arial"/>
        </w:rPr>
        <w:footnoteRef/>
      </w:r>
      <w:r w:rsidRPr="00515AA2">
        <w:rPr>
          <w:rFonts w:cs="Arial"/>
        </w:rPr>
        <w:t xml:space="preserve"> </w:t>
      </w:r>
      <w:r w:rsidRPr="00515AA2">
        <w:rPr>
          <w:rFonts w:cs="Arial"/>
        </w:rPr>
        <w:tab/>
      </w:r>
      <w:r w:rsidR="00ED7537" w:rsidRPr="00515AA2">
        <w:rPr>
          <w:rFonts w:cs="Arial"/>
          <w:lang w:val="en-CA"/>
        </w:rPr>
        <w:t xml:space="preserve">Judgment under appeal, </w:t>
      </w:r>
      <w:r w:rsidR="00ED7537" w:rsidRPr="00515AA2">
        <w:rPr>
          <w:rFonts w:cs="Arial"/>
          <w:i/>
          <w:iCs/>
          <w:lang w:val="en-CA"/>
        </w:rPr>
        <w:t>supra</w:t>
      </w:r>
      <w:r w:rsidR="00ED7537" w:rsidRPr="00515AA2">
        <w:rPr>
          <w:rFonts w:cs="Arial"/>
          <w:lang w:val="en-CA"/>
        </w:rPr>
        <w:t xml:space="preserve">, note </w:t>
      </w:r>
      <w:r w:rsidR="00ED7537" w:rsidRPr="00515AA2">
        <w:rPr>
          <w:rFonts w:cs="Arial"/>
        </w:rPr>
        <w:fldChar w:fldCharType="begin"/>
      </w:r>
      <w:r w:rsidR="00ED7537" w:rsidRPr="00515AA2">
        <w:rPr>
          <w:rFonts w:cs="Arial"/>
          <w:lang w:val="en-CA"/>
        </w:rPr>
        <w:instrText xml:space="preserve"> NOTEREF _Ref161233644 \h </w:instrText>
      </w:r>
      <w:r w:rsidR="00ED7537">
        <w:rPr>
          <w:rFonts w:cs="Arial"/>
        </w:rPr>
        <w:instrText xml:space="preserve"> \* MERGEFORMAT </w:instrText>
      </w:r>
      <w:r w:rsidR="00ED7537" w:rsidRPr="00515AA2">
        <w:rPr>
          <w:rFonts w:cs="Arial"/>
        </w:rPr>
      </w:r>
      <w:r w:rsidR="00ED7537" w:rsidRPr="00515AA2">
        <w:rPr>
          <w:rFonts w:cs="Arial"/>
        </w:rPr>
        <w:fldChar w:fldCharType="separate"/>
      </w:r>
      <w:r w:rsidR="00C83535">
        <w:rPr>
          <w:rFonts w:cs="Arial"/>
          <w:lang w:val="en-CA"/>
        </w:rPr>
        <w:t>9</w:t>
      </w:r>
      <w:r w:rsidR="00ED7537" w:rsidRPr="00515AA2">
        <w:rPr>
          <w:rFonts w:cs="Arial"/>
        </w:rPr>
        <w:fldChar w:fldCharType="end"/>
      </w:r>
      <w:r w:rsidR="00ED7537" w:rsidRPr="00515AA2">
        <w:rPr>
          <w:rFonts w:cs="Arial"/>
          <w:lang w:val="en-CA"/>
        </w:rPr>
        <w:t>,</w:t>
      </w:r>
      <w:r w:rsidR="00DA5DB2" w:rsidRPr="00515AA2">
        <w:rPr>
          <w:rFonts w:cs="Arial"/>
        </w:rPr>
        <w:t xml:space="preserve"> </w:t>
      </w:r>
      <w:r w:rsidRPr="00515AA2">
        <w:rPr>
          <w:rFonts w:cs="Arial"/>
        </w:rPr>
        <w:t>para</w:t>
      </w:r>
      <w:r w:rsidR="00DA5DB2" w:rsidRPr="00515AA2">
        <w:rPr>
          <w:rFonts w:cs="Arial"/>
        </w:rPr>
        <w:t>s</w:t>
      </w:r>
      <w:r w:rsidRPr="00515AA2">
        <w:rPr>
          <w:rFonts w:cs="Arial"/>
        </w:rPr>
        <w:t>.</w:t>
      </w:r>
      <w:r w:rsidR="0076197F" w:rsidRPr="00515AA2">
        <w:rPr>
          <w:rFonts w:cs="Arial"/>
        </w:rPr>
        <w:t> </w:t>
      </w:r>
      <w:r w:rsidRPr="00515AA2">
        <w:rPr>
          <w:rFonts w:cs="Arial"/>
        </w:rPr>
        <w:t>276</w:t>
      </w:r>
      <w:r w:rsidR="00DA5DB2" w:rsidRPr="00515AA2">
        <w:rPr>
          <w:rFonts w:cs="Arial"/>
        </w:rPr>
        <w:t>-</w:t>
      </w:r>
      <w:r w:rsidRPr="00515AA2">
        <w:rPr>
          <w:rFonts w:cs="Arial"/>
        </w:rPr>
        <w:t>277.</w:t>
      </w:r>
    </w:p>
  </w:footnote>
  <w:footnote w:id="74">
    <w:p w14:paraId="103ED9FB" w14:textId="0F6BC855" w:rsidR="00FD2FCB" w:rsidRPr="00515AA2" w:rsidRDefault="00FD2FCB" w:rsidP="00FD2FCB">
      <w:pPr>
        <w:pStyle w:val="Notedebasdepage"/>
      </w:pPr>
      <w:r w:rsidRPr="00515AA2">
        <w:rPr>
          <w:rStyle w:val="Appelnotedebasdep"/>
        </w:rPr>
        <w:footnoteRef/>
      </w:r>
      <w:r w:rsidRPr="00515AA2">
        <w:t xml:space="preserve"> </w:t>
      </w:r>
      <w:r w:rsidRPr="00515AA2">
        <w:tab/>
      </w:r>
      <w:r w:rsidR="00DA5DB2" w:rsidRPr="00515AA2">
        <w:rPr>
          <w:rFonts w:cs="Arial"/>
          <w:i/>
          <w:iCs/>
        </w:rPr>
        <w:t>Id.</w:t>
      </w:r>
      <w:r w:rsidR="00DA5DB2" w:rsidRPr="00515AA2">
        <w:rPr>
          <w:rFonts w:cs="Arial"/>
        </w:rPr>
        <w:t xml:space="preserve">, </w:t>
      </w:r>
      <w:r w:rsidRPr="00515AA2">
        <w:t>para</w:t>
      </w:r>
      <w:r w:rsidR="00DA5DB2" w:rsidRPr="00515AA2">
        <w:t>s</w:t>
      </w:r>
      <w:r w:rsidRPr="00515AA2">
        <w:t>.</w:t>
      </w:r>
      <w:r w:rsidR="0076197F" w:rsidRPr="00515AA2">
        <w:t> </w:t>
      </w:r>
      <w:r w:rsidRPr="00515AA2">
        <w:t>27</w:t>
      </w:r>
      <w:r w:rsidR="00F4314F" w:rsidRPr="00515AA2">
        <w:t>9</w:t>
      </w:r>
      <w:r w:rsidRPr="00515AA2">
        <w:t>-2</w:t>
      </w:r>
      <w:r w:rsidR="00F4314F" w:rsidRPr="00515AA2">
        <w:t>81</w:t>
      </w:r>
      <w:r w:rsidRPr="00515AA2">
        <w:t>.</w:t>
      </w:r>
    </w:p>
  </w:footnote>
  <w:footnote w:id="75">
    <w:p w14:paraId="70AF1A0D" w14:textId="270AA78D" w:rsidR="007462BB" w:rsidRPr="00515AA2" w:rsidRDefault="007462BB" w:rsidP="000F58BB">
      <w:pPr>
        <w:pStyle w:val="Notedebasdepage"/>
        <w:rPr>
          <w:rFonts w:cs="Arial"/>
          <w:lang w:val="en-US"/>
        </w:rPr>
      </w:pPr>
      <w:r w:rsidRPr="00515AA2">
        <w:rPr>
          <w:rStyle w:val="Appelnotedebasdep"/>
          <w:rFonts w:cs="Arial"/>
        </w:rPr>
        <w:footnoteRef/>
      </w:r>
      <w:r w:rsidRPr="00515AA2">
        <w:rPr>
          <w:rFonts w:cs="Arial"/>
          <w:lang w:val="en-CA"/>
        </w:rPr>
        <w:t xml:space="preserve"> </w:t>
      </w:r>
      <w:r w:rsidRPr="00515AA2">
        <w:rPr>
          <w:rFonts w:cs="Arial"/>
          <w:lang w:val="en-CA"/>
        </w:rPr>
        <w:tab/>
      </w:r>
      <w:r w:rsidR="00ED7537" w:rsidRPr="00ED7537">
        <w:rPr>
          <w:rFonts w:cs="Arial"/>
          <w:i/>
          <w:iCs/>
          <w:lang w:val="en-CA"/>
        </w:rPr>
        <w:t>Id.</w:t>
      </w:r>
      <w:r w:rsidR="00881AC9" w:rsidRPr="00515AA2">
        <w:rPr>
          <w:rFonts w:cs="Arial"/>
          <w:lang w:val="en-CA"/>
        </w:rPr>
        <w:t xml:space="preserve">, </w:t>
      </w:r>
      <w:r w:rsidRPr="00515AA2">
        <w:rPr>
          <w:rFonts w:cs="Arial"/>
          <w:lang w:val="en-CA"/>
        </w:rPr>
        <w:t xml:space="preserve">para. </w:t>
      </w:r>
      <w:r w:rsidRPr="00515AA2">
        <w:rPr>
          <w:rFonts w:cs="Arial"/>
          <w:lang w:val="en-US"/>
        </w:rPr>
        <w:t>278.</w:t>
      </w:r>
    </w:p>
  </w:footnote>
  <w:footnote w:id="76">
    <w:p w14:paraId="4CC78ED0" w14:textId="14C1D6B8" w:rsidR="007462BB" w:rsidRPr="00515AA2" w:rsidRDefault="007462BB" w:rsidP="000F58BB">
      <w:pPr>
        <w:pStyle w:val="Notedebasdepage"/>
        <w:rPr>
          <w:rFonts w:cs="Arial"/>
          <w:lang w:val="en-US"/>
        </w:rPr>
      </w:pPr>
      <w:r w:rsidRPr="00515AA2">
        <w:rPr>
          <w:rStyle w:val="Appelnotedebasdep"/>
          <w:rFonts w:cs="Arial"/>
        </w:rPr>
        <w:footnoteRef/>
      </w:r>
      <w:r w:rsidRPr="00515AA2">
        <w:rPr>
          <w:rFonts w:cs="Arial"/>
          <w:lang w:val="en-US"/>
        </w:rPr>
        <w:t xml:space="preserve"> </w:t>
      </w:r>
      <w:r w:rsidRPr="00515AA2">
        <w:rPr>
          <w:rFonts w:cs="Arial"/>
          <w:lang w:val="en-US"/>
        </w:rPr>
        <w:tab/>
      </w:r>
      <w:r w:rsidR="00DA5DB2" w:rsidRPr="00515AA2">
        <w:rPr>
          <w:rFonts w:cs="Arial"/>
          <w:i/>
          <w:iCs/>
          <w:lang w:val="en-US"/>
        </w:rPr>
        <w:t>Id.</w:t>
      </w:r>
      <w:r w:rsidR="00DA5DB2" w:rsidRPr="00515AA2">
        <w:rPr>
          <w:rFonts w:cs="Arial"/>
          <w:lang w:val="en-US"/>
        </w:rPr>
        <w:t xml:space="preserve">, at </w:t>
      </w:r>
      <w:r w:rsidRPr="00515AA2">
        <w:rPr>
          <w:rFonts w:cs="Arial"/>
          <w:lang w:val="en-US"/>
        </w:rPr>
        <w:t>para. 284.</w:t>
      </w:r>
    </w:p>
  </w:footnote>
  <w:footnote w:id="77">
    <w:p w14:paraId="5081E3BB" w14:textId="7D889F3C" w:rsidR="00AC48A4" w:rsidRPr="00515AA2" w:rsidRDefault="00AC48A4">
      <w:pPr>
        <w:pStyle w:val="Notedebasdepage"/>
        <w:rPr>
          <w:lang w:val="en-CA"/>
        </w:rPr>
      </w:pPr>
      <w:r w:rsidRPr="00515AA2">
        <w:rPr>
          <w:rStyle w:val="Appelnotedebasdep"/>
        </w:rPr>
        <w:footnoteRef/>
      </w:r>
      <w:r w:rsidRPr="00515AA2">
        <w:rPr>
          <w:lang w:val="en-CA"/>
        </w:rPr>
        <w:t xml:space="preserve"> </w:t>
      </w:r>
      <w:r w:rsidRPr="00515AA2">
        <w:rPr>
          <w:lang w:val="en-CA"/>
        </w:rPr>
        <w:tab/>
      </w:r>
      <w:r w:rsidR="001652EE" w:rsidRPr="00515AA2">
        <w:rPr>
          <w:lang w:val="en-CA"/>
        </w:rPr>
        <w:t xml:space="preserve">Article 62 </w:t>
      </w:r>
      <w:r w:rsidR="001652EE" w:rsidRPr="00515AA2">
        <w:rPr>
          <w:i/>
          <w:iCs/>
          <w:lang w:val="en-CA"/>
        </w:rPr>
        <w:t>C</w:t>
      </w:r>
      <w:r w:rsidR="009D5FF2" w:rsidRPr="00515AA2">
        <w:rPr>
          <w:i/>
          <w:iCs/>
          <w:lang w:val="en-CA"/>
        </w:rPr>
        <w:t>.</w:t>
      </w:r>
      <w:r w:rsidR="001652EE" w:rsidRPr="00515AA2">
        <w:rPr>
          <w:i/>
          <w:iCs/>
          <w:lang w:val="en-CA"/>
        </w:rPr>
        <w:t>C</w:t>
      </w:r>
      <w:r w:rsidR="009D5FF2" w:rsidRPr="00515AA2">
        <w:rPr>
          <w:i/>
          <w:iCs/>
          <w:lang w:val="en-CA"/>
        </w:rPr>
        <w:t>.</w:t>
      </w:r>
      <w:r w:rsidR="001652EE" w:rsidRPr="00515AA2">
        <w:rPr>
          <w:i/>
          <w:iCs/>
          <w:lang w:val="en-CA"/>
        </w:rPr>
        <w:t>Q</w:t>
      </w:r>
      <w:r w:rsidR="009D5FF2" w:rsidRPr="00515AA2">
        <w:rPr>
          <w:i/>
          <w:iCs/>
          <w:lang w:val="en-CA"/>
        </w:rPr>
        <w:t>.</w:t>
      </w:r>
      <w:r w:rsidR="001652EE" w:rsidRPr="00515AA2">
        <w:rPr>
          <w:lang w:val="en-CA"/>
        </w:rPr>
        <w:t xml:space="preserve"> reads as follows:</w:t>
      </w:r>
      <w:r w:rsidRPr="00515AA2">
        <w:rPr>
          <w:lang w:val="en-CA"/>
        </w:rPr>
        <w:tab/>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1652EE" w:rsidRPr="00515AA2" w14:paraId="0C245A0E" w14:textId="77777777" w:rsidTr="00793325">
        <w:tc>
          <w:tcPr>
            <w:tcW w:w="4681" w:type="dxa"/>
            <w:shd w:val="clear" w:color="auto" w:fill="auto"/>
          </w:tcPr>
          <w:p w14:paraId="47770257" w14:textId="77777777" w:rsidR="001652EE" w:rsidRPr="00515AA2" w:rsidRDefault="001652EE" w:rsidP="005E1AB0">
            <w:pPr>
              <w:pStyle w:val="Notedebasdepage"/>
              <w:ind w:right="216" w:hanging="7"/>
              <w:rPr>
                <w:sz w:val="18"/>
                <w:szCs w:val="18"/>
                <w:lang w:val="en-CA"/>
              </w:rPr>
            </w:pPr>
            <w:r w:rsidRPr="00515AA2">
              <w:rPr>
                <w:b/>
                <w:bCs/>
                <w:sz w:val="18"/>
                <w:szCs w:val="18"/>
                <w:lang w:val="en-CA"/>
              </w:rPr>
              <w:t>62.</w:t>
            </w:r>
            <w:r w:rsidRPr="00515AA2">
              <w:rPr>
                <w:sz w:val="18"/>
                <w:szCs w:val="18"/>
                <w:lang w:val="en-CA"/>
              </w:rPr>
              <w:t xml:space="preserve"> Except for a compelling reason, no change of name of a minor child may be granted if, as the case may be, the father and mother or the parents of the minor child as legal tutors, the tutor, if any, or the minor, if 14 years of age or over, have not been notified of the application or if any of those persons object to it.</w:t>
            </w:r>
          </w:p>
          <w:p w14:paraId="3BA1AA7C" w14:textId="77777777" w:rsidR="001652EE" w:rsidRPr="00515AA2" w:rsidRDefault="001652EE" w:rsidP="005E1AB0">
            <w:pPr>
              <w:pStyle w:val="Notedebasdepage"/>
              <w:ind w:left="0" w:right="216" w:firstLine="0"/>
              <w:rPr>
                <w:sz w:val="18"/>
                <w:szCs w:val="18"/>
                <w:lang w:val="en-CA"/>
              </w:rPr>
            </w:pPr>
          </w:p>
          <w:p w14:paraId="577D8ADE" w14:textId="141F8763" w:rsidR="001652EE" w:rsidRPr="00515AA2" w:rsidRDefault="001652EE" w:rsidP="005E1AB0">
            <w:pPr>
              <w:pStyle w:val="Notedebasdepage"/>
              <w:ind w:right="216" w:hanging="4"/>
              <w:rPr>
                <w:sz w:val="18"/>
                <w:szCs w:val="18"/>
                <w:lang w:val="en-CA"/>
              </w:rPr>
            </w:pPr>
            <w:r w:rsidRPr="00515AA2">
              <w:rPr>
                <w:sz w:val="18"/>
                <w:szCs w:val="18"/>
                <w:lang w:val="en-CA"/>
              </w:rPr>
              <w:t>The same applies in the case of an application for the addition to the surname of the minor of a part taken from the surname of the father or mother or of one of the parents, except with respect to the right to object reserved to the tutor of a minor under 14 years of age or to the minor 14 years of age or over.</w:t>
            </w:r>
          </w:p>
        </w:tc>
        <w:tc>
          <w:tcPr>
            <w:tcW w:w="4681" w:type="dxa"/>
            <w:shd w:val="clear" w:color="auto" w:fill="auto"/>
          </w:tcPr>
          <w:p w14:paraId="1E2AE21C" w14:textId="77777777" w:rsidR="001652EE" w:rsidRPr="00515AA2" w:rsidRDefault="001652EE" w:rsidP="005E1AB0">
            <w:pPr>
              <w:pStyle w:val="Notedebasdepage"/>
              <w:ind w:left="209" w:right="646" w:hanging="4"/>
              <w:rPr>
                <w:sz w:val="18"/>
                <w:szCs w:val="18"/>
              </w:rPr>
            </w:pPr>
            <w:r w:rsidRPr="00515AA2">
              <w:rPr>
                <w:b/>
                <w:bCs/>
                <w:sz w:val="18"/>
                <w:szCs w:val="18"/>
              </w:rPr>
              <w:t>62.</w:t>
            </w:r>
            <w:r w:rsidRPr="00515AA2">
              <w:rPr>
                <w:sz w:val="18"/>
                <w:szCs w:val="18"/>
              </w:rPr>
              <w:t> À moins d’un motif impérieux, le changement de nom à l’égard d’un enfant mineur n’est pas accordé si, selon le cas, les père et mère ou les parents de l’enfant mineur à titre de tuteurs légaux, le tuteur, le cas échéant, ou le mineur de 14 ans et plus n’ont pas été avisés de la demande ou si l’une de ces personnes s’y oppose.</w:t>
            </w:r>
          </w:p>
          <w:p w14:paraId="6E3118F9" w14:textId="77777777" w:rsidR="001652EE" w:rsidRPr="00515AA2" w:rsidRDefault="001652EE" w:rsidP="005E1AB0">
            <w:pPr>
              <w:pStyle w:val="Notedebasdepage"/>
              <w:ind w:left="209" w:right="646"/>
              <w:rPr>
                <w:sz w:val="18"/>
                <w:szCs w:val="18"/>
              </w:rPr>
            </w:pPr>
          </w:p>
          <w:p w14:paraId="0AB2E5BE" w14:textId="723FC96E" w:rsidR="001652EE" w:rsidRPr="00515AA2" w:rsidRDefault="001652EE" w:rsidP="005E1AB0">
            <w:pPr>
              <w:pStyle w:val="Notedebasdepage"/>
              <w:ind w:left="209" w:right="646" w:hanging="7"/>
              <w:rPr>
                <w:sz w:val="18"/>
                <w:szCs w:val="18"/>
              </w:rPr>
            </w:pPr>
            <w:r w:rsidRPr="00515AA2">
              <w:rPr>
                <w:sz w:val="18"/>
                <w:szCs w:val="18"/>
              </w:rPr>
              <w:t>Il en est de même lorsque l’on demande l’ajout au nom de famille du mineur d’une partie provenant du nom de famille de son père ou de sa mère ou de l’un de ses parents, sauf en ce qui concerne le droit d’opposition qui est réservé au tuteur du mineur de moins de 14 ans ou au mineur de 14 ans et plus.</w:t>
            </w:r>
          </w:p>
        </w:tc>
      </w:tr>
    </w:tbl>
    <w:p w14:paraId="5B4F5A40" w14:textId="26FCEFA2" w:rsidR="00AC48A4" w:rsidRPr="00515AA2" w:rsidRDefault="00AC48A4">
      <w:pPr>
        <w:pStyle w:val="Notedebasdepage"/>
      </w:pPr>
    </w:p>
  </w:footnote>
  <w:footnote w:id="78">
    <w:p w14:paraId="1EBEA239" w14:textId="7073B8F4" w:rsidR="007462BB" w:rsidRPr="00515AA2" w:rsidRDefault="007462BB" w:rsidP="000F58BB">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bookmarkStart w:id="37" w:name="_Hlk161233244"/>
      <w:r w:rsidR="001652EE" w:rsidRPr="00515AA2">
        <w:rPr>
          <w:rFonts w:cs="Arial"/>
          <w:lang w:val="en-CA"/>
        </w:rPr>
        <w:t xml:space="preserve">Judgment under appeal, </w:t>
      </w:r>
      <w:r w:rsidR="009D5FF2" w:rsidRPr="00515AA2">
        <w:rPr>
          <w:rFonts w:cs="Arial"/>
          <w:i/>
          <w:iCs/>
          <w:lang w:val="en-CA"/>
        </w:rPr>
        <w:t>supra</w:t>
      </w:r>
      <w:r w:rsidR="009D5FF2" w:rsidRPr="00515AA2">
        <w:rPr>
          <w:rFonts w:cs="Arial"/>
          <w:lang w:val="en-CA"/>
        </w:rPr>
        <w:t xml:space="preserve">, </w:t>
      </w:r>
      <w:bookmarkEnd w:id="37"/>
      <w:r w:rsidR="00D05F70" w:rsidRPr="00515AA2">
        <w:rPr>
          <w:rFonts w:cs="Arial"/>
          <w:lang w:val="en-CA"/>
        </w:rPr>
        <w:t xml:space="preserve">note </w:t>
      </w:r>
      <w:r w:rsidR="00D05F70" w:rsidRPr="00515AA2">
        <w:rPr>
          <w:rFonts w:cs="Arial"/>
        </w:rPr>
        <w:fldChar w:fldCharType="begin"/>
      </w:r>
      <w:r w:rsidR="00D05F70" w:rsidRPr="00515AA2">
        <w:rPr>
          <w:rFonts w:cs="Arial"/>
          <w:lang w:val="en-CA"/>
        </w:rPr>
        <w:instrText xml:space="preserve"> NOTEREF _Ref161233644 \h </w:instrText>
      </w:r>
      <w:r w:rsidR="00515AA2" w:rsidRPr="00315449">
        <w:rPr>
          <w:rFonts w:cs="Arial"/>
          <w:lang w:val="en-CA"/>
        </w:rPr>
        <w:instrText xml:space="preserve"> \* MERGEFORMAT </w:instrText>
      </w:r>
      <w:r w:rsidR="00D05F70" w:rsidRPr="00515AA2">
        <w:rPr>
          <w:rFonts w:cs="Arial"/>
        </w:rPr>
      </w:r>
      <w:r w:rsidR="00D05F70" w:rsidRPr="00515AA2">
        <w:rPr>
          <w:rFonts w:cs="Arial"/>
        </w:rPr>
        <w:fldChar w:fldCharType="separate"/>
      </w:r>
      <w:r w:rsidR="00C83535">
        <w:rPr>
          <w:rFonts w:cs="Arial"/>
          <w:lang w:val="en-CA"/>
        </w:rPr>
        <w:t>9</w:t>
      </w:r>
      <w:r w:rsidR="00D05F70" w:rsidRPr="00515AA2">
        <w:rPr>
          <w:rFonts w:cs="Arial"/>
        </w:rPr>
        <w:fldChar w:fldCharType="end"/>
      </w:r>
      <w:r w:rsidR="00D05F70" w:rsidRPr="00515AA2">
        <w:rPr>
          <w:rFonts w:cs="Arial"/>
          <w:lang w:val="en-CA"/>
        </w:rPr>
        <w:t>,</w:t>
      </w:r>
      <w:r w:rsidR="009D5FF2" w:rsidRPr="00515AA2">
        <w:rPr>
          <w:rFonts w:cs="Arial"/>
          <w:lang w:val="en-CA"/>
        </w:rPr>
        <w:t xml:space="preserve"> </w:t>
      </w:r>
      <w:r w:rsidRPr="00515AA2">
        <w:rPr>
          <w:rFonts w:cs="Arial"/>
          <w:lang w:val="en-CA"/>
        </w:rPr>
        <w:t>para.</w:t>
      </w:r>
      <w:r w:rsidR="0076197F" w:rsidRPr="00515AA2">
        <w:rPr>
          <w:rFonts w:cs="Arial"/>
          <w:lang w:val="en-CA"/>
        </w:rPr>
        <w:t> </w:t>
      </w:r>
      <w:r w:rsidRPr="00515AA2">
        <w:rPr>
          <w:rFonts w:cs="Arial"/>
          <w:lang w:val="en-CA"/>
        </w:rPr>
        <w:t>291.</w:t>
      </w:r>
    </w:p>
  </w:footnote>
  <w:footnote w:id="79">
    <w:p w14:paraId="12622453" w14:textId="374F7830" w:rsidR="007462BB" w:rsidRPr="00515AA2" w:rsidRDefault="007462BB" w:rsidP="000F58BB">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1652EE" w:rsidRPr="00515AA2">
        <w:rPr>
          <w:rFonts w:cs="Arial"/>
          <w:i/>
          <w:iCs/>
          <w:lang w:val="en-CA"/>
        </w:rPr>
        <w:t xml:space="preserve">Id., </w:t>
      </w:r>
      <w:r w:rsidRPr="00515AA2">
        <w:rPr>
          <w:rFonts w:cs="Arial"/>
          <w:lang w:val="en-CA"/>
        </w:rPr>
        <w:t>para</w:t>
      </w:r>
      <w:r w:rsidR="001652EE" w:rsidRPr="00515AA2">
        <w:rPr>
          <w:rFonts w:cs="Arial"/>
          <w:lang w:val="en-CA"/>
        </w:rPr>
        <w:t>s</w:t>
      </w:r>
      <w:r w:rsidRPr="00515AA2">
        <w:rPr>
          <w:rFonts w:cs="Arial"/>
          <w:lang w:val="en-CA"/>
        </w:rPr>
        <w:t>.</w:t>
      </w:r>
      <w:r w:rsidR="0076197F" w:rsidRPr="00515AA2">
        <w:rPr>
          <w:rFonts w:cs="Arial"/>
          <w:lang w:val="en-CA"/>
        </w:rPr>
        <w:t> </w:t>
      </w:r>
      <w:r w:rsidRPr="00515AA2">
        <w:rPr>
          <w:rFonts w:cs="Arial"/>
          <w:lang w:val="en-CA"/>
        </w:rPr>
        <w:t>298-306.</w:t>
      </w:r>
    </w:p>
  </w:footnote>
  <w:footnote w:id="80">
    <w:p w14:paraId="5A183FCB" w14:textId="35E26941" w:rsidR="007462BB" w:rsidRPr="00515AA2" w:rsidRDefault="007462BB" w:rsidP="001927BB">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ED7537" w:rsidRPr="00ED7537">
        <w:rPr>
          <w:rFonts w:cs="Arial"/>
          <w:i/>
          <w:iCs/>
          <w:lang w:val="en-CA"/>
        </w:rPr>
        <w:t>Id.</w:t>
      </w:r>
      <w:r w:rsidR="00D05F70" w:rsidRPr="00515AA2">
        <w:rPr>
          <w:rFonts w:cs="Arial"/>
          <w:lang w:val="en-CA"/>
        </w:rPr>
        <w:t xml:space="preserve">, </w:t>
      </w:r>
      <w:r w:rsidRPr="00515AA2">
        <w:rPr>
          <w:rFonts w:cs="Arial"/>
          <w:lang w:val="en-CA"/>
        </w:rPr>
        <w:t>para.</w:t>
      </w:r>
      <w:r w:rsidR="0076197F" w:rsidRPr="00515AA2">
        <w:rPr>
          <w:rFonts w:cs="Arial"/>
          <w:lang w:val="en-CA"/>
        </w:rPr>
        <w:t> </w:t>
      </w:r>
      <w:r w:rsidRPr="00515AA2">
        <w:rPr>
          <w:rFonts w:cs="Arial"/>
          <w:lang w:val="en-CA"/>
        </w:rPr>
        <w:t>309.</w:t>
      </w:r>
    </w:p>
  </w:footnote>
  <w:footnote w:id="81">
    <w:p w14:paraId="73898310" w14:textId="6A546C01" w:rsidR="00952737" w:rsidRPr="00515AA2" w:rsidRDefault="00952737">
      <w:pPr>
        <w:pStyle w:val="Notedebasdepage"/>
        <w:rPr>
          <w:lang w:val="en-CA"/>
        </w:rPr>
      </w:pPr>
      <w:r w:rsidRPr="00515AA2">
        <w:rPr>
          <w:rStyle w:val="Appelnotedebasdep"/>
        </w:rPr>
        <w:footnoteRef/>
      </w:r>
      <w:r w:rsidRPr="00515AA2">
        <w:rPr>
          <w:lang w:val="en-CA"/>
        </w:rPr>
        <w:t xml:space="preserve"> </w:t>
      </w:r>
      <w:r w:rsidRPr="00515AA2">
        <w:rPr>
          <w:lang w:val="en-CA"/>
        </w:rPr>
        <w:tab/>
      </w:r>
      <w:r w:rsidR="00A74164" w:rsidRPr="00515AA2">
        <w:rPr>
          <w:lang w:val="en-CA"/>
        </w:rPr>
        <w:t xml:space="preserve">In the case of a minor under the age of 14, the </w:t>
      </w:r>
      <w:r w:rsidR="0098455B" w:rsidRPr="00515AA2">
        <w:rPr>
          <w:lang w:val="en-CA"/>
        </w:rPr>
        <w:t>application</w:t>
      </w:r>
      <w:r w:rsidR="00A74164" w:rsidRPr="00515AA2">
        <w:rPr>
          <w:lang w:val="en-CA"/>
        </w:rPr>
        <w:t xml:space="preserve"> is made by their tutor and the tutor must provide the affidavit</w:t>
      </w:r>
      <w:r w:rsidRPr="00515AA2">
        <w:rPr>
          <w:lang w:val="en-CA"/>
        </w:rPr>
        <w:t>.</w:t>
      </w:r>
    </w:p>
  </w:footnote>
  <w:footnote w:id="82">
    <w:p w14:paraId="793301FA" w14:textId="55B2C149" w:rsidR="00052535" w:rsidRPr="00515AA2" w:rsidRDefault="00052535">
      <w:pPr>
        <w:pStyle w:val="Notedebasdepage"/>
      </w:pPr>
      <w:r w:rsidRPr="00515AA2">
        <w:rPr>
          <w:rStyle w:val="Appelnotedebasdep"/>
        </w:rPr>
        <w:footnoteRef/>
      </w:r>
      <w:r w:rsidRPr="00515AA2">
        <w:t xml:space="preserve"> </w:t>
      </w:r>
      <w:r w:rsidRPr="00515AA2">
        <w:tab/>
      </w:r>
      <w:r w:rsidR="00A74164" w:rsidRPr="00515AA2">
        <w:t xml:space="preserve">Judgment under appeal, </w:t>
      </w:r>
      <w:r w:rsidR="00A2283C" w:rsidRPr="00515AA2">
        <w:rPr>
          <w:i/>
          <w:iCs/>
        </w:rPr>
        <w:t>supra</w:t>
      </w:r>
      <w:r w:rsidR="00A2283C" w:rsidRPr="00515AA2">
        <w:t xml:space="preserve">, </w:t>
      </w:r>
      <w:r w:rsidR="00D05F70" w:rsidRPr="00515AA2">
        <w:rPr>
          <w:rFonts w:cs="Arial"/>
        </w:rPr>
        <w:t xml:space="preserve">note </w:t>
      </w:r>
      <w:r w:rsidR="00D05F70" w:rsidRPr="00515AA2">
        <w:rPr>
          <w:rFonts w:cs="Arial"/>
        </w:rPr>
        <w:fldChar w:fldCharType="begin"/>
      </w:r>
      <w:r w:rsidR="00D05F70" w:rsidRPr="00515AA2">
        <w:rPr>
          <w:rFonts w:cs="Arial"/>
        </w:rPr>
        <w:instrText xml:space="preserve"> NOTEREF _Ref161233644 \h </w:instrText>
      </w:r>
      <w:r w:rsidR="00515AA2">
        <w:rPr>
          <w:rFonts w:cs="Arial"/>
        </w:rPr>
        <w:instrText xml:space="preserve"> \* MERGEFORMAT </w:instrText>
      </w:r>
      <w:r w:rsidR="00D05F70" w:rsidRPr="00515AA2">
        <w:rPr>
          <w:rFonts w:cs="Arial"/>
        </w:rPr>
      </w:r>
      <w:r w:rsidR="00D05F70" w:rsidRPr="00515AA2">
        <w:rPr>
          <w:rFonts w:cs="Arial"/>
        </w:rPr>
        <w:fldChar w:fldCharType="separate"/>
      </w:r>
      <w:r w:rsidR="00C83535">
        <w:rPr>
          <w:rFonts w:cs="Arial"/>
        </w:rPr>
        <w:t>9</w:t>
      </w:r>
      <w:r w:rsidR="00D05F70" w:rsidRPr="00515AA2">
        <w:rPr>
          <w:rFonts w:cs="Arial"/>
        </w:rPr>
        <w:fldChar w:fldCharType="end"/>
      </w:r>
      <w:r w:rsidR="00D05F70" w:rsidRPr="00515AA2">
        <w:rPr>
          <w:rFonts w:cs="Arial"/>
        </w:rPr>
        <w:t xml:space="preserve">, </w:t>
      </w:r>
      <w:r w:rsidR="00A2283C" w:rsidRPr="00515AA2">
        <w:t>p</w:t>
      </w:r>
      <w:r w:rsidR="00A74164" w:rsidRPr="00515AA2">
        <w:t>aras. 256-257</w:t>
      </w:r>
      <w:r w:rsidRPr="00515AA2">
        <w:t>.</w:t>
      </w:r>
    </w:p>
  </w:footnote>
  <w:footnote w:id="83">
    <w:p w14:paraId="4F3BDEF0" w14:textId="3DE48B53" w:rsidR="00016EAA" w:rsidRPr="00515AA2" w:rsidRDefault="00016EAA" w:rsidP="00016EAA">
      <w:pPr>
        <w:pStyle w:val="Notedebasdepage"/>
      </w:pPr>
      <w:r w:rsidRPr="00515AA2">
        <w:rPr>
          <w:rStyle w:val="Appelnotedebasdep"/>
        </w:rPr>
        <w:footnoteRef/>
      </w:r>
      <w:r w:rsidRPr="00515AA2">
        <w:t xml:space="preserve"> </w:t>
      </w:r>
      <w:r w:rsidRPr="00515AA2">
        <w:tab/>
        <w:t>Benoît Moore</w:t>
      </w:r>
      <w:r w:rsidR="00621F57" w:rsidRPr="00515AA2">
        <w:t>,</w:t>
      </w:r>
      <w:r w:rsidRPr="00515AA2">
        <w:t xml:space="preserve"> </w:t>
      </w:r>
      <w:r w:rsidRPr="00515AA2">
        <w:rPr>
          <w:i/>
        </w:rPr>
        <w:t>Le droit de la famille et les minorités</w:t>
      </w:r>
      <w:r w:rsidR="00ED6E21" w:rsidRPr="00515AA2">
        <w:rPr>
          <w:kern w:val="28"/>
        </w:rPr>
        <w:t>,</w:t>
      </w:r>
      <w:r w:rsidRPr="00515AA2">
        <w:t xml:space="preserve"> (2003) 34 R.D.U.S.229, </w:t>
      </w:r>
      <w:r w:rsidR="004434E9" w:rsidRPr="00515AA2">
        <w:rPr>
          <w:i/>
          <w:iCs/>
        </w:rPr>
        <w:t>supra</w:t>
      </w:r>
      <w:r w:rsidR="004434E9" w:rsidRPr="00515AA2">
        <w:t>,</w:t>
      </w:r>
      <w:r w:rsidR="00A74164" w:rsidRPr="00515AA2">
        <w:t xml:space="preserve"> note </w:t>
      </w:r>
      <w:r w:rsidR="00A74164" w:rsidRPr="00515AA2">
        <w:fldChar w:fldCharType="begin"/>
      </w:r>
      <w:r w:rsidR="00A74164" w:rsidRPr="00515AA2">
        <w:instrText xml:space="preserve"> NOTEREF _Ref157504076 \h </w:instrText>
      </w:r>
      <w:r w:rsidR="00FB3810" w:rsidRPr="00515AA2">
        <w:instrText xml:space="preserve"> \* MERGEFORMAT </w:instrText>
      </w:r>
      <w:r w:rsidR="00A74164" w:rsidRPr="00515AA2">
        <w:fldChar w:fldCharType="separate"/>
      </w:r>
      <w:r w:rsidR="00C83535">
        <w:t>21</w:t>
      </w:r>
      <w:r w:rsidR="00A74164" w:rsidRPr="00515AA2">
        <w:fldChar w:fldCharType="end"/>
      </w:r>
      <w:r w:rsidR="00A74164" w:rsidRPr="00515AA2">
        <w:t xml:space="preserve">, at </w:t>
      </w:r>
      <w:r w:rsidRPr="00515AA2">
        <w:t>p. 257.</w:t>
      </w:r>
    </w:p>
  </w:footnote>
  <w:footnote w:id="84">
    <w:p w14:paraId="57A74BC1" w14:textId="2C628A44" w:rsidR="00450F55" w:rsidRPr="00515AA2" w:rsidRDefault="00450F55" w:rsidP="00450F55">
      <w:pPr>
        <w:pStyle w:val="Notedebasdepage"/>
        <w:rPr>
          <w:lang w:val="en-CA"/>
        </w:rPr>
      </w:pPr>
      <w:r w:rsidRPr="00515AA2">
        <w:rPr>
          <w:rStyle w:val="Appelnotedebasdep"/>
        </w:rPr>
        <w:footnoteRef/>
      </w:r>
      <w:r w:rsidRPr="00515AA2">
        <w:rPr>
          <w:lang w:val="en-CA"/>
        </w:rPr>
        <w:t xml:space="preserve"> </w:t>
      </w:r>
      <w:r w:rsidRPr="00515AA2">
        <w:rPr>
          <w:lang w:val="en-CA"/>
        </w:rPr>
        <w:tab/>
      </w:r>
      <w:r w:rsidR="00A74164" w:rsidRPr="00515AA2">
        <w:rPr>
          <w:lang w:val="en-CA"/>
        </w:rPr>
        <w:t xml:space="preserve">It should be recalled that this amendment only came into force on October 1, </w:t>
      </w:r>
      <w:r w:rsidR="00A74164" w:rsidRPr="00515AA2">
        <w:rPr>
          <w:kern w:val="28"/>
          <w:lang w:val="en-CA"/>
        </w:rPr>
        <w:t>2015</w:t>
      </w:r>
      <w:r w:rsidRPr="00515AA2">
        <w:rPr>
          <w:kern w:val="28"/>
          <w:lang w:val="en-CA"/>
        </w:rPr>
        <w:t>.</w:t>
      </w:r>
    </w:p>
  </w:footnote>
  <w:footnote w:id="85">
    <w:p w14:paraId="336C495F" w14:textId="468865E0" w:rsidR="00952737" w:rsidRPr="00515AA2" w:rsidRDefault="00952737" w:rsidP="008435D9">
      <w:pPr>
        <w:pStyle w:val="Notedebasdepage"/>
        <w:rPr>
          <w:lang w:val="en-CA"/>
        </w:rPr>
      </w:pPr>
      <w:r w:rsidRPr="00515AA2">
        <w:rPr>
          <w:rStyle w:val="Appelnotedebasdep"/>
        </w:rPr>
        <w:footnoteRef/>
      </w:r>
      <w:r w:rsidRPr="00515AA2">
        <w:rPr>
          <w:lang w:val="en-CA"/>
        </w:rPr>
        <w:t xml:space="preserve"> </w:t>
      </w:r>
      <w:r w:rsidRPr="00515AA2">
        <w:rPr>
          <w:lang w:val="en-CA"/>
        </w:rPr>
        <w:tab/>
      </w:r>
      <w:r w:rsidR="00A74164" w:rsidRPr="00515AA2">
        <w:rPr>
          <w:lang w:val="en-CA"/>
        </w:rPr>
        <w:t xml:space="preserve">National Assembly, Committee on Citizen Relations, </w:t>
      </w:r>
      <w:r w:rsidR="00A74164" w:rsidRPr="00515AA2">
        <w:rPr>
          <w:i/>
          <w:iCs/>
          <w:lang w:val="en-CA"/>
        </w:rPr>
        <w:t>Journal des débats</w:t>
      </w:r>
      <w:r w:rsidR="00A74164" w:rsidRPr="00515AA2">
        <w:rPr>
          <w:lang w:val="en-CA"/>
        </w:rPr>
        <w:t xml:space="preserve">, 41st Leg., 1st sess., vol. 44 No 59, 7 June 2016, 10:20 (S. Vallée); National Assembly, Committee on Institutions, </w:t>
      </w:r>
      <w:r w:rsidR="00A74164" w:rsidRPr="00515AA2">
        <w:rPr>
          <w:i/>
          <w:iCs/>
          <w:lang w:val="en-CA"/>
        </w:rPr>
        <w:t>Journal des débats</w:t>
      </w:r>
      <w:r w:rsidR="00A74164" w:rsidRPr="00515AA2">
        <w:rPr>
          <w:lang w:val="en-CA"/>
        </w:rPr>
        <w:t>, 40th Leg., 1st sess., vol. 43 No 96, 26 November 2013, 21:04 (G. Ouimet)</w:t>
      </w:r>
      <w:r w:rsidR="008435D9" w:rsidRPr="00515AA2">
        <w:rPr>
          <w:lang w:val="en-CA"/>
        </w:rPr>
        <w:t>.</w:t>
      </w:r>
    </w:p>
  </w:footnote>
  <w:footnote w:id="86">
    <w:p w14:paraId="4F9B37EA" w14:textId="3ADB7A5F" w:rsidR="00450F55" w:rsidRPr="00515AA2" w:rsidRDefault="00450F55">
      <w:pPr>
        <w:pStyle w:val="Notedebasdepage"/>
        <w:rPr>
          <w:lang w:val="en-CA"/>
        </w:rPr>
      </w:pPr>
      <w:r w:rsidRPr="00515AA2">
        <w:rPr>
          <w:rStyle w:val="Appelnotedebasdep"/>
        </w:rPr>
        <w:footnoteRef/>
      </w:r>
      <w:r w:rsidRPr="00515AA2">
        <w:rPr>
          <w:lang w:val="en-CA"/>
        </w:rPr>
        <w:t xml:space="preserve"> </w:t>
      </w:r>
      <w:r w:rsidRPr="00515AA2">
        <w:rPr>
          <w:lang w:val="en-CA"/>
        </w:rPr>
        <w:tab/>
      </w:r>
      <w:bookmarkStart w:id="54" w:name="_Hlk157504000"/>
      <w:r w:rsidR="00A74164" w:rsidRPr="00515AA2">
        <w:rPr>
          <w:lang w:val="en-CA"/>
        </w:rPr>
        <w:t xml:space="preserve">Judgment under appeal, </w:t>
      </w:r>
      <w:r w:rsidR="004434E9" w:rsidRPr="00515AA2">
        <w:rPr>
          <w:i/>
          <w:iCs/>
          <w:lang w:val="en-CA"/>
        </w:rPr>
        <w:t>supra</w:t>
      </w:r>
      <w:r w:rsidR="004434E9" w:rsidRPr="00515AA2">
        <w:rPr>
          <w:lang w:val="en-CA"/>
        </w:rPr>
        <w:t xml:space="preserve">, </w:t>
      </w:r>
      <w:r w:rsidR="006032A8" w:rsidRPr="00515AA2">
        <w:rPr>
          <w:rFonts w:cs="Arial"/>
          <w:lang w:val="en-CA"/>
        </w:rPr>
        <w:t xml:space="preserve">note </w:t>
      </w:r>
      <w:r w:rsidR="006032A8" w:rsidRPr="00515AA2">
        <w:rPr>
          <w:rFonts w:cs="Arial"/>
        </w:rPr>
        <w:fldChar w:fldCharType="begin"/>
      </w:r>
      <w:r w:rsidR="006032A8" w:rsidRPr="00515AA2">
        <w:rPr>
          <w:rFonts w:cs="Arial"/>
          <w:lang w:val="en-CA"/>
        </w:rPr>
        <w:instrText xml:space="preserve"> NOTEREF _Ref161233644 \h </w:instrText>
      </w:r>
      <w:r w:rsidR="00515AA2" w:rsidRPr="00315449">
        <w:rPr>
          <w:rFonts w:cs="Arial"/>
          <w:lang w:val="en-CA"/>
        </w:rPr>
        <w:instrText xml:space="preserve"> \* MERGEFORMAT </w:instrText>
      </w:r>
      <w:r w:rsidR="006032A8" w:rsidRPr="00515AA2">
        <w:rPr>
          <w:rFonts w:cs="Arial"/>
        </w:rPr>
      </w:r>
      <w:r w:rsidR="006032A8" w:rsidRPr="00515AA2">
        <w:rPr>
          <w:rFonts w:cs="Arial"/>
        </w:rPr>
        <w:fldChar w:fldCharType="separate"/>
      </w:r>
      <w:r w:rsidR="00C83535">
        <w:rPr>
          <w:rFonts w:cs="Arial"/>
          <w:lang w:val="en-CA"/>
        </w:rPr>
        <w:t>9</w:t>
      </w:r>
      <w:r w:rsidR="006032A8" w:rsidRPr="00515AA2">
        <w:rPr>
          <w:rFonts w:cs="Arial"/>
        </w:rPr>
        <w:fldChar w:fldCharType="end"/>
      </w:r>
      <w:r w:rsidR="006032A8" w:rsidRPr="00515AA2">
        <w:rPr>
          <w:rFonts w:cs="Arial"/>
          <w:lang w:val="en-CA"/>
        </w:rPr>
        <w:t xml:space="preserve">, </w:t>
      </w:r>
      <w:r w:rsidR="00A74164" w:rsidRPr="00515AA2">
        <w:rPr>
          <w:lang w:val="en-CA"/>
        </w:rPr>
        <w:t>para. 268</w:t>
      </w:r>
      <w:bookmarkEnd w:id="54"/>
      <w:r w:rsidRPr="00515AA2">
        <w:rPr>
          <w:lang w:val="en-CA"/>
        </w:rPr>
        <w:t>.</w:t>
      </w:r>
    </w:p>
  </w:footnote>
  <w:footnote w:id="87">
    <w:p w14:paraId="46E47634" w14:textId="3C7ACECF"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00A74164" w:rsidRPr="00515AA2">
        <w:rPr>
          <w:lang w:val="en-CA"/>
        </w:rPr>
        <w:t xml:space="preserve">Judgment under appeal, </w:t>
      </w:r>
      <w:r w:rsidR="004434E9" w:rsidRPr="00515AA2">
        <w:rPr>
          <w:i/>
          <w:iCs/>
          <w:lang w:val="en-CA"/>
        </w:rPr>
        <w:t>supra</w:t>
      </w:r>
      <w:r w:rsidR="004434E9" w:rsidRPr="00515AA2">
        <w:rPr>
          <w:lang w:val="en-CA"/>
        </w:rPr>
        <w:t xml:space="preserve">, </w:t>
      </w:r>
      <w:r w:rsidR="00B00CFE" w:rsidRPr="00515AA2">
        <w:rPr>
          <w:rFonts w:cs="Arial"/>
          <w:lang w:val="en-CA"/>
        </w:rPr>
        <w:t xml:space="preserve">note </w:t>
      </w:r>
      <w:r w:rsidR="00B00CFE" w:rsidRPr="00515AA2">
        <w:rPr>
          <w:rFonts w:cs="Arial"/>
        </w:rPr>
        <w:fldChar w:fldCharType="begin"/>
      </w:r>
      <w:r w:rsidR="00B00CFE" w:rsidRPr="00515AA2">
        <w:rPr>
          <w:rFonts w:cs="Arial"/>
          <w:lang w:val="en-CA"/>
        </w:rPr>
        <w:instrText xml:space="preserve"> NOTEREF _Ref161233644 \h </w:instrText>
      </w:r>
      <w:r w:rsidR="00515AA2" w:rsidRPr="00315449">
        <w:rPr>
          <w:rFonts w:cs="Arial"/>
          <w:lang w:val="en-CA"/>
        </w:rPr>
        <w:instrText xml:space="preserve"> \* MERGEFORMAT </w:instrText>
      </w:r>
      <w:r w:rsidR="00B00CFE" w:rsidRPr="00515AA2">
        <w:rPr>
          <w:rFonts w:cs="Arial"/>
        </w:rPr>
      </w:r>
      <w:r w:rsidR="00B00CFE" w:rsidRPr="00515AA2">
        <w:rPr>
          <w:rFonts w:cs="Arial"/>
        </w:rPr>
        <w:fldChar w:fldCharType="separate"/>
      </w:r>
      <w:r w:rsidR="00C83535">
        <w:rPr>
          <w:rFonts w:cs="Arial"/>
          <w:lang w:val="en-CA"/>
        </w:rPr>
        <w:t>9</w:t>
      </w:r>
      <w:r w:rsidR="00B00CFE" w:rsidRPr="00515AA2">
        <w:rPr>
          <w:rFonts w:cs="Arial"/>
        </w:rPr>
        <w:fldChar w:fldCharType="end"/>
      </w:r>
      <w:r w:rsidR="00B00CFE" w:rsidRPr="00515AA2">
        <w:rPr>
          <w:rFonts w:cs="Arial"/>
          <w:lang w:val="en-CA"/>
        </w:rPr>
        <w:t xml:space="preserve">, </w:t>
      </w:r>
      <w:r w:rsidR="00A74164" w:rsidRPr="00515AA2">
        <w:rPr>
          <w:lang w:val="en-CA"/>
        </w:rPr>
        <w:t>para. 259</w:t>
      </w:r>
      <w:r w:rsidR="008B32FD" w:rsidRPr="00515AA2">
        <w:rPr>
          <w:lang w:val="en-CA"/>
        </w:rPr>
        <w:t>.</w:t>
      </w:r>
    </w:p>
  </w:footnote>
  <w:footnote w:id="88">
    <w:p w14:paraId="45977AA3" w14:textId="5CDC30EA"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00A74164" w:rsidRPr="00515AA2">
        <w:rPr>
          <w:i/>
          <w:iCs/>
          <w:lang w:val="en-CA"/>
        </w:rPr>
        <w:t>Id.</w:t>
      </w:r>
      <w:r w:rsidR="00A74164" w:rsidRPr="00515AA2">
        <w:rPr>
          <w:lang w:val="en-CA"/>
        </w:rPr>
        <w:t>, para. 277</w:t>
      </w:r>
      <w:r w:rsidRPr="00515AA2">
        <w:rPr>
          <w:lang w:val="en-CA"/>
        </w:rPr>
        <w:t>.</w:t>
      </w:r>
    </w:p>
  </w:footnote>
  <w:footnote w:id="89">
    <w:p w14:paraId="37856485" w14:textId="064D5FB9" w:rsidR="00120EAC" w:rsidRPr="00515AA2" w:rsidRDefault="00120EAC">
      <w:pPr>
        <w:pStyle w:val="Notedebasdepage"/>
        <w:rPr>
          <w:lang w:val="en-CA"/>
        </w:rPr>
      </w:pPr>
      <w:r w:rsidRPr="00515AA2">
        <w:rPr>
          <w:rStyle w:val="Appelnotedebasdep"/>
        </w:rPr>
        <w:footnoteRef/>
      </w:r>
      <w:r w:rsidRPr="00515AA2">
        <w:rPr>
          <w:lang w:val="en-CA"/>
        </w:rPr>
        <w:t xml:space="preserve"> </w:t>
      </w:r>
      <w:r w:rsidRPr="00515AA2">
        <w:rPr>
          <w:lang w:val="en-CA"/>
        </w:rPr>
        <w:tab/>
      </w:r>
      <w:r w:rsidR="00A74164" w:rsidRPr="00515AA2">
        <w:rPr>
          <w:i/>
          <w:iCs/>
          <w:lang w:val="en-CA"/>
        </w:rPr>
        <w:t>Id</w:t>
      </w:r>
      <w:r w:rsidR="00A74164" w:rsidRPr="00515AA2">
        <w:rPr>
          <w:lang w:val="en-CA"/>
        </w:rPr>
        <w:t>., para.</w:t>
      </w:r>
      <w:r w:rsidR="0076197F" w:rsidRPr="00515AA2">
        <w:rPr>
          <w:lang w:val="en-CA"/>
        </w:rPr>
        <w:t> </w:t>
      </w:r>
      <w:r w:rsidRPr="00515AA2">
        <w:rPr>
          <w:lang w:val="en-CA"/>
        </w:rPr>
        <w:t>262.</w:t>
      </w:r>
    </w:p>
  </w:footnote>
  <w:footnote w:id="90">
    <w:p w14:paraId="0D512773" w14:textId="72D9E734" w:rsidR="00906A83" w:rsidRPr="00515AA2" w:rsidRDefault="00906A83" w:rsidP="00F92755">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i/>
          <w:iCs/>
          <w:lang w:val="en-CA"/>
        </w:rPr>
        <w:t>Canada (Minister of Citizenship and Immigration) v. Vavilov</w:t>
      </w:r>
      <w:r w:rsidR="00CE7E9E" w:rsidRPr="00515AA2">
        <w:rPr>
          <w:lang w:val="en-CA"/>
        </w:rPr>
        <w:t>, 2019 SCC 65, para. 57</w:t>
      </w:r>
      <w:r w:rsidR="00E70ABE" w:rsidRPr="00515AA2">
        <w:rPr>
          <w:lang w:val="en-CA"/>
        </w:rPr>
        <w:t>.</w:t>
      </w:r>
    </w:p>
  </w:footnote>
  <w:footnote w:id="91">
    <w:p w14:paraId="30340B5B" w14:textId="0AF4DC7E"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rFonts w:cs="Arial"/>
          <w:i/>
          <w:iCs/>
          <w:lang w:val="en-CA"/>
        </w:rPr>
        <w:t>Andrews v. Law Society of British Columbia</w:t>
      </w:r>
      <w:r w:rsidR="00CE7E9E" w:rsidRPr="00515AA2">
        <w:rPr>
          <w:rFonts w:cs="Arial"/>
          <w:lang w:val="en-CA"/>
        </w:rPr>
        <w:t>, 1989 CanLII 2, [1989] 1 S.C.R. 143</w:t>
      </w:r>
      <w:r w:rsidR="00C409C5" w:rsidRPr="00515AA2">
        <w:rPr>
          <w:rFonts w:cs="Arial"/>
          <w:lang w:val="en-CA"/>
        </w:rPr>
        <w:t>,</w:t>
      </w:r>
      <w:r w:rsidR="00E40E14" w:rsidRPr="00515AA2">
        <w:rPr>
          <w:rFonts w:cs="Arial"/>
          <w:lang w:val="en-CA"/>
        </w:rPr>
        <w:t xml:space="preserve"> </w:t>
      </w:r>
      <w:r w:rsidR="00CE7E9E" w:rsidRPr="00515AA2">
        <w:rPr>
          <w:rFonts w:cs="Arial"/>
          <w:lang w:val="en-CA"/>
        </w:rPr>
        <w:t xml:space="preserve">p. 171. This conception of the right to equality has been echoed recently in the jurisprudence of the Supreme Court: </w:t>
      </w:r>
      <w:r w:rsidR="00CE7E9E" w:rsidRPr="00515AA2">
        <w:rPr>
          <w:rFonts w:cs="Arial"/>
          <w:i/>
          <w:iCs/>
          <w:lang w:val="en-CA"/>
        </w:rPr>
        <w:t>Ontario (Attorney General) v. G</w:t>
      </w:r>
      <w:r w:rsidR="00CE7E9E" w:rsidRPr="00515AA2">
        <w:rPr>
          <w:rFonts w:cs="Arial"/>
          <w:lang w:val="en-CA"/>
        </w:rPr>
        <w:t>, 2020 SCC 38</w:t>
      </w:r>
      <w:r w:rsidR="00C409C5" w:rsidRPr="00515AA2">
        <w:rPr>
          <w:rFonts w:cs="Arial"/>
          <w:lang w:val="en-CA"/>
        </w:rPr>
        <w:t xml:space="preserve">, </w:t>
      </w:r>
      <w:r w:rsidR="00CE7E9E" w:rsidRPr="00515AA2">
        <w:rPr>
          <w:rFonts w:cs="Arial"/>
          <w:lang w:val="en-CA"/>
        </w:rPr>
        <w:t xml:space="preserve">paras. 44ff.; </w:t>
      </w:r>
      <w:r w:rsidR="00CE7E9E" w:rsidRPr="00515AA2">
        <w:rPr>
          <w:rFonts w:cs="Arial"/>
          <w:i/>
          <w:iCs/>
          <w:lang w:val="en-CA"/>
        </w:rPr>
        <w:t>Fraser v. Canada (Attorney General)</w:t>
      </w:r>
      <w:r w:rsidR="00CE7E9E" w:rsidRPr="00515AA2">
        <w:rPr>
          <w:rFonts w:cs="Arial"/>
          <w:lang w:val="en-CA"/>
        </w:rPr>
        <w:t>, 2020 SCC 28</w:t>
      </w:r>
      <w:r w:rsidR="00C409C5" w:rsidRPr="00515AA2">
        <w:rPr>
          <w:rFonts w:cs="Arial"/>
          <w:lang w:val="en-CA"/>
        </w:rPr>
        <w:t xml:space="preserve">, </w:t>
      </w:r>
      <w:r w:rsidR="00CE7E9E" w:rsidRPr="00515AA2">
        <w:rPr>
          <w:rFonts w:cs="Arial"/>
          <w:lang w:val="en-CA"/>
        </w:rPr>
        <w:t xml:space="preserve">paras. 40ff.; </w:t>
      </w:r>
      <w:r w:rsidR="00CE7E9E" w:rsidRPr="00515AA2">
        <w:rPr>
          <w:rFonts w:cs="Arial"/>
          <w:i/>
          <w:iCs/>
          <w:lang w:val="en-CA"/>
        </w:rPr>
        <w:t>R</w:t>
      </w:r>
      <w:r w:rsidR="00CE7E9E" w:rsidRPr="00515AA2">
        <w:rPr>
          <w:rFonts w:cs="Arial"/>
          <w:lang w:val="en-CA"/>
        </w:rPr>
        <w:t xml:space="preserve">. </w:t>
      </w:r>
      <w:r w:rsidR="00CE7E9E" w:rsidRPr="00515AA2">
        <w:rPr>
          <w:rFonts w:cs="Arial"/>
          <w:i/>
          <w:iCs/>
          <w:lang w:val="en-CA"/>
        </w:rPr>
        <w:t>v. Kapp</w:t>
      </w:r>
      <w:r w:rsidR="00CE7E9E" w:rsidRPr="00515AA2">
        <w:rPr>
          <w:rFonts w:cs="Arial"/>
          <w:lang w:val="en-CA"/>
        </w:rPr>
        <w:t xml:space="preserve">, 2008 SCC 41, para. 15; </w:t>
      </w:r>
      <w:r w:rsidR="00CE7E9E" w:rsidRPr="00515AA2">
        <w:rPr>
          <w:rFonts w:cs="Arial"/>
          <w:i/>
          <w:iCs/>
          <w:lang w:val="en-CA"/>
        </w:rPr>
        <w:t>Law c. Canada (Minister of Employment and Immigration)</w:t>
      </w:r>
      <w:r w:rsidR="00CE7E9E" w:rsidRPr="00515AA2">
        <w:rPr>
          <w:rFonts w:cs="Arial"/>
          <w:lang w:val="en-CA"/>
        </w:rPr>
        <w:t>, 1999 CanLII 675, [1999] 1 S.C.R. 497</w:t>
      </w:r>
      <w:r w:rsidR="00C409C5" w:rsidRPr="00515AA2">
        <w:rPr>
          <w:rFonts w:cs="Arial"/>
          <w:lang w:val="en-CA"/>
        </w:rPr>
        <w:t>,</w:t>
      </w:r>
      <w:r w:rsidR="00CE7E9E" w:rsidRPr="00515AA2">
        <w:rPr>
          <w:rFonts w:cs="Arial"/>
          <w:lang w:val="en-CA"/>
        </w:rPr>
        <w:t xml:space="preserve"> p. 529</w:t>
      </w:r>
      <w:r w:rsidRPr="00515AA2">
        <w:rPr>
          <w:rFonts w:cs="Arial"/>
          <w:lang w:val="en-CA"/>
        </w:rPr>
        <w:t>.</w:t>
      </w:r>
    </w:p>
  </w:footnote>
  <w:footnote w:id="92">
    <w:p w14:paraId="15B3773B" w14:textId="3873D853" w:rsidR="00184D4F" w:rsidRPr="00515AA2" w:rsidRDefault="00184D4F" w:rsidP="00C409C5">
      <w:pPr>
        <w:pStyle w:val="Notedebasdepage"/>
        <w:rPr>
          <w:rFonts w:cs="Arial"/>
          <w:lang w:val="en-CA"/>
        </w:rPr>
      </w:pPr>
      <w:r w:rsidRPr="00515AA2">
        <w:rPr>
          <w:rStyle w:val="Appelnotedebasdep"/>
        </w:rPr>
        <w:footnoteRef/>
      </w:r>
      <w:r w:rsidRPr="00515AA2">
        <w:rPr>
          <w:lang w:val="en-CA"/>
        </w:rPr>
        <w:t xml:space="preserve"> </w:t>
      </w:r>
      <w:r w:rsidRPr="00515AA2">
        <w:rPr>
          <w:lang w:val="en-CA"/>
        </w:rPr>
        <w:tab/>
      </w:r>
      <w:r w:rsidR="00CE7E9E" w:rsidRPr="00515AA2">
        <w:rPr>
          <w:rFonts w:cs="Arial"/>
          <w:i/>
          <w:iCs/>
          <w:lang w:val="en-CA"/>
        </w:rPr>
        <w:t>Andrews v. Law Society of British Columbia</w:t>
      </w:r>
      <w:r w:rsidR="00CE7E9E" w:rsidRPr="00515AA2">
        <w:rPr>
          <w:rFonts w:cs="Arial"/>
          <w:lang w:val="en-CA"/>
        </w:rPr>
        <w:t xml:space="preserve">, </w:t>
      </w:r>
      <w:r w:rsidR="000F6EBB" w:rsidRPr="00515AA2">
        <w:rPr>
          <w:rFonts w:cs="Arial"/>
          <w:i/>
          <w:iCs/>
          <w:lang w:val="en-CA"/>
        </w:rPr>
        <w:t>supra</w:t>
      </w:r>
      <w:r w:rsidR="000F6EBB"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CE7E9E" w:rsidRPr="00515AA2">
        <w:rPr>
          <w:rFonts w:cs="Arial"/>
          <w:lang w:val="en-CA"/>
        </w:rPr>
        <w:fldChar w:fldCharType="begin"/>
      </w:r>
      <w:r w:rsidR="00CE7E9E" w:rsidRPr="00515AA2">
        <w:rPr>
          <w:rFonts w:cs="Arial"/>
          <w:lang w:val="en-CA"/>
        </w:rPr>
        <w:instrText xml:space="preserve"> NOTEREF _Ref157504404 \h </w:instrText>
      </w:r>
      <w:r w:rsidR="00FB3810" w:rsidRPr="00515AA2">
        <w:rPr>
          <w:rFonts w:cs="Arial"/>
          <w:lang w:val="en-CA"/>
        </w:rPr>
        <w:instrText xml:space="preserve"> \* MERGEFORMAT </w:instrText>
      </w:r>
      <w:r w:rsidR="00CE7E9E" w:rsidRPr="00515AA2">
        <w:rPr>
          <w:rFonts w:cs="Arial"/>
          <w:lang w:val="en-CA"/>
        </w:rPr>
      </w:r>
      <w:r w:rsidR="00CE7E9E" w:rsidRPr="00515AA2">
        <w:rPr>
          <w:rFonts w:cs="Arial"/>
          <w:lang w:val="en-CA"/>
        </w:rPr>
        <w:fldChar w:fldCharType="separate"/>
      </w:r>
      <w:r w:rsidR="00C83535">
        <w:rPr>
          <w:rFonts w:cs="Arial"/>
          <w:lang w:val="en-CA"/>
        </w:rPr>
        <w:t>91</w:t>
      </w:r>
      <w:r w:rsidR="00CE7E9E" w:rsidRPr="00515AA2">
        <w:rPr>
          <w:rFonts w:cs="Arial"/>
          <w:lang w:val="en-CA"/>
        </w:rPr>
        <w:fldChar w:fldCharType="end"/>
      </w:r>
      <w:r w:rsidR="00CE7E9E" w:rsidRPr="00515AA2">
        <w:rPr>
          <w:rFonts w:cs="Arial"/>
          <w:lang w:val="en-CA"/>
        </w:rPr>
        <w:t xml:space="preserve">, pp. 163ff. See also: </w:t>
      </w:r>
      <w:r w:rsidR="00CE7E9E" w:rsidRPr="00515AA2">
        <w:rPr>
          <w:rFonts w:cs="Arial"/>
          <w:i/>
          <w:iCs/>
          <w:lang w:val="en-CA"/>
        </w:rPr>
        <w:t>Ontario (Attorney General) v. G</w:t>
      </w:r>
      <w:r w:rsidR="00CE7E9E" w:rsidRPr="00515AA2">
        <w:rPr>
          <w:rFonts w:cs="Arial"/>
          <w:lang w:val="en-CA"/>
        </w:rPr>
        <w:t xml:space="preserve">, </w:t>
      </w:r>
      <w:r w:rsidR="00C409C5" w:rsidRPr="00515AA2">
        <w:rPr>
          <w:rFonts w:cs="Arial"/>
          <w:i/>
          <w:iCs/>
          <w:lang w:val="en-CA"/>
        </w:rPr>
        <w:t>supra</w:t>
      </w:r>
      <w:r w:rsidR="00C409C5"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CE7E9E" w:rsidRPr="00515AA2">
        <w:rPr>
          <w:rFonts w:cs="Arial"/>
          <w:lang w:val="en-CA"/>
        </w:rPr>
        <w:fldChar w:fldCharType="begin"/>
      </w:r>
      <w:r w:rsidR="00CE7E9E" w:rsidRPr="00515AA2">
        <w:rPr>
          <w:rFonts w:cs="Arial"/>
          <w:lang w:val="en-CA"/>
        </w:rPr>
        <w:instrText xml:space="preserve"> NOTEREF _Ref157504404 \h </w:instrText>
      </w:r>
      <w:r w:rsidR="00FB3810" w:rsidRPr="00515AA2">
        <w:rPr>
          <w:rFonts w:cs="Arial"/>
          <w:lang w:val="en-CA"/>
        </w:rPr>
        <w:instrText xml:space="preserve"> \* MERGEFORMAT </w:instrText>
      </w:r>
      <w:r w:rsidR="00CE7E9E" w:rsidRPr="00515AA2">
        <w:rPr>
          <w:rFonts w:cs="Arial"/>
          <w:lang w:val="en-CA"/>
        </w:rPr>
      </w:r>
      <w:r w:rsidR="00CE7E9E" w:rsidRPr="00515AA2">
        <w:rPr>
          <w:rFonts w:cs="Arial"/>
          <w:lang w:val="en-CA"/>
        </w:rPr>
        <w:fldChar w:fldCharType="separate"/>
      </w:r>
      <w:r w:rsidR="00C83535">
        <w:rPr>
          <w:rFonts w:cs="Arial"/>
          <w:lang w:val="en-CA"/>
        </w:rPr>
        <w:t>91</w:t>
      </w:r>
      <w:r w:rsidR="00CE7E9E" w:rsidRPr="00515AA2">
        <w:rPr>
          <w:rFonts w:cs="Arial"/>
          <w:lang w:val="en-CA"/>
        </w:rPr>
        <w:fldChar w:fldCharType="end"/>
      </w:r>
      <w:r w:rsidR="00CE7E9E" w:rsidRPr="00515AA2">
        <w:rPr>
          <w:rFonts w:cs="Arial"/>
          <w:lang w:val="en-CA"/>
        </w:rPr>
        <w:t xml:space="preserve">, para. 44; </w:t>
      </w:r>
      <w:r w:rsidR="00CE7E9E" w:rsidRPr="00515AA2">
        <w:rPr>
          <w:rFonts w:cs="Arial"/>
          <w:i/>
          <w:iCs/>
          <w:lang w:val="en-CA"/>
        </w:rPr>
        <w:t>Fraser v. Canada (Attorney General)</w:t>
      </w:r>
      <w:r w:rsidR="00CE7E9E" w:rsidRPr="00515AA2">
        <w:rPr>
          <w:rFonts w:cs="Arial"/>
          <w:lang w:val="en-CA"/>
        </w:rPr>
        <w:t xml:space="preserve">, </w:t>
      </w:r>
      <w:r w:rsidR="00C409C5" w:rsidRPr="00515AA2">
        <w:rPr>
          <w:rFonts w:cs="Arial"/>
          <w:i/>
          <w:iCs/>
          <w:lang w:val="en-CA"/>
        </w:rPr>
        <w:t>supra</w:t>
      </w:r>
      <w:r w:rsidR="00C409C5"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CE7E9E" w:rsidRPr="00515AA2">
        <w:rPr>
          <w:rFonts w:cs="Arial"/>
          <w:lang w:val="en-CA"/>
        </w:rPr>
        <w:fldChar w:fldCharType="begin"/>
      </w:r>
      <w:r w:rsidR="00CE7E9E" w:rsidRPr="00515AA2">
        <w:rPr>
          <w:rFonts w:cs="Arial"/>
          <w:lang w:val="en-CA"/>
        </w:rPr>
        <w:instrText xml:space="preserve"> NOTEREF _Ref157504404 \h </w:instrText>
      </w:r>
      <w:r w:rsidR="00FB3810" w:rsidRPr="00515AA2">
        <w:rPr>
          <w:rFonts w:cs="Arial"/>
          <w:lang w:val="en-CA"/>
        </w:rPr>
        <w:instrText xml:space="preserve"> \* MERGEFORMAT </w:instrText>
      </w:r>
      <w:r w:rsidR="00CE7E9E" w:rsidRPr="00515AA2">
        <w:rPr>
          <w:rFonts w:cs="Arial"/>
          <w:lang w:val="en-CA"/>
        </w:rPr>
      </w:r>
      <w:r w:rsidR="00CE7E9E" w:rsidRPr="00515AA2">
        <w:rPr>
          <w:rFonts w:cs="Arial"/>
          <w:lang w:val="en-CA"/>
        </w:rPr>
        <w:fldChar w:fldCharType="separate"/>
      </w:r>
      <w:r w:rsidR="00C83535">
        <w:rPr>
          <w:rFonts w:cs="Arial"/>
          <w:lang w:val="en-CA"/>
        </w:rPr>
        <w:t>91</w:t>
      </w:r>
      <w:r w:rsidR="00CE7E9E" w:rsidRPr="00515AA2">
        <w:rPr>
          <w:rFonts w:cs="Arial"/>
          <w:lang w:val="en-CA"/>
        </w:rPr>
        <w:fldChar w:fldCharType="end"/>
      </w:r>
      <w:r w:rsidR="00CE7E9E" w:rsidRPr="00515AA2">
        <w:rPr>
          <w:rFonts w:cs="Arial"/>
          <w:lang w:val="en-CA"/>
        </w:rPr>
        <w:t>, para. 40. The Charter sets out four rights to equality: (1) equality before the law, (2) equality under the law, (3) equal protection of the law, and (4) equal benefit of the law</w:t>
      </w:r>
      <w:r w:rsidRPr="00515AA2">
        <w:rPr>
          <w:rFonts w:cs="Arial"/>
          <w:lang w:val="en-CA"/>
        </w:rPr>
        <w:t>.</w:t>
      </w:r>
    </w:p>
  </w:footnote>
  <w:footnote w:id="93">
    <w:p w14:paraId="20F1DBDE" w14:textId="24BCAD66" w:rsidR="00184D4F" w:rsidRPr="00515AA2" w:rsidRDefault="00184D4F" w:rsidP="00184D4F">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rFonts w:cs="Arial"/>
          <w:i/>
          <w:iCs/>
          <w:lang w:val="en-CA"/>
        </w:rPr>
        <w:t>Law v. Canada (Minister of Employment and Immigration)</w:t>
      </w:r>
      <w:r w:rsidR="00CE7E9E" w:rsidRPr="00515AA2">
        <w:rPr>
          <w:rFonts w:cs="Arial"/>
          <w:lang w:val="en-CA"/>
        </w:rPr>
        <w:t xml:space="preserve">, </w:t>
      </w:r>
      <w:r w:rsidR="00C409C5" w:rsidRPr="00515AA2">
        <w:rPr>
          <w:rFonts w:cs="Arial"/>
          <w:i/>
          <w:iCs/>
          <w:lang w:val="en-CA"/>
        </w:rPr>
        <w:t>supra</w:t>
      </w:r>
      <w:r w:rsidR="00C409C5"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CE7E9E" w:rsidRPr="00515AA2">
        <w:rPr>
          <w:rFonts w:cs="Arial"/>
          <w:lang w:val="en-CA"/>
        </w:rPr>
        <w:fldChar w:fldCharType="begin"/>
      </w:r>
      <w:r w:rsidR="00CE7E9E" w:rsidRPr="00515AA2">
        <w:rPr>
          <w:rFonts w:cs="Arial"/>
          <w:lang w:val="en-CA"/>
        </w:rPr>
        <w:instrText xml:space="preserve"> NOTEREF _Ref157504404 \h </w:instrText>
      </w:r>
      <w:r w:rsidR="00FB3810" w:rsidRPr="00515AA2">
        <w:rPr>
          <w:rFonts w:cs="Arial"/>
          <w:lang w:val="en-CA"/>
        </w:rPr>
        <w:instrText xml:space="preserve"> \* MERGEFORMAT </w:instrText>
      </w:r>
      <w:r w:rsidR="00CE7E9E" w:rsidRPr="00515AA2">
        <w:rPr>
          <w:rFonts w:cs="Arial"/>
          <w:lang w:val="en-CA"/>
        </w:rPr>
      </w:r>
      <w:r w:rsidR="00CE7E9E" w:rsidRPr="00515AA2">
        <w:rPr>
          <w:rFonts w:cs="Arial"/>
          <w:lang w:val="en-CA"/>
        </w:rPr>
        <w:fldChar w:fldCharType="separate"/>
      </w:r>
      <w:r w:rsidR="00C83535">
        <w:rPr>
          <w:rFonts w:cs="Arial"/>
          <w:lang w:val="en-CA"/>
        </w:rPr>
        <w:t>91</w:t>
      </w:r>
      <w:r w:rsidR="00CE7E9E" w:rsidRPr="00515AA2">
        <w:rPr>
          <w:rFonts w:cs="Arial"/>
          <w:lang w:val="en-CA"/>
        </w:rPr>
        <w:fldChar w:fldCharType="end"/>
      </w:r>
      <w:r w:rsidR="00CE7E9E" w:rsidRPr="00515AA2">
        <w:rPr>
          <w:rFonts w:cs="Arial"/>
          <w:lang w:val="en-CA"/>
        </w:rPr>
        <w:t xml:space="preserve">. See also: </w:t>
      </w:r>
      <w:r w:rsidR="00CE7E9E" w:rsidRPr="00515AA2">
        <w:rPr>
          <w:rFonts w:cs="Arial"/>
          <w:i/>
          <w:iCs/>
          <w:lang w:val="en-CA"/>
        </w:rPr>
        <w:t>Andrews v. Law Society of British Columbia</w:t>
      </w:r>
      <w:r w:rsidR="00CE7E9E" w:rsidRPr="00515AA2">
        <w:rPr>
          <w:rFonts w:cs="Arial"/>
          <w:lang w:val="en-CA"/>
        </w:rPr>
        <w:t xml:space="preserve">, </w:t>
      </w:r>
      <w:r w:rsidR="00ED7537" w:rsidRPr="00ED7537">
        <w:rPr>
          <w:rFonts w:cs="Arial"/>
          <w:i/>
          <w:iCs/>
          <w:lang w:val="en-CA"/>
        </w:rPr>
        <w:t>supra</w:t>
      </w:r>
      <w:r w:rsidR="00ED7537" w:rsidRPr="00ED7537">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CE7E9E" w:rsidRPr="00515AA2">
        <w:rPr>
          <w:rFonts w:cs="Arial"/>
          <w:lang w:val="en-CA"/>
        </w:rPr>
        <w:fldChar w:fldCharType="begin"/>
      </w:r>
      <w:r w:rsidR="00CE7E9E" w:rsidRPr="00515AA2">
        <w:rPr>
          <w:rFonts w:cs="Arial"/>
          <w:lang w:val="en-CA"/>
        </w:rPr>
        <w:instrText xml:space="preserve"> NOTEREF _Ref157504404 \h </w:instrText>
      </w:r>
      <w:r w:rsidR="00FB3810" w:rsidRPr="00515AA2">
        <w:rPr>
          <w:rFonts w:cs="Arial"/>
          <w:lang w:val="en-CA"/>
        </w:rPr>
        <w:instrText xml:space="preserve"> \* MERGEFORMAT </w:instrText>
      </w:r>
      <w:r w:rsidR="00CE7E9E" w:rsidRPr="00515AA2">
        <w:rPr>
          <w:rFonts w:cs="Arial"/>
          <w:lang w:val="en-CA"/>
        </w:rPr>
      </w:r>
      <w:r w:rsidR="00CE7E9E" w:rsidRPr="00515AA2">
        <w:rPr>
          <w:rFonts w:cs="Arial"/>
          <w:lang w:val="en-CA"/>
        </w:rPr>
        <w:fldChar w:fldCharType="separate"/>
      </w:r>
      <w:r w:rsidR="00C83535">
        <w:rPr>
          <w:rFonts w:cs="Arial"/>
          <w:lang w:val="en-CA"/>
        </w:rPr>
        <w:t>91</w:t>
      </w:r>
      <w:r w:rsidR="00CE7E9E" w:rsidRPr="00515AA2">
        <w:rPr>
          <w:rFonts w:cs="Arial"/>
          <w:lang w:val="en-CA"/>
        </w:rPr>
        <w:fldChar w:fldCharType="end"/>
      </w:r>
      <w:r w:rsidR="00CE7E9E" w:rsidRPr="00515AA2">
        <w:rPr>
          <w:rFonts w:cs="Arial"/>
          <w:lang w:val="en-CA"/>
        </w:rPr>
        <w:t>, pp. 165ff.</w:t>
      </w:r>
    </w:p>
  </w:footnote>
  <w:footnote w:id="94">
    <w:p w14:paraId="16649300" w14:textId="52E9B011"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rFonts w:cs="Arial"/>
          <w:i/>
          <w:iCs/>
          <w:lang w:val="en-CA"/>
        </w:rPr>
        <w:t xml:space="preserve">Fraser </w:t>
      </w:r>
      <w:r w:rsidR="00CE7E9E" w:rsidRPr="00515AA2">
        <w:rPr>
          <w:rFonts w:cs="Arial"/>
          <w:i/>
          <w:iCs/>
          <w:lang w:val="en-CA"/>
        </w:rPr>
        <w:t>v</w:t>
      </w:r>
      <w:r w:rsidRPr="00515AA2">
        <w:rPr>
          <w:rFonts w:cs="Arial"/>
          <w:i/>
          <w:iCs/>
          <w:lang w:val="en-CA"/>
        </w:rPr>
        <w:t>. Canada (</w:t>
      </w:r>
      <w:r w:rsidR="00CE7E9E" w:rsidRPr="00515AA2">
        <w:rPr>
          <w:rFonts w:cs="Arial"/>
          <w:i/>
          <w:iCs/>
          <w:lang w:val="en-CA"/>
        </w:rPr>
        <w:t>Attorney General</w:t>
      </w:r>
      <w:r w:rsidRPr="00515AA2">
        <w:rPr>
          <w:rFonts w:cs="Arial"/>
          <w:i/>
          <w:iCs/>
          <w:lang w:val="en-CA"/>
        </w:rPr>
        <w:t>)</w:t>
      </w:r>
      <w:r w:rsidRPr="00515AA2">
        <w:rPr>
          <w:rFonts w:cs="Arial"/>
          <w:lang w:val="en-CA"/>
        </w:rPr>
        <w:t xml:space="preserve">, </w:t>
      </w:r>
      <w:r w:rsidR="00C409C5" w:rsidRPr="00515AA2">
        <w:rPr>
          <w:rFonts w:cs="Arial"/>
          <w:i/>
          <w:iCs/>
          <w:lang w:val="en-CA"/>
        </w:rPr>
        <w:t>supra</w:t>
      </w:r>
      <w:r w:rsidR="00C409C5"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A26334" w:rsidRPr="00515AA2">
        <w:rPr>
          <w:rFonts w:cs="Arial"/>
          <w:lang w:val="en-CA"/>
        </w:rPr>
        <w:fldChar w:fldCharType="begin"/>
      </w:r>
      <w:r w:rsidR="00A26334" w:rsidRPr="00515AA2">
        <w:rPr>
          <w:rFonts w:cs="Arial"/>
          <w:lang w:val="en-CA"/>
        </w:rPr>
        <w:instrText xml:space="preserve"> NOTEREF _Ref157504404 \h </w:instrText>
      </w:r>
      <w:r w:rsidR="00FB3810" w:rsidRPr="00515AA2">
        <w:rPr>
          <w:rFonts w:cs="Arial"/>
          <w:lang w:val="en-CA"/>
        </w:rPr>
        <w:instrText xml:space="preserve"> \* MERGEFORMAT </w:instrText>
      </w:r>
      <w:r w:rsidR="00A26334" w:rsidRPr="00515AA2">
        <w:rPr>
          <w:rFonts w:cs="Arial"/>
          <w:lang w:val="en-CA"/>
        </w:rPr>
      </w:r>
      <w:r w:rsidR="00A26334" w:rsidRPr="00515AA2">
        <w:rPr>
          <w:rFonts w:cs="Arial"/>
          <w:lang w:val="en-CA"/>
        </w:rPr>
        <w:fldChar w:fldCharType="separate"/>
      </w:r>
      <w:r w:rsidR="00C83535">
        <w:rPr>
          <w:rFonts w:cs="Arial"/>
          <w:lang w:val="en-CA"/>
        </w:rPr>
        <w:t>91</w:t>
      </w:r>
      <w:r w:rsidR="00A26334" w:rsidRPr="00515AA2">
        <w:rPr>
          <w:rFonts w:cs="Arial"/>
          <w:lang w:val="en-CA"/>
        </w:rPr>
        <w:fldChar w:fldCharType="end"/>
      </w:r>
      <w:r w:rsidR="00A26334" w:rsidRPr="00515AA2">
        <w:rPr>
          <w:rFonts w:cs="Arial"/>
          <w:lang w:val="en-CA"/>
        </w:rPr>
        <w:t xml:space="preserve">, </w:t>
      </w:r>
      <w:r w:rsidRPr="00515AA2">
        <w:rPr>
          <w:rFonts w:cs="Arial"/>
          <w:lang w:val="en-CA"/>
        </w:rPr>
        <w:t>par</w:t>
      </w:r>
      <w:r w:rsidR="00CE7E9E" w:rsidRPr="00515AA2">
        <w:rPr>
          <w:rFonts w:cs="Arial"/>
          <w:lang w:val="en-CA"/>
        </w:rPr>
        <w:t>a</w:t>
      </w:r>
      <w:r w:rsidRPr="00515AA2">
        <w:rPr>
          <w:rFonts w:cs="Arial"/>
          <w:lang w:val="en-CA"/>
        </w:rPr>
        <w:t>.</w:t>
      </w:r>
      <w:r w:rsidR="00B22793" w:rsidRPr="00515AA2">
        <w:rPr>
          <w:rFonts w:cs="Arial"/>
          <w:lang w:val="en-CA"/>
        </w:rPr>
        <w:t> </w:t>
      </w:r>
      <w:r w:rsidRPr="00515AA2">
        <w:rPr>
          <w:rFonts w:cs="Arial"/>
          <w:lang w:val="en-CA"/>
        </w:rPr>
        <w:t>45.</w:t>
      </w:r>
    </w:p>
  </w:footnote>
  <w:footnote w:id="95">
    <w:p w14:paraId="2B68130F" w14:textId="1660D5A3"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0073629D" w:rsidRPr="00515AA2">
        <w:rPr>
          <w:rFonts w:cs="Arial"/>
          <w:i/>
          <w:iCs/>
          <w:lang w:val="en-CA"/>
        </w:rPr>
        <w:t>Id.</w:t>
      </w:r>
      <w:r w:rsidRPr="00515AA2">
        <w:rPr>
          <w:rFonts w:cs="Arial"/>
          <w:lang w:val="en-CA"/>
        </w:rPr>
        <w:t>,</w:t>
      </w:r>
      <w:r w:rsidR="00CE7E9E" w:rsidRPr="00515AA2">
        <w:rPr>
          <w:rFonts w:cs="Arial"/>
          <w:lang w:val="en-CA"/>
        </w:rPr>
        <w:t xml:space="preserve"> </w:t>
      </w:r>
      <w:r w:rsidRPr="00515AA2">
        <w:rPr>
          <w:rFonts w:cs="Arial"/>
          <w:lang w:val="en-CA"/>
        </w:rPr>
        <w:t>para.</w:t>
      </w:r>
      <w:r w:rsidR="00B22793" w:rsidRPr="00515AA2">
        <w:rPr>
          <w:rFonts w:cs="Arial"/>
          <w:lang w:val="en-CA"/>
        </w:rPr>
        <w:t> </w:t>
      </w:r>
      <w:r w:rsidRPr="00515AA2">
        <w:rPr>
          <w:rFonts w:cs="Arial"/>
          <w:lang w:val="en-CA"/>
        </w:rPr>
        <w:t>47.</w:t>
      </w:r>
    </w:p>
  </w:footnote>
  <w:footnote w:id="96">
    <w:p w14:paraId="52AFF8CB" w14:textId="3BD3EE37"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rFonts w:cs="Arial"/>
          <w:i/>
          <w:lang w:val="en-CA"/>
        </w:rPr>
        <w:t>Withler v. Canada (Attorney General)</w:t>
      </w:r>
      <w:r w:rsidR="00CE7E9E" w:rsidRPr="00515AA2">
        <w:rPr>
          <w:rFonts w:cs="Arial"/>
          <w:lang w:val="en-CA"/>
        </w:rPr>
        <w:t xml:space="preserve">, 2011 SCC 12, para. 2, restated in </w:t>
      </w:r>
      <w:r w:rsidR="00CE7E9E" w:rsidRPr="00515AA2">
        <w:rPr>
          <w:rFonts w:cs="Arial"/>
          <w:i/>
          <w:iCs/>
          <w:lang w:val="en-CA"/>
        </w:rPr>
        <w:t>Ontario (Attorney General) v. G</w:t>
      </w:r>
      <w:r w:rsidR="00CE7E9E" w:rsidRPr="00515AA2">
        <w:rPr>
          <w:rFonts w:cs="Arial"/>
          <w:lang w:val="en-CA"/>
        </w:rPr>
        <w:t xml:space="preserve">, </w:t>
      </w:r>
      <w:r w:rsidR="00C409C5" w:rsidRPr="00515AA2">
        <w:rPr>
          <w:rFonts w:cs="Arial"/>
          <w:i/>
          <w:iCs/>
          <w:lang w:val="en-CA"/>
        </w:rPr>
        <w:t>supra</w:t>
      </w:r>
      <w:r w:rsidR="00C409C5"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A26334" w:rsidRPr="00515AA2">
        <w:rPr>
          <w:rFonts w:cs="Arial"/>
          <w:lang w:val="en-CA"/>
        </w:rPr>
        <w:fldChar w:fldCharType="begin"/>
      </w:r>
      <w:r w:rsidR="00A26334" w:rsidRPr="00515AA2">
        <w:rPr>
          <w:rFonts w:cs="Arial"/>
          <w:lang w:val="en-CA"/>
        </w:rPr>
        <w:instrText xml:space="preserve"> NOTEREF _Ref157504404 \h </w:instrText>
      </w:r>
      <w:r w:rsidR="00FB3810" w:rsidRPr="00515AA2">
        <w:rPr>
          <w:rFonts w:cs="Arial"/>
          <w:lang w:val="en-CA"/>
        </w:rPr>
        <w:instrText xml:space="preserve"> \* MERGEFORMAT </w:instrText>
      </w:r>
      <w:r w:rsidR="00A26334" w:rsidRPr="00515AA2">
        <w:rPr>
          <w:rFonts w:cs="Arial"/>
          <w:lang w:val="en-CA"/>
        </w:rPr>
      </w:r>
      <w:r w:rsidR="00A26334" w:rsidRPr="00515AA2">
        <w:rPr>
          <w:rFonts w:cs="Arial"/>
          <w:lang w:val="en-CA"/>
        </w:rPr>
        <w:fldChar w:fldCharType="separate"/>
      </w:r>
      <w:r w:rsidR="00C83535">
        <w:rPr>
          <w:rFonts w:cs="Arial"/>
          <w:lang w:val="en-CA"/>
        </w:rPr>
        <w:t>91</w:t>
      </w:r>
      <w:r w:rsidR="00A26334" w:rsidRPr="00515AA2">
        <w:rPr>
          <w:rFonts w:cs="Arial"/>
          <w:lang w:val="en-CA"/>
        </w:rPr>
        <w:fldChar w:fldCharType="end"/>
      </w:r>
      <w:r w:rsidR="00A26334" w:rsidRPr="00515AA2">
        <w:rPr>
          <w:rFonts w:cs="Arial"/>
          <w:lang w:val="en-CA"/>
        </w:rPr>
        <w:t>,</w:t>
      </w:r>
      <w:r w:rsidR="00CE7E9E" w:rsidRPr="00515AA2">
        <w:rPr>
          <w:rFonts w:cs="Arial"/>
          <w:lang w:val="en-CA"/>
        </w:rPr>
        <w:t xml:space="preserve"> para. 43; </w:t>
      </w:r>
      <w:r w:rsidR="00CE7E9E" w:rsidRPr="00515AA2">
        <w:rPr>
          <w:rFonts w:cs="Arial"/>
          <w:i/>
          <w:iCs/>
          <w:lang w:val="en-CA"/>
        </w:rPr>
        <w:t>Fraser v. Canada (Attorney General)</w:t>
      </w:r>
      <w:r w:rsidR="00CE7E9E" w:rsidRPr="00515AA2">
        <w:rPr>
          <w:rFonts w:cs="Arial"/>
          <w:lang w:val="en-CA"/>
        </w:rPr>
        <w:t xml:space="preserve">, </w:t>
      </w:r>
      <w:r w:rsidR="00C409C5" w:rsidRPr="00515AA2">
        <w:rPr>
          <w:rFonts w:cs="Arial"/>
          <w:i/>
          <w:iCs/>
          <w:lang w:val="en-CA"/>
        </w:rPr>
        <w:t>supra</w:t>
      </w:r>
      <w:r w:rsidR="00C409C5"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A26334" w:rsidRPr="00515AA2">
        <w:rPr>
          <w:rFonts w:cs="Arial"/>
          <w:lang w:val="en-CA"/>
        </w:rPr>
        <w:fldChar w:fldCharType="begin"/>
      </w:r>
      <w:r w:rsidR="00A26334" w:rsidRPr="00515AA2">
        <w:rPr>
          <w:rFonts w:cs="Arial"/>
          <w:lang w:val="en-CA"/>
        </w:rPr>
        <w:instrText xml:space="preserve"> NOTEREF _Ref157504404 \h </w:instrText>
      </w:r>
      <w:r w:rsidR="00FB3810" w:rsidRPr="00515AA2">
        <w:rPr>
          <w:rFonts w:cs="Arial"/>
          <w:lang w:val="en-CA"/>
        </w:rPr>
        <w:instrText xml:space="preserve"> \* MERGEFORMAT </w:instrText>
      </w:r>
      <w:r w:rsidR="00A26334" w:rsidRPr="00515AA2">
        <w:rPr>
          <w:rFonts w:cs="Arial"/>
          <w:lang w:val="en-CA"/>
        </w:rPr>
      </w:r>
      <w:r w:rsidR="00A26334" w:rsidRPr="00515AA2">
        <w:rPr>
          <w:rFonts w:cs="Arial"/>
          <w:lang w:val="en-CA"/>
        </w:rPr>
        <w:fldChar w:fldCharType="separate"/>
      </w:r>
      <w:r w:rsidR="00C83535">
        <w:rPr>
          <w:rFonts w:cs="Arial"/>
          <w:lang w:val="en-CA"/>
        </w:rPr>
        <w:t>91</w:t>
      </w:r>
      <w:r w:rsidR="00A26334" w:rsidRPr="00515AA2">
        <w:rPr>
          <w:rFonts w:cs="Arial"/>
          <w:lang w:val="en-CA"/>
        </w:rPr>
        <w:fldChar w:fldCharType="end"/>
      </w:r>
      <w:r w:rsidR="00A26334" w:rsidRPr="00515AA2">
        <w:rPr>
          <w:rFonts w:cs="Arial"/>
          <w:lang w:val="en-CA"/>
        </w:rPr>
        <w:t>,</w:t>
      </w:r>
      <w:r w:rsidR="00CE7E9E" w:rsidRPr="00515AA2">
        <w:rPr>
          <w:rFonts w:cs="Arial"/>
          <w:lang w:val="en-CA"/>
        </w:rPr>
        <w:t xml:space="preserve"> para. 47; </w:t>
      </w:r>
      <w:r w:rsidR="00CE7E9E" w:rsidRPr="00515AA2">
        <w:rPr>
          <w:rFonts w:cs="Arial"/>
          <w:i/>
          <w:lang w:val="en-CA"/>
        </w:rPr>
        <w:t>Quebec (Attorney General) v. A</w:t>
      </w:r>
      <w:r w:rsidR="00CE7E9E" w:rsidRPr="00515AA2">
        <w:rPr>
          <w:rFonts w:cs="Arial"/>
          <w:lang w:val="en-CA"/>
        </w:rPr>
        <w:t>, 2013 SCC 5, para. 325</w:t>
      </w:r>
      <w:r w:rsidRPr="00515AA2">
        <w:rPr>
          <w:rFonts w:cs="Arial"/>
          <w:lang w:val="en-CA"/>
        </w:rPr>
        <w:t>.</w:t>
      </w:r>
    </w:p>
  </w:footnote>
  <w:footnote w:id="97">
    <w:p w14:paraId="78A9E0DC" w14:textId="5B921281" w:rsidR="008F1A64" w:rsidRPr="00515AA2" w:rsidRDefault="008F1A64">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i/>
          <w:iCs/>
          <w:lang w:val="en-CA"/>
        </w:rPr>
        <w:t>Kahkewistahaw First Nation v. Taypotat</w:t>
      </w:r>
      <w:r w:rsidR="00CE7E9E" w:rsidRPr="00515AA2">
        <w:rPr>
          <w:lang w:val="en-CA"/>
        </w:rPr>
        <w:t>, 2015 SCC 30, [2015] 2 S.C.R. 548</w:t>
      </w:r>
      <w:r w:rsidRPr="00515AA2">
        <w:rPr>
          <w:lang w:val="en-CA"/>
        </w:rPr>
        <w:t>.</w:t>
      </w:r>
    </w:p>
  </w:footnote>
  <w:footnote w:id="98">
    <w:p w14:paraId="47F00BE9" w14:textId="131C9CD4"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rFonts w:cs="Arial"/>
          <w:i/>
          <w:iCs/>
          <w:lang w:val="en-CA"/>
        </w:rPr>
        <w:t xml:space="preserve">Fraser </w:t>
      </w:r>
      <w:r w:rsidR="00E40E14" w:rsidRPr="00515AA2">
        <w:rPr>
          <w:rFonts w:cs="Arial"/>
          <w:i/>
          <w:iCs/>
          <w:lang w:val="en-CA"/>
        </w:rPr>
        <w:t>v</w:t>
      </w:r>
      <w:r w:rsidRPr="00515AA2">
        <w:rPr>
          <w:rFonts w:cs="Arial"/>
          <w:i/>
          <w:iCs/>
          <w:lang w:val="en-CA"/>
        </w:rPr>
        <w:t>. Canada (</w:t>
      </w:r>
      <w:r w:rsidR="00E40E14" w:rsidRPr="00515AA2">
        <w:rPr>
          <w:rFonts w:cs="Arial"/>
          <w:i/>
          <w:iCs/>
          <w:lang w:val="en-CA"/>
        </w:rPr>
        <w:t>Attorney General</w:t>
      </w:r>
      <w:r w:rsidRPr="00515AA2">
        <w:rPr>
          <w:rFonts w:cs="Arial"/>
          <w:i/>
          <w:iCs/>
          <w:lang w:val="en-CA"/>
        </w:rPr>
        <w:t>)</w:t>
      </w:r>
      <w:r w:rsidRPr="00515AA2">
        <w:rPr>
          <w:rFonts w:cs="Arial"/>
          <w:lang w:val="en-CA"/>
        </w:rPr>
        <w:t xml:space="preserve">, </w:t>
      </w:r>
      <w:r w:rsidR="00E40E14" w:rsidRPr="00515AA2">
        <w:rPr>
          <w:rFonts w:cs="Arial"/>
          <w:i/>
          <w:iCs/>
          <w:lang w:val="en-CA"/>
        </w:rPr>
        <w:t>supra</w:t>
      </w:r>
      <w:r w:rsidR="00E40E14" w:rsidRPr="00515AA2">
        <w:rPr>
          <w:rFonts w:cs="Arial"/>
          <w:lang w:val="en-CA"/>
        </w:rPr>
        <w:t>,</w:t>
      </w:r>
      <w:r w:rsidR="00CE7E9E" w:rsidRPr="00515AA2">
        <w:rPr>
          <w:rFonts w:cs="Arial"/>
          <w:i/>
          <w:iCs/>
          <w:lang w:val="en-CA"/>
        </w:rPr>
        <w:t xml:space="preserve"> </w:t>
      </w:r>
      <w:r w:rsidR="00CE7E9E" w:rsidRPr="00515AA2">
        <w:rPr>
          <w:rFonts w:cs="Arial"/>
          <w:lang w:val="en-CA"/>
        </w:rPr>
        <w:t xml:space="preserve">note </w:t>
      </w:r>
      <w:r w:rsidR="00CE7E9E" w:rsidRPr="00515AA2">
        <w:rPr>
          <w:rFonts w:cs="Arial"/>
          <w:lang w:val="en-CA"/>
        </w:rPr>
        <w:fldChar w:fldCharType="begin"/>
      </w:r>
      <w:r w:rsidR="00CE7E9E" w:rsidRPr="00515AA2">
        <w:rPr>
          <w:rFonts w:cs="Arial"/>
          <w:lang w:val="en-CA"/>
        </w:rPr>
        <w:instrText xml:space="preserve"> NOTEREF _Ref157504404 \h </w:instrText>
      </w:r>
      <w:r w:rsidR="00FB3810" w:rsidRPr="00515AA2">
        <w:rPr>
          <w:rFonts w:cs="Arial"/>
          <w:lang w:val="en-CA"/>
        </w:rPr>
        <w:instrText xml:space="preserve"> \* MERGEFORMAT </w:instrText>
      </w:r>
      <w:r w:rsidR="00CE7E9E" w:rsidRPr="00515AA2">
        <w:rPr>
          <w:rFonts w:cs="Arial"/>
          <w:lang w:val="en-CA"/>
        </w:rPr>
      </w:r>
      <w:r w:rsidR="00CE7E9E" w:rsidRPr="00515AA2">
        <w:rPr>
          <w:rFonts w:cs="Arial"/>
          <w:lang w:val="en-CA"/>
        </w:rPr>
        <w:fldChar w:fldCharType="separate"/>
      </w:r>
      <w:r w:rsidR="00C83535">
        <w:rPr>
          <w:rFonts w:cs="Arial"/>
          <w:lang w:val="en-CA"/>
        </w:rPr>
        <w:t>91</w:t>
      </w:r>
      <w:r w:rsidR="00CE7E9E" w:rsidRPr="00515AA2">
        <w:rPr>
          <w:rFonts w:cs="Arial"/>
          <w:lang w:val="en-CA"/>
        </w:rPr>
        <w:fldChar w:fldCharType="end"/>
      </w:r>
      <w:r w:rsidR="00CE7E9E" w:rsidRPr="00515AA2">
        <w:rPr>
          <w:rFonts w:cs="Arial"/>
          <w:lang w:val="en-CA"/>
        </w:rPr>
        <w:t xml:space="preserve">, </w:t>
      </w:r>
      <w:r w:rsidRPr="00515AA2">
        <w:rPr>
          <w:rFonts w:cs="Arial"/>
          <w:lang w:val="en-CA"/>
        </w:rPr>
        <w:t>para.</w:t>
      </w:r>
      <w:r w:rsidR="00B22793" w:rsidRPr="00515AA2">
        <w:rPr>
          <w:rFonts w:cs="Arial"/>
          <w:lang w:val="en-CA"/>
        </w:rPr>
        <w:t> </w:t>
      </w:r>
      <w:r w:rsidRPr="00515AA2">
        <w:rPr>
          <w:rFonts w:cs="Arial"/>
          <w:lang w:val="en-CA"/>
        </w:rPr>
        <w:t>50.</w:t>
      </w:r>
    </w:p>
  </w:footnote>
  <w:footnote w:id="99">
    <w:p w14:paraId="5DA07E59" w14:textId="1B716827" w:rsidR="007D419C" w:rsidRPr="00515AA2" w:rsidRDefault="007D419C" w:rsidP="007D419C">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kern w:val="28"/>
          <w:lang w:val="en-CA"/>
        </w:rPr>
        <w:t>Regarding cannabis use in Quebec, the age of</w:t>
      </w:r>
      <w:r w:rsidR="00CE7E9E" w:rsidRPr="00515AA2">
        <w:rPr>
          <w:lang w:val="en-CA"/>
        </w:rPr>
        <w:t xml:space="preserve"> 21 has been set according to the age at which the human brain stops developing </w:t>
      </w:r>
      <w:r w:rsidR="00580948" w:rsidRPr="00515AA2">
        <w:rPr>
          <w:lang w:val="en-CA"/>
        </w:rPr>
        <w:t xml:space="preserve">in humans </w:t>
      </w:r>
      <w:r w:rsidR="00CE7E9E" w:rsidRPr="00515AA2">
        <w:rPr>
          <w:lang w:val="en-CA"/>
        </w:rPr>
        <w:t xml:space="preserve">(see </w:t>
      </w:r>
      <w:hyperlink r:id="rId1" w:history="1">
        <w:r w:rsidR="00CE7E9E" w:rsidRPr="00515AA2">
          <w:rPr>
            <w:rStyle w:val="Hyperlien"/>
            <w:lang w:val="en-CA"/>
          </w:rPr>
          <w:t>Pas de cannabis avant 21 ans, disent des psychiatres du Québec | Radio-Canada.ca</w:t>
        </w:r>
      </w:hyperlink>
      <w:r w:rsidR="00CE7E9E" w:rsidRPr="00515AA2">
        <w:rPr>
          <w:lang w:val="en-CA"/>
        </w:rPr>
        <w:t>).</w:t>
      </w:r>
    </w:p>
  </w:footnote>
  <w:footnote w:id="100">
    <w:p w14:paraId="711C09A6" w14:textId="73A7C2D2" w:rsidR="007D419C" w:rsidRPr="00515AA2" w:rsidRDefault="007D419C" w:rsidP="007D419C">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i/>
          <w:iCs/>
          <w:lang w:val="en-CA"/>
        </w:rPr>
        <w:t>Gosselin v. Quebec (Attorney General)</w:t>
      </w:r>
      <w:r w:rsidR="00CE7E9E" w:rsidRPr="00515AA2">
        <w:rPr>
          <w:lang w:val="en-CA"/>
        </w:rPr>
        <w:t xml:space="preserve">, 2002 SCC 84, [2002] 4 S.C.R. 429, para. 31, cited in </w:t>
      </w:r>
      <w:r w:rsidR="00CE7E9E" w:rsidRPr="00515AA2">
        <w:rPr>
          <w:i/>
          <w:iCs/>
          <w:lang w:val="en-CA"/>
        </w:rPr>
        <w:t>R. </w:t>
      </w:r>
      <w:r w:rsidR="00E40E14" w:rsidRPr="00515AA2">
        <w:rPr>
          <w:i/>
          <w:iCs/>
          <w:lang w:val="en-CA"/>
        </w:rPr>
        <w:t>v</w:t>
      </w:r>
      <w:r w:rsidR="00CE7E9E" w:rsidRPr="00515AA2">
        <w:rPr>
          <w:i/>
          <w:iCs/>
          <w:lang w:val="en-CA"/>
        </w:rPr>
        <w:t>. C.P.</w:t>
      </w:r>
      <w:r w:rsidR="00CE7E9E" w:rsidRPr="00515AA2">
        <w:rPr>
          <w:lang w:val="en-CA"/>
        </w:rPr>
        <w:t>, 2021 SCC 19, para. 142 (Justice Wagner).</w:t>
      </w:r>
    </w:p>
  </w:footnote>
  <w:footnote w:id="101">
    <w:p w14:paraId="32739C4A" w14:textId="572DCDEC" w:rsidR="00290638" w:rsidRPr="00515AA2" w:rsidRDefault="00290638">
      <w:pPr>
        <w:pStyle w:val="Notedebasdepage"/>
      </w:pPr>
      <w:r w:rsidRPr="00515AA2">
        <w:rPr>
          <w:rStyle w:val="Appelnotedebasdep"/>
        </w:rPr>
        <w:footnoteRef/>
      </w:r>
      <w:r w:rsidRPr="00515AA2">
        <w:t xml:space="preserve"> </w:t>
      </w:r>
      <w:r w:rsidRPr="00515AA2">
        <w:tab/>
      </w:r>
      <w:r w:rsidR="00CE7E9E" w:rsidRPr="00515AA2">
        <w:rPr>
          <w:i/>
          <w:iCs/>
        </w:rPr>
        <w:t>Ward v. Quebec (Commission des droits de la personne et des droits de la jeunesse)</w:t>
      </w:r>
      <w:r w:rsidR="00CE7E9E" w:rsidRPr="00515AA2">
        <w:t>, 2021 SCC 43, paras. 56-58</w:t>
      </w:r>
      <w:r w:rsidRPr="00515AA2">
        <w:t>.</w:t>
      </w:r>
    </w:p>
  </w:footnote>
  <w:footnote w:id="102">
    <w:p w14:paraId="3E3765C6" w14:textId="1341AF01" w:rsidR="0007001D" w:rsidRPr="00515AA2" w:rsidRDefault="0007001D">
      <w:pPr>
        <w:pStyle w:val="Notedebasdepage"/>
        <w:rPr>
          <w:lang w:val="en-CA"/>
        </w:rPr>
      </w:pPr>
      <w:r w:rsidRPr="00515AA2">
        <w:rPr>
          <w:rStyle w:val="Appelnotedebasdep"/>
        </w:rPr>
        <w:footnoteRef/>
      </w:r>
      <w:r w:rsidRPr="00515AA2">
        <w:t xml:space="preserve"> </w:t>
      </w:r>
      <w:r w:rsidRPr="00515AA2">
        <w:tab/>
      </w:r>
      <w:r w:rsidR="00CE7E9E" w:rsidRPr="00515AA2">
        <w:rPr>
          <w:i/>
          <w:iCs/>
        </w:rPr>
        <w:t>Id</w:t>
      </w:r>
      <w:r w:rsidR="00CE7E9E" w:rsidRPr="00515AA2">
        <w:t xml:space="preserve">., para. 56, citing </w:t>
      </w:r>
      <w:r w:rsidR="00CE7E9E" w:rsidRPr="00515AA2">
        <w:rPr>
          <w:i/>
        </w:rPr>
        <w:t>Syndicat national des employés de l’hôpital St</w:t>
      </w:r>
      <w:r w:rsidR="00CE7E9E" w:rsidRPr="00515AA2">
        <w:rPr>
          <w:i/>
        </w:rPr>
        <w:noBreakHyphen/>
        <w:t>Ferdinand</w:t>
      </w:r>
      <w:r w:rsidR="00CE7E9E" w:rsidRPr="00515AA2">
        <w:t>, 1996 CanLII 172 (SCC), [1996] 3 S.C.R. 211, para. </w:t>
      </w:r>
      <w:r w:rsidR="00CE7E9E" w:rsidRPr="00515AA2">
        <w:rPr>
          <w:lang w:val="en-CA"/>
        </w:rPr>
        <w:t>105</w:t>
      </w:r>
      <w:r w:rsidRPr="00515AA2">
        <w:rPr>
          <w:lang w:val="en-CA"/>
        </w:rPr>
        <w:t>.</w:t>
      </w:r>
    </w:p>
  </w:footnote>
  <w:footnote w:id="103">
    <w:p w14:paraId="77899980" w14:textId="04AB0798" w:rsidR="0007001D" w:rsidRPr="00515AA2" w:rsidRDefault="0007001D">
      <w:pPr>
        <w:pStyle w:val="Notedebasdepage"/>
        <w:rPr>
          <w:lang w:val="en-CA"/>
        </w:rPr>
      </w:pPr>
      <w:r w:rsidRPr="00515AA2">
        <w:rPr>
          <w:rStyle w:val="Appelnotedebasdep"/>
        </w:rPr>
        <w:footnoteRef/>
      </w:r>
      <w:r w:rsidRPr="00515AA2">
        <w:rPr>
          <w:lang w:val="en-CA"/>
        </w:rPr>
        <w:t xml:space="preserve"> </w:t>
      </w:r>
      <w:r w:rsidRPr="00515AA2">
        <w:rPr>
          <w:lang w:val="en-CA"/>
        </w:rPr>
        <w:tab/>
      </w:r>
      <w:r w:rsidR="002327B4" w:rsidRPr="00515AA2">
        <w:rPr>
          <w:i/>
          <w:iCs/>
          <w:lang w:val="en-CA"/>
        </w:rPr>
        <w:t>Id.</w:t>
      </w:r>
      <w:r w:rsidRPr="00515AA2">
        <w:rPr>
          <w:lang w:val="en-CA"/>
        </w:rPr>
        <w:t>, para.</w:t>
      </w:r>
      <w:r w:rsidR="00B22793" w:rsidRPr="00515AA2">
        <w:rPr>
          <w:lang w:val="en-CA"/>
        </w:rPr>
        <w:t> </w:t>
      </w:r>
      <w:r w:rsidRPr="00515AA2">
        <w:rPr>
          <w:lang w:val="en-CA"/>
        </w:rPr>
        <w:t>58.</w:t>
      </w:r>
    </w:p>
  </w:footnote>
  <w:footnote w:id="104">
    <w:p w14:paraId="414BE263" w14:textId="304EF237" w:rsidR="0019291B" w:rsidRPr="00515AA2" w:rsidRDefault="0019291B" w:rsidP="0019291B">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Id</w:t>
      </w:r>
      <w:r w:rsidR="00CE7E9E" w:rsidRPr="00515AA2">
        <w:rPr>
          <w:i/>
          <w:iCs/>
          <w:lang w:val="en-CA"/>
        </w:rPr>
        <w:t>.</w:t>
      </w:r>
      <w:r w:rsidRPr="00515AA2">
        <w:rPr>
          <w:lang w:val="en-CA"/>
        </w:rPr>
        <w:t>, para. 58.</w:t>
      </w:r>
    </w:p>
  </w:footnote>
  <w:footnote w:id="105">
    <w:p w14:paraId="486F75CF" w14:textId="0F4B3322" w:rsidR="009E0B0A" w:rsidRPr="00515AA2" w:rsidRDefault="009E0B0A" w:rsidP="009E0B0A">
      <w:pPr>
        <w:pStyle w:val="Notedebasdepage"/>
        <w:rPr>
          <w:lang w:val="en-CA"/>
        </w:rPr>
      </w:pPr>
      <w:r w:rsidRPr="00515AA2">
        <w:rPr>
          <w:rStyle w:val="Appelnotedebasdep"/>
        </w:rPr>
        <w:footnoteRef/>
      </w:r>
      <w:r w:rsidRPr="00515AA2">
        <w:rPr>
          <w:lang w:val="en-CA"/>
        </w:rPr>
        <w:t xml:space="preserve"> </w:t>
      </w:r>
      <w:r w:rsidRPr="00515AA2">
        <w:rPr>
          <w:lang w:val="en-CA"/>
        </w:rPr>
        <w:tab/>
      </w:r>
      <w:r w:rsidR="00CE7E9E" w:rsidRPr="00515AA2">
        <w:rPr>
          <w:lang w:val="en-CA"/>
        </w:rPr>
        <w:t xml:space="preserve">Judgment under appeal, </w:t>
      </w:r>
      <w:r w:rsidR="00E667A8" w:rsidRPr="00515AA2">
        <w:rPr>
          <w:i/>
          <w:iCs/>
          <w:lang w:val="en-CA"/>
        </w:rPr>
        <w:t>supra</w:t>
      </w:r>
      <w:r w:rsidR="00E667A8" w:rsidRPr="00515AA2">
        <w:rPr>
          <w:lang w:val="en-CA"/>
        </w:rPr>
        <w:t xml:space="preserve">, </w:t>
      </w:r>
      <w:r w:rsidR="00881AC9" w:rsidRPr="00515AA2">
        <w:rPr>
          <w:rFonts w:cs="Arial"/>
          <w:lang w:val="en-CA"/>
        </w:rPr>
        <w:t xml:space="preserve">note </w:t>
      </w:r>
      <w:r w:rsidR="00881AC9" w:rsidRPr="00515AA2">
        <w:rPr>
          <w:rFonts w:cs="Arial"/>
        </w:rPr>
        <w:fldChar w:fldCharType="begin"/>
      </w:r>
      <w:r w:rsidR="00881AC9" w:rsidRPr="00515AA2">
        <w:rPr>
          <w:rFonts w:cs="Arial"/>
          <w:lang w:val="en-CA"/>
        </w:rPr>
        <w:instrText xml:space="preserve"> NOTEREF _Ref161233644 \h </w:instrText>
      </w:r>
      <w:r w:rsidR="00515AA2" w:rsidRPr="00315449">
        <w:rPr>
          <w:rFonts w:cs="Arial"/>
          <w:lang w:val="en-CA"/>
        </w:rPr>
        <w:instrText xml:space="preserve"> \* MERGEFORMAT </w:instrText>
      </w:r>
      <w:r w:rsidR="00881AC9" w:rsidRPr="00515AA2">
        <w:rPr>
          <w:rFonts w:cs="Arial"/>
        </w:rPr>
      </w:r>
      <w:r w:rsidR="00881AC9" w:rsidRPr="00515AA2">
        <w:rPr>
          <w:rFonts w:cs="Arial"/>
        </w:rPr>
        <w:fldChar w:fldCharType="separate"/>
      </w:r>
      <w:r w:rsidR="00C83535">
        <w:rPr>
          <w:rFonts w:cs="Arial"/>
          <w:lang w:val="en-CA"/>
        </w:rPr>
        <w:t>9</w:t>
      </w:r>
      <w:r w:rsidR="00881AC9" w:rsidRPr="00515AA2">
        <w:rPr>
          <w:rFonts w:cs="Arial"/>
        </w:rPr>
        <w:fldChar w:fldCharType="end"/>
      </w:r>
      <w:r w:rsidR="00881AC9" w:rsidRPr="00515AA2">
        <w:rPr>
          <w:rFonts w:cs="Arial"/>
          <w:lang w:val="en-CA"/>
        </w:rPr>
        <w:t>,</w:t>
      </w:r>
      <w:r w:rsidR="00E667A8" w:rsidRPr="00515AA2">
        <w:rPr>
          <w:lang w:val="en-CA"/>
        </w:rPr>
        <w:t xml:space="preserve"> </w:t>
      </w:r>
      <w:r w:rsidR="00CE7E9E" w:rsidRPr="00515AA2">
        <w:rPr>
          <w:lang w:val="en-CA"/>
        </w:rPr>
        <w:t>para. 122, citing the report of Dr. Françoise Susset, psychologist and family therapist.</w:t>
      </w:r>
    </w:p>
  </w:footnote>
  <w:footnote w:id="106">
    <w:p w14:paraId="6AD31B03" w14:textId="2ADE8503" w:rsidR="00700F74" w:rsidRPr="00515AA2" w:rsidRDefault="00700F74" w:rsidP="00700F74">
      <w:pPr>
        <w:pStyle w:val="Notedebasdepage"/>
        <w:rPr>
          <w:lang w:val="en-CA"/>
        </w:rPr>
      </w:pPr>
      <w:r w:rsidRPr="00515AA2">
        <w:rPr>
          <w:rStyle w:val="Appelnotedebasdep"/>
        </w:rPr>
        <w:footnoteRef/>
      </w:r>
      <w:r w:rsidRPr="00515AA2">
        <w:rPr>
          <w:lang w:val="en-CA"/>
        </w:rPr>
        <w:t xml:space="preserve"> </w:t>
      </w:r>
      <w:r w:rsidRPr="00515AA2">
        <w:rPr>
          <w:lang w:val="en-CA"/>
        </w:rPr>
        <w:tab/>
      </w:r>
      <w:r w:rsidR="005A7226" w:rsidRPr="00515AA2">
        <w:rPr>
          <w:lang w:val="en-CA"/>
        </w:rPr>
        <w:t xml:space="preserve">Judgment under appeal, </w:t>
      </w:r>
      <w:r w:rsidR="00E667A8" w:rsidRPr="00515AA2">
        <w:rPr>
          <w:i/>
          <w:iCs/>
          <w:lang w:val="en-CA"/>
        </w:rPr>
        <w:t>supra</w:t>
      </w:r>
      <w:r w:rsidR="00E667A8" w:rsidRPr="00515AA2">
        <w:rPr>
          <w:lang w:val="en-CA"/>
        </w:rPr>
        <w:t xml:space="preserve">, </w:t>
      </w:r>
      <w:r w:rsidR="00881AC9" w:rsidRPr="00515AA2">
        <w:rPr>
          <w:rFonts w:cs="Arial"/>
          <w:lang w:val="en-CA"/>
        </w:rPr>
        <w:t xml:space="preserve">note </w:t>
      </w:r>
      <w:r w:rsidR="00881AC9" w:rsidRPr="00515AA2">
        <w:rPr>
          <w:rFonts w:cs="Arial"/>
        </w:rPr>
        <w:fldChar w:fldCharType="begin"/>
      </w:r>
      <w:r w:rsidR="00881AC9" w:rsidRPr="00515AA2">
        <w:rPr>
          <w:rFonts w:cs="Arial"/>
          <w:lang w:val="en-CA"/>
        </w:rPr>
        <w:instrText xml:space="preserve"> NOTEREF _Ref161233644 \h </w:instrText>
      </w:r>
      <w:r w:rsidR="00515AA2" w:rsidRPr="00AB54C6">
        <w:rPr>
          <w:rFonts w:cs="Arial"/>
          <w:lang w:val="en-CA"/>
        </w:rPr>
        <w:instrText xml:space="preserve"> \* MERGEFORMAT </w:instrText>
      </w:r>
      <w:r w:rsidR="00881AC9" w:rsidRPr="00515AA2">
        <w:rPr>
          <w:rFonts w:cs="Arial"/>
        </w:rPr>
      </w:r>
      <w:r w:rsidR="00881AC9" w:rsidRPr="00515AA2">
        <w:rPr>
          <w:rFonts w:cs="Arial"/>
        </w:rPr>
        <w:fldChar w:fldCharType="separate"/>
      </w:r>
      <w:r w:rsidR="00C83535">
        <w:rPr>
          <w:rFonts w:cs="Arial"/>
          <w:lang w:val="en-CA"/>
        </w:rPr>
        <w:t>9</w:t>
      </w:r>
      <w:r w:rsidR="00881AC9" w:rsidRPr="00515AA2">
        <w:rPr>
          <w:rFonts w:cs="Arial"/>
        </w:rPr>
        <w:fldChar w:fldCharType="end"/>
      </w:r>
      <w:r w:rsidR="00881AC9" w:rsidRPr="00515AA2">
        <w:rPr>
          <w:rFonts w:cs="Arial"/>
          <w:lang w:val="en-CA"/>
        </w:rPr>
        <w:t>,</w:t>
      </w:r>
      <w:r w:rsidR="00E667A8" w:rsidRPr="00515AA2">
        <w:rPr>
          <w:lang w:val="en-CA"/>
        </w:rPr>
        <w:t xml:space="preserve"> </w:t>
      </w:r>
      <w:r w:rsidR="005A7226" w:rsidRPr="00515AA2">
        <w:rPr>
          <w:lang w:val="en-CA"/>
        </w:rPr>
        <w:t>paras. 135, 139</w:t>
      </w:r>
      <w:r w:rsidRPr="00515AA2">
        <w:rPr>
          <w:lang w:val="en-CA"/>
        </w:rPr>
        <w:t>.</w:t>
      </w:r>
    </w:p>
  </w:footnote>
  <w:footnote w:id="107">
    <w:p w14:paraId="2E04947E" w14:textId="1E60316B" w:rsidR="004770E4" w:rsidRPr="00515AA2" w:rsidRDefault="004770E4" w:rsidP="004770E4">
      <w:pPr>
        <w:pStyle w:val="Notedebasdepage"/>
      </w:pPr>
      <w:r w:rsidRPr="00515AA2">
        <w:rPr>
          <w:rStyle w:val="Appelnotedebasdep"/>
        </w:rPr>
        <w:footnoteRef/>
      </w:r>
      <w:r w:rsidRPr="00515AA2">
        <w:rPr>
          <w:lang w:val="en-CA"/>
        </w:rPr>
        <w:t xml:space="preserve"> </w:t>
      </w:r>
      <w:r w:rsidRPr="00515AA2">
        <w:rPr>
          <w:lang w:val="en-CA"/>
        </w:rPr>
        <w:tab/>
      </w:r>
      <w:r w:rsidR="005A7226" w:rsidRPr="00515AA2">
        <w:rPr>
          <w:i/>
          <w:iCs/>
          <w:lang w:val="en-CA"/>
        </w:rPr>
        <w:t xml:space="preserve">Ford v. Quebec (Attorney General), </w:t>
      </w:r>
      <w:r w:rsidR="005A7226" w:rsidRPr="00515AA2">
        <w:rPr>
          <w:lang w:val="en-CA"/>
        </w:rPr>
        <w:t xml:space="preserve">1988 CanLII 19 (SCC), [1988] 2 S.C.R. 712, pp. 769-770; </w:t>
      </w:r>
      <w:r w:rsidR="005A7226" w:rsidRPr="00515AA2">
        <w:rPr>
          <w:i/>
          <w:iCs/>
          <w:lang w:val="en-CA"/>
        </w:rPr>
        <w:t xml:space="preserve">Godbout v. Longueuil (City), </w:t>
      </w:r>
      <w:r w:rsidR="005A7226" w:rsidRPr="00515AA2">
        <w:rPr>
          <w:lang w:val="en-CA"/>
        </w:rPr>
        <w:t>1997 CanLII 335 (SCC) [1997] 3 S.C.R. 844</w:t>
      </w:r>
      <w:r w:rsidR="00E667A8" w:rsidRPr="00515AA2">
        <w:rPr>
          <w:lang w:val="en-CA"/>
        </w:rPr>
        <w:t xml:space="preserve">, </w:t>
      </w:r>
      <w:r w:rsidR="005A7226" w:rsidRPr="00515AA2">
        <w:rPr>
          <w:lang w:val="en-CA"/>
        </w:rPr>
        <w:t xml:space="preserve">p. 916; </w:t>
      </w:r>
      <w:r w:rsidR="005A7226" w:rsidRPr="00515AA2">
        <w:rPr>
          <w:i/>
          <w:iCs/>
          <w:lang w:val="en-CA"/>
        </w:rPr>
        <w:t xml:space="preserve">Local 143 of the Communications, Energy and Paperworks Union of Canada v. Goodyear Canada Inc., </w:t>
      </w:r>
      <w:r w:rsidR="005A7226" w:rsidRPr="00515AA2">
        <w:rPr>
          <w:lang w:val="en-CA"/>
        </w:rPr>
        <w:t>2007 QCCA 1686, para. </w:t>
      </w:r>
      <w:r w:rsidR="005A7226" w:rsidRPr="00515AA2">
        <w:t xml:space="preserve">18; </w:t>
      </w:r>
      <w:r w:rsidR="005A7226" w:rsidRPr="00515AA2">
        <w:rPr>
          <w:i/>
          <w:iCs/>
        </w:rPr>
        <w:t xml:space="preserve">Singh c. Montréal Gateway Terminal Partnerships, </w:t>
      </w:r>
      <w:r w:rsidR="005A7226" w:rsidRPr="00515AA2">
        <w:t>2019 QCCA 1494, para. 28.</w:t>
      </w:r>
    </w:p>
  </w:footnote>
  <w:footnote w:id="108">
    <w:p w14:paraId="6427592F" w14:textId="14348523" w:rsidR="004770E4" w:rsidRPr="00515AA2" w:rsidRDefault="004770E4" w:rsidP="004770E4">
      <w:pPr>
        <w:pStyle w:val="Notedebasdepage"/>
        <w:rPr>
          <w:lang w:val="en-CA"/>
        </w:rPr>
      </w:pPr>
      <w:r w:rsidRPr="00515AA2">
        <w:rPr>
          <w:rStyle w:val="Appelnotedebasdep"/>
        </w:rPr>
        <w:footnoteRef/>
      </w:r>
      <w:r w:rsidRPr="00515AA2">
        <w:t xml:space="preserve"> </w:t>
      </w:r>
      <w:r w:rsidRPr="00515AA2">
        <w:tab/>
      </w:r>
      <w:r w:rsidRPr="00515AA2">
        <w:rPr>
          <w:i/>
          <w:iCs/>
        </w:rPr>
        <w:t xml:space="preserve">Ward </w:t>
      </w:r>
      <w:r w:rsidR="005A7226" w:rsidRPr="00515AA2">
        <w:rPr>
          <w:i/>
          <w:iCs/>
        </w:rPr>
        <w:t>v</w:t>
      </w:r>
      <w:r w:rsidRPr="00515AA2">
        <w:rPr>
          <w:i/>
          <w:iCs/>
        </w:rPr>
        <w:t>. Qu</w:t>
      </w:r>
      <w:r w:rsidR="005A7226" w:rsidRPr="00515AA2">
        <w:rPr>
          <w:i/>
          <w:iCs/>
        </w:rPr>
        <w:t>e</w:t>
      </w:r>
      <w:r w:rsidRPr="00515AA2">
        <w:rPr>
          <w:i/>
          <w:iCs/>
        </w:rPr>
        <w:t>bec (Commission des droits de la personne et des droits de la jeunesse)</w:t>
      </w:r>
      <w:r w:rsidRPr="00515AA2">
        <w:t>,</w:t>
      </w:r>
      <w:r w:rsidR="005A7226" w:rsidRPr="00515AA2">
        <w:t xml:space="preserve"> </w:t>
      </w:r>
      <w:r w:rsidR="00ED7537" w:rsidRPr="00B77F06">
        <w:rPr>
          <w:i/>
          <w:iCs/>
        </w:rPr>
        <w:t>supra</w:t>
      </w:r>
      <w:r w:rsidR="00ED7537" w:rsidRPr="00B77F06">
        <w:t>,</w:t>
      </w:r>
      <w:r w:rsidR="005A7226" w:rsidRPr="00515AA2">
        <w:t xml:space="preserve"> note </w:t>
      </w:r>
      <w:r w:rsidR="005A7226" w:rsidRPr="00515AA2">
        <w:fldChar w:fldCharType="begin"/>
      </w:r>
      <w:r w:rsidR="005A7226" w:rsidRPr="00515AA2">
        <w:instrText xml:space="preserve"> NOTEREF _Ref157505212 \h </w:instrText>
      </w:r>
      <w:r w:rsidR="00FB3810" w:rsidRPr="00515AA2">
        <w:instrText xml:space="preserve"> \* MERGEFORMAT </w:instrText>
      </w:r>
      <w:r w:rsidR="005A7226" w:rsidRPr="00515AA2">
        <w:fldChar w:fldCharType="separate"/>
      </w:r>
      <w:r w:rsidR="00C83535">
        <w:t>101</w:t>
      </w:r>
      <w:r w:rsidR="005A7226" w:rsidRPr="00515AA2">
        <w:fldChar w:fldCharType="end"/>
      </w:r>
      <w:r w:rsidRPr="00515AA2">
        <w:t xml:space="preserve">, para. </w:t>
      </w:r>
      <w:r w:rsidRPr="00515AA2">
        <w:rPr>
          <w:lang w:val="en-CA"/>
        </w:rPr>
        <w:t>70.</w:t>
      </w:r>
    </w:p>
  </w:footnote>
  <w:footnote w:id="109">
    <w:p w14:paraId="61F0C095" w14:textId="0152BCF1" w:rsidR="002E461F" w:rsidRPr="00515AA2" w:rsidRDefault="002E461F" w:rsidP="002E461F">
      <w:pPr>
        <w:pStyle w:val="Notedebasdepage"/>
      </w:pPr>
      <w:r w:rsidRPr="00515AA2">
        <w:rPr>
          <w:rStyle w:val="Appelnotedebasdep"/>
        </w:rPr>
        <w:footnoteRef/>
      </w:r>
      <w:r w:rsidRPr="00515AA2">
        <w:rPr>
          <w:lang w:val="en-CA"/>
        </w:rPr>
        <w:t xml:space="preserve"> </w:t>
      </w:r>
      <w:r w:rsidRPr="00515AA2">
        <w:rPr>
          <w:lang w:val="en-CA"/>
        </w:rPr>
        <w:tab/>
      </w:r>
      <w:r w:rsidRPr="00515AA2">
        <w:rPr>
          <w:i/>
          <w:lang w:val="en-CA"/>
        </w:rPr>
        <w:t>Saskatchewan (Human Rights Commission) v. Whatcott</w:t>
      </w:r>
      <w:r w:rsidRPr="00515AA2">
        <w:rPr>
          <w:lang w:val="en-CA"/>
        </w:rPr>
        <w:t xml:space="preserve">, 2013 SCC 11, para. 101, </w:t>
      </w:r>
      <w:r w:rsidRPr="00515AA2">
        <w:rPr>
          <w:i/>
          <w:lang w:val="en-CA"/>
        </w:rPr>
        <w:t>Libman v. Quebec (Attorney General)</w:t>
      </w:r>
      <w:r w:rsidRPr="00515AA2">
        <w:rPr>
          <w:lang w:val="en-CA"/>
        </w:rPr>
        <w:t xml:space="preserve">, [1997] 3 S.C.R. 569, paras. 58, 59 and 62; </w:t>
      </w:r>
      <w:r w:rsidRPr="00515AA2">
        <w:rPr>
          <w:i/>
          <w:lang w:val="en-CA"/>
        </w:rPr>
        <w:t>Alberta v. Hutterian Bretheren of Wilson Colony</w:t>
      </w:r>
      <w:r w:rsidRPr="00515AA2">
        <w:rPr>
          <w:lang w:val="en-CA"/>
        </w:rPr>
        <w:t>, [2009] 2 S.C.R. 567, paras. </w:t>
      </w:r>
      <w:r w:rsidRPr="00515AA2">
        <w:t>53-55.</w:t>
      </w:r>
    </w:p>
  </w:footnote>
  <w:footnote w:id="110">
    <w:p w14:paraId="114C97BD" w14:textId="77777777" w:rsidR="002E461F" w:rsidRPr="00515AA2" w:rsidRDefault="002E461F" w:rsidP="002E461F">
      <w:pPr>
        <w:pStyle w:val="Notedebasdepage"/>
      </w:pPr>
      <w:r w:rsidRPr="00515AA2">
        <w:rPr>
          <w:rStyle w:val="Appelnotedebasdep"/>
        </w:rPr>
        <w:footnoteRef/>
      </w:r>
      <w:r w:rsidRPr="00515AA2">
        <w:t xml:space="preserve"> </w:t>
      </w:r>
      <w:r w:rsidRPr="00515AA2">
        <w:tab/>
      </w:r>
      <w:r w:rsidRPr="00515AA2">
        <w:rPr>
          <w:i/>
          <w:iCs/>
        </w:rPr>
        <w:t>Montreuil c. Québec (Directeur de l’état civil)</w:t>
      </w:r>
      <w:r w:rsidRPr="00515AA2">
        <w:t xml:space="preserve">, [1999] R.J.Q. 2819 (C.A.), pp. 2824-2825, 1999 CanLII 14648, pp. 11-14; </w:t>
      </w:r>
      <w:r w:rsidRPr="00515AA2">
        <w:rPr>
          <w:i/>
          <w:iCs/>
        </w:rPr>
        <w:t>Montreuil c. Directeur de l’état civil</w:t>
      </w:r>
      <w:r w:rsidRPr="00515AA2">
        <w:t>, 2002 CanLII 41257 (QC CA), p. 1.</w:t>
      </w:r>
    </w:p>
  </w:footnote>
  <w:footnote w:id="111">
    <w:p w14:paraId="4265F3F1" w14:textId="78E1413F" w:rsidR="002E461F" w:rsidRPr="00515AA2" w:rsidRDefault="002E461F" w:rsidP="002E461F">
      <w:pPr>
        <w:pStyle w:val="Notedebasdepage"/>
        <w:rPr>
          <w:lang w:val="en-CA"/>
        </w:rPr>
      </w:pPr>
      <w:r w:rsidRPr="00515AA2">
        <w:rPr>
          <w:rStyle w:val="Appelnotedebasdep"/>
        </w:rPr>
        <w:footnoteRef/>
      </w:r>
      <w:r w:rsidRPr="00515AA2">
        <w:rPr>
          <w:lang w:val="en-CA"/>
        </w:rPr>
        <w:t xml:space="preserve"> </w:t>
      </w:r>
      <w:r w:rsidRPr="00515AA2">
        <w:rPr>
          <w:lang w:val="en-CA"/>
        </w:rPr>
        <w:tab/>
        <w:t xml:space="preserve">In particular, in </w:t>
      </w:r>
      <w:r w:rsidRPr="00515AA2">
        <w:rPr>
          <w:i/>
          <w:lang w:val="en-CA"/>
        </w:rPr>
        <w:t>Saskatchewan (Human Rights Commission) v. Whatcott</w:t>
      </w:r>
      <w:r w:rsidRPr="00515AA2">
        <w:rPr>
          <w:lang w:val="en-CA"/>
        </w:rPr>
        <w:t xml:space="preserve">, </w:t>
      </w:r>
      <w:r w:rsidR="00E667A8" w:rsidRPr="00515AA2">
        <w:rPr>
          <w:i/>
          <w:iCs/>
          <w:lang w:val="en-CA"/>
        </w:rPr>
        <w:t>supra</w:t>
      </w:r>
      <w:r w:rsidR="00E667A8" w:rsidRPr="00515AA2">
        <w:rPr>
          <w:lang w:val="en-CA"/>
        </w:rPr>
        <w:t>,</w:t>
      </w:r>
      <w:r w:rsidRPr="00515AA2">
        <w:rPr>
          <w:i/>
          <w:iCs/>
          <w:lang w:val="en-CA"/>
        </w:rPr>
        <w:t xml:space="preserve"> </w:t>
      </w:r>
      <w:r w:rsidRPr="00515AA2">
        <w:rPr>
          <w:lang w:val="en-CA"/>
        </w:rPr>
        <w:t>note </w:t>
      </w:r>
      <w:r w:rsidRPr="00515AA2">
        <w:rPr>
          <w:lang w:val="en-CA"/>
        </w:rPr>
        <w:fldChar w:fldCharType="begin"/>
      </w:r>
      <w:r w:rsidRPr="00515AA2">
        <w:rPr>
          <w:lang w:val="en-CA"/>
        </w:rPr>
        <w:instrText xml:space="preserve"> NOTEREF _Ref157509162 \h </w:instrText>
      </w:r>
      <w:r w:rsidR="00FB3810" w:rsidRPr="00515AA2">
        <w:rPr>
          <w:lang w:val="en-CA"/>
        </w:rPr>
        <w:instrText xml:space="preserve"> \* MERGEFORMAT </w:instrText>
      </w:r>
      <w:r w:rsidRPr="00515AA2">
        <w:rPr>
          <w:lang w:val="en-CA"/>
        </w:rPr>
      </w:r>
      <w:r w:rsidRPr="00515AA2">
        <w:rPr>
          <w:lang w:val="en-CA"/>
        </w:rPr>
        <w:fldChar w:fldCharType="separate"/>
      </w:r>
      <w:r w:rsidR="00C83535">
        <w:rPr>
          <w:lang w:val="en-CA"/>
        </w:rPr>
        <w:t>109</w:t>
      </w:r>
      <w:r w:rsidRPr="00515AA2">
        <w:rPr>
          <w:lang w:val="en-CA"/>
        </w:rPr>
        <w:fldChar w:fldCharType="end"/>
      </w:r>
      <w:r w:rsidRPr="00515AA2">
        <w:rPr>
          <w:lang w:val="en-CA"/>
        </w:rPr>
        <w:t>, para. 78.</w:t>
      </w:r>
    </w:p>
  </w:footnote>
  <w:footnote w:id="112">
    <w:p w14:paraId="0DB6B08D" w14:textId="5D57C890" w:rsidR="00016EAA" w:rsidRPr="00515AA2" w:rsidRDefault="00016EAA" w:rsidP="00016EAA">
      <w:pPr>
        <w:pStyle w:val="Notedebasdepage"/>
        <w:rPr>
          <w:lang w:val="en-CA"/>
        </w:rPr>
      </w:pPr>
      <w:r w:rsidRPr="00515AA2">
        <w:rPr>
          <w:rStyle w:val="Appelnotedebasdep"/>
        </w:rPr>
        <w:footnoteRef/>
      </w:r>
      <w:r w:rsidRPr="00515AA2">
        <w:rPr>
          <w:lang w:val="en-CA"/>
        </w:rPr>
        <w:t xml:space="preserve"> </w:t>
      </w:r>
      <w:r w:rsidRPr="00515AA2">
        <w:rPr>
          <w:lang w:val="en-CA"/>
        </w:rPr>
        <w:tab/>
      </w:r>
      <w:r w:rsidR="005A7226" w:rsidRPr="00515AA2">
        <w:rPr>
          <w:lang w:val="en-CA"/>
        </w:rPr>
        <w:t xml:space="preserve">There is no </w:t>
      </w:r>
      <w:r w:rsidR="00833195" w:rsidRPr="00515AA2">
        <w:rPr>
          <w:lang w:val="en-CA"/>
        </w:rPr>
        <w:t xml:space="preserve">“register of </w:t>
      </w:r>
      <w:r w:rsidR="005A7226" w:rsidRPr="00515AA2">
        <w:rPr>
          <w:lang w:val="en-CA"/>
        </w:rPr>
        <w:t>civil status</w:t>
      </w:r>
      <w:r w:rsidR="00833195" w:rsidRPr="00515AA2">
        <w:rPr>
          <w:lang w:val="en-CA"/>
        </w:rPr>
        <w:t>”</w:t>
      </w:r>
      <w:r w:rsidR="005A7226" w:rsidRPr="00515AA2">
        <w:rPr>
          <w:lang w:val="en-CA"/>
        </w:rPr>
        <w:t xml:space="preserve"> similar to the Quebec model in the other Canadian jurisdictions. They each work under a register</w:t>
      </w:r>
      <w:r w:rsidR="00833195" w:rsidRPr="00515AA2">
        <w:rPr>
          <w:lang w:val="en-CA"/>
        </w:rPr>
        <w:t xml:space="preserve"> compiling data which role is essentially statistical and which do not constitute conclusive proof of their content.</w:t>
      </w:r>
      <w:r w:rsidRPr="00515AA2">
        <w:rPr>
          <w:lang w:val="en-CA"/>
        </w:rPr>
        <w:t xml:space="preserve"> </w:t>
      </w:r>
      <w:r w:rsidR="00833195" w:rsidRPr="00515AA2">
        <w:rPr>
          <w:lang w:val="en-CA"/>
        </w:rPr>
        <w:t xml:space="preserve">This register is </w:t>
      </w:r>
      <w:r w:rsidRPr="00515AA2">
        <w:rPr>
          <w:lang w:val="en-CA"/>
        </w:rPr>
        <w:t>cr</w:t>
      </w:r>
      <w:r w:rsidR="00833195" w:rsidRPr="00515AA2">
        <w:rPr>
          <w:lang w:val="en-CA"/>
        </w:rPr>
        <w:t>e</w:t>
      </w:r>
      <w:r w:rsidR="005A7226" w:rsidRPr="00515AA2">
        <w:rPr>
          <w:lang w:val="en-CA"/>
        </w:rPr>
        <w:t xml:space="preserve">ated by the </w:t>
      </w:r>
      <w:r w:rsidRPr="00515AA2">
        <w:rPr>
          <w:i/>
          <w:lang w:val="en-CA"/>
        </w:rPr>
        <w:t>Vital Statistics Act</w:t>
      </w:r>
      <w:r w:rsidRPr="00515AA2">
        <w:rPr>
          <w:lang w:val="en-CA"/>
        </w:rPr>
        <w:t xml:space="preserve">; </w:t>
      </w:r>
      <w:r w:rsidR="005A7226" w:rsidRPr="00515AA2">
        <w:rPr>
          <w:lang w:val="en-CA"/>
        </w:rPr>
        <w:t>see, in that regard:</w:t>
      </w:r>
      <w:r w:rsidRPr="00515AA2">
        <w:rPr>
          <w:lang w:val="en-CA"/>
        </w:rPr>
        <w:t xml:space="preserve"> </w:t>
      </w:r>
      <w:r w:rsidRPr="00515AA2">
        <w:rPr>
          <w:i/>
          <w:lang w:val="en-CA"/>
        </w:rPr>
        <w:t xml:space="preserve">British </w:t>
      </w:r>
      <w:r w:rsidR="00833195" w:rsidRPr="00515AA2">
        <w:rPr>
          <w:i/>
          <w:lang w:val="en-CA"/>
        </w:rPr>
        <w:t>Columbia: Vital Statistics Act</w:t>
      </w:r>
      <w:r w:rsidR="00833195" w:rsidRPr="00515AA2">
        <w:rPr>
          <w:lang w:val="en-CA"/>
        </w:rPr>
        <w:t xml:space="preserve">, RSBC 1996, c. 479; </w:t>
      </w:r>
      <w:r w:rsidR="00833195" w:rsidRPr="00515AA2">
        <w:rPr>
          <w:i/>
          <w:lang w:val="en-CA"/>
        </w:rPr>
        <w:t>Vital Statistics Act</w:t>
      </w:r>
      <w:r w:rsidR="00833195" w:rsidRPr="00515AA2">
        <w:rPr>
          <w:lang w:val="en-CA"/>
        </w:rPr>
        <w:t xml:space="preserve">, SA 2007, c. V-4.1; </w:t>
      </w:r>
      <w:r w:rsidR="00833195" w:rsidRPr="00515AA2">
        <w:rPr>
          <w:i/>
          <w:lang w:val="en-CA"/>
        </w:rPr>
        <w:t>The Vital Statistics Act</w:t>
      </w:r>
      <w:r w:rsidR="00833195" w:rsidRPr="00515AA2">
        <w:rPr>
          <w:lang w:val="en-CA"/>
        </w:rPr>
        <w:t xml:space="preserve">, 2009, SS 2009, c. V-7.21; </w:t>
      </w:r>
      <w:r w:rsidR="00833195" w:rsidRPr="00515AA2">
        <w:rPr>
          <w:i/>
          <w:iCs/>
          <w:lang w:val="en-CA"/>
        </w:rPr>
        <w:t>The Vital Statistics Act</w:t>
      </w:r>
      <w:r w:rsidR="00833195" w:rsidRPr="00515AA2">
        <w:rPr>
          <w:lang w:val="en-CA"/>
        </w:rPr>
        <w:t xml:space="preserve">, CCSM c. V60; </w:t>
      </w:r>
      <w:r w:rsidR="00833195" w:rsidRPr="00515AA2">
        <w:rPr>
          <w:i/>
          <w:iCs/>
          <w:lang w:val="en-CA"/>
        </w:rPr>
        <w:t>Vital Statistics Act</w:t>
      </w:r>
      <w:r w:rsidR="00833195" w:rsidRPr="00515AA2">
        <w:rPr>
          <w:lang w:val="en-CA"/>
        </w:rPr>
        <w:t xml:space="preserve">, RSO 1990, c. V.4; </w:t>
      </w:r>
      <w:r w:rsidR="00833195" w:rsidRPr="00515AA2">
        <w:rPr>
          <w:i/>
          <w:iCs/>
          <w:lang w:val="en-CA"/>
        </w:rPr>
        <w:t>Vital Statistics Act</w:t>
      </w:r>
      <w:r w:rsidR="00833195" w:rsidRPr="00515AA2">
        <w:rPr>
          <w:lang w:val="en-CA"/>
        </w:rPr>
        <w:t xml:space="preserve">, SNB 1979, c. V-3; </w:t>
      </w:r>
      <w:r w:rsidR="00833195" w:rsidRPr="00515AA2">
        <w:rPr>
          <w:i/>
          <w:lang w:val="en-CA"/>
        </w:rPr>
        <w:t>Vital Statistics Act</w:t>
      </w:r>
      <w:r w:rsidR="00833195" w:rsidRPr="00515AA2">
        <w:rPr>
          <w:lang w:val="en-CA"/>
        </w:rPr>
        <w:t xml:space="preserve">, RSNS 1989, c. 494; </w:t>
      </w:r>
      <w:r w:rsidR="00833195" w:rsidRPr="00515AA2">
        <w:rPr>
          <w:i/>
          <w:lang w:val="en-CA"/>
        </w:rPr>
        <w:t>Vital Statistics Act</w:t>
      </w:r>
      <w:r w:rsidR="00833195" w:rsidRPr="00515AA2">
        <w:rPr>
          <w:lang w:val="en-CA"/>
        </w:rPr>
        <w:t xml:space="preserve">, RSPEI 1988, c. V-4.1; </w:t>
      </w:r>
      <w:r w:rsidR="00833195" w:rsidRPr="00515AA2">
        <w:rPr>
          <w:i/>
          <w:lang w:val="en-CA"/>
        </w:rPr>
        <w:t>Vital Statistics Act</w:t>
      </w:r>
      <w:r w:rsidR="00833195" w:rsidRPr="00515AA2">
        <w:rPr>
          <w:lang w:val="en-CA"/>
        </w:rPr>
        <w:t xml:space="preserve">, </w:t>
      </w:r>
      <w:r w:rsidR="00833195" w:rsidRPr="00515AA2">
        <w:rPr>
          <w:i/>
          <w:lang w:val="en-CA"/>
        </w:rPr>
        <w:t>2009</w:t>
      </w:r>
      <w:r w:rsidR="00833195" w:rsidRPr="00515AA2">
        <w:rPr>
          <w:lang w:val="en-CA"/>
        </w:rPr>
        <w:t xml:space="preserve">, SNL 2009, c. V-6.01; </w:t>
      </w:r>
      <w:r w:rsidR="00833195" w:rsidRPr="00515AA2">
        <w:rPr>
          <w:i/>
          <w:iCs/>
          <w:lang w:val="en-CA"/>
        </w:rPr>
        <w:t>Vital Statistics Act</w:t>
      </w:r>
      <w:r w:rsidR="00833195" w:rsidRPr="00515AA2">
        <w:rPr>
          <w:lang w:val="en-CA"/>
        </w:rPr>
        <w:t xml:space="preserve">, SY 2002, c. 225; </w:t>
      </w:r>
      <w:r w:rsidR="00833195" w:rsidRPr="00515AA2">
        <w:rPr>
          <w:i/>
          <w:iCs/>
          <w:lang w:val="en-CA"/>
        </w:rPr>
        <w:t>Vital Statistics Act</w:t>
      </w:r>
      <w:r w:rsidR="00833195" w:rsidRPr="00515AA2">
        <w:rPr>
          <w:lang w:val="en-CA"/>
        </w:rPr>
        <w:t xml:space="preserve">, RSNWT 2011, c. 34 </w:t>
      </w:r>
      <w:r w:rsidR="00833195" w:rsidRPr="00515AA2">
        <w:rPr>
          <w:i/>
          <w:iCs/>
          <w:lang w:val="en-CA"/>
        </w:rPr>
        <w:t>Vital Statistics Act</w:t>
      </w:r>
      <w:r w:rsidR="00833195" w:rsidRPr="00515AA2">
        <w:rPr>
          <w:lang w:val="en-CA"/>
        </w:rPr>
        <w:t>, RSNWT (Nu) 1988, c. V-3</w:t>
      </w:r>
      <w:r w:rsidRPr="00515AA2">
        <w:rPr>
          <w:lang w:val="en-CA"/>
        </w:rPr>
        <w:t>.</w:t>
      </w:r>
    </w:p>
  </w:footnote>
  <w:footnote w:id="113">
    <w:p w14:paraId="349FCEBD" w14:textId="38CE91E3" w:rsidR="00016EAA" w:rsidRPr="00515AA2" w:rsidRDefault="00016EAA" w:rsidP="00B15717">
      <w:pPr>
        <w:pStyle w:val="Notedebasdepage"/>
        <w:ind w:left="426" w:hanging="426"/>
      </w:pPr>
      <w:r w:rsidRPr="00515AA2">
        <w:rPr>
          <w:rStyle w:val="Appelnotedebasdep"/>
        </w:rPr>
        <w:footnoteRef/>
      </w:r>
      <w:r w:rsidRPr="00515AA2">
        <w:t xml:space="preserve"> </w:t>
      </w:r>
      <w:r w:rsidRPr="00515AA2">
        <w:tab/>
      </w:r>
      <w:r w:rsidR="00833195" w:rsidRPr="00515AA2">
        <w:rPr>
          <w:i/>
        </w:rPr>
        <w:t>R</w:t>
      </w:r>
      <w:r w:rsidR="00833195" w:rsidRPr="00515AA2">
        <w:t xml:space="preserve">. </w:t>
      </w:r>
      <w:r w:rsidR="00833195" w:rsidRPr="00515AA2">
        <w:rPr>
          <w:i/>
          <w:iCs/>
        </w:rPr>
        <w:t>v.</w:t>
      </w:r>
      <w:r w:rsidR="00833195" w:rsidRPr="00515AA2">
        <w:t xml:space="preserve"> </w:t>
      </w:r>
      <w:r w:rsidR="00833195" w:rsidRPr="00515AA2">
        <w:rPr>
          <w:i/>
        </w:rPr>
        <w:t>Oakes</w:t>
      </w:r>
      <w:r w:rsidR="00833195" w:rsidRPr="00515AA2">
        <w:t>, [1986] 1 S.C.R. 103, paras. 69, 70</w:t>
      </w:r>
      <w:r w:rsidRPr="00515AA2">
        <w:t>.</w:t>
      </w:r>
    </w:p>
  </w:footnote>
  <w:footnote w:id="114">
    <w:p w14:paraId="1A634DA9" w14:textId="46DC92A4" w:rsidR="007C4192" w:rsidRPr="00515AA2" w:rsidRDefault="007C4192" w:rsidP="007C4192">
      <w:pPr>
        <w:pStyle w:val="Notedebasdepage"/>
        <w:ind w:left="426" w:hanging="426"/>
        <w:rPr>
          <w:rFonts w:cs="Arial"/>
          <w:lang w:val="en-CA"/>
        </w:rPr>
      </w:pPr>
      <w:r w:rsidRPr="00515AA2">
        <w:rPr>
          <w:rStyle w:val="Appelnotedebasdep"/>
          <w:rFonts w:cs="Arial"/>
        </w:rPr>
        <w:footnoteRef/>
      </w:r>
      <w:r w:rsidRPr="00515AA2">
        <w:rPr>
          <w:rFonts w:cs="Arial"/>
        </w:rPr>
        <w:t xml:space="preserve"> </w:t>
      </w:r>
      <w:r w:rsidRPr="00515AA2">
        <w:rPr>
          <w:rFonts w:cs="Arial"/>
        </w:rPr>
        <w:tab/>
      </w:r>
      <w:r w:rsidRPr="00515AA2">
        <w:rPr>
          <w:rFonts w:cs="Arial"/>
          <w:i/>
        </w:rPr>
        <w:t>Mouvement laïque québécois</w:t>
      </w:r>
      <w:r w:rsidRPr="00515AA2">
        <w:rPr>
          <w:rFonts w:cs="Arial"/>
        </w:rPr>
        <w:t xml:space="preserve"> </w:t>
      </w:r>
      <w:r w:rsidRPr="00515AA2">
        <w:rPr>
          <w:rFonts w:cs="Arial"/>
          <w:i/>
          <w:iCs/>
        </w:rPr>
        <w:t>v</w:t>
      </w:r>
      <w:r w:rsidRPr="00515AA2">
        <w:rPr>
          <w:rFonts w:cs="Arial"/>
        </w:rPr>
        <w:t xml:space="preserve">. </w:t>
      </w:r>
      <w:r w:rsidRPr="00515AA2">
        <w:rPr>
          <w:rFonts w:cs="Arial"/>
          <w:i/>
        </w:rPr>
        <w:t>Saguenay (City)</w:t>
      </w:r>
      <w:r w:rsidRPr="00515AA2">
        <w:rPr>
          <w:rFonts w:cs="Arial"/>
        </w:rPr>
        <w:t xml:space="preserve">, </w:t>
      </w:r>
      <w:r w:rsidRPr="00515AA2">
        <w:t>[2015] SCC 3,</w:t>
      </w:r>
      <w:r w:rsidRPr="00515AA2">
        <w:rPr>
          <w:rFonts w:cs="Arial"/>
        </w:rPr>
        <w:t xml:space="preserve"> para. </w:t>
      </w:r>
      <w:r w:rsidRPr="00515AA2">
        <w:rPr>
          <w:rFonts w:cs="Arial"/>
          <w:lang w:val="en-CA"/>
        </w:rPr>
        <w:t>90.</w:t>
      </w:r>
    </w:p>
  </w:footnote>
  <w:footnote w:id="115">
    <w:p w14:paraId="2DBF1F2E" w14:textId="293C7B05" w:rsidR="00A80EA5" w:rsidRPr="00515AA2" w:rsidRDefault="00A80EA5">
      <w:pPr>
        <w:pStyle w:val="Notedebasdepage"/>
        <w:rPr>
          <w:lang w:val="en-CA"/>
        </w:rPr>
      </w:pPr>
      <w:r w:rsidRPr="00515AA2">
        <w:rPr>
          <w:rStyle w:val="Appelnotedebasdep"/>
        </w:rPr>
        <w:footnoteRef/>
      </w:r>
      <w:r w:rsidRPr="00515AA2">
        <w:rPr>
          <w:lang w:val="en-CA"/>
        </w:rPr>
        <w:t xml:space="preserve"> </w:t>
      </w:r>
      <w:r w:rsidRPr="00515AA2">
        <w:rPr>
          <w:lang w:val="en-CA"/>
        </w:rPr>
        <w:tab/>
      </w:r>
      <w:r w:rsidR="00C37BC1" w:rsidRPr="00515AA2">
        <w:rPr>
          <w:lang w:val="en-CA"/>
        </w:rPr>
        <w:t xml:space="preserve"> </w:t>
      </w:r>
      <w:r w:rsidR="00833195" w:rsidRPr="00515AA2">
        <w:rPr>
          <w:lang w:val="en-CA"/>
        </w:rPr>
        <w:t>Respondent’s Brief</w:t>
      </w:r>
      <w:r w:rsidR="00A26334" w:rsidRPr="00515AA2">
        <w:rPr>
          <w:lang w:val="en-CA"/>
        </w:rPr>
        <w:t>,</w:t>
      </w:r>
      <w:r w:rsidR="00833195" w:rsidRPr="00515AA2">
        <w:rPr>
          <w:lang w:val="en-CA"/>
        </w:rPr>
        <w:t xml:space="preserve"> para. 64</w:t>
      </w:r>
      <w:r w:rsidRPr="00515AA2">
        <w:rPr>
          <w:lang w:val="en-CA"/>
        </w:rPr>
        <w:t>.</w:t>
      </w:r>
    </w:p>
  </w:footnote>
  <w:footnote w:id="116">
    <w:p w14:paraId="63EB5E5D" w14:textId="77ECBF23" w:rsidR="00D03B88" w:rsidRPr="00515AA2" w:rsidRDefault="00D03B88">
      <w:pPr>
        <w:pStyle w:val="Notedebasdepage"/>
        <w:rPr>
          <w:lang w:val="en-US"/>
        </w:rPr>
      </w:pPr>
      <w:r w:rsidRPr="00515AA2">
        <w:rPr>
          <w:rStyle w:val="Appelnotedebasdep"/>
        </w:rPr>
        <w:footnoteRef/>
      </w:r>
      <w:r w:rsidRPr="00515AA2">
        <w:rPr>
          <w:lang w:val="en-CA"/>
        </w:rPr>
        <w:t xml:space="preserve"> </w:t>
      </w:r>
      <w:r w:rsidRPr="00515AA2">
        <w:rPr>
          <w:i/>
          <w:iCs/>
          <w:lang w:val="en-CA"/>
        </w:rPr>
        <w:tab/>
      </w:r>
      <w:r w:rsidR="00833195" w:rsidRPr="00515AA2">
        <w:rPr>
          <w:i/>
          <w:iCs/>
          <w:lang w:val="en-CA"/>
        </w:rPr>
        <w:t>Alberta v. Hutterian Brethren of Wilson Colony</w:t>
      </w:r>
      <w:r w:rsidR="00833195" w:rsidRPr="00515AA2">
        <w:rPr>
          <w:lang w:val="en-CA"/>
        </w:rPr>
        <w:t xml:space="preserve">, </w:t>
      </w:r>
      <w:bookmarkStart w:id="71" w:name="_Hlk155876695"/>
      <w:r w:rsidR="00833195" w:rsidRPr="00515AA2">
        <w:rPr>
          <w:lang w:val="en-CA"/>
        </w:rPr>
        <w:t xml:space="preserve">[2009] </w:t>
      </w:r>
      <w:bookmarkEnd w:id="71"/>
      <w:r w:rsidR="00833195" w:rsidRPr="00515AA2">
        <w:rPr>
          <w:lang w:val="en-CA"/>
        </w:rPr>
        <w:t>2 S.C.R. 567, para. </w:t>
      </w:r>
      <w:r w:rsidR="00833195" w:rsidRPr="00515AA2">
        <w:rPr>
          <w:lang w:val="en-US"/>
        </w:rPr>
        <w:t>48</w:t>
      </w:r>
      <w:r w:rsidRPr="00515AA2">
        <w:rPr>
          <w:lang w:val="en-US"/>
        </w:rPr>
        <w:t>.</w:t>
      </w:r>
    </w:p>
  </w:footnote>
  <w:footnote w:id="117">
    <w:p w14:paraId="7B74D216" w14:textId="79B9F26A" w:rsidR="00631FDE" w:rsidRPr="00515AA2" w:rsidRDefault="00631FDE" w:rsidP="00631FD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833195" w:rsidRPr="00515AA2">
        <w:rPr>
          <w:rFonts w:cs="Arial"/>
          <w:lang w:val="en-CA"/>
        </w:rPr>
        <w:t>Judgment under appeal,</w:t>
      </w:r>
      <w:r w:rsidR="00686F9C" w:rsidRPr="00515AA2">
        <w:rPr>
          <w:rFonts w:cs="Arial"/>
          <w:lang w:val="en-CA"/>
        </w:rPr>
        <w:t xml:space="preserve"> </w:t>
      </w:r>
      <w:r w:rsidR="00686F9C" w:rsidRPr="00515AA2">
        <w:rPr>
          <w:rFonts w:cs="Arial"/>
          <w:i/>
          <w:iCs/>
          <w:lang w:val="en-CA"/>
        </w:rPr>
        <w:t>supra</w:t>
      </w:r>
      <w:r w:rsidR="00686F9C" w:rsidRPr="00515AA2">
        <w:rPr>
          <w:rFonts w:cs="Arial"/>
          <w:lang w:val="en-CA"/>
        </w:rPr>
        <w:t xml:space="preserve">, </w:t>
      </w:r>
      <w:r w:rsidR="00881AC9" w:rsidRPr="00515AA2">
        <w:rPr>
          <w:rFonts w:cs="Arial"/>
          <w:lang w:val="en-CA"/>
        </w:rPr>
        <w:t xml:space="preserve">note </w:t>
      </w:r>
      <w:r w:rsidR="00881AC9" w:rsidRPr="00515AA2">
        <w:rPr>
          <w:rFonts w:cs="Arial"/>
        </w:rPr>
        <w:fldChar w:fldCharType="begin"/>
      </w:r>
      <w:r w:rsidR="00881AC9" w:rsidRPr="00515AA2">
        <w:rPr>
          <w:rFonts w:cs="Arial"/>
          <w:lang w:val="en-CA"/>
        </w:rPr>
        <w:instrText xml:space="preserve"> NOTEREF _Ref161233644 \h </w:instrText>
      </w:r>
      <w:r w:rsidR="00515AA2" w:rsidRPr="00315449">
        <w:rPr>
          <w:rFonts w:cs="Arial"/>
          <w:lang w:val="en-CA"/>
        </w:rPr>
        <w:instrText xml:space="preserve"> \* MERGEFORMAT </w:instrText>
      </w:r>
      <w:r w:rsidR="00881AC9" w:rsidRPr="00515AA2">
        <w:rPr>
          <w:rFonts w:cs="Arial"/>
        </w:rPr>
      </w:r>
      <w:r w:rsidR="00881AC9" w:rsidRPr="00515AA2">
        <w:rPr>
          <w:rFonts w:cs="Arial"/>
        </w:rPr>
        <w:fldChar w:fldCharType="separate"/>
      </w:r>
      <w:r w:rsidR="00C83535">
        <w:rPr>
          <w:rFonts w:cs="Arial"/>
          <w:lang w:val="en-CA"/>
        </w:rPr>
        <w:t>9</w:t>
      </w:r>
      <w:r w:rsidR="00881AC9" w:rsidRPr="00515AA2">
        <w:rPr>
          <w:rFonts w:cs="Arial"/>
        </w:rPr>
        <w:fldChar w:fldCharType="end"/>
      </w:r>
      <w:r w:rsidR="00881AC9" w:rsidRPr="00515AA2">
        <w:rPr>
          <w:rFonts w:cs="Arial"/>
          <w:lang w:val="en-CA"/>
        </w:rPr>
        <w:t xml:space="preserve">, </w:t>
      </w:r>
      <w:r w:rsidR="00833195" w:rsidRPr="00515AA2">
        <w:rPr>
          <w:rFonts w:cs="Arial"/>
          <w:lang w:val="en-CA"/>
        </w:rPr>
        <w:t>para. 267</w:t>
      </w:r>
      <w:r w:rsidRPr="00515AA2">
        <w:rPr>
          <w:rFonts w:cs="Arial"/>
          <w:lang w:val="en-CA"/>
        </w:rPr>
        <w:t>.</w:t>
      </w:r>
    </w:p>
  </w:footnote>
  <w:footnote w:id="118">
    <w:p w14:paraId="4BAC7FCA" w14:textId="1A64F50D" w:rsidR="00631FDE" w:rsidRPr="00515AA2" w:rsidRDefault="00631FDE" w:rsidP="00631FD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833195" w:rsidRPr="00515AA2">
        <w:rPr>
          <w:rFonts w:cs="Arial"/>
          <w:i/>
          <w:iCs/>
          <w:lang w:val="en-CA"/>
        </w:rPr>
        <w:t>Id.</w:t>
      </w:r>
      <w:r w:rsidR="00833195" w:rsidRPr="00515AA2">
        <w:rPr>
          <w:rFonts w:cs="Arial"/>
          <w:lang w:val="en-CA"/>
        </w:rPr>
        <w:t>,</w:t>
      </w:r>
      <w:r w:rsidR="00833195" w:rsidRPr="00515AA2">
        <w:rPr>
          <w:rFonts w:cs="Arial"/>
          <w:i/>
          <w:iCs/>
          <w:lang w:val="en-CA"/>
        </w:rPr>
        <w:t xml:space="preserve"> </w:t>
      </w:r>
      <w:r w:rsidR="00833195" w:rsidRPr="00515AA2">
        <w:rPr>
          <w:rFonts w:cs="Arial"/>
          <w:lang w:val="en-CA"/>
        </w:rPr>
        <w:t>para</w:t>
      </w:r>
      <w:r w:rsidRPr="00515AA2">
        <w:rPr>
          <w:rFonts w:cs="Arial"/>
          <w:lang w:val="en-CA"/>
        </w:rPr>
        <w:t>.</w:t>
      </w:r>
      <w:r w:rsidR="006B578B" w:rsidRPr="00515AA2">
        <w:rPr>
          <w:rFonts w:cs="Arial"/>
          <w:lang w:val="en-CA"/>
        </w:rPr>
        <w:t> </w:t>
      </w:r>
      <w:r w:rsidRPr="00515AA2">
        <w:rPr>
          <w:rFonts w:cs="Arial"/>
          <w:lang w:val="en-CA"/>
        </w:rPr>
        <w:t>267.</w:t>
      </w:r>
    </w:p>
  </w:footnote>
  <w:footnote w:id="119">
    <w:p w14:paraId="33AF5481" w14:textId="2337DDC5" w:rsidR="00631FDE" w:rsidRPr="00515AA2" w:rsidRDefault="00631FDE" w:rsidP="00631FD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D6502D" w:rsidRPr="00515AA2">
        <w:rPr>
          <w:rFonts w:cs="Arial"/>
          <w:lang w:val="en-CA"/>
        </w:rPr>
        <w:t xml:space="preserve">Judgment under appeal, </w:t>
      </w:r>
      <w:r w:rsidR="00D6502D" w:rsidRPr="00515AA2">
        <w:rPr>
          <w:rFonts w:cs="Arial"/>
          <w:i/>
          <w:iCs/>
          <w:lang w:val="en-CA"/>
        </w:rPr>
        <w:t>supra</w:t>
      </w:r>
      <w:r w:rsidR="00D6502D" w:rsidRPr="00515AA2">
        <w:rPr>
          <w:rFonts w:cs="Arial"/>
          <w:lang w:val="en-CA"/>
        </w:rPr>
        <w:t xml:space="preserve">, note </w:t>
      </w:r>
      <w:r w:rsidR="00D6502D" w:rsidRPr="00515AA2">
        <w:rPr>
          <w:rFonts w:cs="Arial"/>
        </w:rPr>
        <w:fldChar w:fldCharType="begin"/>
      </w:r>
      <w:r w:rsidR="00D6502D" w:rsidRPr="00515AA2">
        <w:rPr>
          <w:rFonts w:cs="Arial"/>
          <w:lang w:val="en-CA"/>
        </w:rPr>
        <w:instrText xml:space="preserve"> NOTEREF _Ref161233644 \h </w:instrText>
      </w:r>
      <w:r w:rsidR="00515AA2" w:rsidRPr="00315449">
        <w:rPr>
          <w:rFonts w:cs="Arial"/>
          <w:lang w:val="en-CA"/>
        </w:rPr>
        <w:instrText xml:space="preserve"> \* MERGEFORMAT </w:instrText>
      </w:r>
      <w:r w:rsidR="00D6502D" w:rsidRPr="00515AA2">
        <w:rPr>
          <w:rFonts w:cs="Arial"/>
        </w:rPr>
      </w:r>
      <w:r w:rsidR="00D6502D" w:rsidRPr="00515AA2">
        <w:rPr>
          <w:rFonts w:cs="Arial"/>
        </w:rPr>
        <w:fldChar w:fldCharType="separate"/>
      </w:r>
      <w:r w:rsidR="00C83535">
        <w:rPr>
          <w:rFonts w:cs="Arial"/>
          <w:lang w:val="en-CA"/>
        </w:rPr>
        <w:t>9</w:t>
      </w:r>
      <w:r w:rsidR="00D6502D" w:rsidRPr="00515AA2">
        <w:rPr>
          <w:rFonts w:cs="Arial"/>
        </w:rPr>
        <w:fldChar w:fldCharType="end"/>
      </w:r>
      <w:r w:rsidR="00D6502D" w:rsidRPr="00515AA2">
        <w:rPr>
          <w:rFonts w:cs="Arial"/>
          <w:lang w:val="en-CA"/>
        </w:rPr>
        <w:t xml:space="preserve">, </w:t>
      </w:r>
      <w:r w:rsidR="00833195" w:rsidRPr="00515AA2">
        <w:rPr>
          <w:rFonts w:cs="Arial"/>
          <w:lang w:val="en-CA"/>
        </w:rPr>
        <w:t>para. </w:t>
      </w:r>
      <w:r w:rsidRPr="00515AA2">
        <w:rPr>
          <w:rFonts w:cs="Arial"/>
          <w:lang w:val="en-CA"/>
        </w:rPr>
        <w:t>268.</w:t>
      </w:r>
    </w:p>
  </w:footnote>
  <w:footnote w:id="120">
    <w:p w14:paraId="6849B6D2" w14:textId="2921C1D9" w:rsidR="00631FDE" w:rsidRPr="00515AA2" w:rsidRDefault="00631FDE" w:rsidP="00631FDE">
      <w:pPr>
        <w:pStyle w:val="Notedebasdepage"/>
        <w:rPr>
          <w:rFonts w:cs="Arial"/>
          <w:lang w:val="en-CA"/>
        </w:rPr>
      </w:pPr>
      <w:r w:rsidRPr="00515AA2">
        <w:rPr>
          <w:rStyle w:val="Appelnotedebasdep"/>
          <w:rFonts w:cs="Arial"/>
        </w:rPr>
        <w:footnoteRef/>
      </w:r>
      <w:r w:rsidRPr="00515AA2">
        <w:rPr>
          <w:rFonts w:cs="Arial"/>
          <w:lang w:val="en-CA"/>
        </w:rPr>
        <w:t xml:space="preserve"> </w:t>
      </w:r>
      <w:r w:rsidRPr="00515AA2">
        <w:rPr>
          <w:rFonts w:cs="Arial"/>
          <w:lang w:val="en-CA"/>
        </w:rPr>
        <w:tab/>
      </w:r>
      <w:r w:rsidR="00833195" w:rsidRPr="00515AA2">
        <w:rPr>
          <w:rFonts w:cs="Arial"/>
          <w:i/>
          <w:iCs/>
          <w:lang w:val="en-CA"/>
        </w:rPr>
        <w:t>Id.</w:t>
      </w:r>
      <w:r w:rsidR="00833195" w:rsidRPr="00515AA2">
        <w:rPr>
          <w:rFonts w:cs="Arial"/>
          <w:lang w:val="en-CA"/>
        </w:rPr>
        <w:t>,</w:t>
      </w:r>
      <w:r w:rsidR="00833195" w:rsidRPr="00515AA2">
        <w:rPr>
          <w:rFonts w:cs="Arial"/>
          <w:i/>
          <w:iCs/>
          <w:lang w:val="en-CA"/>
        </w:rPr>
        <w:t xml:space="preserve"> </w:t>
      </w:r>
      <w:r w:rsidR="00833195" w:rsidRPr="00515AA2">
        <w:rPr>
          <w:rFonts w:cs="Arial"/>
          <w:lang w:val="en-CA"/>
        </w:rPr>
        <w:t>paras. </w:t>
      </w:r>
      <w:r w:rsidRPr="00515AA2">
        <w:rPr>
          <w:rFonts w:cs="Arial"/>
          <w:lang w:val="en-CA"/>
        </w:rPr>
        <w:t>272</w:t>
      </w:r>
      <w:r w:rsidR="004D5637" w:rsidRPr="00515AA2">
        <w:rPr>
          <w:rFonts w:cs="Arial"/>
          <w:lang w:val="en-CA"/>
        </w:rPr>
        <w:t xml:space="preserve"> </w:t>
      </w:r>
      <w:r w:rsidR="00833195" w:rsidRPr="00515AA2">
        <w:rPr>
          <w:rFonts w:cs="Arial"/>
          <w:lang w:val="en-CA"/>
        </w:rPr>
        <w:t>-</w:t>
      </w:r>
      <w:r w:rsidRPr="00515AA2">
        <w:rPr>
          <w:rFonts w:cs="Arial"/>
          <w:lang w:val="en-CA"/>
        </w:rPr>
        <w:t>273.</w:t>
      </w:r>
    </w:p>
  </w:footnote>
  <w:footnote w:id="121">
    <w:p w14:paraId="66DEA720" w14:textId="0F166977" w:rsidR="003629D3" w:rsidRPr="00515AA2" w:rsidRDefault="003629D3">
      <w:pPr>
        <w:pStyle w:val="Notedebasdepage"/>
        <w:rPr>
          <w:lang w:val="en-CA"/>
        </w:rPr>
      </w:pPr>
      <w:r w:rsidRPr="00515AA2">
        <w:rPr>
          <w:rStyle w:val="Appelnotedebasdep"/>
        </w:rPr>
        <w:footnoteRef/>
      </w:r>
      <w:r w:rsidRPr="00515AA2">
        <w:rPr>
          <w:lang w:val="en-CA"/>
        </w:rPr>
        <w:t xml:space="preserve"> </w:t>
      </w:r>
      <w:r w:rsidRPr="00515AA2">
        <w:rPr>
          <w:lang w:val="en-CA"/>
        </w:rPr>
        <w:tab/>
      </w:r>
      <w:r w:rsidR="00833195" w:rsidRPr="00515AA2">
        <w:rPr>
          <w:rFonts w:cs="Arial"/>
          <w:i/>
          <w:iCs/>
          <w:lang w:val="en-CA"/>
        </w:rPr>
        <w:t>Id.</w:t>
      </w:r>
      <w:r w:rsidR="00833195" w:rsidRPr="00515AA2">
        <w:rPr>
          <w:rFonts w:cs="Arial"/>
          <w:lang w:val="en-CA"/>
        </w:rPr>
        <w:t>,</w:t>
      </w:r>
      <w:r w:rsidR="00833195" w:rsidRPr="00515AA2">
        <w:rPr>
          <w:rFonts w:cs="Arial"/>
          <w:i/>
          <w:iCs/>
          <w:lang w:val="en-CA"/>
        </w:rPr>
        <w:t xml:space="preserve"> </w:t>
      </w:r>
      <w:r w:rsidR="00833195" w:rsidRPr="00515AA2">
        <w:rPr>
          <w:rFonts w:cs="Arial"/>
          <w:lang w:val="en-CA"/>
        </w:rPr>
        <w:t>paras</w:t>
      </w:r>
      <w:r w:rsidRPr="00515AA2">
        <w:rPr>
          <w:lang w:val="en-CA"/>
        </w:rPr>
        <w:t>.</w:t>
      </w:r>
      <w:r w:rsidR="006B578B" w:rsidRPr="00515AA2">
        <w:rPr>
          <w:lang w:val="en-CA"/>
        </w:rPr>
        <w:t> </w:t>
      </w:r>
      <w:r w:rsidR="005E7EBC" w:rsidRPr="00515AA2">
        <w:rPr>
          <w:lang w:val="en-CA"/>
        </w:rPr>
        <w:t>72</w:t>
      </w:r>
      <w:r w:rsidR="004A24E8" w:rsidRPr="00515AA2">
        <w:rPr>
          <w:lang w:val="en-CA"/>
        </w:rPr>
        <w:t>-</w:t>
      </w:r>
      <w:r w:rsidR="005E7EBC" w:rsidRPr="00515AA2">
        <w:rPr>
          <w:lang w:val="en-CA"/>
        </w:rPr>
        <w:t>82.</w:t>
      </w:r>
    </w:p>
  </w:footnote>
  <w:footnote w:id="122">
    <w:p w14:paraId="75BCD4B4" w14:textId="490BBDA8" w:rsidR="00E47507" w:rsidRPr="00515AA2" w:rsidRDefault="00E47507">
      <w:pPr>
        <w:pStyle w:val="Notedebasdepage"/>
        <w:rPr>
          <w:lang w:val="en-CA"/>
        </w:rPr>
      </w:pPr>
      <w:r w:rsidRPr="00515AA2">
        <w:rPr>
          <w:rStyle w:val="Appelnotedebasdep"/>
        </w:rPr>
        <w:footnoteRef/>
      </w:r>
      <w:r w:rsidRPr="00515AA2">
        <w:rPr>
          <w:lang w:val="en-CA"/>
        </w:rPr>
        <w:t xml:space="preserve"> </w:t>
      </w:r>
      <w:r w:rsidRPr="00515AA2">
        <w:rPr>
          <w:lang w:val="en-CA"/>
        </w:rPr>
        <w:tab/>
      </w:r>
      <w:r w:rsidR="00833195" w:rsidRPr="00515AA2">
        <w:rPr>
          <w:i/>
          <w:iCs/>
          <w:lang w:val="en-CA"/>
        </w:rPr>
        <w:t>Frank v. Canada (Attorney General),</w:t>
      </w:r>
      <w:r w:rsidR="00833195" w:rsidRPr="00515AA2">
        <w:rPr>
          <w:lang w:val="en-CA"/>
        </w:rPr>
        <w:t xml:space="preserve"> [2019] 1 S.C.R. 3, para. 66</w:t>
      </w:r>
      <w:r w:rsidRPr="00515AA2">
        <w:rPr>
          <w:lang w:val="en-CA"/>
        </w:rPr>
        <w:t>.</w:t>
      </w:r>
    </w:p>
  </w:footnote>
  <w:footnote w:id="123">
    <w:p w14:paraId="1868A9DA" w14:textId="5F441E68" w:rsidR="005A616B" w:rsidRPr="00515AA2" w:rsidRDefault="0097075E" w:rsidP="00FF1E05">
      <w:pPr>
        <w:pStyle w:val="Notedebasdepage"/>
        <w:rPr>
          <w:lang w:val="en-CA"/>
        </w:rPr>
      </w:pPr>
      <w:r w:rsidRPr="00515AA2">
        <w:rPr>
          <w:rStyle w:val="Appelnotedebasdep"/>
        </w:rPr>
        <w:footnoteRef/>
      </w:r>
      <w:r w:rsidRPr="00515AA2">
        <w:rPr>
          <w:lang w:val="en-CA"/>
        </w:rPr>
        <w:t xml:space="preserve"> </w:t>
      </w:r>
      <w:r w:rsidRPr="00515AA2">
        <w:rPr>
          <w:lang w:val="en-CA"/>
        </w:rPr>
        <w:tab/>
      </w:r>
      <w:r w:rsidR="00833195" w:rsidRPr="00515AA2">
        <w:rPr>
          <w:lang w:val="en-CA"/>
        </w:rPr>
        <w:t>Some young people may find it preferable to provide such a letter rather than an affidavit from someone who knows them, but we accept, for the purposes of this analysis only, the premise that this requirement imposes an additional burden</w:t>
      </w:r>
      <w:r w:rsidR="00180AB2" w:rsidRPr="00515AA2">
        <w:rPr>
          <w:lang w:val="en-CA"/>
        </w:rPr>
        <w:t>.</w:t>
      </w:r>
    </w:p>
  </w:footnote>
  <w:footnote w:id="124">
    <w:p w14:paraId="4285C599" w14:textId="5E2216E6" w:rsidR="0088484C" w:rsidRPr="00515AA2" w:rsidRDefault="0088484C">
      <w:pPr>
        <w:pStyle w:val="Notedebasdepage"/>
        <w:rPr>
          <w:lang w:val="en-CA"/>
        </w:rPr>
      </w:pPr>
      <w:r w:rsidRPr="00515AA2">
        <w:rPr>
          <w:rStyle w:val="Appelnotedebasdep"/>
        </w:rPr>
        <w:footnoteRef/>
      </w:r>
      <w:r w:rsidRPr="00515AA2">
        <w:rPr>
          <w:lang w:val="en-CA"/>
        </w:rPr>
        <w:t xml:space="preserve"> </w:t>
      </w:r>
      <w:r w:rsidRPr="00515AA2">
        <w:rPr>
          <w:lang w:val="en-CA"/>
        </w:rPr>
        <w:tab/>
        <w:t>Bill 103 – Journal des débats – Committee on Citizen Relations – Special Consultations</w:t>
      </w:r>
      <w:r w:rsidR="00A15BB4" w:rsidRPr="00515AA2">
        <w:rPr>
          <w:lang w:val="en-CA"/>
        </w:rPr>
        <w:t xml:space="preserve"> </w:t>
      </w:r>
      <w:r w:rsidRPr="00515AA2">
        <w:rPr>
          <w:lang w:val="en-CA"/>
        </w:rPr>
        <w:t>– 7 June 2016 – Vol. 44 N</w:t>
      </w:r>
      <w:r w:rsidRPr="00515AA2">
        <w:rPr>
          <w:vertAlign w:val="superscript"/>
          <w:lang w:val="en-CA"/>
        </w:rPr>
        <w:t>o</w:t>
      </w:r>
      <w:r w:rsidRPr="00515AA2">
        <w:rPr>
          <w:lang w:val="en-CA"/>
        </w:rPr>
        <w:t xml:space="preserve"> 59, p. 25.</w:t>
      </w:r>
    </w:p>
  </w:footnote>
  <w:footnote w:id="125">
    <w:p w14:paraId="6FCC8EB7" w14:textId="63D1A977" w:rsidR="00E72678" w:rsidRPr="00515AA2" w:rsidRDefault="00E72678">
      <w:pPr>
        <w:pStyle w:val="Notedebasdepage"/>
        <w:rPr>
          <w:lang w:val="en-CA"/>
        </w:rPr>
      </w:pPr>
      <w:r w:rsidRPr="00515AA2">
        <w:rPr>
          <w:rStyle w:val="Appelnotedebasdep"/>
        </w:rPr>
        <w:footnoteRef/>
      </w:r>
      <w:r w:rsidRPr="00515AA2">
        <w:rPr>
          <w:lang w:val="en-CA"/>
        </w:rPr>
        <w:t xml:space="preserve"> </w:t>
      </w:r>
      <w:r w:rsidRPr="00515AA2">
        <w:rPr>
          <w:lang w:val="en-CA"/>
        </w:rPr>
        <w:tab/>
      </w:r>
      <w:bookmarkStart w:id="74" w:name="_Hlk157505959"/>
      <w:r w:rsidR="00833195" w:rsidRPr="00515AA2">
        <w:rPr>
          <w:i/>
          <w:iCs/>
          <w:lang w:val="en-CA"/>
        </w:rPr>
        <w:t>Frank v. Canada (Attorney General),</w:t>
      </w:r>
      <w:r w:rsidR="00833195" w:rsidRPr="00515AA2">
        <w:rPr>
          <w:lang w:val="en-CA"/>
        </w:rPr>
        <w:t xml:space="preserve"> </w:t>
      </w:r>
      <w:r w:rsidR="007E645E" w:rsidRPr="00515AA2">
        <w:rPr>
          <w:i/>
          <w:iCs/>
          <w:lang w:val="en-CA"/>
        </w:rPr>
        <w:t>supra</w:t>
      </w:r>
      <w:r w:rsidR="007E645E" w:rsidRPr="00515AA2">
        <w:rPr>
          <w:lang w:val="en-CA"/>
        </w:rPr>
        <w:t>,</w:t>
      </w:r>
      <w:r w:rsidR="00833195" w:rsidRPr="00515AA2">
        <w:rPr>
          <w:lang w:val="en-CA"/>
        </w:rPr>
        <w:t xml:space="preserve"> note </w:t>
      </w:r>
      <w:r w:rsidR="0088484C" w:rsidRPr="00515AA2">
        <w:rPr>
          <w:lang w:val="en-CA"/>
        </w:rPr>
        <w:fldChar w:fldCharType="begin"/>
      </w:r>
      <w:r w:rsidR="0088484C" w:rsidRPr="00515AA2">
        <w:rPr>
          <w:lang w:val="en-CA"/>
        </w:rPr>
        <w:instrText xml:space="preserve"> NOTEREF _Ref157509296 \h </w:instrText>
      </w:r>
      <w:r w:rsidR="00FB3810" w:rsidRPr="00515AA2">
        <w:rPr>
          <w:lang w:val="en-CA"/>
        </w:rPr>
        <w:instrText xml:space="preserve"> \* MERGEFORMAT </w:instrText>
      </w:r>
      <w:r w:rsidR="0088484C" w:rsidRPr="00515AA2">
        <w:rPr>
          <w:lang w:val="en-CA"/>
        </w:rPr>
      </w:r>
      <w:r w:rsidR="0088484C" w:rsidRPr="00515AA2">
        <w:rPr>
          <w:lang w:val="en-CA"/>
        </w:rPr>
        <w:fldChar w:fldCharType="separate"/>
      </w:r>
      <w:r w:rsidR="00C83535">
        <w:rPr>
          <w:lang w:val="en-CA"/>
        </w:rPr>
        <w:t>122</w:t>
      </w:r>
      <w:r w:rsidR="0088484C" w:rsidRPr="00515AA2">
        <w:rPr>
          <w:lang w:val="en-CA"/>
        </w:rPr>
        <w:fldChar w:fldCharType="end"/>
      </w:r>
      <w:r w:rsidR="00833195" w:rsidRPr="00515AA2">
        <w:rPr>
          <w:lang w:val="en-CA"/>
        </w:rPr>
        <w:t xml:space="preserve">, at para. 66; </w:t>
      </w:r>
      <w:bookmarkEnd w:id="74"/>
      <w:r w:rsidR="00833195" w:rsidRPr="00515AA2">
        <w:rPr>
          <w:i/>
          <w:iCs/>
          <w:lang w:val="en-CA"/>
        </w:rPr>
        <w:t>Alberta v. Hutterian Brethren of Wilson Colony</w:t>
      </w:r>
      <w:r w:rsidR="00833195" w:rsidRPr="00515AA2">
        <w:rPr>
          <w:lang w:val="en-CA"/>
        </w:rPr>
        <w:t xml:space="preserve">, </w:t>
      </w:r>
      <w:r w:rsidR="007E645E" w:rsidRPr="00515AA2">
        <w:rPr>
          <w:i/>
          <w:iCs/>
          <w:lang w:val="en-CA"/>
        </w:rPr>
        <w:t>supra</w:t>
      </w:r>
      <w:r w:rsidR="007E645E" w:rsidRPr="00515AA2">
        <w:rPr>
          <w:lang w:val="en-CA"/>
        </w:rPr>
        <w:t>,</w:t>
      </w:r>
      <w:r w:rsidR="00833195" w:rsidRPr="00515AA2">
        <w:rPr>
          <w:lang w:val="en-CA"/>
        </w:rPr>
        <w:t xml:space="preserve"> note </w:t>
      </w:r>
      <w:r w:rsidR="0088484C" w:rsidRPr="00515AA2">
        <w:rPr>
          <w:lang w:val="en-CA"/>
        </w:rPr>
        <w:fldChar w:fldCharType="begin"/>
      </w:r>
      <w:r w:rsidR="0088484C" w:rsidRPr="00515AA2">
        <w:rPr>
          <w:lang w:val="en-CA"/>
        </w:rPr>
        <w:instrText xml:space="preserve"> NOTEREF _Ref157509324 \h </w:instrText>
      </w:r>
      <w:r w:rsidR="00FB3810" w:rsidRPr="00515AA2">
        <w:rPr>
          <w:lang w:val="en-CA"/>
        </w:rPr>
        <w:instrText xml:space="preserve"> \* MERGEFORMAT </w:instrText>
      </w:r>
      <w:r w:rsidR="0088484C" w:rsidRPr="00515AA2">
        <w:rPr>
          <w:lang w:val="en-CA"/>
        </w:rPr>
      </w:r>
      <w:r w:rsidR="0088484C" w:rsidRPr="00515AA2">
        <w:rPr>
          <w:lang w:val="en-CA"/>
        </w:rPr>
        <w:fldChar w:fldCharType="separate"/>
      </w:r>
      <w:r w:rsidR="00C83535">
        <w:rPr>
          <w:lang w:val="en-CA"/>
        </w:rPr>
        <w:t>116</w:t>
      </w:r>
      <w:r w:rsidR="0088484C" w:rsidRPr="00515AA2">
        <w:rPr>
          <w:lang w:val="en-CA"/>
        </w:rPr>
        <w:fldChar w:fldCharType="end"/>
      </w:r>
      <w:r w:rsidR="00833195" w:rsidRPr="00515AA2">
        <w:rPr>
          <w:lang w:val="en-CA"/>
        </w:rPr>
        <w:t>, at para. 53</w:t>
      </w:r>
      <w:r w:rsidRPr="00515AA2">
        <w:rPr>
          <w:lang w:val="en-CA"/>
        </w:rPr>
        <w:t>.</w:t>
      </w:r>
    </w:p>
  </w:footnote>
  <w:footnote w:id="126">
    <w:p w14:paraId="597B7912" w14:textId="2313D310" w:rsidR="00CB7848" w:rsidRPr="00515AA2" w:rsidRDefault="00CB7848" w:rsidP="00CB7848">
      <w:pPr>
        <w:pStyle w:val="Notedebasdepage"/>
        <w:rPr>
          <w:lang w:val="en-CA"/>
        </w:rPr>
      </w:pPr>
      <w:r w:rsidRPr="00515AA2">
        <w:rPr>
          <w:rStyle w:val="Appelnotedebasdep"/>
        </w:rPr>
        <w:footnoteRef/>
      </w:r>
      <w:r w:rsidRPr="00515AA2">
        <w:rPr>
          <w:lang w:val="en-CA"/>
        </w:rPr>
        <w:t xml:space="preserve"> </w:t>
      </w:r>
      <w:r w:rsidRPr="00515AA2">
        <w:rPr>
          <w:lang w:val="en-CA"/>
        </w:rPr>
        <w:tab/>
      </w:r>
      <w:r w:rsidR="00833195" w:rsidRPr="00515AA2">
        <w:rPr>
          <w:i/>
          <w:iCs/>
          <w:kern w:val="28"/>
          <w:lang w:val="en-CA"/>
        </w:rPr>
        <w:t>A.B. v. Bragg Communications Inc.</w:t>
      </w:r>
      <w:r w:rsidR="00833195" w:rsidRPr="00515AA2">
        <w:rPr>
          <w:kern w:val="28"/>
          <w:lang w:val="en-CA"/>
        </w:rPr>
        <w:t>, 2012 SCC 46, [2012] 2 S.C.R. 567, para. 17</w:t>
      </w:r>
      <w:r w:rsidRPr="00515AA2">
        <w:rPr>
          <w:kern w:val="28"/>
          <w:lang w:val="en-CA"/>
        </w:rPr>
        <w:t>.</w:t>
      </w:r>
    </w:p>
  </w:footnote>
  <w:footnote w:id="127">
    <w:p w14:paraId="11D447B6" w14:textId="4768DBFB" w:rsidR="00A14A5F" w:rsidRPr="00515AA2" w:rsidRDefault="00A14A5F">
      <w:pPr>
        <w:pStyle w:val="Notedebasdepage"/>
        <w:rPr>
          <w:lang w:val="en-CA"/>
        </w:rPr>
      </w:pPr>
      <w:r w:rsidRPr="00515AA2">
        <w:rPr>
          <w:rStyle w:val="Appelnotedebasdep"/>
        </w:rPr>
        <w:footnoteRef/>
      </w:r>
      <w:r w:rsidRPr="00515AA2">
        <w:rPr>
          <w:lang w:val="en-CA"/>
        </w:rPr>
        <w:t xml:space="preserve"> </w:t>
      </w:r>
      <w:r w:rsidRPr="00515AA2">
        <w:rPr>
          <w:lang w:val="en-CA"/>
        </w:rPr>
        <w:tab/>
      </w:r>
      <w:r w:rsidR="00833195" w:rsidRPr="00515AA2">
        <w:rPr>
          <w:i/>
          <w:iCs/>
          <w:lang w:val="en-CA"/>
        </w:rPr>
        <w:t>Regulation respecting change of name and of other particulars of civil status</w:t>
      </w:r>
      <w:r w:rsidR="00833195" w:rsidRPr="00515AA2">
        <w:rPr>
          <w:lang w:val="en-CA"/>
        </w:rPr>
        <w:t xml:space="preserve">, </w:t>
      </w:r>
      <w:r w:rsidR="008E1D79" w:rsidRPr="00515AA2">
        <w:rPr>
          <w:i/>
          <w:iCs/>
          <w:lang w:val="en-CA"/>
        </w:rPr>
        <w:t>supra</w:t>
      </w:r>
      <w:r w:rsidR="008E1D79" w:rsidRPr="00515AA2">
        <w:rPr>
          <w:lang w:val="en-CA"/>
        </w:rPr>
        <w:t>,</w:t>
      </w:r>
      <w:r w:rsidR="00833195" w:rsidRPr="00515AA2">
        <w:rPr>
          <w:i/>
          <w:iCs/>
          <w:lang w:val="en-CA"/>
        </w:rPr>
        <w:t xml:space="preserve"> </w:t>
      </w:r>
      <w:r w:rsidR="00881AC9" w:rsidRPr="00515AA2">
        <w:rPr>
          <w:rFonts w:cs="Arial"/>
          <w:lang w:val="en-CA"/>
        </w:rPr>
        <w:t xml:space="preserve">note </w:t>
      </w:r>
      <w:r w:rsidR="00881AC9" w:rsidRPr="00515AA2">
        <w:rPr>
          <w:rFonts w:cs="Arial"/>
        </w:rPr>
        <w:fldChar w:fldCharType="begin"/>
      </w:r>
      <w:r w:rsidR="00881AC9" w:rsidRPr="00515AA2">
        <w:rPr>
          <w:rFonts w:cs="Arial"/>
          <w:lang w:val="en-CA"/>
        </w:rPr>
        <w:instrText xml:space="preserve"> NOTEREF _Ref161234233 \h </w:instrText>
      </w:r>
      <w:r w:rsidR="00515AA2" w:rsidRPr="00315449">
        <w:rPr>
          <w:rFonts w:cs="Arial"/>
          <w:lang w:val="en-CA"/>
        </w:rPr>
        <w:instrText xml:space="preserve"> \* MERGEFORMAT </w:instrText>
      </w:r>
      <w:r w:rsidR="00881AC9" w:rsidRPr="00515AA2">
        <w:rPr>
          <w:rFonts w:cs="Arial"/>
        </w:rPr>
      </w:r>
      <w:r w:rsidR="00881AC9" w:rsidRPr="00515AA2">
        <w:rPr>
          <w:rFonts w:cs="Arial"/>
        </w:rPr>
        <w:fldChar w:fldCharType="separate"/>
      </w:r>
      <w:r w:rsidR="00C83535">
        <w:rPr>
          <w:rFonts w:cs="Arial"/>
          <w:lang w:val="en-CA"/>
        </w:rPr>
        <w:t>8</w:t>
      </w:r>
      <w:r w:rsidR="00881AC9" w:rsidRPr="00515AA2">
        <w:rPr>
          <w:rFonts w:cs="Arial"/>
        </w:rPr>
        <w:fldChar w:fldCharType="end"/>
      </w:r>
      <w:r w:rsidR="00881AC9" w:rsidRPr="00515AA2">
        <w:rPr>
          <w:rFonts w:cs="Arial"/>
          <w:lang w:val="en-CA"/>
        </w:rPr>
        <w:t>,</w:t>
      </w:r>
      <w:r w:rsidR="00833195" w:rsidRPr="00515AA2">
        <w:rPr>
          <w:lang w:val="en-CA"/>
        </w:rPr>
        <w:t xml:space="preserve"> s. 5</w:t>
      </w:r>
      <w:r w:rsidRPr="00515AA2">
        <w:rPr>
          <w:lang w:val="en-CA"/>
        </w:rPr>
        <w:t>.</w:t>
      </w:r>
    </w:p>
  </w:footnote>
  <w:footnote w:id="128">
    <w:p w14:paraId="7822BE10" w14:textId="18FAF3D3" w:rsidR="00A14A5F" w:rsidRPr="00515AA2" w:rsidRDefault="00A14A5F">
      <w:pPr>
        <w:pStyle w:val="Notedebasdepage"/>
        <w:rPr>
          <w:lang w:val="en-CA"/>
        </w:rPr>
      </w:pPr>
      <w:r w:rsidRPr="00515AA2">
        <w:rPr>
          <w:rStyle w:val="Appelnotedebasdep"/>
        </w:rPr>
        <w:footnoteRef/>
      </w:r>
      <w:r w:rsidRPr="00515AA2">
        <w:rPr>
          <w:lang w:val="en-CA"/>
        </w:rPr>
        <w:t xml:space="preserve"> </w:t>
      </w:r>
      <w:r w:rsidRPr="00515AA2">
        <w:rPr>
          <w:lang w:val="en-CA"/>
        </w:rPr>
        <w:tab/>
      </w:r>
      <w:r w:rsidR="00833195" w:rsidRPr="00515AA2">
        <w:rPr>
          <w:i/>
          <w:iCs/>
          <w:lang w:val="en-CA"/>
        </w:rPr>
        <w:t>Id.</w:t>
      </w:r>
      <w:r w:rsidRPr="00515AA2">
        <w:rPr>
          <w:lang w:val="en-CA"/>
        </w:rPr>
        <w:t xml:space="preserve">, </w:t>
      </w:r>
      <w:r w:rsidR="00833195" w:rsidRPr="00515AA2">
        <w:rPr>
          <w:lang w:val="en-CA"/>
        </w:rPr>
        <w:t>s</w:t>
      </w:r>
      <w:r w:rsidRPr="00515AA2">
        <w:rPr>
          <w:lang w:val="en-CA"/>
        </w:rPr>
        <w:t>. 17.</w:t>
      </w:r>
    </w:p>
  </w:footnote>
  <w:footnote w:id="129">
    <w:p w14:paraId="1E7CB726" w14:textId="6D67A3AA" w:rsidR="006E4A8A" w:rsidRPr="00515AA2" w:rsidRDefault="006E4A8A" w:rsidP="006E4A8A">
      <w:pPr>
        <w:pStyle w:val="Notedebasdepage"/>
        <w:rPr>
          <w:lang w:val="en-CA"/>
        </w:rPr>
      </w:pPr>
      <w:r w:rsidRPr="00515AA2">
        <w:rPr>
          <w:rStyle w:val="Appelnotedebasdep"/>
        </w:rPr>
        <w:footnoteRef/>
      </w:r>
      <w:r w:rsidRPr="00515AA2">
        <w:rPr>
          <w:lang w:val="en-CA"/>
        </w:rPr>
        <w:t xml:space="preserve"> </w:t>
      </w:r>
      <w:r w:rsidRPr="00515AA2">
        <w:rPr>
          <w:lang w:val="en-CA"/>
        </w:rPr>
        <w:tab/>
      </w:r>
      <w:r w:rsidR="00FB7EAB" w:rsidRPr="00515AA2">
        <w:rPr>
          <w:lang w:val="en-CA"/>
        </w:rPr>
        <w:t>Although s. </w:t>
      </w:r>
      <w:r w:rsidRPr="00515AA2">
        <w:rPr>
          <w:lang w:val="en-CA"/>
        </w:rPr>
        <w:t xml:space="preserve">23 </w:t>
      </w:r>
      <w:r w:rsidR="00FB7EAB" w:rsidRPr="00515AA2">
        <w:rPr>
          <w:lang w:val="en-CA"/>
        </w:rPr>
        <w:t xml:space="preserve">of the </w:t>
      </w:r>
      <w:r w:rsidRPr="00515AA2">
        <w:rPr>
          <w:i/>
          <w:iCs/>
          <w:lang w:val="en-CA"/>
        </w:rPr>
        <w:t>R</w:t>
      </w:r>
      <w:r w:rsidR="00FB7EAB" w:rsidRPr="00515AA2">
        <w:rPr>
          <w:i/>
          <w:iCs/>
          <w:lang w:val="en-CA"/>
        </w:rPr>
        <w:t xml:space="preserve">egulation </w:t>
      </w:r>
      <w:r w:rsidR="00FB7EAB" w:rsidRPr="00515AA2">
        <w:rPr>
          <w:lang w:val="en-CA"/>
        </w:rPr>
        <w:t xml:space="preserve">provides that ss. 12 to 16, 19 and 20 apply to a change of sex designation, with the necessary adaptations, the registrar of </w:t>
      </w:r>
      <w:r w:rsidRPr="00515AA2">
        <w:rPr>
          <w:lang w:val="en-CA"/>
        </w:rPr>
        <w:t xml:space="preserve">civil </w:t>
      </w:r>
      <w:r w:rsidR="00FB7EAB" w:rsidRPr="00515AA2">
        <w:rPr>
          <w:lang w:val="en-CA"/>
        </w:rPr>
        <w:t>status recognizes that a minor who is 14 years of age or over and applies for both a change of sex and a change of name does not have to notify their parents or tutor.</w:t>
      </w:r>
      <w:r w:rsidRPr="00515AA2">
        <w:rPr>
          <w:lang w:val="en-CA"/>
        </w:rPr>
        <w:t xml:space="preserve"> </w:t>
      </w:r>
      <w:r w:rsidR="00DA69D4" w:rsidRPr="00515AA2">
        <w:rPr>
          <w:lang w:val="en-CA"/>
        </w:rPr>
        <w:t xml:space="preserve">This interpretation </w:t>
      </w:r>
      <w:r w:rsidR="00FB7EAB" w:rsidRPr="00515AA2">
        <w:rPr>
          <w:lang w:val="en-CA"/>
        </w:rPr>
        <w:t>is in line</w:t>
      </w:r>
      <w:r w:rsidR="00DA69D4" w:rsidRPr="00515AA2">
        <w:rPr>
          <w:lang w:val="en-CA"/>
        </w:rPr>
        <w:t xml:space="preserve"> with the text of s. 71.1, para.</w:t>
      </w:r>
      <w:r w:rsidR="00942C97" w:rsidRPr="00515AA2">
        <w:rPr>
          <w:lang w:val="en-CA"/>
        </w:rPr>
        <w:t xml:space="preserve"> </w:t>
      </w:r>
      <w:r w:rsidR="00DA69D4" w:rsidRPr="00515AA2">
        <w:rPr>
          <w:lang w:val="en-CA"/>
        </w:rPr>
        <w:t xml:space="preserve">2, </w:t>
      </w:r>
      <w:r w:rsidR="00DA69D4" w:rsidRPr="00515AA2">
        <w:rPr>
          <w:i/>
          <w:iCs/>
          <w:lang w:val="en-CA"/>
        </w:rPr>
        <w:t>C</w:t>
      </w:r>
      <w:r w:rsidR="00FB7EAB" w:rsidRPr="00515AA2">
        <w:rPr>
          <w:i/>
          <w:iCs/>
          <w:lang w:val="en-CA"/>
        </w:rPr>
        <w:t>.</w:t>
      </w:r>
      <w:r w:rsidR="00DA69D4" w:rsidRPr="00515AA2">
        <w:rPr>
          <w:i/>
          <w:iCs/>
          <w:lang w:val="en-CA"/>
        </w:rPr>
        <w:t>C</w:t>
      </w:r>
      <w:r w:rsidR="00FB7EAB" w:rsidRPr="00515AA2">
        <w:rPr>
          <w:i/>
          <w:iCs/>
          <w:lang w:val="en-CA"/>
        </w:rPr>
        <w:t>.</w:t>
      </w:r>
      <w:r w:rsidR="00DA69D4" w:rsidRPr="00515AA2">
        <w:rPr>
          <w:i/>
          <w:iCs/>
          <w:lang w:val="en-CA"/>
        </w:rPr>
        <w:t>Q</w:t>
      </w:r>
      <w:r w:rsidR="00FB7EAB" w:rsidRPr="00515AA2">
        <w:rPr>
          <w:i/>
          <w:iCs/>
          <w:lang w:val="en-CA"/>
        </w:rPr>
        <w:t>.</w:t>
      </w:r>
      <w:r w:rsidR="00DA69D4" w:rsidRPr="00515AA2">
        <w:rPr>
          <w:lang w:val="en-CA"/>
        </w:rPr>
        <w:t xml:space="preserve">, which </w:t>
      </w:r>
      <w:r w:rsidR="00ED6E21" w:rsidRPr="00515AA2">
        <w:rPr>
          <w:lang w:val="en-CA"/>
        </w:rPr>
        <w:t xml:space="preserve">provides that, “in the latter case”, </w:t>
      </w:r>
      <w:r w:rsidR="00ED6E21" w:rsidRPr="00515AA2">
        <w:rPr>
          <w:i/>
          <w:iCs/>
          <w:lang w:val="en-CA"/>
        </w:rPr>
        <w:t>i</w:t>
      </w:r>
      <w:r w:rsidR="00252EF7" w:rsidRPr="00515AA2">
        <w:rPr>
          <w:i/>
          <w:iCs/>
          <w:lang w:val="en-CA"/>
        </w:rPr>
        <w:t>.</w:t>
      </w:r>
      <w:r w:rsidR="00ED6E21" w:rsidRPr="00515AA2">
        <w:rPr>
          <w:i/>
          <w:iCs/>
          <w:lang w:val="en-CA"/>
        </w:rPr>
        <w:t>e.</w:t>
      </w:r>
      <w:r w:rsidR="00252EF7" w:rsidRPr="00515AA2">
        <w:rPr>
          <w:lang w:val="en-CA"/>
        </w:rPr>
        <w:t>,</w:t>
      </w:r>
      <w:r w:rsidR="00ED6E21" w:rsidRPr="00515AA2">
        <w:rPr>
          <w:lang w:val="en-CA"/>
        </w:rPr>
        <w:t xml:space="preserve"> when the application is made by the tutor of a minor who is under 14 </w:t>
      </w:r>
      <w:r w:rsidR="00FB7EAB" w:rsidRPr="00515AA2">
        <w:rPr>
          <w:lang w:val="en-CA"/>
        </w:rPr>
        <w:t xml:space="preserve">years </w:t>
      </w:r>
      <w:r w:rsidR="00ED6E21" w:rsidRPr="00515AA2">
        <w:rPr>
          <w:lang w:val="en-CA"/>
        </w:rPr>
        <w:t>of age</w:t>
      </w:r>
      <w:r w:rsidRPr="00515AA2">
        <w:rPr>
          <w:lang w:val="en-CA"/>
        </w:rPr>
        <w:t xml:space="preserve">, </w:t>
      </w:r>
      <w:r w:rsidR="00FB7EAB" w:rsidRPr="00515AA2">
        <w:rPr>
          <w:lang w:val="en-CA"/>
        </w:rPr>
        <w:t>the application</w:t>
      </w:r>
      <w:r w:rsidR="00ED6E21" w:rsidRPr="00515AA2">
        <w:rPr>
          <w:lang w:val="en-CA"/>
        </w:rPr>
        <w:t xml:space="preserve"> is not granted i</w:t>
      </w:r>
      <w:r w:rsidR="00FB7EAB" w:rsidRPr="00515AA2">
        <w:rPr>
          <w:lang w:val="en-CA"/>
        </w:rPr>
        <w:t>f</w:t>
      </w:r>
      <w:r w:rsidR="00ED6E21" w:rsidRPr="00515AA2">
        <w:rPr>
          <w:lang w:val="en-CA"/>
        </w:rPr>
        <w:t xml:space="preserve"> the other tutor has not been notified or objects to it. Nothing is provided for in terms of notice and opposition when the application is made by a minor who is 14 years of age or over.</w:t>
      </w:r>
    </w:p>
  </w:footnote>
  <w:footnote w:id="130">
    <w:p w14:paraId="318AE1B5" w14:textId="5B7FD54C" w:rsidR="006E4A8A" w:rsidRPr="00515AA2" w:rsidRDefault="006E4A8A" w:rsidP="006E4A8A">
      <w:pPr>
        <w:pStyle w:val="Notedebasdepage"/>
        <w:rPr>
          <w:lang w:val="en-CA"/>
        </w:rPr>
      </w:pPr>
      <w:r w:rsidRPr="00515AA2">
        <w:rPr>
          <w:rStyle w:val="Appelnotedebasdep"/>
        </w:rPr>
        <w:footnoteRef/>
      </w:r>
      <w:r w:rsidRPr="00515AA2">
        <w:rPr>
          <w:lang w:val="en-CA"/>
        </w:rPr>
        <w:t xml:space="preserve"> </w:t>
      </w:r>
      <w:r w:rsidR="00FE1B92" w:rsidRPr="00515AA2">
        <w:rPr>
          <w:lang w:val="en-CA"/>
        </w:rPr>
        <w:tab/>
      </w:r>
      <w:r w:rsidR="00FB7EAB" w:rsidRPr="00515AA2">
        <w:rPr>
          <w:i/>
          <w:iCs/>
          <w:lang w:val="en-CA"/>
        </w:rPr>
        <w:t>Regulation respecting change of name and of other particulars of civil status</w:t>
      </w:r>
      <w:r w:rsidR="00FB7EAB" w:rsidRPr="00515AA2">
        <w:rPr>
          <w:lang w:val="en-CA"/>
        </w:rPr>
        <w:t xml:space="preserve">, </w:t>
      </w:r>
      <w:r w:rsidR="008E1D79" w:rsidRPr="00515AA2">
        <w:rPr>
          <w:i/>
          <w:iCs/>
          <w:lang w:val="en-CA"/>
        </w:rPr>
        <w:t>supra</w:t>
      </w:r>
      <w:r w:rsidR="008E1D79" w:rsidRPr="00515AA2">
        <w:rPr>
          <w:lang w:val="en-CA"/>
        </w:rPr>
        <w:t>,</w:t>
      </w:r>
      <w:r w:rsidR="00ED6E21" w:rsidRPr="00515AA2">
        <w:rPr>
          <w:i/>
          <w:iCs/>
          <w:lang w:val="en-CA"/>
        </w:rPr>
        <w:t xml:space="preserve"> </w:t>
      </w:r>
      <w:r w:rsidR="00ED6E21" w:rsidRPr="00515AA2">
        <w:rPr>
          <w:lang w:val="en-CA"/>
        </w:rPr>
        <w:t>note </w:t>
      </w:r>
      <w:r w:rsidR="00881AC9" w:rsidRPr="00515AA2">
        <w:fldChar w:fldCharType="begin"/>
      </w:r>
      <w:r w:rsidR="00881AC9" w:rsidRPr="00515AA2">
        <w:rPr>
          <w:lang w:val="en-CA"/>
        </w:rPr>
        <w:instrText xml:space="preserve"> NOTEREF _Ref161234233 \h </w:instrText>
      </w:r>
      <w:r w:rsidR="00515AA2" w:rsidRPr="00315449">
        <w:rPr>
          <w:lang w:val="en-CA"/>
        </w:rPr>
        <w:instrText xml:space="preserve"> \* MERGEFORMAT </w:instrText>
      </w:r>
      <w:r w:rsidR="00881AC9" w:rsidRPr="00515AA2">
        <w:fldChar w:fldCharType="separate"/>
      </w:r>
      <w:r w:rsidR="00C83535">
        <w:rPr>
          <w:lang w:val="en-CA"/>
        </w:rPr>
        <w:t>8</w:t>
      </w:r>
      <w:r w:rsidR="00881AC9" w:rsidRPr="00515AA2">
        <w:fldChar w:fldCharType="end"/>
      </w:r>
      <w:r w:rsidR="00ED6E21" w:rsidRPr="00515AA2">
        <w:rPr>
          <w:lang w:val="en-CA"/>
        </w:rPr>
        <w:t>, ss. 1, 23 and 23.1</w:t>
      </w:r>
      <w:r w:rsidRPr="00515AA2">
        <w:rPr>
          <w:lang w:val="en-CA"/>
        </w:rPr>
        <w:t>.</w:t>
      </w:r>
    </w:p>
  </w:footnote>
  <w:footnote w:id="131">
    <w:p w14:paraId="3801995F" w14:textId="650FFF00" w:rsidR="006E4A8A" w:rsidRPr="00515AA2" w:rsidRDefault="006E4A8A" w:rsidP="006E4A8A">
      <w:pPr>
        <w:pStyle w:val="Notedebasdepage"/>
        <w:rPr>
          <w:lang w:val="en-CA"/>
        </w:rPr>
      </w:pPr>
      <w:r w:rsidRPr="00515AA2">
        <w:rPr>
          <w:rStyle w:val="Appelnotedebasdep"/>
        </w:rPr>
        <w:footnoteRef/>
      </w:r>
      <w:r w:rsidRPr="00515AA2">
        <w:rPr>
          <w:i/>
          <w:iCs/>
          <w:lang w:val="en-CA"/>
        </w:rPr>
        <w:t xml:space="preserve"> </w:t>
      </w:r>
      <w:r w:rsidR="00FE1B92" w:rsidRPr="00515AA2">
        <w:rPr>
          <w:i/>
          <w:iCs/>
          <w:lang w:val="en-CA"/>
        </w:rPr>
        <w:tab/>
      </w:r>
      <w:r w:rsidR="00ED6E21" w:rsidRPr="00515AA2">
        <w:rPr>
          <w:i/>
          <w:iCs/>
          <w:lang w:val="en-CA"/>
        </w:rPr>
        <w:t>Id.</w:t>
      </w:r>
      <w:r w:rsidRPr="00515AA2">
        <w:rPr>
          <w:lang w:val="en-CA"/>
        </w:rPr>
        <w:t xml:space="preserve">, </w:t>
      </w:r>
      <w:r w:rsidR="00ED6E21" w:rsidRPr="00515AA2">
        <w:rPr>
          <w:lang w:val="en-CA"/>
        </w:rPr>
        <w:t>s</w:t>
      </w:r>
      <w:r w:rsidR="00241CFE" w:rsidRPr="00515AA2">
        <w:rPr>
          <w:lang w:val="en-CA"/>
        </w:rPr>
        <w:t> </w:t>
      </w:r>
      <w:r w:rsidRPr="00515AA2">
        <w:rPr>
          <w:lang w:val="en-CA"/>
        </w:rPr>
        <w:t>23.2</w:t>
      </w:r>
      <w:r w:rsidR="00DD227E" w:rsidRPr="00515AA2">
        <w:rPr>
          <w:lang w:val="en-CA"/>
        </w:rPr>
        <w:t xml:space="preserve">, </w:t>
      </w:r>
      <w:r w:rsidR="00ED6E21" w:rsidRPr="00515AA2">
        <w:rPr>
          <w:lang w:val="en-CA"/>
        </w:rPr>
        <w:t>para</w:t>
      </w:r>
      <w:r w:rsidR="008E1D79" w:rsidRPr="00515AA2">
        <w:rPr>
          <w:lang w:val="en-CA"/>
        </w:rPr>
        <w:t>.</w:t>
      </w:r>
      <w:r w:rsidR="00DD227E" w:rsidRPr="00515AA2">
        <w:rPr>
          <w:lang w:val="en-CA"/>
        </w:rPr>
        <w:t> </w:t>
      </w:r>
      <w:r w:rsidRPr="00515AA2">
        <w:rPr>
          <w:lang w:val="en-CA"/>
        </w:rPr>
        <w:t>2.</w:t>
      </w:r>
    </w:p>
  </w:footnote>
  <w:footnote w:id="132">
    <w:p w14:paraId="3065A954" w14:textId="2FF823AC" w:rsidR="006E4A8A" w:rsidRPr="00515AA2" w:rsidRDefault="006E4A8A" w:rsidP="00AF7ECD">
      <w:pPr>
        <w:pStyle w:val="Notedebasdepage"/>
        <w:rPr>
          <w:lang w:val="en-CA"/>
        </w:rPr>
      </w:pPr>
      <w:r w:rsidRPr="00515AA2">
        <w:rPr>
          <w:rStyle w:val="Appelnotedebasdep"/>
        </w:rPr>
        <w:footnoteRef/>
      </w:r>
      <w:r w:rsidRPr="00515AA2">
        <w:rPr>
          <w:lang w:val="en-CA"/>
        </w:rPr>
        <w:t xml:space="preserve"> </w:t>
      </w:r>
      <w:r w:rsidR="00FE1B92" w:rsidRPr="00515AA2">
        <w:rPr>
          <w:lang w:val="en-CA"/>
        </w:rPr>
        <w:tab/>
      </w:r>
      <w:r w:rsidR="00ED6E21" w:rsidRPr="00515AA2">
        <w:rPr>
          <w:lang w:val="en-CA"/>
        </w:rPr>
        <w:t>[</w:t>
      </w:r>
      <w:r w:rsidR="00ED6E21" w:rsidRPr="00515AA2">
        <w:rPr>
          <w:sz w:val="18"/>
          <w:szCs w:val="18"/>
          <w:lang w:val="en-CA"/>
        </w:rPr>
        <w:t>TRANSLATION</w:t>
      </w:r>
      <w:r w:rsidR="00ED6E21" w:rsidRPr="00515AA2">
        <w:rPr>
          <w:lang w:val="en-CA"/>
        </w:rPr>
        <w:t>] “Refusing to adapt the legal gender to this appearance means forcing the transsexual to reveal their private life on a regular basis”</w:t>
      </w:r>
      <w:r w:rsidRPr="00515AA2">
        <w:rPr>
          <w:lang w:val="en-CA"/>
        </w:rPr>
        <w:t xml:space="preserve">, </w:t>
      </w:r>
      <w:r w:rsidR="00ED6E21" w:rsidRPr="00515AA2">
        <w:rPr>
          <w:rFonts w:cs="Arial"/>
          <w:lang w:val="en-CA"/>
        </w:rPr>
        <w:t>in</w:t>
      </w:r>
      <w:r w:rsidRPr="00515AA2">
        <w:rPr>
          <w:rFonts w:cs="Arial"/>
          <w:lang w:val="en-CA"/>
        </w:rPr>
        <w:t xml:space="preserve"> </w:t>
      </w:r>
      <w:r w:rsidRPr="00515AA2">
        <w:rPr>
          <w:rFonts w:cs="Arial"/>
          <w:shd w:val="clear" w:color="auto" w:fill="FFFFFF"/>
          <w:lang w:val="en-CA"/>
        </w:rPr>
        <w:t xml:space="preserve">Benoît Moore, </w:t>
      </w:r>
      <w:r w:rsidRPr="00515AA2">
        <w:rPr>
          <w:rFonts w:cs="Arial"/>
          <w:i/>
          <w:iCs/>
          <w:shd w:val="clear" w:color="auto" w:fill="FFFFFF"/>
          <w:lang w:val="en-CA"/>
        </w:rPr>
        <w:t>Le droit de la famille et les minorités</w:t>
      </w:r>
      <w:r w:rsidRPr="00515AA2">
        <w:rPr>
          <w:rFonts w:cs="Arial"/>
          <w:shd w:val="clear" w:color="auto" w:fill="FFFFFF"/>
          <w:lang w:val="en-CA"/>
        </w:rPr>
        <w:t xml:space="preserve">, </w:t>
      </w:r>
      <w:r w:rsidR="008E1D79" w:rsidRPr="00515AA2">
        <w:rPr>
          <w:rFonts w:cs="Arial"/>
          <w:i/>
          <w:iCs/>
          <w:shd w:val="clear" w:color="auto" w:fill="FFFFFF"/>
          <w:lang w:val="en-CA"/>
        </w:rPr>
        <w:t>supra</w:t>
      </w:r>
      <w:r w:rsidR="008E1D79" w:rsidRPr="00515AA2">
        <w:rPr>
          <w:rFonts w:cs="Arial"/>
          <w:shd w:val="clear" w:color="auto" w:fill="FFFFFF"/>
          <w:lang w:val="en-CA"/>
        </w:rPr>
        <w:t>,</w:t>
      </w:r>
      <w:r w:rsidR="00ED6E21" w:rsidRPr="00515AA2">
        <w:rPr>
          <w:rFonts w:cs="Arial"/>
          <w:shd w:val="clear" w:color="auto" w:fill="FFFFFF"/>
          <w:lang w:val="en-CA"/>
        </w:rPr>
        <w:t xml:space="preserve"> note </w:t>
      </w:r>
      <w:r w:rsidR="00ED6E21" w:rsidRPr="00515AA2">
        <w:rPr>
          <w:rFonts w:cs="Arial"/>
          <w:shd w:val="clear" w:color="auto" w:fill="FFFFFF"/>
          <w:lang w:val="en-CA"/>
        </w:rPr>
        <w:fldChar w:fldCharType="begin"/>
      </w:r>
      <w:r w:rsidR="00ED6E21" w:rsidRPr="00515AA2">
        <w:rPr>
          <w:rFonts w:cs="Arial"/>
          <w:shd w:val="clear" w:color="auto" w:fill="FFFFFF"/>
          <w:lang w:val="en-CA"/>
        </w:rPr>
        <w:instrText xml:space="preserve"> NOTEREF _Ref157504076 \h </w:instrText>
      </w:r>
      <w:r w:rsidR="00FB3810" w:rsidRPr="00515AA2">
        <w:rPr>
          <w:rFonts w:cs="Arial"/>
          <w:shd w:val="clear" w:color="auto" w:fill="FFFFFF"/>
          <w:lang w:val="en-CA"/>
        </w:rPr>
        <w:instrText xml:space="preserve"> \* MERGEFORMAT </w:instrText>
      </w:r>
      <w:r w:rsidR="00ED6E21" w:rsidRPr="00515AA2">
        <w:rPr>
          <w:rFonts w:cs="Arial"/>
          <w:shd w:val="clear" w:color="auto" w:fill="FFFFFF"/>
          <w:lang w:val="en-CA"/>
        </w:rPr>
      </w:r>
      <w:r w:rsidR="00ED6E21" w:rsidRPr="00515AA2">
        <w:rPr>
          <w:rFonts w:cs="Arial"/>
          <w:shd w:val="clear" w:color="auto" w:fill="FFFFFF"/>
          <w:lang w:val="en-CA"/>
        </w:rPr>
        <w:fldChar w:fldCharType="separate"/>
      </w:r>
      <w:r w:rsidR="00C83535">
        <w:rPr>
          <w:rFonts w:cs="Arial"/>
          <w:shd w:val="clear" w:color="auto" w:fill="FFFFFF"/>
          <w:lang w:val="en-CA"/>
        </w:rPr>
        <w:t>21</w:t>
      </w:r>
      <w:r w:rsidR="00ED6E21" w:rsidRPr="00515AA2">
        <w:rPr>
          <w:rFonts w:cs="Arial"/>
          <w:shd w:val="clear" w:color="auto" w:fill="FFFFFF"/>
          <w:lang w:val="en-CA"/>
        </w:rPr>
        <w:fldChar w:fldCharType="end"/>
      </w:r>
      <w:r w:rsidRPr="00515AA2">
        <w:rPr>
          <w:rFonts w:cs="Arial"/>
          <w:shd w:val="clear" w:color="auto" w:fill="FFFFFF"/>
          <w:lang w:val="en-CA"/>
        </w:rPr>
        <w:t xml:space="preserve">, p. 256 </w:t>
      </w:r>
      <w:r w:rsidR="00ED6E21" w:rsidRPr="00515AA2">
        <w:rPr>
          <w:rFonts w:cs="Arial"/>
          <w:shd w:val="clear" w:color="auto" w:fill="FFFFFF"/>
          <w:lang w:val="en-CA"/>
        </w:rPr>
        <w:t>and</w:t>
      </w:r>
      <w:r w:rsidRPr="00515AA2">
        <w:rPr>
          <w:rFonts w:cs="Arial"/>
          <w:shd w:val="clear" w:color="auto" w:fill="FFFFFF"/>
          <w:lang w:val="en-CA"/>
        </w:rPr>
        <w:t xml:space="preserve"> note 99; </w:t>
      </w:r>
      <w:r w:rsidRPr="00515AA2">
        <w:rPr>
          <w:rFonts w:cs="Arial"/>
          <w:i/>
          <w:iCs/>
          <w:shd w:val="clear" w:color="auto" w:fill="FFFFFF"/>
          <w:lang w:val="en-CA"/>
        </w:rPr>
        <w:t>Thompson</w:t>
      </w:r>
      <w:r w:rsidRPr="00515AA2">
        <w:rPr>
          <w:rFonts w:cs="Arial"/>
          <w:iCs/>
          <w:shd w:val="clear" w:color="auto" w:fill="FFFFFF"/>
          <w:lang w:val="en-CA"/>
        </w:rPr>
        <w:t xml:space="preserve"> c. </w:t>
      </w:r>
      <w:r w:rsidRPr="00515AA2">
        <w:rPr>
          <w:rFonts w:cs="Arial"/>
          <w:i/>
          <w:iCs/>
          <w:shd w:val="clear" w:color="auto" w:fill="FFFFFF"/>
          <w:lang w:val="en-CA"/>
        </w:rPr>
        <w:t>Directeur de l</w:t>
      </w:r>
      <w:r w:rsidR="00751423" w:rsidRPr="00515AA2">
        <w:rPr>
          <w:rFonts w:cs="Arial"/>
          <w:i/>
          <w:iCs/>
          <w:shd w:val="clear" w:color="auto" w:fill="FFFFFF"/>
          <w:lang w:val="en-CA"/>
        </w:rPr>
        <w:t>’</w:t>
      </w:r>
      <w:r w:rsidRPr="00515AA2">
        <w:rPr>
          <w:rFonts w:cs="Arial"/>
          <w:i/>
          <w:iCs/>
          <w:shd w:val="clear" w:color="auto" w:fill="FFFFFF"/>
          <w:lang w:val="en-CA"/>
        </w:rPr>
        <w:t>état civil</w:t>
      </w:r>
      <w:r w:rsidRPr="00515AA2">
        <w:rPr>
          <w:rFonts w:cs="Arial"/>
          <w:iCs/>
          <w:shd w:val="clear" w:color="auto" w:fill="FFFFFF"/>
          <w:lang w:val="en-CA"/>
        </w:rPr>
        <w:t>, [2002] R.D.F. 182 (C.S.)</w:t>
      </w:r>
      <w:r w:rsidR="003D581F" w:rsidRPr="00515AA2">
        <w:rPr>
          <w:rFonts w:cs="Arial"/>
          <w:iCs/>
          <w:shd w:val="clear" w:color="auto" w:fill="FFFFFF"/>
          <w:lang w:val="en-CA"/>
        </w:rPr>
        <w:t>.</w:t>
      </w:r>
    </w:p>
  </w:footnote>
  <w:footnote w:id="133">
    <w:p w14:paraId="471DD0DC" w14:textId="41FEA176" w:rsidR="006E4A8A" w:rsidRPr="00515AA2" w:rsidRDefault="006E4A8A" w:rsidP="006E4A8A">
      <w:pPr>
        <w:pStyle w:val="Notedebasdepage"/>
      </w:pPr>
      <w:r w:rsidRPr="00515AA2">
        <w:rPr>
          <w:rStyle w:val="Appelnotedebasdep"/>
        </w:rPr>
        <w:footnoteRef/>
      </w:r>
      <w:r w:rsidRPr="00515AA2">
        <w:t xml:space="preserve"> </w:t>
      </w:r>
      <w:r w:rsidR="00FE1B92" w:rsidRPr="00515AA2">
        <w:tab/>
      </w:r>
      <w:r w:rsidRPr="00515AA2">
        <w:t xml:space="preserve">Stéphane Beaulac </w:t>
      </w:r>
      <w:r w:rsidR="00FB7EAB" w:rsidRPr="00515AA2">
        <w:t>&amp;</w:t>
      </w:r>
      <w:r w:rsidRPr="00515AA2">
        <w:t xml:space="preserve"> Frédéric Bérard, </w:t>
      </w:r>
      <w:r w:rsidRPr="00515AA2">
        <w:rPr>
          <w:i/>
          <w:iCs/>
        </w:rPr>
        <w:t>Précis d’interprétation législative</w:t>
      </w:r>
      <w:r w:rsidRPr="00515AA2">
        <w:t xml:space="preserve">, </w:t>
      </w:r>
      <w:r w:rsidR="00FB7EAB" w:rsidRPr="00515AA2">
        <w:t>2</w:t>
      </w:r>
      <w:r w:rsidR="00FB7EAB" w:rsidRPr="00515AA2">
        <w:rPr>
          <w:vertAlign w:val="superscript"/>
        </w:rPr>
        <w:t>nd</w:t>
      </w:r>
      <w:r w:rsidR="00FB7EAB" w:rsidRPr="00515AA2">
        <w:t xml:space="preserve"> Ed., Montreal, LexisNexis, 2014, pp. 147-148, 168-169; </w:t>
      </w:r>
      <w:r w:rsidR="00FB7EAB" w:rsidRPr="00515AA2">
        <w:rPr>
          <w:i/>
          <w:iCs/>
        </w:rPr>
        <w:t xml:space="preserve">Interpretation Act, </w:t>
      </w:r>
      <w:r w:rsidR="00FB7EAB" w:rsidRPr="00515AA2">
        <w:t>CQLR, c. I-16, s. 41.1</w:t>
      </w:r>
      <w:r w:rsidRPr="00515AA2">
        <w:t>.</w:t>
      </w:r>
    </w:p>
  </w:footnote>
  <w:footnote w:id="134">
    <w:p w14:paraId="5FD90088" w14:textId="595563A5" w:rsidR="00A14A5F" w:rsidRPr="00515AA2" w:rsidRDefault="00A14A5F">
      <w:pPr>
        <w:pStyle w:val="Notedebasdepage"/>
        <w:rPr>
          <w:lang w:val="en-CA"/>
        </w:rPr>
      </w:pPr>
      <w:r w:rsidRPr="00515AA2">
        <w:rPr>
          <w:rStyle w:val="Appelnotedebasdep"/>
        </w:rPr>
        <w:footnoteRef/>
      </w:r>
      <w:r w:rsidRPr="00515AA2">
        <w:rPr>
          <w:lang w:val="en-CA"/>
        </w:rPr>
        <w:t xml:space="preserve"> </w:t>
      </w:r>
      <w:r w:rsidRPr="00515AA2">
        <w:rPr>
          <w:lang w:val="en-CA"/>
        </w:rPr>
        <w:tab/>
      </w:r>
      <w:r w:rsidR="00FB7EAB" w:rsidRPr="00515AA2">
        <w:rPr>
          <w:i/>
          <w:iCs/>
          <w:lang w:val="en-CA"/>
        </w:rPr>
        <w:t>C.C.Q</w:t>
      </w:r>
      <w:r w:rsidR="00FB7EAB" w:rsidRPr="00515AA2">
        <w:rPr>
          <w:lang w:val="en-CA"/>
        </w:rPr>
        <w:t>., art. 58.</w:t>
      </w:r>
    </w:p>
  </w:footnote>
  <w:footnote w:id="135">
    <w:p w14:paraId="50296EE2" w14:textId="3F811CEF" w:rsidR="006E4A8A" w:rsidRPr="00515AA2" w:rsidRDefault="006E4A8A" w:rsidP="006E4A8A">
      <w:pPr>
        <w:pStyle w:val="Notedebasdepage"/>
        <w:rPr>
          <w:lang w:val="en-CA"/>
        </w:rPr>
      </w:pPr>
      <w:r w:rsidRPr="00515AA2">
        <w:rPr>
          <w:rStyle w:val="Appelnotedebasdep"/>
        </w:rPr>
        <w:footnoteRef/>
      </w:r>
      <w:r w:rsidRPr="00515AA2">
        <w:rPr>
          <w:lang w:val="en-CA"/>
        </w:rPr>
        <w:t xml:space="preserve"> </w:t>
      </w:r>
      <w:r w:rsidRPr="00515AA2">
        <w:rPr>
          <w:lang w:val="en-CA"/>
        </w:rPr>
        <w:tab/>
      </w:r>
      <w:r w:rsidR="00FB7EAB" w:rsidRPr="00515AA2">
        <w:rPr>
          <w:lang w:val="en-CA"/>
        </w:rPr>
        <w:t>The Superior Court already noted that what constitutes a “compelling reason” is better defined by a negative proposition, in the sense that it must be understood as meaning</w:t>
      </w:r>
      <w:r w:rsidR="00D258A9" w:rsidRPr="00515AA2">
        <w:rPr>
          <w:lang w:val="en-CA"/>
        </w:rPr>
        <w:t xml:space="preserve"> that it should</w:t>
      </w:r>
      <w:r w:rsidR="00FB7EAB" w:rsidRPr="00515AA2">
        <w:rPr>
          <w:lang w:val="en-CA"/>
        </w:rPr>
        <w:t xml:space="preserve"> not be superfluous </w:t>
      </w:r>
      <w:r w:rsidR="00D258A9" w:rsidRPr="00515AA2">
        <w:rPr>
          <w:lang w:val="en-CA"/>
        </w:rPr>
        <w:t>or</w:t>
      </w:r>
      <w:r w:rsidR="00FB7EAB" w:rsidRPr="00515AA2">
        <w:rPr>
          <w:lang w:val="en-CA"/>
        </w:rPr>
        <w:t xml:space="preserve"> insignificant </w:t>
      </w:r>
      <w:r w:rsidR="00D258A9" w:rsidRPr="00515AA2">
        <w:rPr>
          <w:lang w:val="en-CA"/>
        </w:rPr>
        <w:t>or the result of a whim or other capricious reason</w:t>
      </w:r>
      <w:r w:rsidRPr="00515AA2">
        <w:rPr>
          <w:lang w:val="en-CA"/>
        </w:rPr>
        <w:t xml:space="preserve">, </w:t>
      </w:r>
      <w:r w:rsidR="00FB7EAB" w:rsidRPr="00515AA2">
        <w:rPr>
          <w:lang w:val="en-CA"/>
        </w:rPr>
        <w:t xml:space="preserve">see </w:t>
      </w:r>
      <w:r w:rsidRPr="00515AA2">
        <w:rPr>
          <w:i/>
          <w:iCs/>
          <w:lang w:val="en-CA"/>
        </w:rPr>
        <w:t>Muratova c. Director of Civil Status</w:t>
      </w:r>
      <w:r w:rsidRPr="00515AA2">
        <w:rPr>
          <w:lang w:val="en-CA"/>
        </w:rPr>
        <w:t>, 2015 QCCS 2109</w:t>
      </w:r>
      <w:r w:rsidR="00EB7854" w:rsidRPr="00515AA2">
        <w:rPr>
          <w:lang w:val="en-CA"/>
        </w:rPr>
        <w:t>.</w:t>
      </w:r>
    </w:p>
  </w:footnote>
  <w:footnote w:id="136">
    <w:p w14:paraId="608FB236" w14:textId="2BDF6496" w:rsidR="006E4A8A" w:rsidRPr="00515AA2" w:rsidRDefault="006E4A8A" w:rsidP="006E4A8A">
      <w:pPr>
        <w:pStyle w:val="Notedebasdepage"/>
        <w:rPr>
          <w:lang w:val="en-CA"/>
        </w:rPr>
      </w:pPr>
      <w:r w:rsidRPr="00515AA2">
        <w:rPr>
          <w:rStyle w:val="Appelnotedebasdep"/>
        </w:rPr>
        <w:footnoteRef/>
      </w:r>
      <w:r w:rsidRPr="00515AA2">
        <w:rPr>
          <w:lang w:val="en-CA"/>
        </w:rPr>
        <w:t xml:space="preserve"> </w:t>
      </w:r>
      <w:r w:rsidR="00423688" w:rsidRPr="00515AA2">
        <w:rPr>
          <w:lang w:val="en-CA"/>
        </w:rPr>
        <w:tab/>
      </w:r>
      <w:r w:rsidR="00FB7EAB" w:rsidRPr="00515AA2">
        <w:rPr>
          <w:i/>
          <w:iCs/>
          <w:lang w:val="en-CA"/>
        </w:rPr>
        <w:t>C.C.Q</w:t>
      </w:r>
      <w:r w:rsidR="00FB7EAB" w:rsidRPr="00515AA2">
        <w:rPr>
          <w:lang w:val="en-CA"/>
        </w:rPr>
        <w:t xml:space="preserve">., arts. 71 and 71.1; </w:t>
      </w:r>
      <w:r w:rsidR="00FB7EAB" w:rsidRPr="00515AA2">
        <w:rPr>
          <w:i/>
          <w:iCs/>
          <w:lang w:val="en-CA"/>
        </w:rPr>
        <w:t>Regulation respecting change of name and of other particulars of civil status,</w:t>
      </w:r>
      <w:r w:rsidR="00FB7EAB" w:rsidRPr="00515AA2">
        <w:rPr>
          <w:lang w:val="en-CA"/>
        </w:rPr>
        <w:t xml:space="preserve"> </w:t>
      </w:r>
      <w:r w:rsidR="008E1D79" w:rsidRPr="00515AA2">
        <w:rPr>
          <w:i/>
          <w:iCs/>
          <w:lang w:val="en-CA"/>
        </w:rPr>
        <w:t>supra</w:t>
      </w:r>
      <w:r w:rsidR="008E1D79" w:rsidRPr="00515AA2">
        <w:rPr>
          <w:lang w:val="en-CA"/>
        </w:rPr>
        <w:t>,</w:t>
      </w:r>
      <w:r w:rsidR="00FB7EAB" w:rsidRPr="00515AA2">
        <w:rPr>
          <w:i/>
          <w:iCs/>
          <w:lang w:val="en-CA"/>
        </w:rPr>
        <w:t xml:space="preserve"> </w:t>
      </w:r>
      <w:r w:rsidR="00FB7EAB" w:rsidRPr="00515AA2">
        <w:rPr>
          <w:lang w:val="en-CA"/>
        </w:rPr>
        <w:t>note</w:t>
      </w:r>
      <w:r w:rsidR="0088484C" w:rsidRPr="00515AA2">
        <w:rPr>
          <w:lang w:val="en-CA"/>
        </w:rPr>
        <w:t xml:space="preserve"> </w:t>
      </w:r>
      <w:r w:rsidR="00881AC9" w:rsidRPr="00515AA2">
        <w:rPr>
          <w:lang w:val="en-CA"/>
        </w:rPr>
        <w:fldChar w:fldCharType="begin"/>
      </w:r>
      <w:r w:rsidR="00881AC9" w:rsidRPr="00515AA2">
        <w:rPr>
          <w:lang w:val="en-CA"/>
        </w:rPr>
        <w:instrText xml:space="preserve"> NOTEREF _Ref161234233 \h </w:instrText>
      </w:r>
      <w:r w:rsidR="00515AA2">
        <w:rPr>
          <w:lang w:val="en-CA"/>
        </w:rPr>
        <w:instrText xml:space="preserve"> \* MERGEFORMAT </w:instrText>
      </w:r>
      <w:r w:rsidR="00881AC9" w:rsidRPr="00515AA2">
        <w:rPr>
          <w:lang w:val="en-CA"/>
        </w:rPr>
      </w:r>
      <w:r w:rsidR="00881AC9" w:rsidRPr="00515AA2">
        <w:rPr>
          <w:lang w:val="en-CA"/>
        </w:rPr>
        <w:fldChar w:fldCharType="separate"/>
      </w:r>
      <w:r w:rsidR="00C83535">
        <w:rPr>
          <w:lang w:val="en-CA"/>
        </w:rPr>
        <w:t>8</w:t>
      </w:r>
      <w:r w:rsidR="00881AC9" w:rsidRPr="00515AA2">
        <w:rPr>
          <w:lang w:val="en-CA"/>
        </w:rPr>
        <w:fldChar w:fldCharType="end"/>
      </w:r>
      <w:r w:rsidR="00FB7EAB" w:rsidRPr="00515AA2">
        <w:rPr>
          <w:lang w:val="en-CA"/>
        </w:rPr>
        <w:t>, s. 24</w:t>
      </w:r>
      <w:r w:rsidR="00FB7EAB" w:rsidRPr="00515AA2">
        <w:rPr>
          <w:i/>
          <w:iCs/>
          <w:lang w:val="en-CA"/>
        </w:rPr>
        <w:t xml:space="preserve">, </w:t>
      </w:r>
      <w:r w:rsidR="003D581F" w:rsidRPr="00515AA2">
        <w:rPr>
          <w:i/>
          <w:iCs/>
          <w:lang w:val="en-CA"/>
        </w:rPr>
        <w:t>a contrario</w:t>
      </w:r>
      <w:r w:rsidR="003D581F" w:rsidRPr="00515AA2">
        <w:rPr>
          <w:lang w:val="en-CA"/>
        </w:rPr>
        <w:t>.</w:t>
      </w:r>
    </w:p>
  </w:footnote>
  <w:footnote w:id="137">
    <w:p w14:paraId="03B4A0DB" w14:textId="381D68DF" w:rsidR="006E4A8A" w:rsidRPr="00515AA2" w:rsidRDefault="006E4A8A" w:rsidP="006E4A8A">
      <w:pPr>
        <w:pStyle w:val="Notedebasdepage"/>
        <w:rPr>
          <w:lang w:val="en-CA"/>
        </w:rPr>
      </w:pPr>
      <w:r w:rsidRPr="00515AA2">
        <w:rPr>
          <w:rStyle w:val="Appelnotedebasdep"/>
        </w:rPr>
        <w:footnoteRef/>
      </w:r>
      <w:r w:rsidRPr="00515AA2">
        <w:rPr>
          <w:lang w:val="en-CA"/>
        </w:rPr>
        <w:t xml:space="preserve"> </w:t>
      </w:r>
      <w:r w:rsidRPr="00515AA2">
        <w:rPr>
          <w:lang w:val="en-CA"/>
        </w:rPr>
        <w:tab/>
      </w:r>
      <w:r w:rsidR="001F2D17" w:rsidRPr="00515AA2">
        <w:rPr>
          <w:i/>
          <w:iCs/>
          <w:lang w:val="en-CA"/>
        </w:rPr>
        <w:t>C.</w:t>
      </w:r>
      <w:r w:rsidR="00D258A9" w:rsidRPr="00515AA2">
        <w:rPr>
          <w:i/>
          <w:iCs/>
          <w:lang w:val="en-CA"/>
        </w:rPr>
        <w:t>C</w:t>
      </w:r>
      <w:r w:rsidR="001F2D17" w:rsidRPr="00515AA2">
        <w:rPr>
          <w:i/>
          <w:iCs/>
          <w:lang w:val="en-CA"/>
        </w:rPr>
        <w:t>.Q</w:t>
      </w:r>
      <w:r w:rsidR="001F2D17" w:rsidRPr="00515AA2">
        <w:rPr>
          <w:lang w:val="en-CA"/>
        </w:rPr>
        <w:t>., a</w:t>
      </w:r>
      <w:r w:rsidRPr="00515AA2">
        <w:rPr>
          <w:lang w:val="en-CA"/>
        </w:rPr>
        <w:t>rt.</w:t>
      </w:r>
      <w:r w:rsidR="00AF7ECD" w:rsidRPr="00515AA2">
        <w:rPr>
          <w:lang w:val="en-CA"/>
        </w:rPr>
        <w:t> </w:t>
      </w:r>
      <w:r w:rsidRPr="00515AA2">
        <w:rPr>
          <w:lang w:val="en-CA"/>
        </w:rPr>
        <w:t>14</w:t>
      </w:r>
      <w:r w:rsidR="001F2D17" w:rsidRPr="00515AA2">
        <w:rPr>
          <w:lang w:val="en-CA"/>
        </w:rPr>
        <w:t xml:space="preserve">, </w:t>
      </w:r>
      <w:r w:rsidR="00D258A9" w:rsidRPr="00515AA2">
        <w:rPr>
          <w:lang w:val="en-CA"/>
        </w:rPr>
        <w:t>para</w:t>
      </w:r>
      <w:r w:rsidR="001F2D17" w:rsidRPr="00515AA2">
        <w:rPr>
          <w:lang w:val="en-CA"/>
        </w:rPr>
        <w:t xml:space="preserve">. </w:t>
      </w:r>
      <w:r w:rsidRPr="00515AA2">
        <w:rPr>
          <w:lang w:val="en-CA"/>
        </w:rPr>
        <w:t>2</w:t>
      </w:r>
      <w:r w:rsidR="00D258A9" w:rsidRPr="00515AA2">
        <w:rPr>
          <w:lang w:val="en-CA"/>
        </w:rPr>
        <w:t>, and art. </w:t>
      </w:r>
      <w:r w:rsidRPr="00515AA2">
        <w:rPr>
          <w:lang w:val="en-CA"/>
        </w:rPr>
        <w:t>17.</w:t>
      </w:r>
    </w:p>
  </w:footnote>
  <w:footnote w:id="138">
    <w:p w14:paraId="5AAA9C91" w14:textId="2D5EFC0F"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Fraser v. Canada (Attorney General)</w:t>
      </w:r>
      <w:r w:rsidRPr="00515AA2">
        <w:rPr>
          <w:lang w:val="en-CA"/>
        </w:rPr>
        <w:t xml:space="preserve">, </w:t>
      </w:r>
      <w:r w:rsidR="008E1D79" w:rsidRPr="00515AA2">
        <w:rPr>
          <w:i/>
          <w:iCs/>
          <w:lang w:val="en-CA"/>
        </w:rPr>
        <w:t>supra</w:t>
      </w:r>
      <w:r w:rsidR="008E1D79" w:rsidRPr="00515AA2">
        <w:rPr>
          <w:lang w:val="en-CA"/>
        </w:rPr>
        <w:t>,</w:t>
      </w:r>
      <w:r w:rsidRPr="00515AA2">
        <w:rPr>
          <w:i/>
          <w:iCs/>
          <w:lang w:val="en-CA"/>
        </w:rPr>
        <w:t xml:space="preserve"> </w:t>
      </w:r>
      <w:r w:rsidRPr="00515AA2">
        <w:rPr>
          <w:lang w:val="en-CA"/>
        </w:rPr>
        <w:t xml:space="preserve">note </w:t>
      </w:r>
      <w:r w:rsidRPr="00515AA2">
        <w:rPr>
          <w:lang w:val="en-CA"/>
        </w:rPr>
        <w:fldChar w:fldCharType="begin"/>
      </w:r>
      <w:r w:rsidRPr="00515AA2">
        <w:rPr>
          <w:lang w:val="en-CA"/>
        </w:rPr>
        <w:instrText xml:space="preserve"> NOTEREF _Ref157504404 \h </w:instrText>
      </w:r>
      <w:r w:rsidR="00FB3810" w:rsidRPr="00515AA2">
        <w:rPr>
          <w:lang w:val="en-CA"/>
        </w:rPr>
        <w:instrText xml:space="preserve"> \* MERGEFORMAT </w:instrText>
      </w:r>
      <w:r w:rsidRPr="00515AA2">
        <w:rPr>
          <w:lang w:val="en-CA"/>
        </w:rPr>
      </w:r>
      <w:r w:rsidRPr="00515AA2">
        <w:rPr>
          <w:lang w:val="en-CA"/>
        </w:rPr>
        <w:fldChar w:fldCharType="separate"/>
      </w:r>
      <w:r w:rsidR="00C83535">
        <w:rPr>
          <w:lang w:val="en-CA"/>
        </w:rPr>
        <w:t>91</w:t>
      </w:r>
      <w:r w:rsidRPr="00515AA2">
        <w:rPr>
          <w:lang w:val="en-CA"/>
        </w:rPr>
        <w:fldChar w:fldCharType="end"/>
      </w:r>
      <w:r w:rsidRPr="00515AA2">
        <w:rPr>
          <w:lang w:val="en-CA"/>
        </w:rPr>
        <w:t>, paras. 42-46.</w:t>
      </w:r>
    </w:p>
  </w:footnote>
  <w:footnote w:id="139">
    <w:p w14:paraId="5E45483B" w14:textId="6BF91275"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Eaton v. Brant County Board of Education</w:t>
      </w:r>
      <w:r w:rsidRPr="00515AA2">
        <w:rPr>
          <w:lang w:val="en-CA"/>
        </w:rPr>
        <w:t>, 1997 CanLII 366 (SCC), [1997] 1 S.C.R. 241,</w:t>
      </w:r>
      <w:r w:rsidR="001311F9" w:rsidRPr="00515AA2">
        <w:rPr>
          <w:lang w:val="en-CA"/>
        </w:rPr>
        <w:t xml:space="preserve"> </w:t>
      </w:r>
      <w:r w:rsidRPr="00515AA2">
        <w:rPr>
          <w:lang w:val="en-CA"/>
        </w:rPr>
        <w:t xml:space="preserve">para. 67; </w:t>
      </w:r>
      <w:r w:rsidRPr="00515AA2">
        <w:rPr>
          <w:i/>
          <w:iCs/>
          <w:lang w:val="en-CA"/>
        </w:rPr>
        <w:t>Eldridge v. British Columbia (Attorney General)</w:t>
      </w:r>
      <w:r w:rsidRPr="00515AA2">
        <w:rPr>
          <w:lang w:val="en-CA"/>
        </w:rPr>
        <w:t xml:space="preserve">, 1997 CanLII 327 (SCC), [1997] 3 S.C.R. 624, para. 65; </w:t>
      </w:r>
      <w:r w:rsidRPr="00515AA2">
        <w:rPr>
          <w:i/>
          <w:iCs/>
          <w:lang w:val="en-CA"/>
        </w:rPr>
        <w:t>Fraser v. Canada (Attorney General)</w:t>
      </w:r>
      <w:r w:rsidRPr="00515AA2">
        <w:rPr>
          <w:lang w:val="en-CA"/>
        </w:rPr>
        <w:t xml:space="preserve">, </w:t>
      </w:r>
      <w:r w:rsidR="0013121E" w:rsidRPr="00AB54C6">
        <w:rPr>
          <w:i/>
          <w:iCs/>
          <w:lang w:val="en-CA"/>
        </w:rPr>
        <w:t>supra</w:t>
      </w:r>
      <w:r w:rsidR="0013121E" w:rsidRPr="00AB54C6">
        <w:rPr>
          <w:lang w:val="en-CA"/>
        </w:rPr>
        <w:t>,</w:t>
      </w:r>
      <w:r w:rsidRPr="00515AA2">
        <w:rPr>
          <w:lang w:val="en-CA"/>
        </w:rPr>
        <w:t xml:space="preserve"> note </w:t>
      </w:r>
      <w:r w:rsidRPr="00515AA2">
        <w:fldChar w:fldCharType="begin"/>
      </w:r>
      <w:r w:rsidRPr="00515AA2">
        <w:rPr>
          <w:lang w:val="en-CA"/>
        </w:rPr>
        <w:instrText xml:space="preserve"> NOTEREF _Ref157504404 \h </w:instrText>
      </w:r>
      <w:r w:rsidR="00FB3810" w:rsidRPr="00515AA2">
        <w:rPr>
          <w:lang w:val="en-CA"/>
        </w:rPr>
        <w:instrText xml:space="preserve"> \* MERGEFORMAT </w:instrText>
      </w:r>
      <w:r w:rsidRPr="00515AA2">
        <w:fldChar w:fldCharType="separate"/>
      </w:r>
      <w:r w:rsidR="00C83535">
        <w:rPr>
          <w:lang w:val="en-CA"/>
        </w:rPr>
        <w:t>91</w:t>
      </w:r>
      <w:r w:rsidRPr="00515AA2">
        <w:fldChar w:fldCharType="end"/>
      </w:r>
      <w:r w:rsidRPr="00515AA2">
        <w:rPr>
          <w:lang w:val="en-CA"/>
        </w:rPr>
        <w:t>, para. 47.</w:t>
      </w:r>
    </w:p>
  </w:footnote>
  <w:footnote w:id="140">
    <w:p w14:paraId="22F0EC4E" w14:textId="42823B61"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Corbiere</w:t>
      </w:r>
      <w:r w:rsidRPr="00515AA2">
        <w:rPr>
          <w:lang w:val="en-CA"/>
        </w:rPr>
        <w:t xml:space="preserve"> </w:t>
      </w:r>
      <w:r w:rsidRPr="00515AA2">
        <w:rPr>
          <w:i/>
          <w:lang w:val="en-CA"/>
        </w:rPr>
        <w:t>v.</w:t>
      </w:r>
      <w:r w:rsidRPr="00515AA2">
        <w:rPr>
          <w:lang w:val="en-CA"/>
        </w:rPr>
        <w:t xml:space="preserve"> </w:t>
      </w:r>
      <w:r w:rsidRPr="00515AA2">
        <w:rPr>
          <w:i/>
          <w:lang w:val="en-CA"/>
        </w:rPr>
        <w:t>Canada (Minister of Indian and Northern Affairs)</w:t>
      </w:r>
      <w:r w:rsidRPr="00515AA2">
        <w:rPr>
          <w:lang w:val="en-CA"/>
        </w:rPr>
        <w:t>, 1999 CanLII 687 (SCC), [1999] 2 S.C.R. 203.</w:t>
      </w:r>
    </w:p>
  </w:footnote>
  <w:footnote w:id="141">
    <w:p w14:paraId="0FA64342" w14:textId="602D04F7"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Id.</w:t>
      </w:r>
      <w:r w:rsidRPr="00515AA2">
        <w:rPr>
          <w:lang w:val="en-CA"/>
        </w:rPr>
        <w:t>, para. 13.</w:t>
      </w:r>
    </w:p>
  </w:footnote>
  <w:footnote w:id="142">
    <w:p w14:paraId="786EE30F" w14:textId="0FFE6CE8"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t>Judgment under appeal,</w:t>
      </w:r>
      <w:r w:rsidR="008E1D79" w:rsidRPr="00515AA2">
        <w:rPr>
          <w:lang w:val="en-CA"/>
        </w:rPr>
        <w:t xml:space="preserve"> </w:t>
      </w:r>
      <w:r w:rsidR="008E1D79" w:rsidRPr="00515AA2">
        <w:rPr>
          <w:i/>
          <w:iCs/>
          <w:lang w:val="en-CA"/>
        </w:rPr>
        <w:t>supra</w:t>
      </w:r>
      <w:r w:rsidR="008E1D79" w:rsidRPr="00515AA2">
        <w:rPr>
          <w:lang w:val="en-CA"/>
        </w:rPr>
        <w:t xml:space="preserve">, note </w:t>
      </w:r>
      <w:r w:rsidR="00881AC9" w:rsidRPr="00515AA2">
        <w:fldChar w:fldCharType="begin"/>
      </w:r>
      <w:r w:rsidR="00881AC9" w:rsidRPr="00515AA2">
        <w:rPr>
          <w:lang w:val="en-CA"/>
        </w:rPr>
        <w:instrText xml:space="preserve"> NOTEREF _Ref161233644 \h </w:instrText>
      </w:r>
      <w:r w:rsidR="00515AA2" w:rsidRPr="00AB54C6">
        <w:rPr>
          <w:lang w:val="en-CA"/>
        </w:rPr>
        <w:instrText xml:space="preserve"> \* MERGEFORMAT </w:instrText>
      </w:r>
      <w:r w:rsidR="00881AC9" w:rsidRPr="00515AA2">
        <w:fldChar w:fldCharType="separate"/>
      </w:r>
      <w:r w:rsidR="00C83535">
        <w:rPr>
          <w:lang w:val="en-CA"/>
        </w:rPr>
        <w:t>9</w:t>
      </w:r>
      <w:r w:rsidR="00881AC9" w:rsidRPr="00515AA2">
        <w:fldChar w:fldCharType="end"/>
      </w:r>
      <w:r w:rsidR="008E1D79" w:rsidRPr="00515AA2">
        <w:rPr>
          <w:lang w:val="en-CA"/>
        </w:rPr>
        <w:t>,</w:t>
      </w:r>
      <w:r w:rsidRPr="00515AA2">
        <w:rPr>
          <w:lang w:val="en-CA"/>
        </w:rPr>
        <w:t xml:space="preserve"> paras. 106-108.</w:t>
      </w:r>
    </w:p>
  </w:footnote>
  <w:footnote w:id="143">
    <w:p w14:paraId="5109BD78" w14:textId="44C5A5FF"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Id.</w:t>
      </w:r>
      <w:r w:rsidRPr="00515AA2">
        <w:rPr>
          <w:lang w:val="en-CA"/>
        </w:rPr>
        <w:t>, para. 111.</w:t>
      </w:r>
    </w:p>
  </w:footnote>
  <w:footnote w:id="144">
    <w:p w14:paraId="7DB68AB8" w14:textId="00BEBD93"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Eldridge</w:t>
      </w:r>
      <w:r w:rsidRPr="00515AA2">
        <w:rPr>
          <w:lang w:val="en-CA"/>
        </w:rPr>
        <w:t xml:space="preserve">, </w:t>
      </w:r>
      <w:r w:rsidR="008E1D79" w:rsidRPr="00515AA2">
        <w:rPr>
          <w:i/>
          <w:iCs/>
          <w:lang w:val="en-CA"/>
        </w:rPr>
        <w:t>supra</w:t>
      </w:r>
      <w:r w:rsidR="008E1D79" w:rsidRPr="00515AA2">
        <w:rPr>
          <w:lang w:val="en-CA"/>
        </w:rPr>
        <w:t>,</w:t>
      </w:r>
      <w:r w:rsidRPr="00515AA2">
        <w:rPr>
          <w:i/>
          <w:iCs/>
          <w:lang w:val="en-CA"/>
        </w:rPr>
        <w:t xml:space="preserve"> </w:t>
      </w:r>
      <w:r w:rsidRPr="00515AA2">
        <w:rPr>
          <w:lang w:val="en-CA"/>
        </w:rPr>
        <w:t xml:space="preserve">note </w:t>
      </w:r>
      <w:r w:rsidRPr="00515AA2">
        <w:fldChar w:fldCharType="begin"/>
      </w:r>
      <w:r w:rsidRPr="00515AA2">
        <w:rPr>
          <w:lang w:val="en-CA"/>
        </w:rPr>
        <w:instrText xml:space="preserve"> NOTEREF _Ref157173483 \h </w:instrText>
      </w:r>
      <w:r w:rsidR="00FB3810" w:rsidRPr="00515AA2">
        <w:rPr>
          <w:lang w:val="en-CA"/>
        </w:rPr>
        <w:instrText xml:space="preserve"> \* MERGEFORMAT </w:instrText>
      </w:r>
      <w:r w:rsidRPr="00515AA2">
        <w:fldChar w:fldCharType="separate"/>
      </w:r>
      <w:r w:rsidR="00C83535">
        <w:rPr>
          <w:lang w:val="en-CA"/>
        </w:rPr>
        <w:t>139</w:t>
      </w:r>
      <w:r w:rsidRPr="00515AA2">
        <w:fldChar w:fldCharType="end"/>
      </w:r>
      <w:r w:rsidRPr="00515AA2">
        <w:rPr>
          <w:lang w:val="en-CA"/>
        </w:rPr>
        <w:t>, para. 66.</w:t>
      </w:r>
    </w:p>
  </w:footnote>
  <w:footnote w:id="145">
    <w:p w14:paraId="5EF4A4C9" w14:textId="070733AF"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Eaton</w:t>
      </w:r>
      <w:r w:rsidRPr="00515AA2">
        <w:rPr>
          <w:lang w:val="en-CA"/>
        </w:rPr>
        <w:t xml:space="preserve">, </w:t>
      </w:r>
      <w:r w:rsidR="008E1D79" w:rsidRPr="00515AA2">
        <w:rPr>
          <w:i/>
          <w:iCs/>
          <w:lang w:val="en-CA"/>
        </w:rPr>
        <w:t>supra</w:t>
      </w:r>
      <w:r w:rsidR="008E1D79" w:rsidRPr="00515AA2">
        <w:rPr>
          <w:lang w:val="en-CA"/>
        </w:rPr>
        <w:t>,</w:t>
      </w:r>
      <w:r w:rsidRPr="00515AA2">
        <w:rPr>
          <w:lang w:val="en-CA"/>
        </w:rPr>
        <w:t xml:space="preserve"> note </w:t>
      </w:r>
      <w:r w:rsidRPr="00515AA2">
        <w:fldChar w:fldCharType="begin"/>
      </w:r>
      <w:r w:rsidRPr="00515AA2">
        <w:rPr>
          <w:lang w:val="en-CA"/>
        </w:rPr>
        <w:instrText xml:space="preserve"> NOTEREF _Ref157173483 \h </w:instrText>
      </w:r>
      <w:r w:rsidR="00FB3810" w:rsidRPr="00515AA2">
        <w:rPr>
          <w:lang w:val="en-CA"/>
        </w:rPr>
        <w:instrText xml:space="preserve"> \* MERGEFORMAT </w:instrText>
      </w:r>
      <w:r w:rsidRPr="00515AA2">
        <w:fldChar w:fldCharType="separate"/>
      </w:r>
      <w:r w:rsidR="00C83535">
        <w:rPr>
          <w:lang w:val="en-CA"/>
        </w:rPr>
        <w:t>139</w:t>
      </w:r>
      <w:r w:rsidRPr="00515AA2">
        <w:fldChar w:fldCharType="end"/>
      </w:r>
      <w:r w:rsidRPr="00515AA2">
        <w:rPr>
          <w:lang w:val="en-CA"/>
        </w:rPr>
        <w:t>, para. 67.</w:t>
      </w:r>
    </w:p>
  </w:footnote>
  <w:footnote w:id="146">
    <w:p w14:paraId="6A629B3E" w14:textId="77777777" w:rsidR="00D258A9" w:rsidRPr="00515AA2" w:rsidRDefault="00D258A9" w:rsidP="00D258A9">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Ibid</w:t>
      </w:r>
      <w:r w:rsidRPr="00515AA2">
        <w:rPr>
          <w:lang w:val="en-CA"/>
        </w:rPr>
        <w:t>.</w:t>
      </w:r>
    </w:p>
  </w:footnote>
  <w:footnote w:id="147">
    <w:p w14:paraId="66B49D55" w14:textId="77777777"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t>The age of majority is 18 in Alberta, Prince Edward Island, Manitoba, Ontario and Saskatchewan and it is 19 in British Colombia, New-Brunswick, Nova Scotia, Nunavut, Newfoundland and Labrador, Northwest Territories and Yukon.</w:t>
      </w:r>
    </w:p>
  </w:footnote>
  <w:footnote w:id="148">
    <w:p w14:paraId="3A04B599" w14:textId="5B64CEFE"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SA 2007, c. V-4.1, s</w:t>
      </w:r>
      <w:r w:rsidR="008E1D79" w:rsidRPr="00515AA2">
        <w:rPr>
          <w:lang w:val="en-CA"/>
        </w:rPr>
        <w:t>.</w:t>
      </w:r>
      <w:r w:rsidRPr="00515AA2">
        <w:rPr>
          <w:lang w:val="en-CA"/>
        </w:rPr>
        <w:t xml:space="preserve"> 30, </w:t>
      </w:r>
      <w:r w:rsidR="006D7AC5" w:rsidRPr="00277F3D">
        <w:rPr>
          <w:lang w:val="en-CA"/>
        </w:rPr>
        <w:t>https://canlii.ca/t/55tpz</w:t>
      </w:r>
      <w:r w:rsidRPr="00515AA2">
        <w:rPr>
          <w:lang w:val="en-CA"/>
        </w:rPr>
        <w:t>.</w:t>
      </w:r>
    </w:p>
    <w:p w14:paraId="61B781C0" w14:textId="6CBB7C5E" w:rsidR="00945DE2" w:rsidRPr="00515AA2" w:rsidRDefault="00945DE2" w:rsidP="00945DE2">
      <w:pPr>
        <w:pStyle w:val="Notedebasdepage"/>
        <w:ind w:firstLine="0"/>
        <w:rPr>
          <w:lang w:val="en-CA"/>
        </w:rPr>
      </w:pPr>
      <w:r w:rsidRPr="00515AA2">
        <w:rPr>
          <w:i/>
          <w:lang w:val="en-CA"/>
        </w:rPr>
        <w:t>Vital Statistics Information Regulation</w:t>
      </w:r>
      <w:r w:rsidRPr="00515AA2">
        <w:rPr>
          <w:lang w:val="en-CA"/>
        </w:rPr>
        <w:t xml:space="preserve">, Alta Reg 108/2018, ss. 17-19, </w:t>
      </w:r>
      <w:r w:rsidR="006D7AC5" w:rsidRPr="00277F3D">
        <w:rPr>
          <w:lang w:val="en-CA"/>
        </w:rPr>
        <w:t>https://canlii.ca/t/55pbd</w:t>
      </w:r>
      <w:r w:rsidRPr="00515AA2">
        <w:rPr>
          <w:u w:val="single"/>
          <w:lang w:val="en-CA"/>
        </w:rPr>
        <w:t>.</w:t>
      </w:r>
      <w:r w:rsidRPr="00515AA2">
        <w:rPr>
          <w:lang w:val="en-CA"/>
        </w:rPr>
        <w:t xml:space="preserve"> </w:t>
      </w:r>
    </w:p>
    <w:p w14:paraId="57F9946A" w14:textId="440D29DD" w:rsidR="00945DE2" w:rsidRPr="00515AA2" w:rsidRDefault="00945DE2" w:rsidP="00945DE2">
      <w:pPr>
        <w:pStyle w:val="Notedebasdepage"/>
        <w:ind w:firstLine="0"/>
        <w:rPr>
          <w:lang w:val="en-CA"/>
        </w:rPr>
      </w:pPr>
      <w:r w:rsidRPr="00515AA2">
        <w:rPr>
          <w:lang w:val="en-CA"/>
        </w:rPr>
        <w:t xml:space="preserve">Forms: </w:t>
      </w:r>
      <w:r w:rsidRPr="00277F3D">
        <w:rPr>
          <w:lang w:val="en-CA"/>
        </w:rPr>
        <w:t>https://www.alberta.ca/birth-record-sex-amendment.aspx</w:t>
      </w:r>
      <w:r w:rsidRPr="00515AA2">
        <w:rPr>
          <w:lang w:val="en-CA"/>
        </w:rPr>
        <w:t>.</w:t>
      </w:r>
    </w:p>
  </w:footnote>
  <w:footnote w:id="149">
    <w:p w14:paraId="1CBF9567" w14:textId="091AF2B7"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xml:space="preserve">, RSBC 1996, c. 479, ss 27, 48, </w:t>
      </w:r>
      <w:r w:rsidR="006D7AC5" w:rsidRPr="00277F3D">
        <w:rPr>
          <w:lang w:val="en-CA"/>
        </w:rPr>
        <w:t>https://canlii.ca/t/565hf</w:t>
      </w:r>
      <w:r w:rsidRPr="00515AA2">
        <w:rPr>
          <w:u w:val="single"/>
          <w:lang w:val="en-CA"/>
        </w:rPr>
        <w:t>:</w:t>
      </w:r>
      <w:r w:rsidRPr="00515AA2">
        <w:rPr>
          <w:lang w:val="en-CA"/>
        </w:rPr>
        <w:t xml:space="preserve"> </w:t>
      </w:r>
    </w:p>
    <w:p w14:paraId="7CD363A9" w14:textId="77777777" w:rsidR="00945DE2" w:rsidRPr="00515AA2" w:rsidRDefault="00945DE2" w:rsidP="00945DE2">
      <w:pPr>
        <w:pStyle w:val="Notedebasdepage"/>
        <w:ind w:left="708" w:firstLine="0"/>
        <w:rPr>
          <w:lang w:val="en-CA"/>
        </w:rPr>
      </w:pPr>
      <w:r w:rsidRPr="00515AA2">
        <w:rPr>
          <w:b/>
          <w:bCs/>
          <w:lang w:val="en-CA"/>
        </w:rPr>
        <w:t>48</w:t>
      </w:r>
      <w:r w:rsidRPr="00515AA2">
        <w:rPr>
          <w:lang w:val="en-CA"/>
        </w:rPr>
        <w:t>  </w:t>
      </w:r>
      <w:r w:rsidRPr="00515AA2">
        <w:rPr>
          <w:i/>
          <w:iCs/>
          <w:lang w:val="en-CA"/>
        </w:rPr>
        <w:t>The registrar general may establish the forms to be used for the purposes of this Act and, unless specified by this Act, the particulars to be included in a certificate issued under this Act</w:t>
      </w:r>
      <w:r w:rsidRPr="00515AA2">
        <w:rPr>
          <w:lang w:val="en-CA"/>
        </w:rPr>
        <w:t>.</w:t>
      </w:r>
    </w:p>
    <w:p w14:paraId="54A34307" w14:textId="07EB79C3" w:rsidR="00945DE2" w:rsidRPr="00515AA2" w:rsidRDefault="00945DE2" w:rsidP="00945DE2">
      <w:pPr>
        <w:pStyle w:val="Notedebasdepage"/>
        <w:ind w:left="708"/>
        <w:rPr>
          <w:lang w:val="en-CA"/>
        </w:rPr>
      </w:pPr>
      <w:r w:rsidRPr="00515AA2">
        <w:rPr>
          <w:lang w:val="en-CA"/>
        </w:rPr>
        <w:t xml:space="preserve">Forms: </w:t>
      </w:r>
      <w:r w:rsidRPr="00277F3D">
        <w:rPr>
          <w:lang w:val="en-CA"/>
        </w:rPr>
        <w:t>https://www2.gov.bc.ca/gov/content/life-events/birth-adoptio/births/birth-certificates/change-of-gender-designation-on-birth-certificates</w:t>
      </w:r>
      <w:r w:rsidRPr="00515AA2">
        <w:rPr>
          <w:u w:val="single"/>
          <w:lang w:val="en-CA"/>
        </w:rPr>
        <w:t>.</w:t>
      </w:r>
    </w:p>
  </w:footnote>
  <w:footnote w:id="150">
    <w:p w14:paraId="164F4E78" w14:textId="0C22149D"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xml:space="preserve">, RSPEI 1988, c. V-4.1, s. 12, </w:t>
      </w:r>
      <w:r w:rsidR="006D7AC5" w:rsidRPr="00277F3D">
        <w:rPr>
          <w:lang w:val="en-CA"/>
        </w:rPr>
        <w:t>https://canlii.ca/t/564jd</w:t>
      </w:r>
      <w:r w:rsidRPr="00515AA2">
        <w:rPr>
          <w:lang w:val="en-CA"/>
        </w:rPr>
        <w:t xml:space="preserve">. </w:t>
      </w:r>
    </w:p>
    <w:p w14:paraId="7B820CC9" w14:textId="764B1827" w:rsidR="00945DE2" w:rsidRPr="00515AA2" w:rsidRDefault="00945DE2" w:rsidP="00945DE2">
      <w:pPr>
        <w:pStyle w:val="Notedebasdepage"/>
        <w:ind w:firstLine="0"/>
        <w:rPr>
          <w:lang w:val="en-CA"/>
        </w:rPr>
      </w:pPr>
      <w:r w:rsidRPr="00515AA2">
        <w:rPr>
          <w:lang w:val="en-CA"/>
        </w:rPr>
        <w:t>Forms: </w:t>
      </w:r>
      <w:r w:rsidRPr="00277F3D">
        <w:rPr>
          <w:lang w:val="en-CA"/>
        </w:rPr>
        <w:t>https://www.princeedwardisland.ca/fr/information/justice-et-securite-publique/change-gender-designation</w:t>
      </w:r>
      <w:r w:rsidRPr="00515AA2">
        <w:rPr>
          <w:u w:val="single"/>
          <w:lang w:val="en-CA"/>
        </w:rPr>
        <w:t>.</w:t>
      </w:r>
    </w:p>
  </w:footnote>
  <w:footnote w:id="151">
    <w:p w14:paraId="473167E4" w14:textId="542D0B54"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iCs/>
          <w:lang w:val="en-CA"/>
        </w:rPr>
        <w:t xml:space="preserve">The Vital Statistics Act, CCSM </w:t>
      </w:r>
      <w:r w:rsidRPr="00515AA2">
        <w:rPr>
          <w:lang w:val="en-CA"/>
        </w:rPr>
        <w:t xml:space="preserve">c. V60, s. 25, </w:t>
      </w:r>
      <w:r w:rsidRPr="00277F3D">
        <w:rPr>
          <w:lang w:val="en-CA"/>
        </w:rPr>
        <w:t>https://canlii.ca/t/55gcz</w:t>
      </w:r>
      <w:r w:rsidRPr="00515AA2">
        <w:rPr>
          <w:u w:val="single"/>
          <w:lang w:val="en-CA"/>
        </w:rPr>
        <w:t>.</w:t>
      </w:r>
    </w:p>
    <w:p w14:paraId="4D6B6CD2" w14:textId="478606F4" w:rsidR="00945DE2" w:rsidRPr="00515AA2" w:rsidRDefault="00945DE2" w:rsidP="00945DE2">
      <w:pPr>
        <w:pStyle w:val="Notedebasdepage"/>
        <w:ind w:firstLine="0"/>
        <w:rPr>
          <w:lang w:val="en-CA"/>
        </w:rPr>
      </w:pPr>
      <w:r w:rsidRPr="00515AA2">
        <w:rPr>
          <w:lang w:val="en-CA"/>
        </w:rPr>
        <w:t xml:space="preserve">Forms: </w:t>
      </w:r>
      <w:r w:rsidRPr="00277F3D">
        <w:rPr>
          <w:lang w:val="en-CA"/>
        </w:rPr>
        <w:t>https://vitalstats.gov.mb.ca/change_of_sex_designation.html</w:t>
      </w:r>
      <w:r w:rsidRPr="00515AA2">
        <w:rPr>
          <w:u w:val="single"/>
          <w:lang w:val="en-CA"/>
        </w:rPr>
        <w:t>.</w:t>
      </w:r>
    </w:p>
  </w:footnote>
  <w:footnote w:id="152">
    <w:p w14:paraId="2D3A89B5" w14:textId="68716198"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xml:space="preserve">, SNB 1979, c. V-3, ss. 34, 34.1, </w:t>
      </w:r>
      <w:r w:rsidR="005745E0" w:rsidRPr="00277F3D">
        <w:rPr>
          <w:lang w:val="en-CA"/>
        </w:rPr>
        <w:t>https://canlii.ca/t/564v6</w:t>
      </w:r>
      <w:r w:rsidRPr="00515AA2">
        <w:rPr>
          <w:u w:val="single"/>
          <w:lang w:val="en-CA"/>
        </w:rPr>
        <w:t>.</w:t>
      </w:r>
    </w:p>
    <w:p w14:paraId="39C1C14B" w14:textId="5607316E" w:rsidR="00945DE2" w:rsidRPr="00515AA2" w:rsidRDefault="00945DE2" w:rsidP="00945DE2">
      <w:pPr>
        <w:pStyle w:val="Notedebasdepage"/>
        <w:ind w:firstLine="0"/>
        <w:rPr>
          <w:lang w:val="en-CA"/>
        </w:rPr>
      </w:pPr>
      <w:r w:rsidRPr="00515AA2">
        <w:rPr>
          <w:lang w:val="en-CA"/>
        </w:rPr>
        <w:t>Forms: </w:t>
      </w:r>
      <w:r w:rsidRPr="00277F3D">
        <w:rPr>
          <w:lang w:val="en-CA"/>
        </w:rPr>
        <w:t>Change of Sex Designation (gnb.ca)</w:t>
      </w:r>
      <w:r w:rsidRPr="00515AA2">
        <w:rPr>
          <w:lang w:val="en-CA"/>
        </w:rPr>
        <w:t>.</w:t>
      </w:r>
    </w:p>
  </w:footnote>
  <w:footnote w:id="153">
    <w:p w14:paraId="59211A3C" w14:textId="3AC512D1"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xml:space="preserve">, RSNS 1989, c. 494, s. 25, </w:t>
      </w:r>
      <w:r w:rsidRPr="00277F3D">
        <w:rPr>
          <w:lang w:val="en-CA"/>
        </w:rPr>
        <w:t>https://canlii.ca/t/542vd</w:t>
      </w:r>
      <w:r w:rsidRPr="00515AA2">
        <w:rPr>
          <w:u w:val="single"/>
          <w:lang w:val="en-CA"/>
        </w:rPr>
        <w:t>.</w:t>
      </w:r>
    </w:p>
    <w:p w14:paraId="65F84E48" w14:textId="17470CC7" w:rsidR="00945DE2" w:rsidRPr="00515AA2" w:rsidRDefault="00945DE2" w:rsidP="00945DE2">
      <w:pPr>
        <w:pStyle w:val="Notedebasdepage"/>
        <w:ind w:left="0" w:firstLine="360"/>
        <w:jc w:val="left"/>
        <w:rPr>
          <w:lang w:val="en-CA"/>
        </w:rPr>
      </w:pPr>
      <w:r w:rsidRPr="00515AA2">
        <w:rPr>
          <w:lang w:val="en-CA"/>
        </w:rPr>
        <w:t xml:space="preserve">Forms: </w:t>
      </w:r>
      <w:r w:rsidRPr="00277F3D">
        <w:rPr>
          <w:lang w:val="en-CA"/>
        </w:rPr>
        <w:t>https://beta.novascotia.ca/change-your-sex-indicator-if-youre-16-or-older</w:t>
      </w:r>
      <w:r w:rsidRPr="00515AA2">
        <w:rPr>
          <w:lang w:val="en-CA"/>
        </w:rPr>
        <w:t xml:space="preserve"> </w:t>
      </w:r>
    </w:p>
    <w:p w14:paraId="01DFFBDF" w14:textId="79E7BE40" w:rsidR="00945DE2" w:rsidRPr="00515AA2" w:rsidRDefault="00945DE2" w:rsidP="00945DE2">
      <w:pPr>
        <w:pStyle w:val="Notedebasdepage"/>
        <w:ind w:left="0" w:firstLine="360"/>
        <w:rPr>
          <w:lang w:val="en-CA"/>
        </w:rPr>
      </w:pPr>
      <w:r w:rsidRPr="00277F3D">
        <w:rPr>
          <w:lang w:val="en-CA"/>
        </w:rPr>
        <w:t>https://beta.novascotia.ca/change-your-sex-indicator-if-youre-15-or-younger</w:t>
      </w:r>
      <w:r w:rsidRPr="00515AA2">
        <w:rPr>
          <w:u w:val="single"/>
          <w:lang w:val="en-CA"/>
        </w:rPr>
        <w:t>.</w:t>
      </w:r>
    </w:p>
  </w:footnote>
  <w:footnote w:id="154">
    <w:p w14:paraId="08CE5A14" w14:textId="66A13861" w:rsidR="00945DE2" w:rsidRPr="00515AA2" w:rsidRDefault="00945DE2" w:rsidP="00945DE2">
      <w:pPr>
        <w:pStyle w:val="Notedebasdepage"/>
        <w:jc w:val="left"/>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 xml:space="preserve">Vital Statistics Act, </w:t>
      </w:r>
      <w:r w:rsidRPr="00515AA2">
        <w:rPr>
          <w:iCs/>
          <w:lang w:val="en-CA"/>
        </w:rPr>
        <w:t xml:space="preserve">RSNWT </w:t>
      </w:r>
      <w:r w:rsidRPr="00515AA2">
        <w:rPr>
          <w:lang w:val="en-CA"/>
        </w:rPr>
        <w:t xml:space="preserve">(Nu) 1988, c. V-3, s. 11.1., </w:t>
      </w:r>
      <w:r w:rsidRPr="00DF1129">
        <w:rPr>
          <w:lang w:val="en-CA"/>
        </w:rPr>
        <w:t>https://canlii.ca/t/52qpm</w:t>
      </w:r>
      <w:r w:rsidRPr="00515AA2">
        <w:rPr>
          <w:lang w:val="en-CA"/>
        </w:rPr>
        <w:t xml:space="preserve">. </w:t>
      </w:r>
    </w:p>
    <w:p w14:paraId="6F62705B" w14:textId="6A847EB3" w:rsidR="00945DE2" w:rsidRPr="00515AA2" w:rsidRDefault="00945DE2" w:rsidP="00945DE2">
      <w:pPr>
        <w:pStyle w:val="Notedebasdepage"/>
        <w:ind w:firstLine="0"/>
        <w:jc w:val="left"/>
        <w:rPr>
          <w:lang w:val="en-CA"/>
        </w:rPr>
      </w:pPr>
      <w:r w:rsidRPr="00515AA2">
        <w:rPr>
          <w:lang w:val="en-CA"/>
        </w:rPr>
        <w:t xml:space="preserve">Amendments into force: </w:t>
      </w:r>
      <w:r w:rsidRPr="00DF1129">
        <w:rPr>
          <w:lang w:val="en-CA"/>
        </w:rPr>
        <w:t>https://www.nunavutlegislation.ca/en/media/1674</w:t>
      </w:r>
      <w:r w:rsidRPr="00515AA2">
        <w:rPr>
          <w:color w:val="0000FF"/>
          <w:u w:val="single"/>
          <w:lang w:val="en-CA"/>
        </w:rPr>
        <w:t>.</w:t>
      </w:r>
    </w:p>
  </w:footnote>
  <w:footnote w:id="155">
    <w:p w14:paraId="1D5EB4B3" w14:textId="7F4FB61E" w:rsidR="00226DCA"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t xml:space="preserve">In Ontario, there is a dichotomy between the requirements of the </w:t>
      </w:r>
      <w:r w:rsidRPr="00515AA2">
        <w:rPr>
          <w:i/>
          <w:iCs/>
          <w:lang w:val="en-CA"/>
        </w:rPr>
        <w:t>Act</w:t>
      </w:r>
      <w:r w:rsidRPr="00515AA2">
        <w:rPr>
          <w:lang w:val="en-CA"/>
        </w:rPr>
        <w:t xml:space="preserve"> and those of the forms, because s. 36 of the </w:t>
      </w:r>
      <w:r w:rsidRPr="00515AA2">
        <w:rPr>
          <w:i/>
          <w:iCs/>
          <w:lang w:val="en-CA"/>
        </w:rPr>
        <w:t>Vital Statistics Act</w:t>
      </w:r>
      <w:r w:rsidRPr="00515AA2">
        <w:rPr>
          <w:lang w:val="en-CA"/>
        </w:rPr>
        <w:t xml:space="preserve">, which dates from 1990 and has never been amended, requires a change in the anatomical sex structure of the person in order to apply for a change of the sex designation. </w:t>
      </w:r>
      <w:r w:rsidRPr="00515AA2">
        <w:rPr>
          <w:i/>
          <w:lang w:val="en-CA"/>
        </w:rPr>
        <w:t xml:space="preserve">Vital Statistics Act, </w:t>
      </w:r>
      <w:r w:rsidRPr="00515AA2">
        <w:rPr>
          <w:iCs/>
          <w:lang w:val="en-CA"/>
        </w:rPr>
        <w:t xml:space="preserve">RSO </w:t>
      </w:r>
      <w:r w:rsidRPr="00515AA2">
        <w:rPr>
          <w:lang w:val="en-CA"/>
        </w:rPr>
        <w:t xml:space="preserve">1990, c. V.4, s. 36; </w:t>
      </w:r>
      <w:r w:rsidRPr="006B759F">
        <w:rPr>
          <w:lang w:val="en-CA"/>
        </w:rPr>
        <w:t>https://canlii.ca/t/55qmw</w:t>
      </w:r>
      <w:r w:rsidRPr="00515AA2">
        <w:rPr>
          <w:lang w:val="en-CA"/>
        </w:rPr>
        <w:t>;</w:t>
      </w:r>
    </w:p>
    <w:p w14:paraId="2E7D41A5" w14:textId="2ACCF6BB" w:rsidR="00945DE2" w:rsidRPr="00515AA2" w:rsidRDefault="00945DE2" w:rsidP="00226DCA">
      <w:pPr>
        <w:pStyle w:val="Notedebasdepage"/>
        <w:ind w:firstLine="0"/>
        <w:rPr>
          <w:lang w:val="en-CA"/>
        </w:rPr>
      </w:pPr>
      <w:r w:rsidRPr="00515AA2">
        <w:rPr>
          <w:lang w:val="en-CA"/>
        </w:rPr>
        <w:t>General, R.R.O. 1990, Reg </w:t>
      </w:r>
      <w:r w:rsidRPr="00515AA2">
        <w:rPr>
          <w:rFonts w:cs="Arial"/>
          <w:lang w:val="en-CA"/>
        </w:rPr>
        <w:t xml:space="preserve">1094, </w:t>
      </w:r>
      <w:bookmarkStart w:id="85" w:name="_Hlk155964198"/>
      <w:r w:rsidRPr="006B759F">
        <w:rPr>
          <w:rFonts w:cs="Arial"/>
          <w:lang w:val="en-CA"/>
        </w:rPr>
        <w:t>https://canlii.ca/t/55gks</w:t>
      </w:r>
      <w:bookmarkEnd w:id="85"/>
      <w:r w:rsidRPr="00515AA2">
        <w:rPr>
          <w:rFonts w:cs="Arial"/>
          <w:lang w:val="en-CA"/>
        </w:rPr>
        <w:t>, s.</w:t>
      </w:r>
      <w:r w:rsidRPr="00515AA2">
        <w:rPr>
          <w:lang w:val="en-CA"/>
        </w:rPr>
        <w:t> 49:</w:t>
      </w:r>
    </w:p>
    <w:p w14:paraId="164C258B" w14:textId="01405812" w:rsidR="00945DE2" w:rsidRPr="00515AA2" w:rsidRDefault="00945DE2" w:rsidP="00945DE2">
      <w:pPr>
        <w:pStyle w:val="Notedebasdepage"/>
        <w:ind w:left="708" w:firstLine="0"/>
        <w:jc w:val="left"/>
        <w:rPr>
          <w:u w:val="single"/>
          <w:lang w:val="en-CA"/>
        </w:rPr>
      </w:pPr>
      <w:r w:rsidRPr="00515AA2">
        <w:rPr>
          <w:b/>
          <w:bCs/>
          <w:lang w:val="en-CA"/>
        </w:rPr>
        <w:t>49 </w:t>
      </w:r>
      <w:r w:rsidRPr="00515AA2">
        <w:rPr>
          <w:rFonts w:ascii="Helvetica" w:hAnsi="Helvetica"/>
          <w:color w:val="000000"/>
          <w:lang w:val="en-CA"/>
        </w:rPr>
        <w:t>(1) An application under section 36 of the Act to have the designation of sex on the registration of birth changed shall be in the form approved by the Registrar General.</w:t>
      </w:r>
      <w:r w:rsidRPr="00515AA2">
        <w:rPr>
          <w:lang w:val="en-CA"/>
        </w:rPr>
        <w:t xml:space="preserve"> </w:t>
      </w:r>
      <w:r w:rsidRPr="006B759F">
        <w:rPr>
          <w:lang w:val="en-CA"/>
        </w:rPr>
        <w:t>https://canlii.ca/t/6dhp4</w:t>
      </w:r>
      <w:r w:rsidRPr="00515AA2">
        <w:rPr>
          <w:u w:val="single"/>
          <w:lang w:val="en-CA"/>
        </w:rPr>
        <w:t>;</w:t>
      </w:r>
    </w:p>
    <w:p w14:paraId="02490DBB" w14:textId="1B59D48F" w:rsidR="00945DE2" w:rsidRPr="00515AA2" w:rsidRDefault="00945DE2" w:rsidP="00945DE2">
      <w:pPr>
        <w:pStyle w:val="Notedebasdepage"/>
        <w:ind w:left="708" w:firstLine="0"/>
        <w:jc w:val="left"/>
        <w:rPr>
          <w:lang w:val="en-CA"/>
        </w:rPr>
      </w:pPr>
      <w:r w:rsidRPr="00515AA2">
        <w:rPr>
          <w:lang w:val="en-CA"/>
        </w:rPr>
        <w:t>Forms: </w:t>
      </w:r>
      <w:r w:rsidRPr="006B759F">
        <w:rPr>
          <w:lang w:val="en-CA"/>
        </w:rPr>
        <w:t>Changing your sex designation on your birth registration and birth certificate | ontario.ca</w:t>
      </w:r>
    </w:p>
    <w:p w14:paraId="47A0764E" w14:textId="5EA82138" w:rsidR="00945DE2" w:rsidRPr="00515AA2" w:rsidRDefault="00945DE2" w:rsidP="00945DE2">
      <w:pPr>
        <w:pStyle w:val="Notedebasdepage"/>
        <w:ind w:left="284" w:firstLine="0"/>
        <w:rPr>
          <w:lang w:val="en-CA"/>
        </w:rPr>
      </w:pPr>
      <w:r w:rsidRPr="00515AA2">
        <w:rPr>
          <w:lang w:val="en-CA"/>
        </w:rPr>
        <w:t xml:space="preserve">However, in April 2012, in </w:t>
      </w:r>
      <w:r w:rsidRPr="00515AA2">
        <w:rPr>
          <w:i/>
          <w:lang w:val="en-CA"/>
        </w:rPr>
        <w:t>XY v. Ontario (Government and Consumer Services)</w:t>
      </w:r>
      <w:r w:rsidRPr="00515AA2">
        <w:rPr>
          <w:lang w:val="en-CA"/>
        </w:rPr>
        <w:t xml:space="preserve">, </w:t>
      </w:r>
      <w:r w:rsidRPr="006B759F">
        <w:rPr>
          <w:lang w:val="en-CA"/>
        </w:rPr>
        <w:t>2012 HRTO 726</w:t>
      </w:r>
      <w:r w:rsidRPr="00515AA2">
        <w:rPr>
          <w:lang w:val="en-CA"/>
        </w:rPr>
        <w:t>, the Human Rights Tribunal of Ontario made the following order:</w:t>
      </w:r>
    </w:p>
    <w:p w14:paraId="71E77117" w14:textId="77777777" w:rsidR="00945DE2" w:rsidRPr="00515AA2" w:rsidRDefault="00945DE2" w:rsidP="00945DE2">
      <w:pPr>
        <w:pStyle w:val="Notedebasdepage"/>
        <w:ind w:left="0" w:firstLine="708"/>
        <w:jc w:val="left"/>
        <w:rPr>
          <w:lang w:val="en-CA"/>
        </w:rPr>
      </w:pPr>
      <w:r w:rsidRPr="00515AA2">
        <w:rPr>
          <w:bCs/>
          <w:lang w:val="en-CA"/>
        </w:rPr>
        <w:t>[300]      </w:t>
      </w:r>
      <w:r w:rsidRPr="00515AA2">
        <w:rPr>
          <w:bCs/>
          <w:i/>
          <w:iCs/>
          <w:lang w:val="en-CA"/>
        </w:rPr>
        <w:t>The Tribunal makes the following orders</w:t>
      </w:r>
      <w:r w:rsidRPr="00515AA2">
        <w:rPr>
          <w:bCs/>
          <w:lang w:val="en-CA"/>
        </w:rPr>
        <w:t>:</w:t>
      </w:r>
    </w:p>
    <w:p w14:paraId="56EA7FA2" w14:textId="77777777" w:rsidR="00945DE2" w:rsidRPr="00515AA2" w:rsidRDefault="00945DE2" w:rsidP="00945DE2">
      <w:pPr>
        <w:pStyle w:val="Notedebasdepage"/>
        <w:ind w:left="708" w:firstLine="0"/>
        <w:jc w:val="left"/>
        <w:rPr>
          <w:bCs/>
          <w:lang w:val="en-CA"/>
        </w:rPr>
      </w:pPr>
      <w:r w:rsidRPr="00515AA2">
        <w:rPr>
          <w:bCs/>
          <w:lang w:val="en-CA"/>
        </w:rPr>
        <w:t>1)     </w:t>
      </w:r>
      <w:r w:rsidRPr="00515AA2">
        <w:rPr>
          <w:bCs/>
          <w:i/>
          <w:iCs/>
          <w:lang w:val="en-CA"/>
        </w:rPr>
        <w:t>The respondent [Ontario] shall cease requiring transgendered persons to have “transsexual surgery” in order to obtain a change in sex designation on their registration of birth</w:t>
      </w:r>
      <w:r w:rsidRPr="00515AA2">
        <w:rPr>
          <w:bCs/>
          <w:lang w:val="en-CA"/>
        </w:rPr>
        <w:t>.</w:t>
      </w:r>
    </w:p>
    <w:p w14:paraId="7D2F427D" w14:textId="77777777" w:rsidR="00945DE2" w:rsidRPr="00515AA2" w:rsidRDefault="00945DE2" w:rsidP="00945DE2">
      <w:pPr>
        <w:pStyle w:val="Notedebasdepage"/>
        <w:ind w:left="708" w:firstLine="0"/>
        <w:jc w:val="left"/>
        <w:rPr>
          <w:bCs/>
          <w:lang w:val="en-CA"/>
        </w:rPr>
      </w:pPr>
      <w:r w:rsidRPr="00515AA2">
        <w:rPr>
          <w:bCs/>
          <w:lang w:val="en-CA"/>
        </w:rPr>
        <w:t>2)     </w:t>
      </w:r>
      <w:r w:rsidRPr="00515AA2">
        <w:rPr>
          <w:bCs/>
          <w:i/>
          <w:iCs/>
          <w:lang w:val="en-CA"/>
        </w:rPr>
        <w:t>Within 180 days of the date of this Decision, the respondent shall revise the criteria for changing sex designation on a birth registration, up to the point of undue hardship, so as to remove the discriminatory effect of the current system on transgendered persons. The revision of the criteria for changing sex designation on a birth registration should be in accordance with the reasoning in this Decision</w:t>
      </w:r>
      <w:r w:rsidRPr="00515AA2">
        <w:rPr>
          <w:bCs/>
          <w:lang w:val="en-CA"/>
        </w:rPr>
        <w:t>.</w:t>
      </w:r>
    </w:p>
    <w:p w14:paraId="1916B10B" w14:textId="77777777" w:rsidR="00945DE2" w:rsidRPr="00515AA2" w:rsidRDefault="00945DE2" w:rsidP="00945DE2">
      <w:pPr>
        <w:pStyle w:val="Notedebasdepage"/>
        <w:ind w:left="708" w:firstLine="0"/>
        <w:jc w:val="left"/>
        <w:rPr>
          <w:bCs/>
          <w:lang w:val="en-CA"/>
        </w:rPr>
      </w:pPr>
      <w:r w:rsidRPr="00515AA2">
        <w:rPr>
          <w:bCs/>
          <w:lang w:val="en-CA"/>
        </w:rPr>
        <w:t>3)     </w:t>
      </w:r>
      <w:r w:rsidRPr="00515AA2">
        <w:rPr>
          <w:bCs/>
          <w:i/>
          <w:iCs/>
          <w:lang w:val="en-CA"/>
        </w:rPr>
        <w:t>Within a further 30 days, the respondent shall take reasonable steps to publicize the revised criteria for changing sex designation on a birth registration so that transgendered persons are aware of them</w:t>
      </w:r>
      <w:r w:rsidRPr="00515AA2">
        <w:rPr>
          <w:bCs/>
          <w:lang w:val="en-CA"/>
        </w:rPr>
        <w:t>.</w:t>
      </w:r>
    </w:p>
    <w:p w14:paraId="1692C1C0" w14:textId="1D8540DA" w:rsidR="00945DE2" w:rsidRPr="00515AA2" w:rsidRDefault="00945DE2" w:rsidP="00945DE2">
      <w:pPr>
        <w:pStyle w:val="Notedebasdepage"/>
        <w:ind w:firstLine="349"/>
        <w:rPr>
          <w:lang w:val="en-CA"/>
        </w:rPr>
      </w:pPr>
      <w:r w:rsidRPr="00515AA2">
        <w:rPr>
          <w:lang w:val="en-CA"/>
        </w:rPr>
        <w:t>[…]</w:t>
      </w:r>
    </w:p>
  </w:footnote>
  <w:footnote w:id="156">
    <w:p w14:paraId="171F928F" w14:textId="7CA2D351" w:rsidR="00945DE2" w:rsidRPr="00515AA2" w:rsidRDefault="00945DE2" w:rsidP="00945DE2">
      <w:pPr>
        <w:pStyle w:val="Notedebasdepage"/>
        <w:jc w:val="left"/>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The Vital Statistics Act</w:t>
      </w:r>
      <w:r w:rsidRPr="00515AA2">
        <w:rPr>
          <w:lang w:val="en-CA"/>
        </w:rPr>
        <w:t xml:space="preserve">, 2009, SS 2009, c. V-7.21, s. 31, </w:t>
      </w:r>
      <w:r w:rsidR="00A864CA" w:rsidRPr="006B759F">
        <w:rPr>
          <w:lang w:val="en-CA"/>
        </w:rPr>
        <w:t>https://canlii.ca/t/5636t</w:t>
      </w:r>
      <w:r w:rsidRPr="00515AA2">
        <w:rPr>
          <w:lang w:val="en-CA"/>
        </w:rPr>
        <w:t>;</w:t>
      </w:r>
    </w:p>
    <w:p w14:paraId="31462715" w14:textId="29D5B9BE" w:rsidR="00945DE2" w:rsidRPr="00515AA2" w:rsidRDefault="00945DE2" w:rsidP="00945DE2">
      <w:pPr>
        <w:pStyle w:val="Notedebasdepage"/>
        <w:ind w:firstLine="0"/>
        <w:jc w:val="left"/>
        <w:rPr>
          <w:lang w:val="en-CA"/>
        </w:rPr>
      </w:pPr>
      <w:r w:rsidRPr="00515AA2">
        <w:rPr>
          <w:i/>
          <w:lang w:val="en-CA"/>
        </w:rPr>
        <w:t>The Vital Statistics Regulations</w:t>
      </w:r>
      <w:r w:rsidRPr="00515AA2">
        <w:rPr>
          <w:lang w:val="en-CA"/>
        </w:rPr>
        <w:t xml:space="preserve">, 2010, RRS c. V-7.21, Reg 1, s. 11.1., </w:t>
      </w:r>
      <w:r w:rsidRPr="006B759F">
        <w:rPr>
          <w:lang w:val="en-CA"/>
        </w:rPr>
        <w:t>https://canlii.ca/t/543jw</w:t>
      </w:r>
      <w:r w:rsidRPr="00515AA2">
        <w:rPr>
          <w:lang w:val="en-CA"/>
        </w:rPr>
        <w:t>;</w:t>
      </w:r>
    </w:p>
    <w:p w14:paraId="6B560DC5" w14:textId="40DA87D5" w:rsidR="00945DE2" w:rsidRPr="00515AA2" w:rsidRDefault="00945DE2" w:rsidP="00945DE2">
      <w:pPr>
        <w:pStyle w:val="Notedebasdepage"/>
        <w:ind w:firstLine="0"/>
        <w:rPr>
          <w:lang w:val="en-CA"/>
        </w:rPr>
      </w:pPr>
      <w:r w:rsidRPr="00515AA2">
        <w:rPr>
          <w:lang w:val="en-CA"/>
        </w:rPr>
        <w:t xml:space="preserve">Forms: </w:t>
      </w:r>
      <w:r w:rsidRPr="006B759F">
        <w:rPr>
          <w:lang w:val="en-CA"/>
        </w:rPr>
        <w:t>https://www.ehealthsask.ca/residents/Pages/Sex-Designation.aspx</w:t>
      </w:r>
      <w:r w:rsidRPr="00515AA2">
        <w:rPr>
          <w:u w:val="single"/>
          <w:lang w:val="en-CA"/>
        </w:rPr>
        <w:t>.</w:t>
      </w:r>
    </w:p>
  </w:footnote>
  <w:footnote w:id="157">
    <w:p w14:paraId="5F5B20CC" w14:textId="47B4EC4B" w:rsidR="00945DE2" w:rsidRPr="00515AA2" w:rsidRDefault="00945DE2" w:rsidP="00945DE2">
      <w:pPr>
        <w:pStyle w:val="Notedebasdepage"/>
        <w:jc w:val="left"/>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xml:space="preserve">, 2009, SNL 2009, c. V-6.01, art.26 </w:t>
      </w:r>
      <w:r w:rsidR="008E1D79" w:rsidRPr="00515AA2">
        <w:rPr>
          <w:lang w:val="en-CA"/>
        </w:rPr>
        <w:t xml:space="preserve">and </w:t>
      </w:r>
      <w:r w:rsidRPr="00515AA2">
        <w:rPr>
          <w:lang w:val="en-CA"/>
        </w:rPr>
        <w:t xml:space="preserve">26.1, </w:t>
      </w:r>
      <w:r w:rsidR="00226DCA" w:rsidRPr="006B759F">
        <w:rPr>
          <w:lang w:val="en-CA"/>
        </w:rPr>
        <w:t>https://canlii.ca/t/5647p</w:t>
      </w:r>
      <w:r w:rsidRPr="00515AA2">
        <w:rPr>
          <w:lang w:val="en-CA"/>
        </w:rPr>
        <w:t>;</w:t>
      </w:r>
      <w:bookmarkStart w:id="86" w:name="_Hlk155961420"/>
    </w:p>
    <w:p w14:paraId="4606110B" w14:textId="77EB9706" w:rsidR="00945DE2" w:rsidRPr="00515AA2" w:rsidRDefault="00945DE2" w:rsidP="00945DE2">
      <w:pPr>
        <w:pStyle w:val="Notedebasdepage"/>
        <w:ind w:firstLine="0"/>
        <w:jc w:val="left"/>
        <w:rPr>
          <w:lang w:val="en-CA"/>
        </w:rPr>
      </w:pPr>
      <w:r w:rsidRPr="00515AA2">
        <w:rPr>
          <w:i/>
          <w:iCs/>
          <w:lang w:val="en-CA"/>
        </w:rPr>
        <w:t>Vital Statistics Regulations</w:t>
      </w:r>
      <w:r w:rsidRPr="00515AA2">
        <w:rPr>
          <w:lang w:val="en-CA"/>
        </w:rPr>
        <w:t xml:space="preserve">, NLR 58/21 </w:t>
      </w:r>
      <w:r w:rsidRPr="006B759F">
        <w:rPr>
          <w:rFonts w:cs="Arial"/>
          <w:lang w:val="en-CA"/>
        </w:rPr>
        <w:t>https://canlii.ca/t/bb5b</w:t>
      </w:r>
      <w:r w:rsidRPr="00515AA2">
        <w:rPr>
          <w:rFonts w:cs="Arial"/>
          <w:lang w:val="en-CA"/>
        </w:rPr>
        <w:t>;</w:t>
      </w:r>
      <w:bookmarkEnd w:id="86"/>
    </w:p>
    <w:p w14:paraId="71C8B227" w14:textId="4025253E" w:rsidR="00945DE2" w:rsidRPr="00515AA2" w:rsidRDefault="00945DE2" w:rsidP="00945DE2">
      <w:pPr>
        <w:pStyle w:val="Notedebasdepage"/>
        <w:ind w:firstLine="0"/>
        <w:jc w:val="left"/>
        <w:rPr>
          <w:lang w:val="en-CA"/>
        </w:rPr>
      </w:pPr>
      <w:r w:rsidRPr="00515AA2">
        <w:rPr>
          <w:lang w:val="en-CA"/>
        </w:rPr>
        <w:t xml:space="preserve">Forms: </w:t>
      </w:r>
      <w:r w:rsidRPr="006B759F">
        <w:rPr>
          <w:lang w:val="en-CA"/>
        </w:rPr>
        <w:t>https://www.gov.nl.ca/dgsnl/birth/changing-your-sex-designation/</w:t>
      </w:r>
    </w:p>
  </w:footnote>
  <w:footnote w:id="158">
    <w:p w14:paraId="3B67763C" w14:textId="1CB46818"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xml:space="preserve">, SNWT 2011, c. 34, s. 41, </w:t>
      </w:r>
      <w:r w:rsidR="00226DCA" w:rsidRPr="006B759F">
        <w:rPr>
          <w:lang w:val="en-CA"/>
        </w:rPr>
        <w:t>https://canlii.ca/t/564qj</w:t>
      </w:r>
      <w:r w:rsidRPr="00515AA2">
        <w:rPr>
          <w:u w:val="single"/>
          <w:lang w:val="en-CA"/>
        </w:rPr>
        <w:t>.</w:t>
      </w:r>
    </w:p>
    <w:p w14:paraId="0B2F9D36" w14:textId="2F258349" w:rsidR="00945DE2" w:rsidRPr="00515AA2" w:rsidRDefault="00945DE2" w:rsidP="00945DE2">
      <w:pPr>
        <w:pStyle w:val="Notedebasdepage"/>
        <w:ind w:firstLine="0"/>
        <w:rPr>
          <w:lang w:val="en-CA"/>
        </w:rPr>
      </w:pPr>
      <w:r w:rsidRPr="00515AA2">
        <w:rPr>
          <w:i/>
          <w:lang w:val="en-CA"/>
        </w:rPr>
        <w:t>Vital Statistics Regulations</w:t>
      </w:r>
      <w:r w:rsidRPr="00515AA2">
        <w:rPr>
          <w:lang w:val="en-CA"/>
        </w:rPr>
        <w:t xml:space="preserve">, NWT Reg 086-2012, ss. 3.1, 3.2., </w:t>
      </w:r>
      <w:r w:rsidR="00226DCA" w:rsidRPr="006B759F">
        <w:rPr>
          <w:lang w:val="en-CA"/>
        </w:rPr>
        <w:t>https://canlii.ca/t/564r9</w:t>
      </w:r>
      <w:r w:rsidRPr="00515AA2">
        <w:rPr>
          <w:u w:val="single"/>
          <w:lang w:val="en-CA"/>
        </w:rPr>
        <w:t>.</w:t>
      </w:r>
    </w:p>
    <w:p w14:paraId="3CAEEA0C" w14:textId="6984CA87" w:rsidR="00945DE2" w:rsidRPr="00515AA2" w:rsidRDefault="00945DE2" w:rsidP="00945DE2">
      <w:pPr>
        <w:pStyle w:val="Notedebasdepage"/>
        <w:ind w:firstLine="0"/>
        <w:rPr>
          <w:lang w:val="en-CA"/>
        </w:rPr>
      </w:pPr>
      <w:r w:rsidRPr="00515AA2">
        <w:rPr>
          <w:lang w:val="en-CA"/>
        </w:rPr>
        <w:t xml:space="preserve">Forms: </w:t>
      </w:r>
      <w:r w:rsidRPr="006B759F">
        <w:rPr>
          <w:lang w:val="en-CA"/>
        </w:rPr>
        <w:t>Changing Your Sex Designation | Health and Social Services (gov.nt.ca)</w:t>
      </w:r>
      <w:r w:rsidRPr="00515AA2">
        <w:rPr>
          <w:lang w:val="en-CA"/>
        </w:rPr>
        <w:t>.</w:t>
      </w:r>
    </w:p>
  </w:footnote>
  <w:footnote w:id="159">
    <w:p w14:paraId="1D55A880" w14:textId="0F19A47D" w:rsidR="00945DE2" w:rsidRPr="00515AA2" w:rsidRDefault="00945DE2" w:rsidP="00945DE2">
      <w:pPr>
        <w:pStyle w:val="Notedebasdepage"/>
        <w:rPr>
          <w:lang w:val="en-CA"/>
        </w:rPr>
      </w:pPr>
      <w:r w:rsidRPr="00515AA2">
        <w:rPr>
          <w:rStyle w:val="Appelnotedebasdep"/>
        </w:rPr>
        <w:footnoteRef/>
      </w:r>
      <w:r w:rsidRPr="00515AA2">
        <w:rPr>
          <w:lang w:val="en-CA"/>
        </w:rPr>
        <w:t xml:space="preserve"> </w:t>
      </w:r>
      <w:r w:rsidRPr="00515AA2">
        <w:rPr>
          <w:lang w:val="en-CA"/>
        </w:rPr>
        <w:tab/>
      </w:r>
      <w:r w:rsidRPr="00515AA2">
        <w:rPr>
          <w:i/>
          <w:lang w:val="en-CA"/>
        </w:rPr>
        <w:t>Vital Statistics Act</w:t>
      </w:r>
      <w:r w:rsidRPr="00515AA2">
        <w:rPr>
          <w:lang w:val="en-CA"/>
        </w:rPr>
        <w:t xml:space="preserve">, RSY 2002, c. 225, s. 12, </w:t>
      </w:r>
      <w:r w:rsidRPr="006B759F">
        <w:rPr>
          <w:lang w:val="en-CA"/>
        </w:rPr>
        <w:t>https://canlii.ca/t/5556d</w:t>
      </w:r>
      <w:r w:rsidRPr="00515AA2">
        <w:rPr>
          <w:u w:val="single"/>
          <w:lang w:val="en-CA"/>
        </w:rPr>
        <w:t>.</w:t>
      </w:r>
    </w:p>
    <w:p w14:paraId="7A2DFDAE" w14:textId="45B90969" w:rsidR="00945DE2" w:rsidRPr="00515AA2" w:rsidRDefault="00945DE2" w:rsidP="00945DE2">
      <w:pPr>
        <w:pStyle w:val="Notedebasdepage"/>
        <w:ind w:firstLine="0"/>
        <w:rPr>
          <w:lang w:val="en-CA"/>
        </w:rPr>
      </w:pPr>
      <w:r w:rsidRPr="00515AA2">
        <w:rPr>
          <w:i/>
          <w:lang w:val="en-CA"/>
        </w:rPr>
        <w:t>Vital Statistics Regulation</w:t>
      </w:r>
      <w:r w:rsidRPr="00515AA2">
        <w:rPr>
          <w:lang w:val="en-CA"/>
        </w:rPr>
        <w:t xml:space="preserve">, YOIC 1987/188, ss. 3.01, 3.02., </w:t>
      </w:r>
      <w:r w:rsidRPr="006B759F">
        <w:rPr>
          <w:lang w:val="en-CA"/>
        </w:rPr>
        <w:t>https://canlii.ca/t/530th</w:t>
      </w:r>
      <w:r w:rsidRPr="00515AA2">
        <w:rPr>
          <w:lang w:val="en-CA"/>
        </w:rPr>
        <w:t>.</w:t>
      </w:r>
    </w:p>
    <w:p w14:paraId="5169EB7B" w14:textId="45EFEC94" w:rsidR="00945DE2" w:rsidRPr="00F025E0" w:rsidRDefault="00945DE2" w:rsidP="00945DE2">
      <w:pPr>
        <w:pStyle w:val="Notedebasdepage"/>
        <w:ind w:firstLine="0"/>
        <w:rPr>
          <w:lang w:val="en-CA"/>
        </w:rPr>
      </w:pPr>
      <w:r w:rsidRPr="00515AA2">
        <w:rPr>
          <w:lang w:val="en-CA"/>
        </w:rPr>
        <w:t xml:space="preserve">Forms: </w:t>
      </w:r>
      <w:r w:rsidRPr="006B759F">
        <w:rPr>
          <w:lang w:val="en-CA"/>
        </w:rPr>
        <w:t>Change sex on a birth registration | Government of Yukon</w:t>
      </w:r>
      <w:r w:rsidRPr="00515AA2">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FD92" w14:textId="77777777" w:rsidR="00EF13A0" w:rsidRDefault="00EF13A0" w:rsidP="00AB3115">
    <w:pPr>
      <w:tabs>
        <w:tab w:val="center" w:pos="4709"/>
        <w:tab w:val="right" w:pos="12438"/>
      </w:tabs>
      <w:spacing w:line="360" w:lineRule="auto"/>
      <w:ind w:right="524"/>
    </w:pPr>
    <w:r>
      <w:t>500-09-029391-216</w:t>
    </w:r>
    <w:r w:rsidRPr="007462D6">
      <w:t xml:space="preserve"> </w:t>
    </w:r>
    <w:r>
      <w:tab/>
    </w:r>
    <w:r>
      <w:tab/>
      <w:t xml:space="preserve">PAGE: </w:t>
    </w:r>
    <w:r>
      <w:fldChar w:fldCharType="begin"/>
    </w:r>
    <w:r>
      <w:instrText xml:space="preserve"> PAGE </w:instrText>
    </w:r>
    <w:r>
      <w:fldChar w:fldCharType="separate"/>
    </w:r>
    <w:r>
      <w:rPr>
        <w:noProof/>
      </w:rPr>
      <w:t>15</w:t>
    </w:r>
    <w:r>
      <w:fldChar w:fldCharType="end"/>
    </w:r>
  </w:p>
  <w:p w14:paraId="424D9A10" w14:textId="77777777" w:rsidR="00EF13A0" w:rsidRPr="002C2234" w:rsidRDefault="00EF13A0" w:rsidP="00DB2119">
    <w:pPr>
      <w:tabs>
        <w:tab w:val="center" w:pos="4709"/>
        <w:tab w:val="right" w:pos="9360"/>
      </w:tabs>
      <w:spacing w:line="360" w:lineRule="auto"/>
      <w:ind w:right="524"/>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71B2" w14:textId="1F62335D" w:rsidR="007462BB" w:rsidRDefault="007462BB" w:rsidP="00AB3115">
    <w:pPr>
      <w:tabs>
        <w:tab w:val="center" w:pos="4709"/>
        <w:tab w:val="right" w:pos="12438"/>
      </w:tabs>
      <w:spacing w:line="360" w:lineRule="auto"/>
      <w:ind w:right="524"/>
    </w:pPr>
    <w:bookmarkStart w:id="87" w:name="EntDossier"/>
    <w:r>
      <w:t>500-09-029391-216</w:t>
    </w:r>
    <w:bookmarkEnd w:id="87"/>
    <w:r w:rsidRPr="007462D6">
      <w:t xml:space="preserve"> </w:t>
    </w:r>
    <w:r>
      <w:tab/>
    </w:r>
    <w:r>
      <w:tab/>
      <w:t xml:space="preserve">PAGE: </w:t>
    </w:r>
    <w:r>
      <w:fldChar w:fldCharType="begin"/>
    </w:r>
    <w:r>
      <w:instrText xml:space="preserve"> PAGE </w:instrText>
    </w:r>
    <w:r>
      <w:fldChar w:fldCharType="separate"/>
    </w:r>
    <w:r w:rsidR="009E02DD">
      <w:rPr>
        <w:noProof/>
      </w:rPr>
      <w:t>15</w:t>
    </w:r>
    <w:r>
      <w:fldChar w:fldCharType="end"/>
    </w:r>
  </w:p>
  <w:p w14:paraId="5ABE72D5" w14:textId="77777777" w:rsidR="007462BB" w:rsidRPr="002C2234" w:rsidRDefault="007462BB" w:rsidP="00DB2119">
    <w:pPr>
      <w:tabs>
        <w:tab w:val="center" w:pos="4709"/>
        <w:tab w:val="right" w:pos="9360"/>
      </w:tabs>
      <w:spacing w:line="360" w:lineRule="auto"/>
      <w:ind w:right="52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741"/>
    <w:multiLevelType w:val="hybridMultilevel"/>
    <w:tmpl w:val="EC7E41D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5A23E10"/>
    <w:multiLevelType w:val="multilevel"/>
    <w:tmpl w:val="42F4FE3C"/>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left"/>
      <w:pPr>
        <w:ind w:left="180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DC42E3"/>
    <w:multiLevelType w:val="hybridMultilevel"/>
    <w:tmpl w:val="1D049BB2"/>
    <w:lvl w:ilvl="0" w:tplc="CB3A1E34">
      <w:start w:val="3"/>
      <w:numFmt w:val="decimal"/>
      <w:pStyle w:val="Titre19"/>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A093F1C"/>
    <w:multiLevelType w:val="hybridMultilevel"/>
    <w:tmpl w:val="DAEABC0A"/>
    <w:lvl w:ilvl="0" w:tplc="16760AAC">
      <w:start w:val="1"/>
      <w:numFmt w:val="decimal"/>
      <w:pStyle w:val="Titre7"/>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21696A55"/>
    <w:multiLevelType w:val="hybridMultilevel"/>
    <w:tmpl w:val="3C2E1A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586384C"/>
    <w:multiLevelType w:val="hybridMultilevel"/>
    <w:tmpl w:val="9F84130E"/>
    <w:lvl w:ilvl="0" w:tplc="C1BA7490">
      <w:start w:val="1"/>
      <w:numFmt w:val="decimal"/>
      <w:pStyle w:val="Titre6"/>
      <w:lvlText w:val="%1."/>
      <w:lvlJc w:val="righ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28BB52DE"/>
    <w:multiLevelType w:val="multilevel"/>
    <w:tmpl w:val="154A243C"/>
    <w:lvl w:ilvl="0">
      <w:start w:val="1"/>
      <w:numFmt w:val="decimal"/>
      <w:lvlText w:val="[%1]"/>
      <w:lvlJc w:val="left"/>
      <w:pPr>
        <w:tabs>
          <w:tab w:val="num" w:pos="720"/>
        </w:tabs>
        <w:ind w:left="0" w:firstLine="0"/>
      </w:pPr>
      <w:rPr>
        <w:rFonts w:hint="default"/>
        <w:i w:val="0"/>
        <w:iCs w:val="0"/>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DA018C7"/>
    <w:multiLevelType w:val="hybridMultilevel"/>
    <w:tmpl w:val="55865A44"/>
    <w:lvl w:ilvl="0" w:tplc="6DD02CCA">
      <w:start w:val="1"/>
      <w:numFmt w:val="decimal"/>
      <w:pStyle w:val="Titre8"/>
      <w:lvlText w:val="%1."/>
      <w:lvlJc w:val="left"/>
      <w:pPr>
        <w:ind w:left="928" w:hanging="360"/>
      </w:pPr>
      <w:rPr>
        <w:rFonts w:hint="default"/>
      </w:rPr>
    </w:lvl>
    <w:lvl w:ilvl="1" w:tplc="0C0C0019">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8" w15:restartNumberingAfterBreak="0">
    <w:nsid w:val="2FA459A9"/>
    <w:multiLevelType w:val="multilevel"/>
    <w:tmpl w:val="DFE28D2A"/>
    <w:lvl w:ilvl="0">
      <w:start w:val="1"/>
      <w:numFmt w:val="decimal"/>
      <w:lvlText w:val="%1"/>
      <w:lvlJc w:val="left"/>
      <w:pPr>
        <w:ind w:left="744" w:hanging="744"/>
      </w:pPr>
      <w:rPr>
        <w:rFonts w:hint="default"/>
      </w:rPr>
    </w:lvl>
    <w:lvl w:ilvl="1">
      <w:start w:val="1"/>
      <w:numFmt w:val="decimal"/>
      <w:lvlText w:val="%1.%2"/>
      <w:lvlJc w:val="left"/>
      <w:pPr>
        <w:ind w:left="2162" w:hanging="744"/>
      </w:pPr>
      <w:rPr>
        <w:rFonts w:hint="default"/>
      </w:rPr>
    </w:lvl>
    <w:lvl w:ilvl="2">
      <w:start w:val="1"/>
      <w:numFmt w:val="decimal"/>
      <w:lvlText w:val="%1.%2.%3"/>
      <w:lvlJc w:val="left"/>
      <w:pPr>
        <w:ind w:left="3580" w:hanging="744"/>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356A4F30"/>
    <w:multiLevelType w:val="hybridMultilevel"/>
    <w:tmpl w:val="D6BC978A"/>
    <w:lvl w:ilvl="0" w:tplc="AA58A664">
      <w:start w:val="2"/>
      <w:numFmt w:val="decimal"/>
      <w:pStyle w:val="Titre13"/>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AEA5A04"/>
    <w:multiLevelType w:val="hybridMultilevel"/>
    <w:tmpl w:val="FE86FADE"/>
    <w:lvl w:ilvl="0" w:tplc="FFEC8A5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490B6EA3"/>
    <w:multiLevelType w:val="hybridMultilevel"/>
    <w:tmpl w:val="E08AB3E4"/>
    <w:lvl w:ilvl="0" w:tplc="C794F4C2">
      <w:start w:val="1"/>
      <w:numFmt w:val="upperRoman"/>
      <w:pStyle w:val="Titre1"/>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CE70B81"/>
    <w:multiLevelType w:val="multilevel"/>
    <w:tmpl w:val="0B0C349C"/>
    <w:lvl w:ilvl="0">
      <w:start w:val="1"/>
      <w:numFmt w:val="decimal"/>
      <w:pStyle w:val="Titre3"/>
      <w:lvlText w:val="%1."/>
      <w:lvlJc w:val="left"/>
      <w:pPr>
        <w:ind w:left="1080" w:hanging="360"/>
      </w:pPr>
      <w:rPr>
        <w:rFonts w:hint="default"/>
      </w:rPr>
    </w:lvl>
    <w:lvl w:ilvl="1">
      <w:start w:val="3"/>
      <w:numFmt w:val="decimal"/>
      <w:pStyle w:val="SOUS-PARA11"/>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4283EE8"/>
    <w:multiLevelType w:val="multilevel"/>
    <w:tmpl w:val="BB0415EC"/>
    <w:lvl w:ilvl="0">
      <w:start w:val="57"/>
      <w:numFmt w:val="decimal"/>
      <w:pStyle w:val="ParaNoNdepar-AltN"/>
      <w:lvlText w:val="[%1]"/>
      <w:lvlJc w:val="left"/>
      <w:pPr>
        <w:tabs>
          <w:tab w:val="num" w:pos="1422"/>
        </w:tabs>
        <w:ind w:left="27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7F1285"/>
    <w:multiLevelType w:val="hybridMultilevel"/>
    <w:tmpl w:val="8CB4683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62715BD8"/>
    <w:multiLevelType w:val="multilevel"/>
    <w:tmpl w:val="E292B152"/>
    <w:lvl w:ilvl="0">
      <w:start w:val="1"/>
      <w:numFmt w:val="decimal"/>
      <w:pStyle w:val="Titre5"/>
      <w:lvlText w:val="%1."/>
      <w:lvlJc w:val="righ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6" w15:restartNumberingAfterBreak="0">
    <w:nsid w:val="72E6276D"/>
    <w:multiLevelType w:val="multilevel"/>
    <w:tmpl w:val="1BFACA52"/>
    <w:lvl w:ilvl="0">
      <w:start w:val="267"/>
      <w:numFmt w:val="decimal"/>
      <w:lvlText w:val="[%1]"/>
      <w:lvlJc w:val="left"/>
      <w:pPr>
        <w:tabs>
          <w:tab w:val="num" w:pos="360"/>
        </w:tabs>
        <w:ind w:left="0" w:firstLine="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left"/>
      <w:pPr>
        <w:ind w:left="180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4123A27"/>
    <w:multiLevelType w:val="hybridMultilevel"/>
    <w:tmpl w:val="D382AB84"/>
    <w:lvl w:ilvl="0" w:tplc="849A7860">
      <w:start w:val="1"/>
      <w:numFmt w:val="decimal"/>
      <w:pStyle w:val="Titre20"/>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96564416">
    <w:abstractNumId w:val="6"/>
  </w:num>
  <w:num w:numId="2" w16cid:durableId="663045189">
    <w:abstractNumId w:val="3"/>
  </w:num>
  <w:num w:numId="3" w16cid:durableId="1531719577">
    <w:abstractNumId w:val="12"/>
  </w:num>
  <w:num w:numId="4" w16cid:durableId="1399935188">
    <w:abstractNumId w:val="5"/>
  </w:num>
  <w:num w:numId="5" w16cid:durableId="1219629963">
    <w:abstractNumId w:val="2"/>
  </w:num>
  <w:num w:numId="6" w16cid:durableId="79717149">
    <w:abstractNumId w:val="9"/>
  </w:num>
  <w:num w:numId="7" w16cid:durableId="1793017188">
    <w:abstractNumId w:val="7"/>
  </w:num>
  <w:num w:numId="8" w16cid:durableId="501092151">
    <w:abstractNumId w:val="17"/>
  </w:num>
  <w:num w:numId="9" w16cid:durableId="823622189">
    <w:abstractNumId w:val="14"/>
  </w:num>
  <w:num w:numId="10" w16cid:durableId="682165061">
    <w:abstractNumId w:val="4"/>
  </w:num>
  <w:num w:numId="11" w16cid:durableId="682130560">
    <w:abstractNumId w:val="0"/>
  </w:num>
  <w:num w:numId="12" w16cid:durableId="1574657045">
    <w:abstractNumId w:val="1"/>
  </w:num>
  <w:num w:numId="13" w16cid:durableId="1504124751">
    <w:abstractNumId w:val="1"/>
  </w:num>
  <w:num w:numId="14" w16cid:durableId="120195748">
    <w:abstractNumId w:val="16"/>
  </w:num>
  <w:num w:numId="15" w16cid:durableId="903301078">
    <w:abstractNumId w:val="13"/>
  </w:num>
  <w:num w:numId="16" w16cid:durableId="1647398767">
    <w:abstractNumId w:val="1"/>
  </w:num>
  <w:num w:numId="17" w16cid:durableId="73279230">
    <w:abstractNumId w:val="8"/>
  </w:num>
  <w:num w:numId="18" w16cid:durableId="440608405">
    <w:abstractNumId w:val="11"/>
  </w:num>
  <w:num w:numId="19" w16cid:durableId="189151938">
    <w:abstractNumId w:val="15"/>
  </w:num>
  <w:num w:numId="20" w16cid:durableId="1415512690">
    <w:abstractNumId w:val="10"/>
  </w:num>
  <w:num w:numId="21" w16cid:durableId="1313607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NBChoix" w:val="3"/>
    <w:docVar w:name="MotifJuge1" w:val="MOTIFS DE LA JUGE"/>
    <w:docVar w:name="MotifJuge2" w:val="MOTIFS DE LA JUGE"/>
    <w:docVar w:name="MotifJuge3" w:val="MOTIFS DU JUGE"/>
    <w:docVar w:name="NomFamJuge1" w:val="MARCOTTE"/>
    <w:docVar w:name="NomFamJuge2" w:val="HOGUE"/>
    <w:docVar w:name="NomFamJuge3" w:val="HAMILTON"/>
    <w:docVar w:name="NomFamJuge4" w:val="MAILHOT"/>
    <w:docVar w:name="NomFamJuge5" w:val="BAUDOUIN"/>
    <w:docVar w:name="QteJuge1" w:val=", J.C.A."/>
    <w:docVar w:name="QteJuge2" w:val=", J.C.A."/>
    <w:docVar w:name="QteJuge3" w:val=", J.C.A."/>
    <w:docVar w:name="stPremiereFois" w:val="Non"/>
  </w:docVars>
  <w:rsids>
    <w:rsidRoot w:val="0074653A"/>
    <w:rsid w:val="00000528"/>
    <w:rsid w:val="00000C07"/>
    <w:rsid w:val="00000D59"/>
    <w:rsid w:val="000020E1"/>
    <w:rsid w:val="00002A42"/>
    <w:rsid w:val="000047EB"/>
    <w:rsid w:val="00006F54"/>
    <w:rsid w:val="00007E22"/>
    <w:rsid w:val="00010212"/>
    <w:rsid w:val="00010A46"/>
    <w:rsid w:val="0001102C"/>
    <w:rsid w:val="000131E1"/>
    <w:rsid w:val="0001343F"/>
    <w:rsid w:val="0001371B"/>
    <w:rsid w:val="00015E49"/>
    <w:rsid w:val="00016EAA"/>
    <w:rsid w:val="0001726F"/>
    <w:rsid w:val="000201B9"/>
    <w:rsid w:val="000216F4"/>
    <w:rsid w:val="0002287C"/>
    <w:rsid w:val="000240BF"/>
    <w:rsid w:val="00025EA8"/>
    <w:rsid w:val="0002610D"/>
    <w:rsid w:val="00027510"/>
    <w:rsid w:val="00030C45"/>
    <w:rsid w:val="00031008"/>
    <w:rsid w:val="000313D5"/>
    <w:rsid w:val="0003330C"/>
    <w:rsid w:val="00033611"/>
    <w:rsid w:val="00033B55"/>
    <w:rsid w:val="000404CF"/>
    <w:rsid w:val="000429C1"/>
    <w:rsid w:val="0004394C"/>
    <w:rsid w:val="00043D1A"/>
    <w:rsid w:val="00044434"/>
    <w:rsid w:val="00044F30"/>
    <w:rsid w:val="00045426"/>
    <w:rsid w:val="00046B15"/>
    <w:rsid w:val="00046B25"/>
    <w:rsid w:val="00046D92"/>
    <w:rsid w:val="000506D0"/>
    <w:rsid w:val="00050982"/>
    <w:rsid w:val="00050B34"/>
    <w:rsid w:val="00052535"/>
    <w:rsid w:val="00053691"/>
    <w:rsid w:val="000565FF"/>
    <w:rsid w:val="0005681C"/>
    <w:rsid w:val="00057112"/>
    <w:rsid w:val="00057A50"/>
    <w:rsid w:val="00060102"/>
    <w:rsid w:val="000615CB"/>
    <w:rsid w:val="00061665"/>
    <w:rsid w:val="00062F96"/>
    <w:rsid w:val="00063BFA"/>
    <w:rsid w:val="00064971"/>
    <w:rsid w:val="00064BC2"/>
    <w:rsid w:val="000660D7"/>
    <w:rsid w:val="0007001D"/>
    <w:rsid w:val="00073D93"/>
    <w:rsid w:val="00075340"/>
    <w:rsid w:val="00075726"/>
    <w:rsid w:val="000757B6"/>
    <w:rsid w:val="00076B31"/>
    <w:rsid w:val="00076C90"/>
    <w:rsid w:val="00080EE2"/>
    <w:rsid w:val="00081BC8"/>
    <w:rsid w:val="00082996"/>
    <w:rsid w:val="0008439E"/>
    <w:rsid w:val="00084770"/>
    <w:rsid w:val="00087645"/>
    <w:rsid w:val="00091849"/>
    <w:rsid w:val="00094C60"/>
    <w:rsid w:val="000952AE"/>
    <w:rsid w:val="000963F7"/>
    <w:rsid w:val="00096B13"/>
    <w:rsid w:val="00096B8B"/>
    <w:rsid w:val="000A1D44"/>
    <w:rsid w:val="000A247A"/>
    <w:rsid w:val="000A2944"/>
    <w:rsid w:val="000A358D"/>
    <w:rsid w:val="000A5557"/>
    <w:rsid w:val="000A63EC"/>
    <w:rsid w:val="000A7516"/>
    <w:rsid w:val="000A79F0"/>
    <w:rsid w:val="000B0719"/>
    <w:rsid w:val="000B0E95"/>
    <w:rsid w:val="000B1778"/>
    <w:rsid w:val="000B182D"/>
    <w:rsid w:val="000B1F97"/>
    <w:rsid w:val="000B42AF"/>
    <w:rsid w:val="000B4805"/>
    <w:rsid w:val="000B497C"/>
    <w:rsid w:val="000B5799"/>
    <w:rsid w:val="000B6EF2"/>
    <w:rsid w:val="000B72E3"/>
    <w:rsid w:val="000C0A80"/>
    <w:rsid w:val="000C16C9"/>
    <w:rsid w:val="000C2A4D"/>
    <w:rsid w:val="000C315C"/>
    <w:rsid w:val="000C3C3F"/>
    <w:rsid w:val="000C560C"/>
    <w:rsid w:val="000C5E22"/>
    <w:rsid w:val="000C621B"/>
    <w:rsid w:val="000C7220"/>
    <w:rsid w:val="000C756A"/>
    <w:rsid w:val="000C7693"/>
    <w:rsid w:val="000C7C63"/>
    <w:rsid w:val="000D0DF1"/>
    <w:rsid w:val="000D1E1C"/>
    <w:rsid w:val="000D2DC5"/>
    <w:rsid w:val="000D5FD0"/>
    <w:rsid w:val="000D6052"/>
    <w:rsid w:val="000D6507"/>
    <w:rsid w:val="000D7837"/>
    <w:rsid w:val="000D7F0C"/>
    <w:rsid w:val="000E2B71"/>
    <w:rsid w:val="000E496C"/>
    <w:rsid w:val="000E4DEA"/>
    <w:rsid w:val="000E7266"/>
    <w:rsid w:val="000E7399"/>
    <w:rsid w:val="000E7516"/>
    <w:rsid w:val="000F0DAA"/>
    <w:rsid w:val="000F120A"/>
    <w:rsid w:val="000F125E"/>
    <w:rsid w:val="000F251F"/>
    <w:rsid w:val="000F2862"/>
    <w:rsid w:val="000F2D73"/>
    <w:rsid w:val="000F49EC"/>
    <w:rsid w:val="000F58BB"/>
    <w:rsid w:val="000F691D"/>
    <w:rsid w:val="000F693A"/>
    <w:rsid w:val="000F6EBB"/>
    <w:rsid w:val="000F7074"/>
    <w:rsid w:val="00100EE1"/>
    <w:rsid w:val="00101816"/>
    <w:rsid w:val="001069A9"/>
    <w:rsid w:val="00110B53"/>
    <w:rsid w:val="00110F99"/>
    <w:rsid w:val="00111294"/>
    <w:rsid w:val="00112321"/>
    <w:rsid w:val="001137C3"/>
    <w:rsid w:val="00113FD1"/>
    <w:rsid w:val="001158BF"/>
    <w:rsid w:val="00115A69"/>
    <w:rsid w:val="001160ED"/>
    <w:rsid w:val="00117306"/>
    <w:rsid w:val="00117914"/>
    <w:rsid w:val="0011797B"/>
    <w:rsid w:val="00120979"/>
    <w:rsid w:val="00120C75"/>
    <w:rsid w:val="00120EAC"/>
    <w:rsid w:val="001216B0"/>
    <w:rsid w:val="00122674"/>
    <w:rsid w:val="00124E86"/>
    <w:rsid w:val="0012762C"/>
    <w:rsid w:val="001301B2"/>
    <w:rsid w:val="0013028C"/>
    <w:rsid w:val="00130ACF"/>
    <w:rsid w:val="001311F9"/>
    <w:rsid w:val="0013121E"/>
    <w:rsid w:val="001315E2"/>
    <w:rsid w:val="00131C57"/>
    <w:rsid w:val="00133211"/>
    <w:rsid w:val="0013327C"/>
    <w:rsid w:val="001341AF"/>
    <w:rsid w:val="00134840"/>
    <w:rsid w:val="00134AD8"/>
    <w:rsid w:val="0013514A"/>
    <w:rsid w:val="001371A4"/>
    <w:rsid w:val="00140238"/>
    <w:rsid w:val="00140D92"/>
    <w:rsid w:val="00141822"/>
    <w:rsid w:val="00142D46"/>
    <w:rsid w:val="00144035"/>
    <w:rsid w:val="00144286"/>
    <w:rsid w:val="00145846"/>
    <w:rsid w:val="00145AC4"/>
    <w:rsid w:val="00146CB5"/>
    <w:rsid w:val="00152D36"/>
    <w:rsid w:val="0015610F"/>
    <w:rsid w:val="001561A7"/>
    <w:rsid w:val="00156708"/>
    <w:rsid w:val="00157A77"/>
    <w:rsid w:val="0016096C"/>
    <w:rsid w:val="00160B31"/>
    <w:rsid w:val="00161273"/>
    <w:rsid w:val="001639CC"/>
    <w:rsid w:val="0016473E"/>
    <w:rsid w:val="00164A05"/>
    <w:rsid w:val="001652EE"/>
    <w:rsid w:val="0016564F"/>
    <w:rsid w:val="001658D7"/>
    <w:rsid w:val="001668DA"/>
    <w:rsid w:val="00166914"/>
    <w:rsid w:val="00166E43"/>
    <w:rsid w:val="00170152"/>
    <w:rsid w:val="00173B42"/>
    <w:rsid w:val="00173FBC"/>
    <w:rsid w:val="001749CC"/>
    <w:rsid w:val="00176B9D"/>
    <w:rsid w:val="0017778A"/>
    <w:rsid w:val="00180AB2"/>
    <w:rsid w:val="00181969"/>
    <w:rsid w:val="00181F56"/>
    <w:rsid w:val="0018223C"/>
    <w:rsid w:val="00182338"/>
    <w:rsid w:val="0018277D"/>
    <w:rsid w:val="001839B8"/>
    <w:rsid w:val="00183A13"/>
    <w:rsid w:val="0018457B"/>
    <w:rsid w:val="00184B4B"/>
    <w:rsid w:val="00184D4F"/>
    <w:rsid w:val="00184F90"/>
    <w:rsid w:val="001867C1"/>
    <w:rsid w:val="00187496"/>
    <w:rsid w:val="00190FA7"/>
    <w:rsid w:val="00191053"/>
    <w:rsid w:val="00191FC8"/>
    <w:rsid w:val="001927BB"/>
    <w:rsid w:val="001927C8"/>
    <w:rsid w:val="0019291B"/>
    <w:rsid w:val="00193D5E"/>
    <w:rsid w:val="00194690"/>
    <w:rsid w:val="001950BB"/>
    <w:rsid w:val="00195DD5"/>
    <w:rsid w:val="001972F2"/>
    <w:rsid w:val="001973CE"/>
    <w:rsid w:val="00197A83"/>
    <w:rsid w:val="001A01C9"/>
    <w:rsid w:val="001A02AA"/>
    <w:rsid w:val="001A33C5"/>
    <w:rsid w:val="001A35B5"/>
    <w:rsid w:val="001A4D02"/>
    <w:rsid w:val="001A55B1"/>
    <w:rsid w:val="001A58BB"/>
    <w:rsid w:val="001A5BC6"/>
    <w:rsid w:val="001A6494"/>
    <w:rsid w:val="001B1236"/>
    <w:rsid w:val="001B1A39"/>
    <w:rsid w:val="001B4B82"/>
    <w:rsid w:val="001B5381"/>
    <w:rsid w:val="001B6249"/>
    <w:rsid w:val="001C008D"/>
    <w:rsid w:val="001C0A11"/>
    <w:rsid w:val="001C15F2"/>
    <w:rsid w:val="001C1811"/>
    <w:rsid w:val="001C1A68"/>
    <w:rsid w:val="001C26F3"/>
    <w:rsid w:val="001C29FD"/>
    <w:rsid w:val="001C2D50"/>
    <w:rsid w:val="001C480D"/>
    <w:rsid w:val="001C4A81"/>
    <w:rsid w:val="001C51F8"/>
    <w:rsid w:val="001C5523"/>
    <w:rsid w:val="001C56E2"/>
    <w:rsid w:val="001C633B"/>
    <w:rsid w:val="001C6566"/>
    <w:rsid w:val="001C714F"/>
    <w:rsid w:val="001C7853"/>
    <w:rsid w:val="001D024E"/>
    <w:rsid w:val="001D02D0"/>
    <w:rsid w:val="001D1091"/>
    <w:rsid w:val="001D2113"/>
    <w:rsid w:val="001D2204"/>
    <w:rsid w:val="001D319C"/>
    <w:rsid w:val="001D328B"/>
    <w:rsid w:val="001D3B84"/>
    <w:rsid w:val="001D5AEA"/>
    <w:rsid w:val="001D6203"/>
    <w:rsid w:val="001D62CB"/>
    <w:rsid w:val="001D699A"/>
    <w:rsid w:val="001D7212"/>
    <w:rsid w:val="001D7F78"/>
    <w:rsid w:val="001E0B46"/>
    <w:rsid w:val="001E121C"/>
    <w:rsid w:val="001E15CA"/>
    <w:rsid w:val="001E1821"/>
    <w:rsid w:val="001E2446"/>
    <w:rsid w:val="001E350D"/>
    <w:rsid w:val="001E4035"/>
    <w:rsid w:val="001E46CC"/>
    <w:rsid w:val="001E503B"/>
    <w:rsid w:val="001E6293"/>
    <w:rsid w:val="001E68B1"/>
    <w:rsid w:val="001E6C16"/>
    <w:rsid w:val="001E7302"/>
    <w:rsid w:val="001F021B"/>
    <w:rsid w:val="001F068E"/>
    <w:rsid w:val="001F06CB"/>
    <w:rsid w:val="001F073A"/>
    <w:rsid w:val="001F0C8E"/>
    <w:rsid w:val="001F0D95"/>
    <w:rsid w:val="001F2D17"/>
    <w:rsid w:val="001F4AA5"/>
    <w:rsid w:val="001F61CC"/>
    <w:rsid w:val="001F6285"/>
    <w:rsid w:val="001F6735"/>
    <w:rsid w:val="001F7CBA"/>
    <w:rsid w:val="001F7DC7"/>
    <w:rsid w:val="0020261E"/>
    <w:rsid w:val="00202CE7"/>
    <w:rsid w:val="00202E09"/>
    <w:rsid w:val="002034A7"/>
    <w:rsid w:val="00204927"/>
    <w:rsid w:val="002053EA"/>
    <w:rsid w:val="00205DC4"/>
    <w:rsid w:val="00206805"/>
    <w:rsid w:val="0020714E"/>
    <w:rsid w:val="002100C4"/>
    <w:rsid w:val="002101A7"/>
    <w:rsid w:val="002101E1"/>
    <w:rsid w:val="00210FE9"/>
    <w:rsid w:val="00211700"/>
    <w:rsid w:val="00212728"/>
    <w:rsid w:val="00212D81"/>
    <w:rsid w:val="00213513"/>
    <w:rsid w:val="0021548E"/>
    <w:rsid w:val="00220308"/>
    <w:rsid w:val="0022054F"/>
    <w:rsid w:val="002209C3"/>
    <w:rsid w:val="00220C96"/>
    <w:rsid w:val="002213EA"/>
    <w:rsid w:val="00221E82"/>
    <w:rsid w:val="00222369"/>
    <w:rsid w:val="0022437A"/>
    <w:rsid w:val="0022441F"/>
    <w:rsid w:val="00224CD7"/>
    <w:rsid w:val="00226D91"/>
    <w:rsid w:val="00226DCA"/>
    <w:rsid w:val="002273F5"/>
    <w:rsid w:val="00227991"/>
    <w:rsid w:val="00230667"/>
    <w:rsid w:val="00230B9D"/>
    <w:rsid w:val="00232356"/>
    <w:rsid w:val="002327B4"/>
    <w:rsid w:val="00232B6D"/>
    <w:rsid w:val="00233395"/>
    <w:rsid w:val="00234B12"/>
    <w:rsid w:val="002379DF"/>
    <w:rsid w:val="00237AB1"/>
    <w:rsid w:val="00237E9A"/>
    <w:rsid w:val="00240063"/>
    <w:rsid w:val="00240844"/>
    <w:rsid w:val="002418CA"/>
    <w:rsid w:val="00241CFE"/>
    <w:rsid w:val="00241EE0"/>
    <w:rsid w:val="002432AD"/>
    <w:rsid w:val="00243EDB"/>
    <w:rsid w:val="0024433C"/>
    <w:rsid w:val="00244780"/>
    <w:rsid w:val="00244ACF"/>
    <w:rsid w:val="00244F14"/>
    <w:rsid w:val="00246B6E"/>
    <w:rsid w:val="00250EA4"/>
    <w:rsid w:val="0025165D"/>
    <w:rsid w:val="002520BA"/>
    <w:rsid w:val="00252A7F"/>
    <w:rsid w:val="00252EF7"/>
    <w:rsid w:val="00253358"/>
    <w:rsid w:val="00253A80"/>
    <w:rsid w:val="00253BE4"/>
    <w:rsid w:val="00254066"/>
    <w:rsid w:val="002555B2"/>
    <w:rsid w:val="0025687F"/>
    <w:rsid w:val="00256EBB"/>
    <w:rsid w:val="00257127"/>
    <w:rsid w:val="00257582"/>
    <w:rsid w:val="00261C5B"/>
    <w:rsid w:val="00261DA7"/>
    <w:rsid w:val="00263555"/>
    <w:rsid w:val="002638BE"/>
    <w:rsid w:val="00263B6C"/>
    <w:rsid w:val="00264103"/>
    <w:rsid w:val="002641A8"/>
    <w:rsid w:val="00264CD3"/>
    <w:rsid w:val="00264CDD"/>
    <w:rsid w:val="00267EA6"/>
    <w:rsid w:val="00270273"/>
    <w:rsid w:val="00272A19"/>
    <w:rsid w:val="00273192"/>
    <w:rsid w:val="002768E0"/>
    <w:rsid w:val="00276CA3"/>
    <w:rsid w:val="00276EE3"/>
    <w:rsid w:val="00277F3D"/>
    <w:rsid w:val="0028024B"/>
    <w:rsid w:val="00280398"/>
    <w:rsid w:val="0028216E"/>
    <w:rsid w:val="0028232C"/>
    <w:rsid w:val="00282DBB"/>
    <w:rsid w:val="00285DDA"/>
    <w:rsid w:val="00287160"/>
    <w:rsid w:val="00287256"/>
    <w:rsid w:val="00287394"/>
    <w:rsid w:val="00287CB6"/>
    <w:rsid w:val="00287D48"/>
    <w:rsid w:val="002904C9"/>
    <w:rsid w:val="00290638"/>
    <w:rsid w:val="00290D59"/>
    <w:rsid w:val="0029247E"/>
    <w:rsid w:val="00292BE7"/>
    <w:rsid w:val="00294244"/>
    <w:rsid w:val="002949BE"/>
    <w:rsid w:val="00294C5A"/>
    <w:rsid w:val="0029500B"/>
    <w:rsid w:val="00295031"/>
    <w:rsid w:val="00297666"/>
    <w:rsid w:val="002A02B3"/>
    <w:rsid w:val="002A0C93"/>
    <w:rsid w:val="002A40F0"/>
    <w:rsid w:val="002A4D23"/>
    <w:rsid w:val="002A6C85"/>
    <w:rsid w:val="002B06A1"/>
    <w:rsid w:val="002B1127"/>
    <w:rsid w:val="002B18E4"/>
    <w:rsid w:val="002B1BEE"/>
    <w:rsid w:val="002B2ABF"/>
    <w:rsid w:val="002B2EC3"/>
    <w:rsid w:val="002B4A07"/>
    <w:rsid w:val="002B583E"/>
    <w:rsid w:val="002B67A1"/>
    <w:rsid w:val="002B70D7"/>
    <w:rsid w:val="002C0397"/>
    <w:rsid w:val="002C0614"/>
    <w:rsid w:val="002C0999"/>
    <w:rsid w:val="002C1C56"/>
    <w:rsid w:val="002C2234"/>
    <w:rsid w:val="002C2C30"/>
    <w:rsid w:val="002C312F"/>
    <w:rsid w:val="002C4107"/>
    <w:rsid w:val="002C4176"/>
    <w:rsid w:val="002C7FEF"/>
    <w:rsid w:val="002D098D"/>
    <w:rsid w:val="002D2EB5"/>
    <w:rsid w:val="002D37B8"/>
    <w:rsid w:val="002D3F1F"/>
    <w:rsid w:val="002D598A"/>
    <w:rsid w:val="002D633A"/>
    <w:rsid w:val="002E1408"/>
    <w:rsid w:val="002E1DFE"/>
    <w:rsid w:val="002E1F0E"/>
    <w:rsid w:val="002E229C"/>
    <w:rsid w:val="002E2667"/>
    <w:rsid w:val="002E461F"/>
    <w:rsid w:val="002E51F1"/>
    <w:rsid w:val="002E6311"/>
    <w:rsid w:val="002E6A2F"/>
    <w:rsid w:val="002E7944"/>
    <w:rsid w:val="002F1350"/>
    <w:rsid w:val="002F27E0"/>
    <w:rsid w:val="002F2A6C"/>
    <w:rsid w:val="002F2C07"/>
    <w:rsid w:val="002F3B5B"/>
    <w:rsid w:val="002F46EA"/>
    <w:rsid w:val="002F4C40"/>
    <w:rsid w:val="002F6047"/>
    <w:rsid w:val="002F6136"/>
    <w:rsid w:val="002F62C3"/>
    <w:rsid w:val="002F6A0A"/>
    <w:rsid w:val="002F6CE7"/>
    <w:rsid w:val="002F77E5"/>
    <w:rsid w:val="002F7872"/>
    <w:rsid w:val="00300CD8"/>
    <w:rsid w:val="00301293"/>
    <w:rsid w:val="003036AC"/>
    <w:rsid w:val="003040FF"/>
    <w:rsid w:val="00304384"/>
    <w:rsid w:val="00305706"/>
    <w:rsid w:val="00306CFC"/>
    <w:rsid w:val="00306FB0"/>
    <w:rsid w:val="0030765B"/>
    <w:rsid w:val="00307D00"/>
    <w:rsid w:val="00307F78"/>
    <w:rsid w:val="003101CE"/>
    <w:rsid w:val="00310A4E"/>
    <w:rsid w:val="00310D97"/>
    <w:rsid w:val="00310F3D"/>
    <w:rsid w:val="00311182"/>
    <w:rsid w:val="00312407"/>
    <w:rsid w:val="00313137"/>
    <w:rsid w:val="003138FE"/>
    <w:rsid w:val="003145CC"/>
    <w:rsid w:val="003148EF"/>
    <w:rsid w:val="00315172"/>
    <w:rsid w:val="00315449"/>
    <w:rsid w:val="00316C43"/>
    <w:rsid w:val="00317048"/>
    <w:rsid w:val="00317EF0"/>
    <w:rsid w:val="00321438"/>
    <w:rsid w:val="003222FF"/>
    <w:rsid w:val="00322DE0"/>
    <w:rsid w:val="00322FEE"/>
    <w:rsid w:val="00323598"/>
    <w:rsid w:val="0032363D"/>
    <w:rsid w:val="0032426D"/>
    <w:rsid w:val="00324C45"/>
    <w:rsid w:val="00324EF8"/>
    <w:rsid w:val="003257F4"/>
    <w:rsid w:val="0033190E"/>
    <w:rsid w:val="00331DFF"/>
    <w:rsid w:val="003320D0"/>
    <w:rsid w:val="003337B4"/>
    <w:rsid w:val="00333953"/>
    <w:rsid w:val="00333A98"/>
    <w:rsid w:val="003350C3"/>
    <w:rsid w:val="00335337"/>
    <w:rsid w:val="00336FDD"/>
    <w:rsid w:val="00340FC7"/>
    <w:rsid w:val="00342CCD"/>
    <w:rsid w:val="00343365"/>
    <w:rsid w:val="00345283"/>
    <w:rsid w:val="00346ABF"/>
    <w:rsid w:val="00347252"/>
    <w:rsid w:val="00347477"/>
    <w:rsid w:val="00347660"/>
    <w:rsid w:val="00347924"/>
    <w:rsid w:val="00350DA3"/>
    <w:rsid w:val="00351B63"/>
    <w:rsid w:val="00352B9B"/>
    <w:rsid w:val="00353A7E"/>
    <w:rsid w:val="00356FE1"/>
    <w:rsid w:val="00357729"/>
    <w:rsid w:val="00360376"/>
    <w:rsid w:val="0036075C"/>
    <w:rsid w:val="003610E2"/>
    <w:rsid w:val="00361325"/>
    <w:rsid w:val="00361F88"/>
    <w:rsid w:val="00361FF1"/>
    <w:rsid w:val="003624CE"/>
    <w:rsid w:val="003629D3"/>
    <w:rsid w:val="00363266"/>
    <w:rsid w:val="00364FB3"/>
    <w:rsid w:val="003650C5"/>
    <w:rsid w:val="00365E45"/>
    <w:rsid w:val="003662AD"/>
    <w:rsid w:val="00366745"/>
    <w:rsid w:val="00367388"/>
    <w:rsid w:val="0037114B"/>
    <w:rsid w:val="00372BDA"/>
    <w:rsid w:val="00374493"/>
    <w:rsid w:val="00374888"/>
    <w:rsid w:val="00374E40"/>
    <w:rsid w:val="0037604A"/>
    <w:rsid w:val="00376270"/>
    <w:rsid w:val="00376F27"/>
    <w:rsid w:val="00377540"/>
    <w:rsid w:val="003779A5"/>
    <w:rsid w:val="00377E0D"/>
    <w:rsid w:val="003803FB"/>
    <w:rsid w:val="00380B41"/>
    <w:rsid w:val="0038182A"/>
    <w:rsid w:val="00382913"/>
    <w:rsid w:val="003842B4"/>
    <w:rsid w:val="003843E4"/>
    <w:rsid w:val="00384F52"/>
    <w:rsid w:val="00385302"/>
    <w:rsid w:val="00385DAC"/>
    <w:rsid w:val="0038638A"/>
    <w:rsid w:val="003878CC"/>
    <w:rsid w:val="00387D7C"/>
    <w:rsid w:val="00390498"/>
    <w:rsid w:val="00390518"/>
    <w:rsid w:val="003909C6"/>
    <w:rsid w:val="0039321B"/>
    <w:rsid w:val="00395787"/>
    <w:rsid w:val="00396B7C"/>
    <w:rsid w:val="00397CDE"/>
    <w:rsid w:val="003A145F"/>
    <w:rsid w:val="003A33A6"/>
    <w:rsid w:val="003A3A7E"/>
    <w:rsid w:val="003A50B5"/>
    <w:rsid w:val="003A546C"/>
    <w:rsid w:val="003A5E8D"/>
    <w:rsid w:val="003A7EC8"/>
    <w:rsid w:val="003A7F78"/>
    <w:rsid w:val="003B1D22"/>
    <w:rsid w:val="003B1D71"/>
    <w:rsid w:val="003B230E"/>
    <w:rsid w:val="003B2473"/>
    <w:rsid w:val="003B3469"/>
    <w:rsid w:val="003B3746"/>
    <w:rsid w:val="003B3FCD"/>
    <w:rsid w:val="003B411E"/>
    <w:rsid w:val="003B4720"/>
    <w:rsid w:val="003B4E5A"/>
    <w:rsid w:val="003B4ED2"/>
    <w:rsid w:val="003B62CC"/>
    <w:rsid w:val="003B6F73"/>
    <w:rsid w:val="003B785D"/>
    <w:rsid w:val="003B7AB1"/>
    <w:rsid w:val="003C11CF"/>
    <w:rsid w:val="003C125D"/>
    <w:rsid w:val="003C1DC3"/>
    <w:rsid w:val="003C2999"/>
    <w:rsid w:val="003C5624"/>
    <w:rsid w:val="003C667F"/>
    <w:rsid w:val="003C682A"/>
    <w:rsid w:val="003D10F7"/>
    <w:rsid w:val="003D1A3E"/>
    <w:rsid w:val="003D487D"/>
    <w:rsid w:val="003D49D6"/>
    <w:rsid w:val="003D4F0C"/>
    <w:rsid w:val="003D581F"/>
    <w:rsid w:val="003D5DA2"/>
    <w:rsid w:val="003D6B29"/>
    <w:rsid w:val="003D70E2"/>
    <w:rsid w:val="003D7F33"/>
    <w:rsid w:val="003E0CF9"/>
    <w:rsid w:val="003E1C74"/>
    <w:rsid w:val="003E2C72"/>
    <w:rsid w:val="003E3239"/>
    <w:rsid w:val="003E3A45"/>
    <w:rsid w:val="003E3E3C"/>
    <w:rsid w:val="003E49E7"/>
    <w:rsid w:val="003E4EEC"/>
    <w:rsid w:val="003E78BB"/>
    <w:rsid w:val="003E78C8"/>
    <w:rsid w:val="003F0960"/>
    <w:rsid w:val="003F0C15"/>
    <w:rsid w:val="003F2955"/>
    <w:rsid w:val="003F2C46"/>
    <w:rsid w:val="003F3818"/>
    <w:rsid w:val="003F43A2"/>
    <w:rsid w:val="003F453D"/>
    <w:rsid w:val="003F4DB7"/>
    <w:rsid w:val="003F4E15"/>
    <w:rsid w:val="003F5A9A"/>
    <w:rsid w:val="003F6AF7"/>
    <w:rsid w:val="003F6F79"/>
    <w:rsid w:val="00400CAB"/>
    <w:rsid w:val="00400D5D"/>
    <w:rsid w:val="0040364C"/>
    <w:rsid w:val="00405F2B"/>
    <w:rsid w:val="004060E9"/>
    <w:rsid w:val="004070C4"/>
    <w:rsid w:val="004106D6"/>
    <w:rsid w:val="00412879"/>
    <w:rsid w:val="00412FEC"/>
    <w:rsid w:val="004137BD"/>
    <w:rsid w:val="004161C5"/>
    <w:rsid w:val="00420266"/>
    <w:rsid w:val="00421240"/>
    <w:rsid w:val="004224DC"/>
    <w:rsid w:val="00422745"/>
    <w:rsid w:val="00422748"/>
    <w:rsid w:val="0042284D"/>
    <w:rsid w:val="00423688"/>
    <w:rsid w:val="0042384E"/>
    <w:rsid w:val="0042399B"/>
    <w:rsid w:val="00423DF1"/>
    <w:rsid w:val="0042494C"/>
    <w:rsid w:val="00425219"/>
    <w:rsid w:val="00427B01"/>
    <w:rsid w:val="00430328"/>
    <w:rsid w:val="00430402"/>
    <w:rsid w:val="00430B31"/>
    <w:rsid w:val="00430C58"/>
    <w:rsid w:val="00431A36"/>
    <w:rsid w:val="00432A60"/>
    <w:rsid w:val="00432D73"/>
    <w:rsid w:val="004331C4"/>
    <w:rsid w:val="004333AB"/>
    <w:rsid w:val="00433D44"/>
    <w:rsid w:val="004346A1"/>
    <w:rsid w:val="0043564D"/>
    <w:rsid w:val="0043657A"/>
    <w:rsid w:val="00437C1A"/>
    <w:rsid w:val="00437E70"/>
    <w:rsid w:val="00440E0C"/>
    <w:rsid w:val="00440FBA"/>
    <w:rsid w:val="00441C25"/>
    <w:rsid w:val="00441DAE"/>
    <w:rsid w:val="00441E9A"/>
    <w:rsid w:val="004422CA"/>
    <w:rsid w:val="004427EC"/>
    <w:rsid w:val="004429B3"/>
    <w:rsid w:val="004434E9"/>
    <w:rsid w:val="00446452"/>
    <w:rsid w:val="00446699"/>
    <w:rsid w:val="004469E9"/>
    <w:rsid w:val="00446E1A"/>
    <w:rsid w:val="004479C1"/>
    <w:rsid w:val="00450F55"/>
    <w:rsid w:val="00451EA1"/>
    <w:rsid w:val="00453C7C"/>
    <w:rsid w:val="00453CAA"/>
    <w:rsid w:val="00454E72"/>
    <w:rsid w:val="00456051"/>
    <w:rsid w:val="00456287"/>
    <w:rsid w:val="004567B3"/>
    <w:rsid w:val="004568FA"/>
    <w:rsid w:val="0046227E"/>
    <w:rsid w:val="00462B9B"/>
    <w:rsid w:val="004635C3"/>
    <w:rsid w:val="00463788"/>
    <w:rsid w:val="00463B13"/>
    <w:rsid w:val="00464129"/>
    <w:rsid w:val="00464216"/>
    <w:rsid w:val="0046662E"/>
    <w:rsid w:val="004669FB"/>
    <w:rsid w:val="004673FD"/>
    <w:rsid w:val="00470083"/>
    <w:rsid w:val="00470F32"/>
    <w:rsid w:val="0047181A"/>
    <w:rsid w:val="00471D61"/>
    <w:rsid w:val="00472DC8"/>
    <w:rsid w:val="00475651"/>
    <w:rsid w:val="00475D82"/>
    <w:rsid w:val="00476F78"/>
    <w:rsid w:val="004770E4"/>
    <w:rsid w:val="0048023C"/>
    <w:rsid w:val="004802EC"/>
    <w:rsid w:val="00481EC5"/>
    <w:rsid w:val="004825D0"/>
    <w:rsid w:val="00483A01"/>
    <w:rsid w:val="00483EDD"/>
    <w:rsid w:val="00484606"/>
    <w:rsid w:val="0048467A"/>
    <w:rsid w:val="0048501E"/>
    <w:rsid w:val="00485159"/>
    <w:rsid w:val="004859FE"/>
    <w:rsid w:val="004871EB"/>
    <w:rsid w:val="00487392"/>
    <w:rsid w:val="0049083C"/>
    <w:rsid w:val="00491795"/>
    <w:rsid w:val="0049183F"/>
    <w:rsid w:val="00492027"/>
    <w:rsid w:val="0049225D"/>
    <w:rsid w:val="00494636"/>
    <w:rsid w:val="0049465E"/>
    <w:rsid w:val="004949F4"/>
    <w:rsid w:val="00494E92"/>
    <w:rsid w:val="00495DDC"/>
    <w:rsid w:val="0049694A"/>
    <w:rsid w:val="00497E35"/>
    <w:rsid w:val="004A03E4"/>
    <w:rsid w:val="004A220D"/>
    <w:rsid w:val="004A24E8"/>
    <w:rsid w:val="004A29F1"/>
    <w:rsid w:val="004A329A"/>
    <w:rsid w:val="004A3C75"/>
    <w:rsid w:val="004A4BF9"/>
    <w:rsid w:val="004A55A4"/>
    <w:rsid w:val="004A6087"/>
    <w:rsid w:val="004A60BB"/>
    <w:rsid w:val="004A64A3"/>
    <w:rsid w:val="004A6641"/>
    <w:rsid w:val="004A69CC"/>
    <w:rsid w:val="004A70E2"/>
    <w:rsid w:val="004A73B2"/>
    <w:rsid w:val="004B0773"/>
    <w:rsid w:val="004B0ECB"/>
    <w:rsid w:val="004B1883"/>
    <w:rsid w:val="004B1E94"/>
    <w:rsid w:val="004B24C2"/>
    <w:rsid w:val="004B33FF"/>
    <w:rsid w:val="004B5473"/>
    <w:rsid w:val="004B6AF8"/>
    <w:rsid w:val="004B7554"/>
    <w:rsid w:val="004C006A"/>
    <w:rsid w:val="004C06D0"/>
    <w:rsid w:val="004C1099"/>
    <w:rsid w:val="004C15AB"/>
    <w:rsid w:val="004C2D3B"/>
    <w:rsid w:val="004C2E78"/>
    <w:rsid w:val="004C2FA4"/>
    <w:rsid w:val="004C32B2"/>
    <w:rsid w:val="004C48B6"/>
    <w:rsid w:val="004C5EAC"/>
    <w:rsid w:val="004C5ECB"/>
    <w:rsid w:val="004C713B"/>
    <w:rsid w:val="004C71CE"/>
    <w:rsid w:val="004D05F7"/>
    <w:rsid w:val="004D08EB"/>
    <w:rsid w:val="004D2F69"/>
    <w:rsid w:val="004D4A6C"/>
    <w:rsid w:val="004D5637"/>
    <w:rsid w:val="004D602B"/>
    <w:rsid w:val="004D6C59"/>
    <w:rsid w:val="004D71F8"/>
    <w:rsid w:val="004E0949"/>
    <w:rsid w:val="004E0A5B"/>
    <w:rsid w:val="004E0FA5"/>
    <w:rsid w:val="004E1301"/>
    <w:rsid w:val="004E1E2D"/>
    <w:rsid w:val="004E2FB1"/>
    <w:rsid w:val="004E2FD7"/>
    <w:rsid w:val="004E4FBA"/>
    <w:rsid w:val="004E541E"/>
    <w:rsid w:val="004E7032"/>
    <w:rsid w:val="004E74B9"/>
    <w:rsid w:val="004F1990"/>
    <w:rsid w:val="004F3BCC"/>
    <w:rsid w:val="00501C6A"/>
    <w:rsid w:val="005024E5"/>
    <w:rsid w:val="00502AB5"/>
    <w:rsid w:val="00503F55"/>
    <w:rsid w:val="00504525"/>
    <w:rsid w:val="00505A14"/>
    <w:rsid w:val="005063A7"/>
    <w:rsid w:val="005131F1"/>
    <w:rsid w:val="0051484F"/>
    <w:rsid w:val="00514EE7"/>
    <w:rsid w:val="00515199"/>
    <w:rsid w:val="005156D0"/>
    <w:rsid w:val="00515AA2"/>
    <w:rsid w:val="00516B3E"/>
    <w:rsid w:val="00517C9C"/>
    <w:rsid w:val="005213F5"/>
    <w:rsid w:val="00521553"/>
    <w:rsid w:val="00522190"/>
    <w:rsid w:val="0052231F"/>
    <w:rsid w:val="005227B4"/>
    <w:rsid w:val="00522F7B"/>
    <w:rsid w:val="00524534"/>
    <w:rsid w:val="00524B28"/>
    <w:rsid w:val="00525027"/>
    <w:rsid w:val="005262C9"/>
    <w:rsid w:val="005312A1"/>
    <w:rsid w:val="00531D28"/>
    <w:rsid w:val="00531D70"/>
    <w:rsid w:val="0053209A"/>
    <w:rsid w:val="0053250D"/>
    <w:rsid w:val="00532F6E"/>
    <w:rsid w:val="00534797"/>
    <w:rsid w:val="00535443"/>
    <w:rsid w:val="00535CC2"/>
    <w:rsid w:val="0053704B"/>
    <w:rsid w:val="00537CE1"/>
    <w:rsid w:val="00540EF4"/>
    <w:rsid w:val="005418AC"/>
    <w:rsid w:val="00541D5F"/>
    <w:rsid w:val="00541EF5"/>
    <w:rsid w:val="00542204"/>
    <w:rsid w:val="00542602"/>
    <w:rsid w:val="00542EC1"/>
    <w:rsid w:val="00543754"/>
    <w:rsid w:val="005453FF"/>
    <w:rsid w:val="005459EF"/>
    <w:rsid w:val="00547714"/>
    <w:rsid w:val="00550B17"/>
    <w:rsid w:val="00551933"/>
    <w:rsid w:val="005519BA"/>
    <w:rsid w:val="0055207B"/>
    <w:rsid w:val="00552D20"/>
    <w:rsid w:val="005534FF"/>
    <w:rsid w:val="005539A7"/>
    <w:rsid w:val="00554368"/>
    <w:rsid w:val="005547C9"/>
    <w:rsid w:val="00555802"/>
    <w:rsid w:val="0055603C"/>
    <w:rsid w:val="00556D7A"/>
    <w:rsid w:val="00561929"/>
    <w:rsid w:val="00561BEC"/>
    <w:rsid w:val="0056219F"/>
    <w:rsid w:val="0056228F"/>
    <w:rsid w:val="00562957"/>
    <w:rsid w:val="00563D88"/>
    <w:rsid w:val="005648CA"/>
    <w:rsid w:val="00564A03"/>
    <w:rsid w:val="00566BF6"/>
    <w:rsid w:val="005677B0"/>
    <w:rsid w:val="00571176"/>
    <w:rsid w:val="00571D14"/>
    <w:rsid w:val="00572914"/>
    <w:rsid w:val="00572D3C"/>
    <w:rsid w:val="00572E70"/>
    <w:rsid w:val="00572FB5"/>
    <w:rsid w:val="00574163"/>
    <w:rsid w:val="005745E0"/>
    <w:rsid w:val="005767E9"/>
    <w:rsid w:val="0057699B"/>
    <w:rsid w:val="00577E51"/>
    <w:rsid w:val="00580731"/>
    <w:rsid w:val="00580948"/>
    <w:rsid w:val="0058144B"/>
    <w:rsid w:val="005831FC"/>
    <w:rsid w:val="00583434"/>
    <w:rsid w:val="0058349F"/>
    <w:rsid w:val="00583F5A"/>
    <w:rsid w:val="005846FB"/>
    <w:rsid w:val="005850CB"/>
    <w:rsid w:val="005854A7"/>
    <w:rsid w:val="0058590E"/>
    <w:rsid w:val="00586E7B"/>
    <w:rsid w:val="00594006"/>
    <w:rsid w:val="00594E4D"/>
    <w:rsid w:val="00595BC2"/>
    <w:rsid w:val="005A02CD"/>
    <w:rsid w:val="005A0587"/>
    <w:rsid w:val="005A0B0E"/>
    <w:rsid w:val="005A141F"/>
    <w:rsid w:val="005A14E2"/>
    <w:rsid w:val="005A1F2F"/>
    <w:rsid w:val="005A3D42"/>
    <w:rsid w:val="005A3E42"/>
    <w:rsid w:val="005A3F96"/>
    <w:rsid w:val="005A4087"/>
    <w:rsid w:val="005A4576"/>
    <w:rsid w:val="005A4871"/>
    <w:rsid w:val="005A4F8C"/>
    <w:rsid w:val="005A57EF"/>
    <w:rsid w:val="005A59C7"/>
    <w:rsid w:val="005A5FBC"/>
    <w:rsid w:val="005A616B"/>
    <w:rsid w:val="005A7226"/>
    <w:rsid w:val="005A743D"/>
    <w:rsid w:val="005A78BF"/>
    <w:rsid w:val="005B001A"/>
    <w:rsid w:val="005B03B9"/>
    <w:rsid w:val="005B1661"/>
    <w:rsid w:val="005B184F"/>
    <w:rsid w:val="005B1989"/>
    <w:rsid w:val="005B222F"/>
    <w:rsid w:val="005B29E1"/>
    <w:rsid w:val="005B3D83"/>
    <w:rsid w:val="005B41E8"/>
    <w:rsid w:val="005B4201"/>
    <w:rsid w:val="005B4BC2"/>
    <w:rsid w:val="005B6AE4"/>
    <w:rsid w:val="005B6B4C"/>
    <w:rsid w:val="005B6DAB"/>
    <w:rsid w:val="005B75C0"/>
    <w:rsid w:val="005B7875"/>
    <w:rsid w:val="005B799B"/>
    <w:rsid w:val="005C075F"/>
    <w:rsid w:val="005C16C5"/>
    <w:rsid w:val="005C1ACC"/>
    <w:rsid w:val="005C2243"/>
    <w:rsid w:val="005C2F30"/>
    <w:rsid w:val="005C3D0F"/>
    <w:rsid w:val="005C4748"/>
    <w:rsid w:val="005C4821"/>
    <w:rsid w:val="005C5AD8"/>
    <w:rsid w:val="005C653C"/>
    <w:rsid w:val="005C6578"/>
    <w:rsid w:val="005C69A9"/>
    <w:rsid w:val="005C6BD0"/>
    <w:rsid w:val="005C7143"/>
    <w:rsid w:val="005C7516"/>
    <w:rsid w:val="005C7D00"/>
    <w:rsid w:val="005D0A05"/>
    <w:rsid w:val="005D0AB4"/>
    <w:rsid w:val="005D1382"/>
    <w:rsid w:val="005D1522"/>
    <w:rsid w:val="005D22A0"/>
    <w:rsid w:val="005D260E"/>
    <w:rsid w:val="005D29AB"/>
    <w:rsid w:val="005D2A20"/>
    <w:rsid w:val="005D3AE5"/>
    <w:rsid w:val="005D3CE9"/>
    <w:rsid w:val="005D3F26"/>
    <w:rsid w:val="005D4E14"/>
    <w:rsid w:val="005D5270"/>
    <w:rsid w:val="005D6183"/>
    <w:rsid w:val="005D67B9"/>
    <w:rsid w:val="005D7772"/>
    <w:rsid w:val="005D7F29"/>
    <w:rsid w:val="005E1AB0"/>
    <w:rsid w:val="005E34F7"/>
    <w:rsid w:val="005E3533"/>
    <w:rsid w:val="005E3ECE"/>
    <w:rsid w:val="005E4286"/>
    <w:rsid w:val="005E49D7"/>
    <w:rsid w:val="005E5834"/>
    <w:rsid w:val="005E6142"/>
    <w:rsid w:val="005E6F25"/>
    <w:rsid w:val="005E7EBC"/>
    <w:rsid w:val="005F0856"/>
    <w:rsid w:val="005F0EEB"/>
    <w:rsid w:val="005F12E5"/>
    <w:rsid w:val="005F5EE8"/>
    <w:rsid w:val="005F5F5F"/>
    <w:rsid w:val="005F65A8"/>
    <w:rsid w:val="005F74ED"/>
    <w:rsid w:val="005F7A64"/>
    <w:rsid w:val="0060018E"/>
    <w:rsid w:val="00601313"/>
    <w:rsid w:val="00602FF6"/>
    <w:rsid w:val="006032A8"/>
    <w:rsid w:val="00603651"/>
    <w:rsid w:val="00603E0B"/>
    <w:rsid w:val="006040C8"/>
    <w:rsid w:val="006048FC"/>
    <w:rsid w:val="00604997"/>
    <w:rsid w:val="00605587"/>
    <w:rsid w:val="006071F1"/>
    <w:rsid w:val="0061142C"/>
    <w:rsid w:val="006118EB"/>
    <w:rsid w:val="00612E62"/>
    <w:rsid w:val="006130A9"/>
    <w:rsid w:val="00613525"/>
    <w:rsid w:val="00613980"/>
    <w:rsid w:val="00613D93"/>
    <w:rsid w:val="0061455B"/>
    <w:rsid w:val="00614B71"/>
    <w:rsid w:val="00614E57"/>
    <w:rsid w:val="00615517"/>
    <w:rsid w:val="0061714D"/>
    <w:rsid w:val="00620BB7"/>
    <w:rsid w:val="00621F57"/>
    <w:rsid w:val="00622448"/>
    <w:rsid w:val="00622818"/>
    <w:rsid w:val="00624770"/>
    <w:rsid w:val="0062503A"/>
    <w:rsid w:val="006258FD"/>
    <w:rsid w:val="00626C7A"/>
    <w:rsid w:val="00627BF7"/>
    <w:rsid w:val="00630600"/>
    <w:rsid w:val="00630A50"/>
    <w:rsid w:val="00630C9C"/>
    <w:rsid w:val="00631D94"/>
    <w:rsid w:val="00631FDE"/>
    <w:rsid w:val="00633155"/>
    <w:rsid w:val="006351B5"/>
    <w:rsid w:val="0063670C"/>
    <w:rsid w:val="00636AEE"/>
    <w:rsid w:val="00636BD5"/>
    <w:rsid w:val="006374CF"/>
    <w:rsid w:val="00637E38"/>
    <w:rsid w:val="00640139"/>
    <w:rsid w:val="00640A83"/>
    <w:rsid w:val="00641707"/>
    <w:rsid w:val="00641C11"/>
    <w:rsid w:val="00641D8A"/>
    <w:rsid w:val="00641DD4"/>
    <w:rsid w:val="0064250B"/>
    <w:rsid w:val="0064294F"/>
    <w:rsid w:val="006431B5"/>
    <w:rsid w:val="00644B08"/>
    <w:rsid w:val="00645A05"/>
    <w:rsid w:val="0064617E"/>
    <w:rsid w:val="0064636C"/>
    <w:rsid w:val="00651663"/>
    <w:rsid w:val="00652E41"/>
    <w:rsid w:val="006534B5"/>
    <w:rsid w:val="00653680"/>
    <w:rsid w:val="006547EE"/>
    <w:rsid w:val="00654D34"/>
    <w:rsid w:val="00656257"/>
    <w:rsid w:val="00656438"/>
    <w:rsid w:val="00656C29"/>
    <w:rsid w:val="00660C31"/>
    <w:rsid w:val="00661015"/>
    <w:rsid w:val="0066116A"/>
    <w:rsid w:val="00661449"/>
    <w:rsid w:val="00662038"/>
    <w:rsid w:val="00662E3A"/>
    <w:rsid w:val="00665698"/>
    <w:rsid w:val="00666948"/>
    <w:rsid w:val="00667968"/>
    <w:rsid w:val="00671120"/>
    <w:rsid w:val="00671176"/>
    <w:rsid w:val="006729F0"/>
    <w:rsid w:val="00673F5A"/>
    <w:rsid w:val="006742B1"/>
    <w:rsid w:val="00674797"/>
    <w:rsid w:val="00675733"/>
    <w:rsid w:val="00675812"/>
    <w:rsid w:val="00675D0A"/>
    <w:rsid w:val="006775DC"/>
    <w:rsid w:val="00680436"/>
    <w:rsid w:val="006816B9"/>
    <w:rsid w:val="00681F1E"/>
    <w:rsid w:val="006826AA"/>
    <w:rsid w:val="006828F9"/>
    <w:rsid w:val="0068356A"/>
    <w:rsid w:val="0068600A"/>
    <w:rsid w:val="0068636E"/>
    <w:rsid w:val="00686F9C"/>
    <w:rsid w:val="006870C9"/>
    <w:rsid w:val="006875CF"/>
    <w:rsid w:val="0069067C"/>
    <w:rsid w:val="00690D26"/>
    <w:rsid w:val="0069251F"/>
    <w:rsid w:val="00693696"/>
    <w:rsid w:val="00693E5F"/>
    <w:rsid w:val="00695222"/>
    <w:rsid w:val="006956BC"/>
    <w:rsid w:val="00695AAA"/>
    <w:rsid w:val="00696FF0"/>
    <w:rsid w:val="00697918"/>
    <w:rsid w:val="006A08BF"/>
    <w:rsid w:val="006A0DB0"/>
    <w:rsid w:val="006A32E1"/>
    <w:rsid w:val="006A65FF"/>
    <w:rsid w:val="006A6629"/>
    <w:rsid w:val="006B0BC1"/>
    <w:rsid w:val="006B16DA"/>
    <w:rsid w:val="006B195C"/>
    <w:rsid w:val="006B3808"/>
    <w:rsid w:val="006B388B"/>
    <w:rsid w:val="006B465B"/>
    <w:rsid w:val="006B5776"/>
    <w:rsid w:val="006B578B"/>
    <w:rsid w:val="006B6BF9"/>
    <w:rsid w:val="006B759F"/>
    <w:rsid w:val="006B7BF9"/>
    <w:rsid w:val="006C10DD"/>
    <w:rsid w:val="006C160F"/>
    <w:rsid w:val="006C2B1E"/>
    <w:rsid w:val="006C3F95"/>
    <w:rsid w:val="006C41A3"/>
    <w:rsid w:val="006C4F04"/>
    <w:rsid w:val="006C513A"/>
    <w:rsid w:val="006C52FD"/>
    <w:rsid w:val="006D01AF"/>
    <w:rsid w:val="006D2CEB"/>
    <w:rsid w:val="006D419A"/>
    <w:rsid w:val="006D7AC5"/>
    <w:rsid w:val="006E067A"/>
    <w:rsid w:val="006E0795"/>
    <w:rsid w:val="006E0C85"/>
    <w:rsid w:val="006E2CD9"/>
    <w:rsid w:val="006E4A8A"/>
    <w:rsid w:val="006E4B7D"/>
    <w:rsid w:val="006E62D8"/>
    <w:rsid w:val="006E7DE7"/>
    <w:rsid w:val="006F099A"/>
    <w:rsid w:val="006F0C47"/>
    <w:rsid w:val="006F19FC"/>
    <w:rsid w:val="006F2150"/>
    <w:rsid w:val="006F23E7"/>
    <w:rsid w:val="006F261A"/>
    <w:rsid w:val="006F3921"/>
    <w:rsid w:val="006F4200"/>
    <w:rsid w:val="006F4789"/>
    <w:rsid w:val="006F5DCD"/>
    <w:rsid w:val="006F6A19"/>
    <w:rsid w:val="006F7AAA"/>
    <w:rsid w:val="007001D3"/>
    <w:rsid w:val="00700F74"/>
    <w:rsid w:val="00702756"/>
    <w:rsid w:val="007034C8"/>
    <w:rsid w:val="00703522"/>
    <w:rsid w:val="00704A9A"/>
    <w:rsid w:val="00705E06"/>
    <w:rsid w:val="007077CB"/>
    <w:rsid w:val="007107D7"/>
    <w:rsid w:val="00710D9A"/>
    <w:rsid w:val="00710E4C"/>
    <w:rsid w:val="00710F1E"/>
    <w:rsid w:val="00711535"/>
    <w:rsid w:val="00711760"/>
    <w:rsid w:val="00711D9D"/>
    <w:rsid w:val="00713455"/>
    <w:rsid w:val="00714952"/>
    <w:rsid w:val="00716AA5"/>
    <w:rsid w:val="00717394"/>
    <w:rsid w:val="00722695"/>
    <w:rsid w:val="00722818"/>
    <w:rsid w:val="007228E6"/>
    <w:rsid w:val="0072311F"/>
    <w:rsid w:val="00723556"/>
    <w:rsid w:val="00724C4E"/>
    <w:rsid w:val="0072569F"/>
    <w:rsid w:val="00726B97"/>
    <w:rsid w:val="007272E1"/>
    <w:rsid w:val="00727C91"/>
    <w:rsid w:val="0073052E"/>
    <w:rsid w:val="00730856"/>
    <w:rsid w:val="00730AD4"/>
    <w:rsid w:val="007325EC"/>
    <w:rsid w:val="00732DBA"/>
    <w:rsid w:val="00733D4A"/>
    <w:rsid w:val="00734A59"/>
    <w:rsid w:val="0073629D"/>
    <w:rsid w:val="007364F5"/>
    <w:rsid w:val="00737581"/>
    <w:rsid w:val="00740A17"/>
    <w:rsid w:val="00741ECE"/>
    <w:rsid w:val="00742CC1"/>
    <w:rsid w:val="00742CE5"/>
    <w:rsid w:val="00742ED5"/>
    <w:rsid w:val="00743AE9"/>
    <w:rsid w:val="007441E6"/>
    <w:rsid w:val="00744FAC"/>
    <w:rsid w:val="00745AD7"/>
    <w:rsid w:val="007462BB"/>
    <w:rsid w:val="007462D6"/>
    <w:rsid w:val="0074653A"/>
    <w:rsid w:val="0074738B"/>
    <w:rsid w:val="007511D8"/>
    <w:rsid w:val="0075130D"/>
    <w:rsid w:val="00751423"/>
    <w:rsid w:val="007522E0"/>
    <w:rsid w:val="007523E0"/>
    <w:rsid w:val="0075350E"/>
    <w:rsid w:val="00753AF5"/>
    <w:rsid w:val="007547B8"/>
    <w:rsid w:val="00755373"/>
    <w:rsid w:val="007605BF"/>
    <w:rsid w:val="0076062E"/>
    <w:rsid w:val="00760C91"/>
    <w:rsid w:val="00761279"/>
    <w:rsid w:val="0076197F"/>
    <w:rsid w:val="0076341F"/>
    <w:rsid w:val="00763EF7"/>
    <w:rsid w:val="007642A8"/>
    <w:rsid w:val="00764453"/>
    <w:rsid w:val="007648E7"/>
    <w:rsid w:val="00764FCE"/>
    <w:rsid w:val="00765772"/>
    <w:rsid w:val="00765AE1"/>
    <w:rsid w:val="00766B8B"/>
    <w:rsid w:val="0077019F"/>
    <w:rsid w:val="00770A87"/>
    <w:rsid w:val="00772071"/>
    <w:rsid w:val="007746DA"/>
    <w:rsid w:val="0077483C"/>
    <w:rsid w:val="007770CF"/>
    <w:rsid w:val="00777671"/>
    <w:rsid w:val="00777CAA"/>
    <w:rsid w:val="0078339A"/>
    <w:rsid w:val="00784907"/>
    <w:rsid w:val="00784D43"/>
    <w:rsid w:val="00786DD3"/>
    <w:rsid w:val="00790891"/>
    <w:rsid w:val="00790EFC"/>
    <w:rsid w:val="00791835"/>
    <w:rsid w:val="00792A66"/>
    <w:rsid w:val="0079352E"/>
    <w:rsid w:val="00793FC1"/>
    <w:rsid w:val="00793FCC"/>
    <w:rsid w:val="007940EF"/>
    <w:rsid w:val="00794482"/>
    <w:rsid w:val="00794491"/>
    <w:rsid w:val="007944A5"/>
    <w:rsid w:val="007953F3"/>
    <w:rsid w:val="007961F9"/>
    <w:rsid w:val="00796524"/>
    <w:rsid w:val="00797DB4"/>
    <w:rsid w:val="007A1773"/>
    <w:rsid w:val="007A32BD"/>
    <w:rsid w:val="007A47DC"/>
    <w:rsid w:val="007A60EC"/>
    <w:rsid w:val="007A7803"/>
    <w:rsid w:val="007B061E"/>
    <w:rsid w:val="007B0B1A"/>
    <w:rsid w:val="007B4061"/>
    <w:rsid w:val="007B44F3"/>
    <w:rsid w:val="007B48D5"/>
    <w:rsid w:val="007B732E"/>
    <w:rsid w:val="007B7E25"/>
    <w:rsid w:val="007C3FC0"/>
    <w:rsid w:val="007C4192"/>
    <w:rsid w:val="007C45D1"/>
    <w:rsid w:val="007C6A7A"/>
    <w:rsid w:val="007D087C"/>
    <w:rsid w:val="007D0FF5"/>
    <w:rsid w:val="007D1068"/>
    <w:rsid w:val="007D419C"/>
    <w:rsid w:val="007D5CD5"/>
    <w:rsid w:val="007D77E9"/>
    <w:rsid w:val="007D7B07"/>
    <w:rsid w:val="007D7CA0"/>
    <w:rsid w:val="007E003E"/>
    <w:rsid w:val="007E0ECD"/>
    <w:rsid w:val="007E1078"/>
    <w:rsid w:val="007E173A"/>
    <w:rsid w:val="007E1C34"/>
    <w:rsid w:val="007E1E43"/>
    <w:rsid w:val="007E1F93"/>
    <w:rsid w:val="007E33E4"/>
    <w:rsid w:val="007E3B32"/>
    <w:rsid w:val="007E3DE4"/>
    <w:rsid w:val="007E4CC9"/>
    <w:rsid w:val="007E577C"/>
    <w:rsid w:val="007E645E"/>
    <w:rsid w:val="007E6C69"/>
    <w:rsid w:val="007E765E"/>
    <w:rsid w:val="007E782A"/>
    <w:rsid w:val="007F0072"/>
    <w:rsid w:val="007F1D10"/>
    <w:rsid w:val="007F3984"/>
    <w:rsid w:val="007F6475"/>
    <w:rsid w:val="007F6D43"/>
    <w:rsid w:val="007F708D"/>
    <w:rsid w:val="00800D23"/>
    <w:rsid w:val="00800F20"/>
    <w:rsid w:val="008021D7"/>
    <w:rsid w:val="0080288B"/>
    <w:rsid w:val="008030A0"/>
    <w:rsid w:val="00803311"/>
    <w:rsid w:val="0080379A"/>
    <w:rsid w:val="008041ED"/>
    <w:rsid w:val="00804EB9"/>
    <w:rsid w:val="00805071"/>
    <w:rsid w:val="008075CF"/>
    <w:rsid w:val="00807ED2"/>
    <w:rsid w:val="008100DD"/>
    <w:rsid w:val="008102A9"/>
    <w:rsid w:val="00810362"/>
    <w:rsid w:val="00810D6F"/>
    <w:rsid w:val="0081265F"/>
    <w:rsid w:val="00812788"/>
    <w:rsid w:val="00813A16"/>
    <w:rsid w:val="00813D26"/>
    <w:rsid w:val="00813E93"/>
    <w:rsid w:val="0081463F"/>
    <w:rsid w:val="008153E4"/>
    <w:rsid w:val="0081563A"/>
    <w:rsid w:val="008159F3"/>
    <w:rsid w:val="00816273"/>
    <w:rsid w:val="008173E1"/>
    <w:rsid w:val="00820024"/>
    <w:rsid w:val="008224C6"/>
    <w:rsid w:val="00823501"/>
    <w:rsid w:val="00823FFA"/>
    <w:rsid w:val="008241E6"/>
    <w:rsid w:val="00826134"/>
    <w:rsid w:val="0082717B"/>
    <w:rsid w:val="00827B04"/>
    <w:rsid w:val="00827CA6"/>
    <w:rsid w:val="0083032E"/>
    <w:rsid w:val="00830923"/>
    <w:rsid w:val="008309B1"/>
    <w:rsid w:val="00832756"/>
    <w:rsid w:val="0083287F"/>
    <w:rsid w:val="00833195"/>
    <w:rsid w:val="00833244"/>
    <w:rsid w:val="00833322"/>
    <w:rsid w:val="00834458"/>
    <w:rsid w:val="00834C7E"/>
    <w:rsid w:val="00835915"/>
    <w:rsid w:val="008361B0"/>
    <w:rsid w:val="008363DB"/>
    <w:rsid w:val="0083772D"/>
    <w:rsid w:val="00837DAF"/>
    <w:rsid w:val="008402A5"/>
    <w:rsid w:val="00840511"/>
    <w:rsid w:val="00841907"/>
    <w:rsid w:val="00841C85"/>
    <w:rsid w:val="00842AC4"/>
    <w:rsid w:val="008435D9"/>
    <w:rsid w:val="00843661"/>
    <w:rsid w:val="00843CD6"/>
    <w:rsid w:val="0084404F"/>
    <w:rsid w:val="008446D2"/>
    <w:rsid w:val="00846BE1"/>
    <w:rsid w:val="00847888"/>
    <w:rsid w:val="00847A96"/>
    <w:rsid w:val="008506D6"/>
    <w:rsid w:val="00851CD9"/>
    <w:rsid w:val="0085279F"/>
    <w:rsid w:val="008528DE"/>
    <w:rsid w:val="008539E4"/>
    <w:rsid w:val="00855430"/>
    <w:rsid w:val="00855608"/>
    <w:rsid w:val="00855DA5"/>
    <w:rsid w:val="00857399"/>
    <w:rsid w:val="0086036A"/>
    <w:rsid w:val="00861332"/>
    <w:rsid w:val="0086146B"/>
    <w:rsid w:val="00861B7D"/>
    <w:rsid w:val="00861F0F"/>
    <w:rsid w:val="00862B1C"/>
    <w:rsid w:val="00863507"/>
    <w:rsid w:val="00863CF5"/>
    <w:rsid w:val="00863E5A"/>
    <w:rsid w:val="008647D7"/>
    <w:rsid w:val="008647E9"/>
    <w:rsid w:val="00865156"/>
    <w:rsid w:val="008653A3"/>
    <w:rsid w:val="00865431"/>
    <w:rsid w:val="008657A2"/>
    <w:rsid w:val="00866645"/>
    <w:rsid w:val="00866F02"/>
    <w:rsid w:val="00871296"/>
    <w:rsid w:val="00872AD5"/>
    <w:rsid w:val="00872F56"/>
    <w:rsid w:val="008736F5"/>
    <w:rsid w:val="008737C7"/>
    <w:rsid w:val="00873B58"/>
    <w:rsid w:val="00873DFA"/>
    <w:rsid w:val="00875293"/>
    <w:rsid w:val="008762D3"/>
    <w:rsid w:val="00876CBC"/>
    <w:rsid w:val="00880114"/>
    <w:rsid w:val="00881AC9"/>
    <w:rsid w:val="00882210"/>
    <w:rsid w:val="00883700"/>
    <w:rsid w:val="0088450F"/>
    <w:rsid w:val="0088484C"/>
    <w:rsid w:val="0088498D"/>
    <w:rsid w:val="0088567D"/>
    <w:rsid w:val="00885AAE"/>
    <w:rsid w:val="00886EBD"/>
    <w:rsid w:val="008872B8"/>
    <w:rsid w:val="00887306"/>
    <w:rsid w:val="0089147D"/>
    <w:rsid w:val="008919DE"/>
    <w:rsid w:val="00893A94"/>
    <w:rsid w:val="00895ECC"/>
    <w:rsid w:val="00896929"/>
    <w:rsid w:val="00897A58"/>
    <w:rsid w:val="008A120D"/>
    <w:rsid w:val="008A15A3"/>
    <w:rsid w:val="008A17FA"/>
    <w:rsid w:val="008A1D22"/>
    <w:rsid w:val="008A243E"/>
    <w:rsid w:val="008A26C5"/>
    <w:rsid w:val="008A2F33"/>
    <w:rsid w:val="008A41FE"/>
    <w:rsid w:val="008A4691"/>
    <w:rsid w:val="008A4CF7"/>
    <w:rsid w:val="008A53F4"/>
    <w:rsid w:val="008A5C02"/>
    <w:rsid w:val="008A6185"/>
    <w:rsid w:val="008A67A0"/>
    <w:rsid w:val="008B2F10"/>
    <w:rsid w:val="008B32FD"/>
    <w:rsid w:val="008B4BE9"/>
    <w:rsid w:val="008B5474"/>
    <w:rsid w:val="008C0A87"/>
    <w:rsid w:val="008C0C08"/>
    <w:rsid w:val="008C14D2"/>
    <w:rsid w:val="008C1A92"/>
    <w:rsid w:val="008C1FE9"/>
    <w:rsid w:val="008C216B"/>
    <w:rsid w:val="008C25BF"/>
    <w:rsid w:val="008C262B"/>
    <w:rsid w:val="008C4D42"/>
    <w:rsid w:val="008C512C"/>
    <w:rsid w:val="008C5971"/>
    <w:rsid w:val="008C5B5D"/>
    <w:rsid w:val="008C774C"/>
    <w:rsid w:val="008C7DCE"/>
    <w:rsid w:val="008D18FC"/>
    <w:rsid w:val="008D25D7"/>
    <w:rsid w:val="008D275D"/>
    <w:rsid w:val="008D27B6"/>
    <w:rsid w:val="008D2F42"/>
    <w:rsid w:val="008D30C6"/>
    <w:rsid w:val="008D398B"/>
    <w:rsid w:val="008D3F33"/>
    <w:rsid w:val="008D4973"/>
    <w:rsid w:val="008D4FE9"/>
    <w:rsid w:val="008D57E0"/>
    <w:rsid w:val="008D5832"/>
    <w:rsid w:val="008D5A34"/>
    <w:rsid w:val="008D6E53"/>
    <w:rsid w:val="008D7E49"/>
    <w:rsid w:val="008E13D7"/>
    <w:rsid w:val="008E1D79"/>
    <w:rsid w:val="008E4DB7"/>
    <w:rsid w:val="008E56FC"/>
    <w:rsid w:val="008E747C"/>
    <w:rsid w:val="008E7EB4"/>
    <w:rsid w:val="008F0672"/>
    <w:rsid w:val="008F1A64"/>
    <w:rsid w:val="008F2B31"/>
    <w:rsid w:val="008F30CE"/>
    <w:rsid w:val="008F364A"/>
    <w:rsid w:val="008F388D"/>
    <w:rsid w:val="008F3A6B"/>
    <w:rsid w:val="008F3F53"/>
    <w:rsid w:val="008F44F9"/>
    <w:rsid w:val="008F49D4"/>
    <w:rsid w:val="008F66E6"/>
    <w:rsid w:val="008F765D"/>
    <w:rsid w:val="00900E90"/>
    <w:rsid w:val="009020E9"/>
    <w:rsid w:val="00902185"/>
    <w:rsid w:val="0090245C"/>
    <w:rsid w:val="009024A0"/>
    <w:rsid w:val="0090278F"/>
    <w:rsid w:val="009029C8"/>
    <w:rsid w:val="0090340A"/>
    <w:rsid w:val="009039D6"/>
    <w:rsid w:val="00903F7D"/>
    <w:rsid w:val="009042BE"/>
    <w:rsid w:val="00904C04"/>
    <w:rsid w:val="00905787"/>
    <w:rsid w:val="00906742"/>
    <w:rsid w:val="00906A83"/>
    <w:rsid w:val="00906FEC"/>
    <w:rsid w:val="00907C10"/>
    <w:rsid w:val="00907EF2"/>
    <w:rsid w:val="00913E03"/>
    <w:rsid w:val="009155CE"/>
    <w:rsid w:val="009156A9"/>
    <w:rsid w:val="009165F0"/>
    <w:rsid w:val="00916AB6"/>
    <w:rsid w:val="00920AC0"/>
    <w:rsid w:val="009213D1"/>
    <w:rsid w:val="00922217"/>
    <w:rsid w:val="009229E9"/>
    <w:rsid w:val="009245AF"/>
    <w:rsid w:val="00924F11"/>
    <w:rsid w:val="00925109"/>
    <w:rsid w:val="00926953"/>
    <w:rsid w:val="009307E4"/>
    <w:rsid w:val="00930FC8"/>
    <w:rsid w:val="00931F6B"/>
    <w:rsid w:val="00932703"/>
    <w:rsid w:val="00933488"/>
    <w:rsid w:val="00933FA8"/>
    <w:rsid w:val="009361CF"/>
    <w:rsid w:val="00936469"/>
    <w:rsid w:val="00936775"/>
    <w:rsid w:val="00936CD7"/>
    <w:rsid w:val="009400B7"/>
    <w:rsid w:val="0094067C"/>
    <w:rsid w:val="009410D2"/>
    <w:rsid w:val="009414F4"/>
    <w:rsid w:val="009424E6"/>
    <w:rsid w:val="00942C97"/>
    <w:rsid w:val="009439C0"/>
    <w:rsid w:val="00945DE2"/>
    <w:rsid w:val="00946A8E"/>
    <w:rsid w:val="00950F53"/>
    <w:rsid w:val="009513AC"/>
    <w:rsid w:val="00951BF4"/>
    <w:rsid w:val="00951D03"/>
    <w:rsid w:val="00952737"/>
    <w:rsid w:val="0095330D"/>
    <w:rsid w:val="0095340E"/>
    <w:rsid w:val="00953897"/>
    <w:rsid w:val="00954DC2"/>
    <w:rsid w:val="00957B92"/>
    <w:rsid w:val="00960EDB"/>
    <w:rsid w:val="00961261"/>
    <w:rsid w:val="009618E1"/>
    <w:rsid w:val="0096236D"/>
    <w:rsid w:val="00964DDD"/>
    <w:rsid w:val="0096687A"/>
    <w:rsid w:val="009675E3"/>
    <w:rsid w:val="0097075E"/>
    <w:rsid w:val="00970966"/>
    <w:rsid w:val="009725D8"/>
    <w:rsid w:val="00973D74"/>
    <w:rsid w:val="00974442"/>
    <w:rsid w:val="00974BC6"/>
    <w:rsid w:val="00974E56"/>
    <w:rsid w:val="0097613C"/>
    <w:rsid w:val="009767D3"/>
    <w:rsid w:val="00977A09"/>
    <w:rsid w:val="00977AD5"/>
    <w:rsid w:val="0098035D"/>
    <w:rsid w:val="00981199"/>
    <w:rsid w:val="00981855"/>
    <w:rsid w:val="00982DE8"/>
    <w:rsid w:val="00983809"/>
    <w:rsid w:val="0098428A"/>
    <w:rsid w:val="0098455B"/>
    <w:rsid w:val="0098490D"/>
    <w:rsid w:val="00985DA1"/>
    <w:rsid w:val="00985F0F"/>
    <w:rsid w:val="009864F8"/>
    <w:rsid w:val="00986996"/>
    <w:rsid w:val="00986B08"/>
    <w:rsid w:val="00986E2B"/>
    <w:rsid w:val="009870D0"/>
    <w:rsid w:val="00992063"/>
    <w:rsid w:val="009922BB"/>
    <w:rsid w:val="009924A6"/>
    <w:rsid w:val="0099481E"/>
    <w:rsid w:val="00994DD3"/>
    <w:rsid w:val="0099604A"/>
    <w:rsid w:val="0099627A"/>
    <w:rsid w:val="00996833"/>
    <w:rsid w:val="00996935"/>
    <w:rsid w:val="00996FDB"/>
    <w:rsid w:val="00997087"/>
    <w:rsid w:val="00997B23"/>
    <w:rsid w:val="009A0375"/>
    <w:rsid w:val="009A0FEA"/>
    <w:rsid w:val="009A1ED9"/>
    <w:rsid w:val="009A221A"/>
    <w:rsid w:val="009A257B"/>
    <w:rsid w:val="009A45B7"/>
    <w:rsid w:val="009A4BC3"/>
    <w:rsid w:val="009A4CBC"/>
    <w:rsid w:val="009A5143"/>
    <w:rsid w:val="009A51C4"/>
    <w:rsid w:val="009A6BFD"/>
    <w:rsid w:val="009B012E"/>
    <w:rsid w:val="009B019E"/>
    <w:rsid w:val="009B05CD"/>
    <w:rsid w:val="009B18BD"/>
    <w:rsid w:val="009B35B5"/>
    <w:rsid w:val="009B3673"/>
    <w:rsid w:val="009B395D"/>
    <w:rsid w:val="009B6FFD"/>
    <w:rsid w:val="009C11F7"/>
    <w:rsid w:val="009C375D"/>
    <w:rsid w:val="009C5303"/>
    <w:rsid w:val="009C64FB"/>
    <w:rsid w:val="009C6688"/>
    <w:rsid w:val="009D0624"/>
    <w:rsid w:val="009D0771"/>
    <w:rsid w:val="009D135B"/>
    <w:rsid w:val="009D371A"/>
    <w:rsid w:val="009D5FF2"/>
    <w:rsid w:val="009D6880"/>
    <w:rsid w:val="009D6BC0"/>
    <w:rsid w:val="009D6E00"/>
    <w:rsid w:val="009D7AD2"/>
    <w:rsid w:val="009E02DD"/>
    <w:rsid w:val="009E0347"/>
    <w:rsid w:val="009E0722"/>
    <w:rsid w:val="009E0B0A"/>
    <w:rsid w:val="009E0D5D"/>
    <w:rsid w:val="009E201D"/>
    <w:rsid w:val="009E2316"/>
    <w:rsid w:val="009E2B76"/>
    <w:rsid w:val="009E2CA6"/>
    <w:rsid w:val="009E72FF"/>
    <w:rsid w:val="009F0C7A"/>
    <w:rsid w:val="009F1344"/>
    <w:rsid w:val="009F1DBB"/>
    <w:rsid w:val="009F1F69"/>
    <w:rsid w:val="009F2584"/>
    <w:rsid w:val="009F2EEB"/>
    <w:rsid w:val="009F37F4"/>
    <w:rsid w:val="009F39C4"/>
    <w:rsid w:val="009F47DF"/>
    <w:rsid w:val="009F498B"/>
    <w:rsid w:val="009F4FEB"/>
    <w:rsid w:val="009F6601"/>
    <w:rsid w:val="009F6A81"/>
    <w:rsid w:val="009F7029"/>
    <w:rsid w:val="009F7585"/>
    <w:rsid w:val="009F7936"/>
    <w:rsid w:val="00A015A5"/>
    <w:rsid w:val="00A032FF"/>
    <w:rsid w:val="00A03883"/>
    <w:rsid w:val="00A052AD"/>
    <w:rsid w:val="00A07A8B"/>
    <w:rsid w:val="00A10337"/>
    <w:rsid w:val="00A1059C"/>
    <w:rsid w:val="00A12097"/>
    <w:rsid w:val="00A122BC"/>
    <w:rsid w:val="00A127F0"/>
    <w:rsid w:val="00A14A5F"/>
    <w:rsid w:val="00A151E6"/>
    <w:rsid w:val="00A15205"/>
    <w:rsid w:val="00A15747"/>
    <w:rsid w:val="00A15BB4"/>
    <w:rsid w:val="00A15C8B"/>
    <w:rsid w:val="00A16363"/>
    <w:rsid w:val="00A17F64"/>
    <w:rsid w:val="00A20A91"/>
    <w:rsid w:val="00A21ACA"/>
    <w:rsid w:val="00A21C08"/>
    <w:rsid w:val="00A21F0E"/>
    <w:rsid w:val="00A2283C"/>
    <w:rsid w:val="00A23BF4"/>
    <w:rsid w:val="00A23F0D"/>
    <w:rsid w:val="00A2593B"/>
    <w:rsid w:val="00A26334"/>
    <w:rsid w:val="00A26CF8"/>
    <w:rsid w:val="00A26F5F"/>
    <w:rsid w:val="00A27447"/>
    <w:rsid w:val="00A27BBF"/>
    <w:rsid w:val="00A3426A"/>
    <w:rsid w:val="00A34B8E"/>
    <w:rsid w:val="00A34E05"/>
    <w:rsid w:val="00A36DD0"/>
    <w:rsid w:val="00A3740E"/>
    <w:rsid w:val="00A4064D"/>
    <w:rsid w:val="00A416BB"/>
    <w:rsid w:val="00A4203A"/>
    <w:rsid w:val="00A4240B"/>
    <w:rsid w:val="00A427A0"/>
    <w:rsid w:val="00A434F2"/>
    <w:rsid w:val="00A43D8B"/>
    <w:rsid w:val="00A44E9D"/>
    <w:rsid w:val="00A454F1"/>
    <w:rsid w:val="00A455A5"/>
    <w:rsid w:val="00A4611A"/>
    <w:rsid w:val="00A46141"/>
    <w:rsid w:val="00A462B7"/>
    <w:rsid w:val="00A4677D"/>
    <w:rsid w:val="00A47D58"/>
    <w:rsid w:val="00A50481"/>
    <w:rsid w:val="00A509AB"/>
    <w:rsid w:val="00A509E6"/>
    <w:rsid w:val="00A50A75"/>
    <w:rsid w:val="00A50E81"/>
    <w:rsid w:val="00A50F3F"/>
    <w:rsid w:val="00A5199B"/>
    <w:rsid w:val="00A533EA"/>
    <w:rsid w:val="00A533F2"/>
    <w:rsid w:val="00A543CC"/>
    <w:rsid w:val="00A54893"/>
    <w:rsid w:val="00A55149"/>
    <w:rsid w:val="00A55204"/>
    <w:rsid w:val="00A568B0"/>
    <w:rsid w:val="00A56A24"/>
    <w:rsid w:val="00A56D85"/>
    <w:rsid w:val="00A5770C"/>
    <w:rsid w:val="00A60C9D"/>
    <w:rsid w:val="00A612C0"/>
    <w:rsid w:val="00A62E02"/>
    <w:rsid w:val="00A62EFA"/>
    <w:rsid w:val="00A6311A"/>
    <w:rsid w:val="00A63796"/>
    <w:rsid w:val="00A63A32"/>
    <w:rsid w:val="00A655D1"/>
    <w:rsid w:val="00A66752"/>
    <w:rsid w:val="00A67FA9"/>
    <w:rsid w:val="00A7309A"/>
    <w:rsid w:val="00A74164"/>
    <w:rsid w:val="00A74795"/>
    <w:rsid w:val="00A75B52"/>
    <w:rsid w:val="00A75D33"/>
    <w:rsid w:val="00A762AB"/>
    <w:rsid w:val="00A763F1"/>
    <w:rsid w:val="00A80E9F"/>
    <w:rsid w:val="00A80EA5"/>
    <w:rsid w:val="00A81B28"/>
    <w:rsid w:val="00A83655"/>
    <w:rsid w:val="00A839DB"/>
    <w:rsid w:val="00A860CF"/>
    <w:rsid w:val="00A8623E"/>
    <w:rsid w:val="00A864CA"/>
    <w:rsid w:val="00A91D80"/>
    <w:rsid w:val="00A93976"/>
    <w:rsid w:val="00A93CFF"/>
    <w:rsid w:val="00A93EC6"/>
    <w:rsid w:val="00A9557B"/>
    <w:rsid w:val="00A96ED1"/>
    <w:rsid w:val="00A97B0A"/>
    <w:rsid w:val="00AA2CA0"/>
    <w:rsid w:val="00AA5749"/>
    <w:rsid w:val="00AA62DD"/>
    <w:rsid w:val="00AA7B84"/>
    <w:rsid w:val="00AB0719"/>
    <w:rsid w:val="00AB0E54"/>
    <w:rsid w:val="00AB0F1A"/>
    <w:rsid w:val="00AB0F29"/>
    <w:rsid w:val="00AB3115"/>
    <w:rsid w:val="00AB391C"/>
    <w:rsid w:val="00AB45FB"/>
    <w:rsid w:val="00AB54C6"/>
    <w:rsid w:val="00AB64BD"/>
    <w:rsid w:val="00AB783A"/>
    <w:rsid w:val="00AB7DD2"/>
    <w:rsid w:val="00AC05B2"/>
    <w:rsid w:val="00AC06EE"/>
    <w:rsid w:val="00AC1BB4"/>
    <w:rsid w:val="00AC26BA"/>
    <w:rsid w:val="00AC2E5A"/>
    <w:rsid w:val="00AC3F39"/>
    <w:rsid w:val="00AC48A4"/>
    <w:rsid w:val="00AC6629"/>
    <w:rsid w:val="00AC67EE"/>
    <w:rsid w:val="00AC680A"/>
    <w:rsid w:val="00AC749C"/>
    <w:rsid w:val="00AC7986"/>
    <w:rsid w:val="00AD1037"/>
    <w:rsid w:val="00AD1B23"/>
    <w:rsid w:val="00AD1E95"/>
    <w:rsid w:val="00AD1F36"/>
    <w:rsid w:val="00AD2A66"/>
    <w:rsid w:val="00AD36F9"/>
    <w:rsid w:val="00AD3E32"/>
    <w:rsid w:val="00AD4269"/>
    <w:rsid w:val="00AD6CAC"/>
    <w:rsid w:val="00AD6D69"/>
    <w:rsid w:val="00AD7A6D"/>
    <w:rsid w:val="00AD7DDB"/>
    <w:rsid w:val="00AE0D3C"/>
    <w:rsid w:val="00AE22EE"/>
    <w:rsid w:val="00AE369A"/>
    <w:rsid w:val="00AE66C9"/>
    <w:rsid w:val="00AE6788"/>
    <w:rsid w:val="00AE7557"/>
    <w:rsid w:val="00AF0C7C"/>
    <w:rsid w:val="00AF1A64"/>
    <w:rsid w:val="00AF2594"/>
    <w:rsid w:val="00AF3A27"/>
    <w:rsid w:val="00AF4F05"/>
    <w:rsid w:val="00AF57F0"/>
    <w:rsid w:val="00AF69FA"/>
    <w:rsid w:val="00AF6E8B"/>
    <w:rsid w:val="00AF71C0"/>
    <w:rsid w:val="00AF7526"/>
    <w:rsid w:val="00AF7ECD"/>
    <w:rsid w:val="00AF7FB1"/>
    <w:rsid w:val="00B00CFE"/>
    <w:rsid w:val="00B00E53"/>
    <w:rsid w:val="00B01759"/>
    <w:rsid w:val="00B01D86"/>
    <w:rsid w:val="00B020F8"/>
    <w:rsid w:val="00B04035"/>
    <w:rsid w:val="00B04337"/>
    <w:rsid w:val="00B04E02"/>
    <w:rsid w:val="00B06711"/>
    <w:rsid w:val="00B078E6"/>
    <w:rsid w:val="00B07E4E"/>
    <w:rsid w:val="00B11FD1"/>
    <w:rsid w:val="00B12065"/>
    <w:rsid w:val="00B1234E"/>
    <w:rsid w:val="00B137E9"/>
    <w:rsid w:val="00B15717"/>
    <w:rsid w:val="00B1582F"/>
    <w:rsid w:val="00B16471"/>
    <w:rsid w:val="00B16E11"/>
    <w:rsid w:val="00B2015D"/>
    <w:rsid w:val="00B208BA"/>
    <w:rsid w:val="00B214D8"/>
    <w:rsid w:val="00B21D55"/>
    <w:rsid w:val="00B22793"/>
    <w:rsid w:val="00B23D91"/>
    <w:rsid w:val="00B24074"/>
    <w:rsid w:val="00B25398"/>
    <w:rsid w:val="00B2581E"/>
    <w:rsid w:val="00B260DF"/>
    <w:rsid w:val="00B266EB"/>
    <w:rsid w:val="00B30EA2"/>
    <w:rsid w:val="00B32412"/>
    <w:rsid w:val="00B32CD7"/>
    <w:rsid w:val="00B33C68"/>
    <w:rsid w:val="00B3437F"/>
    <w:rsid w:val="00B36915"/>
    <w:rsid w:val="00B36ED3"/>
    <w:rsid w:val="00B37305"/>
    <w:rsid w:val="00B40056"/>
    <w:rsid w:val="00B40381"/>
    <w:rsid w:val="00B41AB7"/>
    <w:rsid w:val="00B42372"/>
    <w:rsid w:val="00B42A8F"/>
    <w:rsid w:val="00B42CA7"/>
    <w:rsid w:val="00B46227"/>
    <w:rsid w:val="00B4657E"/>
    <w:rsid w:val="00B477EE"/>
    <w:rsid w:val="00B50F1F"/>
    <w:rsid w:val="00B513C9"/>
    <w:rsid w:val="00B5181C"/>
    <w:rsid w:val="00B523A5"/>
    <w:rsid w:val="00B52B93"/>
    <w:rsid w:val="00B54B1C"/>
    <w:rsid w:val="00B55C93"/>
    <w:rsid w:val="00B56CB9"/>
    <w:rsid w:val="00B56EF4"/>
    <w:rsid w:val="00B5773A"/>
    <w:rsid w:val="00B57836"/>
    <w:rsid w:val="00B579BC"/>
    <w:rsid w:val="00B60040"/>
    <w:rsid w:val="00B6024A"/>
    <w:rsid w:val="00B60536"/>
    <w:rsid w:val="00B61F05"/>
    <w:rsid w:val="00B61FBA"/>
    <w:rsid w:val="00B638AC"/>
    <w:rsid w:val="00B64290"/>
    <w:rsid w:val="00B64518"/>
    <w:rsid w:val="00B649EB"/>
    <w:rsid w:val="00B651DB"/>
    <w:rsid w:val="00B66210"/>
    <w:rsid w:val="00B671C2"/>
    <w:rsid w:val="00B67C36"/>
    <w:rsid w:val="00B70485"/>
    <w:rsid w:val="00B71268"/>
    <w:rsid w:val="00B71C38"/>
    <w:rsid w:val="00B7357B"/>
    <w:rsid w:val="00B739E0"/>
    <w:rsid w:val="00B74252"/>
    <w:rsid w:val="00B751BF"/>
    <w:rsid w:val="00B75D03"/>
    <w:rsid w:val="00B77230"/>
    <w:rsid w:val="00B818DE"/>
    <w:rsid w:val="00B81D70"/>
    <w:rsid w:val="00B82A11"/>
    <w:rsid w:val="00B82A13"/>
    <w:rsid w:val="00B83208"/>
    <w:rsid w:val="00B919DD"/>
    <w:rsid w:val="00B92DE5"/>
    <w:rsid w:val="00B9542E"/>
    <w:rsid w:val="00B9595F"/>
    <w:rsid w:val="00BA1D3F"/>
    <w:rsid w:val="00BA1EC4"/>
    <w:rsid w:val="00BA3269"/>
    <w:rsid w:val="00BA32C1"/>
    <w:rsid w:val="00BA36CB"/>
    <w:rsid w:val="00BA47DB"/>
    <w:rsid w:val="00BA52CC"/>
    <w:rsid w:val="00BA5794"/>
    <w:rsid w:val="00BA5FC7"/>
    <w:rsid w:val="00BA66D9"/>
    <w:rsid w:val="00BA71FA"/>
    <w:rsid w:val="00BA7E1E"/>
    <w:rsid w:val="00BB048E"/>
    <w:rsid w:val="00BB0D87"/>
    <w:rsid w:val="00BB12DB"/>
    <w:rsid w:val="00BB2BBC"/>
    <w:rsid w:val="00BB35A4"/>
    <w:rsid w:val="00BB605D"/>
    <w:rsid w:val="00BC0A96"/>
    <w:rsid w:val="00BC18D0"/>
    <w:rsid w:val="00BC2094"/>
    <w:rsid w:val="00BC22F3"/>
    <w:rsid w:val="00BD33DF"/>
    <w:rsid w:val="00BD3CF0"/>
    <w:rsid w:val="00BD43DF"/>
    <w:rsid w:val="00BD4A56"/>
    <w:rsid w:val="00BD4B41"/>
    <w:rsid w:val="00BD519D"/>
    <w:rsid w:val="00BD6BCC"/>
    <w:rsid w:val="00BD6CED"/>
    <w:rsid w:val="00BD78C2"/>
    <w:rsid w:val="00BE0AAC"/>
    <w:rsid w:val="00BE1366"/>
    <w:rsid w:val="00BE1387"/>
    <w:rsid w:val="00BE2C3B"/>
    <w:rsid w:val="00BE2EAD"/>
    <w:rsid w:val="00BE47B5"/>
    <w:rsid w:val="00BE5524"/>
    <w:rsid w:val="00BE5544"/>
    <w:rsid w:val="00BE72C7"/>
    <w:rsid w:val="00BE74B4"/>
    <w:rsid w:val="00BE770C"/>
    <w:rsid w:val="00BF162E"/>
    <w:rsid w:val="00BF3956"/>
    <w:rsid w:val="00BF5CE7"/>
    <w:rsid w:val="00C0008B"/>
    <w:rsid w:val="00C00343"/>
    <w:rsid w:val="00C00723"/>
    <w:rsid w:val="00C016B2"/>
    <w:rsid w:val="00C01DC5"/>
    <w:rsid w:val="00C02AF8"/>
    <w:rsid w:val="00C04B2F"/>
    <w:rsid w:val="00C04F78"/>
    <w:rsid w:val="00C052A3"/>
    <w:rsid w:val="00C06559"/>
    <w:rsid w:val="00C06EDB"/>
    <w:rsid w:val="00C10306"/>
    <w:rsid w:val="00C104DC"/>
    <w:rsid w:val="00C11195"/>
    <w:rsid w:val="00C125F7"/>
    <w:rsid w:val="00C14BCC"/>
    <w:rsid w:val="00C16731"/>
    <w:rsid w:val="00C1755D"/>
    <w:rsid w:val="00C176BA"/>
    <w:rsid w:val="00C17C80"/>
    <w:rsid w:val="00C17E01"/>
    <w:rsid w:val="00C17F24"/>
    <w:rsid w:val="00C201A6"/>
    <w:rsid w:val="00C20C90"/>
    <w:rsid w:val="00C217D6"/>
    <w:rsid w:val="00C21BB1"/>
    <w:rsid w:val="00C21C00"/>
    <w:rsid w:val="00C239B2"/>
    <w:rsid w:val="00C23C91"/>
    <w:rsid w:val="00C23CBE"/>
    <w:rsid w:val="00C245D8"/>
    <w:rsid w:val="00C254A5"/>
    <w:rsid w:val="00C26285"/>
    <w:rsid w:val="00C27123"/>
    <w:rsid w:val="00C27EBC"/>
    <w:rsid w:val="00C31459"/>
    <w:rsid w:val="00C31AC4"/>
    <w:rsid w:val="00C33303"/>
    <w:rsid w:val="00C3343F"/>
    <w:rsid w:val="00C3456D"/>
    <w:rsid w:val="00C34961"/>
    <w:rsid w:val="00C350E8"/>
    <w:rsid w:val="00C3545E"/>
    <w:rsid w:val="00C3576B"/>
    <w:rsid w:val="00C36E06"/>
    <w:rsid w:val="00C36E2E"/>
    <w:rsid w:val="00C37BC1"/>
    <w:rsid w:val="00C37E77"/>
    <w:rsid w:val="00C409BE"/>
    <w:rsid w:val="00C409C5"/>
    <w:rsid w:val="00C41895"/>
    <w:rsid w:val="00C419C6"/>
    <w:rsid w:val="00C41B91"/>
    <w:rsid w:val="00C423CA"/>
    <w:rsid w:val="00C429B5"/>
    <w:rsid w:val="00C431B5"/>
    <w:rsid w:val="00C4387B"/>
    <w:rsid w:val="00C43AA4"/>
    <w:rsid w:val="00C45813"/>
    <w:rsid w:val="00C46130"/>
    <w:rsid w:val="00C505D7"/>
    <w:rsid w:val="00C51838"/>
    <w:rsid w:val="00C52019"/>
    <w:rsid w:val="00C60394"/>
    <w:rsid w:val="00C60BA8"/>
    <w:rsid w:val="00C61260"/>
    <w:rsid w:val="00C61AFA"/>
    <w:rsid w:val="00C62D05"/>
    <w:rsid w:val="00C63046"/>
    <w:rsid w:val="00C6429F"/>
    <w:rsid w:val="00C64C27"/>
    <w:rsid w:val="00C652ED"/>
    <w:rsid w:val="00C666E7"/>
    <w:rsid w:val="00C668C0"/>
    <w:rsid w:val="00C6729D"/>
    <w:rsid w:val="00C67E3E"/>
    <w:rsid w:val="00C70D5C"/>
    <w:rsid w:val="00C70E6E"/>
    <w:rsid w:val="00C70F84"/>
    <w:rsid w:val="00C738A8"/>
    <w:rsid w:val="00C739EF"/>
    <w:rsid w:val="00C7606E"/>
    <w:rsid w:val="00C775F7"/>
    <w:rsid w:val="00C776F6"/>
    <w:rsid w:val="00C7793C"/>
    <w:rsid w:val="00C80C04"/>
    <w:rsid w:val="00C820A5"/>
    <w:rsid w:val="00C82262"/>
    <w:rsid w:val="00C83535"/>
    <w:rsid w:val="00C83689"/>
    <w:rsid w:val="00C84638"/>
    <w:rsid w:val="00C84848"/>
    <w:rsid w:val="00C850CC"/>
    <w:rsid w:val="00C85291"/>
    <w:rsid w:val="00C853AB"/>
    <w:rsid w:val="00C853C6"/>
    <w:rsid w:val="00C8650A"/>
    <w:rsid w:val="00C902A9"/>
    <w:rsid w:val="00C91C44"/>
    <w:rsid w:val="00C9224F"/>
    <w:rsid w:val="00C930CE"/>
    <w:rsid w:val="00C939A8"/>
    <w:rsid w:val="00C93B9A"/>
    <w:rsid w:val="00C9690A"/>
    <w:rsid w:val="00C96A96"/>
    <w:rsid w:val="00C96AC7"/>
    <w:rsid w:val="00C97145"/>
    <w:rsid w:val="00CA14B6"/>
    <w:rsid w:val="00CA284E"/>
    <w:rsid w:val="00CA2CD4"/>
    <w:rsid w:val="00CA3253"/>
    <w:rsid w:val="00CA3A4D"/>
    <w:rsid w:val="00CA4143"/>
    <w:rsid w:val="00CA4718"/>
    <w:rsid w:val="00CA4948"/>
    <w:rsid w:val="00CA67D3"/>
    <w:rsid w:val="00CA6BA5"/>
    <w:rsid w:val="00CA6C98"/>
    <w:rsid w:val="00CB03C1"/>
    <w:rsid w:val="00CB1733"/>
    <w:rsid w:val="00CB182F"/>
    <w:rsid w:val="00CB20C0"/>
    <w:rsid w:val="00CB272F"/>
    <w:rsid w:val="00CB2A8C"/>
    <w:rsid w:val="00CB37AD"/>
    <w:rsid w:val="00CB3ACC"/>
    <w:rsid w:val="00CB4AAB"/>
    <w:rsid w:val="00CB4CAA"/>
    <w:rsid w:val="00CB59B1"/>
    <w:rsid w:val="00CB5A64"/>
    <w:rsid w:val="00CB6A19"/>
    <w:rsid w:val="00CB6A66"/>
    <w:rsid w:val="00CB7848"/>
    <w:rsid w:val="00CB7C01"/>
    <w:rsid w:val="00CC4886"/>
    <w:rsid w:val="00CC488F"/>
    <w:rsid w:val="00CC580F"/>
    <w:rsid w:val="00CC5823"/>
    <w:rsid w:val="00CC5A6A"/>
    <w:rsid w:val="00CC634A"/>
    <w:rsid w:val="00CC6D3C"/>
    <w:rsid w:val="00CC78DB"/>
    <w:rsid w:val="00CD0537"/>
    <w:rsid w:val="00CD0F6C"/>
    <w:rsid w:val="00CD10D8"/>
    <w:rsid w:val="00CD1E9F"/>
    <w:rsid w:val="00CD2B1D"/>
    <w:rsid w:val="00CD3C70"/>
    <w:rsid w:val="00CD3CA6"/>
    <w:rsid w:val="00CD44C9"/>
    <w:rsid w:val="00CD55AC"/>
    <w:rsid w:val="00CD5AD9"/>
    <w:rsid w:val="00CD6EA3"/>
    <w:rsid w:val="00CD7B86"/>
    <w:rsid w:val="00CD7BC6"/>
    <w:rsid w:val="00CE00A8"/>
    <w:rsid w:val="00CE1C44"/>
    <w:rsid w:val="00CE236F"/>
    <w:rsid w:val="00CE266D"/>
    <w:rsid w:val="00CE3266"/>
    <w:rsid w:val="00CE59BD"/>
    <w:rsid w:val="00CE6750"/>
    <w:rsid w:val="00CE6DA1"/>
    <w:rsid w:val="00CE7E9E"/>
    <w:rsid w:val="00CF19F2"/>
    <w:rsid w:val="00CF238F"/>
    <w:rsid w:val="00CF2794"/>
    <w:rsid w:val="00CF3988"/>
    <w:rsid w:val="00CF5213"/>
    <w:rsid w:val="00CF5910"/>
    <w:rsid w:val="00CF5EAE"/>
    <w:rsid w:val="00CF63D5"/>
    <w:rsid w:val="00CF7007"/>
    <w:rsid w:val="00D00988"/>
    <w:rsid w:val="00D00C0C"/>
    <w:rsid w:val="00D010FD"/>
    <w:rsid w:val="00D01589"/>
    <w:rsid w:val="00D016A6"/>
    <w:rsid w:val="00D02812"/>
    <w:rsid w:val="00D02956"/>
    <w:rsid w:val="00D02EB3"/>
    <w:rsid w:val="00D03B88"/>
    <w:rsid w:val="00D03B8C"/>
    <w:rsid w:val="00D047C0"/>
    <w:rsid w:val="00D0530A"/>
    <w:rsid w:val="00D05F70"/>
    <w:rsid w:val="00D060BA"/>
    <w:rsid w:val="00D070B3"/>
    <w:rsid w:val="00D07714"/>
    <w:rsid w:val="00D11034"/>
    <w:rsid w:val="00D128BB"/>
    <w:rsid w:val="00D13C8A"/>
    <w:rsid w:val="00D13D49"/>
    <w:rsid w:val="00D159A1"/>
    <w:rsid w:val="00D16DEE"/>
    <w:rsid w:val="00D20056"/>
    <w:rsid w:val="00D20A76"/>
    <w:rsid w:val="00D21141"/>
    <w:rsid w:val="00D2140E"/>
    <w:rsid w:val="00D214B1"/>
    <w:rsid w:val="00D21E80"/>
    <w:rsid w:val="00D2405D"/>
    <w:rsid w:val="00D24427"/>
    <w:rsid w:val="00D249BF"/>
    <w:rsid w:val="00D258A9"/>
    <w:rsid w:val="00D26F7F"/>
    <w:rsid w:val="00D2706B"/>
    <w:rsid w:val="00D270BB"/>
    <w:rsid w:val="00D3069C"/>
    <w:rsid w:val="00D307D2"/>
    <w:rsid w:val="00D31A85"/>
    <w:rsid w:val="00D32350"/>
    <w:rsid w:val="00D332EF"/>
    <w:rsid w:val="00D3479C"/>
    <w:rsid w:val="00D35549"/>
    <w:rsid w:val="00D3600A"/>
    <w:rsid w:val="00D36480"/>
    <w:rsid w:val="00D3718C"/>
    <w:rsid w:val="00D401F0"/>
    <w:rsid w:val="00D41AC4"/>
    <w:rsid w:val="00D43380"/>
    <w:rsid w:val="00D4560A"/>
    <w:rsid w:val="00D45792"/>
    <w:rsid w:val="00D45D34"/>
    <w:rsid w:val="00D46121"/>
    <w:rsid w:val="00D46E5C"/>
    <w:rsid w:val="00D47800"/>
    <w:rsid w:val="00D506F7"/>
    <w:rsid w:val="00D50DF7"/>
    <w:rsid w:val="00D51672"/>
    <w:rsid w:val="00D53E02"/>
    <w:rsid w:val="00D54035"/>
    <w:rsid w:val="00D56E25"/>
    <w:rsid w:val="00D570D0"/>
    <w:rsid w:val="00D6291A"/>
    <w:rsid w:val="00D62929"/>
    <w:rsid w:val="00D6361C"/>
    <w:rsid w:val="00D6404D"/>
    <w:rsid w:val="00D64C04"/>
    <w:rsid w:val="00D6502D"/>
    <w:rsid w:val="00D65A3A"/>
    <w:rsid w:val="00D65AD7"/>
    <w:rsid w:val="00D66B3F"/>
    <w:rsid w:val="00D711F1"/>
    <w:rsid w:val="00D7160F"/>
    <w:rsid w:val="00D725A1"/>
    <w:rsid w:val="00D727E4"/>
    <w:rsid w:val="00D72A09"/>
    <w:rsid w:val="00D72EF0"/>
    <w:rsid w:val="00D73B49"/>
    <w:rsid w:val="00D75838"/>
    <w:rsid w:val="00D76456"/>
    <w:rsid w:val="00D765BB"/>
    <w:rsid w:val="00D768C2"/>
    <w:rsid w:val="00D775A5"/>
    <w:rsid w:val="00D813CF"/>
    <w:rsid w:val="00D81C2C"/>
    <w:rsid w:val="00D8210B"/>
    <w:rsid w:val="00D83471"/>
    <w:rsid w:val="00D84C5B"/>
    <w:rsid w:val="00D857A6"/>
    <w:rsid w:val="00D86761"/>
    <w:rsid w:val="00D86AFA"/>
    <w:rsid w:val="00D87D91"/>
    <w:rsid w:val="00D90CAF"/>
    <w:rsid w:val="00D914E5"/>
    <w:rsid w:val="00D92C54"/>
    <w:rsid w:val="00D934A9"/>
    <w:rsid w:val="00D9367A"/>
    <w:rsid w:val="00D936DD"/>
    <w:rsid w:val="00D94D90"/>
    <w:rsid w:val="00D96771"/>
    <w:rsid w:val="00D9690F"/>
    <w:rsid w:val="00D97694"/>
    <w:rsid w:val="00D97D38"/>
    <w:rsid w:val="00DA0093"/>
    <w:rsid w:val="00DA1348"/>
    <w:rsid w:val="00DA18CD"/>
    <w:rsid w:val="00DA1A74"/>
    <w:rsid w:val="00DA1EF8"/>
    <w:rsid w:val="00DA272F"/>
    <w:rsid w:val="00DA3631"/>
    <w:rsid w:val="00DA565F"/>
    <w:rsid w:val="00DA5CA0"/>
    <w:rsid w:val="00DA5DB2"/>
    <w:rsid w:val="00DA69D4"/>
    <w:rsid w:val="00DA7DDD"/>
    <w:rsid w:val="00DB081C"/>
    <w:rsid w:val="00DB2119"/>
    <w:rsid w:val="00DB213F"/>
    <w:rsid w:val="00DB2440"/>
    <w:rsid w:val="00DB3C87"/>
    <w:rsid w:val="00DB47E3"/>
    <w:rsid w:val="00DB5680"/>
    <w:rsid w:val="00DB6FEC"/>
    <w:rsid w:val="00DC05BC"/>
    <w:rsid w:val="00DC06D5"/>
    <w:rsid w:val="00DC0D72"/>
    <w:rsid w:val="00DC15E9"/>
    <w:rsid w:val="00DC17F0"/>
    <w:rsid w:val="00DC305B"/>
    <w:rsid w:val="00DC37A8"/>
    <w:rsid w:val="00DC43B4"/>
    <w:rsid w:val="00DC4601"/>
    <w:rsid w:val="00DC518C"/>
    <w:rsid w:val="00DC562D"/>
    <w:rsid w:val="00DC6305"/>
    <w:rsid w:val="00DC79FD"/>
    <w:rsid w:val="00DD1E8A"/>
    <w:rsid w:val="00DD227E"/>
    <w:rsid w:val="00DD22EE"/>
    <w:rsid w:val="00DD2F87"/>
    <w:rsid w:val="00DD3A24"/>
    <w:rsid w:val="00DD4D04"/>
    <w:rsid w:val="00DD50F8"/>
    <w:rsid w:val="00DD72C2"/>
    <w:rsid w:val="00DD7798"/>
    <w:rsid w:val="00DE13F4"/>
    <w:rsid w:val="00DE2021"/>
    <w:rsid w:val="00DE2557"/>
    <w:rsid w:val="00DE3725"/>
    <w:rsid w:val="00DE3D27"/>
    <w:rsid w:val="00DE448F"/>
    <w:rsid w:val="00DE528E"/>
    <w:rsid w:val="00DE6083"/>
    <w:rsid w:val="00DF0EB0"/>
    <w:rsid w:val="00DF111F"/>
    <w:rsid w:val="00DF1129"/>
    <w:rsid w:val="00DF1397"/>
    <w:rsid w:val="00DF2A56"/>
    <w:rsid w:val="00DF2C66"/>
    <w:rsid w:val="00DF3516"/>
    <w:rsid w:val="00DF395A"/>
    <w:rsid w:val="00DF3F1E"/>
    <w:rsid w:val="00DF456D"/>
    <w:rsid w:val="00DF5541"/>
    <w:rsid w:val="00DF5C2B"/>
    <w:rsid w:val="00DF7911"/>
    <w:rsid w:val="00DF7AD6"/>
    <w:rsid w:val="00DF7EC2"/>
    <w:rsid w:val="00E00018"/>
    <w:rsid w:val="00E016E6"/>
    <w:rsid w:val="00E02161"/>
    <w:rsid w:val="00E02D16"/>
    <w:rsid w:val="00E03C07"/>
    <w:rsid w:val="00E047BD"/>
    <w:rsid w:val="00E07CC9"/>
    <w:rsid w:val="00E11517"/>
    <w:rsid w:val="00E1270E"/>
    <w:rsid w:val="00E13698"/>
    <w:rsid w:val="00E13847"/>
    <w:rsid w:val="00E1577E"/>
    <w:rsid w:val="00E158E6"/>
    <w:rsid w:val="00E17249"/>
    <w:rsid w:val="00E17D36"/>
    <w:rsid w:val="00E17DF7"/>
    <w:rsid w:val="00E20392"/>
    <w:rsid w:val="00E20491"/>
    <w:rsid w:val="00E20E3C"/>
    <w:rsid w:val="00E22984"/>
    <w:rsid w:val="00E23419"/>
    <w:rsid w:val="00E244A1"/>
    <w:rsid w:val="00E25A8A"/>
    <w:rsid w:val="00E25FA1"/>
    <w:rsid w:val="00E27CBF"/>
    <w:rsid w:val="00E316E4"/>
    <w:rsid w:val="00E31D60"/>
    <w:rsid w:val="00E31DEC"/>
    <w:rsid w:val="00E32709"/>
    <w:rsid w:val="00E34A39"/>
    <w:rsid w:val="00E36121"/>
    <w:rsid w:val="00E36290"/>
    <w:rsid w:val="00E3672C"/>
    <w:rsid w:val="00E372B2"/>
    <w:rsid w:val="00E3782C"/>
    <w:rsid w:val="00E40155"/>
    <w:rsid w:val="00E40E14"/>
    <w:rsid w:val="00E4126D"/>
    <w:rsid w:val="00E41CA3"/>
    <w:rsid w:val="00E42695"/>
    <w:rsid w:val="00E42A64"/>
    <w:rsid w:val="00E43681"/>
    <w:rsid w:val="00E44CEE"/>
    <w:rsid w:val="00E44E8D"/>
    <w:rsid w:val="00E45915"/>
    <w:rsid w:val="00E45D0C"/>
    <w:rsid w:val="00E4624F"/>
    <w:rsid w:val="00E464E6"/>
    <w:rsid w:val="00E47507"/>
    <w:rsid w:val="00E47D2F"/>
    <w:rsid w:val="00E5003C"/>
    <w:rsid w:val="00E520C0"/>
    <w:rsid w:val="00E529AD"/>
    <w:rsid w:val="00E53B28"/>
    <w:rsid w:val="00E53E35"/>
    <w:rsid w:val="00E54021"/>
    <w:rsid w:val="00E55151"/>
    <w:rsid w:val="00E552AF"/>
    <w:rsid w:val="00E55F50"/>
    <w:rsid w:val="00E5671D"/>
    <w:rsid w:val="00E56750"/>
    <w:rsid w:val="00E57606"/>
    <w:rsid w:val="00E5761A"/>
    <w:rsid w:val="00E5769F"/>
    <w:rsid w:val="00E6008C"/>
    <w:rsid w:val="00E60A9F"/>
    <w:rsid w:val="00E6177A"/>
    <w:rsid w:val="00E61CB3"/>
    <w:rsid w:val="00E63764"/>
    <w:rsid w:val="00E642F9"/>
    <w:rsid w:val="00E65732"/>
    <w:rsid w:val="00E65EFC"/>
    <w:rsid w:val="00E667A8"/>
    <w:rsid w:val="00E678E1"/>
    <w:rsid w:val="00E70ABE"/>
    <w:rsid w:val="00E72678"/>
    <w:rsid w:val="00E726A9"/>
    <w:rsid w:val="00E74AE9"/>
    <w:rsid w:val="00E74CB4"/>
    <w:rsid w:val="00E754E2"/>
    <w:rsid w:val="00E80189"/>
    <w:rsid w:val="00E81DB2"/>
    <w:rsid w:val="00E81E61"/>
    <w:rsid w:val="00E81EB4"/>
    <w:rsid w:val="00E820D6"/>
    <w:rsid w:val="00E821C8"/>
    <w:rsid w:val="00E82E6B"/>
    <w:rsid w:val="00E835E3"/>
    <w:rsid w:val="00E837EF"/>
    <w:rsid w:val="00E84124"/>
    <w:rsid w:val="00E84439"/>
    <w:rsid w:val="00E848B4"/>
    <w:rsid w:val="00E85830"/>
    <w:rsid w:val="00E859DF"/>
    <w:rsid w:val="00E85AC9"/>
    <w:rsid w:val="00E867F2"/>
    <w:rsid w:val="00E87102"/>
    <w:rsid w:val="00E902F6"/>
    <w:rsid w:val="00E90457"/>
    <w:rsid w:val="00E910B5"/>
    <w:rsid w:val="00E91417"/>
    <w:rsid w:val="00E924BE"/>
    <w:rsid w:val="00E92FA6"/>
    <w:rsid w:val="00E94329"/>
    <w:rsid w:val="00E952DC"/>
    <w:rsid w:val="00E95D70"/>
    <w:rsid w:val="00E96313"/>
    <w:rsid w:val="00E968EF"/>
    <w:rsid w:val="00E96BD6"/>
    <w:rsid w:val="00E96D4B"/>
    <w:rsid w:val="00E97493"/>
    <w:rsid w:val="00EA005A"/>
    <w:rsid w:val="00EA153C"/>
    <w:rsid w:val="00EA17CA"/>
    <w:rsid w:val="00EA2B62"/>
    <w:rsid w:val="00EA2E6C"/>
    <w:rsid w:val="00EA3EBF"/>
    <w:rsid w:val="00EA4B8D"/>
    <w:rsid w:val="00EA5423"/>
    <w:rsid w:val="00EA5915"/>
    <w:rsid w:val="00EA5F27"/>
    <w:rsid w:val="00EA6000"/>
    <w:rsid w:val="00EA771C"/>
    <w:rsid w:val="00EA77B3"/>
    <w:rsid w:val="00EA7FF2"/>
    <w:rsid w:val="00EB1377"/>
    <w:rsid w:val="00EB143E"/>
    <w:rsid w:val="00EB2549"/>
    <w:rsid w:val="00EB4B65"/>
    <w:rsid w:val="00EB682A"/>
    <w:rsid w:val="00EB7854"/>
    <w:rsid w:val="00EC0FCD"/>
    <w:rsid w:val="00EC1E33"/>
    <w:rsid w:val="00EC22C5"/>
    <w:rsid w:val="00EC5239"/>
    <w:rsid w:val="00EC582A"/>
    <w:rsid w:val="00EC6216"/>
    <w:rsid w:val="00EC6D30"/>
    <w:rsid w:val="00EC6E95"/>
    <w:rsid w:val="00EC7720"/>
    <w:rsid w:val="00EC7A82"/>
    <w:rsid w:val="00ED0289"/>
    <w:rsid w:val="00ED0800"/>
    <w:rsid w:val="00ED082D"/>
    <w:rsid w:val="00ED0F13"/>
    <w:rsid w:val="00ED0F2E"/>
    <w:rsid w:val="00ED11B4"/>
    <w:rsid w:val="00ED1677"/>
    <w:rsid w:val="00ED21C0"/>
    <w:rsid w:val="00ED27AB"/>
    <w:rsid w:val="00ED2819"/>
    <w:rsid w:val="00ED2E7C"/>
    <w:rsid w:val="00ED3421"/>
    <w:rsid w:val="00ED3C7C"/>
    <w:rsid w:val="00ED3EC2"/>
    <w:rsid w:val="00ED40F8"/>
    <w:rsid w:val="00ED41ED"/>
    <w:rsid w:val="00ED552A"/>
    <w:rsid w:val="00ED6E21"/>
    <w:rsid w:val="00ED7537"/>
    <w:rsid w:val="00ED7EEF"/>
    <w:rsid w:val="00EE06A7"/>
    <w:rsid w:val="00EE0ED4"/>
    <w:rsid w:val="00EE168D"/>
    <w:rsid w:val="00EE3A2D"/>
    <w:rsid w:val="00EE3CED"/>
    <w:rsid w:val="00EE521C"/>
    <w:rsid w:val="00EE6670"/>
    <w:rsid w:val="00EF04EE"/>
    <w:rsid w:val="00EF0DB0"/>
    <w:rsid w:val="00EF13A0"/>
    <w:rsid w:val="00EF2F99"/>
    <w:rsid w:val="00EF378D"/>
    <w:rsid w:val="00EF49D8"/>
    <w:rsid w:val="00EF54A7"/>
    <w:rsid w:val="00EF5E2A"/>
    <w:rsid w:val="00EF6908"/>
    <w:rsid w:val="00EF6A4F"/>
    <w:rsid w:val="00EF6E0A"/>
    <w:rsid w:val="00EF71D4"/>
    <w:rsid w:val="00EF7B23"/>
    <w:rsid w:val="00F00187"/>
    <w:rsid w:val="00F012BF"/>
    <w:rsid w:val="00F020D3"/>
    <w:rsid w:val="00F02624"/>
    <w:rsid w:val="00F02836"/>
    <w:rsid w:val="00F0315D"/>
    <w:rsid w:val="00F03E23"/>
    <w:rsid w:val="00F04025"/>
    <w:rsid w:val="00F04B5C"/>
    <w:rsid w:val="00F05F72"/>
    <w:rsid w:val="00F07022"/>
    <w:rsid w:val="00F07455"/>
    <w:rsid w:val="00F074D4"/>
    <w:rsid w:val="00F07FB5"/>
    <w:rsid w:val="00F11181"/>
    <w:rsid w:val="00F1119E"/>
    <w:rsid w:val="00F122C6"/>
    <w:rsid w:val="00F12361"/>
    <w:rsid w:val="00F13F2B"/>
    <w:rsid w:val="00F16DB7"/>
    <w:rsid w:val="00F203E2"/>
    <w:rsid w:val="00F20B65"/>
    <w:rsid w:val="00F20F2E"/>
    <w:rsid w:val="00F2160A"/>
    <w:rsid w:val="00F221EE"/>
    <w:rsid w:val="00F24442"/>
    <w:rsid w:val="00F24C8A"/>
    <w:rsid w:val="00F264EE"/>
    <w:rsid w:val="00F3017E"/>
    <w:rsid w:val="00F302C6"/>
    <w:rsid w:val="00F32BFB"/>
    <w:rsid w:val="00F339AD"/>
    <w:rsid w:val="00F33E30"/>
    <w:rsid w:val="00F34419"/>
    <w:rsid w:val="00F34BEA"/>
    <w:rsid w:val="00F34DA7"/>
    <w:rsid w:val="00F3573D"/>
    <w:rsid w:val="00F35A34"/>
    <w:rsid w:val="00F369DA"/>
    <w:rsid w:val="00F40882"/>
    <w:rsid w:val="00F419E7"/>
    <w:rsid w:val="00F42857"/>
    <w:rsid w:val="00F42931"/>
    <w:rsid w:val="00F4314F"/>
    <w:rsid w:val="00F43221"/>
    <w:rsid w:val="00F43559"/>
    <w:rsid w:val="00F43AC9"/>
    <w:rsid w:val="00F446FE"/>
    <w:rsid w:val="00F44A22"/>
    <w:rsid w:val="00F473C2"/>
    <w:rsid w:val="00F50C9E"/>
    <w:rsid w:val="00F5152F"/>
    <w:rsid w:val="00F51D1E"/>
    <w:rsid w:val="00F52451"/>
    <w:rsid w:val="00F525C0"/>
    <w:rsid w:val="00F52CE0"/>
    <w:rsid w:val="00F541C5"/>
    <w:rsid w:val="00F543F9"/>
    <w:rsid w:val="00F54596"/>
    <w:rsid w:val="00F54F4C"/>
    <w:rsid w:val="00F54FBB"/>
    <w:rsid w:val="00F5511E"/>
    <w:rsid w:val="00F55C31"/>
    <w:rsid w:val="00F574C8"/>
    <w:rsid w:val="00F5789B"/>
    <w:rsid w:val="00F6292D"/>
    <w:rsid w:val="00F63D93"/>
    <w:rsid w:val="00F64B81"/>
    <w:rsid w:val="00F64E88"/>
    <w:rsid w:val="00F65541"/>
    <w:rsid w:val="00F66132"/>
    <w:rsid w:val="00F67A5B"/>
    <w:rsid w:val="00F701E6"/>
    <w:rsid w:val="00F70DF0"/>
    <w:rsid w:val="00F71E16"/>
    <w:rsid w:val="00F71FB1"/>
    <w:rsid w:val="00F72793"/>
    <w:rsid w:val="00F72DE7"/>
    <w:rsid w:val="00F739A7"/>
    <w:rsid w:val="00F73F6E"/>
    <w:rsid w:val="00F74AF3"/>
    <w:rsid w:val="00F750A1"/>
    <w:rsid w:val="00F75128"/>
    <w:rsid w:val="00F75AAB"/>
    <w:rsid w:val="00F75C76"/>
    <w:rsid w:val="00F76AD4"/>
    <w:rsid w:val="00F80388"/>
    <w:rsid w:val="00F8098D"/>
    <w:rsid w:val="00F80C4D"/>
    <w:rsid w:val="00F81781"/>
    <w:rsid w:val="00F81FBE"/>
    <w:rsid w:val="00F82668"/>
    <w:rsid w:val="00F82BC3"/>
    <w:rsid w:val="00F82CE0"/>
    <w:rsid w:val="00F83313"/>
    <w:rsid w:val="00F84331"/>
    <w:rsid w:val="00F846E3"/>
    <w:rsid w:val="00F8482B"/>
    <w:rsid w:val="00F85C24"/>
    <w:rsid w:val="00F85E94"/>
    <w:rsid w:val="00F8654F"/>
    <w:rsid w:val="00F86A1A"/>
    <w:rsid w:val="00F86BE7"/>
    <w:rsid w:val="00F876A3"/>
    <w:rsid w:val="00F8788F"/>
    <w:rsid w:val="00F878C8"/>
    <w:rsid w:val="00F905C5"/>
    <w:rsid w:val="00F91593"/>
    <w:rsid w:val="00F917E2"/>
    <w:rsid w:val="00F92755"/>
    <w:rsid w:val="00F941D0"/>
    <w:rsid w:val="00F942F4"/>
    <w:rsid w:val="00F94396"/>
    <w:rsid w:val="00F944E0"/>
    <w:rsid w:val="00F96698"/>
    <w:rsid w:val="00F9714F"/>
    <w:rsid w:val="00F971E3"/>
    <w:rsid w:val="00F97ADF"/>
    <w:rsid w:val="00FA0254"/>
    <w:rsid w:val="00FA1A9E"/>
    <w:rsid w:val="00FA32A4"/>
    <w:rsid w:val="00FA3353"/>
    <w:rsid w:val="00FA36BD"/>
    <w:rsid w:val="00FA40A4"/>
    <w:rsid w:val="00FA449F"/>
    <w:rsid w:val="00FA477C"/>
    <w:rsid w:val="00FA5918"/>
    <w:rsid w:val="00FA6615"/>
    <w:rsid w:val="00FA6D7B"/>
    <w:rsid w:val="00FB3810"/>
    <w:rsid w:val="00FB3BE7"/>
    <w:rsid w:val="00FB4874"/>
    <w:rsid w:val="00FB4A5D"/>
    <w:rsid w:val="00FB5AD6"/>
    <w:rsid w:val="00FB5CEE"/>
    <w:rsid w:val="00FB622E"/>
    <w:rsid w:val="00FB6530"/>
    <w:rsid w:val="00FB7EAB"/>
    <w:rsid w:val="00FC0834"/>
    <w:rsid w:val="00FC236B"/>
    <w:rsid w:val="00FC303C"/>
    <w:rsid w:val="00FC34BA"/>
    <w:rsid w:val="00FC3ABB"/>
    <w:rsid w:val="00FC4DF9"/>
    <w:rsid w:val="00FC51BF"/>
    <w:rsid w:val="00FC55C4"/>
    <w:rsid w:val="00FC572B"/>
    <w:rsid w:val="00FC608C"/>
    <w:rsid w:val="00FC6BDC"/>
    <w:rsid w:val="00FC720B"/>
    <w:rsid w:val="00FC7F34"/>
    <w:rsid w:val="00FD0AF8"/>
    <w:rsid w:val="00FD2202"/>
    <w:rsid w:val="00FD296E"/>
    <w:rsid w:val="00FD2F7D"/>
    <w:rsid w:val="00FD2FCB"/>
    <w:rsid w:val="00FD34C8"/>
    <w:rsid w:val="00FD3AFF"/>
    <w:rsid w:val="00FD6C6B"/>
    <w:rsid w:val="00FD7451"/>
    <w:rsid w:val="00FE09FB"/>
    <w:rsid w:val="00FE13FE"/>
    <w:rsid w:val="00FE197C"/>
    <w:rsid w:val="00FE1B92"/>
    <w:rsid w:val="00FE2AF8"/>
    <w:rsid w:val="00FE3FE9"/>
    <w:rsid w:val="00FE539D"/>
    <w:rsid w:val="00FE6A10"/>
    <w:rsid w:val="00FE6ED1"/>
    <w:rsid w:val="00FE7ADC"/>
    <w:rsid w:val="00FE7E2C"/>
    <w:rsid w:val="00FF1CAA"/>
    <w:rsid w:val="00FF1E05"/>
    <w:rsid w:val="00FF3557"/>
    <w:rsid w:val="00FF37C7"/>
    <w:rsid w:val="00FF3B77"/>
    <w:rsid w:val="00FF4DF1"/>
    <w:rsid w:val="00FF68AD"/>
    <w:rsid w:val="00FF69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AD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DE"/>
    <w:pPr>
      <w:spacing w:line="280" w:lineRule="exact"/>
    </w:pPr>
    <w:rPr>
      <w:rFonts w:ascii="Arial" w:hAnsi="Arial"/>
      <w:sz w:val="24"/>
      <w:lang w:eastAsia="fr-FR"/>
    </w:rPr>
  </w:style>
  <w:style w:type="paragraph" w:styleId="Titre1">
    <w:name w:val="heading 1"/>
    <w:aliases w:val="Grand titre"/>
    <w:basedOn w:val="Normal"/>
    <w:next w:val="Normal"/>
    <w:link w:val="Titre1Car"/>
    <w:qFormat/>
    <w:rsid w:val="009A51C4"/>
    <w:pPr>
      <w:keepNext/>
      <w:numPr>
        <w:numId w:val="18"/>
      </w:numPr>
      <w:spacing w:before="240" w:after="60"/>
      <w:ind w:hanging="720"/>
      <w:outlineLvl w:val="0"/>
    </w:pPr>
    <w:rPr>
      <w:b/>
      <w:kern w:val="28"/>
      <w:sz w:val="28"/>
      <w:lang w:val="en-CA"/>
    </w:rPr>
  </w:style>
  <w:style w:type="paragraph" w:styleId="Titre2">
    <w:name w:val="heading 2"/>
    <w:basedOn w:val="Paragraphe"/>
    <w:next w:val="Normal"/>
    <w:qFormat/>
    <w:rsid w:val="004C5ECB"/>
    <w:pPr>
      <w:keepNext/>
      <w:numPr>
        <w:numId w:val="0"/>
      </w:numPr>
      <w:spacing w:line="280" w:lineRule="exact"/>
      <w:outlineLvl w:val="1"/>
    </w:pPr>
    <w:rPr>
      <w:b/>
      <w:i/>
      <w:lang w:val="en-CA"/>
    </w:rPr>
  </w:style>
  <w:style w:type="paragraph" w:styleId="Titre3">
    <w:name w:val="heading 3"/>
    <w:basedOn w:val="Paragraphe"/>
    <w:next w:val="Normal"/>
    <w:qFormat/>
    <w:rsid w:val="00662038"/>
    <w:pPr>
      <w:keepNext/>
      <w:numPr>
        <w:numId w:val="3"/>
      </w:numPr>
      <w:spacing w:line="240" w:lineRule="auto"/>
      <w:outlineLvl w:val="2"/>
    </w:pPr>
    <w:rPr>
      <w:b/>
      <w:i/>
      <w:u w:val="single"/>
    </w:rPr>
  </w:style>
  <w:style w:type="paragraph" w:styleId="Titre4">
    <w:name w:val="heading 4"/>
    <w:basedOn w:val="Titre2"/>
    <w:next w:val="Normal"/>
    <w:link w:val="Titre4Car"/>
    <w:qFormat/>
    <w:rsid w:val="00366745"/>
    <w:pPr>
      <w:ind w:firstLine="567"/>
      <w:outlineLvl w:val="3"/>
    </w:pPr>
  </w:style>
  <w:style w:type="paragraph" w:styleId="Titre5">
    <w:name w:val="heading 5"/>
    <w:basedOn w:val="Paragraphe"/>
    <w:next w:val="Normal"/>
    <w:link w:val="Titre5Car"/>
    <w:qFormat/>
    <w:rsid w:val="00835915"/>
    <w:pPr>
      <w:keepNext/>
      <w:numPr>
        <w:numId w:val="19"/>
      </w:numPr>
      <w:spacing w:line="280" w:lineRule="exact"/>
      <w:ind w:left="1134" w:hanging="425"/>
      <w:outlineLvl w:val="4"/>
    </w:pPr>
    <w:rPr>
      <w:b/>
      <w:i/>
      <w:u w:val="single"/>
      <w:lang w:val="en-CA"/>
    </w:rPr>
  </w:style>
  <w:style w:type="paragraph" w:styleId="Titre6">
    <w:name w:val="heading 6"/>
    <w:basedOn w:val="Paragraphe"/>
    <w:next w:val="Normal"/>
    <w:qFormat/>
    <w:rsid w:val="00F944E0"/>
    <w:pPr>
      <w:numPr>
        <w:numId w:val="4"/>
      </w:numPr>
      <w:spacing w:line="240" w:lineRule="auto"/>
      <w:outlineLvl w:val="5"/>
    </w:pPr>
    <w:rPr>
      <w:b/>
    </w:rPr>
  </w:style>
  <w:style w:type="paragraph" w:styleId="Titre7">
    <w:name w:val="heading 7"/>
    <w:basedOn w:val="Paragraphe"/>
    <w:next w:val="Normal"/>
    <w:autoRedefine/>
    <w:qFormat/>
    <w:rsid w:val="008D4FE9"/>
    <w:pPr>
      <w:numPr>
        <w:numId w:val="2"/>
      </w:numPr>
      <w:spacing w:line="240" w:lineRule="auto"/>
      <w:outlineLvl w:val="6"/>
    </w:pPr>
    <w:rPr>
      <w:b/>
    </w:rPr>
  </w:style>
  <w:style w:type="paragraph" w:styleId="Titre8">
    <w:name w:val="heading 8"/>
    <w:basedOn w:val="Paragraphe"/>
    <w:next w:val="Normal"/>
    <w:qFormat/>
    <w:rsid w:val="00010212"/>
    <w:pPr>
      <w:numPr>
        <w:numId w:val="7"/>
      </w:numPr>
      <w:spacing w:line="240" w:lineRule="auto"/>
      <w:outlineLvl w:val="7"/>
    </w:pPr>
    <w:rPr>
      <w:b/>
      <w:i/>
    </w:rPr>
  </w:style>
  <w:style w:type="paragraph" w:styleId="Titre9">
    <w:name w:val="heading 9"/>
    <w:basedOn w:val="Paragraphedeliste"/>
    <w:next w:val="Normal"/>
    <w:qFormat/>
    <w:rsid w:val="008D4FE9"/>
    <w:pPr>
      <w:tabs>
        <w:tab w:val="left" w:pos="708"/>
      </w:tabs>
      <w:spacing w:before="120" w:after="120" w:line="240" w:lineRule="auto"/>
      <w:ind w:hanging="360"/>
      <w:jc w:val="both"/>
      <w:outlineLvl w:val="8"/>
    </w:pPr>
    <w:rPr>
      <w:rFonts w:cs="Arial"/>
      <w:b/>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996FDB"/>
    <w:pPr>
      <w:numPr>
        <w:numId w:val="16"/>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uiPriority w:val="99"/>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pPr>
    <w:rPr>
      <w:lang w:val="en-CA"/>
    </w:rPr>
  </w:style>
  <w:style w:type="paragraph" w:customStyle="1" w:styleId="Tableaugauchefranais">
    <w:name w:val="Tableau gauche français"/>
    <w:basedOn w:val="Normal"/>
    <w:rsid w:val="009B395D"/>
    <w:pPr>
      <w:ind w:left="720" w:right="144"/>
      <w:jc w:val="both"/>
    </w:pPr>
    <w:rPr>
      <w:sz w:val="22"/>
    </w:rPr>
  </w:style>
  <w:style w:type="character" w:styleId="Appelnotedebasdep">
    <w:name w:val="footnote reference"/>
    <w:uiPriority w:val="99"/>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styleId="Hyperlien">
    <w:name w:val="Hyperlink"/>
    <w:uiPriority w:val="99"/>
    <w:rsid w:val="00D26F7F"/>
    <w:rPr>
      <w:noProof w:val="0"/>
      <w:color w:val="0000FF"/>
      <w:u w:val="single"/>
      <w:lang w:val="fr-CA"/>
    </w:rPr>
  </w:style>
  <w:style w:type="character" w:customStyle="1" w:styleId="NotedebasdepageCar">
    <w:name w:val="Note de bas de page Car"/>
    <w:basedOn w:val="Policepardfaut"/>
    <w:link w:val="Notedebasdepage"/>
    <w:uiPriority w:val="99"/>
    <w:rsid w:val="00351B63"/>
    <w:rPr>
      <w:rFonts w:ascii="Arial" w:hAnsi="Arial"/>
      <w:lang w:eastAsia="fr-FR"/>
    </w:rPr>
  </w:style>
  <w:style w:type="character" w:customStyle="1" w:styleId="ParagrapheCar">
    <w:name w:val="Paragraphe Car"/>
    <w:link w:val="Paragraphe"/>
    <w:qFormat/>
    <w:rsid w:val="00996FDB"/>
    <w:rPr>
      <w:rFonts w:ascii="Arial" w:hAnsi="Arial"/>
      <w:kern w:val="28"/>
      <w:sz w:val="24"/>
      <w:lang w:eastAsia="fr-FR"/>
    </w:rPr>
  </w:style>
  <w:style w:type="paragraph" w:customStyle="1" w:styleId="Paragrdouble">
    <w:name w:val="Paragr. double"/>
    <w:basedOn w:val="Normal"/>
    <w:rsid w:val="00F419E7"/>
    <w:pPr>
      <w:spacing w:before="120" w:after="120" w:line="500" w:lineRule="exact"/>
      <w:jc w:val="both"/>
    </w:pPr>
    <w:rPr>
      <w:kern w:val="28"/>
      <w:lang w:val="en-CA"/>
    </w:rPr>
  </w:style>
  <w:style w:type="paragraph" w:styleId="Paragraphedeliste">
    <w:name w:val="List Paragraph"/>
    <w:basedOn w:val="Normal"/>
    <w:uiPriority w:val="34"/>
    <w:qFormat/>
    <w:rsid w:val="002034A7"/>
    <w:pPr>
      <w:ind w:left="720"/>
      <w:contextualSpacing/>
    </w:pPr>
  </w:style>
  <w:style w:type="paragraph" w:customStyle="1" w:styleId="footnotedescription">
    <w:name w:val="footnote description"/>
    <w:next w:val="Normal"/>
    <w:link w:val="footnotedescriptionChar"/>
    <w:hidden/>
    <w:rsid w:val="001E7302"/>
    <w:pPr>
      <w:spacing w:line="259" w:lineRule="auto"/>
      <w:jc w:val="both"/>
    </w:pPr>
    <w:rPr>
      <w:rFonts w:ascii="Arial" w:eastAsia="Arial" w:hAnsi="Arial" w:cs="Arial"/>
      <w:color w:val="000000"/>
      <w:szCs w:val="22"/>
    </w:rPr>
  </w:style>
  <w:style w:type="character" w:customStyle="1" w:styleId="footnotedescriptionChar">
    <w:name w:val="footnote description Char"/>
    <w:link w:val="footnotedescription"/>
    <w:rsid w:val="001E7302"/>
    <w:rPr>
      <w:rFonts w:ascii="Arial" w:eastAsia="Arial" w:hAnsi="Arial" w:cs="Arial"/>
      <w:color w:val="000000"/>
      <w:szCs w:val="22"/>
    </w:rPr>
  </w:style>
  <w:style w:type="character" w:styleId="Lienvisit">
    <w:name w:val="FollowedHyperlink"/>
    <w:basedOn w:val="Policepardfaut"/>
    <w:uiPriority w:val="99"/>
    <w:semiHidden/>
    <w:unhideWhenUsed/>
    <w:rsid w:val="00E57606"/>
    <w:rPr>
      <w:color w:val="954F72" w:themeColor="followedHyperlink"/>
      <w:u w:val="single"/>
    </w:rPr>
  </w:style>
  <w:style w:type="character" w:customStyle="1" w:styleId="subsection">
    <w:name w:val="subsection"/>
    <w:basedOn w:val="Policepardfaut"/>
    <w:rsid w:val="00FA6615"/>
  </w:style>
  <w:style w:type="character" w:customStyle="1" w:styleId="label-z">
    <w:name w:val="label-z"/>
    <w:basedOn w:val="Policepardfaut"/>
    <w:rsid w:val="00FA6615"/>
  </w:style>
  <w:style w:type="character" w:customStyle="1" w:styleId="Normal1">
    <w:name w:val="Normal1"/>
    <w:basedOn w:val="Policepardfaut"/>
    <w:rsid w:val="00FA6615"/>
  </w:style>
  <w:style w:type="character" w:customStyle="1" w:styleId="widthfixforlabel">
    <w:name w:val="widthfixforlabel"/>
    <w:basedOn w:val="Policepardfaut"/>
    <w:rsid w:val="00FA6615"/>
  </w:style>
  <w:style w:type="character" w:customStyle="1" w:styleId="paragraph">
    <w:name w:val="paragraph"/>
    <w:basedOn w:val="Policepardfaut"/>
    <w:rsid w:val="00FA6615"/>
  </w:style>
  <w:style w:type="character" w:customStyle="1" w:styleId="label-section">
    <w:name w:val="label-section"/>
    <w:basedOn w:val="Policepardfaut"/>
    <w:rsid w:val="00E529AD"/>
  </w:style>
  <w:style w:type="paragraph" w:styleId="TM1">
    <w:name w:val="toc 1"/>
    <w:basedOn w:val="Normal"/>
    <w:next w:val="Normal"/>
    <w:autoRedefine/>
    <w:uiPriority w:val="39"/>
    <w:unhideWhenUsed/>
    <w:rsid w:val="00A74795"/>
    <w:pPr>
      <w:spacing w:after="100"/>
    </w:pPr>
  </w:style>
  <w:style w:type="paragraph" w:styleId="TM2">
    <w:name w:val="toc 2"/>
    <w:basedOn w:val="Normal"/>
    <w:next w:val="Normal"/>
    <w:autoRedefine/>
    <w:uiPriority w:val="39"/>
    <w:unhideWhenUsed/>
    <w:rsid w:val="004C06D0"/>
    <w:pPr>
      <w:tabs>
        <w:tab w:val="left" w:pos="720"/>
        <w:tab w:val="right" w:leader="dot" w:pos="9352"/>
      </w:tabs>
      <w:spacing w:after="100"/>
      <w:ind w:left="240"/>
    </w:pPr>
  </w:style>
  <w:style w:type="paragraph" w:styleId="TM3">
    <w:name w:val="toc 3"/>
    <w:basedOn w:val="Normal"/>
    <w:next w:val="Normal"/>
    <w:autoRedefine/>
    <w:uiPriority w:val="39"/>
    <w:unhideWhenUsed/>
    <w:rsid w:val="004C06D0"/>
    <w:pPr>
      <w:tabs>
        <w:tab w:val="left" w:pos="960"/>
        <w:tab w:val="right" w:leader="dot" w:pos="9352"/>
      </w:tabs>
      <w:spacing w:after="100"/>
      <w:ind w:left="480"/>
    </w:pPr>
  </w:style>
  <w:style w:type="paragraph" w:styleId="TM4">
    <w:name w:val="toc 4"/>
    <w:basedOn w:val="Normal"/>
    <w:next w:val="Normal"/>
    <w:autoRedefine/>
    <w:uiPriority w:val="39"/>
    <w:unhideWhenUsed/>
    <w:rsid w:val="00855DA5"/>
    <w:pPr>
      <w:spacing w:after="100"/>
      <w:ind w:left="720"/>
    </w:pPr>
  </w:style>
  <w:style w:type="paragraph" w:styleId="TM6">
    <w:name w:val="toc 6"/>
    <w:basedOn w:val="Normal"/>
    <w:next w:val="Normal"/>
    <w:autoRedefine/>
    <w:uiPriority w:val="39"/>
    <w:unhideWhenUsed/>
    <w:rsid w:val="00855DA5"/>
    <w:pPr>
      <w:spacing w:after="100"/>
      <w:ind w:left="1200"/>
    </w:pPr>
  </w:style>
  <w:style w:type="paragraph" w:styleId="TM5">
    <w:name w:val="toc 5"/>
    <w:basedOn w:val="Normal"/>
    <w:next w:val="Normal"/>
    <w:autoRedefine/>
    <w:uiPriority w:val="39"/>
    <w:unhideWhenUsed/>
    <w:rsid w:val="004C06D0"/>
    <w:pPr>
      <w:tabs>
        <w:tab w:val="right" w:leader="dot" w:pos="9352"/>
      </w:tabs>
      <w:spacing w:after="100"/>
      <w:ind w:left="960"/>
    </w:pPr>
  </w:style>
  <w:style w:type="paragraph" w:customStyle="1" w:styleId="Titre10">
    <w:name w:val="Titre 10"/>
    <w:basedOn w:val="Normal"/>
    <w:qFormat/>
    <w:rsid w:val="008D4FE9"/>
    <w:pPr>
      <w:tabs>
        <w:tab w:val="left" w:pos="708"/>
      </w:tabs>
      <w:spacing w:before="120" w:after="120" w:line="240" w:lineRule="auto"/>
      <w:jc w:val="both"/>
    </w:pPr>
    <w:rPr>
      <w:rFonts w:cs="Arial"/>
      <w:b/>
      <w:kern w:val="28"/>
    </w:rPr>
  </w:style>
  <w:style w:type="paragraph" w:customStyle="1" w:styleId="Titre11">
    <w:name w:val="Titre 11"/>
    <w:basedOn w:val="Normal"/>
    <w:qFormat/>
    <w:rsid w:val="008D4FE9"/>
    <w:pPr>
      <w:tabs>
        <w:tab w:val="left" w:pos="708"/>
      </w:tabs>
      <w:spacing w:before="120" w:after="120" w:line="240" w:lineRule="auto"/>
      <w:jc w:val="both"/>
    </w:pPr>
    <w:rPr>
      <w:rFonts w:cs="Arial"/>
      <w:b/>
      <w:kern w:val="28"/>
    </w:rPr>
  </w:style>
  <w:style w:type="paragraph" w:customStyle="1" w:styleId="Titre12">
    <w:name w:val="Titre 12"/>
    <w:basedOn w:val="Normal"/>
    <w:qFormat/>
    <w:rsid w:val="008D4FE9"/>
    <w:pPr>
      <w:tabs>
        <w:tab w:val="left" w:pos="708"/>
      </w:tabs>
      <w:spacing w:before="120" w:after="120" w:line="240" w:lineRule="auto"/>
      <w:jc w:val="both"/>
    </w:pPr>
    <w:rPr>
      <w:rFonts w:cs="Arial"/>
      <w:b/>
      <w:kern w:val="28"/>
    </w:rPr>
  </w:style>
  <w:style w:type="paragraph" w:customStyle="1" w:styleId="Titre13">
    <w:name w:val="Titre 13"/>
    <w:basedOn w:val="Paragraphedeliste"/>
    <w:qFormat/>
    <w:rsid w:val="008D4FE9"/>
    <w:pPr>
      <w:numPr>
        <w:numId w:val="6"/>
      </w:numPr>
      <w:tabs>
        <w:tab w:val="left" w:pos="708"/>
      </w:tabs>
      <w:spacing w:before="120" w:after="120" w:line="240" w:lineRule="auto"/>
      <w:jc w:val="both"/>
    </w:pPr>
    <w:rPr>
      <w:b/>
    </w:rPr>
  </w:style>
  <w:style w:type="paragraph" w:customStyle="1" w:styleId="Titre14">
    <w:name w:val="Titre 14"/>
    <w:basedOn w:val="Normal"/>
    <w:qFormat/>
    <w:rsid w:val="008D4FE9"/>
    <w:pPr>
      <w:tabs>
        <w:tab w:val="left" w:pos="708"/>
      </w:tabs>
      <w:spacing w:before="120" w:after="120" w:line="240" w:lineRule="auto"/>
      <w:jc w:val="both"/>
    </w:pPr>
    <w:rPr>
      <w:b/>
    </w:rPr>
  </w:style>
  <w:style w:type="paragraph" w:customStyle="1" w:styleId="Titre15">
    <w:name w:val="Titre 15"/>
    <w:basedOn w:val="Paragraphe"/>
    <w:qFormat/>
    <w:rsid w:val="008D4FE9"/>
    <w:pPr>
      <w:numPr>
        <w:numId w:val="0"/>
      </w:numPr>
      <w:spacing w:line="240" w:lineRule="auto"/>
    </w:pPr>
    <w:rPr>
      <w:b/>
    </w:rPr>
  </w:style>
  <w:style w:type="paragraph" w:customStyle="1" w:styleId="Titre16">
    <w:name w:val="Titre 16"/>
    <w:basedOn w:val="Paragraphe"/>
    <w:qFormat/>
    <w:rsid w:val="008D4FE9"/>
    <w:pPr>
      <w:numPr>
        <w:numId w:val="0"/>
      </w:numPr>
      <w:spacing w:line="240" w:lineRule="auto"/>
    </w:pPr>
    <w:rPr>
      <w:b/>
    </w:rPr>
  </w:style>
  <w:style w:type="paragraph" w:customStyle="1" w:styleId="Titre17">
    <w:name w:val="Titre 17"/>
    <w:basedOn w:val="Paragraphe"/>
    <w:qFormat/>
    <w:rsid w:val="008D4FE9"/>
    <w:pPr>
      <w:numPr>
        <w:numId w:val="0"/>
      </w:numPr>
      <w:spacing w:line="240" w:lineRule="auto"/>
      <w:ind w:left="1080" w:hanging="360"/>
    </w:pPr>
    <w:rPr>
      <w:b/>
    </w:rPr>
  </w:style>
  <w:style w:type="paragraph" w:customStyle="1" w:styleId="Titre18">
    <w:name w:val="Titre 18"/>
    <w:basedOn w:val="Normal"/>
    <w:qFormat/>
    <w:rsid w:val="008D4FE9"/>
    <w:pPr>
      <w:spacing w:before="120" w:after="120" w:line="240" w:lineRule="auto"/>
      <w:ind w:left="1080" w:hanging="360"/>
      <w:jc w:val="both"/>
    </w:pPr>
    <w:rPr>
      <w:b/>
      <w:kern w:val="28"/>
    </w:rPr>
  </w:style>
  <w:style w:type="paragraph" w:customStyle="1" w:styleId="Titre19">
    <w:name w:val="Titre 19"/>
    <w:basedOn w:val="Paragraphedeliste"/>
    <w:qFormat/>
    <w:rsid w:val="008D4FE9"/>
    <w:pPr>
      <w:keepNext/>
      <w:numPr>
        <w:numId w:val="5"/>
      </w:numPr>
      <w:spacing w:before="240" w:after="240" w:line="240" w:lineRule="auto"/>
      <w:jc w:val="both"/>
      <w:outlineLvl w:val="1"/>
    </w:pPr>
    <w:rPr>
      <w:b/>
      <w:kern w:val="28"/>
    </w:rPr>
  </w:style>
  <w:style w:type="paragraph" w:customStyle="1" w:styleId="Titre20">
    <w:name w:val="Titre 20"/>
    <w:basedOn w:val="Paragraphe"/>
    <w:qFormat/>
    <w:rsid w:val="008D4FE9"/>
    <w:pPr>
      <w:numPr>
        <w:numId w:val="8"/>
      </w:numPr>
      <w:spacing w:line="240" w:lineRule="auto"/>
    </w:pPr>
    <w:rPr>
      <w:b/>
    </w:rPr>
  </w:style>
  <w:style w:type="paragraph" w:customStyle="1" w:styleId="Titre21">
    <w:name w:val="Titre 21"/>
    <w:basedOn w:val="Titre20"/>
    <w:qFormat/>
    <w:rsid w:val="008D4FE9"/>
    <w:pPr>
      <w:numPr>
        <w:numId w:val="0"/>
      </w:numPr>
      <w:ind w:left="1080" w:hanging="360"/>
    </w:pPr>
  </w:style>
  <w:style w:type="paragraph" w:styleId="TM7">
    <w:name w:val="toc 7"/>
    <w:basedOn w:val="Normal"/>
    <w:next w:val="Normal"/>
    <w:autoRedefine/>
    <w:uiPriority w:val="39"/>
    <w:unhideWhenUsed/>
    <w:rsid w:val="00A15747"/>
    <w:pPr>
      <w:spacing w:after="100"/>
      <w:ind w:left="1440"/>
    </w:pPr>
  </w:style>
  <w:style w:type="paragraph" w:styleId="TM8">
    <w:name w:val="toc 8"/>
    <w:basedOn w:val="Normal"/>
    <w:next w:val="Normal"/>
    <w:autoRedefine/>
    <w:uiPriority w:val="39"/>
    <w:unhideWhenUsed/>
    <w:rsid w:val="00A15747"/>
    <w:pPr>
      <w:spacing w:after="100"/>
      <w:ind w:left="1680"/>
    </w:pPr>
  </w:style>
  <w:style w:type="paragraph" w:styleId="TM9">
    <w:name w:val="toc 9"/>
    <w:basedOn w:val="Normal"/>
    <w:next w:val="Normal"/>
    <w:autoRedefine/>
    <w:uiPriority w:val="39"/>
    <w:unhideWhenUsed/>
    <w:rsid w:val="00A15747"/>
    <w:pPr>
      <w:spacing w:after="100"/>
      <w:ind w:left="1920"/>
    </w:pPr>
  </w:style>
  <w:style w:type="paragraph" w:styleId="En-ttedetabledesmatires">
    <w:name w:val="TOC Heading"/>
    <w:basedOn w:val="Titre1"/>
    <w:next w:val="Normal"/>
    <w:uiPriority w:val="39"/>
    <w:unhideWhenUsed/>
    <w:qFormat/>
    <w:rsid w:val="001F06CB"/>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eastAsia="fr-CA"/>
    </w:rPr>
  </w:style>
  <w:style w:type="character" w:customStyle="1" w:styleId="secnumholder">
    <w:name w:val="secnumholder"/>
    <w:basedOn w:val="Policepardfaut"/>
    <w:rsid w:val="003F5A9A"/>
  </w:style>
  <w:style w:type="character" w:customStyle="1" w:styleId="canliisection">
    <w:name w:val="canlii_section"/>
    <w:basedOn w:val="Policepardfaut"/>
    <w:rsid w:val="003F5A9A"/>
  </w:style>
  <w:style w:type="paragraph" w:styleId="Commentaire">
    <w:name w:val="annotation text"/>
    <w:basedOn w:val="Normal"/>
    <w:link w:val="CommentaireCar"/>
    <w:uiPriority w:val="99"/>
    <w:unhideWhenUsed/>
    <w:rsid w:val="00DF1397"/>
    <w:pPr>
      <w:spacing w:line="240" w:lineRule="auto"/>
    </w:pPr>
    <w:rPr>
      <w:sz w:val="20"/>
    </w:rPr>
  </w:style>
  <w:style w:type="character" w:customStyle="1" w:styleId="CommentaireCar">
    <w:name w:val="Commentaire Car"/>
    <w:basedOn w:val="Policepardfaut"/>
    <w:link w:val="Commentaire"/>
    <w:uiPriority w:val="99"/>
    <w:rsid w:val="00DF1397"/>
    <w:rPr>
      <w:rFonts w:ascii="Arial" w:hAnsi="Arial"/>
      <w:lang w:eastAsia="fr-FR"/>
    </w:rPr>
  </w:style>
  <w:style w:type="character" w:styleId="Marquedecommentaire">
    <w:name w:val="annotation reference"/>
    <w:basedOn w:val="Policepardfaut"/>
    <w:uiPriority w:val="99"/>
    <w:semiHidden/>
    <w:unhideWhenUsed/>
    <w:rsid w:val="001B4B82"/>
    <w:rPr>
      <w:sz w:val="16"/>
      <w:szCs w:val="16"/>
    </w:rPr>
  </w:style>
  <w:style w:type="paragraph" w:styleId="Objetducommentaire">
    <w:name w:val="annotation subject"/>
    <w:basedOn w:val="Commentaire"/>
    <w:next w:val="Commentaire"/>
    <w:link w:val="ObjetducommentaireCar"/>
    <w:uiPriority w:val="99"/>
    <w:semiHidden/>
    <w:unhideWhenUsed/>
    <w:rsid w:val="001B4B82"/>
    <w:rPr>
      <w:b/>
      <w:bCs/>
    </w:rPr>
  </w:style>
  <w:style w:type="character" w:customStyle="1" w:styleId="ObjetducommentaireCar">
    <w:name w:val="Objet du commentaire Car"/>
    <w:basedOn w:val="CommentaireCar"/>
    <w:link w:val="Objetducommentaire"/>
    <w:uiPriority w:val="99"/>
    <w:semiHidden/>
    <w:rsid w:val="001B4B82"/>
    <w:rPr>
      <w:rFonts w:ascii="Arial" w:hAnsi="Arial"/>
      <w:b/>
      <w:bCs/>
      <w:lang w:eastAsia="fr-FR"/>
    </w:rPr>
  </w:style>
  <w:style w:type="paragraph" w:styleId="Rvision">
    <w:name w:val="Revision"/>
    <w:hidden/>
    <w:uiPriority w:val="99"/>
    <w:semiHidden/>
    <w:rsid w:val="00016EAA"/>
    <w:rPr>
      <w:rFonts w:ascii="Arial" w:hAnsi="Arial"/>
      <w:sz w:val="24"/>
      <w:lang w:eastAsia="fr-FR"/>
    </w:rPr>
  </w:style>
  <w:style w:type="character" w:customStyle="1" w:styleId="Titre1Car">
    <w:name w:val="Titre 1 Car"/>
    <w:aliases w:val="Grand titre Car"/>
    <w:basedOn w:val="Policepardfaut"/>
    <w:link w:val="Titre1"/>
    <w:rsid w:val="009A51C4"/>
    <w:rPr>
      <w:rFonts w:ascii="Arial" w:hAnsi="Arial"/>
      <w:b/>
      <w:kern w:val="28"/>
      <w:sz w:val="28"/>
      <w:lang w:val="en-CA" w:eastAsia="fr-FR"/>
    </w:rPr>
  </w:style>
  <w:style w:type="character" w:customStyle="1" w:styleId="Titre5Car">
    <w:name w:val="Titre 5 Car"/>
    <w:basedOn w:val="Policepardfaut"/>
    <w:link w:val="Titre5"/>
    <w:rsid w:val="00835915"/>
    <w:rPr>
      <w:rFonts w:ascii="Arial" w:hAnsi="Arial"/>
      <w:b/>
      <w:i/>
      <w:kern w:val="28"/>
      <w:sz w:val="24"/>
      <w:u w:val="single"/>
      <w:lang w:val="en-CA" w:eastAsia="fr-FR"/>
    </w:rPr>
  </w:style>
  <w:style w:type="character" w:styleId="Mentionnonrsolue">
    <w:name w:val="Unresolved Mention"/>
    <w:basedOn w:val="Policepardfaut"/>
    <w:uiPriority w:val="99"/>
    <w:semiHidden/>
    <w:unhideWhenUsed/>
    <w:rsid w:val="00E42695"/>
    <w:rPr>
      <w:color w:val="605E5C"/>
      <w:shd w:val="clear" w:color="auto" w:fill="E1DFDD"/>
    </w:rPr>
  </w:style>
  <w:style w:type="table" w:customStyle="1" w:styleId="Grilledutableau1">
    <w:name w:val="Grille du tableau1"/>
    <w:basedOn w:val="TableauNormal"/>
    <w:next w:val="Grilledutableau"/>
    <w:uiPriority w:val="39"/>
    <w:rsid w:val="0019105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366745"/>
    <w:rPr>
      <w:rFonts w:ascii="Arial" w:hAnsi="Arial"/>
      <w:b/>
      <w:i/>
      <w:kern w:val="28"/>
      <w:sz w:val="24"/>
      <w:lang w:val="en-CA" w:eastAsia="fr-FR"/>
    </w:rPr>
  </w:style>
  <w:style w:type="paragraph" w:customStyle="1" w:styleId="paragrdouble0">
    <w:name w:val="paragrdouble"/>
    <w:basedOn w:val="Normal"/>
    <w:rsid w:val="0029500B"/>
    <w:pPr>
      <w:spacing w:before="100" w:beforeAutospacing="1" w:after="100" w:afterAutospacing="1" w:line="240" w:lineRule="auto"/>
    </w:pPr>
    <w:rPr>
      <w:rFonts w:ascii="Times New Roman" w:hAnsi="Times New Roman"/>
      <w:szCs w:val="24"/>
      <w:lang w:eastAsia="fr-CA"/>
    </w:rPr>
  </w:style>
  <w:style w:type="paragraph" w:customStyle="1" w:styleId="ParaNoNdepar-AltN">
    <w:name w:val="Para. No. / Nº de par. - Alt N"/>
    <w:link w:val="ParaNoNdepar-AltNChar"/>
    <w:qFormat/>
    <w:rsid w:val="002A40F0"/>
    <w:pPr>
      <w:numPr>
        <w:numId w:val="15"/>
      </w:numPr>
      <w:tabs>
        <w:tab w:val="left" w:pos="1166"/>
      </w:tabs>
      <w:spacing w:before="480" w:after="480" w:line="480" w:lineRule="auto"/>
      <w:jc w:val="both"/>
    </w:pPr>
    <w:rPr>
      <w:rFonts w:eastAsiaTheme="minorEastAsia" w:cstheme="minorBidi"/>
      <w:sz w:val="24"/>
      <w:szCs w:val="22"/>
      <w:lang w:val="en-CA" w:eastAsia="en-US"/>
    </w:rPr>
  </w:style>
  <w:style w:type="character" w:customStyle="1" w:styleId="ParaNoNdepar-AltNChar">
    <w:name w:val="Para. No. / Nº de par. - Alt N Char"/>
    <w:basedOn w:val="Policepardfaut"/>
    <w:link w:val="ParaNoNdepar-AltN"/>
    <w:rsid w:val="002A40F0"/>
    <w:rPr>
      <w:rFonts w:eastAsiaTheme="minorEastAsia" w:cstheme="minorBidi"/>
      <w:sz w:val="24"/>
      <w:szCs w:val="22"/>
      <w:lang w:val="en-CA" w:eastAsia="en-US"/>
    </w:rPr>
  </w:style>
  <w:style w:type="paragraph" w:customStyle="1" w:styleId="Default">
    <w:name w:val="Default"/>
    <w:rsid w:val="002A40F0"/>
    <w:pPr>
      <w:autoSpaceDE w:val="0"/>
      <w:autoSpaceDN w:val="0"/>
      <w:adjustRightInd w:val="0"/>
    </w:pPr>
    <w:rPr>
      <w:color w:val="000000"/>
      <w:sz w:val="24"/>
      <w:szCs w:val="24"/>
    </w:rPr>
  </w:style>
  <w:style w:type="paragraph" w:customStyle="1" w:styleId="PRINCIPALAPPEAL">
    <w:name w:val="PRINCIPAL APPEAL"/>
    <w:basedOn w:val="Titre4"/>
    <w:qFormat/>
    <w:rsid w:val="0088498D"/>
  </w:style>
  <w:style w:type="paragraph" w:customStyle="1" w:styleId="SOUS-PARA11">
    <w:name w:val="SOUS-PARA. 1.1"/>
    <w:basedOn w:val="Titre6"/>
    <w:qFormat/>
    <w:rsid w:val="0088498D"/>
    <w:pPr>
      <w:numPr>
        <w:ilvl w:val="1"/>
        <w:numId w:val="3"/>
      </w:numPr>
      <w:ind w:left="1418" w:hanging="698"/>
    </w:pPr>
    <w:rPr>
      <w:i/>
      <w:iCs/>
      <w:lang w:val="en-CA"/>
    </w:rPr>
  </w:style>
  <w:style w:type="paragraph" w:customStyle="1" w:styleId="B1">
    <w:name w:val="B. 1"/>
    <w:basedOn w:val="Titre5"/>
    <w:qFormat/>
    <w:rsid w:val="0088498D"/>
  </w:style>
  <w:style w:type="paragraph" w:customStyle="1" w:styleId="appendix">
    <w:name w:val="appendix"/>
    <w:basedOn w:val="Titre9"/>
    <w:qFormat/>
    <w:rsid w:val="003803FB"/>
    <w:pPr>
      <w:jc w:val="center"/>
    </w:pPr>
    <w:rPr>
      <w:i/>
      <w:i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074">
      <w:bodyDiv w:val="1"/>
      <w:marLeft w:val="0"/>
      <w:marRight w:val="0"/>
      <w:marTop w:val="0"/>
      <w:marBottom w:val="0"/>
      <w:divBdr>
        <w:top w:val="none" w:sz="0" w:space="0" w:color="auto"/>
        <w:left w:val="none" w:sz="0" w:space="0" w:color="auto"/>
        <w:bottom w:val="none" w:sz="0" w:space="0" w:color="auto"/>
        <w:right w:val="none" w:sz="0" w:space="0" w:color="auto"/>
      </w:divBdr>
      <w:divsChild>
        <w:div w:id="1972320636">
          <w:marLeft w:val="0"/>
          <w:marRight w:val="0"/>
          <w:marTop w:val="219"/>
          <w:marBottom w:val="240"/>
          <w:divBdr>
            <w:top w:val="none" w:sz="0" w:space="0" w:color="auto"/>
            <w:left w:val="none" w:sz="0" w:space="0" w:color="auto"/>
            <w:bottom w:val="none" w:sz="0" w:space="0" w:color="auto"/>
            <w:right w:val="none" w:sz="0" w:space="0" w:color="auto"/>
          </w:divBdr>
          <w:divsChild>
            <w:div w:id="2142768114">
              <w:marLeft w:val="0"/>
              <w:marRight w:val="0"/>
              <w:marTop w:val="219"/>
              <w:marBottom w:val="0"/>
              <w:divBdr>
                <w:top w:val="none" w:sz="0" w:space="0" w:color="auto"/>
                <w:left w:val="none" w:sz="0" w:space="0" w:color="auto"/>
                <w:bottom w:val="none" w:sz="0" w:space="0" w:color="auto"/>
                <w:right w:val="none" w:sz="0" w:space="0" w:color="auto"/>
              </w:divBdr>
            </w:div>
            <w:div w:id="1486362620">
              <w:marLeft w:val="0"/>
              <w:marRight w:val="0"/>
              <w:marTop w:val="219"/>
              <w:marBottom w:val="0"/>
              <w:divBdr>
                <w:top w:val="none" w:sz="0" w:space="0" w:color="auto"/>
                <w:left w:val="none" w:sz="0" w:space="0" w:color="auto"/>
                <w:bottom w:val="none" w:sz="0" w:space="0" w:color="auto"/>
                <w:right w:val="none" w:sz="0" w:space="0" w:color="auto"/>
              </w:divBdr>
            </w:div>
            <w:div w:id="695926911">
              <w:marLeft w:val="0"/>
              <w:marRight w:val="0"/>
              <w:marTop w:val="219"/>
              <w:marBottom w:val="0"/>
              <w:divBdr>
                <w:top w:val="none" w:sz="0" w:space="0" w:color="auto"/>
                <w:left w:val="none" w:sz="0" w:space="0" w:color="auto"/>
                <w:bottom w:val="none" w:sz="0" w:space="0" w:color="auto"/>
                <w:right w:val="none" w:sz="0" w:space="0" w:color="auto"/>
              </w:divBdr>
            </w:div>
            <w:div w:id="281763593">
              <w:marLeft w:val="0"/>
              <w:marRight w:val="0"/>
              <w:marTop w:val="219"/>
              <w:marBottom w:val="0"/>
              <w:divBdr>
                <w:top w:val="none" w:sz="0" w:space="0" w:color="auto"/>
                <w:left w:val="none" w:sz="0" w:space="0" w:color="auto"/>
                <w:bottom w:val="none" w:sz="0" w:space="0" w:color="auto"/>
                <w:right w:val="none" w:sz="0" w:space="0" w:color="auto"/>
              </w:divBdr>
            </w:div>
          </w:divsChild>
        </w:div>
        <w:div w:id="640961678">
          <w:marLeft w:val="0"/>
          <w:marRight w:val="0"/>
          <w:marTop w:val="260"/>
          <w:marBottom w:val="240"/>
          <w:divBdr>
            <w:top w:val="none" w:sz="0" w:space="0" w:color="auto"/>
            <w:left w:val="none" w:sz="0" w:space="0" w:color="auto"/>
            <w:bottom w:val="none" w:sz="0" w:space="0" w:color="auto"/>
            <w:right w:val="none" w:sz="0" w:space="0" w:color="auto"/>
          </w:divBdr>
          <w:divsChild>
            <w:div w:id="1672295114">
              <w:marLeft w:val="0"/>
              <w:marRight w:val="0"/>
              <w:marTop w:val="219"/>
              <w:marBottom w:val="0"/>
              <w:divBdr>
                <w:top w:val="none" w:sz="0" w:space="0" w:color="auto"/>
                <w:left w:val="none" w:sz="0" w:space="0" w:color="auto"/>
                <w:bottom w:val="none" w:sz="0" w:space="0" w:color="auto"/>
                <w:right w:val="none" w:sz="0" w:space="0" w:color="auto"/>
              </w:divBdr>
            </w:div>
            <w:div w:id="2026789662">
              <w:marLeft w:val="0"/>
              <w:marRight w:val="0"/>
              <w:marTop w:val="219"/>
              <w:marBottom w:val="0"/>
              <w:divBdr>
                <w:top w:val="none" w:sz="0" w:space="0" w:color="auto"/>
                <w:left w:val="none" w:sz="0" w:space="0" w:color="auto"/>
                <w:bottom w:val="none" w:sz="0" w:space="0" w:color="auto"/>
                <w:right w:val="none" w:sz="0" w:space="0" w:color="auto"/>
              </w:divBdr>
            </w:div>
            <w:div w:id="999116400">
              <w:marLeft w:val="0"/>
              <w:marRight w:val="0"/>
              <w:marTop w:val="219"/>
              <w:marBottom w:val="0"/>
              <w:divBdr>
                <w:top w:val="none" w:sz="0" w:space="0" w:color="auto"/>
                <w:left w:val="none" w:sz="0" w:space="0" w:color="auto"/>
                <w:bottom w:val="none" w:sz="0" w:space="0" w:color="auto"/>
                <w:right w:val="none" w:sz="0" w:space="0" w:color="auto"/>
              </w:divBdr>
            </w:div>
            <w:div w:id="1188175284">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63739426">
      <w:bodyDiv w:val="1"/>
      <w:marLeft w:val="0"/>
      <w:marRight w:val="0"/>
      <w:marTop w:val="0"/>
      <w:marBottom w:val="0"/>
      <w:divBdr>
        <w:top w:val="none" w:sz="0" w:space="0" w:color="auto"/>
        <w:left w:val="none" w:sz="0" w:space="0" w:color="auto"/>
        <w:bottom w:val="none" w:sz="0" w:space="0" w:color="auto"/>
        <w:right w:val="none" w:sz="0" w:space="0" w:color="auto"/>
      </w:divBdr>
    </w:div>
    <w:div w:id="168565827">
      <w:bodyDiv w:val="1"/>
      <w:marLeft w:val="0"/>
      <w:marRight w:val="0"/>
      <w:marTop w:val="0"/>
      <w:marBottom w:val="0"/>
      <w:divBdr>
        <w:top w:val="none" w:sz="0" w:space="0" w:color="auto"/>
        <w:left w:val="none" w:sz="0" w:space="0" w:color="auto"/>
        <w:bottom w:val="none" w:sz="0" w:space="0" w:color="auto"/>
        <w:right w:val="none" w:sz="0" w:space="0" w:color="auto"/>
      </w:divBdr>
      <w:divsChild>
        <w:div w:id="35395719">
          <w:marLeft w:val="0"/>
          <w:marRight w:val="0"/>
          <w:marTop w:val="219"/>
          <w:marBottom w:val="0"/>
          <w:divBdr>
            <w:top w:val="none" w:sz="0" w:space="0" w:color="auto"/>
            <w:left w:val="none" w:sz="0" w:space="0" w:color="auto"/>
            <w:bottom w:val="none" w:sz="0" w:space="0" w:color="auto"/>
            <w:right w:val="none" w:sz="0" w:space="0" w:color="auto"/>
          </w:divBdr>
        </w:div>
        <w:div w:id="328563424">
          <w:marLeft w:val="0"/>
          <w:marRight w:val="0"/>
          <w:marTop w:val="219"/>
          <w:marBottom w:val="0"/>
          <w:divBdr>
            <w:top w:val="none" w:sz="0" w:space="0" w:color="auto"/>
            <w:left w:val="none" w:sz="0" w:space="0" w:color="auto"/>
            <w:bottom w:val="none" w:sz="0" w:space="0" w:color="auto"/>
            <w:right w:val="none" w:sz="0" w:space="0" w:color="auto"/>
          </w:divBdr>
        </w:div>
        <w:div w:id="233131317">
          <w:marLeft w:val="0"/>
          <w:marRight w:val="0"/>
          <w:marTop w:val="219"/>
          <w:marBottom w:val="0"/>
          <w:divBdr>
            <w:top w:val="none" w:sz="0" w:space="0" w:color="auto"/>
            <w:left w:val="none" w:sz="0" w:space="0" w:color="auto"/>
            <w:bottom w:val="none" w:sz="0" w:space="0" w:color="auto"/>
            <w:right w:val="none" w:sz="0" w:space="0" w:color="auto"/>
          </w:divBdr>
        </w:div>
      </w:divsChild>
    </w:div>
    <w:div w:id="667295391">
      <w:bodyDiv w:val="1"/>
      <w:marLeft w:val="0"/>
      <w:marRight w:val="0"/>
      <w:marTop w:val="0"/>
      <w:marBottom w:val="0"/>
      <w:divBdr>
        <w:top w:val="none" w:sz="0" w:space="0" w:color="auto"/>
        <w:left w:val="none" w:sz="0" w:space="0" w:color="auto"/>
        <w:bottom w:val="none" w:sz="0" w:space="0" w:color="auto"/>
        <w:right w:val="none" w:sz="0" w:space="0" w:color="auto"/>
      </w:divBdr>
    </w:div>
    <w:div w:id="701512440">
      <w:bodyDiv w:val="1"/>
      <w:marLeft w:val="0"/>
      <w:marRight w:val="0"/>
      <w:marTop w:val="0"/>
      <w:marBottom w:val="0"/>
      <w:divBdr>
        <w:top w:val="none" w:sz="0" w:space="0" w:color="auto"/>
        <w:left w:val="none" w:sz="0" w:space="0" w:color="auto"/>
        <w:bottom w:val="none" w:sz="0" w:space="0" w:color="auto"/>
        <w:right w:val="none" w:sz="0" w:space="0" w:color="auto"/>
      </w:divBdr>
      <w:divsChild>
        <w:div w:id="146211258">
          <w:marLeft w:val="0"/>
          <w:marRight w:val="0"/>
          <w:marTop w:val="260"/>
          <w:marBottom w:val="240"/>
          <w:divBdr>
            <w:top w:val="none" w:sz="0" w:space="0" w:color="auto"/>
            <w:left w:val="none" w:sz="0" w:space="0" w:color="auto"/>
            <w:bottom w:val="none" w:sz="0" w:space="0" w:color="auto"/>
            <w:right w:val="none" w:sz="0" w:space="0" w:color="auto"/>
          </w:divBdr>
        </w:div>
      </w:divsChild>
    </w:div>
    <w:div w:id="835608192">
      <w:bodyDiv w:val="1"/>
      <w:marLeft w:val="0"/>
      <w:marRight w:val="0"/>
      <w:marTop w:val="0"/>
      <w:marBottom w:val="0"/>
      <w:divBdr>
        <w:top w:val="none" w:sz="0" w:space="0" w:color="auto"/>
        <w:left w:val="none" w:sz="0" w:space="0" w:color="auto"/>
        <w:bottom w:val="none" w:sz="0" w:space="0" w:color="auto"/>
        <w:right w:val="none" w:sz="0" w:space="0" w:color="auto"/>
      </w:divBdr>
    </w:div>
    <w:div w:id="1028944414">
      <w:bodyDiv w:val="1"/>
      <w:marLeft w:val="0"/>
      <w:marRight w:val="0"/>
      <w:marTop w:val="0"/>
      <w:marBottom w:val="0"/>
      <w:divBdr>
        <w:top w:val="none" w:sz="0" w:space="0" w:color="auto"/>
        <w:left w:val="none" w:sz="0" w:space="0" w:color="auto"/>
        <w:bottom w:val="none" w:sz="0" w:space="0" w:color="auto"/>
        <w:right w:val="none" w:sz="0" w:space="0" w:color="auto"/>
      </w:divBdr>
      <w:divsChild>
        <w:div w:id="934247498">
          <w:marLeft w:val="0"/>
          <w:marRight w:val="0"/>
          <w:marTop w:val="219"/>
          <w:marBottom w:val="240"/>
          <w:divBdr>
            <w:top w:val="none" w:sz="0" w:space="0" w:color="auto"/>
            <w:left w:val="none" w:sz="0" w:space="0" w:color="auto"/>
            <w:bottom w:val="none" w:sz="0" w:space="0" w:color="auto"/>
            <w:right w:val="none" w:sz="0" w:space="0" w:color="auto"/>
          </w:divBdr>
          <w:divsChild>
            <w:div w:id="1558779191">
              <w:marLeft w:val="0"/>
              <w:marRight w:val="0"/>
              <w:marTop w:val="219"/>
              <w:marBottom w:val="0"/>
              <w:divBdr>
                <w:top w:val="none" w:sz="0" w:space="0" w:color="auto"/>
                <w:left w:val="none" w:sz="0" w:space="0" w:color="auto"/>
                <w:bottom w:val="none" w:sz="0" w:space="0" w:color="auto"/>
                <w:right w:val="none" w:sz="0" w:space="0" w:color="auto"/>
              </w:divBdr>
            </w:div>
            <w:div w:id="1564022621">
              <w:marLeft w:val="0"/>
              <w:marRight w:val="0"/>
              <w:marTop w:val="219"/>
              <w:marBottom w:val="0"/>
              <w:divBdr>
                <w:top w:val="none" w:sz="0" w:space="0" w:color="auto"/>
                <w:left w:val="none" w:sz="0" w:space="0" w:color="auto"/>
                <w:bottom w:val="none" w:sz="0" w:space="0" w:color="auto"/>
                <w:right w:val="none" w:sz="0" w:space="0" w:color="auto"/>
              </w:divBdr>
            </w:div>
            <w:div w:id="1548495796">
              <w:marLeft w:val="0"/>
              <w:marRight w:val="0"/>
              <w:marTop w:val="219"/>
              <w:marBottom w:val="0"/>
              <w:divBdr>
                <w:top w:val="none" w:sz="0" w:space="0" w:color="auto"/>
                <w:left w:val="none" w:sz="0" w:space="0" w:color="auto"/>
                <w:bottom w:val="none" w:sz="0" w:space="0" w:color="auto"/>
                <w:right w:val="none" w:sz="0" w:space="0" w:color="auto"/>
              </w:divBdr>
            </w:div>
            <w:div w:id="906188120">
              <w:marLeft w:val="0"/>
              <w:marRight w:val="0"/>
              <w:marTop w:val="219"/>
              <w:marBottom w:val="0"/>
              <w:divBdr>
                <w:top w:val="none" w:sz="0" w:space="0" w:color="auto"/>
                <w:left w:val="none" w:sz="0" w:space="0" w:color="auto"/>
                <w:bottom w:val="none" w:sz="0" w:space="0" w:color="auto"/>
                <w:right w:val="none" w:sz="0" w:space="0" w:color="auto"/>
              </w:divBdr>
            </w:div>
          </w:divsChild>
        </w:div>
        <w:div w:id="715080357">
          <w:marLeft w:val="0"/>
          <w:marRight w:val="0"/>
          <w:marTop w:val="260"/>
          <w:marBottom w:val="240"/>
          <w:divBdr>
            <w:top w:val="none" w:sz="0" w:space="0" w:color="auto"/>
            <w:left w:val="none" w:sz="0" w:space="0" w:color="auto"/>
            <w:bottom w:val="none" w:sz="0" w:space="0" w:color="auto"/>
            <w:right w:val="none" w:sz="0" w:space="0" w:color="auto"/>
          </w:divBdr>
          <w:divsChild>
            <w:div w:id="1541892332">
              <w:marLeft w:val="0"/>
              <w:marRight w:val="0"/>
              <w:marTop w:val="219"/>
              <w:marBottom w:val="0"/>
              <w:divBdr>
                <w:top w:val="none" w:sz="0" w:space="0" w:color="auto"/>
                <w:left w:val="none" w:sz="0" w:space="0" w:color="auto"/>
                <w:bottom w:val="none" w:sz="0" w:space="0" w:color="auto"/>
                <w:right w:val="none" w:sz="0" w:space="0" w:color="auto"/>
              </w:divBdr>
            </w:div>
            <w:div w:id="1115488751">
              <w:marLeft w:val="0"/>
              <w:marRight w:val="0"/>
              <w:marTop w:val="219"/>
              <w:marBottom w:val="0"/>
              <w:divBdr>
                <w:top w:val="none" w:sz="0" w:space="0" w:color="auto"/>
                <w:left w:val="none" w:sz="0" w:space="0" w:color="auto"/>
                <w:bottom w:val="none" w:sz="0" w:space="0" w:color="auto"/>
                <w:right w:val="none" w:sz="0" w:space="0" w:color="auto"/>
              </w:divBdr>
            </w:div>
            <w:div w:id="1047610354">
              <w:marLeft w:val="0"/>
              <w:marRight w:val="0"/>
              <w:marTop w:val="219"/>
              <w:marBottom w:val="0"/>
              <w:divBdr>
                <w:top w:val="none" w:sz="0" w:space="0" w:color="auto"/>
                <w:left w:val="none" w:sz="0" w:space="0" w:color="auto"/>
                <w:bottom w:val="none" w:sz="0" w:space="0" w:color="auto"/>
                <w:right w:val="none" w:sz="0" w:space="0" w:color="auto"/>
              </w:divBdr>
            </w:div>
            <w:div w:id="930356641">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183595090">
      <w:bodyDiv w:val="1"/>
      <w:marLeft w:val="0"/>
      <w:marRight w:val="0"/>
      <w:marTop w:val="0"/>
      <w:marBottom w:val="0"/>
      <w:divBdr>
        <w:top w:val="none" w:sz="0" w:space="0" w:color="auto"/>
        <w:left w:val="none" w:sz="0" w:space="0" w:color="auto"/>
        <w:bottom w:val="none" w:sz="0" w:space="0" w:color="auto"/>
        <w:right w:val="none" w:sz="0" w:space="0" w:color="auto"/>
      </w:divBdr>
    </w:div>
    <w:div w:id="1210264899">
      <w:bodyDiv w:val="1"/>
      <w:marLeft w:val="0"/>
      <w:marRight w:val="0"/>
      <w:marTop w:val="0"/>
      <w:marBottom w:val="0"/>
      <w:divBdr>
        <w:top w:val="none" w:sz="0" w:space="0" w:color="auto"/>
        <w:left w:val="none" w:sz="0" w:space="0" w:color="auto"/>
        <w:bottom w:val="none" w:sz="0" w:space="0" w:color="auto"/>
        <w:right w:val="none" w:sz="0" w:space="0" w:color="auto"/>
      </w:divBdr>
    </w:div>
    <w:div w:id="1248807556">
      <w:bodyDiv w:val="1"/>
      <w:marLeft w:val="0"/>
      <w:marRight w:val="0"/>
      <w:marTop w:val="0"/>
      <w:marBottom w:val="0"/>
      <w:divBdr>
        <w:top w:val="none" w:sz="0" w:space="0" w:color="auto"/>
        <w:left w:val="none" w:sz="0" w:space="0" w:color="auto"/>
        <w:bottom w:val="none" w:sz="0" w:space="0" w:color="auto"/>
        <w:right w:val="none" w:sz="0" w:space="0" w:color="auto"/>
      </w:divBdr>
    </w:div>
    <w:div w:id="1315573762">
      <w:bodyDiv w:val="1"/>
      <w:marLeft w:val="0"/>
      <w:marRight w:val="0"/>
      <w:marTop w:val="0"/>
      <w:marBottom w:val="0"/>
      <w:divBdr>
        <w:top w:val="none" w:sz="0" w:space="0" w:color="auto"/>
        <w:left w:val="none" w:sz="0" w:space="0" w:color="auto"/>
        <w:bottom w:val="none" w:sz="0" w:space="0" w:color="auto"/>
        <w:right w:val="none" w:sz="0" w:space="0" w:color="auto"/>
      </w:divBdr>
    </w:div>
    <w:div w:id="1480733022">
      <w:bodyDiv w:val="1"/>
      <w:marLeft w:val="0"/>
      <w:marRight w:val="0"/>
      <w:marTop w:val="0"/>
      <w:marBottom w:val="0"/>
      <w:divBdr>
        <w:top w:val="none" w:sz="0" w:space="0" w:color="auto"/>
        <w:left w:val="none" w:sz="0" w:space="0" w:color="auto"/>
        <w:bottom w:val="none" w:sz="0" w:space="0" w:color="auto"/>
        <w:right w:val="none" w:sz="0" w:space="0" w:color="auto"/>
      </w:divBdr>
    </w:div>
    <w:div w:id="1670447556">
      <w:bodyDiv w:val="1"/>
      <w:marLeft w:val="0"/>
      <w:marRight w:val="0"/>
      <w:marTop w:val="0"/>
      <w:marBottom w:val="0"/>
      <w:divBdr>
        <w:top w:val="none" w:sz="0" w:space="0" w:color="auto"/>
        <w:left w:val="none" w:sz="0" w:space="0" w:color="auto"/>
        <w:bottom w:val="none" w:sz="0" w:space="0" w:color="auto"/>
        <w:right w:val="none" w:sz="0" w:space="0" w:color="auto"/>
      </w:divBdr>
    </w:div>
    <w:div w:id="1724985710">
      <w:bodyDiv w:val="1"/>
      <w:marLeft w:val="0"/>
      <w:marRight w:val="0"/>
      <w:marTop w:val="0"/>
      <w:marBottom w:val="0"/>
      <w:divBdr>
        <w:top w:val="none" w:sz="0" w:space="0" w:color="auto"/>
        <w:left w:val="none" w:sz="0" w:space="0" w:color="auto"/>
        <w:bottom w:val="none" w:sz="0" w:space="0" w:color="auto"/>
        <w:right w:val="none" w:sz="0" w:space="0" w:color="auto"/>
      </w:divBdr>
    </w:div>
    <w:div w:id="1809081953">
      <w:bodyDiv w:val="1"/>
      <w:marLeft w:val="0"/>
      <w:marRight w:val="0"/>
      <w:marTop w:val="0"/>
      <w:marBottom w:val="0"/>
      <w:divBdr>
        <w:top w:val="none" w:sz="0" w:space="0" w:color="auto"/>
        <w:left w:val="none" w:sz="0" w:space="0" w:color="auto"/>
        <w:bottom w:val="none" w:sz="0" w:space="0" w:color="auto"/>
        <w:right w:val="none" w:sz="0" w:space="0" w:color="auto"/>
      </w:divBdr>
      <w:divsChild>
        <w:div w:id="1178040233">
          <w:marLeft w:val="0"/>
          <w:marRight w:val="0"/>
          <w:marTop w:val="0"/>
          <w:marBottom w:val="0"/>
          <w:divBdr>
            <w:top w:val="none" w:sz="0" w:space="0" w:color="auto"/>
            <w:left w:val="none" w:sz="0" w:space="0" w:color="auto"/>
            <w:bottom w:val="none" w:sz="0" w:space="0" w:color="auto"/>
            <w:right w:val="none" w:sz="0" w:space="0" w:color="auto"/>
          </w:divBdr>
        </w:div>
        <w:div w:id="782724677">
          <w:marLeft w:val="0"/>
          <w:marRight w:val="0"/>
          <w:marTop w:val="0"/>
          <w:marBottom w:val="0"/>
          <w:divBdr>
            <w:top w:val="none" w:sz="0" w:space="0" w:color="auto"/>
            <w:left w:val="none" w:sz="0" w:space="0" w:color="auto"/>
            <w:bottom w:val="none" w:sz="0" w:space="0" w:color="auto"/>
            <w:right w:val="none" w:sz="0" w:space="0" w:color="auto"/>
          </w:divBdr>
        </w:div>
      </w:divsChild>
    </w:div>
    <w:div w:id="18481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displayOtherLang(%22se:23_1%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i.radio-canada.ca/nouvelle/1037886/legislation-cannabis-danger-risque-jeunes-generations-psychiatres-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558A-AC0A-4F0C-85A6-F0267FC9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20334</Words>
  <Characters>111843</Characters>
  <Application>Microsoft Office Word</Application>
  <DocSecurity>0</DocSecurity>
  <Lines>932</Lines>
  <Paragraphs>263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2024-03-20T16:30:00Z</dcterms:created>
  <dcterms:modified xsi:type="dcterms:W3CDTF">2024-03-22T15:45:00Z</dcterms:modified>
</cp:coreProperties>
</file>