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55B97" w14:textId="6B49485C" w:rsidR="00325C3F" w:rsidRPr="00325C3F" w:rsidRDefault="00325C3F">
      <w:pPr>
        <w:rPr>
          <w:lang w:val="en-CA"/>
        </w:rPr>
      </w:pPr>
      <w:r w:rsidRPr="00325C3F">
        <w:rPr>
          <w:lang w:val="en-CA"/>
        </w:rPr>
        <w:t>Translated from the original F</w:t>
      </w:r>
      <w:r>
        <w:rPr>
          <w:lang w:val="en-CA"/>
        </w:rPr>
        <w:t>rench</w:t>
      </w:r>
    </w:p>
    <w:tbl>
      <w:tblPr>
        <w:tblW w:w="9505" w:type="dxa"/>
        <w:tblLayout w:type="fixed"/>
        <w:tblCellMar>
          <w:left w:w="70" w:type="dxa"/>
          <w:right w:w="70" w:type="dxa"/>
        </w:tblCellMar>
        <w:tblLook w:val="0000" w:firstRow="0" w:lastRow="0" w:firstColumn="0" w:lastColumn="0" w:noHBand="0" w:noVBand="0"/>
      </w:tblPr>
      <w:tblGrid>
        <w:gridCol w:w="1036"/>
        <w:gridCol w:w="69"/>
        <w:gridCol w:w="455"/>
        <w:gridCol w:w="65"/>
        <w:gridCol w:w="2344"/>
        <w:gridCol w:w="3116"/>
        <w:gridCol w:w="2420"/>
      </w:tblGrid>
      <w:tr w:rsidR="009F273F" w:rsidRPr="0050379F" w14:paraId="72206871" w14:textId="77777777" w:rsidTr="00C0771A">
        <w:trPr>
          <w:trHeight w:val="360"/>
        </w:trPr>
        <w:tc>
          <w:tcPr>
            <w:tcW w:w="7085" w:type="dxa"/>
            <w:gridSpan w:val="6"/>
          </w:tcPr>
          <w:p w14:paraId="44D1DE6F" w14:textId="77777777" w:rsidR="009F273F" w:rsidRPr="00325C3F" w:rsidRDefault="0050379F" w:rsidP="00C0771A">
            <w:pPr>
              <w:pStyle w:val="zSoquijdatRepertorie"/>
              <w:rPr>
                <w:rFonts w:cs="Arial"/>
              </w:rPr>
            </w:pPr>
            <w:r w:rsidRPr="00325C3F">
              <w:rPr>
                <w:rFonts w:cs="Arial"/>
              </w:rPr>
              <w:t>Groupe TVA Inc. v</w:t>
            </w:r>
            <w:r w:rsidR="009F273F" w:rsidRPr="00325C3F">
              <w:rPr>
                <w:rFonts w:cs="Arial"/>
              </w:rPr>
              <w:t>. Sûreté du Québec</w:t>
            </w:r>
          </w:p>
        </w:tc>
        <w:tc>
          <w:tcPr>
            <w:tcW w:w="2420" w:type="dxa"/>
          </w:tcPr>
          <w:p w14:paraId="424F2A8E" w14:textId="77777777" w:rsidR="009F273F" w:rsidRPr="00325C3F" w:rsidRDefault="009F273F" w:rsidP="00C0771A">
            <w:pPr>
              <w:pStyle w:val="zSoquijdatRefNeutre"/>
              <w:jc w:val="right"/>
              <w:rPr>
                <w:rFonts w:cs="Arial"/>
                <w:lang w:val="en-CA"/>
              </w:rPr>
            </w:pPr>
            <w:r w:rsidRPr="00325C3F">
              <w:rPr>
                <w:rFonts w:cs="Arial"/>
                <w:lang w:val="en-CA"/>
              </w:rPr>
              <w:t>2021 QCCQ 4924</w:t>
            </w:r>
          </w:p>
        </w:tc>
      </w:tr>
      <w:tr w:rsidR="009F273F" w:rsidRPr="0050379F" w14:paraId="066ACD36" w14:textId="77777777" w:rsidTr="00C0771A">
        <w:trPr>
          <w:trHeight w:val="900"/>
        </w:trPr>
        <w:tc>
          <w:tcPr>
            <w:tcW w:w="9505" w:type="dxa"/>
            <w:gridSpan w:val="7"/>
            <w:vAlign w:val="bottom"/>
          </w:tcPr>
          <w:p w14:paraId="6053B59A" w14:textId="77777777" w:rsidR="009F273F" w:rsidRPr="0050379F" w:rsidRDefault="00070DDC" w:rsidP="00070DDC">
            <w:pPr>
              <w:pStyle w:val="zSoquijlblCour"/>
              <w:rPr>
                <w:lang w:val="en-CA"/>
              </w:rPr>
            </w:pPr>
            <w:r w:rsidRPr="0050379F">
              <w:rPr>
                <w:lang w:val="en-CA"/>
              </w:rPr>
              <w:t xml:space="preserve">COURT OF </w:t>
            </w:r>
            <w:r w:rsidR="009F273F" w:rsidRPr="0050379F">
              <w:rPr>
                <w:lang w:val="en-CA"/>
              </w:rPr>
              <w:t>QUÉBEC</w:t>
            </w:r>
          </w:p>
        </w:tc>
      </w:tr>
      <w:tr w:rsidR="009F273F" w:rsidRPr="0050379F" w14:paraId="5B451D4C" w14:textId="77777777" w:rsidTr="00C0771A">
        <w:trPr>
          <w:trHeight w:val="540"/>
        </w:trPr>
        <w:tc>
          <w:tcPr>
            <w:tcW w:w="9505" w:type="dxa"/>
            <w:gridSpan w:val="7"/>
          </w:tcPr>
          <w:p w14:paraId="4A4F322F" w14:textId="77777777" w:rsidR="009F273F" w:rsidRPr="0050379F" w:rsidRDefault="009F273F" w:rsidP="00C0771A">
            <w:pPr>
              <w:pStyle w:val="zSoquijdatDivision"/>
              <w:rPr>
                <w:b/>
                <w:sz w:val="28"/>
                <w:szCs w:val="28"/>
                <w:lang w:val="en-CA"/>
              </w:rPr>
            </w:pPr>
          </w:p>
        </w:tc>
      </w:tr>
      <w:tr w:rsidR="009F273F" w:rsidRPr="0050379F" w14:paraId="62756F9B" w14:textId="77777777" w:rsidTr="00C0771A">
        <w:tc>
          <w:tcPr>
            <w:tcW w:w="9505" w:type="dxa"/>
            <w:gridSpan w:val="7"/>
          </w:tcPr>
          <w:p w14:paraId="0581DFDA" w14:textId="77777777" w:rsidR="009F273F" w:rsidRPr="0050379F" w:rsidRDefault="009F273F" w:rsidP="00C0771A">
            <w:pPr>
              <w:pStyle w:val="zSoquijlblPays"/>
              <w:rPr>
                <w:lang w:val="en-CA"/>
              </w:rPr>
            </w:pPr>
            <w:r w:rsidRPr="0050379F">
              <w:rPr>
                <w:lang w:val="en-CA"/>
              </w:rPr>
              <w:t>CANADA</w:t>
            </w:r>
          </w:p>
        </w:tc>
      </w:tr>
      <w:tr w:rsidR="009F273F" w:rsidRPr="0050379F" w14:paraId="27972896" w14:textId="77777777" w:rsidTr="00C0771A">
        <w:tc>
          <w:tcPr>
            <w:tcW w:w="9505" w:type="dxa"/>
            <w:gridSpan w:val="7"/>
          </w:tcPr>
          <w:p w14:paraId="4E477D1A" w14:textId="5D64C624" w:rsidR="009F273F" w:rsidRPr="0050379F" w:rsidRDefault="009F273F" w:rsidP="00070DDC">
            <w:pPr>
              <w:pStyle w:val="zSoquijlblProvince"/>
              <w:rPr>
                <w:lang w:val="en-CA"/>
              </w:rPr>
            </w:pPr>
            <w:r w:rsidRPr="0050379F">
              <w:rPr>
                <w:lang w:val="en-CA"/>
              </w:rPr>
              <w:t xml:space="preserve">PROVINCE </w:t>
            </w:r>
            <w:r w:rsidR="00070DDC" w:rsidRPr="0050379F">
              <w:rPr>
                <w:lang w:val="en-CA"/>
              </w:rPr>
              <w:t>OF</w:t>
            </w:r>
            <w:r w:rsidRPr="0050379F">
              <w:rPr>
                <w:lang w:val="en-CA"/>
              </w:rPr>
              <w:t xml:space="preserve"> QU</w:t>
            </w:r>
            <w:r w:rsidR="0032342D">
              <w:rPr>
                <w:lang w:val="en-CA"/>
              </w:rPr>
              <w:t>E</w:t>
            </w:r>
            <w:r w:rsidRPr="0050379F">
              <w:rPr>
                <w:lang w:val="en-CA"/>
              </w:rPr>
              <w:t>BEC</w:t>
            </w:r>
          </w:p>
        </w:tc>
      </w:tr>
      <w:tr w:rsidR="009F273F" w:rsidRPr="0050379F" w14:paraId="60F64DE9" w14:textId="77777777" w:rsidTr="00C0771A">
        <w:tblPrEx>
          <w:tblCellMar>
            <w:left w:w="0" w:type="dxa"/>
            <w:right w:w="0" w:type="dxa"/>
          </w:tblCellMar>
        </w:tblPrEx>
        <w:trPr>
          <w:cantSplit/>
        </w:trPr>
        <w:tc>
          <w:tcPr>
            <w:tcW w:w="1625" w:type="dxa"/>
            <w:gridSpan w:val="4"/>
          </w:tcPr>
          <w:p w14:paraId="6CFCC9AC" w14:textId="77777777" w:rsidR="009F273F" w:rsidRPr="0050379F" w:rsidRDefault="009F273F" w:rsidP="00070DDC">
            <w:pPr>
              <w:pStyle w:val="zSoquijlblGreffe"/>
              <w:rPr>
                <w:lang w:val="en-CA"/>
              </w:rPr>
            </w:pPr>
            <w:r w:rsidRPr="0050379F">
              <w:rPr>
                <w:lang w:val="en-CA"/>
              </w:rPr>
              <w:t xml:space="preserve">DISTRICT </w:t>
            </w:r>
            <w:r w:rsidR="00070DDC" w:rsidRPr="0050379F">
              <w:rPr>
                <w:lang w:val="en-CA"/>
              </w:rPr>
              <w:t>OF</w:t>
            </w:r>
          </w:p>
        </w:tc>
        <w:tc>
          <w:tcPr>
            <w:tcW w:w="7880" w:type="dxa"/>
            <w:gridSpan w:val="3"/>
          </w:tcPr>
          <w:p w14:paraId="38D1BAC1" w14:textId="1D68817B" w:rsidR="009F273F" w:rsidRPr="0050379F" w:rsidRDefault="009F273F" w:rsidP="00C0771A">
            <w:pPr>
              <w:pStyle w:val="zSoquijdatGreffe"/>
              <w:ind w:left="0"/>
              <w:rPr>
                <w:lang w:val="en-CA"/>
              </w:rPr>
            </w:pPr>
            <w:r w:rsidRPr="0050379F">
              <w:rPr>
                <w:lang w:val="en-CA"/>
              </w:rPr>
              <w:t>MONTR</w:t>
            </w:r>
            <w:r w:rsidR="0032342D">
              <w:rPr>
                <w:lang w:val="en-CA"/>
              </w:rPr>
              <w:t>E</w:t>
            </w:r>
            <w:r w:rsidRPr="0050379F">
              <w:rPr>
                <w:lang w:val="en-CA"/>
              </w:rPr>
              <w:t>AL</w:t>
            </w:r>
          </w:p>
        </w:tc>
      </w:tr>
      <w:tr w:rsidR="009F273F" w:rsidRPr="0050379F" w14:paraId="005F521B" w14:textId="77777777" w:rsidTr="00C0771A">
        <w:trPr>
          <w:trHeight w:val="540"/>
        </w:trPr>
        <w:tc>
          <w:tcPr>
            <w:tcW w:w="9505" w:type="dxa"/>
            <w:gridSpan w:val="7"/>
          </w:tcPr>
          <w:p w14:paraId="6417CEA4" w14:textId="77777777" w:rsidR="009F273F" w:rsidRPr="0050379F" w:rsidRDefault="0050379F" w:rsidP="008310E8">
            <w:pPr>
              <w:pStyle w:val="zSoquijlblNomChambre"/>
              <w:rPr>
                <w:lang w:val="en-CA"/>
              </w:rPr>
            </w:pPr>
            <w:r>
              <w:rPr>
                <w:lang w:val="en-CA"/>
              </w:rPr>
              <w:t>“</w:t>
            </w:r>
            <w:r w:rsidR="00070DDC" w:rsidRPr="0050379F">
              <w:rPr>
                <w:lang w:val="en-CA"/>
              </w:rPr>
              <w:t xml:space="preserve">Criminal and </w:t>
            </w:r>
            <w:r w:rsidR="008310E8" w:rsidRPr="0050379F">
              <w:rPr>
                <w:lang w:val="en-CA"/>
              </w:rPr>
              <w:t>Penal</w:t>
            </w:r>
            <w:r w:rsidR="00070DDC" w:rsidRPr="0050379F">
              <w:rPr>
                <w:lang w:val="en-CA"/>
              </w:rPr>
              <w:t xml:space="preserve"> Division</w:t>
            </w:r>
            <w:r>
              <w:rPr>
                <w:lang w:val="en-CA"/>
              </w:rPr>
              <w:t>”</w:t>
            </w:r>
          </w:p>
        </w:tc>
      </w:tr>
      <w:tr w:rsidR="009F273F" w:rsidRPr="0050379F" w14:paraId="0267318D" w14:textId="77777777" w:rsidTr="00C0771A">
        <w:tc>
          <w:tcPr>
            <w:tcW w:w="1105" w:type="dxa"/>
            <w:gridSpan w:val="2"/>
          </w:tcPr>
          <w:p w14:paraId="63DD9831" w14:textId="77777777" w:rsidR="009F273F" w:rsidRPr="0050379F" w:rsidRDefault="00070DDC" w:rsidP="00C0771A">
            <w:pPr>
              <w:pStyle w:val="zSoquijlblNoDossier"/>
              <w:rPr>
                <w:lang w:val="en-CA"/>
              </w:rPr>
            </w:pPr>
            <w:r w:rsidRPr="0050379F">
              <w:rPr>
                <w:lang w:val="en-CA"/>
              </w:rPr>
              <w:t>No</w:t>
            </w:r>
            <w:r w:rsidR="009F273F" w:rsidRPr="0050379F">
              <w:rPr>
                <w:lang w:val="en-CA"/>
              </w:rPr>
              <w:t>:</w:t>
            </w:r>
          </w:p>
        </w:tc>
        <w:tc>
          <w:tcPr>
            <w:tcW w:w="8400" w:type="dxa"/>
            <w:gridSpan w:val="5"/>
          </w:tcPr>
          <w:p w14:paraId="47248D75" w14:textId="77777777" w:rsidR="009F273F" w:rsidRPr="0050379F" w:rsidRDefault="009F273F" w:rsidP="00C0771A">
            <w:pPr>
              <w:pStyle w:val="zSoquijdatNoDossier"/>
              <w:rPr>
                <w:lang w:val="en-CA"/>
              </w:rPr>
            </w:pPr>
            <w:r w:rsidRPr="0050379F">
              <w:rPr>
                <w:lang w:val="en-CA"/>
              </w:rPr>
              <w:t>500-26-121035-202</w:t>
            </w:r>
          </w:p>
          <w:p w14:paraId="60539AD1" w14:textId="77777777" w:rsidR="009F273F" w:rsidRPr="0050379F" w:rsidRDefault="009F273F" w:rsidP="00C0771A">
            <w:pPr>
              <w:pStyle w:val="zSoquijdatNoDossier"/>
              <w:rPr>
                <w:lang w:val="en-CA"/>
              </w:rPr>
            </w:pPr>
          </w:p>
        </w:tc>
      </w:tr>
      <w:tr w:rsidR="009F273F" w:rsidRPr="0050379F" w14:paraId="1B9DD2E8" w14:textId="77777777" w:rsidTr="00C0771A">
        <w:trPr>
          <w:cantSplit/>
          <w:trHeight w:val="235"/>
        </w:trPr>
        <w:tc>
          <w:tcPr>
            <w:tcW w:w="9505" w:type="dxa"/>
            <w:gridSpan w:val="7"/>
          </w:tcPr>
          <w:p w14:paraId="4BE497BC" w14:textId="77777777" w:rsidR="009F273F" w:rsidRPr="0050379F" w:rsidRDefault="009F273F" w:rsidP="00C0771A">
            <w:pPr>
              <w:rPr>
                <w:lang w:val="en-CA"/>
              </w:rPr>
            </w:pPr>
          </w:p>
        </w:tc>
      </w:tr>
      <w:tr w:rsidR="009F273F" w:rsidRPr="0050379F" w14:paraId="37CC6F31" w14:textId="77777777" w:rsidTr="00C0771A">
        <w:tc>
          <w:tcPr>
            <w:tcW w:w="1036" w:type="dxa"/>
          </w:tcPr>
          <w:p w14:paraId="10B0BCF7" w14:textId="77777777" w:rsidR="009F273F" w:rsidRPr="0050379F" w:rsidRDefault="00070DDC" w:rsidP="00C0771A">
            <w:pPr>
              <w:pStyle w:val="zSoquijlblDateJugement"/>
              <w:rPr>
                <w:lang w:val="en-CA"/>
              </w:rPr>
            </w:pPr>
            <w:r w:rsidRPr="0050379F">
              <w:rPr>
                <w:lang w:val="en-CA"/>
              </w:rPr>
              <w:t>DATE</w:t>
            </w:r>
            <w:r w:rsidR="009F273F" w:rsidRPr="0050379F">
              <w:rPr>
                <w:lang w:val="en-CA"/>
              </w:rPr>
              <w:t>:</w:t>
            </w:r>
          </w:p>
        </w:tc>
        <w:tc>
          <w:tcPr>
            <w:tcW w:w="8469" w:type="dxa"/>
            <w:gridSpan w:val="6"/>
          </w:tcPr>
          <w:p w14:paraId="674E096C" w14:textId="77777777" w:rsidR="009F273F" w:rsidRPr="0050379F" w:rsidRDefault="009F273F" w:rsidP="00070DDC">
            <w:pPr>
              <w:pStyle w:val="zSoquijdatDateJugement"/>
              <w:rPr>
                <w:lang w:val="en-CA"/>
              </w:rPr>
            </w:pPr>
            <w:r w:rsidRPr="0050379F">
              <w:rPr>
                <w:lang w:val="en-CA"/>
              </w:rPr>
              <w:t xml:space="preserve"> </w:t>
            </w:r>
            <w:r w:rsidR="00070DDC" w:rsidRPr="0050379F">
              <w:rPr>
                <w:lang w:val="en-CA"/>
              </w:rPr>
              <w:t>June 10,</w:t>
            </w:r>
            <w:r w:rsidRPr="0050379F">
              <w:rPr>
                <w:lang w:val="en-CA"/>
              </w:rPr>
              <w:t xml:space="preserve"> 2021</w:t>
            </w:r>
          </w:p>
        </w:tc>
      </w:tr>
      <w:tr w:rsidR="009F273F" w:rsidRPr="0050379F" w14:paraId="7FA1B476" w14:textId="77777777" w:rsidTr="00C0771A">
        <w:tc>
          <w:tcPr>
            <w:tcW w:w="9505" w:type="dxa"/>
            <w:gridSpan w:val="7"/>
          </w:tcPr>
          <w:p w14:paraId="38D2876A" w14:textId="77777777" w:rsidR="009F273F" w:rsidRPr="0050379F" w:rsidRDefault="009F273F" w:rsidP="00C0771A">
            <w:pPr>
              <w:ind w:left="14" w:right="-67"/>
              <w:rPr>
                <w:lang w:val="en-CA"/>
              </w:rPr>
            </w:pPr>
            <w:r w:rsidRPr="0050379F">
              <w:rPr>
                <w:lang w:val="en-CA"/>
              </w:rPr>
              <w:t>______________________________________________________________________</w:t>
            </w:r>
          </w:p>
        </w:tc>
      </w:tr>
      <w:tr w:rsidR="009F273F" w:rsidRPr="0050379F" w14:paraId="671D8A74" w14:textId="77777777" w:rsidTr="00C0771A">
        <w:tc>
          <w:tcPr>
            <w:tcW w:w="9505" w:type="dxa"/>
            <w:gridSpan w:val="7"/>
          </w:tcPr>
          <w:p w14:paraId="79951397" w14:textId="77777777" w:rsidR="009F273F" w:rsidRPr="0050379F" w:rsidRDefault="009F273F" w:rsidP="00C0771A">
            <w:pPr>
              <w:rPr>
                <w:lang w:val="en-CA"/>
              </w:rPr>
            </w:pPr>
          </w:p>
        </w:tc>
      </w:tr>
      <w:tr w:rsidR="009F273F" w:rsidRPr="0050379F" w14:paraId="79FB67B1" w14:textId="77777777" w:rsidTr="00A62788">
        <w:tblPrEx>
          <w:tblCellMar>
            <w:left w:w="0" w:type="dxa"/>
            <w:right w:w="0" w:type="dxa"/>
          </w:tblCellMar>
        </w:tblPrEx>
        <w:tc>
          <w:tcPr>
            <w:tcW w:w="1560" w:type="dxa"/>
            <w:gridSpan w:val="3"/>
          </w:tcPr>
          <w:p w14:paraId="7355750E" w14:textId="77777777" w:rsidR="009F273F" w:rsidRPr="0050379F" w:rsidRDefault="00070DDC" w:rsidP="00C0771A">
            <w:pPr>
              <w:pStyle w:val="zSoquijlblJuge"/>
              <w:rPr>
                <w:lang w:val="en-CA"/>
              </w:rPr>
            </w:pPr>
            <w:r w:rsidRPr="0050379F">
              <w:rPr>
                <w:lang w:val="en-CA"/>
              </w:rPr>
              <w:t xml:space="preserve">PRESIDING: </w:t>
            </w:r>
          </w:p>
        </w:tc>
        <w:tc>
          <w:tcPr>
            <w:tcW w:w="2409" w:type="dxa"/>
            <w:gridSpan w:val="2"/>
          </w:tcPr>
          <w:p w14:paraId="30789006" w14:textId="34B9BBD7" w:rsidR="009F273F" w:rsidRPr="0050379F" w:rsidRDefault="00325C3F" w:rsidP="00C0771A">
            <w:pPr>
              <w:pStyle w:val="zSoquijdatQteJuge"/>
              <w:rPr>
                <w:lang w:val="en-CA"/>
              </w:rPr>
            </w:pPr>
            <w:r>
              <w:rPr>
                <w:lang w:val="en-CA"/>
              </w:rPr>
              <w:t xml:space="preserve">THE </w:t>
            </w:r>
            <w:r w:rsidR="009F273F" w:rsidRPr="0050379F">
              <w:rPr>
                <w:lang w:val="en-CA"/>
              </w:rPr>
              <w:t>HONO</w:t>
            </w:r>
            <w:r w:rsidR="00A62788">
              <w:rPr>
                <w:lang w:val="en-CA"/>
              </w:rPr>
              <w:t>U</w:t>
            </w:r>
            <w:r w:rsidR="009F273F" w:rsidRPr="0050379F">
              <w:rPr>
                <w:lang w:val="en-CA"/>
              </w:rPr>
              <w:t>RABLE</w:t>
            </w:r>
          </w:p>
        </w:tc>
        <w:tc>
          <w:tcPr>
            <w:tcW w:w="5536" w:type="dxa"/>
            <w:gridSpan w:val="2"/>
          </w:tcPr>
          <w:p w14:paraId="1C3A0C6D" w14:textId="77777777" w:rsidR="009F273F" w:rsidRPr="00461702" w:rsidRDefault="009F273F" w:rsidP="00C0771A">
            <w:pPr>
              <w:pStyle w:val="zSoquijdatJuge"/>
              <w:ind w:left="0"/>
            </w:pPr>
            <w:r w:rsidRPr="00461702">
              <w:t xml:space="preserve"> ALEXANDRE DALMAU, J.C.Q.</w:t>
            </w:r>
          </w:p>
        </w:tc>
      </w:tr>
      <w:tr w:rsidR="009F273F" w:rsidRPr="0050379F" w14:paraId="11A36A0B" w14:textId="77777777" w:rsidTr="00C0771A">
        <w:tc>
          <w:tcPr>
            <w:tcW w:w="9505" w:type="dxa"/>
            <w:gridSpan w:val="7"/>
          </w:tcPr>
          <w:p w14:paraId="3CC5F70C" w14:textId="77777777" w:rsidR="009F273F" w:rsidRPr="0050379F" w:rsidRDefault="009F273F" w:rsidP="00C0771A">
            <w:pPr>
              <w:ind w:left="14" w:right="-67"/>
              <w:rPr>
                <w:lang w:val="en-CA"/>
              </w:rPr>
            </w:pPr>
            <w:r w:rsidRPr="0050379F">
              <w:rPr>
                <w:lang w:val="en-CA"/>
              </w:rPr>
              <w:t>______________________________________________________________________</w:t>
            </w:r>
          </w:p>
        </w:tc>
      </w:tr>
      <w:tr w:rsidR="009F273F" w:rsidRPr="0050379F" w14:paraId="26605404" w14:textId="77777777" w:rsidTr="00C0771A">
        <w:tc>
          <w:tcPr>
            <w:tcW w:w="9505" w:type="dxa"/>
            <w:gridSpan w:val="7"/>
          </w:tcPr>
          <w:p w14:paraId="4527E3F0" w14:textId="77777777" w:rsidR="009F273F" w:rsidRPr="0050379F" w:rsidRDefault="009F273F" w:rsidP="00C0771A">
            <w:pPr>
              <w:pStyle w:val="zSoquijlblTitrePartie"/>
              <w:rPr>
                <w:lang w:val="en-CA"/>
              </w:rPr>
            </w:pPr>
          </w:p>
        </w:tc>
      </w:tr>
      <w:tr w:rsidR="009F273F" w:rsidRPr="0050379F" w14:paraId="58D573E0" w14:textId="77777777" w:rsidTr="00C0771A">
        <w:tc>
          <w:tcPr>
            <w:tcW w:w="9505" w:type="dxa"/>
            <w:gridSpan w:val="7"/>
          </w:tcPr>
          <w:p w14:paraId="5883F186" w14:textId="77777777" w:rsidR="009F273F" w:rsidRPr="0050379F" w:rsidRDefault="009F273F" w:rsidP="00C0771A">
            <w:pPr>
              <w:pStyle w:val="zSoquijdatNomPartieDem"/>
              <w:rPr>
                <w:lang w:val="en-CA"/>
              </w:rPr>
            </w:pPr>
            <w:r w:rsidRPr="0050379F">
              <w:rPr>
                <w:lang w:val="en-CA"/>
              </w:rPr>
              <w:t>GROUPE TVA INC.</w:t>
            </w:r>
          </w:p>
        </w:tc>
      </w:tr>
      <w:tr w:rsidR="009F273F" w:rsidRPr="0050379F" w14:paraId="02D08875" w14:textId="77777777" w:rsidTr="00C0771A">
        <w:tc>
          <w:tcPr>
            <w:tcW w:w="9505" w:type="dxa"/>
            <w:gridSpan w:val="7"/>
          </w:tcPr>
          <w:p w14:paraId="0FCB3C2F" w14:textId="77777777" w:rsidR="009F273F" w:rsidRPr="0050379F" w:rsidRDefault="00070DDC" w:rsidP="00070DDC">
            <w:pPr>
              <w:pStyle w:val="zSoquijdatQtePartieDem"/>
              <w:rPr>
                <w:lang w:val="en-CA"/>
              </w:rPr>
            </w:pPr>
            <w:r w:rsidRPr="0050379F">
              <w:rPr>
                <w:lang w:val="en-CA"/>
              </w:rPr>
              <w:t>Applicant</w:t>
            </w:r>
            <w:r w:rsidR="009F273F" w:rsidRPr="0050379F">
              <w:rPr>
                <w:lang w:val="en-CA"/>
              </w:rPr>
              <w:t>-</w:t>
            </w:r>
            <w:r w:rsidRPr="0050379F">
              <w:rPr>
                <w:lang w:val="en-CA"/>
              </w:rPr>
              <w:t>Garnishee</w:t>
            </w:r>
          </w:p>
        </w:tc>
      </w:tr>
      <w:tr w:rsidR="009F273F" w:rsidRPr="0050379F" w14:paraId="125AD9A6" w14:textId="77777777" w:rsidTr="00C0771A">
        <w:tc>
          <w:tcPr>
            <w:tcW w:w="9505" w:type="dxa"/>
            <w:gridSpan w:val="7"/>
          </w:tcPr>
          <w:p w14:paraId="150F9885" w14:textId="77777777" w:rsidR="009F273F" w:rsidRPr="0050379F" w:rsidRDefault="00070DDC" w:rsidP="00C0771A">
            <w:pPr>
              <w:pStyle w:val="zSoquijlblLienParties"/>
              <w:spacing w:before="120" w:after="120"/>
              <w:rPr>
                <w:lang w:val="en-CA"/>
              </w:rPr>
            </w:pPr>
            <w:r w:rsidRPr="0050379F">
              <w:rPr>
                <w:lang w:val="en-CA"/>
              </w:rPr>
              <w:t>v</w:t>
            </w:r>
            <w:r w:rsidR="009F273F" w:rsidRPr="0050379F">
              <w:rPr>
                <w:lang w:val="en-CA"/>
              </w:rPr>
              <w:t>.</w:t>
            </w:r>
          </w:p>
        </w:tc>
      </w:tr>
      <w:tr w:rsidR="009F273F" w:rsidRPr="0050379F" w14:paraId="6E4F10C6" w14:textId="77777777" w:rsidTr="00C0771A">
        <w:tc>
          <w:tcPr>
            <w:tcW w:w="9505" w:type="dxa"/>
            <w:gridSpan w:val="7"/>
          </w:tcPr>
          <w:p w14:paraId="425C69AE" w14:textId="77777777" w:rsidR="009F273F" w:rsidRPr="0050379F" w:rsidRDefault="009F273F" w:rsidP="00C0771A">
            <w:pPr>
              <w:pStyle w:val="zSoquijdatNomPartieDef"/>
              <w:rPr>
                <w:lang w:val="en-CA"/>
              </w:rPr>
            </w:pPr>
            <w:r w:rsidRPr="0050379F">
              <w:rPr>
                <w:lang w:val="en-CA"/>
              </w:rPr>
              <w:t>SÛRETÉ DU QUÉBEC</w:t>
            </w:r>
          </w:p>
        </w:tc>
      </w:tr>
      <w:tr w:rsidR="009F273F" w:rsidRPr="0050379F" w14:paraId="38434A04" w14:textId="77777777" w:rsidTr="00C0771A">
        <w:tc>
          <w:tcPr>
            <w:tcW w:w="9505" w:type="dxa"/>
            <w:gridSpan w:val="7"/>
          </w:tcPr>
          <w:p w14:paraId="6A437097" w14:textId="77777777" w:rsidR="009F273F" w:rsidRPr="0050379F" w:rsidRDefault="00070DDC" w:rsidP="00070DDC">
            <w:pPr>
              <w:pStyle w:val="zSoquijdatQtePartieDef"/>
              <w:rPr>
                <w:lang w:val="en-CA"/>
              </w:rPr>
            </w:pPr>
            <w:r w:rsidRPr="0050379F">
              <w:rPr>
                <w:lang w:val="en-CA"/>
              </w:rPr>
              <w:t>Respondent</w:t>
            </w:r>
            <w:r w:rsidR="009F273F" w:rsidRPr="0050379F">
              <w:rPr>
                <w:lang w:val="en-CA"/>
              </w:rPr>
              <w:t>-</w:t>
            </w:r>
            <w:r w:rsidRPr="0050379F">
              <w:rPr>
                <w:lang w:val="en-CA"/>
              </w:rPr>
              <w:t>Garnishing Authority</w:t>
            </w:r>
          </w:p>
        </w:tc>
      </w:tr>
      <w:tr w:rsidR="009F273F" w:rsidRPr="0050379F" w14:paraId="7CDD62ED" w14:textId="77777777" w:rsidTr="00C0771A">
        <w:tc>
          <w:tcPr>
            <w:tcW w:w="9505" w:type="dxa"/>
            <w:gridSpan w:val="7"/>
          </w:tcPr>
          <w:p w14:paraId="087B4A48" w14:textId="77777777" w:rsidR="009F273F" w:rsidRPr="0050379F" w:rsidRDefault="009F273F" w:rsidP="00C0771A">
            <w:pPr>
              <w:ind w:left="14" w:right="-95"/>
              <w:rPr>
                <w:lang w:val="en-CA"/>
              </w:rPr>
            </w:pPr>
            <w:r w:rsidRPr="0050379F">
              <w:rPr>
                <w:lang w:val="en-CA"/>
              </w:rPr>
              <w:t>______________________________________________________________________</w:t>
            </w:r>
          </w:p>
        </w:tc>
      </w:tr>
      <w:tr w:rsidR="009F273F" w:rsidRPr="0050379F" w14:paraId="47377068" w14:textId="77777777" w:rsidTr="00C0771A">
        <w:tc>
          <w:tcPr>
            <w:tcW w:w="9505" w:type="dxa"/>
            <w:gridSpan w:val="7"/>
          </w:tcPr>
          <w:p w14:paraId="542915D5" w14:textId="77777777" w:rsidR="009F273F" w:rsidRPr="0050379F" w:rsidRDefault="009F273F" w:rsidP="00C0771A">
            <w:pPr>
              <w:jc w:val="center"/>
              <w:rPr>
                <w:lang w:val="en-CA"/>
              </w:rPr>
            </w:pPr>
          </w:p>
        </w:tc>
      </w:tr>
      <w:tr w:rsidR="009F273F" w:rsidRPr="0050379F" w14:paraId="17FB67FA" w14:textId="77777777" w:rsidTr="00C0771A">
        <w:tc>
          <w:tcPr>
            <w:tcW w:w="9505" w:type="dxa"/>
            <w:gridSpan w:val="7"/>
          </w:tcPr>
          <w:p w14:paraId="76BBDA69" w14:textId="77777777" w:rsidR="0074426F" w:rsidRDefault="00CD442B" w:rsidP="008310E8">
            <w:pPr>
              <w:pStyle w:val="zSoquijlblTypeDocument"/>
              <w:rPr>
                <w:b/>
                <w:lang w:val="en-CA"/>
              </w:rPr>
            </w:pPr>
            <w:r w:rsidRPr="0050379F">
              <w:rPr>
                <w:b/>
                <w:lang w:val="en-CA"/>
              </w:rPr>
              <w:t>DE</w:t>
            </w:r>
            <w:r w:rsidR="009F273F" w:rsidRPr="0050379F">
              <w:rPr>
                <w:b/>
                <w:lang w:val="en-CA"/>
              </w:rPr>
              <w:t xml:space="preserve">CISION </w:t>
            </w:r>
            <w:r w:rsidRPr="0050379F">
              <w:rPr>
                <w:b/>
                <w:lang w:val="en-CA"/>
              </w:rPr>
              <w:t xml:space="preserve">ON AN APPLICATION FOR NON-PRODUCTION AND </w:t>
            </w:r>
          </w:p>
          <w:p w14:paraId="34E0326E" w14:textId="43B54E30" w:rsidR="009F273F" w:rsidRPr="0050379F" w:rsidRDefault="00CD442B" w:rsidP="008310E8">
            <w:pPr>
              <w:pStyle w:val="zSoquijlblTypeDocument"/>
              <w:rPr>
                <w:b/>
                <w:lang w:val="en-CA"/>
              </w:rPr>
            </w:pPr>
            <w:r w:rsidRPr="0050379F">
              <w:rPr>
                <w:b/>
                <w:lang w:val="en-CA"/>
              </w:rPr>
              <w:t xml:space="preserve">NON-DISCLOSURE OF DOCUMENTS </w:t>
            </w:r>
            <w:r w:rsidR="009F273F" w:rsidRPr="0050379F">
              <w:rPr>
                <w:b/>
                <w:lang w:val="en-CA"/>
              </w:rPr>
              <w:t>(</w:t>
            </w:r>
            <w:r w:rsidR="0074426F">
              <w:rPr>
                <w:b/>
                <w:lang w:val="en-CA"/>
              </w:rPr>
              <w:t>s</w:t>
            </w:r>
            <w:r w:rsidRPr="0050379F">
              <w:rPr>
                <w:b/>
                <w:lang w:val="en-CA"/>
              </w:rPr>
              <w:t>ubsection</w:t>
            </w:r>
            <w:r w:rsidR="009F273F" w:rsidRPr="0050379F">
              <w:rPr>
                <w:b/>
                <w:lang w:val="en-CA"/>
              </w:rPr>
              <w:t xml:space="preserve"> 488.02(3) </w:t>
            </w:r>
            <w:r w:rsidR="00325C3F" w:rsidRPr="00325C3F">
              <w:rPr>
                <w:b/>
                <w:i/>
                <w:iCs/>
                <w:lang w:val="en-CA"/>
              </w:rPr>
              <w:t>Cr. C.</w:t>
            </w:r>
            <w:r w:rsidR="00325C3F">
              <w:rPr>
                <w:b/>
                <w:lang w:val="en-CA"/>
              </w:rPr>
              <w:t>)</w:t>
            </w:r>
          </w:p>
        </w:tc>
      </w:tr>
      <w:tr w:rsidR="009F273F" w:rsidRPr="0050379F" w14:paraId="3721B49A" w14:textId="77777777" w:rsidTr="00C0771A">
        <w:tc>
          <w:tcPr>
            <w:tcW w:w="9505" w:type="dxa"/>
            <w:gridSpan w:val="7"/>
          </w:tcPr>
          <w:p w14:paraId="22D09646" w14:textId="77777777" w:rsidR="009F273F" w:rsidRPr="0050379F" w:rsidRDefault="009F273F" w:rsidP="00C0771A">
            <w:pPr>
              <w:ind w:left="14" w:right="-70"/>
              <w:rPr>
                <w:lang w:val="en-CA"/>
              </w:rPr>
            </w:pPr>
            <w:r w:rsidRPr="0050379F">
              <w:rPr>
                <w:lang w:val="en-CA"/>
              </w:rPr>
              <w:t>______________________________________________________________________</w:t>
            </w:r>
          </w:p>
        </w:tc>
      </w:tr>
      <w:tr w:rsidR="009F273F" w:rsidRPr="0050379F" w14:paraId="416798B9" w14:textId="77777777" w:rsidTr="00C0771A">
        <w:tc>
          <w:tcPr>
            <w:tcW w:w="9505" w:type="dxa"/>
            <w:gridSpan w:val="7"/>
          </w:tcPr>
          <w:p w14:paraId="231A4220" w14:textId="77777777" w:rsidR="009F273F" w:rsidRPr="0050379F" w:rsidRDefault="009F273F" w:rsidP="00C0771A">
            <w:pPr>
              <w:spacing w:before="120"/>
              <w:ind w:right="862"/>
              <w:jc w:val="both"/>
              <w:rPr>
                <w:sz w:val="20"/>
                <w:lang w:val="en-CA"/>
              </w:rPr>
            </w:pPr>
          </w:p>
        </w:tc>
      </w:tr>
    </w:tbl>
    <w:p w14:paraId="3E5AB58B" w14:textId="77777777" w:rsidR="009F273F" w:rsidRPr="0050379F" w:rsidRDefault="009F273F" w:rsidP="009F273F">
      <w:pPr>
        <w:rPr>
          <w:vanish/>
          <w:lang w:val="en-CA"/>
        </w:rPr>
      </w:pPr>
    </w:p>
    <w:p w14:paraId="38F36226" w14:textId="723E0FBB" w:rsidR="009F273F" w:rsidRPr="0050379F" w:rsidRDefault="00CD442B" w:rsidP="009F273F">
      <w:pPr>
        <w:pStyle w:val="Paragraphe"/>
        <w:tabs>
          <w:tab w:val="clear" w:pos="360"/>
          <w:tab w:val="num" w:pos="709"/>
        </w:tabs>
        <w:spacing w:line="240" w:lineRule="auto"/>
        <w:rPr>
          <w:lang w:val="en-CA"/>
        </w:rPr>
      </w:pPr>
      <w:r w:rsidRPr="0050379F">
        <w:rPr>
          <w:lang w:val="en-CA"/>
        </w:rPr>
        <w:t xml:space="preserve">On November 17, 2020, on an </w:t>
      </w:r>
      <w:r w:rsidRPr="00A42FC3">
        <w:rPr>
          <w:i/>
          <w:lang w:val="en-CA"/>
        </w:rPr>
        <w:t>ex parte</w:t>
      </w:r>
      <w:r w:rsidR="00A42FC3">
        <w:rPr>
          <w:lang w:val="en-CA"/>
        </w:rPr>
        <w:t xml:space="preserve"> application </w:t>
      </w:r>
      <w:r w:rsidR="00E03A43">
        <w:rPr>
          <w:lang w:val="en-CA"/>
        </w:rPr>
        <w:t xml:space="preserve">by </w:t>
      </w:r>
      <w:r w:rsidRPr="0050379F">
        <w:rPr>
          <w:lang w:val="en-CA"/>
        </w:rPr>
        <w:t xml:space="preserve">a peace officer of the </w:t>
      </w:r>
      <w:r w:rsidR="009F273F" w:rsidRPr="00077BF7">
        <w:rPr>
          <w:iCs/>
          <w:lang w:val="en-CA"/>
        </w:rPr>
        <w:t>Sûreté</w:t>
      </w:r>
      <w:r w:rsidR="009F273F" w:rsidRPr="003E5A23">
        <w:rPr>
          <w:iCs/>
          <w:lang w:val="en-CA"/>
        </w:rPr>
        <w:t xml:space="preserve"> </w:t>
      </w:r>
      <w:r w:rsidR="009F273F" w:rsidRPr="00077BF7">
        <w:rPr>
          <w:iCs/>
          <w:lang w:val="en-CA"/>
        </w:rPr>
        <w:t>du Québec</w:t>
      </w:r>
      <w:r w:rsidR="009F273F" w:rsidRPr="0050379F">
        <w:rPr>
          <w:lang w:val="en-CA"/>
        </w:rPr>
        <w:t xml:space="preserve">, </w:t>
      </w:r>
      <w:r w:rsidRPr="0050379F">
        <w:rPr>
          <w:lang w:val="en-CA"/>
        </w:rPr>
        <w:t xml:space="preserve">the Court, acting as a </w:t>
      </w:r>
      <w:r w:rsidR="00330C56" w:rsidRPr="0050379F">
        <w:rPr>
          <w:lang w:val="en-CA"/>
        </w:rPr>
        <w:t>“</w:t>
      </w:r>
      <w:r w:rsidRPr="0050379F">
        <w:rPr>
          <w:lang w:val="en-CA"/>
        </w:rPr>
        <w:t>judge</w:t>
      </w:r>
      <w:r w:rsidR="00330C56" w:rsidRPr="0050379F">
        <w:rPr>
          <w:lang w:val="en-CA"/>
        </w:rPr>
        <w:t>”</w:t>
      </w:r>
      <w:r w:rsidRPr="0050379F">
        <w:rPr>
          <w:lang w:val="en-CA"/>
        </w:rPr>
        <w:t xml:space="preserve"> within the meaning of section </w:t>
      </w:r>
      <w:r w:rsidR="009F273F" w:rsidRPr="0050379F">
        <w:rPr>
          <w:lang w:val="en-CA"/>
        </w:rPr>
        <w:t xml:space="preserve">487.011 </w:t>
      </w:r>
      <w:r w:rsidR="00A42174">
        <w:rPr>
          <w:lang w:val="en-CA"/>
        </w:rPr>
        <w:t xml:space="preserve">of the </w:t>
      </w:r>
      <w:r w:rsidRPr="0050379F">
        <w:rPr>
          <w:i/>
          <w:lang w:val="en-CA"/>
        </w:rPr>
        <w:t>Criminal</w:t>
      </w:r>
      <w:r w:rsidRPr="0050379F">
        <w:rPr>
          <w:lang w:val="en-CA"/>
        </w:rPr>
        <w:t xml:space="preserve"> </w:t>
      </w:r>
      <w:r w:rsidRPr="0050379F">
        <w:rPr>
          <w:i/>
          <w:lang w:val="en-CA"/>
        </w:rPr>
        <w:t>Code</w:t>
      </w:r>
      <w:r w:rsidRPr="0050379F">
        <w:rPr>
          <w:lang w:val="en-CA"/>
        </w:rPr>
        <w:t>, rendered a general production order (</w:t>
      </w:r>
      <w:r w:rsidR="003E5A23">
        <w:rPr>
          <w:lang w:val="en-CA"/>
        </w:rPr>
        <w:t>s</w:t>
      </w:r>
      <w:r w:rsidRPr="0050379F">
        <w:rPr>
          <w:lang w:val="en-CA"/>
        </w:rPr>
        <w:t xml:space="preserve">ection 487.014 </w:t>
      </w:r>
      <w:r w:rsidR="00325C3F" w:rsidRPr="00325C3F">
        <w:rPr>
          <w:i/>
          <w:lang w:val="en-CA"/>
        </w:rPr>
        <w:t>Cr.</w:t>
      </w:r>
      <w:r w:rsidR="00A42174">
        <w:rPr>
          <w:i/>
          <w:lang w:val="en-CA"/>
        </w:rPr>
        <w:t> </w:t>
      </w:r>
      <w:r w:rsidR="00325C3F" w:rsidRPr="00325C3F">
        <w:rPr>
          <w:i/>
          <w:lang w:val="en-CA"/>
        </w:rPr>
        <w:t>C.</w:t>
      </w:r>
      <w:r w:rsidRPr="0050379F">
        <w:rPr>
          <w:lang w:val="en-CA"/>
        </w:rPr>
        <w:t>) against Groupe TVA I</w:t>
      </w:r>
      <w:r w:rsidR="009F273F" w:rsidRPr="0050379F">
        <w:rPr>
          <w:lang w:val="en-CA"/>
        </w:rPr>
        <w:t>nc.</w:t>
      </w:r>
    </w:p>
    <w:p w14:paraId="6C091EAC" w14:textId="507BA387" w:rsidR="009F273F" w:rsidRPr="0050379F" w:rsidRDefault="00330C56" w:rsidP="009F273F">
      <w:pPr>
        <w:pStyle w:val="Paragraphe"/>
        <w:tabs>
          <w:tab w:val="clear" w:pos="360"/>
          <w:tab w:val="num" w:pos="709"/>
        </w:tabs>
        <w:spacing w:line="240" w:lineRule="auto"/>
        <w:rPr>
          <w:lang w:val="en-CA"/>
        </w:rPr>
      </w:pPr>
      <w:r w:rsidRPr="0050379F">
        <w:rPr>
          <w:lang w:val="en-CA"/>
        </w:rPr>
        <w:t>The</w:t>
      </w:r>
      <w:r w:rsidR="009F273F" w:rsidRPr="0050379F">
        <w:rPr>
          <w:lang w:val="en-CA"/>
        </w:rPr>
        <w:t xml:space="preserve"> documents </w:t>
      </w:r>
      <w:r w:rsidRPr="0050379F">
        <w:rPr>
          <w:lang w:val="en-CA"/>
        </w:rPr>
        <w:t xml:space="preserve">submitted in support of this application and the general production order itself are the </w:t>
      </w:r>
      <w:r w:rsidR="00A42174">
        <w:rPr>
          <w:lang w:val="en-CA"/>
        </w:rPr>
        <w:t>subject</w:t>
      </w:r>
      <w:r w:rsidR="00A42174" w:rsidRPr="0050379F">
        <w:rPr>
          <w:lang w:val="en-CA"/>
        </w:rPr>
        <w:t xml:space="preserve"> </w:t>
      </w:r>
      <w:r w:rsidRPr="0050379F">
        <w:rPr>
          <w:lang w:val="en-CA"/>
        </w:rPr>
        <w:t xml:space="preserve">of an order </w:t>
      </w:r>
      <w:r w:rsidR="00A42174">
        <w:rPr>
          <w:lang w:val="en-CA"/>
        </w:rPr>
        <w:t>denying</w:t>
      </w:r>
      <w:r w:rsidR="00A42174" w:rsidRPr="0050379F">
        <w:rPr>
          <w:lang w:val="en-CA"/>
        </w:rPr>
        <w:t xml:space="preserve"> </w:t>
      </w:r>
      <w:r w:rsidRPr="0050379F">
        <w:rPr>
          <w:lang w:val="en-CA"/>
        </w:rPr>
        <w:t>access to information under section 487.3</w:t>
      </w:r>
      <w:r w:rsidR="00E03A43">
        <w:rPr>
          <w:lang w:val="en-CA"/>
        </w:rPr>
        <w:t> </w:t>
      </w:r>
      <w:r w:rsidR="00325C3F" w:rsidRPr="00325C3F">
        <w:rPr>
          <w:i/>
          <w:lang w:val="en-CA"/>
        </w:rPr>
        <w:t>Cr. C.</w:t>
      </w:r>
      <w:r w:rsidRPr="0050379F">
        <w:rPr>
          <w:lang w:val="en-CA"/>
        </w:rPr>
        <w:t xml:space="preserve"> To comply with this order and avoid identifying confidential journalistic sources, the hearings </w:t>
      </w:r>
      <w:r w:rsidR="00E03A43">
        <w:rPr>
          <w:lang w:val="en-CA"/>
        </w:rPr>
        <w:t>on</w:t>
      </w:r>
      <w:r w:rsidR="00E03A43" w:rsidRPr="0050379F">
        <w:rPr>
          <w:lang w:val="en-CA"/>
        </w:rPr>
        <w:t xml:space="preserve"> </w:t>
      </w:r>
      <w:r w:rsidRPr="0050379F">
        <w:rPr>
          <w:lang w:val="en-CA"/>
        </w:rPr>
        <w:t>the app</w:t>
      </w:r>
      <w:r w:rsidR="006F42B3">
        <w:rPr>
          <w:lang w:val="en-CA"/>
        </w:rPr>
        <w:t>lication presented by Groupe TVA</w:t>
      </w:r>
      <w:r w:rsidRPr="0050379F">
        <w:rPr>
          <w:lang w:val="en-CA"/>
        </w:rPr>
        <w:t xml:space="preserve"> Inc. were held </w:t>
      </w:r>
      <w:r w:rsidRPr="0050379F">
        <w:rPr>
          <w:i/>
          <w:lang w:val="en-CA"/>
        </w:rPr>
        <w:t>in camera</w:t>
      </w:r>
      <w:r w:rsidR="00E03A43">
        <w:rPr>
          <w:iCs/>
          <w:lang w:val="en-CA"/>
        </w:rPr>
        <w:t>,</w:t>
      </w:r>
      <w:r w:rsidRPr="0050379F">
        <w:rPr>
          <w:lang w:val="en-CA"/>
        </w:rPr>
        <w:t xml:space="preserve"> and this decision deliberately avoids </w:t>
      </w:r>
      <w:r w:rsidR="00E03A43">
        <w:rPr>
          <w:lang w:val="en-CA"/>
        </w:rPr>
        <w:t>referring</w:t>
      </w:r>
      <w:r w:rsidR="00E03A43" w:rsidRPr="0050379F">
        <w:rPr>
          <w:lang w:val="en-CA"/>
        </w:rPr>
        <w:t xml:space="preserve"> </w:t>
      </w:r>
      <w:r w:rsidR="00E03A43">
        <w:rPr>
          <w:lang w:val="en-CA"/>
        </w:rPr>
        <w:t xml:space="preserve">to </w:t>
      </w:r>
      <w:r w:rsidRPr="0050379F">
        <w:rPr>
          <w:lang w:val="en-CA"/>
        </w:rPr>
        <w:t>certain aspects.</w:t>
      </w:r>
    </w:p>
    <w:p w14:paraId="34EAA8A4" w14:textId="3B09E50C" w:rsidR="009F273F" w:rsidRPr="0050379F" w:rsidRDefault="00330C56" w:rsidP="009F273F">
      <w:pPr>
        <w:pStyle w:val="Paragraphe"/>
        <w:tabs>
          <w:tab w:val="clear" w:pos="360"/>
          <w:tab w:val="num" w:pos="709"/>
        </w:tabs>
        <w:spacing w:line="240" w:lineRule="auto"/>
        <w:rPr>
          <w:lang w:val="en-CA"/>
        </w:rPr>
      </w:pPr>
      <w:r w:rsidRPr="0050379F">
        <w:rPr>
          <w:lang w:val="en-CA"/>
        </w:rPr>
        <w:t xml:space="preserve">The elements sought in the production order are </w:t>
      </w:r>
      <w:r w:rsidRPr="0050379F">
        <w:rPr>
          <w:smallCaps/>
          <w:lang w:val="en-CA"/>
        </w:rPr>
        <w:t xml:space="preserve">[translation] </w:t>
      </w:r>
      <w:r w:rsidR="005C2997" w:rsidRPr="0050379F">
        <w:rPr>
          <w:lang w:val="en-CA"/>
        </w:rPr>
        <w:t>“</w:t>
      </w:r>
      <w:r w:rsidRPr="0050379F">
        <w:rPr>
          <w:lang w:val="en-CA"/>
        </w:rPr>
        <w:t xml:space="preserve">the </w:t>
      </w:r>
      <w:r w:rsidR="009F273F" w:rsidRPr="0050379F">
        <w:rPr>
          <w:lang w:val="en-CA"/>
        </w:rPr>
        <w:t xml:space="preserve">original </w:t>
      </w:r>
      <w:r w:rsidRPr="0050379F">
        <w:rPr>
          <w:lang w:val="en-CA"/>
        </w:rPr>
        <w:t>or</w:t>
      </w:r>
      <w:r w:rsidR="003E5A23">
        <w:rPr>
          <w:lang w:val="en-CA"/>
        </w:rPr>
        <w:t>,</w:t>
      </w:r>
      <w:r w:rsidRPr="0050379F">
        <w:rPr>
          <w:lang w:val="en-CA"/>
        </w:rPr>
        <w:t xml:space="preserve"> failing that, a true copy of the audio</w:t>
      </w:r>
      <w:r w:rsidR="001C06E7">
        <w:rPr>
          <w:lang w:val="en-CA"/>
        </w:rPr>
        <w:t xml:space="preserve"> recordings</w:t>
      </w:r>
      <w:r w:rsidRPr="0050379F">
        <w:rPr>
          <w:lang w:val="en-CA"/>
        </w:rPr>
        <w:t xml:space="preserve">/video </w:t>
      </w:r>
      <w:r w:rsidR="001C06E7">
        <w:rPr>
          <w:lang w:val="en-CA"/>
        </w:rPr>
        <w:t xml:space="preserve">interviews featuring </w:t>
      </w:r>
      <w:r w:rsidR="00A42FC3">
        <w:rPr>
          <w:lang w:val="en-CA"/>
        </w:rPr>
        <w:t xml:space="preserve">the complete </w:t>
      </w:r>
      <w:r w:rsidR="00A42FC3">
        <w:rPr>
          <w:lang w:val="en-CA"/>
        </w:rPr>
        <w:lastRenderedPageBreak/>
        <w:t>conversations</w:t>
      </w:r>
      <w:r w:rsidR="005C2997" w:rsidRPr="0050379F">
        <w:rPr>
          <w:lang w:val="en-CA"/>
        </w:rPr>
        <w:t>”</w:t>
      </w:r>
      <w:r w:rsidRPr="0050379F">
        <w:rPr>
          <w:lang w:val="en-CA"/>
        </w:rPr>
        <w:t xml:space="preserve"> between the team members of a news program </w:t>
      </w:r>
      <w:r w:rsidR="00986716">
        <w:rPr>
          <w:lang w:val="en-CA"/>
        </w:rPr>
        <w:t>broadcast</w:t>
      </w:r>
      <w:r w:rsidRPr="0050379F">
        <w:rPr>
          <w:lang w:val="en-CA"/>
        </w:rPr>
        <w:t xml:space="preserve"> by Groupe TVA Inc.</w:t>
      </w:r>
      <w:r w:rsidR="005C2997" w:rsidRPr="0050379F">
        <w:rPr>
          <w:lang w:val="en-CA"/>
        </w:rPr>
        <w:t xml:space="preserve"> and three persons who, for the purposes of this decision, </w:t>
      </w:r>
      <w:r w:rsidR="003E5A23">
        <w:rPr>
          <w:lang w:val="en-CA"/>
        </w:rPr>
        <w:t xml:space="preserve">the Court will refer to as </w:t>
      </w:r>
      <w:r w:rsidR="009F273F" w:rsidRPr="0050379F">
        <w:rPr>
          <w:lang w:val="en-CA"/>
        </w:rPr>
        <w:t>A, B</w:t>
      </w:r>
      <w:r w:rsidR="003E5A23">
        <w:rPr>
          <w:lang w:val="en-CA"/>
        </w:rPr>
        <w:t>,</w:t>
      </w:r>
      <w:r w:rsidR="009F273F" w:rsidRPr="0050379F">
        <w:rPr>
          <w:lang w:val="en-CA"/>
        </w:rPr>
        <w:t xml:space="preserve"> </w:t>
      </w:r>
      <w:r w:rsidR="005C2997" w:rsidRPr="0050379F">
        <w:rPr>
          <w:lang w:val="en-CA"/>
        </w:rPr>
        <w:t>and</w:t>
      </w:r>
      <w:r w:rsidR="009F273F" w:rsidRPr="0050379F">
        <w:rPr>
          <w:lang w:val="en-CA"/>
        </w:rPr>
        <w:t xml:space="preserve"> C.</w:t>
      </w:r>
    </w:p>
    <w:p w14:paraId="295474AB" w14:textId="77777777" w:rsidR="009F273F" w:rsidRPr="0050379F" w:rsidRDefault="005C2997" w:rsidP="009F273F">
      <w:pPr>
        <w:pStyle w:val="Paragraphe"/>
        <w:tabs>
          <w:tab w:val="clear" w:pos="360"/>
          <w:tab w:val="num" w:pos="709"/>
        </w:tabs>
        <w:spacing w:line="240" w:lineRule="auto"/>
        <w:rPr>
          <w:lang w:val="en-CA"/>
        </w:rPr>
      </w:pPr>
      <w:r w:rsidRPr="0050379F">
        <w:rPr>
          <w:lang w:val="en-CA"/>
        </w:rPr>
        <w:t xml:space="preserve">Because the elements sought seem to </w:t>
      </w:r>
      <w:r w:rsidR="006F42B3">
        <w:rPr>
          <w:lang w:val="en-CA"/>
        </w:rPr>
        <w:t>stem</w:t>
      </w:r>
      <w:r w:rsidRPr="0050379F">
        <w:rPr>
          <w:lang w:val="en-CA"/>
        </w:rPr>
        <w:t xml:space="preserve"> from journalistic work, two special conditions were provided in the production order. </w:t>
      </w:r>
    </w:p>
    <w:p w14:paraId="280C9CD7" w14:textId="7F999BD4" w:rsidR="009F273F" w:rsidRPr="0050379F" w:rsidRDefault="005C2997" w:rsidP="009F273F">
      <w:pPr>
        <w:pStyle w:val="Paragraphe"/>
        <w:tabs>
          <w:tab w:val="clear" w:pos="360"/>
          <w:tab w:val="num" w:pos="709"/>
        </w:tabs>
        <w:spacing w:line="240" w:lineRule="auto"/>
        <w:rPr>
          <w:lang w:val="en-CA"/>
        </w:rPr>
      </w:pPr>
      <w:r w:rsidRPr="0050379F">
        <w:rPr>
          <w:lang w:val="en-CA"/>
        </w:rPr>
        <w:t>The first one reads as follows</w:t>
      </w:r>
      <w:r w:rsidR="009F273F" w:rsidRPr="0050379F">
        <w:rPr>
          <w:lang w:val="en-CA"/>
        </w:rPr>
        <w:t xml:space="preserve">: </w:t>
      </w:r>
      <w:r w:rsidRPr="0050379F">
        <w:rPr>
          <w:smallCaps/>
          <w:lang w:val="en-CA"/>
        </w:rPr>
        <w:t xml:space="preserve">[translation] </w:t>
      </w:r>
      <w:r w:rsidRPr="0050379F">
        <w:rPr>
          <w:lang w:val="en-CA"/>
        </w:rPr>
        <w:t xml:space="preserve">“The recordings saved on computer media shall be kept in a sealed packet and </w:t>
      </w:r>
      <w:r w:rsidR="006F42B3">
        <w:rPr>
          <w:lang w:val="en-CA"/>
        </w:rPr>
        <w:t>delivered</w:t>
      </w:r>
      <w:r w:rsidRPr="0050379F">
        <w:rPr>
          <w:lang w:val="en-CA"/>
        </w:rPr>
        <w:t xml:space="preserve"> to a judge of the Court of Québec as soon as possible and may not be listened to or viewed before being </w:t>
      </w:r>
      <w:r w:rsidR="00617EFB">
        <w:rPr>
          <w:lang w:val="en-CA"/>
        </w:rPr>
        <w:t xml:space="preserve">duly </w:t>
      </w:r>
      <w:r w:rsidRPr="0050379F">
        <w:rPr>
          <w:lang w:val="en-CA"/>
        </w:rPr>
        <w:t xml:space="preserve">authorized </w:t>
      </w:r>
      <w:r w:rsidR="00617EFB">
        <w:rPr>
          <w:lang w:val="en-CA"/>
        </w:rPr>
        <w:t xml:space="preserve">to do so </w:t>
      </w:r>
      <w:r w:rsidRPr="0050379F">
        <w:rPr>
          <w:lang w:val="en-CA"/>
        </w:rPr>
        <w:t>by a J.C.Q.</w:t>
      </w:r>
      <w:r w:rsidR="009F273F" w:rsidRPr="0050379F">
        <w:rPr>
          <w:lang w:val="en-CA"/>
        </w:rPr>
        <w:t xml:space="preserve"> </w:t>
      </w:r>
      <w:r w:rsidRPr="0050379F">
        <w:rPr>
          <w:lang w:val="en-CA"/>
        </w:rPr>
        <w:t xml:space="preserve">(488.02) </w:t>
      </w:r>
      <w:r w:rsidR="00325C3F" w:rsidRPr="00325C3F">
        <w:rPr>
          <w:i/>
          <w:lang w:val="en-CA"/>
        </w:rPr>
        <w:t>Cr. C.</w:t>
      </w:r>
      <w:r w:rsidRPr="0050379F">
        <w:rPr>
          <w:lang w:val="en-CA"/>
        </w:rPr>
        <w:t>”</w:t>
      </w:r>
    </w:p>
    <w:p w14:paraId="06E999FC" w14:textId="617AE20C" w:rsidR="009F273F" w:rsidRPr="0050379F" w:rsidRDefault="005C2997" w:rsidP="009F273F">
      <w:pPr>
        <w:pStyle w:val="Paragraphe"/>
        <w:tabs>
          <w:tab w:val="clear" w:pos="360"/>
          <w:tab w:val="num" w:pos="709"/>
        </w:tabs>
        <w:spacing w:line="240" w:lineRule="auto"/>
        <w:rPr>
          <w:lang w:val="en-CA"/>
        </w:rPr>
      </w:pPr>
      <w:r w:rsidRPr="0050379F">
        <w:rPr>
          <w:lang w:val="en-CA"/>
        </w:rPr>
        <w:t xml:space="preserve">The judge added the following condition: </w:t>
      </w:r>
      <w:r w:rsidRPr="0050379F">
        <w:rPr>
          <w:smallCaps/>
          <w:lang w:val="en-CA"/>
        </w:rPr>
        <w:t>[translation]</w:t>
      </w:r>
      <w:r w:rsidRPr="0050379F">
        <w:rPr>
          <w:lang w:val="en-CA"/>
        </w:rPr>
        <w:t xml:space="preserve"> </w:t>
      </w:r>
      <w:r w:rsidR="00292F15" w:rsidRPr="0050379F">
        <w:rPr>
          <w:lang w:val="en-CA"/>
        </w:rPr>
        <w:t>“</w:t>
      </w:r>
      <w:r w:rsidRPr="0050379F">
        <w:rPr>
          <w:lang w:val="en-CA"/>
        </w:rPr>
        <w:t>To allow the media to make submissions</w:t>
      </w:r>
      <w:r w:rsidR="00617EFB">
        <w:rPr>
          <w:lang w:val="en-CA"/>
        </w:rPr>
        <w:t>, if appropriate</w:t>
      </w:r>
      <w:r w:rsidRPr="0050379F">
        <w:rPr>
          <w:lang w:val="en-CA"/>
        </w:rPr>
        <w:t>, about the protection of the confidentiality of journalistic sources and to allow the media to supply information relevant to bala</w:t>
      </w:r>
      <w:r w:rsidR="00C44208" w:rsidRPr="0050379F">
        <w:rPr>
          <w:lang w:val="en-CA"/>
        </w:rPr>
        <w:t>n</w:t>
      </w:r>
      <w:r w:rsidRPr="0050379F">
        <w:rPr>
          <w:lang w:val="en-CA"/>
        </w:rPr>
        <w:t xml:space="preserve">cing the interests at stake </w:t>
      </w:r>
      <w:r w:rsidR="00292F15" w:rsidRPr="0050379F">
        <w:rPr>
          <w:lang w:val="en-CA"/>
        </w:rPr>
        <w:t xml:space="preserve">if </w:t>
      </w:r>
      <w:r w:rsidR="00A42FC3">
        <w:rPr>
          <w:lang w:val="en-CA"/>
        </w:rPr>
        <w:t>it</w:t>
      </w:r>
      <w:r w:rsidR="00292F15" w:rsidRPr="0050379F">
        <w:rPr>
          <w:lang w:val="en-CA"/>
        </w:rPr>
        <w:t xml:space="preserve"> want</w:t>
      </w:r>
      <w:r w:rsidR="00617EFB">
        <w:rPr>
          <w:lang w:val="en-CA"/>
        </w:rPr>
        <w:t>s to</w:t>
      </w:r>
      <w:r w:rsidR="00292F15" w:rsidRPr="0050379F">
        <w:rPr>
          <w:lang w:val="en-CA"/>
        </w:rPr>
        <w:t xml:space="preserve"> </w:t>
      </w:r>
      <w:r w:rsidR="009F273F" w:rsidRPr="0050379F">
        <w:rPr>
          <w:lang w:val="en-CA"/>
        </w:rPr>
        <w:t>(</w:t>
      </w:r>
      <w:r w:rsidR="009F273F" w:rsidRPr="0050379F">
        <w:rPr>
          <w:i/>
          <w:lang w:val="en-CA"/>
        </w:rPr>
        <w:t>R.</w:t>
      </w:r>
      <w:r w:rsidR="00292F15" w:rsidRPr="0050379F">
        <w:rPr>
          <w:lang w:val="en-CA"/>
        </w:rPr>
        <w:t xml:space="preserve"> </w:t>
      </w:r>
      <w:r w:rsidR="00617EFB">
        <w:rPr>
          <w:i/>
          <w:iCs/>
          <w:lang w:val="en-CA"/>
        </w:rPr>
        <w:t>v</w:t>
      </w:r>
      <w:r w:rsidR="009F273F" w:rsidRPr="0050379F">
        <w:rPr>
          <w:lang w:val="en-CA"/>
        </w:rPr>
        <w:t xml:space="preserve">. </w:t>
      </w:r>
      <w:r w:rsidR="00292F15" w:rsidRPr="0050379F">
        <w:rPr>
          <w:i/>
          <w:lang w:val="en-CA"/>
        </w:rPr>
        <w:t>Vice Media Canada I</w:t>
      </w:r>
      <w:r w:rsidR="009F273F" w:rsidRPr="0050379F">
        <w:rPr>
          <w:i/>
          <w:lang w:val="en-CA"/>
        </w:rPr>
        <w:t>nc.</w:t>
      </w:r>
      <w:r w:rsidR="00617EFB">
        <w:rPr>
          <w:iCs/>
          <w:lang w:val="en-CA"/>
        </w:rPr>
        <w:t>,</w:t>
      </w:r>
      <w:r w:rsidR="009F273F" w:rsidRPr="0050379F">
        <w:rPr>
          <w:lang w:val="en-CA"/>
        </w:rPr>
        <w:t xml:space="preserve"> 2018 </w:t>
      </w:r>
      <w:r w:rsidR="006F42B3">
        <w:rPr>
          <w:lang w:val="en-CA"/>
        </w:rPr>
        <w:t>SCC</w:t>
      </w:r>
      <w:r w:rsidR="009F273F" w:rsidRPr="0050379F">
        <w:rPr>
          <w:lang w:val="en-CA"/>
        </w:rPr>
        <w:t xml:space="preserve"> 53), </w:t>
      </w:r>
      <w:r w:rsidR="00292F15" w:rsidRPr="0050379F">
        <w:rPr>
          <w:lang w:val="en-CA"/>
        </w:rPr>
        <w:t xml:space="preserve">I order that the documents or data obtained </w:t>
      </w:r>
      <w:r w:rsidR="00617EFB">
        <w:rPr>
          <w:lang w:val="en-CA"/>
        </w:rPr>
        <w:t>through</w:t>
      </w:r>
      <w:r w:rsidR="00617EFB" w:rsidRPr="0050379F">
        <w:rPr>
          <w:lang w:val="en-CA"/>
        </w:rPr>
        <w:t xml:space="preserve"> </w:t>
      </w:r>
      <w:r w:rsidR="00292F15" w:rsidRPr="0050379F">
        <w:rPr>
          <w:lang w:val="en-CA"/>
        </w:rPr>
        <w:t xml:space="preserve">the execution of this order be dealt with pursuant to section </w:t>
      </w:r>
      <w:r w:rsidR="009F273F" w:rsidRPr="0050379F">
        <w:rPr>
          <w:lang w:val="en-CA"/>
        </w:rPr>
        <w:t xml:space="preserve">488.02 </w:t>
      </w:r>
      <w:r w:rsidR="00325C3F" w:rsidRPr="00325C3F">
        <w:rPr>
          <w:i/>
          <w:lang w:val="en-CA"/>
        </w:rPr>
        <w:t>Cr. C.</w:t>
      </w:r>
      <w:r w:rsidR="00617EFB">
        <w:rPr>
          <w:iCs/>
          <w:lang w:val="en-CA"/>
        </w:rPr>
        <w:t>,</w:t>
      </w:r>
      <w:r w:rsidR="00292F15" w:rsidRPr="0050379F">
        <w:rPr>
          <w:lang w:val="en-CA"/>
        </w:rPr>
        <w:t xml:space="preserve"> including the obligation to give notice under subsection </w:t>
      </w:r>
      <w:r w:rsidR="009F273F" w:rsidRPr="0050379F">
        <w:rPr>
          <w:lang w:val="en-CA"/>
        </w:rPr>
        <w:t xml:space="preserve">488.02(2) </w:t>
      </w:r>
      <w:r w:rsidR="00325C3F" w:rsidRPr="00325C3F">
        <w:rPr>
          <w:i/>
          <w:lang w:val="en-CA"/>
        </w:rPr>
        <w:t>Cr. C.</w:t>
      </w:r>
      <w:r w:rsidR="00292F15" w:rsidRPr="0050379F">
        <w:rPr>
          <w:lang w:val="en-CA"/>
        </w:rPr>
        <w:t xml:space="preserve">” </w:t>
      </w:r>
    </w:p>
    <w:p w14:paraId="4AC4FCA9" w14:textId="66CFB2B7" w:rsidR="009F273F" w:rsidRPr="0050379F" w:rsidRDefault="00F377AA" w:rsidP="009F273F">
      <w:pPr>
        <w:pStyle w:val="Paragraphe"/>
        <w:tabs>
          <w:tab w:val="clear" w:pos="360"/>
          <w:tab w:val="num" w:pos="709"/>
        </w:tabs>
        <w:spacing w:line="240" w:lineRule="auto"/>
        <w:rPr>
          <w:lang w:val="en-CA"/>
        </w:rPr>
      </w:pPr>
      <w:r>
        <w:rPr>
          <w:lang w:val="en-CA"/>
        </w:rPr>
        <w:t>The parties complied with t</w:t>
      </w:r>
      <w:r w:rsidR="00292F15" w:rsidRPr="0050379F">
        <w:rPr>
          <w:lang w:val="en-CA"/>
        </w:rPr>
        <w:t>hese</w:t>
      </w:r>
      <w:r w:rsidR="009F273F" w:rsidRPr="0050379F">
        <w:rPr>
          <w:lang w:val="en-CA"/>
        </w:rPr>
        <w:t xml:space="preserve"> conditions</w:t>
      </w:r>
      <w:r>
        <w:rPr>
          <w:lang w:val="en-CA"/>
        </w:rPr>
        <w:t>, and Groupe TVA Inc. filed the</w:t>
      </w:r>
      <w:r w:rsidR="00292F15" w:rsidRPr="0050379F">
        <w:rPr>
          <w:lang w:val="en-CA"/>
        </w:rPr>
        <w:t xml:space="preserve"> content sought with the Court, which sealed it. </w:t>
      </w:r>
    </w:p>
    <w:p w14:paraId="021DCE5E" w14:textId="4569937F" w:rsidR="009F273F" w:rsidRPr="0050379F" w:rsidRDefault="00292F15" w:rsidP="009F273F">
      <w:pPr>
        <w:pStyle w:val="Paragraphe"/>
        <w:tabs>
          <w:tab w:val="clear" w:pos="360"/>
          <w:tab w:val="num" w:pos="709"/>
        </w:tabs>
        <w:spacing w:line="240" w:lineRule="auto"/>
        <w:rPr>
          <w:lang w:val="en-CA"/>
        </w:rPr>
      </w:pPr>
      <w:r w:rsidRPr="0050379F">
        <w:rPr>
          <w:lang w:val="en-CA"/>
        </w:rPr>
        <w:t>Groupe TVA I</w:t>
      </w:r>
      <w:r w:rsidR="009F273F" w:rsidRPr="0050379F">
        <w:rPr>
          <w:lang w:val="en-CA"/>
        </w:rPr>
        <w:t xml:space="preserve">nc. </w:t>
      </w:r>
      <w:r w:rsidRPr="0050379F">
        <w:rPr>
          <w:lang w:val="en-CA"/>
        </w:rPr>
        <w:t xml:space="preserve">also filed an </w:t>
      </w:r>
      <w:r w:rsidR="00617EFB">
        <w:rPr>
          <w:lang w:val="en-CA"/>
        </w:rPr>
        <w:t>[</w:t>
      </w:r>
      <w:r w:rsidR="00617EFB" w:rsidRPr="00077BF7">
        <w:rPr>
          <w:smallCaps/>
          <w:lang w:val="en-CA"/>
        </w:rPr>
        <w:t>translation</w:t>
      </w:r>
      <w:r w:rsidR="00617EFB">
        <w:rPr>
          <w:smallCaps/>
          <w:lang w:val="en-CA"/>
        </w:rPr>
        <w:t>]</w:t>
      </w:r>
      <w:r w:rsidR="00617EFB">
        <w:rPr>
          <w:lang w:val="en-CA"/>
        </w:rPr>
        <w:t xml:space="preserve"> </w:t>
      </w:r>
      <w:r w:rsidRPr="0050379F">
        <w:rPr>
          <w:lang w:val="en-CA"/>
        </w:rPr>
        <w:t xml:space="preserve">“Application for an order of non-production and non-disclosure of documents </w:t>
      </w:r>
      <w:r w:rsidR="009F273F" w:rsidRPr="0050379F">
        <w:rPr>
          <w:lang w:val="en-CA"/>
        </w:rPr>
        <w:t>(</w:t>
      </w:r>
      <w:r w:rsidRPr="0050379F">
        <w:rPr>
          <w:lang w:val="en-CA"/>
        </w:rPr>
        <w:t>subsections</w:t>
      </w:r>
      <w:r w:rsidR="009F273F" w:rsidRPr="0050379F">
        <w:rPr>
          <w:lang w:val="en-CA"/>
        </w:rPr>
        <w:t xml:space="preserve"> 488.02(3) </w:t>
      </w:r>
      <w:r w:rsidR="00325C3F" w:rsidRPr="00325C3F">
        <w:rPr>
          <w:i/>
          <w:lang w:val="en-CA"/>
        </w:rPr>
        <w:t>Cr. C.</w:t>
      </w:r>
      <w:r w:rsidR="009F273F" w:rsidRPr="0050379F">
        <w:rPr>
          <w:lang w:val="en-CA"/>
        </w:rPr>
        <w:t xml:space="preserve"> </w:t>
      </w:r>
      <w:r w:rsidRPr="0050379F">
        <w:rPr>
          <w:lang w:val="en-CA"/>
        </w:rPr>
        <w:t>and</w:t>
      </w:r>
      <w:r w:rsidR="009F273F" w:rsidRPr="0050379F">
        <w:rPr>
          <w:lang w:val="en-CA"/>
        </w:rPr>
        <w:t xml:space="preserve"> 39.1(2) </w:t>
      </w:r>
      <w:r w:rsidRPr="0050379F">
        <w:rPr>
          <w:i/>
          <w:lang w:val="en-CA"/>
        </w:rPr>
        <w:t>Canada Evidence Act</w:t>
      </w:r>
      <w:r w:rsidRPr="00077BF7">
        <w:rPr>
          <w:iCs/>
          <w:lang w:val="en-CA"/>
        </w:rPr>
        <w:t>)”</w:t>
      </w:r>
      <w:r w:rsidR="005C193D">
        <w:rPr>
          <w:iCs/>
          <w:lang w:val="en-CA"/>
        </w:rPr>
        <w:t>.</w:t>
      </w:r>
      <w:r w:rsidRPr="0050379F">
        <w:rPr>
          <w:i/>
          <w:lang w:val="en-CA"/>
        </w:rPr>
        <w:t xml:space="preserve"> </w:t>
      </w:r>
      <w:r w:rsidRPr="0050379F">
        <w:rPr>
          <w:lang w:val="en-CA"/>
        </w:rPr>
        <w:t xml:space="preserve">It invoked </w:t>
      </w:r>
      <w:r w:rsidR="004F7798">
        <w:rPr>
          <w:lang w:val="en-CA"/>
        </w:rPr>
        <w:t xml:space="preserve">essentially </w:t>
      </w:r>
      <w:r w:rsidRPr="0050379F">
        <w:rPr>
          <w:lang w:val="en-CA"/>
        </w:rPr>
        <w:t xml:space="preserve">the protection of the confidentiality of journalistic sources as the </w:t>
      </w:r>
      <w:r w:rsidR="00771D0B">
        <w:rPr>
          <w:lang w:val="en-CA"/>
        </w:rPr>
        <w:t>basis</w:t>
      </w:r>
      <w:r w:rsidRPr="0050379F">
        <w:rPr>
          <w:lang w:val="en-CA"/>
        </w:rPr>
        <w:t xml:space="preserve"> for its objection to disclose the elements sought to the</w:t>
      </w:r>
      <w:r w:rsidRPr="0050379F">
        <w:rPr>
          <w:i/>
          <w:lang w:val="en-CA"/>
        </w:rPr>
        <w:t xml:space="preserve"> </w:t>
      </w:r>
      <w:r w:rsidR="00213D70" w:rsidRPr="00213D70">
        <w:rPr>
          <w:lang w:val="en-CA"/>
        </w:rPr>
        <w:t>Sûreté du Québec</w:t>
      </w:r>
      <w:r w:rsidR="009F273F" w:rsidRPr="0050379F">
        <w:rPr>
          <w:lang w:val="en-CA"/>
        </w:rPr>
        <w:t>.</w:t>
      </w:r>
    </w:p>
    <w:p w14:paraId="4C82A000" w14:textId="5BAB3CBD" w:rsidR="009F273F" w:rsidRPr="0050379F" w:rsidRDefault="00292F15" w:rsidP="009F273F">
      <w:pPr>
        <w:pStyle w:val="Paragraphe"/>
        <w:tabs>
          <w:tab w:val="clear" w:pos="360"/>
          <w:tab w:val="num" w:pos="709"/>
        </w:tabs>
        <w:spacing w:line="240" w:lineRule="auto"/>
        <w:rPr>
          <w:lang w:val="en-CA"/>
        </w:rPr>
      </w:pPr>
      <w:r w:rsidRPr="0050379F">
        <w:rPr>
          <w:lang w:val="en-CA"/>
        </w:rPr>
        <w:t>What is unusual in this case is that two of the three individuals (A and C)</w:t>
      </w:r>
      <w:r w:rsidR="00687FD9">
        <w:rPr>
          <w:lang w:val="en-CA"/>
        </w:rPr>
        <w:t>,</w:t>
      </w:r>
      <w:r w:rsidRPr="0050379F">
        <w:rPr>
          <w:lang w:val="en-CA"/>
        </w:rPr>
        <w:t xml:space="preserve"> now claimed to be journalistic sources by Groupe TVA Inc.</w:t>
      </w:r>
      <w:r w:rsidR="006F42B3">
        <w:rPr>
          <w:lang w:val="en-CA"/>
        </w:rPr>
        <w:t>,</w:t>
      </w:r>
      <w:r w:rsidRPr="0050379F">
        <w:rPr>
          <w:lang w:val="en-CA"/>
        </w:rPr>
        <w:t xml:space="preserve"> are clearly identified, including their complete name</w:t>
      </w:r>
      <w:r w:rsidR="00617EFB">
        <w:rPr>
          <w:lang w:val="en-CA"/>
        </w:rPr>
        <w:t>s</w:t>
      </w:r>
      <w:r w:rsidRPr="0050379F">
        <w:rPr>
          <w:lang w:val="en-CA"/>
        </w:rPr>
        <w:t xml:space="preserve"> and photographs, in the report</w:t>
      </w:r>
      <w:r w:rsidR="004005EB">
        <w:rPr>
          <w:lang w:val="en-CA"/>
        </w:rPr>
        <w:t xml:space="preserve"> that was</w:t>
      </w:r>
      <w:r w:rsidR="00617EFB">
        <w:rPr>
          <w:lang w:val="en-CA"/>
        </w:rPr>
        <w:t xml:space="preserve"> broadcast</w:t>
      </w:r>
      <w:r w:rsidRPr="0050379F">
        <w:rPr>
          <w:lang w:val="en-CA"/>
        </w:rPr>
        <w:t xml:space="preserve">. </w:t>
      </w:r>
      <w:r w:rsidR="00CD5EEA" w:rsidRPr="0050379F">
        <w:rPr>
          <w:lang w:val="en-CA"/>
        </w:rPr>
        <w:t xml:space="preserve">The individual B, even </w:t>
      </w:r>
      <w:r w:rsidR="00617EFB">
        <w:rPr>
          <w:lang w:val="en-CA"/>
        </w:rPr>
        <w:t xml:space="preserve">though </w:t>
      </w:r>
      <w:r w:rsidR="00CD5EEA" w:rsidRPr="0050379F">
        <w:rPr>
          <w:lang w:val="en-CA"/>
        </w:rPr>
        <w:t xml:space="preserve">his name </w:t>
      </w:r>
      <w:r w:rsidR="00771D0B">
        <w:rPr>
          <w:lang w:val="en-CA"/>
        </w:rPr>
        <w:t>was</w:t>
      </w:r>
      <w:r w:rsidR="00CD5EEA" w:rsidRPr="0050379F">
        <w:rPr>
          <w:lang w:val="en-CA"/>
        </w:rPr>
        <w:t xml:space="preserve"> not mentioned and his picture </w:t>
      </w:r>
      <w:r w:rsidR="00771D0B">
        <w:rPr>
          <w:lang w:val="en-CA"/>
        </w:rPr>
        <w:t>was</w:t>
      </w:r>
      <w:r w:rsidR="00CD5EEA" w:rsidRPr="0050379F">
        <w:rPr>
          <w:lang w:val="en-CA"/>
        </w:rPr>
        <w:t xml:space="preserve"> blurred in the broadcast, is easily identifiable</w:t>
      </w:r>
      <w:r w:rsidR="001C467A" w:rsidRPr="0050379F">
        <w:rPr>
          <w:lang w:val="en-CA"/>
        </w:rPr>
        <w:t xml:space="preserve"> by the information supplied about him during the program</w:t>
      </w:r>
      <w:r w:rsidR="00617EFB">
        <w:rPr>
          <w:lang w:val="en-CA"/>
        </w:rPr>
        <w:t xml:space="preserve"> that was </w:t>
      </w:r>
      <w:r w:rsidR="004F7798">
        <w:rPr>
          <w:lang w:val="en-CA"/>
        </w:rPr>
        <w:t>aired</w:t>
      </w:r>
      <w:r w:rsidR="009F273F" w:rsidRPr="0050379F">
        <w:rPr>
          <w:lang w:val="en-CA"/>
        </w:rPr>
        <w:t xml:space="preserve">. </w:t>
      </w:r>
    </w:p>
    <w:p w14:paraId="4A40EE27" w14:textId="528899A2" w:rsidR="009F273F" w:rsidRPr="0050379F" w:rsidRDefault="001C467A" w:rsidP="009F273F">
      <w:pPr>
        <w:pStyle w:val="Paragraphe"/>
        <w:tabs>
          <w:tab w:val="clear" w:pos="360"/>
          <w:tab w:val="num" w:pos="709"/>
        </w:tabs>
        <w:spacing w:line="240" w:lineRule="auto"/>
        <w:rPr>
          <w:lang w:val="en-CA"/>
        </w:rPr>
      </w:pPr>
      <w:r w:rsidRPr="0050379F">
        <w:rPr>
          <w:lang w:val="en-CA"/>
        </w:rPr>
        <w:t xml:space="preserve">In this context, does the public interest in undertaking investigations and prosecutions </w:t>
      </w:r>
      <w:r w:rsidR="00627EB3">
        <w:rPr>
          <w:lang w:val="en-CA"/>
        </w:rPr>
        <w:t xml:space="preserve">of </w:t>
      </w:r>
      <w:r w:rsidRPr="0050379F">
        <w:rPr>
          <w:lang w:val="en-CA"/>
        </w:rPr>
        <w:t xml:space="preserve">criminal offences override a journalist’s right to confidentiality in the process of </w:t>
      </w:r>
      <w:r w:rsidR="00771D0B">
        <w:rPr>
          <w:lang w:val="en-CA"/>
        </w:rPr>
        <w:t>gathering</w:t>
      </w:r>
      <w:r w:rsidRPr="0050379F">
        <w:rPr>
          <w:lang w:val="en-CA"/>
        </w:rPr>
        <w:t xml:space="preserve"> and </w:t>
      </w:r>
      <w:r w:rsidR="00771D0B">
        <w:rPr>
          <w:lang w:val="en-CA"/>
        </w:rPr>
        <w:t>disseminating</w:t>
      </w:r>
      <w:r w:rsidRPr="0050379F">
        <w:rPr>
          <w:lang w:val="en-CA"/>
        </w:rPr>
        <w:t xml:space="preserve"> information? </w:t>
      </w:r>
    </w:p>
    <w:p w14:paraId="37FD29F5" w14:textId="77777777" w:rsidR="009F273F" w:rsidRPr="0050379F" w:rsidRDefault="009F273F" w:rsidP="009F273F">
      <w:pPr>
        <w:pStyle w:val="Paragraphe"/>
        <w:numPr>
          <w:ilvl w:val="0"/>
          <w:numId w:val="0"/>
        </w:numPr>
        <w:spacing w:before="0" w:line="240" w:lineRule="auto"/>
        <w:rPr>
          <w:lang w:val="en-CA"/>
        </w:rPr>
      </w:pPr>
    </w:p>
    <w:p w14:paraId="063F630A" w14:textId="77777777" w:rsidR="009F273F" w:rsidRPr="0050379F" w:rsidRDefault="009F273F" w:rsidP="009F273F">
      <w:pPr>
        <w:pStyle w:val="Paragraphe"/>
        <w:numPr>
          <w:ilvl w:val="0"/>
          <w:numId w:val="0"/>
        </w:numPr>
        <w:spacing w:after="0" w:line="240" w:lineRule="auto"/>
        <w:outlineLvl w:val="0"/>
        <w:rPr>
          <w:b/>
          <w:u w:val="single"/>
          <w:lang w:val="en-CA"/>
        </w:rPr>
      </w:pPr>
    </w:p>
    <w:p w14:paraId="48C7319A" w14:textId="77777777" w:rsidR="009F273F" w:rsidRPr="0050379F" w:rsidRDefault="009F273F" w:rsidP="00077BF7">
      <w:pPr>
        <w:pStyle w:val="Paragraphe"/>
        <w:keepNext/>
        <w:numPr>
          <w:ilvl w:val="0"/>
          <w:numId w:val="0"/>
        </w:numPr>
        <w:spacing w:after="0" w:line="240" w:lineRule="auto"/>
        <w:outlineLvl w:val="0"/>
        <w:rPr>
          <w:b/>
          <w:u w:val="single"/>
          <w:lang w:val="en-CA"/>
        </w:rPr>
      </w:pPr>
    </w:p>
    <w:p w14:paraId="1CC6B8EA" w14:textId="77777777" w:rsidR="009F273F" w:rsidRPr="0050379F" w:rsidRDefault="001C467A" w:rsidP="00077BF7">
      <w:pPr>
        <w:pStyle w:val="Paragraphe"/>
        <w:keepNext/>
        <w:numPr>
          <w:ilvl w:val="0"/>
          <w:numId w:val="0"/>
        </w:numPr>
        <w:spacing w:after="0" w:line="240" w:lineRule="auto"/>
        <w:outlineLvl w:val="0"/>
        <w:rPr>
          <w:b/>
          <w:u w:val="single"/>
          <w:lang w:val="en-CA"/>
        </w:rPr>
      </w:pPr>
      <w:r w:rsidRPr="0050379F">
        <w:rPr>
          <w:b/>
          <w:u w:val="single"/>
          <w:lang w:val="en-CA"/>
        </w:rPr>
        <w:t>CONTEXT</w:t>
      </w:r>
    </w:p>
    <w:p w14:paraId="0EB0A5EE" w14:textId="463788E1" w:rsidR="009F273F" w:rsidRPr="00213D70" w:rsidRDefault="001C467A" w:rsidP="00077BF7">
      <w:pPr>
        <w:pStyle w:val="Paragraphe"/>
        <w:keepNext/>
        <w:tabs>
          <w:tab w:val="clear" w:pos="360"/>
          <w:tab w:val="num" w:pos="709"/>
        </w:tabs>
        <w:spacing w:line="240" w:lineRule="auto"/>
        <w:rPr>
          <w:i/>
          <w:lang w:val="en-CA"/>
        </w:rPr>
      </w:pPr>
      <w:r w:rsidRPr="00213D70">
        <w:rPr>
          <w:lang w:val="en-CA"/>
        </w:rPr>
        <w:t xml:space="preserve">Without delving into details, it </w:t>
      </w:r>
      <w:r w:rsidR="00213D70">
        <w:rPr>
          <w:lang w:val="en-CA"/>
        </w:rPr>
        <w:t>should</w:t>
      </w:r>
      <w:r w:rsidR="00213D70" w:rsidRPr="00213D70">
        <w:rPr>
          <w:lang w:val="en-CA"/>
        </w:rPr>
        <w:t xml:space="preserve"> </w:t>
      </w:r>
      <w:r w:rsidRPr="00213D70">
        <w:rPr>
          <w:lang w:val="en-CA"/>
        </w:rPr>
        <w:t xml:space="preserve">be </w:t>
      </w:r>
      <w:r w:rsidR="00213D70">
        <w:rPr>
          <w:lang w:val="en-CA"/>
        </w:rPr>
        <w:t xml:space="preserve">noted </w:t>
      </w:r>
      <w:r w:rsidRPr="00213D70">
        <w:rPr>
          <w:lang w:val="en-CA"/>
        </w:rPr>
        <w:t xml:space="preserve">that the production order at issue was obtained by the </w:t>
      </w:r>
      <w:r w:rsidR="009F273F" w:rsidRPr="00077BF7">
        <w:rPr>
          <w:iCs/>
          <w:lang w:val="en-CA"/>
        </w:rPr>
        <w:t>Sûreté du Québec</w:t>
      </w:r>
      <w:r w:rsidR="009F273F" w:rsidRPr="00213D70">
        <w:rPr>
          <w:lang w:val="en-CA"/>
        </w:rPr>
        <w:t xml:space="preserve"> </w:t>
      </w:r>
      <w:r w:rsidRPr="00213D70">
        <w:rPr>
          <w:lang w:val="en-CA"/>
        </w:rPr>
        <w:t>in a complex investigation dealing with serious offences</w:t>
      </w:r>
      <w:r w:rsidR="009F273F" w:rsidRPr="00213D70">
        <w:rPr>
          <w:lang w:val="en-CA"/>
        </w:rPr>
        <w:t>.</w:t>
      </w:r>
    </w:p>
    <w:p w14:paraId="29DA426D" w14:textId="2B900061" w:rsidR="009F273F" w:rsidRPr="0050379F" w:rsidRDefault="001C467A" w:rsidP="009F273F">
      <w:pPr>
        <w:pStyle w:val="Paragraphe"/>
        <w:tabs>
          <w:tab w:val="clear" w:pos="360"/>
          <w:tab w:val="num" w:pos="709"/>
        </w:tabs>
        <w:spacing w:line="240" w:lineRule="auto"/>
        <w:rPr>
          <w:i/>
          <w:lang w:val="en-CA"/>
        </w:rPr>
      </w:pPr>
      <w:r w:rsidRPr="0050379F">
        <w:rPr>
          <w:lang w:val="en-CA"/>
        </w:rPr>
        <w:t xml:space="preserve">When he rendered the production order on November 17, 2020, the judge was </w:t>
      </w:r>
      <w:r w:rsidR="00213D70">
        <w:rPr>
          <w:lang w:val="en-CA"/>
        </w:rPr>
        <w:t xml:space="preserve">satisfied by </w:t>
      </w:r>
      <w:r w:rsidRPr="0050379F">
        <w:rPr>
          <w:lang w:val="en-CA"/>
        </w:rPr>
        <w:t xml:space="preserve">the information </w:t>
      </w:r>
      <w:r w:rsidR="00213D70">
        <w:rPr>
          <w:lang w:val="en-CA"/>
        </w:rPr>
        <w:t xml:space="preserve">on </w:t>
      </w:r>
      <w:r w:rsidRPr="0050379F">
        <w:rPr>
          <w:lang w:val="en-CA"/>
        </w:rPr>
        <w:t xml:space="preserve">oath by the peace officer that the conditions under subsections </w:t>
      </w:r>
      <w:r w:rsidR="009F273F" w:rsidRPr="0050379F">
        <w:rPr>
          <w:lang w:val="en-CA"/>
        </w:rPr>
        <w:t xml:space="preserve">487.014(2) </w:t>
      </w:r>
      <w:r w:rsidRPr="0050379F">
        <w:rPr>
          <w:lang w:val="en-CA"/>
        </w:rPr>
        <w:t>and</w:t>
      </w:r>
      <w:r w:rsidR="009F273F" w:rsidRPr="0050379F">
        <w:rPr>
          <w:lang w:val="en-CA"/>
        </w:rPr>
        <w:t xml:space="preserve"> 488.01(3) </w:t>
      </w:r>
      <w:r w:rsidR="00325C3F" w:rsidRPr="00325C3F">
        <w:rPr>
          <w:i/>
          <w:lang w:val="en-CA"/>
        </w:rPr>
        <w:t>Cr. C.</w:t>
      </w:r>
      <w:r w:rsidRPr="0050379F">
        <w:rPr>
          <w:lang w:val="en-CA"/>
        </w:rPr>
        <w:t xml:space="preserve"> were met. </w:t>
      </w:r>
    </w:p>
    <w:p w14:paraId="35331475" w14:textId="040A9E63" w:rsidR="009F273F" w:rsidRPr="0050379F" w:rsidRDefault="008310E8" w:rsidP="009F273F">
      <w:pPr>
        <w:pStyle w:val="Paragraphe"/>
        <w:tabs>
          <w:tab w:val="clear" w:pos="360"/>
          <w:tab w:val="num" w:pos="709"/>
        </w:tabs>
        <w:spacing w:line="240" w:lineRule="auto"/>
        <w:rPr>
          <w:i/>
          <w:lang w:val="en-CA"/>
        </w:rPr>
      </w:pPr>
      <w:r w:rsidRPr="0050379F">
        <w:rPr>
          <w:lang w:val="en-CA"/>
        </w:rPr>
        <w:t xml:space="preserve">Some of the information supplied </w:t>
      </w:r>
      <w:r w:rsidR="00771D0B">
        <w:rPr>
          <w:lang w:val="en-CA"/>
        </w:rPr>
        <w:t>by the peace officer</w:t>
      </w:r>
      <w:r w:rsidRPr="0050379F">
        <w:rPr>
          <w:lang w:val="en-CA"/>
        </w:rPr>
        <w:t xml:space="preserve"> </w:t>
      </w:r>
      <w:r w:rsidR="00986716">
        <w:rPr>
          <w:lang w:val="en-CA"/>
        </w:rPr>
        <w:t xml:space="preserve">at the time </w:t>
      </w:r>
      <w:r w:rsidR="006F42B3">
        <w:rPr>
          <w:lang w:val="en-CA"/>
        </w:rPr>
        <w:t>was</w:t>
      </w:r>
      <w:r w:rsidRPr="0050379F">
        <w:rPr>
          <w:lang w:val="en-CA"/>
        </w:rPr>
        <w:t xml:space="preserve"> excerpted from a public broadcast of the </w:t>
      </w:r>
      <w:r w:rsidR="00771D0B">
        <w:rPr>
          <w:lang w:val="en-CA"/>
        </w:rPr>
        <w:t>report</w:t>
      </w:r>
      <w:r w:rsidRPr="0050379F">
        <w:rPr>
          <w:lang w:val="en-CA"/>
        </w:rPr>
        <w:t xml:space="preserve"> in question</w:t>
      </w:r>
      <w:r w:rsidR="009F273F" w:rsidRPr="0050379F">
        <w:rPr>
          <w:lang w:val="en-CA"/>
        </w:rPr>
        <w:t>.</w:t>
      </w:r>
    </w:p>
    <w:p w14:paraId="03A4A393" w14:textId="3E0F18E4" w:rsidR="009F273F" w:rsidRPr="0050379F" w:rsidRDefault="008310E8" w:rsidP="009F273F">
      <w:pPr>
        <w:pStyle w:val="Paragraphe"/>
        <w:tabs>
          <w:tab w:val="clear" w:pos="360"/>
          <w:tab w:val="num" w:pos="709"/>
        </w:tabs>
        <w:spacing w:line="240" w:lineRule="auto"/>
        <w:rPr>
          <w:i/>
          <w:lang w:val="en-CA"/>
        </w:rPr>
      </w:pPr>
      <w:r w:rsidRPr="0050379F">
        <w:rPr>
          <w:lang w:val="en-CA"/>
        </w:rPr>
        <w:t xml:space="preserve">During </w:t>
      </w:r>
      <w:r w:rsidR="00986716">
        <w:rPr>
          <w:lang w:val="en-CA"/>
        </w:rPr>
        <w:t xml:space="preserve">the </w:t>
      </w:r>
      <w:r w:rsidRPr="0050379F">
        <w:rPr>
          <w:lang w:val="en-CA"/>
        </w:rPr>
        <w:t xml:space="preserve">broadcast, the individuals A and C were presented as suspects </w:t>
      </w:r>
      <w:r w:rsidR="00986716">
        <w:rPr>
          <w:lang w:val="en-CA"/>
        </w:rPr>
        <w:t xml:space="preserve">in </w:t>
      </w:r>
      <w:r w:rsidRPr="0050379F">
        <w:rPr>
          <w:lang w:val="en-CA"/>
        </w:rPr>
        <w:t xml:space="preserve">certain offences investigated by the </w:t>
      </w:r>
      <w:r w:rsidR="00213D70" w:rsidRPr="00213D70">
        <w:rPr>
          <w:lang w:val="en-CA"/>
        </w:rPr>
        <w:t>Sûreté du Québec</w:t>
      </w:r>
      <w:r w:rsidR="00986716">
        <w:rPr>
          <w:lang w:val="en-CA"/>
        </w:rPr>
        <w:t>,</w:t>
      </w:r>
      <w:r w:rsidRPr="0050379F">
        <w:rPr>
          <w:lang w:val="en-CA"/>
        </w:rPr>
        <w:t xml:space="preserve"> </w:t>
      </w:r>
      <w:r w:rsidR="00986716">
        <w:rPr>
          <w:lang w:val="en-CA"/>
        </w:rPr>
        <w:t xml:space="preserve">regarding </w:t>
      </w:r>
      <w:r w:rsidRPr="0050379F">
        <w:rPr>
          <w:lang w:val="en-CA"/>
        </w:rPr>
        <w:t xml:space="preserve">which the production order against Groupe TVA Inc. </w:t>
      </w:r>
      <w:r w:rsidR="004445E0" w:rsidRPr="0050379F">
        <w:rPr>
          <w:lang w:val="en-CA"/>
        </w:rPr>
        <w:t>w</w:t>
      </w:r>
      <w:r w:rsidRPr="0050379F">
        <w:rPr>
          <w:lang w:val="en-CA"/>
        </w:rPr>
        <w:t xml:space="preserve">as </w:t>
      </w:r>
      <w:r w:rsidR="004445E0" w:rsidRPr="0050379F">
        <w:rPr>
          <w:lang w:val="en-CA"/>
        </w:rPr>
        <w:t>applied for</w:t>
      </w:r>
      <w:r w:rsidRPr="0050379F">
        <w:rPr>
          <w:lang w:val="en-CA"/>
        </w:rPr>
        <w:t xml:space="preserve">. As </w:t>
      </w:r>
      <w:r w:rsidR="00CC225E">
        <w:rPr>
          <w:lang w:val="en-CA"/>
        </w:rPr>
        <w:t>stated</w:t>
      </w:r>
      <w:r w:rsidRPr="0050379F">
        <w:rPr>
          <w:lang w:val="en-CA"/>
        </w:rPr>
        <w:t xml:space="preserve">, the </w:t>
      </w:r>
      <w:r w:rsidR="004445E0" w:rsidRPr="0050379F">
        <w:rPr>
          <w:lang w:val="en-CA"/>
        </w:rPr>
        <w:t>full</w:t>
      </w:r>
      <w:r w:rsidRPr="0050379F">
        <w:rPr>
          <w:lang w:val="en-CA"/>
        </w:rPr>
        <w:t xml:space="preserve"> identity of the individuals A and C was revealed in the news </w:t>
      </w:r>
      <w:r w:rsidR="004445E0" w:rsidRPr="0050379F">
        <w:rPr>
          <w:lang w:val="en-CA"/>
        </w:rPr>
        <w:t xml:space="preserve">bulletin. </w:t>
      </w:r>
    </w:p>
    <w:p w14:paraId="5E23F46D" w14:textId="1DEE97AD" w:rsidR="009F273F" w:rsidRPr="0050379F" w:rsidRDefault="004445E0" w:rsidP="009F273F">
      <w:pPr>
        <w:pStyle w:val="Paragraphe"/>
        <w:tabs>
          <w:tab w:val="clear" w:pos="360"/>
          <w:tab w:val="num" w:pos="709"/>
        </w:tabs>
        <w:spacing w:line="240" w:lineRule="auto"/>
        <w:rPr>
          <w:i/>
          <w:lang w:val="en-CA"/>
        </w:rPr>
      </w:pPr>
      <w:r w:rsidRPr="0050379F">
        <w:rPr>
          <w:lang w:val="en-CA"/>
        </w:rPr>
        <w:t>The individual</w:t>
      </w:r>
      <w:r w:rsidR="009F273F" w:rsidRPr="0050379F">
        <w:rPr>
          <w:lang w:val="en-CA"/>
        </w:rPr>
        <w:t xml:space="preserve"> B </w:t>
      </w:r>
      <w:r w:rsidRPr="0050379F">
        <w:rPr>
          <w:lang w:val="en-CA"/>
        </w:rPr>
        <w:t>is linked to</w:t>
      </w:r>
      <w:r w:rsidR="009F273F" w:rsidRPr="0050379F">
        <w:rPr>
          <w:lang w:val="en-CA"/>
        </w:rPr>
        <w:t xml:space="preserve"> A. </w:t>
      </w:r>
      <w:r w:rsidRPr="0050379F">
        <w:rPr>
          <w:lang w:val="en-CA"/>
        </w:rPr>
        <w:t>The</w:t>
      </w:r>
      <w:r w:rsidR="009F273F" w:rsidRPr="0050379F">
        <w:rPr>
          <w:lang w:val="en-CA"/>
        </w:rPr>
        <w:t xml:space="preserve"> images </w:t>
      </w:r>
      <w:r w:rsidR="00986716">
        <w:rPr>
          <w:lang w:val="en-CA"/>
        </w:rPr>
        <w:t>broadcast</w:t>
      </w:r>
      <w:r w:rsidRPr="0050379F">
        <w:rPr>
          <w:lang w:val="en-CA"/>
        </w:rPr>
        <w:t xml:space="preserve"> show them together </w:t>
      </w:r>
      <w:r w:rsidR="00771D0B">
        <w:rPr>
          <w:lang w:val="en-CA"/>
        </w:rPr>
        <w:t xml:space="preserve">at the </w:t>
      </w:r>
      <w:r w:rsidR="006F42B3">
        <w:rPr>
          <w:lang w:val="en-CA"/>
        </w:rPr>
        <w:t>location</w:t>
      </w:r>
      <w:r w:rsidR="00771D0B">
        <w:rPr>
          <w:lang w:val="en-CA"/>
        </w:rPr>
        <w:t xml:space="preserve"> </w:t>
      </w:r>
      <w:r w:rsidRPr="0050379F">
        <w:rPr>
          <w:lang w:val="en-CA"/>
        </w:rPr>
        <w:t xml:space="preserve">where the journalist went to interview them. In the </w:t>
      </w:r>
      <w:r w:rsidR="00986716">
        <w:rPr>
          <w:lang w:val="en-CA"/>
        </w:rPr>
        <w:t>report</w:t>
      </w:r>
      <w:r w:rsidRPr="0050379F">
        <w:rPr>
          <w:lang w:val="en-CA"/>
        </w:rPr>
        <w:t>, his full identity was not revealed</w:t>
      </w:r>
      <w:r w:rsidR="006F42B3">
        <w:rPr>
          <w:lang w:val="en-CA"/>
        </w:rPr>
        <w:t>,</w:t>
      </w:r>
      <w:r w:rsidRPr="0050379F">
        <w:rPr>
          <w:lang w:val="en-CA"/>
        </w:rPr>
        <w:t xml:space="preserve"> but some of the content </w:t>
      </w:r>
      <w:r w:rsidR="00986716">
        <w:rPr>
          <w:lang w:val="en-CA"/>
        </w:rPr>
        <w:t>broadcast</w:t>
      </w:r>
      <w:r w:rsidRPr="0050379F">
        <w:rPr>
          <w:lang w:val="en-CA"/>
        </w:rPr>
        <w:t xml:space="preserve"> easily allowed the police and the persons about whom he </w:t>
      </w:r>
      <w:r w:rsidR="00986716">
        <w:rPr>
          <w:lang w:val="en-CA"/>
        </w:rPr>
        <w:t>provided</w:t>
      </w:r>
      <w:r w:rsidR="00986716" w:rsidRPr="0050379F">
        <w:rPr>
          <w:lang w:val="en-CA"/>
        </w:rPr>
        <w:t xml:space="preserve"> </w:t>
      </w:r>
      <w:r w:rsidRPr="0050379F">
        <w:rPr>
          <w:lang w:val="en-CA"/>
        </w:rPr>
        <w:t>information to identify him</w:t>
      </w:r>
      <w:r w:rsidR="009F273F" w:rsidRPr="0050379F">
        <w:rPr>
          <w:lang w:val="en-CA"/>
        </w:rPr>
        <w:t>.</w:t>
      </w:r>
      <w:r w:rsidR="00F51C50">
        <w:rPr>
          <w:lang w:val="en-CA"/>
        </w:rPr>
        <w:t xml:space="preserve"> Among the reasons making it </w:t>
      </w:r>
      <w:r w:rsidRPr="0050379F">
        <w:rPr>
          <w:lang w:val="en-CA"/>
        </w:rPr>
        <w:t xml:space="preserve">easy to establish his identity </w:t>
      </w:r>
      <w:r w:rsidR="00F51C50">
        <w:rPr>
          <w:lang w:val="en-CA"/>
        </w:rPr>
        <w:t xml:space="preserve">was the fact that </w:t>
      </w:r>
      <w:r w:rsidRPr="0050379F">
        <w:rPr>
          <w:lang w:val="en-CA"/>
        </w:rPr>
        <w:t xml:space="preserve">his connection to the individual A was revealed, as </w:t>
      </w:r>
      <w:r w:rsidR="00F51C50">
        <w:rPr>
          <w:lang w:val="en-CA"/>
        </w:rPr>
        <w:t xml:space="preserve">was </w:t>
      </w:r>
      <w:r w:rsidRPr="0050379F">
        <w:rPr>
          <w:lang w:val="en-CA"/>
        </w:rPr>
        <w:t>the connection he had with the persons he identified as accomplices</w:t>
      </w:r>
      <w:r w:rsidR="009F273F" w:rsidRPr="0050379F">
        <w:rPr>
          <w:lang w:val="en-CA"/>
        </w:rPr>
        <w:t>.</w:t>
      </w:r>
    </w:p>
    <w:p w14:paraId="2464D204" w14:textId="532ED355" w:rsidR="009F273F" w:rsidRPr="0050379F" w:rsidRDefault="004445E0" w:rsidP="009F273F">
      <w:pPr>
        <w:pStyle w:val="Paragraphe"/>
        <w:tabs>
          <w:tab w:val="clear" w:pos="360"/>
          <w:tab w:val="num" w:pos="709"/>
        </w:tabs>
        <w:spacing w:line="240" w:lineRule="auto"/>
        <w:rPr>
          <w:i/>
          <w:lang w:val="en-CA"/>
        </w:rPr>
      </w:pPr>
      <w:r w:rsidRPr="0050379F">
        <w:rPr>
          <w:lang w:val="en-CA"/>
        </w:rPr>
        <w:t xml:space="preserve">The portions of the journalist’s interview with A, B, and C </w:t>
      </w:r>
      <w:r w:rsidR="00986716">
        <w:rPr>
          <w:lang w:val="en-CA"/>
        </w:rPr>
        <w:t>that</w:t>
      </w:r>
      <w:r w:rsidR="00986716" w:rsidRPr="0050379F">
        <w:rPr>
          <w:lang w:val="en-CA"/>
        </w:rPr>
        <w:t xml:space="preserve"> </w:t>
      </w:r>
      <w:r w:rsidRPr="0050379F">
        <w:rPr>
          <w:lang w:val="en-CA"/>
        </w:rPr>
        <w:t>were broadcast</w:t>
      </w:r>
      <w:r w:rsidR="00F51C50">
        <w:rPr>
          <w:lang w:val="en-CA"/>
        </w:rPr>
        <w:t xml:space="preserve"> and</w:t>
      </w:r>
      <w:r w:rsidRPr="0050379F">
        <w:rPr>
          <w:lang w:val="en-CA"/>
        </w:rPr>
        <w:t xml:space="preserve"> the comments made by the </w:t>
      </w:r>
      <w:r w:rsidR="00771D0B">
        <w:rPr>
          <w:lang w:val="en-CA"/>
        </w:rPr>
        <w:t>narrator</w:t>
      </w:r>
      <w:r w:rsidRPr="0050379F">
        <w:rPr>
          <w:lang w:val="en-CA"/>
        </w:rPr>
        <w:t xml:space="preserve"> in the </w:t>
      </w:r>
      <w:r w:rsidR="00771D0B">
        <w:rPr>
          <w:lang w:val="en-CA"/>
        </w:rPr>
        <w:t>report</w:t>
      </w:r>
      <w:r w:rsidRPr="0050379F">
        <w:rPr>
          <w:lang w:val="en-CA"/>
        </w:rPr>
        <w:t xml:space="preserve"> </w:t>
      </w:r>
      <w:r w:rsidR="00E12356">
        <w:rPr>
          <w:lang w:val="en-CA"/>
        </w:rPr>
        <w:t>make it possible to conclude</w:t>
      </w:r>
      <w:r w:rsidRPr="0050379F">
        <w:rPr>
          <w:lang w:val="en-CA"/>
        </w:rPr>
        <w:t xml:space="preserve"> that these persons </w:t>
      </w:r>
      <w:r w:rsidR="00F51C50">
        <w:rPr>
          <w:lang w:val="en-CA"/>
        </w:rPr>
        <w:t xml:space="preserve">possess </w:t>
      </w:r>
      <w:r w:rsidRPr="0050379F">
        <w:rPr>
          <w:lang w:val="en-CA"/>
        </w:rPr>
        <w:t xml:space="preserve">and to a certain extent </w:t>
      </w:r>
      <w:r w:rsidR="00E12356">
        <w:rPr>
          <w:lang w:val="en-CA"/>
        </w:rPr>
        <w:t>are</w:t>
      </w:r>
      <w:r w:rsidR="00986716">
        <w:rPr>
          <w:lang w:val="en-CA"/>
        </w:rPr>
        <w:t xml:space="preserve"> </w:t>
      </w:r>
      <w:r w:rsidRPr="0050379F">
        <w:rPr>
          <w:lang w:val="en-CA"/>
        </w:rPr>
        <w:t>reveal</w:t>
      </w:r>
      <w:r w:rsidR="00986716">
        <w:rPr>
          <w:lang w:val="en-CA"/>
        </w:rPr>
        <w:t>ing</w:t>
      </w:r>
      <w:r w:rsidRPr="0050379F">
        <w:rPr>
          <w:lang w:val="en-CA"/>
        </w:rPr>
        <w:t xml:space="preserve"> relevant information about the commission of crimes</w:t>
      </w:r>
      <w:r w:rsidR="0096113E" w:rsidRPr="0050379F">
        <w:rPr>
          <w:lang w:val="en-CA"/>
        </w:rPr>
        <w:t xml:space="preserve"> </w:t>
      </w:r>
      <w:r w:rsidR="00986716">
        <w:rPr>
          <w:lang w:val="en-CA"/>
        </w:rPr>
        <w:t xml:space="preserve">that </w:t>
      </w:r>
      <w:r w:rsidR="0096113E" w:rsidRPr="0050379F">
        <w:rPr>
          <w:lang w:val="en-CA"/>
        </w:rPr>
        <w:t xml:space="preserve">were being investigated by the </w:t>
      </w:r>
      <w:r w:rsidR="00213D70" w:rsidRPr="00213D70">
        <w:rPr>
          <w:lang w:val="en-CA"/>
        </w:rPr>
        <w:t>Sûreté du Québec</w:t>
      </w:r>
      <w:r w:rsidR="009F273F" w:rsidRPr="0050379F">
        <w:rPr>
          <w:lang w:val="en-CA"/>
        </w:rPr>
        <w:t>.</w:t>
      </w:r>
    </w:p>
    <w:p w14:paraId="4AD9A3D1" w14:textId="7E2ED616" w:rsidR="009F273F" w:rsidRPr="0050379F" w:rsidRDefault="0096113E" w:rsidP="009F273F">
      <w:pPr>
        <w:pStyle w:val="Paragraphe"/>
        <w:tabs>
          <w:tab w:val="clear" w:pos="360"/>
          <w:tab w:val="num" w:pos="709"/>
        </w:tabs>
        <w:spacing w:line="240" w:lineRule="auto"/>
        <w:rPr>
          <w:i/>
          <w:lang w:val="en-CA"/>
        </w:rPr>
      </w:pPr>
      <w:r w:rsidRPr="0050379F">
        <w:rPr>
          <w:lang w:val="en-CA"/>
        </w:rPr>
        <w:t>More specifically regarding the individuals A, B</w:t>
      </w:r>
      <w:r w:rsidR="00FA6E55">
        <w:rPr>
          <w:lang w:val="en-CA"/>
        </w:rPr>
        <w:t>,</w:t>
      </w:r>
      <w:r w:rsidRPr="0050379F">
        <w:rPr>
          <w:lang w:val="en-CA"/>
        </w:rPr>
        <w:t xml:space="preserve"> and C, the </w:t>
      </w:r>
      <w:r w:rsidR="000E769A">
        <w:rPr>
          <w:lang w:val="en-CA"/>
        </w:rPr>
        <w:t>narrator</w:t>
      </w:r>
      <w:r w:rsidRPr="0050379F">
        <w:rPr>
          <w:lang w:val="en-CA"/>
        </w:rPr>
        <w:t xml:space="preserve"> implie</w:t>
      </w:r>
      <w:r w:rsidR="00E12356">
        <w:rPr>
          <w:lang w:val="en-CA"/>
        </w:rPr>
        <w:t>s</w:t>
      </w:r>
      <w:r w:rsidRPr="0050379F">
        <w:rPr>
          <w:lang w:val="en-CA"/>
        </w:rPr>
        <w:t xml:space="preserve"> that the journalist’s interview with them was much longer than the excerpts broadcast and that during </w:t>
      </w:r>
      <w:r w:rsidR="00E03A43">
        <w:rPr>
          <w:lang w:val="en-CA"/>
        </w:rPr>
        <w:t>their meeting</w:t>
      </w:r>
      <w:r w:rsidRPr="0050379F">
        <w:rPr>
          <w:lang w:val="en-CA"/>
        </w:rPr>
        <w:t xml:space="preserve"> they </w:t>
      </w:r>
      <w:r w:rsidR="00E03A43">
        <w:rPr>
          <w:lang w:val="en-CA"/>
        </w:rPr>
        <w:t xml:space="preserve">provided </w:t>
      </w:r>
      <w:r w:rsidRPr="0050379F">
        <w:rPr>
          <w:lang w:val="en-CA"/>
        </w:rPr>
        <w:t xml:space="preserve">information about several persons </w:t>
      </w:r>
      <w:r w:rsidR="00E03A43">
        <w:rPr>
          <w:lang w:val="en-CA"/>
        </w:rPr>
        <w:t xml:space="preserve">that </w:t>
      </w:r>
      <w:r w:rsidRPr="0050379F">
        <w:rPr>
          <w:lang w:val="en-CA"/>
        </w:rPr>
        <w:t>led A to commit some of the offences</w:t>
      </w:r>
      <w:r w:rsidR="009F273F" w:rsidRPr="0050379F">
        <w:rPr>
          <w:lang w:val="en-CA"/>
        </w:rPr>
        <w:t xml:space="preserve">. </w:t>
      </w:r>
    </w:p>
    <w:p w14:paraId="1A6E63E4" w14:textId="2814C5DE" w:rsidR="009F273F" w:rsidRPr="0050379F" w:rsidRDefault="0096113E" w:rsidP="006129D3">
      <w:pPr>
        <w:pStyle w:val="Paragraphe"/>
        <w:spacing w:line="240" w:lineRule="auto"/>
        <w:rPr>
          <w:i/>
          <w:lang w:val="en-CA"/>
        </w:rPr>
      </w:pPr>
      <w:r w:rsidRPr="0050379F">
        <w:rPr>
          <w:lang w:val="en-CA"/>
        </w:rPr>
        <w:t xml:space="preserve">It was partially on the basis of these facts that it was </w:t>
      </w:r>
      <w:r w:rsidR="00D769D7">
        <w:rPr>
          <w:lang w:val="en-CA"/>
        </w:rPr>
        <w:t>determined</w:t>
      </w:r>
      <w:r w:rsidRPr="0050379F">
        <w:rPr>
          <w:lang w:val="en-CA"/>
        </w:rPr>
        <w:t xml:space="preserve"> when issuing the </w:t>
      </w:r>
      <w:r w:rsidR="00A02F88">
        <w:rPr>
          <w:lang w:val="en-CA"/>
        </w:rPr>
        <w:t>production</w:t>
      </w:r>
      <w:r w:rsidR="00A02F88" w:rsidRPr="0050379F">
        <w:rPr>
          <w:lang w:val="en-CA"/>
        </w:rPr>
        <w:t xml:space="preserve"> </w:t>
      </w:r>
      <w:r w:rsidRPr="0050379F">
        <w:rPr>
          <w:lang w:val="en-CA"/>
        </w:rPr>
        <w:t xml:space="preserve">order </w:t>
      </w:r>
      <w:r w:rsidR="006129D3" w:rsidRPr="0050379F">
        <w:rPr>
          <w:lang w:val="en-CA"/>
        </w:rPr>
        <w:t>that “there is no other way by which the information can reasonably be obtained”</w:t>
      </w:r>
      <w:r w:rsidR="005C193D">
        <w:rPr>
          <w:lang w:val="en-CA"/>
        </w:rPr>
        <w:t>.</w:t>
      </w:r>
      <w:r w:rsidR="009F273F" w:rsidRPr="0050379F">
        <w:rPr>
          <w:rStyle w:val="Appelnotedebasdep"/>
          <w:lang w:val="en-CA"/>
        </w:rPr>
        <w:footnoteReference w:id="1"/>
      </w:r>
      <w:r w:rsidR="009F273F" w:rsidRPr="0050379F">
        <w:rPr>
          <w:lang w:val="en-CA"/>
        </w:rPr>
        <w:t xml:space="preserve"> </w:t>
      </w:r>
      <w:r w:rsidR="006129D3" w:rsidRPr="0050379F">
        <w:rPr>
          <w:lang w:val="en-CA"/>
        </w:rPr>
        <w:t>The police officers, who had access only to the broadcast excerpts, wanted to see</w:t>
      </w:r>
      <w:r w:rsidR="000E769A">
        <w:rPr>
          <w:lang w:val="en-CA"/>
        </w:rPr>
        <w:t xml:space="preserve"> and hear</w:t>
      </w:r>
      <w:r w:rsidR="006129D3" w:rsidRPr="0050379F">
        <w:rPr>
          <w:lang w:val="en-CA"/>
        </w:rPr>
        <w:t xml:space="preserve"> the complete recordings to obtain all of the information disclosed by these individuals</w:t>
      </w:r>
      <w:r w:rsidR="009F273F" w:rsidRPr="0050379F">
        <w:rPr>
          <w:lang w:val="en-CA"/>
        </w:rPr>
        <w:t xml:space="preserve">. </w:t>
      </w:r>
      <w:r w:rsidR="00FB24CC" w:rsidRPr="0050379F">
        <w:rPr>
          <w:lang w:val="en-CA"/>
        </w:rPr>
        <w:t xml:space="preserve"> </w:t>
      </w:r>
    </w:p>
    <w:p w14:paraId="17FAE8F0" w14:textId="40A56893" w:rsidR="009F273F" w:rsidRPr="00E12356" w:rsidRDefault="00922E38" w:rsidP="009F273F">
      <w:pPr>
        <w:pStyle w:val="Paragraphe"/>
        <w:tabs>
          <w:tab w:val="clear" w:pos="360"/>
          <w:tab w:val="num" w:pos="709"/>
        </w:tabs>
        <w:spacing w:line="240" w:lineRule="auto"/>
        <w:rPr>
          <w:i/>
          <w:lang w:val="en-CA"/>
        </w:rPr>
      </w:pPr>
      <w:r w:rsidRPr="00E12356">
        <w:rPr>
          <w:lang w:val="en-CA"/>
        </w:rPr>
        <w:t xml:space="preserve">On the other hand, nothing in the  report </w:t>
      </w:r>
      <w:r w:rsidR="00E12356">
        <w:rPr>
          <w:lang w:val="en-CA"/>
        </w:rPr>
        <w:t xml:space="preserve">that was broadcast </w:t>
      </w:r>
      <w:r w:rsidRPr="00E12356">
        <w:rPr>
          <w:lang w:val="en-CA"/>
        </w:rPr>
        <w:t>suggest</w:t>
      </w:r>
      <w:r w:rsidR="00E12356">
        <w:rPr>
          <w:lang w:val="en-CA"/>
        </w:rPr>
        <w:t>s</w:t>
      </w:r>
      <w:r w:rsidRPr="00E12356">
        <w:rPr>
          <w:lang w:val="en-CA"/>
        </w:rPr>
        <w:t xml:space="preserve"> that either of the individuals concerned is a “journalistic source” whose identity must be protected within the meaning of the </w:t>
      </w:r>
      <w:r w:rsidR="00E12356">
        <w:rPr>
          <w:lang w:val="en-CA"/>
        </w:rPr>
        <w:t>law</w:t>
      </w:r>
      <w:r w:rsidRPr="00E12356">
        <w:rPr>
          <w:lang w:val="en-CA"/>
        </w:rPr>
        <w:t xml:space="preserve"> and </w:t>
      </w:r>
      <w:r w:rsidR="00E12356">
        <w:rPr>
          <w:lang w:val="en-CA"/>
        </w:rPr>
        <w:t xml:space="preserve">the </w:t>
      </w:r>
      <w:r w:rsidRPr="00E12356">
        <w:rPr>
          <w:lang w:val="en-CA"/>
        </w:rPr>
        <w:t>case law.</w:t>
      </w:r>
    </w:p>
    <w:p w14:paraId="0FC70121" w14:textId="1803663C" w:rsidR="009F273F" w:rsidRPr="0050379F" w:rsidRDefault="00922E38" w:rsidP="009F273F">
      <w:pPr>
        <w:pStyle w:val="Paragraphe"/>
        <w:tabs>
          <w:tab w:val="clear" w:pos="360"/>
          <w:tab w:val="num" w:pos="709"/>
        </w:tabs>
        <w:spacing w:line="240" w:lineRule="auto"/>
        <w:rPr>
          <w:i/>
          <w:lang w:val="en-CA"/>
        </w:rPr>
      </w:pPr>
      <w:r w:rsidRPr="0050379F">
        <w:rPr>
          <w:lang w:val="en-CA"/>
        </w:rPr>
        <w:lastRenderedPageBreak/>
        <w:t>In support of its application for non-production and non-disclosure, Groupe TVA Inc. requested that the Court examine the content</w:t>
      </w:r>
      <w:r w:rsidR="00255440">
        <w:rPr>
          <w:lang w:val="en-CA"/>
        </w:rPr>
        <w:t>s</w:t>
      </w:r>
      <w:r w:rsidRPr="0050379F">
        <w:rPr>
          <w:lang w:val="en-CA"/>
        </w:rPr>
        <w:t xml:space="preserve"> of the sealed package, as permitted </w:t>
      </w:r>
      <w:r w:rsidR="000E769A">
        <w:rPr>
          <w:lang w:val="en-CA"/>
        </w:rPr>
        <w:t>under</w:t>
      </w:r>
      <w:r w:rsidRPr="0050379F">
        <w:rPr>
          <w:lang w:val="en-CA"/>
        </w:rPr>
        <w:t xml:space="preserve"> </w:t>
      </w:r>
      <w:r w:rsidR="000E769A">
        <w:rPr>
          <w:lang w:val="en-CA"/>
        </w:rPr>
        <w:t>sub</w:t>
      </w:r>
      <w:r w:rsidRPr="0050379F">
        <w:rPr>
          <w:lang w:val="en-CA"/>
        </w:rPr>
        <w:t xml:space="preserve">section </w:t>
      </w:r>
      <w:r w:rsidR="009F273F" w:rsidRPr="0050379F">
        <w:rPr>
          <w:lang w:val="en-CA"/>
        </w:rPr>
        <w:t xml:space="preserve">488.02(6) </w:t>
      </w:r>
      <w:r w:rsidR="00325C3F" w:rsidRPr="00325C3F">
        <w:rPr>
          <w:i/>
          <w:lang w:val="en-CA"/>
        </w:rPr>
        <w:t>Cr. C.</w:t>
      </w:r>
      <w:r w:rsidR="009F273F" w:rsidRPr="0050379F">
        <w:rPr>
          <w:lang w:val="en-CA"/>
        </w:rPr>
        <w:t xml:space="preserve">, </w:t>
      </w:r>
      <w:r w:rsidRPr="0050379F">
        <w:rPr>
          <w:lang w:val="en-CA"/>
        </w:rPr>
        <w:t xml:space="preserve">which </w:t>
      </w:r>
      <w:r w:rsidR="000E769A">
        <w:rPr>
          <w:lang w:val="en-CA"/>
        </w:rPr>
        <w:t>it</w:t>
      </w:r>
      <w:r w:rsidRPr="0050379F">
        <w:rPr>
          <w:lang w:val="en-CA"/>
        </w:rPr>
        <w:t xml:space="preserve"> </w:t>
      </w:r>
      <w:r w:rsidR="00255440">
        <w:rPr>
          <w:lang w:val="en-CA"/>
        </w:rPr>
        <w:t>has done</w:t>
      </w:r>
      <w:r w:rsidR="00255440" w:rsidRPr="0050379F">
        <w:rPr>
          <w:lang w:val="en-CA"/>
        </w:rPr>
        <w:t xml:space="preserve"> </w:t>
      </w:r>
      <w:r w:rsidR="003133CE" w:rsidRPr="003133CE">
        <w:rPr>
          <w:i/>
          <w:iCs/>
          <w:lang w:val="en-CA"/>
        </w:rPr>
        <w:t>ex parte</w:t>
      </w:r>
      <w:r w:rsidR="003133CE">
        <w:rPr>
          <w:lang w:val="en-CA"/>
        </w:rPr>
        <w:t xml:space="preserve"> </w:t>
      </w:r>
      <w:r w:rsidRPr="0050379F">
        <w:rPr>
          <w:lang w:val="en-CA"/>
        </w:rPr>
        <w:t xml:space="preserve">at </w:t>
      </w:r>
      <w:r w:rsidR="000E769A">
        <w:rPr>
          <w:lang w:val="en-CA"/>
        </w:rPr>
        <w:t>its</w:t>
      </w:r>
      <w:r w:rsidRPr="0050379F">
        <w:rPr>
          <w:lang w:val="en-CA"/>
        </w:rPr>
        <w:t xml:space="preserve"> office</w:t>
      </w:r>
      <w:r w:rsidR="009F273F" w:rsidRPr="0050379F">
        <w:rPr>
          <w:lang w:val="en-CA"/>
        </w:rPr>
        <w:t>.</w:t>
      </w:r>
    </w:p>
    <w:p w14:paraId="6082FC78" w14:textId="77777777" w:rsidR="009F273F" w:rsidRPr="0050379F" w:rsidRDefault="00922E38" w:rsidP="009F273F">
      <w:pPr>
        <w:pStyle w:val="Paragraphe"/>
        <w:tabs>
          <w:tab w:val="clear" w:pos="360"/>
          <w:tab w:val="num" w:pos="709"/>
        </w:tabs>
        <w:spacing w:line="240" w:lineRule="auto"/>
        <w:rPr>
          <w:i/>
          <w:lang w:val="en-CA"/>
        </w:rPr>
      </w:pPr>
      <w:r w:rsidRPr="0050379F">
        <w:rPr>
          <w:lang w:val="en-CA"/>
        </w:rPr>
        <w:t xml:space="preserve">Groupe </w:t>
      </w:r>
      <w:r w:rsidR="003808E1" w:rsidRPr="0050379F">
        <w:rPr>
          <w:lang w:val="en-CA"/>
        </w:rPr>
        <w:t>TVA</w:t>
      </w:r>
      <w:r w:rsidRPr="0050379F">
        <w:rPr>
          <w:lang w:val="en-CA"/>
        </w:rPr>
        <w:t xml:space="preserve"> Inc. did not submit any other evidence. The journalist(s) concerned did not testify</w:t>
      </w:r>
      <w:r w:rsidR="009F273F" w:rsidRPr="0050379F">
        <w:rPr>
          <w:lang w:val="en-CA"/>
        </w:rPr>
        <w:t xml:space="preserve">. </w:t>
      </w:r>
    </w:p>
    <w:p w14:paraId="1C1C6B40" w14:textId="4AE926F8" w:rsidR="009F273F" w:rsidRPr="0050379F" w:rsidRDefault="00922E38" w:rsidP="009F273F">
      <w:pPr>
        <w:pStyle w:val="Paragraphe"/>
        <w:tabs>
          <w:tab w:val="clear" w:pos="360"/>
          <w:tab w:val="num" w:pos="709"/>
        </w:tabs>
        <w:spacing w:line="240" w:lineRule="auto"/>
        <w:rPr>
          <w:i/>
          <w:lang w:val="en-CA"/>
        </w:rPr>
      </w:pPr>
      <w:r w:rsidRPr="0050379F">
        <w:rPr>
          <w:lang w:val="en-CA"/>
        </w:rPr>
        <w:t xml:space="preserve">It </w:t>
      </w:r>
      <w:r w:rsidR="00682525">
        <w:rPr>
          <w:lang w:val="en-CA"/>
        </w:rPr>
        <w:t>is</w:t>
      </w:r>
      <w:r w:rsidR="00682525" w:rsidRPr="0050379F">
        <w:rPr>
          <w:lang w:val="en-CA"/>
        </w:rPr>
        <w:t xml:space="preserve"> </w:t>
      </w:r>
      <w:r w:rsidRPr="0050379F">
        <w:rPr>
          <w:lang w:val="en-CA"/>
        </w:rPr>
        <w:t xml:space="preserve">therefore </w:t>
      </w:r>
      <w:r w:rsidR="00682525">
        <w:rPr>
          <w:lang w:val="en-CA"/>
        </w:rPr>
        <w:t xml:space="preserve">solely </w:t>
      </w:r>
      <w:r w:rsidRPr="0050379F">
        <w:rPr>
          <w:lang w:val="en-CA"/>
        </w:rPr>
        <w:t xml:space="preserve">on the </w:t>
      </w:r>
      <w:r w:rsidR="009B522B">
        <w:rPr>
          <w:lang w:val="en-CA"/>
        </w:rPr>
        <w:t xml:space="preserve">basis of </w:t>
      </w:r>
      <w:r w:rsidRPr="0050379F">
        <w:rPr>
          <w:lang w:val="en-CA"/>
        </w:rPr>
        <w:t xml:space="preserve">the complete recordings of the journalist’s interviews of individuals A, B, and C </w:t>
      </w:r>
      <w:r w:rsidR="003808E1" w:rsidRPr="0050379F">
        <w:rPr>
          <w:lang w:val="en-CA"/>
        </w:rPr>
        <w:t>that Groupe TVA Inc. claim</w:t>
      </w:r>
      <w:r w:rsidR="00682525">
        <w:rPr>
          <w:lang w:val="en-CA"/>
        </w:rPr>
        <w:t>s</w:t>
      </w:r>
      <w:r w:rsidR="003808E1" w:rsidRPr="0050379F">
        <w:rPr>
          <w:lang w:val="en-CA"/>
        </w:rPr>
        <w:t xml:space="preserve"> that this material </w:t>
      </w:r>
      <w:r w:rsidR="00682525">
        <w:rPr>
          <w:lang w:val="en-CA"/>
        </w:rPr>
        <w:t>is</w:t>
      </w:r>
      <w:r w:rsidR="00682525" w:rsidRPr="0050379F">
        <w:rPr>
          <w:lang w:val="en-CA"/>
        </w:rPr>
        <w:t xml:space="preserve"> </w:t>
      </w:r>
      <w:r w:rsidR="003808E1" w:rsidRPr="0050379F">
        <w:rPr>
          <w:lang w:val="en-CA"/>
        </w:rPr>
        <w:t>likely to reveal the identity of one or more journalistic sources</w:t>
      </w:r>
      <w:r w:rsidR="009F273F" w:rsidRPr="0050379F">
        <w:rPr>
          <w:lang w:val="en-CA"/>
        </w:rPr>
        <w:t>.</w:t>
      </w:r>
    </w:p>
    <w:p w14:paraId="094B400F" w14:textId="6625EF4F" w:rsidR="009F273F" w:rsidRPr="0050379F" w:rsidRDefault="003808E1" w:rsidP="009F273F">
      <w:pPr>
        <w:pStyle w:val="Paragraphe"/>
        <w:tabs>
          <w:tab w:val="clear" w:pos="360"/>
          <w:tab w:val="num" w:pos="709"/>
        </w:tabs>
        <w:spacing w:line="240" w:lineRule="auto"/>
        <w:rPr>
          <w:i/>
          <w:lang w:val="en-CA"/>
        </w:rPr>
      </w:pPr>
      <w:r w:rsidRPr="0050379F">
        <w:rPr>
          <w:lang w:val="en-CA"/>
        </w:rPr>
        <w:t xml:space="preserve">A viewing of the recording of the journalist’s interview with individual C absolutely </w:t>
      </w:r>
      <w:r w:rsidR="00682525">
        <w:rPr>
          <w:lang w:val="en-CA"/>
        </w:rPr>
        <w:t xml:space="preserve">does </w:t>
      </w:r>
      <w:r w:rsidRPr="0050379F">
        <w:rPr>
          <w:lang w:val="en-CA"/>
        </w:rPr>
        <w:t>not allow</w:t>
      </w:r>
      <w:r w:rsidR="00682525">
        <w:rPr>
          <w:lang w:val="en-CA"/>
        </w:rPr>
        <w:t xml:space="preserve"> this</w:t>
      </w:r>
      <w:r w:rsidRPr="0050379F">
        <w:rPr>
          <w:lang w:val="en-CA"/>
        </w:rPr>
        <w:t xml:space="preserve"> conclusion</w:t>
      </w:r>
      <w:r w:rsidR="00682525">
        <w:rPr>
          <w:lang w:val="en-CA"/>
        </w:rPr>
        <w:t xml:space="preserve"> to be reached</w:t>
      </w:r>
      <w:r w:rsidR="009F273F" w:rsidRPr="0050379F">
        <w:rPr>
          <w:lang w:val="en-CA"/>
        </w:rPr>
        <w:t xml:space="preserve">. </w:t>
      </w:r>
    </w:p>
    <w:p w14:paraId="26E52FB4" w14:textId="7118FD94" w:rsidR="009F273F" w:rsidRPr="0050379F" w:rsidRDefault="003808E1" w:rsidP="00C34DB3">
      <w:pPr>
        <w:pStyle w:val="Paragraphe"/>
        <w:spacing w:line="240" w:lineRule="auto"/>
        <w:rPr>
          <w:i/>
          <w:lang w:val="en-CA"/>
        </w:rPr>
      </w:pPr>
      <w:r w:rsidRPr="0050379F">
        <w:rPr>
          <w:lang w:val="en-CA"/>
        </w:rPr>
        <w:t xml:space="preserve">The journalist called the individual and </w:t>
      </w:r>
      <w:r w:rsidR="00682525">
        <w:rPr>
          <w:lang w:val="en-CA"/>
        </w:rPr>
        <w:t>simply</w:t>
      </w:r>
      <w:r w:rsidR="00682525" w:rsidRPr="0050379F">
        <w:rPr>
          <w:lang w:val="en-CA"/>
        </w:rPr>
        <w:t xml:space="preserve"> </w:t>
      </w:r>
      <w:r w:rsidRPr="0050379F">
        <w:rPr>
          <w:lang w:val="en-CA"/>
        </w:rPr>
        <w:t xml:space="preserve">asked him questions. The individual </w:t>
      </w:r>
      <w:r w:rsidR="007509B2">
        <w:rPr>
          <w:lang w:val="en-CA"/>
        </w:rPr>
        <w:t>provided partial answers</w:t>
      </w:r>
      <w:r w:rsidRPr="0050379F">
        <w:rPr>
          <w:lang w:val="en-CA"/>
        </w:rPr>
        <w:t xml:space="preserve">. As </w:t>
      </w:r>
      <w:r w:rsidR="007509B2">
        <w:rPr>
          <w:lang w:val="en-CA"/>
        </w:rPr>
        <w:t>stated</w:t>
      </w:r>
      <w:r w:rsidRPr="0050379F">
        <w:rPr>
          <w:lang w:val="en-CA"/>
        </w:rPr>
        <w:t xml:space="preserve">, this person was clearly identified in the report </w:t>
      </w:r>
      <w:r w:rsidR="00986716">
        <w:rPr>
          <w:lang w:val="en-CA"/>
        </w:rPr>
        <w:t>broadcast</w:t>
      </w:r>
      <w:r w:rsidRPr="0050379F">
        <w:rPr>
          <w:lang w:val="en-CA"/>
        </w:rPr>
        <w:t>. N</w:t>
      </w:r>
      <w:r w:rsidR="00C34DB3" w:rsidRPr="0050379F">
        <w:rPr>
          <w:lang w:val="en-CA"/>
        </w:rPr>
        <w:t xml:space="preserve">othing in the evidence </w:t>
      </w:r>
      <w:r w:rsidR="007F70B8">
        <w:rPr>
          <w:lang w:val="en-CA"/>
        </w:rPr>
        <w:t xml:space="preserve">justifies </w:t>
      </w:r>
      <w:r w:rsidR="00C34DB3" w:rsidRPr="0050379F">
        <w:rPr>
          <w:lang w:val="en-CA"/>
        </w:rPr>
        <w:t>the conclusion that individual C was “a source that confidentially transmits information to a journalist on the journalist’s undertaking not to divulge the identity of the source, whose anonymity is essential to the relationship between the journalist and the source”</w:t>
      </w:r>
      <w:r w:rsidR="005C193D">
        <w:rPr>
          <w:lang w:val="en-CA"/>
        </w:rPr>
        <w:t>.</w:t>
      </w:r>
      <w:r w:rsidR="009F273F" w:rsidRPr="0050379F">
        <w:rPr>
          <w:rStyle w:val="Appelnotedebasdep"/>
          <w:lang w:val="en-CA"/>
        </w:rPr>
        <w:footnoteReference w:id="2"/>
      </w:r>
    </w:p>
    <w:p w14:paraId="4163E555" w14:textId="431DF0D8" w:rsidR="009F273F" w:rsidRPr="0050379F" w:rsidRDefault="009F273F" w:rsidP="009F273F">
      <w:pPr>
        <w:pStyle w:val="Paragraphe"/>
        <w:tabs>
          <w:tab w:val="clear" w:pos="360"/>
          <w:tab w:val="num" w:pos="709"/>
        </w:tabs>
        <w:spacing w:line="240" w:lineRule="auto"/>
        <w:rPr>
          <w:i/>
          <w:lang w:val="en-CA"/>
        </w:rPr>
      </w:pPr>
      <w:r w:rsidRPr="0050379F">
        <w:rPr>
          <w:lang w:val="en-CA"/>
        </w:rPr>
        <w:t>G</w:t>
      </w:r>
      <w:r w:rsidR="00F124C1" w:rsidRPr="0050379F">
        <w:rPr>
          <w:lang w:val="en-CA"/>
        </w:rPr>
        <w:t>roupe TVA I</w:t>
      </w:r>
      <w:r w:rsidRPr="0050379F">
        <w:rPr>
          <w:lang w:val="en-CA"/>
        </w:rPr>
        <w:t xml:space="preserve">nc. </w:t>
      </w:r>
      <w:r w:rsidR="00F124C1" w:rsidRPr="0050379F">
        <w:rPr>
          <w:lang w:val="en-CA"/>
        </w:rPr>
        <w:t>submit</w:t>
      </w:r>
      <w:r w:rsidR="0064276D">
        <w:rPr>
          <w:lang w:val="en-CA"/>
        </w:rPr>
        <w:t>ted no</w:t>
      </w:r>
      <w:r w:rsidR="00F124C1" w:rsidRPr="0050379F">
        <w:rPr>
          <w:lang w:val="en-CA"/>
        </w:rPr>
        <w:t xml:space="preserve"> argument</w:t>
      </w:r>
      <w:r w:rsidR="0064276D">
        <w:rPr>
          <w:lang w:val="en-CA"/>
        </w:rPr>
        <w:t>s</w:t>
      </w:r>
      <w:r w:rsidR="00F124C1" w:rsidRPr="0050379F">
        <w:rPr>
          <w:lang w:val="en-CA"/>
        </w:rPr>
        <w:t xml:space="preserve"> to the contrary.</w:t>
      </w:r>
      <w:r w:rsidRPr="0050379F">
        <w:rPr>
          <w:lang w:val="en-CA"/>
        </w:rPr>
        <w:t xml:space="preserve"> </w:t>
      </w:r>
      <w:r w:rsidR="003D7B62">
        <w:rPr>
          <w:lang w:val="en-CA"/>
        </w:rPr>
        <w:t>Accordingly, i</w:t>
      </w:r>
      <w:r w:rsidR="00F124C1" w:rsidRPr="0050379F">
        <w:rPr>
          <w:lang w:val="en-CA"/>
        </w:rPr>
        <w:t xml:space="preserve">ts application for “non-production and non-disclosure” </w:t>
      </w:r>
      <w:r w:rsidR="003D7B62">
        <w:rPr>
          <w:lang w:val="en-CA"/>
        </w:rPr>
        <w:t>of</w:t>
      </w:r>
      <w:r w:rsidR="003D7B62" w:rsidRPr="0050379F">
        <w:rPr>
          <w:lang w:val="en-CA"/>
        </w:rPr>
        <w:t xml:space="preserve"> </w:t>
      </w:r>
      <w:r w:rsidR="00F124C1" w:rsidRPr="0050379F">
        <w:rPr>
          <w:lang w:val="en-CA"/>
        </w:rPr>
        <w:t>the</w:t>
      </w:r>
      <w:r w:rsidRPr="0050379F">
        <w:rPr>
          <w:lang w:val="en-CA"/>
        </w:rPr>
        <w:t xml:space="preserve"> </w:t>
      </w:r>
      <w:r w:rsidR="00F124C1" w:rsidRPr="0050379F">
        <w:rPr>
          <w:lang w:val="en-CA"/>
        </w:rPr>
        <w:t>interview with individual C is unfounded</w:t>
      </w:r>
      <w:r w:rsidR="003D7B62">
        <w:rPr>
          <w:lang w:val="en-CA"/>
        </w:rPr>
        <w:t>,</w:t>
      </w:r>
      <w:r w:rsidRPr="0050379F">
        <w:rPr>
          <w:rStyle w:val="Appelnotedebasdep"/>
          <w:lang w:val="en-CA"/>
        </w:rPr>
        <w:footnoteReference w:id="3"/>
      </w:r>
      <w:r w:rsidRPr="0050379F">
        <w:rPr>
          <w:lang w:val="en-CA"/>
        </w:rPr>
        <w:t xml:space="preserve"> </w:t>
      </w:r>
      <w:r w:rsidR="00F124C1" w:rsidRPr="0050379F">
        <w:rPr>
          <w:lang w:val="en-CA"/>
        </w:rPr>
        <w:t>and its disclosure to the</w:t>
      </w:r>
      <w:r w:rsidRPr="0050379F">
        <w:rPr>
          <w:lang w:val="en-CA"/>
        </w:rPr>
        <w:t xml:space="preserve"> </w:t>
      </w:r>
      <w:r w:rsidR="00213D70" w:rsidRPr="00213D70">
        <w:rPr>
          <w:lang w:val="en-CA"/>
        </w:rPr>
        <w:t>Sûreté du Québec</w:t>
      </w:r>
      <w:r w:rsidRPr="0050379F">
        <w:rPr>
          <w:lang w:val="en-CA"/>
        </w:rPr>
        <w:t xml:space="preserve"> </w:t>
      </w:r>
      <w:r w:rsidR="00F124C1" w:rsidRPr="0050379F">
        <w:rPr>
          <w:lang w:val="en-CA"/>
        </w:rPr>
        <w:t xml:space="preserve">will </w:t>
      </w:r>
      <w:r w:rsidR="003D7B62">
        <w:rPr>
          <w:lang w:val="en-CA"/>
        </w:rPr>
        <w:t>therefore</w:t>
      </w:r>
      <w:r w:rsidR="003D7B62" w:rsidRPr="0050379F">
        <w:rPr>
          <w:lang w:val="en-CA"/>
        </w:rPr>
        <w:t xml:space="preserve"> </w:t>
      </w:r>
      <w:r w:rsidR="00F124C1" w:rsidRPr="0050379F">
        <w:rPr>
          <w:lang w:val="en-CA"/>
        </w:rPr>
        <w:t>be ordered.</w:t>
      </w:r>
    </w:p>
    <w:p w14:paraId="3061B8A9" w14:textId="4D937AA9" w:rsidR="009F273F" w:rsidRPr="006C2A53" w:rsidRDefault="00F124C1" w:rsidP="009F273F">
      <w:pPr>
        <w:pStyle w:val="Paragraphe"/>
        <w:tabs>
          <w:tab w:val="clear" w:pos="360"/>
          <w:tab w:val="num" w:pos="709"/>
        </w:tabs>
        <w:spacing w:line="240" w:lineRule="auto"/>
        <w:rPr>
          <w:i/>
          <w:lang w:val="en-CA"/>
        </w:rPr>
      </w:pPr>
      <w:r w:rsidRPr="006C2A53">
        <w:rPr>
          <w:lang w:val="en-CA"/>
        </w:rPr>
        <w:t>What is unusual is that</w:t>
      </w:r>
      <w:r w:rsidR="00135685" w:rsidRPr="006C2A53">
        <w:rPr>
          <w:lang w:val="en-CA"/>
        </w:rPr>
        <w:t>,</w:t>
      </w:r>
      <w:r w:rsidRPr="006C2A53">
        <w:rPr>
          <w:lang w:val="en-CA"/>
        </w:rPr>
        <w:t xml:space="preserve"> although the </w:t>
      </w:r>
      <w:r w:rsidR="00135685" w:rsidRPr="006C2A53">
        <w:rPr>
          <w:lang w:val="en-CA"/>
        </w:rPr>
        <w:t xml:space="preserve">general production </w:t>
      </w:r>
      <w:r w:rsidRPr="006C2A53">
        <w:rPr>
          <w:lang w:val="en-CA"/>
        </w:rPr>
        <w:t>order concerns the recording of</w:t>
      </w:r>
      <w:r w:rsidR="00135685" w:rsidRPr="006C2A53">
        <w:rPr>
          <w:lang w:val="en-CA"/>
        </w:rPr>
        <w:t xml:space="preserve"> the</w:t>
      </w:r>
      <w:r w:rsidR="006D2B6F" w:rsidRPr="006C2A53">
        <w:rPr>
          <w:lang w:val="en-CA"/>
        </w:rPr>
        <w:t xml:space="preserve"> </w:t>
      </w:r>
      <w:r w:rsidR="006D2B6F" w:rsidRPr="006C2A53">
        <w:rPr>
          <w:smallCaps/>
          <w:lang w:val="en-CA"/>
        </w:rPr>
        <w:t>[translation]</w:t>
      </w:r>
      <w:r w:rsidRPr="006C2A53">
        <w:rPr>
          <w:lang w:val="en-CA"/>
        </w:rPr>
        <w:t xml:space="preserve"> </w:t>
      </w:r>
      <w:r w:rsidR="006D2B6F" w:rsidRPr="006C2A53">
        <w:rPr>
          <w:lang w:val="en-CA"/>
        </w:rPr>
        <w:t>“</w:t>
      </w:r>
      <w:r w:rsidRPr="006C2A53">
        <w:rPr>
          <w:lang w:val="en-CA"/>
        </w:rPr>
        <w:t>complete conversations</w:t>
      </w:r>
      <w:r w:rsidR="006D2B6F" w:rsidRPr="006C2A53">
        <w:rPr>
          <w:lang w:val="en-CA"/>
        </w:rPr>
        <w:t>”</w:t>
      </w:r>
      <w:r w:rsidRPr="006C2A53">
        <w:rPr>
          <w:lang w:val="en-CA"/>
        </w:rPr>
        <w:t xml:space="preserve"> between the journalist and individual C, </w:t>
      </w:r>
      <w:r w:rsidR="00135685" w:rsidRPr="006C2A53">
        <w:rPr>
          <w:lang w:val="en-CA"/>
        </w:rPr>
        <w:t xml:space="preserve">Groupe TVA Inc. disclosed </w:t>
      </w:r>
      <w:r w:rsidRPr="006C2A53">
        <w:rPr>
          <w:lang w:val="en-CA"/>
        </w:rPr>
        <w:t xml:space="preserve">only the portion </w:t>
      </w:r>
      <w:r w:rsidR="00135685" w:rsidRPr="006C2A53">
        <w:rPr>
          <w:lang w:val="en-CA"/>
        </w:rPr>
        <w:t>that was broadcast</w:t>
      </w:r>
      <w:r w:rsidRPr="006C2A53">
        <w:rPr>
          <w:lang w:val="en-CA"/>
        </w:rPr>
        <w:t xml:space="preserve">. </w:t>
      </w:r>
      <w:r w:rsidR="0064276D" w:rsidRPr="006C2A53">
        <w:rPr>
          <w:lang w:val="en-CA"/>
        </w:rPr>
        <w:t>It is clear from m</w:t>
      </w:r>
      <w:r w:rsidR="006D2B6F" w:rsidRPr="006C2A53">
        <w:rPr>
          <w:lang w:val="en-CA"/>
        </w:rPr>
        <w:t>erely listening to the reco</w:t>
      </w:r>
      <w:r w:rsidR="0045783D" w:rsidRPr="006C2A53">
        <w:rPr>
          <w:lang w:val="en-CA"/>
        </w:rPr>
        <w:t>rding that the conversation is not “complete”</w:t>
      </w:r>
      <w:r w:rsidR="00077BF7" w:rsidRPr="006C2A53">
        <w:rPr>
          <w:lang w:val="en-CA"/>
        </w:rPr>
        <w:t>.</w:t>
      </w:r>
      <w:r w:rsidR="0045783D" w:rsidRPr="006C2A53">
        <w:rPr>
          <w:lang w:val="en-CA"/>
        </w:rPr>
        <w:t xml:space="preserve"> Is there no recording of the </w:t>
      </w:r>
      <w:r w:rsidR="00031C18">
        <w:rPr>
          <w:lang w:val="en-CA"/>
        </w:rPr>
        <w:t xml:space="preserve">complete </w:t>
      </w:r>
      <w:r w:rsidR="0045783D" w:rsidRPr="006C2A53">
        <w:rPr>
          <w:lang w:val="en-CA"/>
        </w:rPr>
        <w:t xml:space="preserve">interview? </w:t>
      </w:r>
      <w:r w:rsidR="00135685" w:rsidRPr="006C2A53">
        <w:rPr>
          <w:lang w:val="en-CA"/>
        </w:rPr>
        <w:t xml:space="preserve">Has </w:t>
      </w:r>
      <w:r w:rsidR="0045783D" w:rsidRPr="006C2A53">
        <w:rPr>
          <w:lang w:val="en-CA"/>
        </w:rPr>
        <w:t xml:space="preserve">the recording of the </w:t>
      </w:r>
      <w:r w:rsidR="00031C18">
        <w:rPr>
          <w:lang w:val="en-CA"/>
        </w:rPr>
        <w:t xml:space="preserve">complete </w:t>
      </w:r>
      <w:r w:rsidR="0045783D" w:rsidRPr="006C2A53">
        <w:rPr>
          <w:lang w:val="en-CA"/>
        </w:rPr>
        <w:t xml:space="preserve">interview </w:t>
      </w:r>
      <w:r w:rsidR="00135685" w:rsidRPr="006C2A53">
        <w:rPr>
          <w:lang w:val="en-CA"/>
        </w:rPr>
        <w:t xml:space="preserve">been </w:t>
      </w:r>
      <w:r w:rsidR="0045783D" w:rsidRPr="006C2A53">
        <w:rPr>
          <w:lang w:val="en-CA"/>
        </w:rPr>
        <w:t xml:space="preserve">destroyed? The Court </w:t>
      </w:r>
      <w:r w:rsidR="00134C7D" w:rsidRPr="006C2A53">
        <w:rPr>
          <w:lang w:val="en-CA"/>
        </w:rPr>
        <w:t xml:space="preserve">does not </w:t>
      </w:r>
      <w:r w:rsidR="0045783D" w:rsidRPr="006C2A53">
        <w:rPr>
          <w:lang w:val="en-CA"/>
        </w:rPr>
        <w:t xml:space="preserve">know. In an affidavit appended to the recordings given by </w:t>
      </w:r>
      <w:r w:rsidR="009F273F" w:rsidRPr="006C2A53">
        <w:rPr>
          <w:lang w:val="en-CA"/>
        </w:rPr>
        <w:t xml:space="preserve">Xavier Brassard-Bédard, </w:t>
      </w:r>
      <w:r w:rsidR="0045783D" w:rsidRPr="006C2A53">
        <w:rPr>
          <w:lang w:val="en-CA"/>
        </w:rPr>
        <w:t xml:space="preserve">managing editor </w:t>
      </w:r>
      <w:r w:rsidR="00CF58C9" w:rsidRPr="006C2A53">
        <w:rPr>
          <w:lang w:val="en-CA"/>
        </w:rPr>
        <w:t>for the Groupe TVA</w:t>
      </w:r>
      <w:r w:rsidR="0045783D" w:rsidRPr="006C2A53">
        <w:rPr>
          <w:lang w:val="en-CA"/>
        </w:rPr>
        <w:t xml:space="preserve"> Inc., </w:t>
      </w:r>
      <w:r w:rsidR="00D769D7" w:rsidRPr="006C2A53">
        <w:rPr>
          <w:lang w:val="en-CA"/>
        </w:rPr>
        <w:t xml:space="preserve">he </w:t>
      </w:r>
      <w:r w:rsidR="0045783D" w:rsidRPr="006C2A53">
        <w:rPr>
          <w:lang w:val="en-CA"/>
        </w:rPr>
        <w:t xml:space="preserve">assures that they respect the </w:t>
      </w:r>
      <w:r w:rsidR="00135685" w:rsidRPr="006C2A53">
        <w:rPr>
          <w:lang w:val="en-CA"/>
        </w:rPr>
        <w:t xml:space="preserve">production </w:t>
      </w:r>
      <w:r w:rsidR="0045783D" w:rsidRPr="006C2A53">
        <w:rPr>
          <w:lang w:val="en-CA"/>
        </w:rPr>
        <w:t>order</w:t>
      </w:r>
      <w:r w:rsidR="009F273F" w:rsidRPr="006C2A53">
        <w:rPr>
          <w:lang w:val="en-CA"/>
        </w:rPr>
        <w:t>.</w:t>
      </w:r>
    </w:p>
    <w:p w14:paraId="2FF5E983" w14:textId="3059E89D" w:rsidR="009F273F" w:rsidRPr="0050379F" w:rsidRDefault="0045783D" w:rsidP="009F273F">
      <w:pPr>
        <w:pStyle w:val="Paragraphe"/>
        <w:tabs>
          <w:tab w:val="clear" w:pos="360"/>
          <w:tab w:val="num" w:pos="709"/>
        </w:tabs>
        <w:spacing w:line="240" w:lineRule="auto"/>
        <w:rPr>
          <w:lang w:val="en-CA"/>
        </w:rPr>
      </w:pPr>
      <w:r w:rsidRPr="0050379F">
        <w:rPr>
          <w:lang w:val="en-CA"/>
        </w:rPr>
        <w:t>The</w:t>
      </w:r>
      <w:r w:rsidR="009F273F" w:rsidRPr="0050379F">
        <w:rPr>
          <w:lang w:val="en-CA"/>
        </w:rPr>
        <w:t xml:space="preserve"> situation </w:t>
      </w:r>
      <w:r w:rsidRPr="0050379F">
        <w:rPr>
          <w:lang w:val="en-CA"/>
        </w:rPr>
        <w:t xml:space="preserve">of the </w:t>
      </w:r>
      <w:r w:rsidR="00134C7D">
        <w:rPr>
          <w:lang w:val="en-CA"/>
        </w:rPr>
        <w:t xml:space="preserve">journalist’s </w:t>
      </w:r>
      <w:r w:rsidRPr="0050379F">
        <w:rPr>
          <w:lang w:val="en-CA"/>
        </w:rPr>
        <w:t>interview with individuals A and B is different.</w:t>
      </w:r>
    </w:p>
    <w:p w14:paraId="080C1053" w14:textId="4A9CA045" w:rsidR="009F273F" w:rsidRPr="0050379F" w:rsidRDefault="0045783D" w:rsidP="009F273F">
      <w:pPr>
        <w:pStyle w:val="Paragraphe"/>
        <w:tabs>
          <w:tab w:val="clear" w:pos="360"/>
          <w:tab w:val="num" w:pos="709"/>
        </w:tabs>
        <w:spacing w:line="240" w:lineRule="auto"/>
        <w:rPr>
          <w:i/>
          <w:lang w:val="en-CA"/>
        </w:rPr>
      </w:pPr>
      <w:r w:rsidRPr="0050379F">
        <w:rPr>
          <w:lang w:val="en-CA"/>
        </w:rPr>
        <w:t xml:space="preserve">A viewing of the whole interview shows quite </w:t>
      </w:r>
      <w:r w:rsidR="00134C7D">
        <w:rPr>
          <w:lang w:val="en-CA"/>
        </w:rPr>
        <w:t xml:space="preserve">a </w:t>
      </w:r>
      <w:r w:rsidRPr="0050379F">
        <w:rPr>
          <w:lang w:val="en-CA"/>
        </w:rPr>
        <w:t xml:space="preserve">different situation </w:t>
      </w:r>
      <w:r w:rsidR="00134C7D">
        <w:rPr>
          <w:lang w:val="en-CA"/>
        </w:rPr>
        <w:t xml:space="preserve">from </w:t>
      </w:r>
      <w:r w:rsidRPr="0050379F">
        <w:rPr>
          <w:lang w:val="en-CA"/>
        </w:rPr>
        <w:t xml:space="preserve">what was presented when the report was </w:t>
      </w:r>
      <w:r w:rsidR="00986716">
        <w:rPr>
          <w:lang w:val="en-CA"/>
        </w:rPr>
        <w:t>broadcast</w:t>
      </w:r>
      <w:r w:rsidR="009F273F" w:rsidRPr="0050379F">
        <w:rPr>
          <w:lang w:val="en-CA"/>
        </w:rPr>
        <w:t>.</w:t>
      </w:r>
    </w:p>
    <w:p w14:paraId="51DAE970" w14:textId="54C4B6AB" w:rsidR="009F273F" w:rsidRPr="0050379F" w:rsidRDefault="0045783D" w:rsidP="009F273F">
      <w:pPr>
        <w:pStyle w:val="Paragraphe"/>
        <w:tabs>
          <w:tab w:val="clear" w:pos="360"/>
          <w:tab w:val="num" w:pos="709"/>
        </w:tabs>
        <w:spacing w:line="240" w:lineRule="auto"/>
        <w:rPr>
          <w:i/>
          <w:lang w:val="en-CA"/>
        </w:rPr>
      </w:pPr>
      <w:r w:rsidRPr="0050379F">
        <w:rPr>
          <w:lang w:val="en-CA"/>
        </w:rPr>
        <w:t xml:space="preserve">Contrary to what the report suggested, individuals A and B revealed important information </w:t>
      </w:r>
      <w:r w:rsidR="00CC4CA1">
        <w:rPr>
          <w:lang w:val="en-CA"/>
        </w:rPr>
        <w:t>when</w:t>
      </w:r>
      <w:r w:rsidR="00CC022C" w:rsidRPr="0050379F">
        <w:rPr>
          <w:lang w:val="en-CA"/>
        </w:rPr>
        <w:t xml:space="preserve"> </w:t>
      </w:r>
      <w:r w:rsidRPr="0050379F">
        <w:rPr>
          <w:lang w:val="en-CA"/>
        </w:rPr>
        <w:t>they did not know they were being filmed and recorded</w:t>
      </w:r>
      <w:r w:rsidR="005C193D">
        <w:rPr>
          <w:lang w:val="en-CA"/>
        </w:rPr>
        <w:t>,</w:t>
      </w:r>
      <w:r w:rsidRPr="0050379F">
        <w:rPr>
          <w:lang w:val="en-CA"/>
        </w:rPr>
        <w:t xml:space="preserve"> </w:t>
      </w:r>
      <w:r w:rsidR="00CC022C">
        <w:rPr>
          <w:lang w:val="en-CA"/>
        </w:rPr>
        <w:t xml:space="preserve">and </w:t>
      </w:r>
      <w:r w:rsidRPr="0050379F">
        <w:rPr>
          <w:lang w:val="en-CA"/>
        </w:rPr>
        <w:t xml:space="preserve">the journalist lied about this </w:t>
      </w:r>
      <w:r w:rsidR="00CC4CA1">
        <w:rPr>
          <w:lang w:val="en-CA"/>
        </w:rPr>
        <w:t xml:space="preserve">subject </w:t>
      </w:r>
      <w:r w:rsidRPr="0050379F">
        <w:rPr>
          <w:lang w:val="en-CA"/>
        </w:rPr>
        <w:t xml:space="preserve">and assured them that he was </w:t>
      </w:r>
      <w:r w:rsidR="00CF58C9">
        <w:rPr>
          <w:lang w:val="en-CA"/>
        </w:rPr>
        <w:t>gathering</w:t>
      </w:r>
      <w:r w:rsidRPr="0050379F">
        <w:rPr>
          <w:lang w:val="en-CA"/>
        </w:rPr>
        <w:t xml:space="preserve"> </w:t>
      </w:r>
      <w:r w:rsidR="00CC022C">
        <w:rPr>
          <w:lang w:val="en-CA"/>
        </w:rPr>
        <w:t>their statements in confidence</w:t>
      </w:r>
      <w:r w:rsidRPr="0050379F">
        <w:rPr>
          <w:lang w:val="en-CA"/>
        </w:rPr>
        <w:t xml:space="preserve">. </w:t>
      </w:r>
    </w:p>
    <w:p w14:paraId="563A4ABF" w14:textId="58CAEC1D" w:rsidR="009F273F" w:rsidRPr="0050379F" w:rsidRDefault="00CC022C" w:rsidP="009F273F">
      <w:pPr>
        <w:pStyle w:val="Paragraphe"/>
        <w:tabs>
          <w:tab w:val="clear" w:pos="360"/>
          <w:tab w:val="num" w:pos="709"/>
        </w:tabs>
        <w:spacing w:line="240" w:lineRule="auto"/>
        <w:rPr>
          <w:i/>
          <w:lang w:val="en-CA"/>
        </w:rPr>
      </w:pPr>
      <w:r>
        <w:rPr>
          <w:lang w:val="en-CA"/>
        </w:rPr>
        <w:lastRenderedPageBreak/>
        <w:t>T</w:t>
      </w:r>
      <w:r w:rsidR="0045783D" w:rsidRPr="0050379F">
        <w:rPr>
          <w:lang w:val="en-CA"/>
        </w:rPr>
        <w:t xml:space="preserve">he journalist </w:t>
      </w:r>
      <w:r>
        <w:rPr>
          <w:lang w:val="en-CA"/>
        </w:rPr>
        <w:t xml:space="preserve">went to </w:t>
      </w:r>
      <w:r w:rsidR="0045783D" w:rsidRPr="0050379F">
        <w:rPr>
          <w:lang w:val="en-CA"/>
        </w:rPr>
        <w:t xml:space="preserve">where the individuals A and B were located. He identified himself to B as a journalist. He told him that he </w:t>
      </w:r>
      <w:r w:rsidR="00E67BA7">
        <w:rPr>
          <w:lang w:val="en-CA"/>
        </w:rPr>
        <w:t xml:space="preserve">wanted </w:t>
      </w:r>
      <w:r w:rsidR="0045783D" w:rsidRPr="0050379F">
        <w:rPr>
          <w:lang w:val="en-CA"/>
        </w:rPr>
        <w:t xml:space="preserve">to speak with A </w:t>
      </w:r>
      <w:r>
        <w:rPr>
          <w:lang w:val="en-CA"/>
        </w:rPr>
        <w:t>[</w:t>
      </w:r>
      <w:r w:rsidRPr="00077BF7">
        <w:rPr>
          <w:smallCaps/>
          <w:lang w:val="en-CA"/>
        </w:rPr>
        <w:t>translation</w:t>
      </w:r>
      <w:r>
        <w:rPr>
          <w:lang w:val="en-CA"/>
        </w:rPr>
        <w:t xml:space="preserve">] </w:t>
      </w:r>
      <w:r w:rsidR="00041848" w:rsidRPr="0050379F">
        <w:rPr>
          <w:lang w:val="en-CA"/>
        </w:rPr>
        <w:t>“</w:t>
      </w:r>
      <w:r w:rsidR="0045783D" w:rsidRPr="0050379F">
        <w:rPr>
          <w:lang w:val="en-CA"/>
        </w:rPr>
        <w:t>confidentially</w:t>
      </w:r>
      <w:r w:rsidR="00041848" w:rsidRPr="0050379F">
        <w:rPr>
          <w:lang w:val="en-CA"/>
        </w:rPr>
        <w:t>”</w:t>
      </w:r>
      <w:r w:rsidR="005C193D">
        <w:rPr>
          <w:lang w:val="en-CA"/>
        </w:rPr>
        <w:t>.</w:t>
      </w:r>
    </w:p>
    <w:p w14:paraId="15527228" w14:textId="114DF31B" w:rsidR="009F273F" w:rsidRPr="0050379F" w:rsidRDefault="00041848" w:rsidP="009F273F">
      <w:pPr>
        <w:pStyle w:val="Paragraphe"/>
        <w:tabs>
          <w:tab w:val="clear" w:pos="360"/>
          <w:tab w:val="num" w:pos="709"/>
        </w:tabs>
        <w:spacing w:line="240" w:lineRule="auto"/>
        <w:rPr>
          <w:i/>
          <w:lang w:val="en-CA"/>
        </w:rPr>
      </w:pPr>
      <w:r w:rsidRPr="0050379F">
        <w:rPr>
          <w:lang w:val="en-CA"/>
        </w:rPr>
        <w:t xml:space="preserve">He repeated </w:t>
      </w:r>
      <w:r w:rsidR="00E67BA7">
        <w:rPr>
          <w:lang w:val="en-CA"/>
        </w:rPr>
        <w:t xml:space="preserve">twice </w:t>
      </w:r>
      <w:r w:rsidRPr="0050379F">
        <w:rPr>
          <w:lang w:val="en-CA"/>
        </w:rPr>
        <w:t xml:space="preserve">that he </w:t>
      </w:r>
      <w:r w:rsidR="00E67BA7">
        <w:rPr>
          <w:lang w:val="en-CA"/>
        </w:rPr>
        <w:t xml:space="preserve">wanted to </w:t>
      </w:r>
      <w:r w:rsidRPr="0050379F">
        <w:rPr>
          <w:lang w:val="en-CA"/>
        </w:rPr>
        <w:t xml:space="preserve">speak </w:t>
      </w:r>
      <w:r w:rsidR="00E67BA7">
        <w:rPr>
          <w:lang w:val="en-CA"/>
        </w:rPr>
        <w:t xml:space="preserve">with </w:t>
      </w:r>
      <w:r w:rsidRPr="0050379F">
        <w:rPr>
          <w:lang w:val="en-CA"/>
        </w:rPr>
        <w:t xml:space="preserve">A or </w:t>
      </w:r>
      <w:r w:rsidR="00E67BA7">
        <w:rPr>
          <w:lang w:val="en-CA"/>
        </w:rPr>
        <w:t xml:space="preserve">with </w:t>
      </w:r>
      <w:r w:rsidRPr="0050379F">
        <w:rPr>
          <w:lang w:val="en-CA"/>
        </w:rPr>
        <w:t xml:space="preserve">them (A and B) </w:t>
      </w:r>
      <w:r w:rsidR="000A5BBF">
        <w:rPr>
          <w:lang w:val="en-CA"/>
        </w:rPr>
        <w:t>[</w:t>
      </w:r>
      <w:r w:rsidR="000A5BBF" w:rsidRPr="00077BF7">
        <w:rPr>
          <w:smallCaps/>
          <w:lang w:val="en-CA"/>
        </w:rPr>
        <w:t>translation</w:t>
      </w:r>
      <w:r w:rsidR="000A5BBF">
        <w:rPr>
          <w:lang w:val="en-CA"/>
        </w:rPr>
        <w:t xml:space="preserve">] </w:t>
      </w:r>
      <w:r w:rsidRPr="0050379F">
        <w:rPr>
          <w:lang w:val="en-CA"/>
        </w:rPr>
        <w:t>“confidentially”</w:t>
      </w:r>
      <w:r w:rsidR="005C193D">
        <w:rPr>
          <w:lang w:val="en-CA"/>
        </w:rPr>
        <w:t>.</w:t>
      </w:r>
    </w:p>
    <w:p w14:paraId="16F22A2C" w14:textId="4B5C8798" w:rsidR="009F273F" w:rsidRPr="0050379F" w:rsidRDefault="009F273F" w:rsidP="009F273F">
      <w:pPr>
        <w:pStyle w:val="Paragraphe"/>
        <w:tabs>
          <w:tab w:val="clear" w:pos="360"/>
          <w:tab w:val="num" w:pos="709"/>
        </w:tabs>
        <w:spacing w:line="240" w:lineRule="auto"/>
        <w:rPr>
          <w:i/>
          <w:lang w:val="en-CA"/>
        </w:rPr>
      </w:pPr>
      <w:r w:rsidRPr="0050379F">
        <w:rPr>
          <w:lang w:val="en-CA"/>
        </w:rPr>
        <w:t xml:space="preserve">B </w:t>
      </w:r>
      <w:r w:rsidR="00041848" w:rsidRPr="0050379F">
        <w:rPr>
          <w:lang w:val="en-CA"/>
        </w:rPr>
        <w:t>asked him if he was wearing a microphone. The journalist answered “no”</w:t>
      </w:r>
      <w:r w:rsidR="00110552">
        <w:rPr>
          <w:lang w:val="en-CA"/>
        </w:rPr>
        <w:t xml:space="preserve"> but that </w:t>
      </w:r>
      <w:r w:rsidR="00041848" w:rsidRPr="0050379F">
        <w:rPr>
          <w:lang w:val="en-CA"/>
        </w:rPr>
        <w:t xml:space="preserve">that was false, </w:t>
      </w:r>
      <w:r w:rsidR="00110552">
        <w:rPr>
          <w:lang w:val="en-CA"/>
        </w:rPr>
        <w:t xml:space="preserve">as </w:t>
      </w:r>
      <w:r w:rsidR="00041848" w:rsidRPr="0050379F">
        <w:rPr>
          <w:lang w:val="en-CA"/>
        </w:rPr>
        <w:t xml:space="preserve">he was covertly filming and recording </w:t>
      </w:r>
      <w:r w:rsidR="00E67BA7">
        <w:rPr>
          <w:lang w:val="en-CA"/>
        </w:rPr>
        <w:t>audio</w:t>
      </w:r>
      <w:r w:rsidRPr="0050379F">
        <w:rPr>
          <w:lang w:val="en-CA"/>
        </w:rPr>
        <w:t>.</w:t>
      </w:r>
    </w:p>
    <w:p w14:paraId="634891F4" w14:textId="2ACD815A" w:rsidR="009F273F" w:rsidRPr="0050379F" w:rsidRDefault="009F273F" w:rsidP="009F273F">
      <w:pPr>
        <w:pStyle w:val="Paragraphe"/>
        <w:tabs>
          <w:tab w:val="clear" w:pos="360"/>
          <w:tab w:val="num" w:pos="709"/>
        </w:tabs>
        <w:spacing w:line="240" w:lineRule="auto"/>
        <w:rPr>
          <w:i/>
          <w:lang w:val="en-CA"/>
        </w:rPr>
      </w:pPr>
      <w:r w:rsidRPr="0050379F">
        <w:rPr>
          <w:lang w:val="en-CA"/>
        </w:rPr>
        <w:t xml:space="preserve">A </w:t>
      </w:r>
      <w:r w:rsidR="00041848" w:rsidRPr="0050379F">
        <w:rPr>
          <w:lang w:val="en-CA"/>
        </w:rPr>
        <w:t xml:space="preserve">finally introduced himself to the journalist and held out a telephone. He asked the journalist to speak with his </w:t>
      </w:r>
      <w:r w:rsidR="00D769D7">
        <w:rPr>
          <w:lang w:val="en-CA"/>
        </w:rPr>
        <w:t>lawyer</w:t>
      </w:r>
      <w:r w:rsidR="00041848" w:rsidRPr="0050379F">
        <w:rPr>
          <w:lang w:val="en-CA"/>
        </w:rPr>
        <w:t xml:space="preserve">. The journalist repeated to the </w:t>
      </w:r>
      <w:r w:rsidR="00D769D7">
        <w:rPr>
          <w:lang w:val="en-CA"/>
        </w:rPr>
        <w:t>lawyer</w:t>
      </w:r>
      <w:r w:rsidR="00041848" w:rsidRPr="0050379F">
        <w:rPr>
          <w:lang w:val="en-CA"/>
        </w:rPr>
        <w:t xml:space="preserve"> that he wanted to have a </w:t>
      </w:r>
      <w:r w:rsidR="000A5BBF">
        <w:rPr>
          <w:lang w:val="en-CA"/>
        </w:rPr>
        <w:t>[</w:t>
      </w:r>
      <w:r w:rsidR="000A5BBF" w:rsidRPr="00077BF7">
        <w:rPr>
          <w:smallCaps/>
          <w:lang w:val="en-CA"/>
        </w:rPr>
        <w:t>translation</w:t>
      </w:r>
      <w:r w:rsidR="000A5BBF">
        <w:rPr>
          <w:lang w:val="en-CA"/>
        </w:rPr>
        <w:t xml:space="preserve">] </w:t>
      </w:r>
      <w:r w:rsidR="00041848" w:rsidRPr="0050379F">
        <w:rPr>
          <w:lang w:val="en-CA"/>
        </w:rPr>
        <w:t>“confidential” discussion with A</w:t>
      </w:r>
      <w:r w:rsidRPr="0050379F">
        <w:rPr>
          <w:lang w:val="en-CA"/>
        </w:rPr>
        <w:t>.</w:t>
      </w:r>
    </w:p>
    <w:p w14:paraId="721431C7" w14:textId="1535E0DD" w:rsidR="009F273F" w:rsidRPr="0050379F" w:rsidRDefault="00041848" w:rsidP="009F273F">
      <w:pPr>
        <w:pStyle w:val="Paragraphe"/>
        <w:tabs>
          <w:tab w:val="clear" w:pos="360"/>
          <w:tab w:val="num" w:pos="709"/>
        </w:tabs>
        <w:spacing w:line="240" w:lineRule="auto"/>
        <w:rPr>
          <w:i/>
          <w:lang w:val="en-CA"/>
        </w:rPr>
      </w:pPr>
      <w:r w:rsidRPr="0050379F">
        <w:rPr>
          <w:lang w:val="en-CA"/>
        </w:rPr>
        <w:t xml:space="preserve">After the call with the </w:t>
      </w:r>
      <w:r w:rsidR="00D769D7">
        <w:rPr>
          <w:lang w:val="en-CA"/>
        </w:rPr>
        <w:t>lawyer</w:t>
      </w:r>
      <w:r w:rsidRPr="0050379F">
        <w:rPr>
          <w:lang w:val="en-CA"/>
        </w:rPr>
        <w:t xml:space="preserve">, A and B </w:t>
      </w:r>
      <w:r w:rsidR="0092201D">
        <w:rPr>
          <w:lang w:val="en-CA"/>
        </w:rPr>
        <w:t>were reluctant</w:t>
      </w:r>
      <w:r w:rsidR="0092201D" w:rsidRPr="0050379F">
        <w:rPr>
          <w:lang w:val="en-CA"/>
        </w:rPr>
        <w:t xml:space="preserve"> </w:t>
      </w:r>
      <w:r w:rsidRPr="0050379F">
        <w:rPr>
          <w:lang w:val="en-CA"/>
        </w:rPr>
        <w:t xml:space="preserve">to speak to the journalist. B asked the journalist if </w:t>
      </w:r>
      <w:r w:rsidR="0092201D">
        <w:rPr>
          <w:lang w:val="en-CA"/>
        </w:rPr>
        <w:t>it</w:t>
      </w:r>
      <w:r w:rsidR="0092201D" w:rsidRPr="0050379F">
        <w:rPr>
          <w:lang w:val="en-CA"/>
        </w:rPr>
        <w:t xml:space="preserve"> </w:t>
      </w:r>
      <w:r w:rsidRPr="0050379F">
        <w:rPr>
          <w:lang w:val="en-CA"/>
        </w:rPr>
        <w:t xml:space="preserve">could be done </w:t>
      </w:r>
      <w:r w:rsidR="0092201D">
        <w:rPr>
          <w:lang w:val="en-CA"/>
        </w:rPr>
        <w:t>[</w:t>
      </w:r>
      <w:r w:rsidR="0092201D" w:rsidRPr="00077BF7">
        <w:rPr>
          <w:smallCaps/>
          <w:lang w:val="en-CA"/>
        </w:rPr>
        <w:t>translation</w:t>
      </w:r>
      <w:r w:rsidR="0092201D">
        <w:rPr>
          <w:lang w:val="en-CA"/>
        </w:rPr>
        <w:t xml:space="preserve">] </w:t>
      </w:r>
      <w:r w:rsidRPr="0050379F">
        <w:rPr>
          <w:lang w:val="en-CA"/>
        </w:rPr>
        <w:t xml:space="preserve">“in </w:t>
      </w:r>
      <w:r w:rsidR="00562D5D">
        <w:rPr>
          <w:i/>
          <w:lang w:val="en-CA"/>
        </w:rPr>
        <w:t>total</w:t>
      </w:r>
      <w:r w:rsidRPr="0050379F">
        <w:rPr>
          <w:lang w:val="en-CA"/>
        </w:rPr>
        <w:t xml:space="preserve"> anonymity.” The journalist answered “yes”</w:t>
      </w:r>
      <w:r w:rsidR="005C193D">
        <w:rPr>
          <w:lang w:val="en-CA"/>
        </w:rPr>
        <w:t>.</w:t>
      </w:r>
      <w:r w:rsidRPr="0050379F">
        <w:rPr>
          <w:lang w:val="en-CA"/>
        </w:rPr>
        <w:t xml:space="preserve"> After receiving this last confidentiality undertaking</w:t>
      </w:r>
      <w:r w:rsidR="00CF58C9">
        <w:rPr>
          <w:lang w:val="en-CA"/>
        </w:rPr>
        <w:t>,</w:t>
      </w:r>
      <w:r w:rsidR="00C708D4" w:rsidRPr="0050379F">
        <w:rPr>
          <w:lang w:val="en-CA"/>
        </w:rPr>
        <w:t xml:space="preserve"> A and B </w:t>
      </w:r>
      <w:r w:rsidR="008B1EF6">
        <w:rPr>
          <w:lang w:val="en-CA"/>
        </w:rPr>
        <w:t>provided</w:t>
      </w:r>
      <w:r w:rsidR="008B1EF6" w:rsidRPr="0050379F">
        <w:rPr>
          <w:lang w:val="en-CA"/>
        </w:rPr>
        <w:t xml:space="preserve"> </w:t>
      </w:r>
      <w:r w:rsidR="00C708D4" w:rsidRPr="0050379F">
        <w:rPr>
          <w:lang w:val="en-CA"/>
        </w:rPr>
        <w:t xml:space="preserve">relevant information about the commission of offences </w:t>
      </w:r>
      <w:r w:rsidR="0092201D">
        <w:rPr>
          <w:lang w:val="en-CA"/>
        </w:rPr>
        <w:t xml:space="preserve">that </w:t>
      </w:r>
      <w:r w:rsidR="00C708D4" w:rsidRPr="0050379F">
        <w:rPr>
          <w:lang w:val="en-CA"/>
        </w:rPr>
        <w:t xml:space="preserve">the </w:t>
      </w:r>
      <w:r w:rsidR="00213D70" w:rsidRPr="00213D70">
        <w:rPr>
          <w:lang w:val="en-CA"/>
        </w:rPr>
        <w:t>Sûreté du Québec</w:t>
      </w:r>
      <w:r w:rsidR="00C708D4" w:rsidRPr="0050379F">
        <w:rPr>
          <w:lang w:val="en-CA"/>
        </w:rPr>
        <w:t xml:space="preserve"> </w:t>
      </w:r>
      <w:r w:rsidR="0092201D">
        <w:rPr>
          <w:lang w:val="en-CA"/>
        </w:rPr>
        <w:t>is</w:t>
      </w:r>
      <w:r w:rsidR="0092201D" w:rsidRPr="0050379F">
        <w:rPr>
          <w:lang w:val="en-CA"/>
        </w:rPr>
        <w:t xml:space="preserve"> </w:t>
      </w:r>
      <w:r w:rsidR="00C708D4" w:rsidRPr="0050379F">
        <w:rPr>
          <w:lang w:val="en-CA"/>
        </w:rPr>
        <w:t xml:space="preserve">investigating and </w:t>
      </w:r>
      <w:r w:rsidR="0092201D">
        <w:rPr>
          <w:lang w:val="en-CA"/>
        </w:rPr>
        <w:t xml:space="preserve">that </w:t>
      </w:r>
      <w:r w:rsidR="00C708D4" w:rsidRPr="0050379F">
        <w:rPr>
          <w:lang w:val="en-CA"/>
        </w:rPr>
        <w:t xml:space="preserve">are the subject of the </w:t>
      </w:r>
      <w:r w:rsidR="00135685">
        <w:rPr>
          <w:lang w:val="en-CA"/>
        </w:rPr>
        <w:t>general production</w:t>
      </w:r>
      <w:r w:rsidR="00135685" w:rsidRPr="0050379F">
        <w:rPr>
          <w:lang w:val="en-CA"/>
        </w:rPr>
        <w:t xml:space="preserve"> </w:t>
      </w:r>
      <w:r w:rsidR="00C708D4" w:rsidRPr="0050379F">
        <w:rPr>
          <w:lang w:val="en-CA"/>
        </w:rPr>
        <w:t>order at issue.</w:t>
      </w:r>
    </w:p>
    <w:p w14:paraId="0BC68DF7" w14:textId="4E00D724" w:rsidR="009F273F" w:rsidRPr="0050379F" w:rsidRDefault="00C0771A" w:rsidP="009F273F">
      <w:pPr>
        <w:pStyle w:val="Paragraphe"/>
        <w:tabs>
          <w:tab w:val="clear" w:pos="360"/>
          <w:tab w:val="num" w:pos="709"/>
        </w:tabs>
        <w:spacing w:line="240" w:lineRule="auto"/>
        <w:rPr>
          <w:i/>
          <w:lang w:val="en-CA"/>
        </w:rPr>
      </w:pPr>
      <w:r w:rsidRPr="0050379F">
        <w:rPr>
          <w:lang w:val="en-CA"/>
        </w:rPr>
        <w:t xml:space="preserve">In addition, contrary to what the </w:t>
      </w:r>
      <w:r w:rsidR="00CF58C9">
        <w:rPr>
          <w:lang w:val="en-CA"/>
        </w:rPr>
        <w:t>narrator</w:t>
      </w:r>
      <w:r w:rsidRPr="0050379F">
        <w:rPr>
          <w:lang w:val="en-CA"/>
        </w:rPr>
        <w:t xml:space="preserve"> </w:t>
      </w:r>
      <w:r w:rsidR="00ED6DD8">
        <w:rPr>
          <w:lang w:val="en-CA"/>
        </w:rPr>
        <w:t xml:space="preserve">of the report </w:t>
      </w:r>
      <w:r w:rsidRPr="0050379F">
        <w:rPr>
          <w:lang w:val="en-CA"/>
        </w:rPr>
        <w:t>suggested, almost all of the information</w:t>
      </w:r>
      <w:r w:rsidR="008B1EF6">
        <w:rPr>
          <w:lang w:val="en-CA"/>
        </w:rPr>
        <w:t xml:space="preserve"> given during the interview</w:t>
      </w:r>
      <w:r w:rsidRPr="0050379F">
        <w:rPr>
          <w:lang w:val="en-CA"/>
        </w:rPr>
        <w:t xml:space="preserve"> about the </w:t>
      </w:r>
      <w:r w:rsidR="00DE6837">
        <w:rPr>
          <w:lang w:val="en-CA"/>
        </w:rPr>
        <w:t>alleged</w:t>
      </w:r>
      <w:r w:rsidRPr="0050379F">
        <w:rPr>
          <w:lang w:val="en-CA"/>
        </w:rPr>
        <w:t xml:space="preserve"> conspirators in the commission of the offences was revealed </w:t>
      </w:r>
      <w:r w:rsidR="008B1EF6">
        <w:rPr>
          <w:lang w:val="en-CA"/>
        </w:rPr>
        <w:t>in the</w:t>
      </w:r>
      <w:r w:rsidRPr="0050379F">
        <w:rPr>
          <w:lang w:val="en-CA"/>
        </w:rPr>
        <w:t xml:space="preserve"> </w:t>
      </w:r>
      <w:r w:rsidR="00986716">
        <w:rPr>
          <w:lang w:val="en-CA"/>
        </w:rPr>
        <w:t>broadcast</w:t>
      </w:r>
      <w:r w:rsidRPr="0050379F">
        <w:rPr>
          <w:lang w:val="en-CA"/>
        </w:rPr>
        <w:t>.</w:t>
      </w:r>
    </w:p>
    <w:p w14:paraId="5B40FB25" w14:textId="756C82D5" w:rsidR="009F273F" w:rsidRPr="0050379F" w:rsidRDefault="009F273F" w:rsidP="009F273F">
      <w:pPr>
        <w:pStyle w:val="Paragraphe"/>
        <w:tabs>
          <w:tab w:val="clear" w:pos="360"/>
          <w:tab w:val="num" w:pos="709"/>
        </w:tabs>
        <w:spacing w:line="240" w:lineRule="auto"/>
        <w:rPr>
          <w:i/>
          <w:lang w:val="en-CA"/>
        </w:rPr>
      </w:pPr>
      <w:r w:rsidRPr="0050379F">
        <w:rPr>
          <w:lang w:val="en-CA"/>
        </w:rPr>
        <w:t xml:space="preserve">A </w:t>
      </w:r>
      <w:r w:rsidR="00C0771A" w:rsidRPr="0050379F">
        <w:rPr>
          <w:lang w:val="en-CA"/>
        </w:rPr>
        <w:t>and</w:t>
      </w:r>
      <w:r w:rsidRPr="0050379F">
        <w:rPr>
          <w:lang w:val="en-CA"/>
        </w:rPr>
        <w:t xml:space="preserve"> B </w:t>
      </w:r>
      <w:r w:rsidR="00C0771A" w:rsidRPr="0050379F">
        <w:rPr>
          <w:lang w:val="en-CA"/>
        </w:rPr>
        <w:t xml:space="preserve">were clearly identified as the source of this information. As </w:t>
      </w:r>
      <w:r w:rsidR="00562D5D">
        <w:rPr>
          <w:lang w:val="en-CA"/>
        </w:rPr>
        <w:t>stated</w:t>
      </w:r>
      <w:r w:rsidR="00C0771A" w:rsidRPr="0050379F">
        <w:rPr>
          <w:lang w:val="en-CA"/>
        </w:rPr>
        <w:t xml:space="preserve">, </w:t>
      </w:r>
      <w:r w:rsidR="008B1EF6">
        <w:rPr>
          <w:lang w:val="en-CA"/>
        </w:rPr>
        <w:t>A’s</w:t>
      </w:r>
      <w:r w:rsidR="008B1EF6" w:rsidRPr="0050379F">
        <w:rPr>
          <w:lang w:val="en-CA"/>
        </w:rPr>
        <w:t xml:space="preserve"> </w:t>
      </w:r>
      <w:r w:rsidR="00C0771A" w:rsidRPr="0050379F">
        <w:rPr>
          <w:lang w:val="en-CA"/>
        </w:rPr>
        <w:t xml:space="preserve">image and name were </w:t>
      </w:r>
      <w:r w:rsidR="00986716">
        <w:rPr>
          <w:lang w:val="en-CA"/>
        </w:rPr>
        <w:t>broadcast</w:t>
      </w:r>
      <w:r w:rsidR="00C0771A" w:rsidRPr="0050379F">
        <w:rPr>
          <w:lang w:val="en-CA"/>
        </w:rPr>
        <w:t xml:space="preserve">. </w:t>
      </w:r>
      <w:r w:rsidR="008B1EF6">
        <w:rPr>
          <w:lang w:val="en-CA"/>
        </w:rPr>
        <w:t xml:space="preserve">Although </w:t>
      </w:r>
      <w:r w:rsidR="00C0771A" w:rsidRPr="0050379F">
        <w:rPr>
          <w:lang w:val="en-CA"/>
        </w:rPr>
        <w:t xml:space="preserve">B’s image was blurred and his name was omitted, there is no doubt in the Court’s mind that </w:t>
      </w:r>
      <w:r w:rsidR="008B1EF6">
        <w:rPr>
          <w:lang w:val="en-CA"/>
        </w:rPr>
        <w:t>B can be identified by the alleged</w:t>
      </w:r>
      <w:r w:rsidR="008B1EF6" w:rsidRPr="0050379F">
        <w:rPr>
          <w:lang w:val="en-CA"/>
        </w:rPr>
        <w:t xml:space="preserve"> </w:t>
      </w:r>
      <w:r w:rsidR="00C0771A" w:rsidRPr="0050379F">
        <w:rPr>
          <w:lang w:val="en-CA"/>
        </w:rPr>
        <w:t xml:space="preserve">conspirators in question because of the nature of the information </w:t>
      </w:r>
      <w:r w:rsidR="008B1EF6">
        <w:rPr>
          <w:lang w:val="en-CA"/>
        </w:rPr>
        <w:t>provided</w:t>
      </w:r>
      <w:r w:rsidR="008B1EF6" w:rsidRPr="0050379F">
        <w:rPr>
          <w:lang w:val="en-CA"/>
        </w:rPr>
        <w:t xml:space="preserve"> </w:t>
      </w:r>
      <w:r w:rsidR="00C0771A" w:rsidRPr="0050379F">
        <w:rPr>
          <w:lang w:val="en-CA"/>
        </w:rPr>
        <w:t xml:space="preserve">and </w:t>
      </w:r>
      <w:r w:rsidR="00986716">
        <w:rPr>
          <w:lang w:val="en-CA"/>
        </w:rPr>
        <w:t>broadcast</w:t>
      </w:r>
      <w:r w:rsidR="00C0771A" w:rsidRPr="0050379F">
        <w:rPr>
          <w:lang w:val="en-CA"/>
        </w:rPr>
        <w:t>.</w:t>
      </w:r>
    </w:p>
    <w:p w14:paraId="66EFA00B" w14:textId="0CFBFF7F" w:rsidR="009F273F" w:rsidRPr="0050379F" w:rsidRDefault="00C0771A" w:rsidP="009F273F">
      <w:pPr>
        <w:pStyle w:val="Paragraphe"/>
        <w:tabs>
          <w:tab w:val="clear" w:pos="360"/>
          <w:tab w:val="num" w:pos="709"/>
        </w:tabs>
        <w:spacing w:line="240" w:lineRule="auto"/>
        <w:rPr>
          <w:i/>
          <w:lang w:val="en-CA"/>
        </w:rPr>
      </w:pPr>
      <w:r w:rsidRPr="0050379F">
        <w:rPr>
          <w:lang w:val="en-CA"/>
        </w:rPr>
        <w:t xml:space="preserve">The </w:t>
      </w:r>
      <w:r w:rsidR="00122F3D">
        <w:rPr>
          <w:lang w:val="en-CA"/>
        </w:rPr>
        <w:t xml:space="preserve">very </w:t>
      </w:r>
      <w:r w:rsidRPr="0050379F">
        <w:rPr>
          <w:lang w:val="en-CA"/>
        </w:rPr>
        <w:t xml:space="preserve">small </w:t>
      </w:r>
      <w:r w:rsidR="009A3E39">
        <w:rPr>
          <w:lang w:val="en-CA"/>
        </w:rPr>
        <w:t>remainder</w:t>
      </w:r>
      <w:r w:rsidRPr="0050379F">
        <w:rPr>
          <w:lang w:val="en-CA"/>
        </w:rPr>
        <w:t xml:space="preserve"> of the content revealed by A and B</w:t>
      </w:r>
      <w:r w:rsidR="008B1EF6">
        <w:rPr>
          <w:lang w:val="en-CA"/>
        </w:rPr>
        <w:t xml:space="preserve"> </w:t>
      </w:r>
      <w:r w:rsidR="00624ECA">
        <w:rPr>
          <w:lang w:val="en-CA"/>
        </w:rPr>
        <w:t xml:space="preserve">that </w:t>
      </w:r>
      <w:r w:rsidRPr="0050379F">
        <w:rPr>
          <w:lang w:val="en-CA"/>
        </w:rPr>
        <w:t xml:space="preserve">was not </w:t>
      </w:r>
      <w:r w:rsidR="00986716">
        <w:rPr>
          <w:lang w:val="en-CA"/>
        </w:rPr>
        <w:t>broadcast</w:t>
      </w:r>
      <w:r w:rsidR="00624ECA">
        <w:rPr>
          <w:lang w:val="en-CA"/>
        </w:rPr>
        <w:t xml:space="preserve"> consists </w:t>
      </w:r>
      <w:r w:rsidRPr="0050379F">
        <w:rPr>
          <w:lang w:val="en-CA"/>
        </w:rPr>
        <w:t xml:space="preserve">of information already </w:t>
      </w:r>
      <w:r w:rsidR="00624ECA">
        <w:rPr>
          <w:lang w:val="en-CA"/>
        </w:rPr>
        <w:t xml:space="preserve">in the possession of </w:t>
      </w:r>
      <w:r w:rsidRPr="0050379F">
        <w:rPr>
          <w:lang w:val="en-CA"/>
        </w:rPr>
        <w:t xml:space="preserve">the </w:t>
      </w:r>
      <w:r w:rsidR="00213D70" w:rsidRPr="00213D70">
        <w:rPr>
          <w:lang w:val="en-CA"/>
        </w:rPr>
        <w:t>Sûreté du Québec</w:t>
      </w:r>
      <w:r w:rsidRPr="0050379F">
        <w:rPr>
          <w:lang w:val="en-CA"/>
        </w:rPr>
        <w:t xml:space="preserve"> or </w:t>
      </w:r>
      <w:r w:rsidR="00624ECA">
        <w:rPr>
          <w:lang w:val="en-CA"/>
        </w:rPr>
        <w:t xml:space="preserve">that </w:t>
      </w:r>
      <w:r w:rsidRPr="0050379F">
        <w:rPr>
          <w:lang w:val="en-CA"/>
        </w:rPr>
        <w:t xml:space="preserve">it is able to obtain using other investigation methods. </w:t>
      </w:r>
    </w:p>
    <w:p w14:paraId="11DBAB87" w14:textId="3A8575FE" w:rsidR="009F273F" w:rsidRPr="0050379F" w:rsidRDefault="00C0771A" w:rsidP="009F273F">
      <w:pPr>
        <w:pStyle w:val="Paragraphe"/>
        <w:tabs>
          <w:tab w:val="clear" w:pos="360"/>
          <w:tab w:val="num" w:pos="709"/>
        </w:tabs>
        <w:spacing w:line="240" w:lineRule="auto"/>
        <w:rPr>
          <w:i/>
          <w:lang w:val="en-CA"/>
        </w:rPr>
      </w:pPr>
      <w:r w:rsidRPr="0050379F">
        <w:rPr>
          <w:lang w:val="en-CA"/>
        </w:rPr>
        <w:t xml:space="preserve">The program </w:t>
      </w:r>
      <w:r w:rsidR="00797564" w:rsidRPr="0050379F">
        <w:rPr>
          <w:lang w:val="en-CA"/>
        </w:rPr>
        <w:t>in question is still available o</w:t>
      </w:r>
      <w:r w:rsidRPr="0050379F">
        <w:rPr>
          <w:lang w:val="en-CA"/>
        </w:rPr>
        <w:t>n Groupe TVA Inc.’s websites</w:t>
      </w:r>
      <w:r w:rsidR="00797564" w:rsidRPr="0050379F">
        <w:rPr>
          <w:lang w:val="en-CA"/>
        </w:rPr>
        <w:t xml:space="preserve">. </w:t>
      </w:r>
    </w:p>
    <w:p w14:paraId="3350123E" w14:textId="6EA4644E" w:rsidR="009F273F" w:rsidRPr="0050379F" w:rsidRDefault="00624ECA" w:rsidP="009F273F">
      <w:pPr>
        <w:pStyle w:val="Paragraphe"/>
        <w:tabs>
          <w:tab w:val="clear" w:pos="360"/>
          <w:tab w:val="num" w:pos="709"/>
        </w:tabs>
        <w:spacing w:line="240" w:lineRule="auto"/>
        <w:rPr>
          <w:i/>
          <w:lang w:val="en-CA"/>
        </w:rPr>
      </w:pPr>
      <w:r>
        <w:rPr>
          <w:lang w:val="en-CA"/>
        </w:rPr>
        <w:t>Nevertheless</w:t>
      </w:r>
      <w:r w:rsidR="009F273F" w:rsidRPr="0050379F">
        <w:rPr>
          <w:lang w:val="en-CA"/>
        </w:rPr>
        <w:t xml:space="preserve">, Groupe TVA Inc. </w:t>
      </w:r>
      <w:r w:rsidR="00797564" w:rsidRPr="0050379F">
        <w:rPr>
          <w:lang w:val="en-CA"/>
        </w:rPr>
        <w:t xml:space="preserve">maintains that disclosure of the content to the </w:t>
      </w:r>
      <w:r w:rsidR="00213D70" w:rsidRPr="00213D70">
        <w:rPr>
          <w:lang w:val="en-CA"/>
        </w:rPr>
        <w:t>Sûreté du Québec</w:t>
      </w:r>
      <w:r w:rsidR="00797564" w:rsidRPr="0050379F">
        <w:rPr>
          <w:lang w:val="en-CA"/>
        </w:rPr>
        <w:t xml:space="preserve"> would reveal the identity of the journalistic sources</w:t>
      </w:r>
      <w:r w:rsidR="00122F3D">
        <w:rPr>
          <w:lang w:val="en-CA"/>
        </w:rPr>
        <w:t>,</w:t>
      </w:r>
      <w:r w:rsidR="00797564" w:rsidRPr="0050379F">
        <w:rPr>
          <w:lang w:val="en-CA"/>
        </w:rPr>
        <w:t xml:space="preserve"> </w:t>
      </w:r>
      <w:r>
        <w:rPr>
          <w:lang w:val="en-CA"/>
        </w:rPr>
        <w:t>even though</w:t>
      </w:r>
      <w:r w:rsidRPr="0050379F">
        <w:rPr>
          <w:lang w:val="en-CA"/>
        </w:rPr>
        <w:t xml:space="preserve"> </w:t>
      </w:r>
      <w:r w:rsidR="00797564" w:rsidRPr="0050379F">
        <w:rPr>
          <w:lang w:val="en-CA"/>
        </w:rPr>
        <w:t xml:space="preserve">it </w:t>
      </w:r>
      <w:r>
        <w:rPr>
          <w:lang w:val="en-CA"/>
        </w:rPr>
        <w:t xml:space="preserve">did </w:t>
      </w:r>
      <w:r w:rsidR="00797564" w:rsidRPr="0050379F">
        <w:rPr>
          <w:lang w:val="en-CA"/>
        </w:rPr>
        <w:t xml:space="preserve">not </w:t>
      </w:r>
      <w:r w:rsidR="00122F3D">
        <w:rPr>
          <w:lang w:val="en-CA"/>
        </w:rPr>
        <w:t>treat</w:t>
      </w:r>
      <w:r w:rsidR="00797564" w:rsidRPr="0050379F">
        <w:rPr>
          <w:lang w:val="en-CA"/>
        </w:rPr>
        <w:t xml:space="preserve"> these individuals as journalistic sources </w:t>
      </w:r>
      <w:r>
        <w:rPr>
          <w:lang w:val="en-CA"/>
        </w:rPr>
        <w:t>itself</w:t>
      </w:r>
      <w:r w:rsidR="00ED6DD8">
        <w:rPr>
          <w:lang w:val="en-CA"/>
        </w:rPr>
        <w:t>,</w:t>
      </w:r>
      <w:r>
        <w:rPr>
          <w:lang w:val="en-CA"/>
        </w:rPr>
        <w:t xml:space="preserve"> when it allowed </w:t>
      </w:r>
      <w:r w:rsidR="00797564" w:rsidRPr="0050379F">
        <w:rPr>
          <w:lang w:val="en-CA"/>
        </w:rPr>
        <w:t xml:space="preserve">the </w:t>
      </w:r>
      <w:r>
        <w:rPr>
          <w:lang w:val="en-CA"/>
        </w:rPr>
        <w:t xml:space="preserve">program in question to be </w:t>
      </w:r>
      <w:r w:rsidR="00797564" w:rsidRPr="0050379F">
        <w:rPr>
          <w:lang w:val="en-CA"/>
        </w:rPr>
        <w:t>broadcast.</w:t>
      </w:r>
    </w:p>
    <w:p w14:paraId="21D890D8" w14:textId="740945B9" w:rsidR="009F273F" w:rsidRPr="0050379F" w:rsidRDefault="00797564" w:rsidP="009F273F">
      <w:pPr>
        <w:pStyle w:val="Paragraphe"/>
        <w:tabs>
          <w:tab w:val="clear" w:pos="360"/>
          <w:tab w:val="num" w:pos="709"/>
        </w:tabs>
        <w:spacing w:line="240" w:lineRule="auto"/>
        <w:rPr>
          <w:i/>
          <w:lang w:val="en-CA"/>
        </w:rPr>
      </w:pPr>
      <w:r w:rsidRPr="0050379F">
        <w:rPr>
          <w:lang w:val="en-CA"/>
        </w:rPr>
        <w:t xml:space="preserve">At the hearing, the Court asked counsel for Groupe TVA Inc. if his client still considers the individuals A and B </w:t>
      </w:r>
      <w:r w:rsidR="00E6415C">
        <w:rPr>
          <w:lang w:val="en-CA"/>
        </w:rPr>
        <w:t>to be</w:t>
      </w:r>
      <w:r w:rsidR="00E6415C" w:rsidRPr="0050379F">
        <w:rPr>
          <w:lang w:val="en-CA"/>
        </w:rPr>
        <w:t xml:space="preserve"> </w:t>
      </w:r>
      <w:r w:rsidRPr="0050379F">
        <w:rPr>
          <w:lang w:val="en-CA"/>
        </w:rPr>
        <w:t>“journalistic sources”</w:t>
      </w:r>
      <w:r w:rsidR="009F273F" w:rsidRPr="0050379F">
        <w:rPr>
          <w:lang w:val="en-CA"/>
        </w:rPr>
        <w:t xml:space="preserve"> </w:t>
      </w:r>
      <w:r w:rsidRPr="0050379F">
        <w:rPr>
          <w:lang w:val="en-CA"/>
        </w:rPr>
        <w:t xml:space="preserve">within the meaning of the </w:t>
      </w:r>
      <w:r w:rsidRPr="0050379F">
        <w:rPr>
          <w:i/>
          <w:lang w:val="en-CA"/>
        </w:rPr>
        <w:t>Canada Evidence Act</w:t>
      </w:r>
      <w:r w:rsidRPr="0050379F">
        <w:rPr>
          <w:lang w:val="en-CA"/>
        </w:rPr>
        <w:t>, clearly opening the door to the possibility</w:t>
      </w:r>
      <w:r w:rsidR="00634E8C">
        <w:rPr>
          <w:lang w:val="en-CA"/>
        </w:rPr>
        <w:t xml:space="preserve"> of, </w:t>
      </w:r>
      <w:r w:rsidR="00634E8C" w:rsidRPr="00077BF7">
        <w:rPr>
          <w:i/>
          <w:iCs/>
          <w:lang w:val="en-CA"/>
        </w:rPr>
        <w:t>inter alia</w:t>
      </w:r>
      <w:r w:rsidR="00634E8C">
        <w:rPr>
          <w:lang w:val="en-CA"/>
        </w:rPr>
        <w:t>,</w:t>
      </w:r>
      <w:r w:rsidRPr="0050379F">
        <w:rPr>
          <w:lang w:val="en-CA"/>
        </w:rPr>
        <w:t xml:space="preserve"> Groupe TVA Inc. adduc</w:t>
      </w:r>
      <w:r w:rsidR="00634E8C">
        <w:rPr>
          <w:lang w:val="en-CA"/>
        </w:rPr>
        <w:t>ing</w:t>
      </w:r>
      <w:r w:rsidRPr="0050379F">
        <w:rPr>
          <w:lang w:val="en-CA"/>
        </w:rPr>
        <w:t xml:space="preserve"> evidence that individuals A and B waived confidentiality, which could explain the </w:t>
      </w:r>
      <w:r w:rsidR="00DE6837">
        <w:rPr>
          <w:lang w:val="en-CA"/>
        </w:rPr>
        <w:t>airing</w:t>
      </w:r>
      <w:r w:rsidRPr="0050379F">
        <w:rPr>
          <w:lang w:val="en-CA"/>
        </w:rPr>
        <w:t xml:space="preserve"> of the report and the fact that it is still available for viewing on</w:t>
      </w:r>
      <w:r w:rsidR="00634E8C">
        <w:rPr>
          <w:lang w:val="en-CA"/>
        </w:rPr>
        <w:t>line</w:t>
      </w:r>
      <w:r w:rsidRPr="0050379F">
        <w:rPr>
          <w:lang w:val="en-CA"/>
        </w:rPr>
        <w:t>.</w:t>
      </w:r>
    </w:p>
    <w:p w14:paraId="0C396A6A" w14:textId="513265A5" w:rsidR="009F273F" w:rsidRPr="0050379F" w:rsidRDefault="00797564" w:rsidP="009F273F">
      <w:pPr>
        <w:pStyle w:val="Paragraphe"/>
        <w:tabs>
          <w:tab w:val="clear" w:pos="360"/>
          <w:tab w:val="num" w:pos="709"/>
        </w:tabs>
        <w:spacing w:line="240" w:lineRule="auto"/>
        <w:rPr>
          <w:i/>
          <w:lang w:val="en-CA"/>
        </w:rPr>
      </w:pPr>
      <w:r w:rsidRPr="0050379F">
        <w:rPr>
          <w:lang w:val="en-CA"/>
        </w:rPr>
        <w:t xml:space="preserve">Counsel for Groupe TVA Inc. answered that it still considered these individuals </w:t>
      </w:r>
      <w:r w:rsidR="00634E8C">
        <w:rPr>
          <w:lang w:val="en-CA"/>
        </w:rPr>
        <w:t>to be</w:t>
      </w:r>
      <w:r w:rsidR="00634E8C" w:rsidRPr="0050379F">
        <w:rPr>
          <w:lang w:val="en-CA"/>
        </w:rPr>
        <w:t xml:space="preserve"> </w:t>
      </w:r>
      <w:r w:rsidRPr="0050379F">
        <w:rPr>
          <w:lang w:val="en-CA"/>
        </w:rPr>
        <w:t>journalistic sources</w:t>
      </w:r>
      <w:r w:rsidR="009F273F" w:rsidRPr="0050379F">
        <w:rPr>
          <w:lang w:val="en-CA"/>
        </w:rPr>
        <w:t>.</w:t>
      </w:r>
    </w:p>
    <w:p w14:paraId="11B423FA" w14:textId="4C596AAC" w:rsidR="009F273F" w:rsidRPr="0050379F" w:rsidRDefault="00797564" w:rsidP="009F273F">
      <w:pPr>
        <w:pStyle w:val="Paragraphe"/>
        <w:tabs>
          <w:tab w:val="clear" w:pos="360"/>
          <w:tab w:val="num" w:pos="709"/>
        </w:tabs>
        <w:spacing w:line="240" w:lineRule="auto"/>
        <w:rPr>
          <w:i/>
          <w:lang w:val="en-CA"/>
        </w:rPr>
      </w:pPr>
      <w:r w:rsidRPr="0050379F">
        <w:rPr>
          <w:lang w:val="en-CA"/>
        </w:rPr>
        <w:t>Because of this</w:t>
      </w:r>
      <w:r w:rsidR="009F273F" w:rsidRPr="0050379F">
        <w:rPr>
          <w:lang w:val="en-CA"/>
        </w:rPr>
        <w:t xml:space="preserve"> position</w:t>
      </w:r>
      <w:r w:rsidRPr="0050379F">
        <w:rPr>
          <w:lang w:val="en-CA"/>
        </w:rPr>
        <w:t xml:space="preserve">, the Court has no choice but to </w:t>
      </w:r>
      <w:r w:rsidR="00634E8C">
        <w:rPr>
          <w:lang w:val="en-CA"/>
        </w:rPr>
        <w:t xml:space="preserve">find </w:t>
      </w:r>
      <w:r w:rsidRPr="0050379F">
        <w:rPr>
          <w:lang w:val="en-CA"/>
        </w:rPr>
        <w:t xml:space="preserve">that Groupe TVA Inc. </w:t>
      </w:r>
      <w:r w:rsidR="00634E8C">
        <w:rPr>
          <w:lang w:val="en-CA"/>
        </w:rPr>
        <w:t>did</w:t>
      </w:r>
      <w:r w:rsidR="00634E8C" w:rsidRPr="0050379F">
        <w:rPr>
          <w:lang w:val="en-CA"/>
        </w:rPr>
        <w:t xml:space="preserve"> </w:t>
      </w:r>
      <w:r w:rsidRPr="0050379F">
        <w:rPr>
          <w:lang w:val="en-CA"/>
        </w:rPr>
        <w:t xml:space="preserve">not comply with the confidentiality undertaking made by its journalist by broadcasting </w:t>
      </w:r>
      <w:r w:rsidRPr="0050379F">
        <w:rPr>
          <w:lang w:val="en-CA"/>
        </w:rPr>
        <w:lastRenderedPageBreak/>
        <w:t xml:space="preserve">and still </w:t>
      </w:r>
      <w:r w:rsidR="00DE6837">
        <w:rPr>
          <w:lang w:val="en-CA"/>
        </w:rPr>
        <w:t>permitting</w:t>
      </w:r>
      <w:r w:rsidRPr="0050379F">
        <w:rPr>
          <w:lang w:val="en-CA"/>
        </w:rPr>
        <w:t xml:space="preserve"> this</w:t>
      </w:r>
      <w:r w:rsidR="00FE1DB6" w:rsidRPr="0050379F">
        <w:rPr>
          <w:lang w:val="en-CA"/>
        </w:rPr>
        <w:t xml:space="preserve"> report</w:t>
      </w:r>
      <w:r w:rsidR="00DE6837">
        <w:rPr>
          <w:lang w:val="en-CA"/>
        </w:rPr>
        <w:t xml:space="preserve"> to be viewed</w:t>
      </w:r>
      <w:r w:rsidR="000A6CDE">
        <w:rPr>
          <w:lang w:val="en-CA"/>
        </w:rPr>
        <w:t>,</w:t>
      </w:r>
      <w:r w:rsidR="00FE1DB6" w:rsidRPr="0050379F">
        <w:rPr>
          <w:lang w:val="en-CA"/>
        </w:rPr>
        <w:t xml:space="preserve"> </w:t>
      </w:r>
      <w:r w:rsidR="00BF1904">
        <w:rPr>
          <w:lang w:val="en-CA"/>
        </w:rPr>
        <w:t>when it</w:t>
      </w:r>
      <w:r w:rsidR="00FE1DB6" w:rsidRPr="0050379F">
        <w:rPr>
          <w:lang w:val="en-CA"/>
        </w:rPr>
        <w:t xml:space="preserve"> clearly i</w:t>
      </w:r>
      <w:r w:rsidRPr="0050379F">
        <w:rPr>
          <w:lang w:val="en-CA"/>
        </w:rPr>
        <w:t xml:space="preserve">dentifies individuals A and B </w:t>
      </w:r>
      <w:r w:rsidR="00FE1DB6" w:rsidRPr="0050379F">
        <w:rPr>
          <w:lang w:val="en-CA"/>
        </w:rPr>
        <w:t xml:space="preserve">as the source of </w:t>
      </w:r>
      <w:r w:rsidR="000A6CDE">
        <w:rPr>
          <w:lang w:val="en-CA"/>
        </w:rPr>
        <w:t xml:space="preserve">the extensive </w:t>
      </w:r>
      <w:r w:rsidR="00FE1DB6" w:rsidRPr="0050379F">
        <w:rPr>
          <w:lang w:val="en-CA"/>
        </w:rPr>
        <w:t>information revealed in the program</w:t>
      </w:r>
      <w:r w:rsidR="009F273F" w:rsidRPr="0050379F">
        <w:rPr>
          <w:lang w:val="en-CA"/>
        </w:rPr>
        <w:t>.</w:t>
      </w:r>
    </w:p>
    <w:p w14:paraId="46D4DB87" w14:textId="77777777" w:rsidR="009F273F" w:rsidRPr="0050379F" w:rsidRDefault="00FE1DB6" w:rsidP="00FE1DB6">
      <w:pPr>
        <w:pStyle w:val="Paragraphe"/>
        <w:numPr>
          <w:ilvl w:val="0"/>
          <w:numId w:val="0"/>
        </w:numPr>
        <w:spacing w:before="100" w:after="100" w:line="240" w:lineRule="auto"/>
        <w:outlineLvl w:val="0"/>
        <w:rPr>
          <w:b/>
          <w:u w:val="single"/>
          <w:lang w:val="en-CA"/>
        </w:rPr>
      </w:pPr>
      <w:r w:rsidRPr="0050379F">
        <w:rPr>
          <w:b/>
          <w:u w:val="single"/>
          <w:lang w:val="en-CA"/>
        </w:rPr>
        <w:t>ANALYSIS</w:t>
      </w:r>
    </w:p>
    <w:p w14:paraId="6EF69C3D" w14:textId="2B1742A6" w:rsidR="00FE1DB6" w:rsidRPr="0050379F" w:rsidRDefault="000A6CDE" w:rsidP="00FE1DB6">
      <w:pPr>
        <w:pStyle w:val="Paragraphe"/>
        <w:numPr>
          <w:ilvl w:val="0"/>
          <w:numId w:val="0"/>
        </w:numPr>
        <w:spacing w:before="100" w:after="100" w:line="240" w:lineRule="auto"/>
        <w:outlineLvl w:val="0"/>
        <w:rPr>
          <w:b/>
          <w:u w:val="single"/>
          <w:lang w:val="en-CA"/>
        </w:rPr>
      </w:pPr>
      <w:r>
        <w:rPr>
          <w:b/>
          <w:u w:val="single"/>
          <w:lang w:val="en-CA"/>
        </w:rPr>
        <w:t xml:space="preserve">The </w:t>
      </w:r>
      <w:r w:rsidR="00FE1DB6" w:rsidRPr="0050379F">
        <w:rPr>
          <w:b/>
          <w:u w:val="single"/>
          <w:lang w:val="en-CA"/>
        </w:rPr>
        <w:t>Law</w:t>
      </w:r>
    </w:p>
    <w:p w14:paraId="05D4B3F8" w14:textId="5E2B7EC3" w:rsidR="009F273F" w:rsidRPr="0050379F" w:rsidRDefault="00FF1D5A" w:rsidP="009F273F">
      <w:pPr>
        <w:pStyle w:val="Paragraphe"/>
        <w:tabs>
          <w:tab w:val="clear" w:pos="360"/>
          <w:tab w:val="num" w:pos="709"/>
        </w:tabs>
        <w:spacing w:before="100" w:after="100" w:line="240" w:lineRule="auto"/>
        <w:rPr>
          <w:b/>
          <w:lang w:val="en-CA"/>
        </w:rPr>
      </w:pPr>
      <w:r>
        <w:rPr>
          <w:lang w:val="en-CA"/>
        </w:rPr>
        <w:t>The analytical framework to be applied to this dispute is different from what it would be i</w:t>
      </w:r>
      <w:r w:rsidR="00FE1DB6" w:rsidRPr="0050379F">
        <w:rPr>
          <w:lang w:val="en-CA"/>
        </w:rPr>
        <w:t xml:space="preserve">f </w:t>
      </w:r>
      <w:r>
        <w:rPr>
          <w:lang w:val="en-CA"/>
        </w:rPr>
        <w:t xml:space="preserve">the </w:t>
      </w:r>
      <w:r w:rsidR="00FE1DB6" w:rsidRPr="0050379F">
        <w:rPr>
          <w:lang w:val="en-CA"/>
        </w:rPr>
        <w:t xml:space="preserve">situation </w:t>
      </w:r>
      <w:r>
        <w:rPr>
          <w:lang w:val="en-CA"/>
        </w:rPr>
        <w:t xml:space="preserve">involved the </w:t>
      </w:r>
      <w:r w:rsidR="00866340">
        <w:rPr>
          <w:lang w:val="en-CA"/>
        </w:rPr>
        <w:t xml:space="preserve">breach of a confidentiality undertaking </w:t>
      </w:r>
      <w:r w:rsidR="003227F0">
        <w:rPr>
          <w:lang w:val="en-CA"/>
        </w:rPr>
        <w:t xml:space="preserve">to a source </w:t>
      </w:r>
      <w:r w:rsidR="00866340">
        <w:rPr>
          <w:lang w:val="en-CA"/>
        </w:rPr>
        <w:t xml:space="preserve">by </w:t>
      </w:r>
      <w:r w:rsidR="00FE1DB6" w:rsidRPr="0050379F">
        <w:rPr>
          <w:lang w:val="en-CA"/>
        </w:rPr>
        <w:t>a police informant</w:t>
      </w:r>
      <w:r w:rsidR="00866340">
        <w:rPr>
          <w:lang w:val="en-CA"/>
        </w:rPr>
        <w:t>’s handler</w:t>
      </w:r>
      <w:r w:rsidR="00FE1DB6" w:rsidRPr="0050379F">
        <w:rPr>
          <w:lang w:val="en-CA"/>
        </w:rPr>
        <w:t xml:space="preserve"> </w:t>
      </w:r>
      <w:r w:rsidR="003227F0">
        <w:rPr>
          <w:lang w:val="en-CA"/>
        </w:rPr>
        <w:t xml:space="preserve">who revealed </w:t>
      </w:r>
      <w:r w:rsidR="00866340">
        <w:rPr>
          <w:lang w:val="en-CA"/>
        </w:rPr>
        <w:t xml:space="preserve">the source’s </w:t>
      </w:r>
      <w:r w:rsidR="009A3E39">
        <w:rPr>
          <w:lang w:val="en-CA"/>
        </w:rPr>
        <w:t>identit</w:t>
      </w:r>
      <w:r w:rsidR="00FE1DB6" w:rsidRPr="0050379F">
        <w:rPr>
          <w:lang w:val="en-CA"/>
        </w:rPr>
        <w:t>y or details allow</w:t>
      </w:r>
      <w:r>
        <w:rPr>
          <w:lang w:val="en-CA"/>
        </w:rPr>
        <w:t>ing</w:t>
      </w:r>
      <w:r w:rsidR="00FE1DB6" w:rsidRPr="0050379F">
        <w:rPr>
          <w:lang w:val="en-CA"/>
        </w:rPr>
        <w:t xml:space="preserve"> </w:t>
      </w:r>
      <w:r>
        <w:rPr>
          <w:lang w:val="en-CA"/>
        </w:rPr>
        <w:t>for their identification</w:t>
      </w:r>
      <w:r w:rsidR="00866340">
        <w:rPr>
          <w:lang w:val="en-CA"/>
        </w:rPr>
        <w:t xml:space="preserve">. </w:t>
      </w:r>
    </w:p>
    <w:p w14:paraId="4C08E279" w14:textId="09B96FC0" w:rsidR="009F273F" w:rsidRPr="0050379F" w:rsidRDefault="00313661" w:rsidP="009F273F">
      <w:pPr>
        <w:pStyle w:val="Paragraphe"/>
        <w:tabs>
          <w:tab w:val="clear" w:pos="360"/>
          <w:tab w:val="num" w:pos="709"/>
        </w:tabs>
        <w:spacing w:before="100" w:after="100" w:line="240" w:lineRule="auto"/>
        <w:rPr>
          <w:b/>
          <w:lang w:val="en-CA"/>
        </w:rPr>
      </w:pPr>
      <w:r>
        <w:rPr>
          <w:lang w:val="en-CA"/>
        </w:rPr>
        <w:t xml:space="preserve">Unlike police informant’s privilege, </w:t>
      </w:r>
      <w:r w:rsidR="00FE1DB6" w:rsidRPr="0050379F">
        <w:rPr>
          <w:lang w:val="en-CA"/>
        </w:rPr>
        <w:t>the protection of the identity of journalistic sources</w:t>
      </w:r>
      <w:r>
        <w:rPr>
          <w:lang w:val="en-CA"/>
        </w:rPr>
        <w:t xml:space="preserve"> </w:t>
      </w:r>
      <w:r w:rsidR="00FE1DB6" w:rsidRPr="0050379F">
        <w:rPr>
          <w:lang w:val="en-CA"/>
        </w:rPr>
        <w:t xml:space="preserve">is not a </w:t>
      </w:r>
      <w:r w:rsidR="001716C3" w:rsidRPr="0050379F">
        <w:rPr>
          <w:lang w:val="en-CA"/>
        </w:rPr>
        <w:t>“</w:t>
      </w:r>
      <w:r w:rsidR="00B51354" w:rsidRPr="0050379F">
        <w:rPr>
          <w:lang w:val="en-CA"/>
        </w:rPr>
        <w:t>class</w:t>
      </w:r>
      <w:r w:rsidR="001716C3" w:rsidRPr="0050379F">
        <w:rPr>
          <w:lang w:val="en-CA"/>
        </w:rPr>
        <w:t>”</w:t>
      </w:r>
      <w:r w:rsidR="00FE1DB6" w:rsidRPr="0050379F">
        <w:rPr>
          <w:lang w:val="en-CA"/>
        </w:rPr>
        <w:t xml:space="preserve"> privilege</w:t>
      </w:r>
      <w:r w:rsidR="001716C3" w:rsidRPr="0050379F">
        <w:rPr>
          <w:lang w:val="en-CA"/>
        </w:rPr>
        <w:t xml:space="preserve"> </w:t>
      </w:r>
      <w:r>
        <w:rPr>
          <w:lang w:val="en-CA"/>
        </w:rPr>
        <w:t xml:space="preserve">that </w:t>
      </w:r>
      <w:r w:rsidR="001716C3" w:rsidRPr="0050379F">
        <w:rPr>
          <w:lang w:val="en-CA"/>
        </w:rPr>
        <w:t>must be maintained in all circumstances, saving rare exceptions</w:t>
      </w:r>
      <w:r>
        <w:rPr>
          <w:lang w:val="en-CA"/>
        </w:rPr>
        <w:t xml:space="preserve"> such as</w:t>
      </w:r>
      <w:r w:rsidR="001716C3" w:rsidRPr="0050379F">
        <w:rPr>
          <w:lang w:val="en-CA"/>
        </w:rPr>
        <w:t xml:space="preserve"> when the innocence of a</w:t>
      </w:r>
      <w:r w:rsidR="00FF1D5A">
        <w:rPr>
          <w:lang w:val="en-CA"/>
        </w:rPr>
        <w:t>n accused</w:t>
      </w:r>
      <w:r w:rsidR="001716C3" w:rsidRPr="0050379F">
        <w:rPr>
          <w:lang w:val="en-CA"/>
        </w:rPr>
        <w:t xml:space="preserve"> is at stake</w:t>
      </w:r>
      <w:r w:rsidR="009F273F" w:rsidRPr="0050379F">
        <w:rPr>
          <w:lang w:val="en-CA"/>
        </w:rPr>
        <w:t>.</w:t>
      </w:r>
    </w:p>
    <w:p w14:paraId="0BE50A56" w14:textId="79EFD8A7" w:rsidR="009F273F" w:rsidRPr="0050379F" w:rsidRDefault="001716C3" w:rsidP="009F273F">
      <w:pPr>
        <w:pStyle w:val="Paragraphe"/>
        <w:tabs>
          <w:tab w:val="clear" w:pos="360"/>
          <w:tab w:val="num" w:pos="709"/>
        </w:tabs>
        <w:spacing w:before="100" w:after="100" w:line="240" w:lineRule="auto"/>
        <w:rPr>
          <w:b/>
          <w:lang w:val="en-CA"/>
        </w:rPr>
      </w:pPr>
      <w:r w:rsidRPr="0050379F">
        <w:rPr>
          <w:lang w:val="en-CA"/>
        </w:rPr>
        <w:t>Neither the Supreme Court nor</w:t>
      </w:r>
      <w:r w:rsidR="00313661">
        <w:rPr>
          <w:lang w:val="en-CA"/>
        </w:rPr>
        <w:t xml:space="preserve"> Parliament has</w:t>
      </w:r>
      <w:r w:rsidR="00313661" w:rsidRPr="0050379F">
        <w:rPr>
          <w:lang w:val="en-CA"/>
        </w:rPr>
        <w:t xml:space="preserve"> </w:t>
      </w:r>
      <w:r w:rsidR="008844B2">
        <w:rPr>
          <w:lang w:val="en-CA"/>
        </w:rPr>
        <w:t>raise</w:t>
      </w:r>
      <w:r w:rsidR="00313661">
        <w:rPr>
          <w:lang w:val="en-CA"/>
        </w:rPr>
        <w:t>d</w:t>
      </w:r>
      <w:r w:rsidRPr="0050379F">
        <w:rPr>
          <w:lang w:val="en-CA"/>
        </w:rPr>
        <w:t xml:space="preserve"> the protection of journalistic sources up </w:t>
      </w:r>
      <w:r w:rsidR="008844B2">
        <w:rPr>
          <w:lang w:val="en-CA"/>
        </w:rPr>
        <w:t xml:space="preserve">to </w:t>
      </w:r>
      <w:r w:rsidR="00FF1D5A">
        <w:rPr>
          <w:lang w:val="en-CA"/>
        </w:rPr>
        <w:t xml:space="preserve">the same level as </w:t>
      </w:r>
      <w:r w:rsidRPr="0050379F">
        <w:rPr>
          <w:lang w:val="en-CA"/>
        </w:rPr>
        <w:t>“</w:t>
      </w:r>
      <w:r w:rsidR="00B51354" w:rsidRPr="0050379F">
        <w:rPr>
          <w:lang w:val="en-CA"/>
        </w:rPr>
        <w:t>class</w:t>
      </w:r>
      <w:r w:rsidRPr="0050379F">
        <w:rPr>
          <w:lang w:val="en-CA"/>
        </w:rPr>
        <w:t xml:space="preserve">” privilege. </w:t>
      </w:r>
      <w:r w:rsidR="00FF1D5A">
        <w:rPr>
          <w:lang w:val="en-CA"/>
        </w:rPr>
        <w:t xml:space="preserve">In </w:t>
      </w:r>
      <w:r w:rsidR="00FF1D5A" w:rsidRPr="00FF1D5A">
        <w:rPr>
          <w:i/>
          <w:iCs/>
          <w:lang w:val="en-CA"/>
        </w:rPr>
        <w:t>National Post</w:t>
      </w:r>
      <w:r w:rsidR="00FF1D5A">
        <w:rPr>
          <w:lang w:val="en-CA"/>
        </w:rPr>
        <w:t>, Binnie J., w</w:t>
      </w:r>
      <w:r w:rsidRPr="0050379F">
        <w:rPr>
          <w:lang w:val="en-CA"/>
        </w:rPr>
        <w:t xml:space="preserve">riting for the majority </w:t>
      </w:r>
      <w:r w:rsidR="00313661">
        <w:rPr>
          <w:lang w:val="en-CA"/>
        </w:rPr>
        <w:t>of the Supreme Court</w:t>
      </w:r>
      <w:r w:rsidR="00FF1D5A">
        <w:rPr>
          <w:lang w:val="en-CA"/>
        </w:rPr>
        <w:t>,</w:t>
      </w:r>
      <w:r w:rsidR="00313661">
        <w:rPr>
          <w:lang w:val="en-CA"/>
        </w:rPr>
        <w:t xml:space="preserve"> </w:t>
      </w:r>
      <w:r w:rsidRPr="0050379F">
        <w:rPr>
          <w:lang w:val="en-CA"/>
        </w:rPr>
        <w:t>identified several reasons to explain this refusal.</w:t>
      </w:r>
      <w:r w:rsidR="009F273F" w:rsidRPr="0050379F">
        <w:rPr>
          <w:rStyle w:val="Appelnotedebasdep"/>
          <w:lang w:val="en-CA"/>
        </w:rPr>
        <w:footnoteReference w:id="4"/>
      </w:r>
    </w:p>
    <w:p w14:paraId="6CCA3891" w14:textId="6534BBFC" w:rsidR="009F273F" w:rsidRPr="0050379F" w:rsidRDefault="008844B2" w:rsidP="009F273F">
      <w:pPr>
        <w:pStyle w:val="Paragraphe"/>
        <w:tabs>
          <w:tab w:val="clear" w:pos="360"/>
          <w:tab w:val="num" w:pos="709"/>
        </w:tabs>
        <w:spacing w:before="100" w:after="100" w:line="240" w:lineRule="auto"/>
        <w:rPr>
          <w:b/>
          <w:lang w:val="en-CA"/>
        </w:rPr>
      </w:pPr>
      <w:r>
        <w:rPr>
          <w:lang w:val="en-CA"/>
        </w:rPr>
        <w:t xml:space="preserve">The Court </w:t>
      </w:r>
      <w:r w:rsidR="00FF1D5A">
        <w:rPr>
          <w:lang w:val="en-CA"/>
        </w:rPr>
        <w:t>notes</w:t>
      </w:r>
      <w:r w:rsidR="00313661" w:rsidRPr="0050379F">
        <w:rPr>
          <w:lang w:val="en-CA"/>
        </w:rPr>
        <w:t xml:space="preserve"> </w:t>
      </w:r>
      <w:r w:rsidR="001716C3" w:rsidRPr="0050379F">
        <w:rPr>
          <w:lang w:val="en-CA"/>
        </w:rPr>
        <w:t>two of them</w:t>
      </w:r>
      <w:r w:rsidR="00313661">
        <w:rPr>
          <w:lang w:val="en-CA"/>
        </w:rPr>
        <w:t xml:space="preserve"> that </w:t>
      </w:r>
      <w:r w:rsidR="001716C3" w:rsidRPr="0050379F">
        <w:rPr>
          <w:lang w:val="en-CA"/>
        </w:rPr>
        <w:t xml:space="preserve">certainly </w:t>
      </w:r>
      <w:r>
        <w:rPr>
          <w:lang w:val="en-CA"/>
        </w:rPr>
        <w:t>shine</w:t>
      </w:r>
      <w:r w:rsidR="001716C3" w:rsidRPr="0050379F">
        <w:rPr>
          <w:lang w:val="en-CA"/>
        </w:rPr>
        <w:t xml:space="preserve"> </w:t>
      </w:r>
      <w:r w:rsidR="00313661">
        <w:rPr>
          <w:lang w:val="en-CA"/>
        </w:rPr>
        <w:t xml:space="preserve">a </w:t>
      </w:r>
      <w:r w:rsidR="001716C3" w:rsidRPr="0050379F">
        <w:rPr>
          <w:lang w:val="en-CA"/>
        </w:rPr>
        <w:t xml:space="preserve">light on the analysis </w:t>
      </w:r>
      <w:r w:rsidR="00313661">
        <w:rPr>
          <w:lang w:val="en-CA"/>
        </w:rPr>
        <w:t xml:space="preserve">that </w:t>
      </w:r>
      <w:r w:rsidR="001716C3" w:rsidRPr="0050379F">
        <w:rPr>
          <w:lang w:val="en-CA"/>
        </w:rPr>
        <w:t>must be conducted here</w:t>
      </w:r>
      <w:r w:rsidR="009F273F" w:rsidRPr="0050379F">
        <w:rPr>
          <w:lang w:val="en-CA"/>
        </w:rPr>
        <w:t>.</w:t>
      </w:r>
    </w:p>
    <w:p w14:paraId="24E8FCC7" w14:textId="09113F22" w:rsidR="009F273F" w:rsidRPr="0050379F" w:rsidRDefault="001716C3" w:rsidP="00B51354">
      <w:pPr>
        <w:pStyle w:val="Paragraphe"/>
        <w:spacing w:line="240" w:lineRule="auto"/>
        <w:rPr>
          <w:b/>
          <w:lang w:val="en-CA"/>
        </w:rPr>
      </w:pPr>
      <w:r w:rsidRPr="0050379F">
        <w:rPr>
          <w:lang w:val="en-CA"/>
        </w:rPr>
        <w:t xml:space="preserve">First, </w:t>
      </w:r>
      <w:r w:rsidR="009F273F" w:rsidRPr="0050379F">
        <w:rPr>
          <w:lang w:val="en-CA"/>
        </w:rPr>
        <w:t xml:space="preserve">Binnie </w:t>
      </w:r>
      <w:r w:rsidR="00313661">
        <w:rPr>
          <w:lang w:val="en-CA"/>
        </w:rPr>
        <w:t xml:space="preserve">J. </w:t>
      </w:r>
      <w:r w:rsidR="00391182">
        <w:rPr>
          <w:lang w:val="en-CA"/>
        </w:rPr>
        <w:t>identified</w:t>
      </w:r>
      <w:r w:rsidR="009D679D" w:rsidRPr="0050379F">
        <w:rPr>
          <w:lang w:val="en-CA"/>
        </w:rPr>
        <w:t xml:space="preserve"> </w:t>
      </w:r>
      <w:r w:rsidRPr="0050379F">
        <w:rPr>
          <w:lang w:val="en-CA"/>
        </w:rPr>
        <w:t>one of the reasons the Supreme Court does not recognize the secrecy</w:t>
      </w:r>
      <w:r w:rsidR="008844B2">
        <w:rPr>
          <w:lang w:val="en-CA"/>
        </w:rPr>
        <w:t xml:space="preserve"> of journalistic sources as a “</w:t>
      </w:r>
      <w:r w:rsidR="00B51354" w:rsidRPr="0050379F">
        <w:rPr>
          <w:lang w:val="en-CA"/>
        </w:rPr>
        <w:t>class</w:t>
      </w:r>
      <w:r w:rsidR="008844B2">
        <w:rPr>
          <w:lang w:val="en-CA"/>
        </w:rPr>
        <w:t>”</w:t>
      </w:r>
      <w:r w:rsidR="00B51354" w:rsidRPr="0050379F">
        <w:rPr>
          <w:lang w:val="en-CA"/>
        </w:rPr>
        <w:t xml:space="preserve"> privilege by </w:t>
      </w:r>
      <w:r w:rsidR="00391182">
        <w:rPr>
          <w:lang w:val="en-CA"/>
        </w:rPr>
        <w:t xml:space="preserve">referring to </w:t>
      </w:r>
      <w:r w:rsidRPr="0050379F">
        <w:rPr>
          <w:lang w:val="en-CA"/>
        </w:rPr>
        <w:t xml:space="preserve">the </w:t>
      </w:r>
      <w:r w:rsidR="00B51354" w:rsidRPr="0050379F">
        <w:rPr>
          <w:lang w:val="en-CA"/>
        </w:rPr>
        <w:t>“immense variety</w:t>
      </w:r>
      <w:r w:rsidR="005C193D">
        <w:rPr>
          <w:lang w:val="en-CA"/>
        </w:rPr>
        <w:t xml:space="preserve"> </w:t>
      </w:r>
      <w:r w:rsidR="00B51354" w:rsidRPr="0050379F">
        <w:rPr>
          <w:lang w:val="en-CA"/>
        </w:rPr>
        <w:t>and</w:t>
      </w:r>
      <w:r w:rsidR="005C193D">
        <w:rPr>
          <w:lang w:val="en-CA"/>
        </w:rPr>
        <w:t xml:space="preserve"> </w:t>
      </w:r>
      <w:r w:rsidR="00B51354" w:rsidRPr="0050379F">
        <w:rPr>
          <w:lang w:val="en-CA"/>
        </w:rPr>
        <w:t>“degrees of professionalism (or the lack of it) of persons who now “gather” and “publish” news said to be based on secret sources. In contrast to the legal profession</w:t>
      </w:r>
      <w:r w:rsidR="009D679D">
        <w:rPr>
          <w:lang w:val="en-CA"/>
        </w:rPr>
        <w:t>,</w:t>
      </w:r>
      <w:r w:rsidR="00B51354" w:rsidRPr="0050379F">
        <w:rPr>
          <w:lang w:val="en-CA"/>
        </w:rPr>
        <w:t xml:space="preserve"> there is no formal accreditation process to “licence” the practice of journalism, and no professional organization (such as a law society) to regulate its members and attempt to maintain professional standards”</w:t>
      </w:r>
      <w:r w:rsidR="005C193D">
        <w:rPr>
          <w:lang w:val="en-CA"/>
        </w:rPr>
        <w:t>.</w:t>
      </w:r>
      <w:r w:rsidR="009F273F" w:rsidRPr="0050379F">
        <w:rPr>
          <w:rStyle w:val="Appelnotedebasdep"/>
          <w:lang w:val="en-CA"/>
        </w:rPr>
        <w:footnoteReference w:id="5"/>
      </w:r>
    </w:p>
    <w:p w14:paraId="19361990" w14:textId="2E58DF49" w:rsidR="009F273F" w:rsidRPr="0050379F" w:rsidRDefault="00B51354" w:rsidP="00B51354">
      <w:pPr>
        <w:pStyle w:val="Paragraphe"/>
        <w:spacing w:line="240" w:lineRule="auto"/>
        <w:rPr>
          <w:b/>
          <w:lang w:val="en-CA"/>
        </w:rPr>
      </w:pPr>
      <w:r w:rsidRPr="0050379F">
        <w:rPr>
          <w:lang w:val="en-CA"/>
        </w:rPr>
        <w:t xml:space="preserve">He then </w:t>
      </w:r>
      <w:r w:rsidR="00DB4E8F">
        <w:rPr>
          <w:lang w:val="en-CA"/>
        </w:rPr>
        <w:t>described</w:t>
      </w:r>
      <w:r w:rsidR="00DB4E8F" w:rsidRPr="0050379F">
        <w:rPr>
          <w:lang w:val="en-CA"/>
        </w:rPr>
        <w:t xml:space="preserve"> </w:t>
      </w:r>
      <w:r w:rsidRPr="0050379F">
        <w:rPr>
          <w:lang w:val="en-CA"/>
        </w:rPr>
        <w:t>another reason: “A second problem arises in determining the respective rights and immunities of the journalist and the source to whom confide</w:t>
      </w:r>
      <w:r w:rsidR="008844B2">
        <w:rPr>
          <w:lang w:val="en-CA"/>
        </w:rPr>
        <w:t xml:space="preserve">ntiality has been promised. </w:t>
      </w:r>
      <w:r w:rsidRPr="0050379F">
        <w:rPr>
          <w:lang w:val="en-CA"/>
        </w:rPr>
        <w:t xml:space="preserve">In the past, secret sources have voluntarily stepped out from the shadows to reveal themselves (as in the </w:t>
      </w:r>
      <w:r w:rsidRPr="00077BF7">
        <w:rPr>
          <w:i/>
          <w:iCs/>
          <w:lang w:val="en-CA"/>
        </w:rPr>
        <w:t>St. Elizabeth Home</w:t>
      </w:r>
      <w:r w:rsidRPr="0050379F">
        <w:rPr>
          <w:lang w:val="en-CA"/>
        </w:rPr>
        <w:t xml:space="preserve"> case) with or wit</w:t>
      </w:r>
      <w:r w:rsidR="008844B2">
        <w:rPr>
          <w:lang w:val="en-CA"/>
        </w:rPr>
        <w:t xml:space="preserve">hout the journalist’s consent. </w:t>
      </w:r>
      <w:r w:rsidRPr="0050379F">
        <w:rPr>
          <w:lang w:val="en-CA"/>
        </w:rPr>
        <w:t>Is the journalist now to be given the right to object because, for example, disclosure might reveal “journalist methods</w:t>
      </w:r>
      <w:r w:rsidR="008844B2">
        <w:rPr>
          <w:lang w:val="en-CA"/>
        </w:rPr>
        <w:t xml:space="preserve">” and “journalistic networks”? </w:t>
      </w:r>
      <w:r w:rsidRPr="0050379F">
        <w:rPr>
          <w:lang w:val="en-CA"/>
        </w:rPr>
        <w:t>I do not think such a restriction would in general serve the public int</w:t>
      </w:r>
      <w:r w:rsidR="008844B2">
        <w:rPr>
          <w:lang w:val="en-CA"/>
        </w:rPr>
        <w:t xml:space="preserve">erest in the search for truth. </w:t>
      </w:r>
      <w:r w:rsidRPr="0050379F">
        <w:rPr>
          <w:lang w:val="en-CA"/>
        </w:rPr>
        <w:t>On the other hand, the source cannot be said to be the holder of the privilege if, as here, the journalist reserves the right to “out” the secret source unilaterally if, in the journalist’s personal view, the conditions on which anonymity we</w:t>
      </w:r>
      <w:r w:rsidR="008844B2">
        <w:rPr>
          <w:lang w:val="en-CA"/>
        </w:rPr>
        <w:t xml:space="preserve">re offered have not been met. </w:t>
      </w:r>
      <w:r w:rsidRPr="0050379F">
        <w:rPr>
          <w:lang w:val="en-CA"/>
        </w:rPr>
        <w:t>In the case of solicitors and their clients, the privilege clearly belongs to the client. Are we to say that journalistic privilege attaches both to the jou</w:t>
      </w:r>
      <w:r w:rsidR="008844B2">
        <w:rPr>
          <w:lang w:val="en-CA"/>
        </w:rPr>
        <w:t xml:space="preserve">rnalist and the secret source? </w:t>
      </w:r>
      <w:r w:rsidRPr="0050379F">
        <w:rPr>
          <w:lang w:val="en-CA"/>
        </w:rPr>
        <w:t xml:space="preserve">If so, what happens if they fall into disagreement? It is particularly important in </w:t>
      </w:r>
      <w:r w:rsidRPr="0050379F">
        <w:rPr>
          <w:lang w:val="en-CA"/>
        </w:rPr>
        <w:lastRenderedPageBreak/>
        <w:t>the case of class privilege that the rules be clear in advance to all participants so that they may govern themselves accordingly”</w:t>
      </w:r>
      <w:r w:rsidR="005C193D">
        <w:rPr>
          <w:lang w:val="en-CA"/>
        </w:rPr>
        <w:t>.</w:t>
      </w:r>
      <w:r w:rsidR="009F273F" w:rsidRPr="0050379F">
        <w:rPr>
          <w:rStyle w:val="Appelnotedebasdep"/>
          <w:lang w:val="en-CA"/>
        </w:rPr>
        <w:footnoteReference w:id="6"/>
      </w:r>
    </w:p>
    <w:p w14:paraId="4B7F76CA" w14:textId="1A5C52B0" w:rsidR="009F273F" w:rsidRPr="0050379F" w:rsidRDefault="00B62A6D" w:rsidP="009F273F">
      <w:pPr>
        <w:pStyle w:val="Paragraphe"/>
        <w:tabs>
          <w:tab w:val="clear" w:pos="360"/>
          <w:tab w:val="num" w:pos="709"/>
        </w:tabs>
        <w:spacing w:before="100" w:after="100" w:line="240" w:lineRule="auto"/>
        <w:rPr>
          <w:lang w:val="en-CA"/>
        </w:rPr>
      </w:pPr>
      <w:r>
        <w:rPr>
          <w:lang w:val="en-CA"/>
        </w:rPr>
        <w:t xml:space="preserve">Accordingly, </w:t>
      </w:r>
      <w:r w:rsidR="00B51354" w:rsidRPr="0050379F">
        <w:rPr>
          <w:lang w:val="en-CA"/>
        </w:rPr>
        <w:t>the Supreme Court</w:t>
      </w:r>
      <w:r w:rsidR="000D20DD">
        <w:rPr>
          <w:lang w:val="en-CA"/>
        </w:rPr>
        <w:t xml:space="preserve">, still in </w:t>
      </w:r>
      <w:r w:rsidR="000D20DD" w:rsidRPr="000D20DD">
        <w:rPr>
          <w:i/>
          <w:iCs/>
          <w:lang w:val="en-CA"/>
        </w:rPr>
        <w:t>National Pos</w:t>
      </w:r>
      <w:r w:rsidR="000D20DD">
        <w:rPr>
          <w:i/>
          <w:iCs/>
          <w:lang w:val="en-CA"/>
        </w:rPr>
        <w:t>t</w:t>
      </w:r>
      <w:r w:rsidR="000D20DD">
        <w:rPr>
          <w:lang w:val="en-CA"/>
        </w:rPr>
        <w:t>,</w:t>
      </w:r>
      <w:r w:rsidR="00B51354" w:rsidRPr="0050379F">
        <w:rPr>
          <w:lang w:val="en-CA"/>
        </w:rPr>
        <w:t xml:space="preserve"> determined that the existence of a privilege </w:t>
      </w:r>
      <w:r w:rsidR="00DB4E8F">
        <w:rPr>
          <w:lang w:val="en-CA"/>
        </w:rPr>
        <w:t>attached to</w:t>
      </w:r>
      <w:r w:rsidR="00DB4E8F" w:rsidRPr="0050379F">
        <w:rPr>
          <w:lang w:val="en-CA"/>
        </w:rPr>
        <w:t xml:space="preserve"> </w:t>
      </w:r>
      <w:r w:rsidR="00B51354" w:rsidRPr="0050379F">
        <w:rPr>
          <w:lang w:val="en-CA"/>
        </w:rPr>
        <w:t xml:space="preserve">journalistic sources must be </w:t>
      </w:r>
      <w:r w:rsidR="00DB4E8F">
        <w:rPr>
          <w:lang w:val="en-CA"/>
        </w:rPr>
        <w:t>constituted</w:t>
      </w:r>
      <w:r w:rsidR="00DB4E8F" w:rsidRPr="0050379F">
        <w:rPr>
          <w:lang w:val="en-CA"/>
        </w:rPr>
        <w:t xml:space="preserve"> </w:t>
      </w:r>
      <w:r w:rsidR="004E3D2A" w:rsidRPr="0050379F">
        <w:rPr>
          <w:lang w:val="en-CA"/>
        </w:rPr>
        <w:t>“</w:t>
      </w:r>
      <w:r w:rsidR="00B51354" w:rsidRPr="0050379F">
        <w:rPr>
          <w:lang w:val="en-CA"/>
        </w:rPr>
        <w:t>on a case</w:t>
      </w:r>
      <w:r w:rsidR="00DB4E8F">
        <w:rPr>
          <w:lang w:val="en-CA"/>
        </w:rPr>
        <w:t>-</w:t>
      </w:r>
      <w:r w:rsidR="00B51354" w:rsidRPr="0050379F">
        <w:rPr>
          <w:lang w:val="en-CA"/>
        </w:rPr>
        <w:t>by</w:t>
      </w:r>
      <w:r w:rsidR="00DB4E8F">
        <w:rPr>
          <w:lang w:val="en-CA"/>
        </w:rPr>
        <w:t>-</w:t>
      </w:r>
      <w:r w:rsidR="00B51354" w:rsidRPr="0050379F">
        <w:rPr>
          <w:lang w:val="en-CA"/>
        </w:rPr>
        <w:t>case basis</w:t>
      </w:r>
      <w:r w:rsidR="004E3D2A" w:rsidRPr="0050379F">
        <w:rPr>
          <w:lang w:val="en-CA"/>
        </w:rPr>
        <w:t>”</w:t>
      </w:r>
      <w:r w:rsidR="00B51354" w:rsidRPr="0050379F">
        <w:rPr>
          <w:lang w:val="en-CA"/>
        </w:rPr>
        <w:t xml:space="preserve"> by applying the</w:t>
      </w:r>
      <w:r w:rsidR="004E3D2A" w:rsidRPr="0050379F">
        <w:rPr>
          <w:lang w:val="en-CA"/>
        </w:rPr>
        <w:t xml:space="preserve"> “</w:t>
      </w:r>
      <w:r w:rsidR="004E3D2A" w:rsidRPr="00077BF7">
        <w:rPr>
          <w:i/>
          <w:iCs/>
          <w:lang w:val="en-CA"/>
        </w:rPr>
        <w:t>Wigmore</w:t>
      </w:r>
      <w:r w:rsidR="004E3D2A" w:rsidRPr="0050379F">
        <w:rPr>
          <w:lang w:val="en-CA"/>
        </w:rPr>
        <w:t xml:space="preserve"> criteria” adapted to the circumstances, that is</w:t>
      </w:r>
      <w:r w:rsidR="00EF07F0">
        <w:rPr>
          <w:lang w:val="en-CA"/>
        </w:rPr>
        <w:t xml:space="preserve"> to say</w:t>
      </w:r>
      <w:r w:rsidR="009F273F" w:rsidRPr="0050379F">
        <w:rPr>
          <w:lang w:val="en-CA"/>
        </w:rPr>
        <w:t>:</w:t>
      </w:r>
    </w:p>
    <w:p w14:paraId="73FCF62D" w14:textId="77777777" w:rsidR="009F273F" w:rsidRPr="00B62A6D" w:rsidRDefault="00637FFD" w:rsidP="00637FFD">
      <w:pPr>
        <w:pStyle w:val="Paragraphe"/>
        <w:numPr>
          <w:ilvl w:val="0"/>
          <w:numId w:val="2"/>
        </w:numPr>
        <w:spacing w:before="100" w:after="100" w:line="240" w:lineRule="auto"/>
        <w:rPr>
          <w:szCs w:val="24"/>
          <w:lang w:val="en-CA"/>
        </w:rPr>
      </w:pPr>
      <w:r w:rsidRPr="00B62A6D">
        <w:rPr>
          <w:szCs w:val="24"/>
          <w:lang w:val="en-CA"/>
        </w:rPr>
        <w:t>T</w:t>
      </w:r>
      <w:r w:rsidR="004E3D2A" w:rsidRPr="00B62A6D">
        <w:rPr>
          <w:color w:val="000000"/>
          <w:szCs w:val="24"/>
          <w:lang w:val="en-CA"/>
        </w:rPr>
        <w:t>he communication must originate in a confidence that the identity of the informant will not be disclosed</w:t>
      </w:r>
      <w:r w:rsidR="009F273F" w:rsidRPr="00B62A6D">
        <w:rPr>
          <w:szCs w:val="24"/>
          <w:lang w:val="en-CA"/>
        </w:rPr>
        <w:t xml:space="preserve">; </w:t>
      </w:r>
    </w:p>
    <w:p w14:paraId="4A7D1189" w14:textId="77777777" w:rsidR="009F273F" w:rsidRPr="0050379F" w:rsidRDefault="004E3D2A" w:rsidP="00637FFD">
      <w:pPr>
        <w:pStyle w:val="Paragraphe"/>
        <w:numPr>
          <w:ilvl w:val="0"/>
          <w:numId w:val="2"/>
        </w:numPr>
        <w:spacing w:before="100" w:after="100" w:line="240" w:lineRule="auto"/>
        <w:rPr>
          <w:szCs w:val="24"/>
          <w:lang w:val="en-CA"/>
        </w:rPr>
      </w:pPr>
      <w:r w:rsidRPr="0050379F">
        <w:rPr>
          <w:szCs w:val="24"/>
          <w:lang w:val="en-CA"/>
        </w:rPr>
        <w:t>T</w:t>
      </w:r>
      <w:r w:rsidRPr="0050379F">
        <w:rPr>
          <w:color w:val="000000"/>
          <w:szCs w:val="24"/>
          <w:lang w:val="en-CA"/>
        </w:rPr>
        <w:t>he confidence must be essential to the relationship in which the communication arises</w:t>
      </w:r>
      <w:r w:rsidR="009F273F" w:rsidRPr="0050379F">
        <w:rPr>
          <w:szCs w:val="24"/>
          <w:lang w:val="en-CA"/>
        </w:rPr>
        <w:t xml:space="preserve">; </w:t>
      </w:r>
    </w:p>
    <w:p w14:paraId="3B1691E8" w14:textId="77777777" w:rsidR="009F273F" w:rsidRPr="0050379F" w:rsidRDefault="004E3D2A" w:rsidP="00637FFD">
      <w:pPr>
        <w:pStyle w:val="Paragraphe"/>
        <w:numPr>
          <w:ilvl w:val="0"/>
          <w:numId w:val="2"/>
        </w:numPr>
        <w:spacing w:before="100" w:after="100" w:line="240" w:lineRule="auto"/>
        <w:rPr>
          <w:szCs w:val="24"/>
          <w:lang w:val="en-CA"/>
        </w:rPr>
      </w:pPr>
      <w:r w:rsidRPr="0050379F">
        <w:rPr>
          <w:szCs w:val="24"/>
          <w:lang w:val="en-CA"/>
        </w:rPr>
        <w:t xml:space="preserve">The </w:t>
      </w:r>
      <w:r w:rsidRPr="0050379F">
        <w:rPr>
          <w:color w:val="000000"/>
          <w:szCs w:val="24"/>
          <w:lang w:val="en-CA"/>
        </w:rPr>
        <w:t>relationship must be one which should be “sedulously fostered” in the public good</w:t>
      </w:r>
      <w:r w:rsidR="009F273F" w:rsidRPr="0050379F">
        <w:rPr>
          <w:szCs w:val="24"/>
          <w:lang w:val="en-CA"/>
        </w:rPr>
        <w:t>;</w:t>
      </w:r>
    </w:p>
    <w:p w14:paraId="6BE842A7" w14:textId="77777777" w:rsidR="009F273F" w:rsidRPr="0050379F" w:rsidRDefault="00637FFD" w:rsidP="00637FFD">
      <w:pPr>
        <w:pStyle w:val="Paragraphe"/>
        <w:numPr>
          <w:ilvl w:val="0"/>
          <w:numId w:val="2"/>
        </w:numPr>
        <w:spacing w:before="100" w:after="100" w:line="240" w:lineRule="auto"/>
        <w:rPr>
          <w:szCs w:val="24"/>
          <w:lang w:val="en-CA"/>
        </w:rPr>
      </w:pPr>
      <w:r w:rsidRPr="0050379F">
        <w:rPr>
          <w:color w:val="000000"/>
          <w:szCs w:val="24"/>
          <w:lang w:val="en-CA"/>
        </w:rPr>
        <w:t>The public interest served by protecting the identity of the informant from disclosure outweighs the public interest in getting at the truth</w:t>
      </w:r>
      <w:r w:rsidR="009F273F" w:rsidRPr="0050379F">
        <w:rPr>
          <w:szCs w:val="24"/>
          <w:lang w:val="en-CA"/>
        </w:rPr>
        <w:t>.</w:t>
      </w:r>
    </w:p>
    <w:p w14:paraId="4851E48C" w14:textId="7F74BB52" w:rsidR="009F273F" w:rsidRPr="0050379F" w:rsidRDefault="00637FFD" w:rsidP="00826B6B">
      <w:pPr>
        <w:pStyle w:val="Paragraphe"/>
        <w:spacing w:line="240" w:lineRule="auto"/>
        <w:rPr>
          <w:b/>
          <w:lang w:val="en-CA"/>
        </w:rPr>
      </w:pPr>
      <w:r w:rsidRPr="0050379F">
        <w:rPr>
          <w:lang w:val="en-CA"/>
        </w:rPr>
        <w:t xml:space="preserve">The coming into force of the </w:t>
      </w:r>
      <w:r w:rsidRPr="0050379F">
        <w:rPr>
          <w:i/>
          <w:lang w:val="en-CA"/>
        </w:rPr>
        <w:t>Journalistic Sources Protection Act</w:t>
      </w:r>
      <w:r w:rsidRPr="0050379F">
        <w:rPr>
          <w:lang w:val="en-CA"/>
        </w:rPr>
        <w:t>,</w:t>
      </w:r>
      <w:r w:rsidR="009F273F" w:rsidRPr="0050379F">
        <w:rPr>
          <w:rStyle w:val="Appelnotedebasdep"/>
          <w:lang w:val="en-CA"/>
        </w:rPr>
        <w:footnoteReference w:id="7"/>
      </w:r>
      <w:r w:rsidR="009F273F" w:rsidRPr="0050379F">
        <w:rPr>
          <w:lang w:val="en-CA"/>
        </w:rPr>
        <w:t xml:space="preserve"> </w:t>
      </w:r>
      <w:r w:rsidRPr="0050379F">
        <w:rPr>
          <w:lang w:val="en-CA"/>
        </w:rPr>
        <w:t>which added</w:t>
      </w:r>
      <w:r w:rsidR="00565164">
        <w:rPr>
          <w:lang w:val="en-CA"/>
        </w:rPr>
        <w:t xml:space="preserve">, </w:t>
      </w:r>
      <w:r w:rsidR="00565164" w:rsidRPr="00565164">
        <w:rPr>
          <w:i/>
          <w:iCs/>
          <w:lang w:val="en-CA"/>
        </w:rPr>
        <w:t>inter alia</w:t>
      </w:r>
      <w:r w:rsidR="00565164">
        <w:rPr>
          <w:lang w:val="en-CA"/>
        </w:rPr>
        <w:t>,</w:t>
      </w:r>
      <w:r w:rsidRPr="0050379F">
        <w:rPr>
          <w:lang w:val="en-CA"/>
        </w:rPr>
        <w:t xml:space="preserve"> sections </w:t>
      </w:r>
      <w:r w:rsidR="009F273F" w:rsidRPr="0050379F">
        <w:rPr>
          <w:lang w:val="en-CA"/>
        </w:rPr>
        <w:t xml:space="preserve">488.01 </w:t>
      </w:r>
      <w:r w:rsidRPr="0050379F">
        <w:rPr>
          <w:lang w:val="en-CA"/>
        </w:rPr>
        <w:t>and</w:t>
      </w:r>
      <w:r w:rsidR="009F273F" w:rsidRPr="0050379F">
        <w:rPr>
          <w:lang w:val="en-CA"/>
        </w:rPr>
        <w:t xml:space="preserve"> 488.02 </w:t>
      </w:r>
      <w:r w:rsidRPr="0050379F">
        <w:rPr>
          <w:lang w:val="en-CA"/>
        </w:rPr>
        <w:t xml:space="preserve">to the </w:t>
      </w:r>
      <w:r w:rsidRPr="0050379F">
        <w:rPr>
          <w:i/>
          <w:lang w:val="en-CA"/>
        </w:rPr>
        <w:t>Criminal Code</w:t>
      </w:r>
      <w:r w:rsidRPr="0050379F">
        <w:rPr>
          <w:lang w:val="en-CA"/>
        </w:rPr>
        <w:t xml:space="preserve">, which are </w:t>
      </w:r>
      <w:r w:rsidR="001925BE">
        <w:rPr>
          <w:lang w:val="en-CA"/>
        </w:rPr>
        <w:t>in play</w:t>
      </w:r>
      <w:r w:rsidRPr="0050379F">
        <w:rPr>
          <w:lang w:val="en-CA"/>
        </w:rPr>
        <w:t xml:space="preserve"> here, partially codif</w:t>
      </w:r>
      <w:r w:rsidR="00B62A6D">
        <w:rPr>
          <w:lang w:val="en-CA"/>
        </w:rPr>
        <w:t>ied</w:t>
      </w:r>
      <w:r w:rsidRPr="0050379F">
        <w:rPr>
          <w:lang w:val="en-CA"/>
        </w:rPr>
        <w:t xml:space="preserve"> this test. In </w:t>
      </w:r>
      <w:r w:rsidRPr="0050379F">
        <w:rPr>
          <w:i/>
          <w:lang w:val="en-CA"/>
        </w:rPr>
        <w:t>Denis v. Côté</w:t>
      </w:r>
      <w:r w:rsidRPr="0050379F">
        <w:rPr>
          <w:lang w:val="en-CA"/>
        </w:rPr>
        <w:t xml:space="preserve">, the Chief Justice of the Supreme Court wrote that the definitions of “journalist” and “journalistic sources” specified therein “overlap the first three criteria of the </w:t>
      </w:r>
      <w:r w:rsidRPr="00077BF7">
        <w:rPr>
          <w:i/>
          <w:iCs/>
          <w:lang w:val="en-CA"/>
        </w:rPr>
        <w:t>Wigmore</w:t>
      </w:r>
      <w:r w:rsidRPr="0050379F">
        <w:rPr>
          <w:lang w:val="en-CA"/>
        </w:rPr>
        <w:t xml:space="preserve"> test”</w:t>
      </w:r>
      <w:r w:rsidR="005C193D">
        <w:rPr>
          <w:lang w:val="en-CA"/>
        </w:rPr>
        <w:t>.</w:t>
      </w:r>
      <w:r w:rsidR="009F273F" w:rsidRPr="0050379F">
        <w:rPr>
          <w:rStyle w:val="Appelnotedebasdep"/>
          <w:lang w:val="en-CA"/>
        </w:rPr>
        <w:footnoteReference w:id="8"/>
      </w:r>
    </w:p>
    <w:p w14:paraId="08B9ADA6" w14:textId="3C433565" w:rsidR="009F273F" w:rsidRPr="0050379F" w:rsidRDefault="00637FFD" w:rsidP="008844B2">
      <w:pPr>
        <w:pStyle w:val="Paragraphe"/>
        <w:tabs>
          <w:tab w:val="clear" w:pos="360"/>
          <w:tab w:val="num" w:pos="709"/>
        </w:tabs>
        <w:spacing w:before="100" w:after="100" w:line="240" w:lineRule="auto"/>
        <w:rPr>
          <w:b/>
          <w:lang w:val="en-CA"/>
        </w:rPr>
      </w:pPr>
      <w:r w:rsidRPr="0050379F">
        <w:rPr>
          <w:lang w:val="en-CA"/>
        </w:rPr>
        <w:t xml:space="preserve">Regarding the third </w:t>
      </w:r>
      <w:r w:rsidR="00257A2F">
        <w:rPr>
          <w:lang w:val="en-CA"/>
        </w:rPr>
        <w:t>criterion</w:t>
      </w:r>
      <w:r w:rsidR="00B62A6D" w:rsidRPr="0050379F">
        <w:rPr>
          <w:lang w:val="en-CA"/>
        </w:rPr>
        <w:t xml:space="preserve"> </w:t>
      </w:r>
      <w:r w:rsidRPr="0050379F">
        <w:rPr>
          <w:lang w:val="en-CA"/>
        </w:rPr>
        <w:t xml:space="preserve">of the test, Wagner </w:t>
      </w:r>
      <w:r w:rsidR="00B62A6D">
        <w:rPr>
          <w:lang w:val="en-CA"/>
        </w:rPr>
        <w:t xml:space="preserve">J. </w:t>
      </w:r>
      <w:r w:rsidRPr="0050379F">
        <w:rPr>
          <w:lang w:val="en-CA"/>
        </w:rPr>
        <w:t xml:space="preserve">specified that although </w:t>
      </w:r>
      <w:r w:rsidR="00650A6C" w:rsidRPr="0050379F">
        <w:rPr>
          <w:lang w:val="en-CA"/>
        </w:rPr>
        <w:t>“t</w:t>
      </w:r>
      <w:r w:rsidR="00650A6C" w:rsidRPr="0050379F">
        <w:rPr>
          <w:color w:val="000000"/>
          <w:lang w:val="en-CA"/>
        </w:rPr>
        <w:t>he existence of a relationship that was “sedulously fostered”</w:t>
      </w:r>
      <w:r w:rsidR="00BF34D3">
        <w:rPr>
          <w:color w:val="000000"/>
          <w:lang w:val="en-CA"/>
        </w:rPr>
        <w:t xml:space="preserve"> ...</w:t>
      </w:r>
      <w:r w:rsidR="00650A6C" w:rsidRPr="0050379F">
        <w:rPr>
          <w:color w:val="000000"/>
          <w:lang w:val="en-CA"/>
        </w:rPr>
        <w:t xml:space="preserve"> was based on the premise that the maintenance of constant relationships between “journalist[s]” and “journalistic source[s]” is generally in the public interest</w:t>
      </w:r>
      <w:r w:rsidR="00BF34D3">
        <w:rPr>
          <w:color w:val="000000"/>
          <w:lang w:val="en-CA"/>
        </w:rPr>
        <w:t>”, there is nothing barring a court “</w:t>
      </w:r>
      <w:r w:rsidR="00650A6C" w:rsidRPr="0050379F">
        <w:rPr>
          <w:color w:val="000000"/>
          <w:lang w:val="en-CA"/>
        </w:rPr>
        <w:t>from assessing the importance of this relationship in the context of the actual facts of a specific case, especially where a clear attempt has been made to divert journalism from its legitimate purposes”</w:t>
      </w:r>
      <w:r w:rsidR="005C193D">
        <w:rPr>
          <w:color w:val="000000"/>
          <w:lang w:val="en-CA"/>
        </w:rPr>
        <w:t>.</w:t>
      </w:r>
      <w:r w:rsidR="009F273F" w:rsidRPr="0050379F">
        <w:rPr>
          <w:rStyle w:val="Appelnotedebasdep"/>
          <w:lang w:val="en-CA"/>
        </w:rPr>
        <w:footnoteReference w:id="9"/>
      </w:r>
    </w:p>
    <w:p w14:paraId="5647642A" w14:textId="0A9117A9" w:rsidR="009F273F" w:rsidRPr="0050379F" w:rsidRDefault="001925BE" w:rsidP="009F273F">
      <w:pPr>
        <w:pStyle w:val="Paragraphe"/>
        <w:tabs>
          <w:tab w:val="clear" w:pos="360"/>
          <w:tab w:val="num" w:pos="709"/>
        </w:tabs>
        <w:spacing w:before="100" w:after="100" w:line="240" w:lineRule="auto"/>
        <w:rPr>
          <w:lang w:val="en-CA"/>
        </w:rPr>
      </w:pPr>
      <w:r>
        <w:rPr>
          <w:lang w:val="en-CA"/>
        </w:rPr>
        <w:t xml:space="preserve">A few years earlier, in </w:t>
      </w:r>
      <w:r w:rsidR="00BF34D3" w:rsidRPr="00077BF7">
        <w:rPr>
          <w:i/>
          <w:iCs/>
          <w:lang w:val="en-CA"/>
        </w:rPr>
        <w:t>National Post</w:t>
      </w:r>
      <w:r>
        <w:rPr>
          <w:lang w:val="en-CA"/>
        </w:rPr>
        <w:t>,</w:t>
      </w:r>
      <w:r w:rsidR="00BF34D3">
        <w:rPr>
          <w:lang w:val="en-CA"/>
        </w:rPr>
        <w:t xml:space="preserve"> </w:t>
      </w:r>
      <w:r w:rsidR="00650A6C" w:rsidRPr="0050379F">
        <w:rPr>
          <w:lang w:val="en-CA"/>
        </w:rPr>
        <w:t xml:space="preserve">Binnie </w:t>
      </w:r>
      <w:r w:rsidR="00BF34D3">
        <w:rPr>
          <w:lang w:val="en-CA"/>
        </w:rPr>
        <w:t xml:space="preserve">J. </w:t>
      </w:r>
      <w:r>
        <w:rPr>
          <w:lang w:val="en-CA"/>
        </w:rPr>
        <w:t xml:space="preserve">had written </w:t>
      </w:r>
      <w:r w:rsidR="00BF34D3">
        <w:rPr>
          <w:lang w:val="en-CA"/>
        </w:rPr>
        <w:t xml:space="preserve">on the same subject </w:t>
      </w:r>
      <w:r w:rsidR="00650A6C" w:rsidRPr="0050379F">
        <w:rPr>
          <w:lang w:val="en-CA"/>
        </w:rPr>
        <w:t>that</w:t>
      </w:r>
      <w:r w:rsidR="00BF34D3">
        <w:rPr>
          <w:lang w:val="en-CA"/>
        </w:rPr>
        <w:t>,</w:t>
      </w:r>
      <w:r w:rsidR="00650A6C" w:rsidRPr="0050379F">
        <w:rPr>
          <w:lang w:val="en-CA"/>
        </w:rPr>
        <w:t xml:space="preserve"> </w:t>
      </w:r>
      <w:r w:rsidR="00826B6B" w:rsidRPr="0050379F">
        <w:rPr>
          <w:lang w:val="en-CA"/>
        </w:rPr>
        <w:t>“</w:t>
      </w:r>
      <w:r w:rsidR="00650A6C" w:rsidRPr="0050379F">
        <w:rPr>
          <w:color w:val="000000"/>
          <w:szCs w:val="24"/>
          <w:lang w:val="en-CA"/>
        </w:rPr>
        <w:t>In a test of balancing the public interest in disclosure versus the public interest in confidentiality neither the journalist nor the secr</w:t>
      </w:r>
      <w:r w:rsidR="009A3E39">
        <w:rPr>
          <w:color w:val="000000"/>
          <w:szCs w:val="24"/>
          <w:lang w:val="en-CA"/>
        </w:rPr>
        <w:t>et source “owns” the privilege.</w:t>
      </w:r>
      <w:r w:rsidR="00650A6C" w:rsidRPr="0050379F">
        <w:rPr>
          <w:color w:val="000000"/>
          <w:szCs w:val="24"/>
          <w:lang w:val="en-CA"/>
        </w:rPr>
        <w:t xml:space="preserve"> Thus, where a secret source decides for whatever reason to cast aside the cloak of anonymity the public interest no longer “sedulously fosters” the continuation of the confidential relationship in preference to openness</w:t>
      </w:r>
      <w:r w:rsidR="00FF13E1">
        <w:rPr>
          <w:color w:val="000000"/>
          <w:szCs w:val="24"/>
          <w:lang w:val="en-CA"/>
        </w:rPr>
        <w:t xml:space="preserve"> and the search for the truth. </w:t>
      </w:r>
      <w:r w:rsidR="00257A2F">
        <w:rPr>
          <w:color w:val="000000"/>
          <w:szCs w:val="24"/>
          <w:lang w:val="en-CA"/>
        </w:rPr>
        <w:t>...</w:t>
      </w:r>
      <w:r w:rsidR="00650A6C" w:rsidRPr="0050379F">
        <w:rPr>
          <w:color w:val="000000"/>
          <w:szCs w:val="24"/>
          <w:lang w:val="en-CA"/>
        </w:rPr>
        <w:t xml:space="preserve"> On the other hand, where a journalist decides that the confidentiality arrangement no longer binds</w:t>
      </w:r>
      <w:r w:rsidR="00257A2F">
        <w:rPr>
          <w:color w:val="000000"/>
          <w:szCs w:val="24"/>
          <w:lang w:val="en-CA"/>
        </w:rPr>
        <w:t>...</w:t>
      </w:r>
      <w:r w:rsidR="00650A6C" w:rsidRPr="0050379F">
        <w:rPr>
          <w:color w:val="000000"/>
          <w:szCs w:val="24"/>
          <w:lang w:val="en-CA"/>
        </w:rPr>
        <w:t xml:space="preserve"> the balance would again</w:t>
      </w:r>
      <w:r w:rsidR="00BF334E">
        <w:rPr>
          <w:color w:val="000000"/>
          <w:szCs w:val="24"/>
          <w:lang w:val="en-CA"/>
        </w:rPr>
        <w:t xml:space="preserve"> tilt in favour of disclosure. </w:t>
      </w:r>
      <w:r w:rsidR="00650A6C" w:rsidRPr="0050379F">
        <w:rPr>
          <w:color w:val="000000"/>
          <w:szCs w:val="24"/>
          <w:lang w:val="en-CA"/>
        </w:rPr>
        <w:t>The role and function of the privilege is to facilitate the freedom of expression of the media a</w:t>
      </w:r>
      <w:r w:rsidR="00BF334E">
        <w:rPr>
          <w:color w:val="000000"/>
          <w:szCs w:val="24"/>
          <w:lang w:val="en-CA"/>
        </w:rPr>
        <w:t>nd their readers and listeners.</w:t>
      </w:r>
      <w:r w:rsidR="00650A6C" w:rsidRPr="0050379F">
        <w:rPr>
          <w:color w:val="000000"/>
          <w:szCs w:val="24"/>
          <w:lang w:val="en-CA"/>
        </w:rPr>
        <w:t xml:space="preserve"> Where the journalist concludes that the relationship in a particular case should no longer be “sedulously” fostered, the substratum of the c</w:t>
      </w:r>
      <w:r w:rsidR="00BF334E">
        <w:rPr>
          <w:color w:val="000000"/>
          <w:szCs w:val="24"/>
          <w:lang w:val="en-CA"/>
        </w:rPr>
        <w:t xml:space="preserve">laimed privilege is eliminated. The </w:t>
      </w:r>
      <w:r w:rsidR="00650A6C" w:rsidRPr="00BF334E">
        <w:rPr>
          <w:iCs/>
          <w:color w:val="000000"/>
          <w:szCs w:val="24"/>
          <w:lang w:val="en-CA"/>
        </w:rPr>
        <w:t>public</w:t>
      </w:r>
      <w:r w:rsidR="00BF334E">
        <w:rPr>
          <w:color w:val="000000"/>
          <w:szCs w:val="24"/>
          <w:lang w:val="en-CA"/>
        </w:rPr>
        <w:t xml:space="preserve"> </w:t>
      </w:r>
      <w:r w:rsidR="00650A6C" w:rsidRPr="0050379F">
        <w:rPr>
          <w:color w:val="000000"/>
          <w:szCs w:val="24"/>
          <w:lang w:val="en-CA"/>
        </w:rPr>
        <w:lastRenderedPageBreak/>
        <w:t>interest would no longer be served in the particular case by suppression of the identity, but of course in the event of such disclosure, the source might have some sort of </w:t>
      </w:r>
      <w:r w:rsidR="00650A6C" w:rsidRPr="0050379F">
        <w:rPr>
          <w:i/>
          <w:iCs/>
          <w:color w:val="000000"/>
          <w:szCs w:val="24"/>
          <w:lang w:val="en-CA"/>
        </w:rPr>
        <w:t>private</w:t>
      </w:r>
      <w:r w:rsidR="00650A6C" w:rsidRPr="0050379F">
        <w:rPr>
          <w:color w:val="000000"/>
          <w:szCs w:val="24"/>
          <w:lang w:val="en-CA"/>
        </w:rPr>
        <w:t> law claim for breach of contract or breach of confidence</w:t>
      </w:r>
      <w:r w:rsidR="00650A6C" w:rsidRPr="0050379F">
        <w:rPr>
          <w:lang w:val="en-CA"/>
        </w:rPr>
        <w:t>”</w:t>
      </w:r>
      <w:r w:rsidR="005C193D">
        <w:rPr>
          <w:lang w:val="en-CA"/>
        </w:rPr>
        <w:t>.</w:t>
      </w:r>
      <w:r w:rsidR="009F273F" w:rsidRPr="0050379F">
        <w:rPr>
          <w:rStyle w:val="Appelnotedebasdep"/>
          <w:lang w:val="en-CA"/>
        </w:rPr>
        <w:footnoteReference w:id="10"/>
      </w:r>
    </w:p>
    <w:p w14:paraId="0BDA7534" w14:textId="67CCD87A" w:rsidR="009F273F" w:rsidRPr="00077BF7" w:rsidRDefault="00650A6C" w:rsidP="009F273F">
      <w:pPr>
        <w:pStyle w:val="Paragraphe"/>
        <w:tabs>
          <w:tab w:val="clear" w:pos="360"/>
          <w:tab w:val="num" w:pos="709"/>
        </w:tabs>
        <w:spacing w:before="100" w:after="100" w:line="240" w:lineRule="auto"/>
        <w:rPr>
          <w:rFonts w:cs="Arial"/>
          <w:b/>
          <w:szCs w:val="24"/>
          <w:lang w:val="en-CA"/>
        </w:rPr>
      </w:pPr>
      <w:r w:rsidRPr="0050379F">
        <w:rPr>
          <w:lang w:val="en-CA"/>
        </w:rPr>
        <w:t>Las</w:t>
      </w:r>
      <w:r w:rsidR="009D683A" w:rsidRPr="0050379F">
        <w:rPr>
          <w:lang w:val="en-CA"/>
        </w:rPr>
        <w:t>t, the balance of interests sp</w:t>
      </w:r>
      <w:r w:rsidRPr="0050379F">
        <w:rPr>
          <w:lang w:val="en-CA"/>
        </w:rPr>
        <w:t>ecified in the</w:t>
      </w:r>
      <w:r w:rsidR="00BF334E">
        <w:rPr>
          <w:lang w:val="en-CA"/>
        </w:rPr>
        <w:t xml:space="preserve"> fourth </w:t>
      </w:r>
      <w:r w:rsidR="005C193D" w:rsidRPr="00077BF7">
        <w:rPr>
          <w:i/>
          <w:iCs/>
          <w:lang w:val="en-CA"/>
        </w:rPr>
        <w:t>Wigmore</w:t>
      </w:r>
      <w:r w:rsidRPr="0050379F">
        <w:rPr>
          <w:lang w:val="en-CA"/>
        </w:rPr>
        <w:t xml:space="preserve"> </w:t>
      </w:r>
      <w:r w:rsidR="00257A2F">
        <w:rPr>
          <w:lang w:val="en-CA"/>
        </w:rPr>
        <w:t xml:space="preserve">criterion </w:t>
      </w:r>
      <w:r w:rsidRPr="0050379F">
        <w:rPr>
          <w:lang w:val="en-CA"/>
        </w:rPr>
        <w:t xml:space="preserve">is codified and adapted in paragraphs </w:t>
      </w:r>
      <w:r w:rsidR="009F273F" w:rsidRPr="0050379F">
        <w:rPr>
          <w:lang w:val="en-CA"/>
        </w:rPr>
        <w:t>488.01(3)</w:t>
      </w:r>
      <w:r w:rsidRPr="0050379F">
        <w:rPr>
          <w:lang w:val="en-CA"/>
        </w:rPr>
        <w:t>(</w:t>
      </w:r>
      <w:r w:rsidR="009F273F" w:rsidRPr="0050379F">
        <w:rPr>
          <w:lang w:val="en-CA"/>
        </w:rPr>
        <w:t xml:space="preserve">b) </w:t>
      </w:r>
      <w:r w:rsidRPr="0050379F">
        <w:rPr>
          <w:lang w:val="en-CA"/>
        </w:rPr>
        <w:t>and</w:t>
      </w:r>
      <w:r w:rsidR="009F273F" w:rsidRPr="0050379F">
        <w:rPr>
          <w:lang w:val="en-CA"/>
        </w:rPr>
        <w:t xml:space="preserve"> 488.02(5)</w:t>
      </w:r>
      <w:r w:rsidRPr="0050379F">
        <w:rPr>
          <w:lang w:val="en-CA"/>
        </w:rPr>
        <w:t>(</w:t>
      </w:r>
      <w:r w:rsidR="009F273F" w:rsidRPr="0050379F">
        <w:rPr>
          <w:lang w:val="en-CA"/>
        </w:rPr>
        <w:t xml:space="preserve">b) </w:t>
      </w:r>
      <w:r w:rsidR="00325C3F" w:rsidRPr="00325C3F">
        <w:rPr>
          <w:i/>
          <w:lang w:val="en-CA"/>
        </w:rPr>
        <w:t>Cr. C.</w:t>
      </w:r>
      <w:r w:rsidR="000D44F1">
        <w:rPr>
          <w:iCs/>
          <w:lang w:val="en-CA"/>
        </w:rPr>
        <w:t>,</w:t>
      </w:r>
      <w:r w:rsidR="009F273F" w:rsidRPr="0050379F">
        <w:rPr>
          <w:lang w:val="en-CA"/>
        </w:rPr>
        <w:t xml:space="preserve"> </w:t>
      </w:r>
      <w:r w:rsidRPr="0050379F">
        <w:rPr>
          <w:lang w:val="en-CA"/>
        </w:rPr>
        <w:t xml:space="preserve">which provide that a judge may not order disclosure if he is convinced that </w:t>
      </w:r>
      <w:r w:rsidR="004528B7" w:rsidRPr="0050379F">
        <w:rPr>
          <w:lang w:val="en-CA"/>
        </w:rPr>
        <w:t>“</w:t>
      </w:r>
      <w:r w:rsidR="004528B7" w:rsidRPr="00077BF7">
        <w:rPr>
          <w:rFonts w:cs="Arial"/>
          <w:color w:val="000000"/>
          <w:szCs w:val="24"/>
          <w:lang w:val="en-CA"/>
        </w:rPr>
        <w:t xml:space="preserve">the public interest in the investigation </w:t>
      </w:r>
      <w:r w:rsidR="004528B7" w:rsidRPr="000D44F1">
        <w:rPr>
          <w:rFonts w:cs="Arial"/>
          <w:color w:val="000000"/>
          <w:szCs w:val="24"/>
          <w:lang w:val="en-CA"/>
        </w:rPr>
        <w:t>and prosecution of a criminal offence outweighs the journalist’s right to privacy in gathering and disseminating information</w:t>
      </w:r>
      <w:r w:rsidR="004528B7" w:rsidRPr="000D44F1">
        <w:rPr>
          <w:rFonts w:cs="Arial"/>
          <w:szCs w:val="24"/>
          <w:lang w:val="en-CA"/>
        </w:rPr>
        <w:t>”</w:t>
      </w:r>
      <w:r w:rsidR="005C193D">
        <w:rPr>
          <w:rFonts w:cs="Arial"/>
          <w:szCs w:val="24"/>
          <w:lang w:val="en-CA"/>
        </w:rPr>
        <w:t>.</w:t>
      </w:r>
    </w:p>
    <w:p w14:paraId="56CF0C7A" w14:textId="1ED1DFA5" w:rsidR="009F273F" w:rsidRPr="0050379F" w:rsidRDefault="002D6C6B" w:rsidP="009F273F">
      <w:pPr>
        <w:pStyle w:val="Paragraphe"/>
        <w:tabs>
          <w:tab w:val="clear" w:pos="360"/>
          <w:tab w:val="num" w:pos="709"/>
        </w:tabs>
        <w:spacing w:before="100" w:after="100" w:line="240" w:lineRule="auto"/>
        <w:rPr>
          <w:b/>
          <w:lang w:val="en-CA"/>
        </w:rPr>
      </w:pPr>
      <w:r w:rsidRPr="0050379F">
        <w:rPr>
          <w:lang w:val="en-CA"/>
        </w:rPr>
        <w:t xml:space="preserve">In </w:t>
      </w:r>
      <w:r w:rsidR="009F273F" w:rsidRPr="0050379F">
        <w:rPr>
          <w:i/>
          <w:lang w:val="en-CA"/>
        </w:rPr>
        <w:t>Vice</w:t>
      </w:r>
      <w:r w:rsidR="005C193D">
        <w:rPr>
          <w:i/>
          <w:lang w:val="en-CA"/>
        </w:rPr>
        <w:t xml:space="preserve"> Media</w:t>
      </w:r>
      <w:r w:rsidR="00BC12D0">
        <w:rPr>
          <w:iCs/>
          <w:lang w:val="en-CA"/>
        </w:rPr>
        <w:t>,</w:t>
      </w:r>
      <w:r w:rsidR="009F273F" w:rsidRPr="0050379F">
        <w:rPr>
          <w:rStyle w:val="Appelnotedebasdep"/>
          <w:lang w:val="en-CA"/>
        </w:rPr>
        <w:footnoteReference w:id="11"/>
      </w:r>
      <w:r w:rsidR="009F273F" w:rsidRPr="0050379F">
        <w:rPr>
          <w:lang w:val="en-CA"/>
        </w:rPr>
        <w:t xml:space="preserve"> </w:t>
      </w:r>
      <w:r w:rsidRPr="0050379F">
        <w:rPr>
          <w:lang w:val="en-CA"/>
        </w:rPr>
        <w:t>Moldaver</w:t>
      </w:r>
      <w:r w:rsidR="00BC12D0">
        <w:rPr>
          <w:lang w:val="en-CA"/>
        </w:rPr>
        <w:t xml:space="preserve"> J.</w:t>
      </w:r>
      <w:r w:rsidRPr="0050379F">
        <w:rPr>
          <w:lang w:val="en-CA"/>
        </w:rPr>
        <w:t xml:space="preserve">, writing for the majority, enumerated the circumstances a judge may take into consideration </w:t>
      </w:r>
      <w:r w:rsidR="00903FA2">
        <w:rPr>
          <w:lang w:val="en-CA"/>
        </w:rPr>
        <w:t>when</w:t>
      </w:r>
      <w:r w:rsidRPr="0050379F">
        <w:rPr>
          <w:lang w:val="en-CA"/>
        </w:rPr>
        <w:t xml:space="preserve"> balancing the interests of the </w:t>
      </w:r>
      <w:r w:rsidR="00BC12D0">
        <w:rPr>
          <w:lang w:val="en-CA"/>
        </w:rPr>
        <w:t>s</w:t>
      </w:r>
      <w:r w:rsidRPr="0050379F">
        <w:rPr>
          <w:lang w:val="en-CA"/>
        </w:rPr>
        <w:t>tate and the rights of the media:</w:t>
      </w:r>
    </w:p>
    <w:p w14:paraId="601E9430" w14:textId="67094402" w:rsidR="009F273F" w:rsidRPr="0050379F" w:rsidRDefault="002D6C6B" w:rsidP="009F273F">
      <w:pPr>
        <w:pStyle w:val="Paragraphe"/>
        <w:numPr>
          <w:ilvl w:val="0"/>
          <w:numId w:val="3"/>
        </w:numPr>
        <w:spacing w:before="100" w:after="100" w:line="240" w:lineRule="auto"/>
        <w:rPr>
          <w:b/>
          <w:lang w:val="en-CA"/>
        </w:rPr>
      </w:pPr>
      <w:r w:rsidRPr="0050379F">
        <w:rPr>
          <w:color w:val="000000"/>
          <w:lang w:val="en-CA"/>
        </w:rPr>
        <w:t>The likelihood and extent of any potential chilling effects</w:t>
      </w:r>
      <w:r w:rsidR="009F273F" w:rsidRPr="0050379F">
        <w:rPr>
          <w:lang w:val="en-CA"/>
        </w:rPr>
        <w:t xml:space="preserve">; </w:t>
      </w:r>
    </w:p>
    <w:p w14:paraId="1027D68C" w14:textId="6982F384" w:rsidR="009F273F" w:rsidRPr="0050379F" w:rsidRDefault="002D6C6B" w:rsidP="009F273F">
      <w:pPr>
        <w:pStyle w:val="Paragraphe"/>
        <w:numPr>
          <w:ilvl w:val="0"/>
          <w:numId w:val="3"/>
        </w:numPr>
        <w:spacing w:before="100" w:after="100" w:line="240" w:lineRule="auto"/>
        <w:rPr>
          <w:b/>
          <w:lang w:val="en-CA"/>
        </w:rPr>
      </w:pPr>
      <w:r w:rsidRPr="0050379F">
        <w:rPr>
          <w:color w:val="000000"/>
          <w:lang w:val="en-CA"/>
        </w:rPr>
        <w:t xml:space="preserve">The scope of the materials sought by the police and whether the order sought is </w:t>
      </w:r>
      <w:r w:rsidR="00BC12D0">
        <w:rPr>
          <w:color w:val="000000"/>
          <w:lang w:val="en-CA"/>
        </w:rPr>
        <w:t>narrowly</w:t>
      </w:r>
      <w:r w:rsidR="00BC12D0" w:rsidRPr="0050379F">
        <w:rPr>
          <w:color w:val="000000"/>
          <w:lang w:val="en-CA"/>
        </w:rPr>
        <w:t xml:space="preserve"> </w:t>
      </w:r>
      <w:r w:rsidRPr="0050379F">
        <w:rPr>
          <w:color w:val="000000"/>
          <w:lang w:val="en-CA"/>
        </w:rPr>
        <w:t>tailored;</w:t>
      </w:r>
      <w:r w:rsidR="009F273F" w:rsidRPr="0050379F">
        <w:rPr>
          <w:lang w:val="en-CA"/>
        </w:rPr>
        <w:t xml:space="preserve"> </w:t>
      </w:r>
    </w:p>
    <w:p w14:paraId="635E7BEB" w14:textId="77777777" w:rsidR="009F273F" w:rsidRPr="0050379F" w:rsidRDefault="002D6C6B" w:rsidP="009F273F">
      <w:pPr>
        <w:pStyle w:val="Paragraphe"/>
        <w:numPr>
          <w:ilvl w:val="0"/>
          <w:numId w:val="3"/>
        </w:numPr>
        <w:spacing w:before="100" w:after="100" w:line="240" w:lineRule="auto"/>
        <w:rPr>
          <w:b/>
          <w:lang w:val="en-CA"/>
        </w:rPr>
      </w:pPr>
      <w:r w:rsidRPr="0050379F">
        <w:rPr>
          <w:color w:val="000000"/>
          <w:lang w:val="en-CA"/>
        </w:rPr>
        <w:t>The likely probative value of the materials</w:t>
      </w:r>
      <w:r w:rsidR="009F273F" w:rsidRPr="0050379F">
        <w:rPr>
          <w:lang w:val="en-CA"/>
        </w:rPr>
        <w:t xml:space="preserve">; </w:t>
      </w:r>
    </w:p>
    <w:p w14:paraId="3AC4D604" w14:textId="77777777" w:rsidR="009F273F" w:rsidRPr="0050379F" w:rsidRDefault="002D6C6B" w:rsidP="009F273F">
      <w:pPr>
        <w:pStyle w:val="Paragraphe"/>
        <w:numPr>
          <w:ilvl w:val="0"/>
          <w:numId w:val="3"/>
        </w:numPr>
        <w:spacing w:before="100" w:after="100" w:line="240" w:lineRule="auto"/>
        <w:rPr>
          <w:b/>
          <w:lang w:val="en-CA"/>
        </w:rPr>
      </w:pPr>
      <w:r w:rsidRPr="0050379F">
        <w:rPr>
          <w:color w:val="000000"/>
          <w:lang w:val="en-CA"/>
        </w:rPr>
        <w:t>Whether there are alternative sources from which the information may reasonably be obtained</w:t>
      </w:r>
      <w:r w:rsidR="009F273F" w:rsidRPr="0050379F">
        <w:rPr>
          <w:lang w:val="en-CA"/>
        </w:rPr>
        <w:t xml:space="preserve">; </w:t>
      </w:r>
    </w:p>
    <w:p w14:paraId="2C5323A8" w14:textId="5FC4F348" w:rsidR="009F273F" w:rsidRPr="0050379F" w:rsidRDefault="002D6C6B" w:rsidP="009F273F">
      <w:pPr>
        <w:pStyle w:val="Paragraphe"/>
        <w:numPr>
          <w:ilvl w:val="0"/>
          <w:numId w:val="3"/>
        </w:numPr>
        <w:spacing w:before="100" w:after="100" w:line="240" w:lineRule="auto"/>
        <w:rPr>
          <w:b/>
          <w:lang w:val="en-CA"/>
        </w:rPr>
      </w:pPr>
      <w:r w:rsidRPr="0050379F">
        <w:rPr>
          <w:color w:val="000000"/>
          <w:sz w:val="14"/>
          <w:szCs w:val="14"/>
          <w:lang w:val="en-CA"/>
        </w:rPr>
        <w:t> </w:t>
      </w:r>
      <w:r w:rsidRPr="0050379F">
        <w:rPr>
          <w:color w:val="000000"/>
          <w:lang w:val="en-CA"/>
        </w:rPr>
        <w:t>The effect of prior partial publication, assessed on a case-by-case basis</w:t>
      </w:r>
      <w:r w:rsidR="009F273F" w:rsidRPr="0050379F">
        <w:rPr>
          <w:lang w:val="en-CA"/>
        </w:rPr>
        <w:t>;</w:t>
      </w:r>
    </w:p>
    <w:p w14:paraId="0C8BB375" w14:textId="77777777" w:rsidR="009F273F" w:rsidRPr="0050379F" w:rsidRDefault="009F273F" w:rsidP="009F273F">
      <w:pPr>
        <w:pStyle w:val="Paragraphe"/>
        <w:numPr>
          <w:ilvl w:val="0"/>
          <w:numId w:val="3"/>
        </w:numPr>
        <w:spacing w:before="100" w:after="100" w:line="240" w:lineRule="auto"/>
        <w:rPr>
          <w:b/>
          <w:lang w:val="en-CA"/>
        </w:rPr>
      </w:pPr>
      <w:r w:rsidRPr="0050379F">
        <w:rPr>
          <w:lang w:val="en-CA"/>
        </w:rPr>
        <w:t xml:space="preserve"> </w:t>
      </w:r>
      <w:r w:rsidR="002D6C6B" w:rsidRPr="0050379F">
        <w:rPr>
          <w:color w:val="000000"/>
          <w:lang w:val="en-CA"/>
        </w:rPr>
        <w:t>The vital role that the media plays in the functioning of a democratic society and the fact that the media will generally be an innocent third party</w:t>
      </w:r>
      <w:r w:rsidRPr="0050379F">
        <w:rPr>
          <w:lang w:val="en-CA"/>
        </w:rPr>
        <w:t>.</w:t>
      </w:r>
    </w:p>
    <w:p w14:paraId="667057A8" w14:textId="77777777" w:rsidR="009F273F" w:rsidRPr="0050379F" w:rsidRDefault="002D6C6B" w:rsidP="00020E5C">
      <w:pPr>
        <w:pStyle w:val="Paragraphe"/>
        <w:numPr>
          <w:ilvl w:val="0"/>
          <w:numId w:val="0"/>
        </w:numPr>
        <w:spacing w:line="240" w:lineRule="auto"/>
        <w:rPr>
          <w:b/>
          <w:u w:val="single"/>
          <w:lang w:val="en-CA"/>
        </w:rPr>
      </w:pPr>
      <w:r w:rsidRPr="0050379F">
        <w:rPr>
          <w:b/>
          <w:u w:val="single"/>
          <w:lang w:val="en-CA"/>
        </w:rPr>
        <w:t>The Balancing Exercise in this Case</w:t>
      </w:r>
    </w:p>
    <w:p w14:paraId="7EDFC528" w14:textId="21B5F351" w:rsidR="009F273F" w:rsidRPr="0050379F" w:rsidRDefault="002D6C6B" w:rsidP="00020E5C">
      <w:pPr>
        <w:pStyle w:val="Paragraphe"/>
        <w:numPr>
          <w:ilvl w:val="0"/>
          <w:numId w:val="0"/>
        </w:numPr>
        <w:spacing w:line="240" w:lineRule="auto"/>
        <w:rPr>
          <w:b/>
          <w:lang w:val="en-CA"/>
        </w:rPr>
      </w:pPr>
      <w:r w:rsidRPr="0050379F">
        <w:rPr>
          <w:b/>
          <w:lang w:val="en-CA"/>
        </w:rPr>
        <w:t xml:space="preserve">The first three </w:t>
      </w:r>
      <w:r w:rsidR="00257A2F">
        <w:rPr>
          <w:b/>
          <w:lang w:val="en-CA"/>
        </w:rPr>
        <w:t>criteria</w:t>
      </w:r>
      <w:r w:rsidR="00257A2F" w:rsidRPr="0050379F">
        <w:rPr>
          <w:b/>
          <w:lang w:val="en-CA"/>
        </w:rPr>
        <w:t xml:space="preserve"> </w:t>
      </w:r>
      <w:r w:rsidRPr="0050379F">
        <w:rPr>
          <w:b/>
          <w:lang w:val="en-CA"/>
        </w:rPr>
        <w:t xml:space="preserve">of the </w:t>
      </w:r>
      <w:r w:rsidRPr="0050379F">
        <w:rPr>
          <w:b/>
          <w:i/>
          <w:lang w:val="en-CA"/>
        </w:rPr>
        <w:t>Wigmore</w:t>
      </w:r>
      <w:r w:rsidRPr="0050379F">
        <w:rPr>
          <w:b/>
          <w:lang w:val="en-CA"/>
        </w:rPr>
        <w:t xml:space="preserve"> test </w:t>
      </w:r>
    </w:p>
    <w:p w14:paraId="699B9CC5" w14:textId="6A257471" w:rsidR="009F273F" w:rsidRPr="0050379F" w:rsidRDefault="009D46B6" w:rsidP="009F273F">
      <w:pPr>
        <w:pStyle w:val="Paragraphe"/>
        <w:tabs>
          <w:tab w:val="clear" w:pos="360"/>
          <w:tab w:val="num" w:pos="709"/>
        </w:tabs>
        <w:spacing w:before="100" w:after="100" w:line="240" w:lineRule="auto"/>
        <w:rPr>
          <w:b/>
          <w:lang w:val="en-CA"/>
        </w:rPr>
      </w:pPr>
      <w:r>
        <w:rPr>
          <w:lang w:val="en-CA"/>
        </w:rPr>
        <w:t xml:space="preserve">Whatever might be thought of </w:t>
      </w:r>
      <w:r w:rsidR="002D6C6B" w:rsidRPr="0050379F">
        <w:rPr>
          <w:lang w:val="en-CA"/>
        </w:rPr>
        <w:t>the</w:t>
      </w:r>
      <w:r w:rsidR="00D059B6" w:rsidRPr="0050379F">
        <w:rPr>
          <w:lang w:val="en-CA"/>
        </w:rPr>
        <w:t xml:space="preserve"> </w:t>
      </w:r>
      <w:r>
        <w:rPr>
          <w:lang w:val="en-CA"/>
        </w:rPr>
        <w:t>degree</w:t>
      </w:r>
      <w:r w:rsidRPr="0050379F">
        <w:rPr>
          <w:lang w:val="en-CA"/>
        </w:rPr>
        <w:t xml:space="preserve"> </w:t>
      </w:r>
      <w:r w:rsidR="002D6C6B" w:rsidRPr="0050379F">
        <w:rPr>
          <w:lang w:val="en-CA"/>
        </w:rPr>
        <w:t>of profess</w:t>
      </w:r>
      <w:r w:rsidR="00BF334E">
        <w:rPr>
          <w:lang w:val="en-CA"/>
        </w:rPr>
        <w:t>ionalism shown by the Groupe TVA</w:t>
      </w:r>
      <w:r w:rsidR="002D6C6B" w:rsidRPr="0050379F">
        <w:rPr>
          <w:lang w:val="en-CA"/>
        </w:rPr>
        <w:t xml:space="preserve"> Inc. journalist(s) in this case</w:t>
      </w:r>
      <w:r>
        <w:rPr>
          <w:lang w:val="en-CA"/>
        </w:rPr>
        <w:t>,</w:t>
      </w:r>
      <w:r w:rsidR="002D6C6B" w:rsidRPr="0050379F">
        <w:rPr>
          <w:lang w:val="en-CA"/>
        </w:rPr>
        <w:t xml:space="preserve"> and without approving the methods </w:t>
      </w:r>
      <w:r>
        <w:rPr>
          <w:lang w:val="en-CA"/>
        </w:rPr>
        <w:t>they</w:t>
      </w:r>
      <w:r w:rsidR="002D6C6B" w:rsidRPr="0050379F">
        <w:rPr>
          <w:lang w:val="en-CA"/>
        </w:rPr>
        <w:t xml:space="preserve"> used to gather and disseminate </w:t>
      </w:r>
      <w:r>
        <w:rPr>
          <w:lang w:val="en-CA"/>
        </w:rPr>
        <w:t xml:space="preserve">the </w:t>
      </w:r>
      <w:r w:rsidR="002D6C6B" w:rsidRPr="0050379F">
        <w:rPr>
          <w:lang w:val="en-CA"/>
        </w:rPr>
        <w:t>information,</w:t>
      </w:r>
      <w:r w:rsidR="00D059B6" w:rsidRPr="0050379F">
        <w:rPr>
          <w:lang w:val="en-CA"/>
        </w:rPr>
        <w:t xml:space="preserve"> </w:t>
      </w:r>
      <w:r>
        <w:rPr>
          <w:lang w:val="en-CA"/>
        </w:rPr>
        <w:t>the fact remains that</w:t>
      </w:r>
      <w:r w:rsidR="00D059B6" w:rsidRPr="0050379F">
        <w:rPr>
          <w:lang w:val="en-CA"/>
        </w:rPr>
        <w:t xml:space="preserve"> the </w:t>
      </w:r>
      <w:r>
        <w:rPr>
          <w:lang w:val="en-CA"/>
        </w:rPr>
        <w:t>elements</w:t>
      </w:r>
      <w:r w:rsidRPr="0050379F">
        <w:rPr>
          <w:lang w:val="en-CA"/>
        </w:rPr>
        <w:t xml:space="preserve"> </w:t>
      </w:r>
      <w:r w:rsidR="00D059B6" w:rsidRPr="0050379F">
        <w:rPr>
          <w:lang w:val="en-CA"/>
        </w:rPr>
        <w:t xml:space="preserve">sought by the </w:t>
      </w:r>
      <w:r w:rsidR="00D059B6" w:rsidRPr="00077BF7">
        <w:rPr>
          <w:iCs/>
          <w:lang w:val="en-CA"/>
        </w:rPr>
        <w:t>Sûreté</w:t>
      </w:r>
      <w:r w:rsidR="00D059B6" w:rsidRPr="009D46B6">
        <w:rPr>
          <w:iCs/>
          <w:lang w:val="en-CA"/>
        </w:rPr>
        <w:t xml:space="preserve"> </w:t>
      </w:r>
      <w:r w:rsidR="00D059B6" w:rsidRPr="00077BF7">
        <w:rPr>
          <w:iCs/>
          <w:lang w:val="en-CA"/>
        </w:rPr>
        <w:t>du Québec</w:t>
      </w:r>
      <w:r w:rsidR="00D059B6" w:rsidRPr="0050379F">
        <w:rPr>
          <w:lang w:val="en-CA"/>
        </w:rPr>
        <w:t xml:space="preserve"> are the</w:t>
      </w:r>
      <w:r>
        <w:rPr>
          <w:lang w:val="en-CA"/>
        </w:rPr>
        <w:t xml:space="preserve"> fruits </w:t>
      </w:r>
      <w:r w:rsidR="00D059B6" w:rsidRPr="0050379F">
        <w:rPr>
          <w:lang w:val="en-CA"/>
        </w:rPr>
        <w:t>of journalistic work</w:t>
      </w:r>
      <w:r w:rsidR="00020E5C">
        <w:rPr>
          <w:lang w:val="en-CA"/>
        </w:rPr>
        <w:t xml:space="preserve"> that</w:t>
      </w:r>
      <w:r w:rsidR="00D059B6" w:rsidRPr="0050379F">
        <w:rPr>
          <w:lang w:val="en-CA"/>
        </w:rPr>
        <w:t xml:space="preserve"> triggers the procedure under sections </w:t>
      </w:r>
      <w:r w:rsidR="009F273F" w:rsidRPr="0050379F">
        <w:rPr>
          <w:lang w:val="en-CA"/>
        </w:rPr>
        <w:t xml:space="preserve">488.01 </w:t>
      </w:r>
      <w:r w:rsidR="00D059B6" w:rsidRPr="0050379F">
        <w:rPr>
          <w:lang w:val="en-CA"/>
        </w:rPr>
        <w:t>and</w:t>
      </w:r>
      <w:r w:rsidR="009F273F" w:rsidRPr="0050379F">
        <w:rPr>
          <w:lang w:val="en-CA"/>
        </w:rPr>
        <w:t xml:space="preserve"> 488.02 </w:t>
      </w:r>
      <w:r w:rsidR="00325C3F" w:rsidRPr="00325C3F">
        <w:rPr>
          <w:i/>
          <w:lang w:val="en-CA"/>
        </w:rPr>
        <w:t>Cr. C.</w:t>
      </w:r>
      <w:r w:rsidR="00D059B6" w:rsidRPr="0050379F">
        <w:rPr>
          <w:lang w:val="en-CA"/>
        </w:rPr>
        <w:t xml:space="preserve"> and the application of the principles</w:t>
      </w:r>
      <w:r w:rsidR="009F273F" w:rsidRPr="0050379F">
        <w:rPr>
          <w:lang w:val="en-CA"/>
        </w:rPr>
        <w:t xml:space="preserve"> </w:t>
      </w:r>
      <w:r>
        <w:rPr>
          <w:lang w:val="en-CA"/>
        </w:rPr>
        <w:t>set out</w:t>
      </w:r>
      <w:r w:rsidRPr="0050379F">
        <w:rPr>
          <w:lang w:val="en-CA"/>
        </w:rPr>
        <w:t xml:space="preserve"> </w:t>
      </w:r>
      <w:r w:rsidR="007072EA" w:rsidRPr="0050379F">
        <w:rPr>
          <w:lang w:val="en-CA"/>
        </w:rPr>
        <w:t>by the Supreme Court</w:t>
      </w:r>
      <w:r w:rsidR="00020E5C">
        <w:rPr>
          <w:lang w:val="en-CA"/>
        </w:rPr>
        <w:t>, described</w:t>
      </w:r>
      <w:r w:rsidR="007072EA" w:rsidRPr="0050379F">
        <w:rPr>
          <w:lang w:val="en-CA"/>
        </w:rPr>
        <w:t xml:space="preserve"> above.</w:t>
      </w:r>
    </w:p>
    <w:p w14:paraId="11DA1A8B" w14:textId="39F10877" w:rsidR="009F273F" w:rsidRPr="0050379F" w:rsidRDefault="00B36622" w:rsidP="007072EA">
      <w:pPr>
        <w:pStyle w:val="Paragraphe"/>
        <w:spacing w:line="240" w:lineRule="auto"/>
        <w:rPr>
          <w:b/>
          <w:lang w:val="en-CA"/>
        </w:rPr>
      </w:pPr>
      <w:r>
        <w:rPr>
          <w:lang w:val="en-CA"/>
        </w:rPr>
        <w:t xml:space="preserve">Indeed, all indications are </w:t>
      </w:r>
      <w:r w:rsidR="007072EA" w:rsidRPr="0050379F">
        <w:rPr>
          <w:lang w:val="en-CA"/>
        </w:rPr>
        <w:t>that the person who conducted the interviews with individuals A, B and C is “a person whose main occupation is to contribute directly, either regularly or occasionally, for consideration, to the collection, writing or production of information for dissemination by the media”</w:t>
      </w:r>
      <w:r w:rsidR="005C193D">
        <w:rPr>
          <w:lang w:val="en-CA"/>
        </w:rPr>
        <w:t>.</w:t>
      </w:r>
      <w:r w:rsidR="009F273F" w:rsidRPr="0050379F">
        <w:rPr>
          <w:rStyle w:val="Appelnotedebasdep"/>
          <w:lang w:val="en-CA"/>
        </w:rPr>
        <w:footnoteReference w:id="12"/>
      </w:r>
    </w:p>
    <w:p w14:paraId="77390C54" w14:textId="490E938B" w:rsidR="009F273F" w:rsidRPr="0050379F" w:rsidRDefault="007072EA" w:rsidP="009F273F">
      <w:pPr>
        <w:pStyle w:val="Paragraphe"/>
        <w:tabs>
          <w:tab w:val="clear" w:pos="360"/>
          <w:tab w:val="num" w:pos="709"/>
        </w:tabs>
        <w:spacing w:before="100" w:after="100" w:line="240" w:lineRule="auto"/>
        <w:rPr>
          <w:b/>
          <w:lang w:val="en-CA"/>
        </w:rPr>
      </w:pPr>
      <w:r w:rsidRPr="0050379F">
        <w:rPr>
          <w:lang w:val="en-CA"/>
        </w:rPr>
        <w:t>As</w:t>
      </w:r>
      <w:r w:rsidR="00020E5C">
        <w:rPr>
          <w:lang w:val="en-CA"/>
        </w:rPr>
        <w:t xml:space="preserve"> stated earlier</w:t>
      </w:r>
      <w:r w:rsidRPr="0050379F">
        <w:rPr>
          <w:lang w:val="en-CA"/>
        </w:rPr>
        <w:t>,</w:t>
      </w:r>
      <w:r w:rsidR="00742832">
        <w:rPr>
          <w:lang w:val="en-CA"/>
        </w:rPr>
        <w:t xml:space="preserve"> however,</w:t>
      </w:r>
      <w:r w:rsidRPr="0050379F">
        <w:rPr>
          <w:lang w:val="en-CA"/>
        </w:rPr>
        <w:t xml:space="preserve"> nothing in the evidence shows that individual C is a “journalistic source”</w:t>
      </w:r>
      <w:r w:rsidR="005C193D">
        <w:rPr>
          <w:lang w:val="en-CA"/>
        </w:rPr>
        <w:t>.</w:t>
      </w:r>
      <w:r w:rsidRPr="0050379F">
        <w:rPr>
          <w:lang w:val="en-CA"/>
        </w:rPr>
        <w:t xml:space="preserve"> </w:t>
      </w:r>
    </w:p>
    <w:p w14:paraId="629AD771" w14:textId="2D812631" w:rsidR="009F273F" w:rsidRPr="0050379F" w:rsidRDefault="007072EA" w:rsidP="007072EA">
      <w:pPr>
        <w:pStyle w:val="Paragraphe"/>
        <w:spacing w:line="240" w:lineRule="auto"/>
        <w:rPr>
          <w:b/>
          <w:lang w:val="en-CA"/>
        </w:rPr>
      </w:pPr>
      <w:r w:rsidRPr="0050379F">
        <w:rPr>
          <w:lang w:val="en-CA"/>
        </w:rPr>
        <w:lastRenderedPageBreak/>
        <w:t xml:space="preserve">On the other hand, individuals A and B partially meet the definition of “journalistic source” as they “confidentially transmit information to a journalist on </w:t>
      </w:r>
      <w:r w:rsidR="00BF334E">
        <w:rPr>
          <w:lang w:val="en-CA"/>
        </w:rPr>
        <w:t>his</w:t>
      </w:r>
      <w:r w:rsidRPr="0050379F">
        <w:rPr>
          <w:lang w:val="en-CA"/>
        </w:rPr>
        <w:t xml:space="preserve"> undertaking not to divulge the identity of the source</w:t>
      </w:r>
      <w:r w:rsidR="00742832">
        <w:rPr>
          <w:lang w:val="en-CA"/>
        </w:rPr>
        <w:t>.</w:t>
      </w:r>
      <w:r w:rsidRPr="0050379F">
        <w:rPr>
          <w:lang w:val="en-CA"/>
        </w:rPr>
        <w:t xml:space="preserve">” </w:t>
      </w:r>
      <w:r w:rsidR="00B01545">
        <w:rPr>
          <w:lang w:val="en-CA"/>
        </w:rPr>
        <w:t xml:space="preserve">The </w:t>
      </w:r>
      <w:r w:rsidRPr="0050379F">
        <w:rPr>
          <w:lang w:val="en-CA"/>
        </w:rPr>
        <w:t>second part of this definition is at issue here</w:t>
      </w:r>
      <w:r w:rsidR="00742832">
        <w:rPr>
          <w:lang w:val="en-CA"/>
        </w:rPr>
        <w:t xml:space="preserve">. It </w:t>
      </w:r>
      <w:r w:rsidRPr="0050379F">
        <w:rPr>
          <w:lang w:val="en-CA"/>
        </w:rPr>
        <w:t>reads: “whose anonymity is essential to the relationship between the journalist and the source”</w:t>
      </w:r>
      <w:r w:rsidR="00742832">
        <w:rPr>
          <w:lang w:val="en-CA"/>
        </w:rPr>
        <w:t>.</w:t>
      </w:r>
      <w:r w:rsidRPr="0050379F">
        <w:rPr>
          <w:lang w:val="en-CA"/>
        </w:rPr>
        <w:t xml:space="preserve"> This part of the definition refers to the second and third </w:t>
      </w:r>
      <w:r w:rsidR="00257A2F">
        <w:rPr>
          <w:lang w:val="en-CA"/>
        </w:rPr>
        <w:t>criteria</w:t>
      </w:r>
      <w:r w:rsidR="00257A2F" w:rsidRPr="0050379F">
        <w:rPr>
          <w:lang w:val="en-CA"/>
        </w:rPr>
        <w:t xml:space="preserve"> </w:t>
      </w:r>
      <w:r w:rsidRPr="0050379F">
        <w:rPr>
          <w:lang w:val="en-CA"/>
        </w:rPr>
        <w:t xml:space="preserve">of the </w:t>
      </w:r>
      <w:r w:rsidRPr="0050379F">
        <w:rPr>
          <w:i/>
          <w:lang w:val="en-CA"/>
        </w:rPr>
        <w:t>Wigmore</w:t>
      </w:r>
      <w:r w:rsidRPr="0050379F">
        <w:rPr>
          <w:lang w:val="en-CA"/>
        </w:rPr>
        <w:t xml:space="preserve"> test </w:t>
      </w:r>
      <w:r w:rsidR="009F273F" w:rsidRPr="0050379F">
        <w:rPr>
          <w:lang w:val="en-CA"/>
        </w:rPr>
        <w:t>(</w:t>
      </w:r>
      <w:r w:rsidRPr="0050379F">
        <w:rPr>
          <w:lang w:val="en-CA"/>
        </w:rPr>
        <w:t>confidentiality must be essential to the relationship between the journalist and</w:t>
      </w:r>
      <w:r w:rsidR="009F273F" w:rsidRPr="0050379F">
        <w:rPr>
          <w:lang w:val="en-CA"/>
        </w:rPr>
        <w:t xml:space="preserve"> </w:t>
      </w:r>
      <w:r w:rsidRPr="0050379F">
        <w:rPr>
          <w:lang w:val="en-CA"/>
        </w:rPr>
        <w:t>his source</w:t>
      </w:r>
      <w:r w:rsidR="008B5D10" w:rsidRPr="0050379F">
        <w:rPr>
          <w:lang w:val="en-CA"/>
        </w:rPr>
        <w:t xml:space="preserve"> and such relation</w:t>
      </w:r>
      <w:r w:rsidRPr="0050379F">
        <w:rPr>
          <w:lang w:val="en-CA"/>
        </w:rPr>
        <w:t>ship must</w:t>
      </w:r>
      <w:r w:rsidR="005C193D">
        <w:rPr>
          <w:lang w:val="en-CA"/>
        </w:rPr>
        <w:t>,</w:t>
      </w:r>
      <w:r w:rsidR="008B5D10" w:rsidRPr="0050379F">
        <w:rPr>
          <w:lang w:val="en-CA"/>
        </w:rPr>
        <w:t xml:space="preserve"> in the public interest, be “</w:t>
      </w:r>
      <w:r w:rsidR="008B5D10" w:rsidRPr="0050379F">
        <w:rPr>
          <w:color w:val="000000"/>
          <w:szCs w:val="24"/>
          <w:lang w:val="en-CA"/>
        </w:rPr>
        <w:t xml:space="preserve">sedulously </w:t>
      </w:r>
      <w:r w:rsidR="008B5D10" w:rsidRPr="0050379F">
        <w:rPr>
          <w:lang w:val="en-CA"/>
        </w:rPr>
        <w:t>fostered”)</w:t>
      </w:r>
      <w:r w:rsidR="005C193D">
        <w:rPr>
          <w:lang w:val="en-CA"/>
        </w:rPr>
        <w:t>.</w:t>
      </w:r>
    </w:p>
    <w:p w14:paraId="6947FDAA" w14:textId="6E0F49F5" w:rsidR="009F273F" w:rsidRPr="0050379F" w:rsidRDefault="00AF61F6" w:rsidP="00113AD9">
      <w:pPr>
        <w:pStyle w:val="Paragraphe"/>
        <w:spacing w:line="240" w:lineRule="auto"/>
        <w:rPr>
          <w:b/>
          <w:lang w:val="en-CA"/>
        </w:rPr>
      </w:pPr>
      <w:r w:rsidRPr="0050379F">
        <w:rPr>
          <w:lang w:val="en-CA"/>
        </w:rPr>
        <w:t>Keeping in mind what</w:t>
      </w:r>
      <w:r w:rsidR="00113AD9" w:rsidRPr="0050379F">
        <w:rPr>
          <w:lang w:val="en-CA"/>
        </w:rPr>
        <w:t xml:space="preserve"> Binnie </w:t>
      </w:r>
      <w:r w:rsidR="00742832">
        <w:rPr>
          <w:lang w:val="en-CA"/>
        </w:rPr>
        <w:t xml:space="preserve">J. </w:t>
      </w:r>
      <w:r w:rsidR="00113AD9" w:rsidRPr="0050379F">
        <w:rPr>
          <w:lang w:val="en-CA"/>
        </w:rPr>
        <w:t xml:space="preserve">wrote in </w:t>
      </w:r>
      <w:r w:rsidR="009F273F" w:rsidRPr="0050379F">
        <w:rPr>
          <w:i/>
          <w:lang w:val="en-CA"/>
        </w:rPr>
        <w:t xml:space="preserve">National </w:t>
      </w:r>
      <w:r w:rsidR="009F273F" w:rsidRPr="0050379F">
        <w:rPr>
          <w:lang w:val="en-CA"/>
        </w:rPr>
        <w:t>Post</w:t>
      </w:r>
      <w:r w:rsidR="009F273F" w:rsidRPr="0050379F">
        <w:rPr>
          <w:rStyle w:val="Appelnotedebasdep"/>
          <w:lang w:val="en-CA"/>
        </w:rPr>
        <w:footnoteReference w:id="13"/>
      </w:r>
      <w:r w:rsidR="009F273F" w:rsidRPr="0050379F">
        <w:rPr>
          <w:lang w:val="en-CA"/>
        </w:rPr>
        <w:t xml:space="preserve"> </w:t>
      </w:r>
      <w:r w:rsidR="00113AD9" w:rsidRPr="0050379F">
        <w:rPr>
          <w:lang w:val="en-CA"/>
        </w:rPr>
        <w:t xml:space="preserve">and </w:t>
      </w:r>
      <w:r w:rsidR="00BF334E">
        <w:rPr>
          <w:lang w:val="en-CA"/>
        </w:rPr>
        <w:t xml:space="preserve">what </w:t>
      </w:r>
      <w:r w:rsidR="009F273F" w:rsidRPr="0050379F">
        <w:rPr>
          <w:lang w:val="en-CA"/>
        </w:rPr>
        <w:t xml:space="preserve">Wagner </w:t>
      </w:r>
      <w:r w:rsidR="00742832">
        <w:rPr>
          <w:lang w:val="en-CA"/>
        </w:rPr>
        <w:t xml:space="preserve">C.J. </w:t>
      </w:r>
      <w:r w:rsidR="00113AD9" w:rsidRPr="0050379F">
        <w:rPr>
          <w:lang w:val="en-CA"/>
        </w:rPr>
        <w:t>wrote in</w:t>
      </w:r>
      <w:r w:rsidR="009F273F" w:rsidRPr="0050379F">
        <w:rPr>
          <w:lang w:val="en-CA"/>
        </w:rPr>
        <w:t xml:space="preserve"> </w:t>
      </w:r>
      <w:r w:rsidR="009F273F" w:rsidRPr="0050379F">
        <w:rPr>
          <w:i/>
          <w:lang w:val="en-CA"/>
        </w:rPr>
        <w:t xml:space="preserve">Denis </w:t>
      </w:r>
      <w:r w:rsidR="00113AD9" w:rsidRPr="00D7001B">
        <w:rPr>
          <w:i/>
          <w:iCs/>
          <w:lang w:val="en-CA"/>
        </w:rPr>
        <w:t>v</w:t>
      </w:r>
      <w:r w:rsidR="009F273F" w:rsidRPr="0050379F">
        <w:rPr>
          <w:lang w:val="en-CA"/>
        </w:rPr>
        <w:t>.</w:t>
      </w:r>
      <w:r w:rsidR="009F273F" w:rsidRPr="0050379F">
        <w:rPr>
          <w:i/>
          <w:lang w:val="en-CA"/>
        </w:rPr>
        <w:t xml:space="preserve"> Côté</w:t>
      </w:r>
      <w:r w:rsidR="00742832">
        <w:rPr>
          <w:iCs/>
          <w:lang w:val="en-CA"/>
        </w:rPr>
        <w:t>,</w:t>
      </w:r>
      <w:r w:rsidR="009F273F" w:rsidRPr="0050379F">
        <w:rPr>
          <w:rStyle w:val="Appelnotedebasdep"/>
          <w:lang w:val="en-CA"/>
        </w:rPr>
        <w:footnoteReference w:id="14"/>
      </w:r>
      <w:r w:rsidR="009F273F" w:rsidRPr="0050379F">
        <w:rPr>
          <w:lang w:val="en-CA"/>
        </w:rPr>
        <w:t xml:space="preserve"> </w:t>
      </w:r>
      <w:r w:rsidR="00113AD9" w:rsidRPr="0050379F">
        <w:rPr>
          <w:lang w:val="en-CA"/>
        </w:rPr>
        <w:t xml:space="preserve">the Court </w:t>
      </w:r>
      <w:r w:rsidR="00742832">
        <w:rPr>
          <w:lang w:val="en-CA"/>
        </w:rPr>
        <w:t>finds</w:t>
      </w:r>
      <w:r w:rsidR="00742832" w:rsidRPr="0050379F">
        <w:rPr>
          <w:lang w:val="en-CA"/>
        </w:rPr>
        <w:t xml:space="preserve"> </w:t>
      </w:r>
      <w:r w:rsidR="00113AD9" w:rsidRPr="0050379F">
        <w:rPr>
          <w:lang w:val="en-CA"/>
        </w:rPr>
        <w:t xml:space="preserve">that the conduct </w:t>
      </w:r>
      <w:r w:rsidR="00742832">
        <w:rPr>
          <w:lang w:val="en-CA"/>
        </w:rPr>
        <w:t xml:space="preserve">in this case </w:t>
      </w:r>
      <w:r w:rsidR="00113AD9" w:rsidRPr="0050379F">
        <w:rPr>
          <w:lang w:val="en-CA"/>
        </w:rPr>
        <w:t>of Groupe TVA Inc., which did not fully respect the confidentiality agreement made by its journalist</w:t>
      </w:r>
      <w:r w:rsidR="000A5494">
        <w:rPr>
          <w:lang w:val="en-CA"/>
        </w:rPr>
        <w:t xml:space="preserve"> and </w:t>
      </w:r>
      <w:r w:rsidR="00113AD9" w:rsidRPr="0050379F">
        <w:rPr>
          <w:lang w:val="en-CA"/>
        </w:rPr>
        <w:t xml:space="preserve">deliberately chose to identify A and B as the source of some of the information </w:t>
      </w:r>
      <w:r w:rsidR="00986716">
        <w:rPr>
          <w:lang w:val="en-CA"/>
        </w:rPr>
        <w:t>broadcast</w:t>
      </w:r>
      <w:r w:rsidR="00113AD9" w:rsidRPr="0050379F">
        <w:rPr>
          <w:lang w:val="en-CA"/>
        </w:rPr>
        <w:t xml:space="preserve">, tilts the balance in favour of disclosure of the </w:t>
      </w:r>
      <w:r w:rsidR="000A5494">
        <w:rPr>
          <w:lang w:val="en-CA"/>
        </w:rPr>
        <w:t xml:space="preserve">content </w:t>
      </w:r>
      <w:r w:rsidR="00113AD9" w:rsidRPr="0050379F">
        <w:rPr>
          <w:lang w:val="en-CA"/>
        </w:rPr>
        <w:t xml:space="preserve">sought, </w:t>
      </w:r>
      <w:r w:rsidR="000A5494">
        <w:rPr>
          <w:lang w:val="en-CA"/>
        </w:rPr>
        <w:t xml:space="preserve">since </w:t>
      </w:r>
      <w:r w:rsidR="00113AD9" w:rsidRPr="0050379F">
        <w:rPr>
          <w:lang w:val="en-CA"/>
        </w:rPr>
        <w:t xml:space="preserve">anonymity is </w:t>
      </w:r>
      <w:r w:rsidR="000A5494">
        <w:rPr>
          <w:lang w:val="en-CA"/>
        </w:rPr>
        <w:t xml:space="preserve">obviously </w:t>
      </w:r>
      <w:r w:rsidR="00113AD9" w:rsidRPr="0050379F">
        <w:rPr>
          <w:lang w:val="en-CA"/>
        </w:rPr>
        <w:t>not “essential to the relationship between the journalist and the source”</w:t>
      </w:r>
      <w:r w:rsidR="00B732E7">
        <w:rPr>
          <w:lang w:val="en-CA"/>
        </w:rPr>
        <w:t>.</w:t>
      </w:r>
      <w:r w:rsidR="00113AD9" w:rsidRPr="0050379F">
        <w:rPr>
          <w:lang w:val="en-CA"/>
        </w:rPr>
        <w:t xml:space="preserve"> </w:t>
      </w:r>
      <w:r w:rsidR="00652B2A" w:rsidRPr="0050379F">
        <w:rPr>
          <w:lang w:val="en-CA"/>
        </w:rPr>
        <w:t xml:space="preserve">In addition, this type of relationship between a journalist and his sources, in which one of the protagonists unilaterally </w:t>
      </w:r>
      <w:r w:rsidR="00D7001B">
        <w:rPr>
          <w:lang w:val="en-CA"/>
        </w:rPr>
        <w:t>terminates</w:t>
      </w:r>
      <w:r w:rsidR="00652B2A" w:rsidRPr="0050379F">
        <w:rPr>
          <w:lang w:val="en-CA"/>
        </w:rPr>
        <w:t xml:space="preserve"> confidentiality, is not one</w:t>
      </w:r>
      <w:r w:rsidR="00B732E7">
        <w:rPr>
          <w:lang w:val="en-CA"/>
        </w:rPr>
        <w:t xml:space="preserve"> that should</w:t>
      </w:r>
      <w:r w:rsidR="00652B2A" w:rsidRPr="0050379F">
        <w:rPr>
          <w:lang w:val="en-CA"/>
        </w:rPr>
        <w:t xml:space="preserve"> in the public interest, be “</w:t>
      </w:r>
      <w:r w:rsidR="00652B2A" w:rsidRPr="0050379F">
        <w:rPr>
          <w:color w:val="000000"/>
          <w:szCs w:val="24"/>
          <w:lang w:val="en-CA"/>
        </w:rPr>
        <w:t xml:space="preserve">sedulously </w:t>
      </w:r>
      <w:r w:rsidR="00652B2A" w:rsidRPr="0050379F">
        <w:rPr>
          <w:lang w:val="en-CA"/>
        </w:rPr>
        <w:t>fostered”</w:t>
      </w:r>
      <w:r w:rsidR="00B732E7">
        <w:rPr>
          <w:lang w:val="en-CA"/>
        </w:rPr>
        <w:t>.</w:t>
      </w:r>
      <w:r w:rsidR="00652B2A" w:rsidRPr="0050379F">
        <w:rPr>
          <w:lang w:val="en-CA"/>
        </w:rPr>
        <w:t xml:space="preserve"> </w:t>
      </w:r>
      <w:r w:rsidR="009F273F" w:rsidRPr="0050379F">
        <w:rPr>
          <w:lang w:val="en-CA"/>
        </w:rPr>
        <w:t xml:space="preserve"> </w:t>
      </w:r>
    </w:p>
    <w:p w14:paraId="09DB4704" w14:textId="59C02BEB" w:rsidR="009F273F" w:rsidRPr="0050379F" w:rsidRDefault="00652B2A" w:rsidP="009F273F">
      <w:pPr>
        <w:pStyle w:val="Paragraphe"/>
        <w:numPr>
          <w:ilvl w:val="0"/>
          <w:numId w:val="0"/>
        </w:numPr>
        <w:spacing w:before="100" w:after="100" w:line="240" w:lineRule="auto"/>
        <w:rPr>
          <w:b/>
          <w:lang w:val="en-CA"/>
        </w:rPr>
      </w:pPr>
      <w:r w:rsidRPr="0050379F">
        <w:rPr>
          <w:b/>
          <w:lang w:val="en-CA"/>
        </w:rPr>
        <w:t xml:space="preserve">The fourth </w:t>
      </w:r>
      <w:r w:rsidR="00257A2F">
        <w:rPr>
          <w:b/>
          <w:lang w:val="en-CA"/>
        </w:rPr>
        <w:t>criteri</w:t>
      </w:r>
      <w:r w:rsidR="00B732E7">
        <w:rPr>
          <w:b/>
          <w:lang w:val="en-CA"/>
        </w:rPr>
        <w:t>on</w:t>
      </w:r>
      <w:r w:rsidR="00257A2F" w:rsidRPr="0050379F">
        <w:rPr>
          <w:b/>
          <w:lang w:val="en-CA"/>
        </w:rPr>
        <w:t xml:space="preserve"> </w:t>
      </w:r>
      <w:r w:rsidRPr="0050379F">
        <w:rPr>
          <w:b/>
          <w:lang w:val="en-CA"/>
        </w:rPr>
        <w:t xml:space="preserve">of the </w:t>
      </w:r>
      <w:r w:rsidRPr="0050379F">
        <w:rPr>
          <w:b/>
          <w:i/>
          <w:lang w:val="en-CA"/>
        </w:rPr>
        <w:t>Wigmore</w:t>
      </w:r>
      <w:r w:rsidRPr="0050379F">
        <w:rPr>
          <w:b/>
          <w:lang w:val="en-CA"/>
        </w:rPr>
        <w:t xml:space="preserve"> test</w:t>
      </w:r>
      <w:r w:rsidR="00144F28">
        <w:rPr>
          <w:b/>
          <w:lang w:val="en-CA"/>
        </w:rPr>
        <w:t>,</w:t>
      </w:r>
      <w:r w:rsidRPr="0050379F">
        <w:rPr>
          <w:b/>
          <w:lang w:val="en-CA"/>
        </w:rPr>
        <w:t xml:space="preserve"> or</w:t>
      </w:r>
      <w:r w:rsidR="009F273F" w:rsidRPr="0050379F">
        <w:rPr>
          <w:b/>
          <w:lang w:val="en-CA"/>
        </w:rPr>
        <w:t xml:space="preserve"> </w:t>
      </w:r>
      <w:r w:rsidRPr="0050379F">
        <w:rPr>
          <w:b/>
          <w:lang w:val="en-CA"/>
        </w:rPr>
        <w:t>the public interest in the investigation and prosecution of a criminal offence versus the journalist’s right to privacy in gathering and disseminating information</w:t>
      </w:r>
    </w:p>
    <w:p w14:paraId="3C401947" w14:textId="31630E0C" w:rsidR="009F273F" w:rsidRPr="0050379F" w:rsidRDefault="00652B2A" w:rsidP="009F273F">
      <w:pPr>
        <w:pStyle w:val="Paragraphe"/>
        <w:tabs>
          <w:tab w:val="clear" w:pos="360"/>
          <w:tab w:val="num" w:pos="709"/>
        </w:tabs>
        <w:spacing w:before="100" w:after="100" w:line="240" w:lineRule="auto"/>
        <w:rPr>
          <w:b/>
          <w:lang w:val="en-CA"/>
        </w:rPr>
      </w:pPr>
      <w:r w:rsidRPr="0050379F">
        <w:rPr>
          <w:lang w:val="en-CA"/>
        </w:rPr>
        <w:t xml:space="preserve">It is useful </w:t>
      </w:r>
      <w:r w:rsidR="00FF51EC">
        <w:rPr>
          <w:lang w:val="en-CA"/>
        </w:rPr>
        <w:t>at this point</w:t>
      </w:r>
      <w:r w:rsidRPr="0050379F">
        <w:rPr>
          <w:lang w:val="en-CA"/>
        </w:rPr>
        <w:t xml:space="preserve"> to </w:t>
      </w:r>
      <w:r w:rsidR="00FF51EC">
        <w:rPr>
          <w:lang w:val="en-CA"/>
        </w:rPr>
        <w:t>consider</w:t>
      </w:r>
      <w:r w:rsidRPr="0050379F">
        <w:rPr>
          <w:lang w:val="en-CA"/>
        </w:rPr>
        <w:t xml:space="preserve"> the list of circumstances </w:t>
      </w:r>
      <w:r w:rsidR="00144F28">
        <w:rPr>
          <w:lang w:val="en-CA"/>
        </w:rPr>
        <w:t xml:space="preserve">that </w:t>
      </w:r>
      <w:r w:rsidRPr="0050379F">
        <w:rPr>
          <w:lang w:val="en-CA"/>
        </w:rPr>
        <w:t xml:space="preserve">Moldaver </w:t>
      </w:r>
      <w:r w:rsidR="00144F28">
        <w:rPr>
          <w:lang w:val="en-CA"/>
        </w:rPr>
        <w:t xml:space="preserve">J. </w:t>
      </w:r>
      <w:r w:rsidRPr="0050379F">
        <w:rPr>
          <w:lang w:val="en-CA"/>
        </w:rPr>
        <w:t xml:space="preserve">in </w:t>
      </w:r>
      <w:r w:rsidR="009F273F" w:rsidRPr="0050379F">
        <w:rPr>
          <w:i/>
          <w:lang w:val="en-CA"/>
        </w:rPr>
        <w:t>Vice</w:t>
      </w:r>
      <w:r w:rsidR="00144F28">
        <w:rPr>
          <w:i/>
          <w:lang w:val="en-CA"/>
        </w:rPr>
        <w:t xml:space="preserve"> Media </w:t>
      </w:r>
      <w:r w:rsidR="00144F28">
        <w:rPr>
          <w:iCs/>
          <w:lang w:val="en-CA"/>
        </w:rPr>
        <w:t>proposes should be taken into consideration.</w:t>
      </w:r>
      <w:r w:rsidR="009F273F" w:rsidRPr="0050379F">
        <w:rPr>
          <w:rStyle w:val="Appelnotedebasdep"/>
          <w:lang w:val="en-CA"/>
        </w:rPr>
        <w:footnoteReference w:id="15"/>
      </w:r>
      <w:r w:rsidR="00144F28">
        <w:rPr>
          <w:i/>
          <w:lang w:val="en-CA"/>
        </w:rPr>
        <w:t xml:space="preserve"> </w:t>
      </w:r>
    </w:p>
    <w:p w14:paraId="021694CF" w14:textId="5CF67B8A" w:rsidR="009F273F" w:rsidRPr="0050379F" w:rsidRDefault="00652B2A" w:rsidP="009F273F">
      <w:pPr>
        <w:pStyle w:val="Paragraphe"/>
        <w:numPr>
          <w:ilvl w:val="0"/>
          <w:numId w:val="0"/>
        </w:numPr>
        <w:spacing w:before="100" w:after="100" w:line="240" w:lineRule="auto"/>
        <w:rPr>
          <w:b/>
          <w:lang w:val="en-CA"/>
        </w:rPr>
      </w:pPr>
      <w:r w:rsidRPr="0050379F">
        <w:rPr>
          <w:b/>
          <w:color w:val="000000"/>
          <w:lang w:val="en-CA"/>
        </w:rPr>
        <w:t>The likelihood and extent of any potential chilling effects</w:t>
      </w:r>
    </w:p>
    <w:p w14:paraId="37577EC6" w14:textId="494C081C" w:rsidR="009F273F" w:rsidRPr="0050379F" w:rsidRDefault="009F273F" w:rsidP="009F273F">
      <w:pPr>
        <w:pStyle w:val="Paragraphe"/>
        <w:spacing w:before="100" w:after="100" w:line="240" w:lineRule="auto"/>
        <w:rPr>
          <w:b/>
          <w:lang w:val="en-CA"/>
        </w:rPr>
      </w:pPr>
      <w:r w:rsidRPr="0050379F">
        <w:rPr>
          <w:lang w:val="en-CA"/>
        </w:rPr>
        <w:t xml:space="preserve">Moldaver </w:t>
      </w:r>
      <w:r w:rsidR="00144F28">
        <w:rPr>
          <w:lang w:val="en-CA"/>
        </w:rPr>
        <w:t xml:space="preserve">J. </w:t>
      </w:r>
      <w:r w:rsidR="007036D0" w:rsidRPr="0050379F">
        <w:rPr>
          <w:lang w:val="en-CA"/>
        </w:rPr>
        <w:t>described chilling effects as “</w:t>
      </w:r>
      <w:r w:rsidR="007036D0" w:rsidRPr="0050379F">
        <w:rPr>
          <w:color w:val="000000"/>
          <w:lang w:val="en-CA"/>
        </w:rPr>
        <w:t>the stifling or discouragement of the media’s legitimate activities in gathering and disseminating the news for fear of legal repercussions such as compelled disclosure”</w:t>
      </w:r>
      <w:r w:rsidR="00144F28">
        <w:rPr>
          <w:color w:val="000000"/>
          <w:lang w:val="en-CA"/>
        </w:rPr>
        <w:t>.</w:t>
      </w:r>
      <w:r w:rsidRPr="0050379F">
        <w:rPr>
          <w:rStyle w:val="Appelnotedebasdep"/>
          <w:lang w:val="en-CA"/>
        </w:rPr>
        <w:footnoteReference w:id="16"/>
      </w:r>
    </w:p>
    <w:p w14:paraId="32A746E7" w14:textId="15214B5C" w:rsidR="009F273F" w:rsidRPr="0050379F" w:rsidRDefault="00F7790E" w:rsidP="009F273F">
      <w:pPr>
        <w:pStyle w:val="Paragraphe"/>
        <w:spacing w:line="240" w:lineRule="auto"/>
        <w:rPr>
          <w:b/>
          <w:lang w:val="en-CA"/>
        </w:rPr>
      </w:pPr>
      <w:r w:rsidRPr="0050379F">
        <w:rPr>
          <w:lang w:val="en-CA"/>
        </w:rPr>
        <w:t xml:space="preserve">If this case has </w:t>
      </w:r>
      <w:r w:rsidR="00144F28">
        <w:rPr>
          <w:lang w:val="en-CA"/>
        </w:rPr>
        <w:t xml:space="preserve">had </w:t>
      </w:r>
      <w:r w:rsidRPr="0050379F">
        <w:rPr>
          <w:lang w:val="en-CA"/>
        </w:rPr>
        <w:t xml:space="preserve">chilling effects </w:t>
      </w:r>
      <w:r w:rsidR="00144F28">
        <w:rPr>
          <w:lang w:val="en-CA"/>
        </w:rPr>
        <w:t>so far</w:t>
      </w:r>
      <w:r w:rsidRPr="0050379F">
        <w:rPr>
          <w:lang w:val="en-CA"/>
        </w:rPr>
        <w:t xml:space="preserve">, they </w:t>
      </w:r>
      <w:r w:rsidR="00144F28">
        <w:rPr>
          <w:lang w:val="en-CA"/>
        </w:rPr>
        <w:t xml:space="preserve">have been </w:t>
      </w:r>
      <w:r w:rsidRPr="0050379F">
        <w:rPr>
          <w:lang w:val="en-CA"/>
        </w:rPr>
        <w:t xml:space="preserve">caused </w:t>
      </w:r>
      <w:r w:rsidR="00FF51EC">
        <w:rPr>
          <w:lang w:val="en-CA"/>
        </w:rPr>
        <w:t xml:space="preserve">entirely </w:t>
      </w:r>
      <w:r w:rsidRPr="0050379F">
        <w:rPr>
          <w:lang w:val="en-CA"/>
        </w:rPr>
        <w:t xml:space="preserve">by Groupe TVA Inc., which did not fully respect the undertakings made by its journalist. The Court can very well understand that potential journalistic sources may be hesitant to </w:t>
      </w:r>
      <w:r w:rsidR="009856B4">
        <w:rPr>
          <w:lang w:val="en-CA"/>
        </w:rPr>
        <w:t xml:space="preserve">provide </w:t>
      </w:r>
      <w:r w:rsidRPr="0050379F">
        <w:rPr>
          <w:lang w:val="en-CA"/>
        </w:rPr>
        <w:t>information, knowing that the press does not respect its confidentiality undertakings and</w:t>
      </w:r>
      <w:r w:rsidR="009856B4">
        <w:rPr>
          <w:lang w:val="en-CA"/>
        </w:rPr>
        <w:t xml:space="preserve"> that </w:t>
      </w:r>
      <w:r w:rsidRPr="0050379F">
        <w:rPr>
          <w:lang w:val="en-CA"/>
        </w:rPr>
        <w:t xml:space="preserve">police authorities and the persons </w:t>
      </w:r>
      <w:r w:rsidR="009856B4">
        <w:rPr>
          <w:lang w:val="en-CA"/>
        </w:rPr>
        <w:t xml:space="preserve">they </w:t>
      </w:r>
      <w:r w:rsidRPr="0050379F">
        <w:rPr>
          <w:lang w:val="en-CA"/>
        </w:rPr>
        <w:t xml:space="preserve">denounce are </w:t>
      </w:r>
      <w:r w:rsidR="009856B4">
        <w:rPr>
          <w:lang w:val="en-CA"/>
        </w:rPr>
        <w:t xml:space="preserve">therefore </w:t>
      </w:r>
      <w:r w:rsidRPr="0050379F">
        <w:rPr>
          <w:lang w:val="en-CA"/>
        </w:rPr>
        <w:t xml:space="preserve">fully able to identify them as the source of this information. </w:t>
      </w:r>
    </w:p>
    <w:p w14:paraId="5657D5A5" w14:textId="1D648EB4" w:rsidR="009F273F" w:rsidRPr="0050379F" w:rsidRDefault="00F7790E" w:rsidP="009F273F">
      <w:pPr>
        <w:pStyle w:val="Paragraphe"/>
        <w:spacing w:line="240" w:lineRule="auto"/>
        <w:rPr>
          <w:b/>
          <w:lang w:val="en-CA"/>
        </w:rPr>
      </w:pPr>
      <w:r w:rsidRPr="0050379F">
        <w:rPr>
          <w:lang w:val="en-CA"/>
        </w:rPr>
        <w:t xml:space="preserve">That said, considered </w:t>
      </w:r>
      <w:r w:rsidR="009856B4">
        <w:rPr>
          <w:lang w:val="en-CA"/>
        </w:rPr>
        <w:t>from</w:t>
      </w:r>
      <w:r w:rsidR="009856B4" w:rsidRPr="0050379F">
        <w:rPr>
          <w:lang w:val="en-CA"/>
        </w:rPr>
        <w:t xml:space="preserve"> </w:t>
      </w:r>
      <w:r w:rsidRPr="0050379F">
        <w:rPr>
          <w:lang w:val="en-CA"/>
        </w:rPr>
        <w:t xml:space="preserve">a general perspective, the Court </w:t>
      </w:r>
      <w:r w:rsidR="009856B4">
        <w:rPr>
          <w:lang w:val="en-CA"/>
        </w:rPr>
        <w:t>is of the view</w:t>
      </w:r>
      <w:r w:rsidR="009856B4" w:rsidRPr="0050379F">
        <w:rPr>
          <w:lang w:val="en-CA"/>
        </w:rPr>
        <w:t xml:space="preserve"> </w:t>
      </w:r>
      <w:r w:rsidRPr="0050379F">
        <w:rPr>
          <w:lang w:val="en-CA"/>
        </w:rPr>
        <w:t xml:space="preserve">that ordering disclosure to the </w:t>
      </w:r>
      <w:r w:rsidR="00213D70" w:rsidRPr="00213D70">
        <w:rPr>
          <w:lang w:val="en-CA"/>
        </w:rPr>
        <w:t>Sûreté du Québec</w:t>
      </w:r>
      <w:r w:rsidR="008C6B85" w:rsidRPr="0050379F">
        <w:rPr>
          <w:lang w:val="en-CA"/>
        </w:rPr>
        <w:t xml:space="preserve"> of the complete recording of the interview with A and B, when they believed they were giving the journalist information</w:t>
      </w:r>
      <w:r w:rsidR="009856B4">
        <w:rPr>
          <w:lang w:val="en-CA"/>
        </w:rPr>
        <w:t xml:space="preserve"> in confidence</w:t>
      </w:r>
      <w:r w:rsidR="008C6B85" w:rsidRPr="0050379F">
        <w:rPr>
          <w:lang w:val="en-CA"/>
        </w:rPr>
        <w:t xml:space="preserve">, may </w:t>
      </w:r>
      <w:r w:rsidR="009856B4">
        <w:rPr>
          <w:lang w:val="en-CA"/>
        </w:rPr>
        <w:t>engender</w:t>
      </w:r>
      <w:r w:rsidR="009856B4" w:rsidRPr="0050379F">
        <w:rPr>
          <w:lang w:val="en-CA"/>
        </w:rPr>
        <w:t xml:space="preserve"> </w:t>
      </w:r>
      <w:r w:rsidR="008C6B85" w:rsidRPr="0050379F">
        <w:rPr>
          <w:lang w:val="en-CA"/>
        </w:rPr>
        <w:t>additional chilling effects.</w:t>
      </w:r>
      <w:r w:rsidR="009856B4">
        <w:rPr>
          <w:lang w:val="en-CA"/>
        </w:rPr>
        <w:t xml:space="preserve"> C</w:t>
      </w:r>
      <w:r w:rsidR="008C6B85" w:rsidRPr="0050379F">
        <w:rPr>
          <w:lang w:val="en-CA"/>
        </w:rPr>
        <w:t xml:space="preserve">onfidential sources </w:t>
      </w:r>
      <w:r w:rsidR="009856B4">
        <w:rPr>
          <w:lang w:val="en-CA"/>
        </w:rPr>
        <w:t xml:space="preserve">could </w:t>
      </w:r>
      <w:r w:rsidR="008C6B85" w:rsidRPr="0050379F">
        <w:rPr>
          <w:lang w:val="en-CA"/>
        </w:rPr>
        <w:t xml:space="preserve">“dry up” </w:t>
      </w:r>
      <w:r w:rsidR="009856B4">
        <w:rPr>
          <w:lang w:val="en-CA"/>
        </w:rPr>
        <w:t xml:space="preserve">for fear of </w:t>
      </w:r>
      <w:r w:rsidR="00461702">
        <w:rPr>
          <w:lang w:val="en-CA"/>
        </w:rPr>
        <w:t xml:space="preserve">not only </w:t>
      </w:r>
      <w:r w:rsidR="008C6B85" w:rsidRPr="0050379F">
        <w:rPr>
          <w:lang w:val="en-CA"/>
        </w:rPr>
        <w:t xml:space="preserve">being “betrayed” by the journalist who publicly identified them, but also because the journalist would </w:t>
      </w:r>
      <w:r w:rsidR="00863512">
        <w:rPr>
          <w:lang w:val="en-CA"/>
        </w:rPr>
        <w:t xml:space="preserve">in a way become </w:t>
      </w:r>
      <w:r w:rsidR="008C6B85" w:rsidRPr="0050379F">
        <w:rPr>
          <w:lang w:val="en-CA"/>
        </w:rPr>
        <w:t xml:space="preserve">an “arm of the </w:t>
      </w:r>
      <w:r w:rsidR="00863512">
        <w:rPr>
          <w:lang w:val="en-CA"/>
        </w:rPr>
        <w:t>s</w:t>
      </w:r>
      <w:r w:rsidR="008C6B85" w:rsidRPr="0050379F">
        <w:rPr>
          <w:lang w:val="en-CA"/>
        </w:rPr>
        <w:t>tate”</w:t>
      </w:r>
      <w:r w:rsidR="005C193D">
        <w:rPr>
          <w:lang w:val="en-CA"/>
        </w:rPr>
        <w:t>.</w:t>
      </w:r>
      <w:r w:rsidR="008C6B85" w:rsidRPr="0050379F">
        <w:rPr>
          <w:lang w:val="en-CA"/>
        </w:rPr>
        <w:t xml:space="preserve"> </w:t>
      </w:r>
    </w:p>
    <w:p w14:paraId="02AC10F5" w14:textId="754E5AD7" w:rsidR="009F273F" w:rsidRPr="0050379F" w:rsidRDefault="008C6B85" w:rsidP="009F273F">
      <w:pPr>
        <w:pStyle w:val="Paragraphe"/>
        <w:spacing w:line="240" w:lineRule="auto"/>
        <w:rPr>
          <w:b/>
          <w:lang w:val="en-CA"/>
        </w:rPr>
      </w:pPr>
      <w:r w:rsidRPr="0050379F">
        <w:rPr>
          <w:lang w:val="en-CA"/>
        </w:rPr>
        <w:lastRenderedPageBreak/>
        <w:t>The idea is not to approve or punish the conduct of Groupe TVA Inc</w:t>
      </w:r>
      <w:r w:rsidR="00863512">
        <w:rPr>
          <w:lang w:val="en-CA"/>
        </w:rPr>
        <w:t>.</w:t>
      </w:r>
      <w:r w:rsidRPr="0050379F">
        <w:rPr>
          <w:lang w:val="en-CA"/>
        </w:rPr>
        <w:t>, but rather not to hinder legitimate activities of media and journalists who</w:t>
      </w:r>
      <w:r w:rsidR="001046EA">
        <w:rPr>
          <w:lang w:val="en-CA"/>
        </w:rPr>
        <w:t xml:space="preserve">, because of their level </w:t>
      </w:r>
      <w:r w:rsidRPr="0050379F">
        <w:rPr>
          <w:lang w:val="en-CA"/>
        </w:rPr>
        <w:t>of professionalism</w:t>
      </w:r>
      <w:r w:rsidR="001046EA">
        <w:rPr>
          <w:lang w:val="en-CA"/>
        </w:rPr>
        <w:t xml:space="preserve">, </w:t>
      </w:r>
      <w:r w:rsidR="00863512">
        <w:rPr>
          <w:lang w:val="en-CA"/>
        </w:rPr>
        <w:t xml:space="preserve">genuinely </w:t>
      </w:r>
      <w:r w:rsidRPr="0050379F">
        <w:rPr>
          <w:lang w:val="en-CA"/>
        </w:rPr>
        <w:t>protect the identity of their sources</w:t>
      </w:r>
      <w:r w:rsidR="009F273F" w:rsidRPr="0050379F">
        <w:rPr>
          <w:lang w:val="en-CA"/>
        </w:rPr>
        <w:t>.</w:t>
      </w:r>
    </w:p>
    <w:p w14:paraId="1E133DB4" w14:textId="13CC9DFF" w:rsidR="009F273F" w:rsidRPr="0050379F" w:rsidRDefault="00270F28" w:rsidP="009F273F">
      <w:pPr>
        <w:pStyle w:val="Paragraphe"/>
        <w:numPr>
          <w:ilvl w:val="0"/>
          <w:numId w:val="0"/>
        </w:numPr>
        <w:spacing w:before="100" w:after="100" w:line="240" w:lineRule="auto"/>
        <w:rPr>
          <w:b/>
          <w:lang w:val="en-CA"/>
        </w:rPr>
      </w:pPr>
      <w:r w:rsidRPr="0050379F">
        <w:rPr>
          <w:b/>
          <w:lang w:val="en-CA"/>
        </w:rPr>
        <w:t>T</w:t>
      </w:r>
      <w:r w:rsidRPr="0050379F">
        <w:rPr>
          <w:b/>
          <w:color w:val="000000"/>
          <w:lang w:val="en-CA"/>
        </w:rPr>
        <w:t>he scope of the materials sought and whether the order sought is narrowly</w:t>
      </w:r>
      <w:r w:rsidR="001046EA">
        <w:rPr>
          <w:b/>
          <w:color w:val="000000"/>
          <w:lang w:val="en-CA"/>
        </w:rPr>
        <w:t xml:space="preserve"> tailored</w:t>
      </w:r>
      <w:r w:rsidRPr="0050379F">
        <w:rPr>
          <w:b/>
          <w:lang w:val="en-CA"/>
        </w:rPr>
        <w:t xml:space="preserve"> </w:t>
      </w:r>
    </w:p>
    <w:p w14:paraId="6332ECCC" w14:textId="0C6945C4" w:rsidR="009F273F" w:rsidRPr="0050379F" w:rsidRDefault="00270F28" w:rsidP="009F273F">
      <w:pPr>
        <w:pStyle w:val="Paragraphe"/>
        <w:spacing w:before="100" w:after="100" w:line="240" w:lineRule="auto"/>
        <w:rPr>
          <w:b/>
          <w:lang w:val="en-CA"/>
        </w:rPr>
      </w:pPr>
      <w:r w:rsidRPr="0050379F">
        <w:rPr>
          <w:lang w:val="en-CA"/>
        </w:rPr>
        <w:t xml:space="preserve">The scope of the materials sought is very limited. The </w:t>
      </w:r>
      <w:r w:rsidR="00213D70" w:rsidRPr="00213D70">
        <w:rPr>
          <w:lang w:val="en-CA"/>
        </w:rPr>
        <w:t>Sûreté du Québec</w:t>
      </w:r>
      <w:r w:rsidRPr="0050379F">
        <w:rPr>
          <w:lang w:val="en-CA"/>
        </w:rPr>
        <w:t xml:space="preserve"> </w:t>
      </w:r>
      <w:r w:rsidR="001046EA">
        <w:rPr>
          <w:lang w:val="en-CA"/>
        </w:rPr>
        <w:t xml:space="preserve">want only </w:t>
      </w:r>
      <w:r w:rsidRPr="0050379F">
        <w:rPr>
          <w:lang w:val="en-CA"/>
        </w:rPr>
        <w:t>the complete recordings of the</w:t>
      </w:r>
      <w:r w:rsidR="009F273F" w:rsidRPr="0050379F">
        <w:rPr>
          <w:lang w:val="en-CA"/>
        </w:rPr>
        <w:t xml:space="preserve"> </w:t>
      </w:r>
      <w:r w:rsidR="00863512">
        <w:rPr>
          <w:lang w:val="en-CA"/>
        </w:rPr>
        <w:t xml:space="preserve">journalist’s </w:t>
      </w:r>
      <w:r w:rsidRPr="0050379F">
        <w:rPr>
          <w:lang w:val="en-CA"/>
        </w:rPr>
        <w:t xml:space="preserve">interviews </w:t>
      </w:r>
      <w:r w:rsidR="00863512">
        <w:rPr>
          <w:lang w:val="en-CA"/>
        </w:rPr>
        <w:t xml:space="preserve">of </w:t>
      </w:r>
      <w:r w:rsidRPr="0050379F">
        <w:rPr>
          <w:lang w:val="en-CA"/>
        </w:rPr>
        <w:t xml:space="preserve">the individuals concerned, part of which </w:t>
      </w:r>
      <w:r w:rsidR="00863512">
        <w:rPr>
          <w:lang w:val="en-CA"/>
        </w:rPr>
        <w:t xml:space="preserve">has been </w:t>
      </w:r>
      <w:r w:rsidR="00986716">
        <w:rPr>
          <w:lang w:val="en-CA"/>
        </w:rPr>
        <w:t>broadcast</w:t>
      </w:r>
      <w:r w:rsidR="00671B4F" w:rsidRPr="0050379F">
        <w:rPr>
          <w:lang w:val="en-CA"/>
        </w:rPr>
        <w:t>.</w:t>
      </w:r>
    </w:p>
    <w:p w14:paraId="33B326C0" w14:textId="18C8CDBB" w:rsidR="009F273F" w:rsidRPr="0050379F" w:rsidRDefault="00671B4F" w:rsidP="009F273F">
      <w:pPr>
        <w:pStyle w:val="Paragraphe"/>
        <w:spacing w:before="100" w:after="100" w:line="240" w:lineRule="auto"/>
        <w:rPr>
          <w:b/>
          <w:lang w:val="en-CA"/>
        </w:rPr>
      </w:pPr>
      <w:r w:rsidRPr="0050379F">
        <w:rPr>
          <w:lang w:val="en-CA"/>
        </w:rPr>
        <w:t xml:space="preserve">It </w:t>
      </w:r>
      <w:r w:rsidR="001046EA">
        <w:rPr>
          <w:lang w:val="en-CA"/>
        </w:rPr>
        <w:t xml:space="preserve">does not seek </w:t>
      </w:r>
      <w:r w:rsidRPr="0050379F">
        <w:rPr>
          <w:lang w:val="en-CA"/>
        </w:rPr>
        <w:t xml:space="preserve">the journalists’ notes or </w:t>
      </w:r>
      <w:r w:rsidR="001046EA">
        <w:rPr>
          <w:lang w:val="en-CA"/>
        </w:rPr>
        <w:t xml:space="preserve">any </w:t>
      </w:r>
      <w:r w:rsidRPr="0050379F">
        <w:rPr>
          <w:lang w:val="en-CA"/>
        </w:rPr>
        <w:t xml:space="preserve">other information </w:t>
      </w:r>
      <w:r w:rsidR="00863512">
        <w:rPr>
          <w:lang w:val="en-CA"/>
        </w:rPr>
        <w:t xml:space="preserve">they </w:t>
      </w:r>
      <w:r w:rsidRPr="0050379F">
        <w:rPr>
          <w:lang w:val="en-CA"/>
        </w:rPr>
        <w:t>obtained in their information</w:t>
      </w:r>
      <w:r w:rsidR="00863512">
        <w:rPr>
          <w:lang w:val="en-CA"/>
        </w:rPr>
        <w:t>-</w:t>
      </w:r>
      <w:r w:rsidRPr="0050379F">
        <w:rPr>
          <w:lang w:val="en-CA"/>
        </w:rPr>
        <w:t xml:space="preserve">gathering efforts. </w:t>
      </w:r>
      <w:r w:rsidR="001046EA">
        <w:rPr>
          <w:lang w:val="en-CA"/>
        </w:rPr>
        <w:t xml:space="preserve">It does not seek to know what </w:t>
      </w:r>
      <w:r w:rsidRPr="0050379F">
        <w:rPr>
          <w:lang w:val="en-CA"/>
        </w:rPr>
        <w:t>steps they took either before or after the interviews</w:t>
      </w:r>
      <w:r w:rsidR="009F273F" w:rsidRPr="0050379F">
        <w:rPr>
          <w:lang w:val="en-CA"/>
        </w:rPr>
        <w:t>.</w:t>
      </w:r>
    </w:p>
    <w:p w14:paraId="7AE26904" w14:textId="7A2E55DC" w:rsidR="009F273F" w:rsidRPr="0050379F" w:rsidRDefault="00671B4F" w:rsidP="009F273F">
      <w:pPr>
        <w:pStyle w:val="Paragraphe"/>
        <w:spacing w:before="100" w:after="100" w:line="240" w:lineRule="auto"/>
        <w:rPr>
          <w:b/>
          <w:lang w:val="en-CA"/>
        </w:rPr>
      </w:pPr>
      <w:r w:rsidRPr="0050379F">
        <w:rPr>
          <w:lang w:val="en-CA"/>
        </w:rPr>
        <w:t xml:space="preserve">This circumstance favours the disclosure of the facts to the </w:t>
      </w:r>
      <w:r w:rsidR="00213D70" w:rsidRPr="00213D70">
        <w:rPr>
          <w:lang w:val="en-CA"/>
        </w:rPr>
        <w:t>Sûreté du Québec</w:t>
      </w:r>
      <w:r w:rsidR="009F273F" w:rsidRPr="0050379F">
        <w:rPr>
          <w:lang w:val="en-CA"/>
        </w:rPr>
        <w:t>.</w:t>
      </w:r>
    </w:p>
    <w:p w14:paraId="5AE3B36A" w14:textId="0E87CA60" w:rsidR="009F273F" w:rsidRPr="0050379F" w:rsidRDefault="008F0B51" w:rsidP="009F273F">
      <w:pPr>
        <w:pStyle w:val="Paragraphe"/>
        <w:numPr>
          <w:ilvl w:val="0"/>
          <w:numId w:val="0"/>
        </w:numPr>
        <w:spacing w:before="100" w:after="100" w:line="240" w:lineRule="auto"/>
        <w:rPr>
          <w:b/>
          <w:lang w:val="en-CA"/>
        </w:rPr>
      </w:pPr>
      <w:r w:rsidRPr="0050379F">
        <w:rPr>
          <w:b/>
          <w:lang w:val="en-CA"/>
        </w:rPr>
        <w:t>T</w:t>
      </w:r>
      <w:r w:rsidR="00671B4F" w:rsidRPr="0050379F">
        <w:rPr>
          <w:b/>
          <w:lang w:val="en-CA"/>
        </w:rPr>
        <w:t>he likely probative value of the materials</w:t>
      </w:r>
      <w:r w:rsidR="009F273F" w:rsidRPr="0050379F">
        <w:rPr>
          <w:b/>
          <w:lang w:val="en-CA"/>
        </w:rPr>
        <w:t xml:space="preserve">, </w:t>
      </w:r>
      <w:r w:rsidR="00671B4F" w:rsidRPr="0050379F">
        <w:rPr>
          <w:b/>
          <w:lang w:val="en-CA"/>
        </w:rPr>
        <w:t>whether there are alternative sources from which the information may reasonably be obtained</w:t>
      </w:r>
      <w:r w:rsidR="00863512">
        <w:rPr>
          <w:b/>
          <w:lang w:val="en-CA"/>
        </w:rPr>
        <w:t>,</w:t>
      </w:r>
      <w:r w:rsidR="009F273F" w:rsidRPr="0050379F">
        <w:rPr>
          <w:b/>
          <w:lang w:val="en-CA"/>
        </w:rPr>
        <w:t xml:space="preserve"> </w:t>
      </w:r>
      <w:r w:rsidR="00671B4F" w:rsidRPr="0050379F">
        <w:rPr>
          <w:b/>
          <w:lang w:val="en-CA"/>
        </w:rPr>
        <w:t xml:space="preserve">and the effect of prior partial publication </w:t>
      </w:r>
    </w:p>
    <w:p w14:paraId="6C66D82D" w14:textId="2D907DD2" w:rsidR="009F273F" w:rsidRPr="0050379F" w:rsidRDefault="008F0B51" w:rsidP="009F273F">
      <w:pPr>
        <w:pStyle w:val="Paragraphe"/>
        <w:spacing w:before="100" w:after="100" w:line="240" w:lineRule="auto"/>
        <w:rPr>
          <w:b/>
          <w:lang w:val="en-CA"/>
        </w:rPr>
      </w:pPr>
      <w:r w:rsidRPr="0050379F">
        <w:rPr>
          <w:lang w:val="en-CA"/>
        </w:rPr>
        <w:t>The Court is aware of what Mo</w:t>
      </w:r>
      <w:r w:rsidR="00C37DF6">
        <w:rPr>
          <w:lang w:val="en-CA"/>
        </w:rPr>
        <w:t>l</w:t>
      </w:r>
      <w:r w:rsidRPr="0050379F">
        <w:rPr>
          <w:lang w:val="en-CA"/>
        </w:rPr>
        <w:t xml:space="preserve">daver </w:t>
      </w:r>
      <w:r w:rsidR="00FC7B96">
        <w:rPr>
          <w:lang w:val="en-CA"/>
        </w:rPr>
        <w:t xml:space="preserve">J. </w:t>
      </w:r>
      <w:r w:rsidRPr="0050379F">
        <w:rPr>
          <w:lang w:val="en-CA"/>
        </w:rPr>
        <w:t>wrote in</w:t>
      </w:r>
      <w:r w:rsidR="009F273F" w:rsidRPr="0050379F">
        <w:rPr>
          <w:lang w:val="en-CA"/>
        </w:rPr>
        <w:t xml:space="preserve"> </w:t>
      </w:r>
      <w:r w:rsidR="009F273F" w:rsidRPr="0050379F">
        <w:rPr>
          <w:i/>
          <w:lang w:val="en-CA"/>
        </w:rPr>
        <w:t>Vice</w:t>
      </w:r>
      <w:r w:rsidR="00FC7B96">
        <w:rPr>
          <w:i/>
          <w:lang w:val="en-CA"/>
        </w:rPr>
        <w:t xml:space="preserve"> Media</w:t>
      </w:r>
      <w:r w:rsidR="009F273F" w:rsidRPr="0050379F">
        <w:rPr>
          <w:rStyle w:val="Appelnotedebasdep"/>
          <w:lang w:val="en-CA"/>
        </w:rPr>
        <w:footnoteReference w:id="17"/>
      </w:r>
      <w:r w:rsidR="009F273F" w:rsidRPr="0050379F">
        <w:rPr>
          <w:lang w:val="en-CA"/>
        </w:rPr>
        <w:t xml:space="preserve"> </w:t>
      </w:r>
      <w:r w:rsidR="00C37DF6">
        <w:rPr>
          <w:lang w:val="en-CA"/>
        </w:rPr>
        <w:t xml:space="preserve">when </w:t>
      </w:r>
      <w:r w:rsidR="0086245B">
        <w:rPr>
          <w:lang w:val="en-CA"/>
        </w:rPr>
        <w:t xml:space="preserve">he noted </w:t>
      </w:r>
      <w:r w:rsidRPr="0050379F">
        <w:rPr>
          <w:lang w:val="en-CA"/>
        </w:rPr>
        <w:t>that</w:t>
      </w:r>
      <w:r w:rsidR="0086245B">
        <w:rPr>
          <w:lang w:val="en-CA"/>
        </w:rPr>
        <w:t xml:space="preserve"> it is perilous</w:t>
      </w:r>
      <w:r w:rsidRPr="0050379F">
        <w:rPr>
          <w:lang w:val="en-CA"/>
        </w:rPr>
        <w:t xml:space="preserve"> at the </w:t>
      </w:r>
      <w:r w:rsidR="00FC7B96">
        <w:rPr>
          <w:lang w:val="en-CA"/>
        </w:rPr>
        <w:t xml:space="preserve">stage </w:t>
      </w:r>
      <w:r w:rsidRPr="0050379F">
        <w:rPr>
          <w:lang w:val="en-CA"/>
        </w:rPr>
        <w:t xml:space="preserve">of </w:t>
      </w:r>
      <w:r w:rsidR="00FC7B96">
        <w:rPr>
          <w:lang w:val="en-CA"/>
        </w:rPr>
        <w:t xml:space="preserve">the </w:t>
      </w:r>
      <w:r w:rsidRPr="0050379F">
        <w:rPr>
          <w:lang w:val="en-CA"/>
        </w:rPr>
        <w:t>police investigation</w:t>
      </w:r>
      <w:r w:rsidR="0086245B">
        <w:rPr>
          <w:lang w:val="en-CA"/>
        </w:rPr>
        <w:t xml:space="preserve"> </w:t>
      </w:r>
      <w:r w:rsidRPr="0050379F">
        <w:rPr>
          <w:lang w:val="en-CA"/>
        </w:rPr>
        <w:t xml:space="preserve">to establish the probative value that information or evidence sought may have. </w:t>
      </w:r>
      <w:r w:rsidR="00FC7B96">
        <w:rPr>
          <w:lang w:val="en-CA"/>
        </w:rPr>
        <w:t>The p</w:t>
      </w:r>
      <w:r w:rsidR="000D525B" w:rsidRPr="0050379F">
        <w:rPr>
          <w:lang w:val="en-CA"/>
        </w:rPr>
        <w:t xml:space="preserve">ublic interest </w:t>
      </w:r>
      <w:r w:rsidR="00E30496" w:rsidRPr="0050379F">
        <w:rPr>
          <w:color w:val="000000"/>
          <w:lang w:val="en-CA"/>
        </w:rPr>
        <w:t>“requires prompt and thorough investigation of potential offences”</w:t>
      </w:r>
      <w:r w:rsidR="009F273F" w:rsidRPr="0050379F">
        <w:rPr>
          <w:lang w:val="en-CA"/>
        </w:rPr>
        <w:t xml:space="preserve"> </w:t>
      </w:r>
      <w:r w:rsidR="00E30496" w:rsidRPr="0050379F">
        <w:rPr>
          <w:color w:val="000000"/>
          <w:lang w:val="en-CA"/>
        </w:rPr>
        <w:t xml:space="preserve">and </w:t>
      </w:r>
      <w:r w:rsidR="00FE38AC">
        <w:rPr>
          <w:color w:val="000000"/>
          <w:lang w:val="en-CA"/>
        </w:rPr>
        <w:t xml:space="preserve">therefore </w:t>
      </w:r>
      <w:r w:rsidR="00E30496" w:rsidRPr="0050379F">
        <w:rPr>
          <w:color w:val="000000"/>
          <w:lang w:val="en-CA"/>
        </w:rPr>
        <w:t>“all relevant information and evidence should be located and preserved as soon as possible”</w:t>
      </w:r>
      <w:r w:rsidR="00FE38AC">
        <w:rPr>
          <w:color w:val="000000"/>
          <w:lang w:val="en-CA"/>
        </w:rPr>
        <w:t>,</w:t>
      </w:r>
      <w:r w:rsidR="00E30496" w:rsidRPr="0050379F">
        <w:rPr>
          <w:lang w:val="en-CA"/>
        </w:rPr>
        <w:t xml:space="preserve"> especially in cases </w:t>
      </w:r>
      <w:r w:rsidR="00FE38AC">
        <w:rPr>
          <w:lang w:val="en-CA"/>
        </w:rPr>
        <w:t xml:space="preserve">of </w:t>
      </w:r>
      <w:r w:rsidR="00E30496" w:rsidRPr="0050379F">
        <w:rPr>
          <w:lang w:val="en-CA"/>
        </w:rPr>
        <w:t xml:space="preserve">serious offences, such as </w:t>
      </w:r>
      <w:r w:rsidR="005C193D">
        <w:rPr>
          <w:lang w:val="en-CA"/>
        </w:rPr>
        <w:t>the case at bar</w:t>
      </w:r>
      <w:r w:rsidR="00E30496" w:rsidRPr="0050379F">
        <w:rPr>
          <w:lang w:val="en-CA"/>
        </w:rPr>
        <w:t xml:space="preserve">. </w:t>
      </w:r>
    </w:p>
    <w:p w14:paraId="40801B0D" w14:textId="23BCA975" w:rsidR="009F273F" w:rsidRPr="0050379F" w:rsidRDefault="00A91A30" w:rsidP="009F273F">
      <w:pPr>
        <w:pStyle w:val="Paragraphe"/>
        <w:spacing w:before="100" w:after="100" w:line="240" w:lineRule="auto"/>
        <w:rPr>
          <w:b/>
          <w:lang w:val="en-CA"/>
        </w:rPr>
      </w:pPr>
      <w:r w:rsidRPr="0050379F">
        <w:rPr>
          <w:lang w:val="en-CA"/>
        </w:rPr>
        <w:t>At the time the production order</w:t>
      </w:r>
      <w:r w:rsidR="00FE38AC">
        <w:rPr>
          <w:lang w:val="en-CA"/>
        </w:rPr>
        <w:t xml:space="preserve"> was issued</w:t>
      </w:r>
      <w:r w:rsidRPr="0050379F">
        <w:rPr>
          <w:lang w:val="en-CA"/>
        </w:rPr>
        <w:t xml:space="preserve">, neither the </w:t>
      </w:r>
      <w:r w:rsidR="00213D70" w:rsidRPr="00213D70">
        <w:rPr>
          <w:lang w:val="en-CA"/>
        </w:rPr>
        <w:t>Sûreté du Québec</w:t>
      </w:r>
      <w:r w:rsidR="009F273F" w:rsidRPr="0050379F">
        <w:rPr>
          <w:lang w:val="en-CA"/>
        </w:rPr>
        <w:t xml:space="preserve"> </w:t>
      </w:r>
      <w:r w:rsidRPr="0050379F">
        <w:rPr>
          <w:lang w:val="en-CA"/>
        </w:rPr>
        <w:t xml:space="preserve">nor the authorizing judge </w:t>
      </w:r>
      <w:r w:rsidR="00DB7FA0">
        <w:rPr>
          <w:lang w:val="en-CA"/>
        </w:rPr>
        <w:t>was</w:t>
      </w:r>
      <w:r w:rsidR="00FE38AC">
        <w:rPr>
          <w:lang w:val="en-CA"/>
        </w:rPr>
        <w:t xml:space="preserve"> aware of</w:t>
      </w:r>
      <w:r w:rsidR="00FE38AC" w:rsidRPr="0050379F">
        <w:rPr>
          <w:lang w:val="en-CA"/>
        </w:rPr>
        <w:t xml:space="preserve"> </w:t>
      </w:r>
      <w:r w:rsidRPr="0050379F">
        <w:rPr>
          <w:lang w:val="en-CA"/>
        </w:rPr>
        <w:t xml:space="preserve">the full content of the journalist’s interview with A and B. At </w:t>
      </w:r>
      <w:r w:rsidR="00FE38AC">
        <w:rPr>
          <w:lang w:val="en-CA"/>
        </w:rPr>
        <w:t>the</w:t>
      </w:r>
      <w:r w:rsidR="00FE38AC" w:rsidRPr="0050379F">
        <w:rPr>
          <w:lang w:val="en-CA"/>
        </w:rPr>
        <w:t xml:space="preserve"> </w:t>
      </w:r>
      <w:r w:rsidRPr="0050379F">
        <w:rPr>
          <w:lang w:val="en-CA"/>
        </w:rPr>
        <w:t xml:space="preserve">time, only the content of the </w:t>
      </w:r>
      <w:r w:rsidR="00986716">
        <w:rPr>
          <w:lang w:val="en-CA"/>
        </w:rPr>
        <w:t>broadcast</w:t>
      </w:r>
      <w:r w:rsidRPr="0050379F">
        <w:rPr>
          <w:lang w:val="en-CA"/>
        </w:rPr>
        <w:t xml:space="preserve"> program, in which portions of the interview were shown, was known</w:t>
      </w:r>
      <w:r w:rsidR="009F273F" w:rsidRPr="0050379F">
        <w:rPr>
          <w:lang w:val="en-CA"/>
        </w:rPr>
        <w:t>.</w:t>
      </w:r>
    </w:p>
    <w:p w14:paraId="0D9AA05C" w14:textId="4B6EC093" w:rsidR="009F273F" w:rsidRPr="0050379F" w:rsidRDefault="00A91A30" w:rsidP="009F273F">
      <w:pPr>
        <w:pStyle w:val="Paragraphe"/>
        <w:spacing w:before="100" w:after="100" w:line="240" w:lineRule="auto"/>
        <w:rPr>
          <w:b/>
          <w:lang w:val="en-CA"/>
        </w:rPr>
      </w:pPr>
      <w:r w:rsidRPr="0050379F">
        <w:rPr>
          <w:lang w:val="en-CA"/>
        </w:rPr>
        <w:t xml:space="preserve">As </w:t>
      </w:r>
      <w:r w:rsidR="00DB7FA0">
        <w:rPr>
          <w:lang w:val="en-CA"/>
        </w:rPr>
        <w:t>stated above</w:t>
      </w:r>
      <w:r w:rsidRPr="0050379F">
        <w:rPr>
          <w:lang w:val="en-CA"/>
        </w:rPr>
        <w:t xml:space="preserve">, </w:t>
      </w:r>
      <w:r w:rsidR="00DB7FA0">
        <w:rPr>
          <w:lang w:val="en-CA"/>
        </w:rPr>
        <w:t xml:space="preserve">the narrator of </w:t>
      </w:r>
      <w:r w:rsidRPr="0050379F">
        <w:rPr>
          <w:lang w:val="en-CA"/>
        </w:rPr>
        <w:t>the program suggest</w:t>
      </w:r>
      <w:r w:rsidR="00FE38AC">
        <w:rPr>
          <w:lang w:val="en-CA"/>
        </w:rPr>
        <w:t>s</w:t>
      </w:r>
      <w:r w:rsidRPr="0050379F">
        <w:rPr>
          <w:lang w:val="en-CA"/>
        </w:rPr>
        <w:t xml:space="preserve"> that A and B spoke with the journalist at length and </w:t>
      </w:r>
      <w:r w:rsidR="00FE38AC">
        <w:rPr>
          <w:lang w:val="en-CA"/>
        </w:rPr>
        <w:t>provided</w:t>
      </w:r>
      <w:r w:rsidR="00FE38AC" w:rsidRPr="0050379F">
        <w:rPr>
          <w:lang w:val="en-CA"/>
        </w:rPr>
        <w:t xml:space="preserve"> </w:t>
      </w:r>
      <w:r w:rsidRPr="0050379F">
        <w:rPr>
          <w:lang w:val="en-CA"/>
        </w:rPr>
        <w:t xml:space="preserve">considerable information, thereby establishing reasonable grounds to believe that the complete recording would supply relevant information about the commission of the offences </w:t>
      </w:r>
      <w:r w:rsidR="00FE38AC">
        <w:rPr>
          <w:lang w:val="en-CA"/>
        </w:rPr>
        <w:t>that</w:t>
      </w:r>
      <w:r w:rsidR="00FE38AC" w:rsidRPr="0050379F">
        <w:rPr>
          <w:lang w:val="en-CA"/>
        </w:rPr>
        <w:t xml:space="preserve"> </w:t>
      </w:r>
      <w:r w:rsidRPr="0050379F">
        <w:rPr>
          <w:lang w:val="en-CA"/>
        </w:rPr>
        <w:t>were the subject of the investigation.</w:t>
      </w:r>
    </w:p>
    <w:p w14:paraId="0006ACB6" w14:textId="254037C5" w:rsidR="009F273F" w:rsidRPr="0050379F" w:rsidRDefault="00634F12" w:rsidP="009F273F">
      <w:pPr>
        <w:pStyle w:val="Paragraphe"/>
        <w:spacing w:before="100" w:after="100" w:line="240" w:lineRule="auto"/>
        <w:rPr>
          <w:b/>
          <w:lang w:val="en-CA"/>
        </w:rPr>
      </w:pPr>
      <w:r w:rsidRPr="0050379F">
        <w:rPr>
          <w:lang w:val="en-CA"/>
        </w:rPr>
        <w:t xml:space="preserve">However, the </w:t>
      </w:r>
      <w:r w:rsidR="00FE38AC">
        <w:rPr>
          <w:lang w:val="en-CA"/>
        </w:rPr>
        <w:t xml:space="preserve">Court’s </w:t>
      </w:r>
      <w:r w:rsidRPr="0050379F">
        <w:rPr>
          <w:lang w:val="en-CA"/>
        </w:rPr>
        <w:t xml:space="preserve">viewing of the complete recording </w:t>
      </w:r>
      <w:r w:rsidR="00FE38AC">
        <w:rPr>
          <w:lang w:val="en-CA"/>
        </w:rPr>
        <w:t xml:space="preserve">suggests instead </w:t>
      </w:r>
      <w:r w:rsidRPr="0050379F">
        <w:rPr>
          <w:lang w:val="en-CA"/>
        </w:rPr>
        <w:t>that the narrator</w:t>
      </w:r>
      <w:r w:rsidR="00FE38AC">
        <w:rPr>
          <w:lang w:val="en-CA"/>
        </w:rPr>
        <w:t>’s comments,</w:t>
      </w:r>
      <w:r w:rsidR="00FE38AC" w:rsidRPr="0050379F" w:rsidDel="00FE38AC">
        <w:rPr>
          <w:lang w:val="en-CA"/>
        </w:rPr>
        <w:t xml:space="preserve"> </w:t>
      </w:r>
      <w:r w:rsidRPr="0050379F">
        <w:rPr>
          <w:lang w:val="en-CA"/>
        </w:rPr>
        <w:t xml:space="preserve">which </w:t>
      </w:r>
      <w:r w:rsidR="00FE38AC">
        <w:rPr>
          <w:lang w:val="en-CA"/>
        </w:rPr>
        <w:t xml:space="preserve">were </w:t>
      </w:r>
      <w:r w:rsidRPr="0050379F">
        <w:rPr>
          <w:lang w:val="en-CA"/>
        </w:rPr>
        <w:t xml:space="preserve">somewhat sensationalistic, </w:t>
      </w:r>
      <w:r w:rsidR="00FE38AC">
        <w:rPr>
          <w:lang w:val="en-CA"/>
        </w:rPr>
        <w:t xml:space="preserve">were </w:t>
      </w:r>
      <w:r w:rsidRPr="0050379F">
        <w:rPr>
          <w:lang w:val="en-CA"/>
        </w:rPr>
        <w:t>self-congratulat</w:t>
      </w:r>
      <w:r w:rsidR="00FE38AC">
        <w:rPr>
          <w:lang w:val="en-CA"/>
        </w:rPr>
        <w:t>ory regarding</w:t>
      </w:r>
      <w:r w:rsidRPr="0050379F">
        <w:rPr>
          <w:lang w:val="en-CA"/>
        </w:rPr>
        <w:t xml:space="preserve"> the scope of the “investigation” work accomplished and the methods </w:t>
      </w:r>
      <w:r w:rsidR="00FE38AC">
        <w:rPr>
          <w:lang w:val="en-CA"/>
        </w:rPr>
        <w:t xml:space="preserve">he had </w:t>
      </w:r>
      <w:r w:rsidRPr="0050379F">
        <w:rPr>
          <w:lang w:val="en-CA"/>
        </w:rPr>
        <w:t>used to obtain the information</w:t>
      </w:r>
      <w:r w:rsidR="009F273F" w:rsidRPr="0050379F">
        <w:rPr>
          <w:lang w:val="en-CA"/>
        </w:rPr>
        <w:t>.</w:t>
      </w:r>
    </w:p>
    <w:p w14:paraId="1B1C79F1" w14:textId="72DEB133" w:rsidR="009F273F" w:rsidRPr="0050379F" w:rsidRDefault="00634F12" w:rsidP="009F273F">
      <w:pPr>
        <w:pStyle w:val="Paragraphe"/>
        <w:spacing w:before="100" w:after="100" w:line="240" w:lineRule="auto"/>
        <w:rPr>
          <w:b/>
          <w:lang w:val="en-CA"/>
        </w:rPr>
      </w:pPr>
      <w:r w:rsidRPr="0050379F">
        <w:rPr>
          <w:lang w:val="en-CA"/>
        </w:rPr>
        <w:t xml:space="preserve">In fact, almost all the information A and B </w:t>
      </w:r>
      <w:r w:rsidR="00FE38AC">
        <w:rPr>
          <w:lang w:val="en-CA"/>
        </w:rPr>
        <w:t xml:space="preserve">provided </w:t>
      </w:r>
      <w:r w:rsidRPr="0050379F">
        <w:rPr>
          <w:lang w:val="en-CA"/>
        </w:rPr>
        <w:t xml:space="preserve">during the interview </w:t>
      </w:r>
      <w:r w:rsidR="00FE38AC">
        <w:rPr>
          <w:lang w:val="en-CA"/>
        </w:rPr>
        <w:t xml:space="preserve">was </w:t>
      </w:r>
      <w:r w:rsidRPr="0050379F">
        <w:rPr>
          <w:lang w:val="en-CA"/>
        </w:rPr>
        <w:t>in the report</w:t>
      </w:r>
      <w:r w:rsidR="00FE38AC">
        <w:rPr>
          <w:lang w:val="en-CA"/>
        </w:rPr>
        <w:t xml:space="preserve"> that was broadcast</w:t>
      </w:r>
      <w:r w:rsidR="009F273F" w:rsidRPr="0050379F">
        <w:rPr>
          <w:lang w:val="en-CA"/>
        </w:rPr>
        <w:t xml:space="preserve">. </w:t>
      </w:r>
      <w:r w:rsidRPr="0050379F">
        <w:rPr>
          <w:lang w:val="en-CA"/>
        </w:rPr>
        <w:t>The Court reaches this conclusion by comparing the relevant information identified during its viewing</w:t>
      </w:r>
      <w:r w:rsidR="00461702">
        <w:rPr>
          <w:lang w:val="en-CA"/>
        </w:rPr>
        <w:t>s</w:t>
      </w:r>
      <w:r w:rsidRPr="0050379F">
        <w:rPr>
          <w:lang w:val="en-CA"/>
        </w:rPr>
        <w:t xml:space="preserve"> of the complete recording </w:t>
      </w:r>
      <w:r w:rsidR="00FE38AC">
        <w:rPr>
          <w:lang w:val="en-CA"/>
        </w:rPr>
        <w:t xml:space="preserve">with </w:t>
      </w:r>
      <w:r w:rsidRPr="0050379F">
        <w:rPr>
          <w:lang w:val="en-CA"/>
        </w:rPr>
        <w:t xml:space="preserve">the information disclosed during the broadcast of the program, the transcript of which was submitted by the representatives of the </w:t>
      </w:r>
      <w:r w:rsidR="00213D70" w:rsidRPr="00213D70">
        <w:rPr>
          <w:lang w:val="en-CA"/>
        </w:rPr>
        <w:t>Sûreté du Québec</w:t>
      </w:r>
      <w:r w:rsidR="009F273F" w:rsidRPr="0050379F">
        <w:rPr>
          <w:lang w:val="en-CA"/>
        </w:rPr>
        <w:t>.</w:t>
      </w:r>
    </w:p>
    <w:p w14:paraId="2E7ED264" w14:textId="309A2773" w:rsidR="009F273F" w:rsidRPr="0050379F" w:rsidRDefault="00634F12" w:rsidP="009F273F">
      <w:pPr>
        <w:pStyle w:val="Paragraphe"/>
        <w:spacing w:before="100" w:after="100" w:line="240" w:lineRule="auto"/>
        <w:rPr>
          <w:b/>
          <w:lang w:val="en-CA"/>
        </w:rPr>
      </w:pPr>
      <w:r w:rsidRPr="0050379F">
        <w:rPr>
          <w:lang w:val="en-CA"/>
        </w:rPr>
        <w:lastRenderedPageBreak/>
        <w:t>The</w:t>
      </w:r>
      <w:r w:rsidR="009F273F" w:rsidRPr="0050379F">
        <w:rPr>
          <w:lang w:val="en-CA"/>
        </w:rPr>
        <w:t xml:space="preserve"> </w:t>
      </w:r>
      <w:r w:rsidR="00213D70" w:rsidRPr="00213D70">
        <w:rPr>
          <w:lang w:val="en-CA"/>
        </w:rPr>
        <w:t>Sûreté du Québec</w:t>
      </w:r>
      <w:r w:rsidR="009F273F" w:rsidRPr="0050379F">
        <w:rPr>
          <w:lang w:val="en-CA"/>
        </w:rPr>
        <w:t xml:space="preserve"> </w:t>
      </w:r>
      <w:r w:rsidRPr="0050379F">
        <w:rPr>
          <w:lang w:val="en-CA"/>
        </w:rPr>
        <w:t>ha</w:t>
      </w:r>
      <w:r w:rsidR="00FE38AC">
        <w:rPr>
          <w:lang w:val="en-CA"/>
        </w:rPr>
        <w:t>s</w:t>
      </w:r>
      <w:r w:rsidRPr="0050379F">
        <w:rPr>
          <w:lang w:val="en-CA"/>
        </w:rPr>
        <w:t xml:space="preserve"> </w:t>
      </w:r>
      <w:r w:rsidR="00FE38AC">
        <w:rPr>
          <w:lang w:val="en-CA"/>
        </w:rPr>
        <w:t xml:space="preserve">in </w:t>
      </w:r>
      <w:r w:rsidRPr="0050379F">
        <w:rPr>
          <w:lang w:val="en-CA"/>
        </w:rPr>
        <w:t xml:space="preserve">hand the report as </w:t>
      </w:r>
      <w:r w:rsidR="00986716">
        <w:rPr>
          <w:lang w:val="en-CA"/>
        </w:rPr>
        <w:t>broadcast</w:t>
      </w:r>
      <w:r w:rsidRPr="0050379F">
        <w:rPr>
          <w:lang w:val="en-CA"/>
        </w:rPr>
        <w:t xml:space="preserve"> and may accordingly use the information disclosed therein for the purposes of its investigation. It </w:t>
      </w:r>
      <w:r w:rsidR="00FE38AC">
        <w:rPr>
          <w:lang w:val="en-CA"/>
        </w:rPr>
        <w:t xml:space="preserve">therefore </w:t>
      </w:r>
      <w:r w:rsidRPr="0050379F">
        <w:rPr>
          <w:lang w:val="en-CA"/>
        </w:rPr>
        <w:t xml:space="preserve">does not need the complete recordings to obtain that information. </w:t>
      </w:r>
    </w:p>
    <w:p w14:paraId="525A2483" w14:textId="11FE14C5" w:rsidR="009F273F" w:rsidRPr="0050379F" w:rsidRDefault="00FE38AC" w:rsidP="009F273F">
      <w:pPr>
        <w:pStyle w:val="Paragraphe"/>
        <w:spacing w:before="100" w:after="100" w:line="240" w:lineRule="auto"/>
        <w:rPr>
          <w:b/>
          <w:lang w:val="en-CA"/>
        </w:rPr>
      </w:pPr>
      <w:r>
        <w:rPr>
          <w:lang w:val="en-CA"/>
        </w:rPr>
        <w:t>T</w:t>
      </w:r>
      <w:r w:rsidR="00D33018" w:rsidRPr="0050379F">
        <w:rPr>
          <w:lang w:val="en-CA"/>
        </w:rPr>
        <w:t>he balance of t</w:t>
      </w:r>
      <w:r w:rsidR="00461702">
        <w:rPr>
          <w:lang w:val="en-CA"/>
        </w:rPr>
        <w:t>he information given by A and B</w:t>
      </w:r>
      <w:r>
        <w:rPr>
          <w:lang w:val="en-CA"/>
        </w:rPr>
        <w:t xml:space="preserve"> that </w:t>
      </w:r>
      <w:r w:rsidR="00D33018" w:rsidRPr="0050379F">
        <w:rPr>
          <w:lang w:val="en-CA"/>
        </w:rPr>
        <w:t>is not in the report</w:t>
      </w:r>
      <w:r>
        <w:rPr>
          <w:lang w:val="en-CA"/>
        </w:rPr>
        <w:t xml:space="preserve"> remains</w:t>
      </w:r>
      <w:r w:rsidR="00D33018" w:rsidRPr="0050379F">
        <w:rPr>
          <w:lang w:val="en-CA"/>
        </w:rPr>
        <w:t xml:space="preserve">. There is </w:t>
      </w:r>
      <w:r>
        <w:rPr>
          <w:lang w:val="en-CA"/>
        </w:rPr>
        <w:t xml:space="preserve">very </w:t>
      </w:r>
      <w:r w:rsidR="00D33018" w:rsidRPr="0050379F">
        <w:rPr>
          <w:lang w:val="en-CA"/>
        </w:rPr>
        <w:t xml:space="preserve">little </w:t>
      </w:r>
      <w:r>
        <w:rPr>
          <w:lang w:val="en-CA"/>
        </w:rPr>
        <w:t xml:space="preserve">of this </w:t>
      </w:r>
      <w:r w:rsidR="00D33018" w:rsidRPr="0050379F">
        <w:rPr>
          <w:lang w:val="en-CA"/>
        </w:rPr>
        <w:t>information</w:t>
      </w:r>
      <w:r w:rsidR="009F273F" w:rsidRPr="0050379F">
        <w:rPr>
          <w:lang w:val="en-CA"/>
        </w:rPr>
        <w:t xml:space="preserve">. </w:t>
      </w:r>
      <w:r w:rsidR="00D33018" w:rsidRPr="0050379F">
        <w:rPr>
          <w:lang w:val="en-CA"/>
        </w:rPr>
        <w:t xml:space="preserve">Its probative value is low. The </w:t>
      </w:r>
      <w:r w:rsidR="00D33018" w:rsidRPr="00077BF7">
        <w:rPr>
          <w:iCs/>
          <w:lang w:val="en-CA"/>
        </w:rPr>
        <w:t>Sûreté du</w:t>
      </w:r>
      <w:r w:rsidR="00D33018" w:rsidRPr="00FE38AC">
        <w:rPr>
          <w:iCs/>
          <w:lang w:val="en-CA"/>
        </w:rPr>
        <w:t xml:space="preserve"> </w:t>
      </w:r>
      <w:r w:rsidR="00D33018" w:rsidRPr="00077BF7">
        <w:rPr>
          <w:iCs/>
          <w:lang w:val="en-CA"/>
        </w:rPr>
        <w:t>Québec</w:t>
      </w:r>
      <w:r w:rsidR="00D33018" w:rsidRPr="0050379F">
        <w:rPr>
          <w:lang w:val="en-CA"/>
        </w:rPr>
        <w:t xml:space="preserve"> already knows this information</w:t>
      </w:r>
      <w:r w:rsidR="009F273F" w:rsidRPr="0050379F">
        <w:rPr>
          <w:rStyle w:val="Appelnotedebasdep"/>
          <w:lang w:val="en-CA"/>
        </w:rPr>
        <w:footnoteReference w:id="18"/>
      </w:r>
      <w:r w:rsidR="009F273F" w:rsidRPr="0050379F">
        <w:rPr>
          <w:lang w:val="en-CA"/>
        </w:rPr>
        <w:t xml:space="preserve"> </w:t>
      </w:r>
      <w:r w:rsidR="00D33018" w:rsidRPr="0050379F">
        <w:rPr>
          <w:lang w:val="en-CA"/>
        </w:rPr>
        <w:t>or it may be reasonably obtained</w:t>
      </w:r>
      <w:r w:rsidR="001E542C" w:rsidRPr="0050379F">
        <w:rPr>
          <w:lang w:val="en-CA"/>
        </w:rPr>
        <w:t xml:space="preserve"> by other means.</w:t>
      </w:r>
      <w:r w:rsidR="009F273F" w:rsidRPr="0050379F">
        <w:rPr>
          <w:rStyle w:val="Appelnotedebasdep"/>
          <w:lang w:val="en-CA"/>
        </w:rPr>
        <w:footnoteReference w:id="19"/>
      </w:r>
    </w:p>
    <w:p w14:paraId="67379BCA" w14:textId="27ACAF95" w:rsidR="009F273F" w:rsidRPr="0050379F" w:rsidRDefault="001E542C" w:rsidP="009F273F">
      <w:pPr>
        <w:pStyle w:val="Paragraphe"/>
        <w:spacing w:before="100" w:after="100" w:line="240" w:lineRule="auto"/>
        <w:rPr>
          <w:b/>
          <w:lang w:val="en-CA"/>
        </w:rPr>
      </w:pPr>
      <w:r w:rsidRPr="0050379F">
        <w:rPr>
          <w:lang w:val="en-CA"/>
        </w:rPr>
        <w:t xml:space="preserve">Accordingly, </w:t>
      </w:r>
      <w:r w:rsidR="001D625F">
        <w:rPr>
          <w:lang w:val="en-CA"/>
        </w:rPr>
        <w:t xml:space="preserve">while </w:t>
      </w:r>
      <w:r w:rsidRPr="0050379F">
        <w:rPr>
          <w:lang w:val="en-CA"/>
        </w:rPr>
        <w:t xml:space="preserve">the previous partial publication </w:t>
      </w:r>
      <w:r w:rsidR="001D625F">
        <w:rPr>
          <w:lang w:val="en-CA"/>
        </w:rPr>
        <w:t xml:space="preserve">may </w:t>
      </w:r>
      <w:r w:rsidRPr="0050379F">
        <w:rPr>
          <w:lang w:val="en-CA"/>
        </w:rPr>
        <w:t xml:space="preserve">strongly support disclosure of the content sought by the </w:t>
      </w:r>
      <w:r w:rsidR="00213D70" w:rsidRPr="00213D70">
        <w:rPr>
          <w:lang w:val="en-CA"/>
        </w:rPr>
        <w:t>Sûreté du Québec</w:t>
      </w:r>
      <w:r w:rsidRPr="0050379F">
        <w:rPr>
          <w:lang w:val="en-CA"/>
        </w:rPr>
        <w:t xml:space="preserve">, </w:t>
      </w:r>
      <w:r w:rsidR="00585248">
        <w:rPr>
          <w:lang w:val="en-CA"/>
        </w:rPr>
        <w:t>since</w:t>
      </w:r>
      <w:r w:rsidRPr="0050379F">
        <w:rPr>
          <w:lang w:val="en-CA"/>
        </w:rPr>
        <w:t xml:space="preserve"> the identity of the sources was revealed </w:t>
      </w:r>
      <w:r w:rsidR="00585248">
        <w:rPr>
          <w:lang w:val="en-CA"/>
        </w:rPr>
        <w:t xml:space="preserve">when </w:t>
      </w:r>
      <w:r w:rsidRPr="0050379F">
        <w:rPr>
          <w:lang w:val="en-CA"/>
        </w:rPr>
        <w:t xml:space="preserve">the program </w:t>
      </w:r>
      <w:r w:rsidR="00585248">
        <w:rPr>
          <w:lang w:val="en-CA"/>
        </w:rPr>
        <w:t xml:space="preserve">was aired </w:t>
      </w:r>
      <w:r w:rsidRPr="0050379F">
        <w:rPr>
          <w:lang w:val="en-CA"/>
        </w:rPr>
        <w:t xml:space="preserve">and the sources </w:t>
      </w:r>
      <w:r w:rsidR="00585248">
        <w:rPr>
          <w:lang w:val="en-CA"/>
        </w:rPr>
        <w:t xml:space="preserve">provided </w:t>
      </w:r>
      <w:r w:rsidRPr="0050379F">
        <w:rPr>
          <w:lang w:val="en-CA"/>
        </w:rPr>
        <w:t xml:space="preserve">information about the commission of serious offences, </w:t>
      </w:r>
      <w:r w:rsidR="001D625F">
        <w:rPr>
          <w:lang w:val="en-CA"/>
        </w:rPr>
        <w:t xml:space="preserve">the </w:t>
      </w:r>
      <w:r w:rsidRPr="0050379F">
        <w:rPr>
          <w:lang w:val="en-CA"/>
        </w:rPr>
        <w:t xml:space="preserve">situation </w:t>
      </w:r>
      <w:r w:rsidR="001D625F">
        <w:rPr>
          <w:lang w:val="en-CA"/>
        </w:rPr>
        <w:t xml:space="preserve">is such that </w:t>
      </w:r>
      <w:r w:rsidRPr="0050379F">
        <w:rPr>
          <w:lang w:val="en-CA"/>
        </w:rPr>
        <w:t xml:space="preserve">the “unpublished” portion contains facts that have almost no probative value and are of </w:t>
      </w:r>
      <w:r w:rsidR="008051BC">
        <w:rPr>
          <w:lang w:val="en-CA"/>
        </w:rPr>
        <w:t>such little use</w:t>
      </w:r>
      <w:r w:rsidRPr="0050379F">
        <w:rPr>
          <w:lang w:val="en-CA"/>
        </w:rPr>
        <w:t xml:space="preserve"> </w:t>
      </w:r>
      <w:r w:rsidR="008051BC">
        <w:rPr>
          <w:lang w:val="en-CA"/>
        </w:rPr>
        <w:t>to</w:t>
      </w:r>
      <w:r w:rsidR="008051BC" w:rsidRPr="0050379F">
        <w:rPr>
          <w:lang w:val="en-CA"/>
        </w:rPr>
        <w:t xml:space="preserve"> </w:t>
      </w:r>
      <w:r w:rsidRPr="0050379F">
        <w:rPr>
          <w:lang w:val="en-CA"/>
        </w:rPr>
        <w:t>the investigation</w:t>
      </w:r>
      <w:r w:rsidR="008051BC">
        <w:rPr>
          <w:lang w:val="en-CA"/>
        </w:rPr>
        <w:t xml:space="preserve"> </w:t>
      </w:r>
      <w:r w:rsidRPr="0050379F">
        <w:rPr>
          <w:lang w:val="en-CA"/>
        </w:rPr>
        <w:t xml:space="preserve">that the </w:t>
      </w:r>
      <w:r w:rsidR="008051BC">
        <w:rPr>
          <w:lang w:val="en-CA"/>
        </w:rPr>
        <w:t xml:space="preserve">need to apply </w:t>
      </w:r>
      <w:r w:rsidRPr="0050379F">
        <w:rPr>
          <w:lang w:val="en-CA"/>
        </w:rPr>
        <w:t>for a</w:t>
      </w:r>
      <w:r w:rsidR="00B27270">
        <w:rPr>
          <w:lang w:val="en-CA"/>
        </w:rPr>
        <w:t xml:space="preserve">n </w:t>
      </w:r>
      <w:r w:rsidRPr="0050379F">
        <w:rPr>
          <w:lang w:val="en-CA"/>
        </w:rPr>
        <w:t xml:space="preserve">order </w:t>
      </w:r>
      <w:r w:rsidR="00B27270">
        <w:rPr>
          <w:lang w:val="en-CA"/>
        </w:rPr>
        <w:t xml:space="preserve">for disclosure </w:t>
      </w:r>
      <w:r w:rsidRPr="0050379F">
        <w:rPr>
          <w:lang w:val="en-CA"/>
        </w:rPr>
        <w:t>become</w:t>
      </w:r>
      <w:r w:rsidR="00B15339">
        <w:rPr>
          <w:lang w:val="en-CA"/>
        </w:rPr>
        <w:t>s</w:t>
      </w:r>
      <w:r w:rsidRPr="0050379F">
        <w:rPr>
          <w:lang w:val="en-CA"/>
        </w:rPr>
        <w:t xml:space="preserve"> practically </w:t>
      </w:r>
      <w:r w:rsidR="008051BC">
        <w:rPr>
          <w:lang w:val="en-CA"/>
        </w:rPr>
        <w:t>non-</w:t>
      </w:r>
      <w:r w:rsidRPr="0050379F">
        <w:rPr>
          <w:lang w:val="en-CA"/>
        </w:rPr>
        <w:t>existent</w:t>
      </w:r>
      <w:r w:rsidR="009F273F" w:rsidRPr="0050379F">
        <w:rPr>
          <w:lang w:val="en-CA"/>
        </w:rPr>
        <w:t xml:space="preserve">. </w:t>
      </w:r>
    </w:p>
    <w:p w14:paraId="5B608B4B" w14:textId="77777777" w:rsidR="009F273F" w:rsidRPr="0050379F" w:rsidRDefault="008F0B51" w:rsidP="009F273F">
      <w:pPr>
        <w:pStyle w:val="Paragraphe"/>
        <w:numPr>
          <w:ilvl w:val="0"/>
          <w:numId w:val="0"/>
        </w:numPr>
        <w:spacing w:before="100" w:after="100" w:line="240" w:lineRule="auto"/>
        <w:rPr>
          <w:b/>
          <w:lang w:val="en-CA"/>
        </w:rPr>
      </w:pPr>
      <w:r w:rsidRPr="0050379F">
        <w:rPr>
          <w:b/>
          <w:color w:val="000000"/>
          <w:lang w:val="en-CA"/>
        </w:rPr>
        <w:t>The vital role that the media plays in the functioning of a democratic society</w:t>
      </w:r>
      <w:r w:rsidRPr="0050379F">
        <w:rPr>
          <w:b/>
          <w:lang w:val="en-CA"/>
        </w:rPr>
        <w:t xml:space="preserve"> </w:t>
      </w:r>
    </w:p>
    <w:p w14:paraId="21CCA034" w14:textId="0DDA3EDC" w:rsidR="009F273F" w:rsidRPr="0050379F" w:rsidRDefault="00C93BA9" w:rsidP="00C93BA9">
      <w:pPr>
        <w:pStyle w:val="Paragraphe"/>
        <w:spacing w:line="240" w:lineRule="auto"/>
        <w:rPr>
          <w:b/>
          <w:lang w:val="en-CA"/>
        </w:rPr>
      </w:pPr>
      <w:r w:rsidRPr="0050379F">
        <w:rPr>
          <w:lang w:val="en-CA"/>
        </w:rPr>
        <w:t>“The media have a vitally important role to</w:t>
      </w:r>
      <w:r w:rsidR="00B15339">
        <w:rPr>
          <w:lang w:val="en-CA"/>
        </w:rPr>
        <w:t xml:space="preserve"> play in a democratic society. </w:t>
      </w:r>
      <w:r w:rsidRPr="0050379F">
        <w:rPr>
          <w:lang w:val="en-CA"/>
        </w:rPr>
        <w:t>It is the media that, by gathering and disseminating news, enable members of our society to make an informed assessment of the issues which may significantly affect their lives and well-being.</w:t>
      </w:r>
      <w:r w:rsidR="008051BC">
        <w:rPr>
          <w:lang w:val="en-CA"/>
        </w:rPr>
        <w:t>...</w:t>
      </w:r>
      <w:r w:rsidRPr="0050379F">
        <w:rPr>
          <w:lang w:val="en-CA"/>
        </w:rPr>
        <w:t xml:space="preserve"> The importance of that role and the manner in which it must be fulfilled give rise to special concerns when a warrant is sought to search media premises”</w:t>
      </w:r>
      <w:r w:rsidR="005C193D">
        <w:rPr>
          <w:lang w:val="en-CA"/>
        </w:rPr>
        <w:t>.</w:t>
      </w:r>
      <w:r w:rsidR="009F273F" w:rsidRPr="0050379F">
        <w:rPr>
          <w:rStyle w:val="Appelnotedebasdep"/>
          <w:lang w:val="en-CA"/>
        </w:rPr>
        <w:footnoteReference w:id="20"/>
      </w:r>
    </w:p>
    <w:p w14:paraId="422AAA35" w14:textId="2CC1A128" w:rsidR="009F273F" w:rsidRPr="0050379F" w:rsidRDefault="00C93BA9" w:rsidP="009F273F">
      <w:pPr>
        <w:pStyle w:val="Paragraphe"/>
        <w:spacing w:before="100" w:after="100" w:line="240" w:lineRule="auto"/>
        <w:rPr>
          <w:b/>
          <w:lang w:val="en-CA"/>
        </w:rPr>
      </w:pPr>
      <w:r w:rsidRPr="0050379F">
        <w:rPr>
          <w:lang w:val="en-CA"/>
        </w:rPr>
        <w:t xml:space="preserve">As </w:t>
      </w:r>
      <w:r w:rsidR="00E327F6">
        <w:rPr>
          <w:lang w:val="en-CA"/>
        </w:rPr>
        <w:t>noted</w:t>
      </w:r>
      <w:r w:rsidR="008051BC" w:rsidRPr="0050379F">
        <w:rPr>
          <w:lang w:val="en-CA"/>
        </w:rPr>
        <w:t xml:space="preserve"> </w:t>
      </w:r>
      <w:r w:rsidRPr="0050379F">
        <w:rPr>
          <w:lang w:val="en-CA"/>
        </w:rPr>
        <w:t xml:space="preserve">above in this judgment, the Supreme Court also teaches us that </w:t>
      </w:r>
      <w:r w:rsidR="00E327F6">
        <w:rPr>
          <w:lang w:val="en-CA"/>
        </w:rPr>
        <w:t xml:space="preserve">the </w:t>
      </w:r>
      <w:r w:rsidR="00625169">
        <w:rPr>
          <w:lang w:val="en-CA"/>
        </w:rPr>
        <w:t xml:space="preserve">media’s </w:t>
      </w:r>
      <w:r w:rsidRPr="0050379F">
        <w:rPr>
          <w:lang w:val="en-CA"/>
        </w:rPr>
        <w:t xml:space="preserve">important role is played by actors </w:t>
      </w:r>
      <w:r w:rsidR="00E327F6">
        <w:rPr>
          <w:lang w:val="en-CA"/>
        </w:rPr>
        <w:t xml:space="preserve">with </w:t>
      </w:r>
      <w:r w:rsidRPr="0050379F">
        <w:rPr>
          <w:lang w:val="en-CA"/>
        </w:rPr>
        <w:t xml:space="preserve">a highly variable degree of professionalism, who are not supervised by a </w:t>
      </w:r>
      <w:r w:rsidR="00E327F6">
        <w:rPr>
          <w:lang w:val="en-CA"/>
        </w:rPr>
        <w:t xml:space="preserve">genuine </w:t>
      </w:r>
      <w:r w:rsidRPr="0050379F">
        <w:rPr>
          <w:lang w:val="en-CA"/>
        </w:rPr>
        <w:t xml:space="preserve">professional </w:t>
      </w:r>
      <w:r w:rsidR="00E327F6">
        <w:rPr>
          <w:lang w:val="en-CA"/>
        </w:rPr>
        <w:t>order capable of sanctioning</w:t>
      </w:r>
      <w:r w:rsidRPr="0050379F">
        <w:rPr>
          <w:lang w:val="en-CA"/>
        </w:rPr>
        <w:t xml:space="preserve"> them in </w:t>
      </w:r>
      <w:r w:rsidR="00E327F6">
        <w:rPr>
          <w:lang w:val="en-CA"/>
        </w:rPr>
        <w:t xml:space="preserve">the event </w:t>
      </w:r>
      <w:r w:rsidRPr="0050379F">
        <w:rPr>
          <w:lang w:val="en-CA"/>
        </w:rPr>
        <w:t xml:space="preserve">of </w:t>
      </w:r>
      <w:r w:rsidR="00E327F6">
        <w:rPr>
          <w:lang w:val="en-CA"/>
        </w:rPr>
        <w:t xml:space="preserve">a violation of </w:t>
      </w:r>
      <w:r w:rsidRPr="0050379F">
        <w:rPr>
          <w:lang w:val="en-CA"/>
        </w:rPr>
        <w:t xml:space="preserve">a code of ethics. </w:t>
      </w:r>
      <w:r w:rsidR="00E327F6">
        <w:rPr>
          <w:lang w:val="en-CA"/>
        </w:rPr>
        <w:t xml:space="preserve">Hence the </w:t>
      </w:r>
      <w:r w:rsidRPr="0050379F">
        <w:rPr>
          <w:lang w:val="en-CA"/>
        </w:rPr>
        <w:t>lack of absolute protection of journalistic sources</w:t>
      </w:r>
      <w:r w:rsidR="009F273F" w:rsidRPr="0050379F">
        <w:rPr>
          <w:lang w:val="en-CA"/>
        </w:rPr>
        <w:t>.</w:t>
      </w:r>
    </w:p>
    <w:p w14:paraId="79D07962" w14:textId="399793DB" w:rsidR="009F273F" w:rsidRPr="0050379F" w:rsidRDefault="00C93BA9" w:rsidP="009F273F">
      <w:pPr>
        <w:pStyle w:val="Paragraphe"/>
        <w:spacing w:before="100" w:after="100" w:line="240" w:lineRule="auto"/>
        <w:rPr>
          <w:b/>
          <w:lang w:val="en-CA"/>
        </w:rPr>
      </w:pPr>
      <w:r w:rsidRPr="0050379F">
        <w:rPr>
          <w:lang w:val="en-CA"/>
        </w:rPr>
        <w:t>In this case, we would probably not be where we are if Groupe TVA Inc. had respected the confidentiality undertaking made by its journalist and protected the identity of its sources</w:t>
      </w:r>
      <w:r w:rsidR="009F273F" w:rsidRPr="0050379F">
        <w:rPr>
          <w:lang w:val="en-CA"/>
        </w:rPr>
        <w:t xml:space="preserve">. </w:t>
      </w:r>
      <w:r w:rsidRPr="0050379F">
        <w:rPr>
          <w:lang w:val="en-CA"/>
        </w:rPr>
        <w:t xml:space="preserve">In its program, it could have identified A as a suspect in the commission of the offences being investigated while not revealing </w:t>
      </w:r>
      <w:r w:rsidR="00E327F6">
        <w:rPr>
          <w:lang w:val="en-CA"/>
        </w:rPr>
        <w:t xml:space="preserve">that he, along </w:t>
      </w:r>
      <w:r w:rsidRPr="0050379F">
        <w:rPr>
          <w:lang w:val="en-CA"/>
        </w:rPr>
        <w:t xml:space="preserve">with B, </w:t>
      </w:r>
      <w:r w:rsidR="00E327F6">
        <w:rPr>
          <w:lang w:val="en-CA"/>
        </w:rPr>
        <w:t xml:space="preserve">was </w:t>
      </w:r>
      <w:r w:rsidRPr="0050379F">
        <w:rPr>
          <w:lang w:val="en-CA"/>
        </w:rPr>
        <w:t xml:space="preserve">the source of the information </w:t>
      </w:r>
      <w:r w:rsidR="00E327F6">
        <w:rPr>
          <w:lang w:val="en-CA"/>
        </w:rPr>
        <w:t>that</w:t>
      </w:r>
      <w:r w:rsidR="00E327F6" w:rsidRPr="0050379F">
        <w:rPr>
          <w:lang w:val="en-CA"/>
        </w:rPr>
        <w:t xml:space="preserve"> </w:t>
      </w:r>
      <w:r w:rsidRPr="0050379F">
        <w:rPr>
          <w:lang w:val="en-CA"/>
        </w:rPr>
        <w:t xml:space="preserve">led the journalists to other accomplices. </w:t>
      </w:r>
    </w:p>
    <w:p w14:paraId="4DCDA567" w14:textId="0BAD486D" w:rsidR="009F273F" w:rsidRPr="0050379F" w:rsidRDefault="00C93BA9" w:rsidP="009F273F">
      <w:pPr>
        <w:pStyle w:val="Paragraphe"/>
        <w:spacing w:before="100" w:after="100" w:line="240" w:lineRule="auto"/>
        <w:rPr>
          <w:b/>
          <w:lang w:val="en-CA"/>
        </w:rPr>
      </w:pPr>
      <w:r w:rsidRPr="0050379F">
        <w:rPr>
          <w:lang w:val="en-CA"/>
        </w:rPr>
        <w:t xml:space="preserve">In </w:t>
      </w:r>
      <w:r w:rsidR="00E327F6">
        <w:rPr>
          <w:lang w:val="en-CA"/>
        </w:rPr>
        <w:t>the</w:t>
      </w:r>
      <w:r w:rsidR="00E327F6" w:rsidRPr="0050379F">
        <w:rPr>
          <w:lang w:val="en-CA"/>
        </w:rPr>
        <w:t xml:space="preserve"> </w:t>
      </w:r>
      <w:r w:rsidRPr="0050379F">
        <w:rPr>
          <w:lang w:val="en-CA"/>
        </w:rPr>
        <w:t xml:space="preserve">circumstances, it would have been that much more </w:t>
      </w:r>
      <w:r w:rsidR="00E327F6">
        <w:rPr>
          <w:lang w:val="en-CA"/>
        </w:rPr>
        <w:t>onerous</w:t>
      </w:r>
      <w:r w:rsidR="00E327F6" w:rsidRPr="0050379F">
        <w:rPr>
          <w:lang w:val="en-CA"/>
        </w:rPr>
        <w:t xml:space="preserve"> </w:t>
      </w:r>
      <w:r w:rsidRPr="0050379F">
        <w:rPr>
          <w:lang w:val="en-CA"/>
        </w:rPr>
        <w:t xml:space="preserve">for the </w:t>
      </w:r>
      <w:r w:rsidRPr="00077BF7">
        <w:rPr>
          <w:iCs/>
          <w:lang w:val="en-CA"/>
        </w:rPr>
        <w:t>Sûreté</w:t>
      </w:r>
      <w:r w:rsidRPr="00E327F6">
        <w:rPr>
          <w:iCs/>
          <w:lang w:val="en-CA"/>
        </w:rPr>
        <w:t xml:space="preserve"> </w:t>
      </w:r>
      <w:r w:rsidRPr="00077BF7">
        <w:rPr>
          <w:iCs/>
          <w:lang w:val="en-CA"/>
        </w:rPr>
        <w:t>du Québec</w:t>
      </w:r>
      <w:r w:rsidRPr="0050379F">
        <w:rPr>
          <w:lang w:val="en-CA"/>
        </w:rPr>
        <w:t xml:space="preserve"> to </w:t>
      </w:r>
      <w:r w:rsidR="00E327F6">
        <w:rPr>
          <w:lang w:val="en-CA"/>
        </w:rPr>
        <w:t xml:space="preserve">establish </w:t>
      </w:r>
      <w:r w:rsidRPr="0050379F">
        <w:rPr>
          <w:lang w:val="en-CA"/>
        </w:rPr>
        <w:t xml:space="preserve">that </w:t>
      </w:r>
      <w:r w:rsidR="003B0830" w:rsidRPr="0050379F">
        <w:rPr>
          <w:lang w:val="en-CA"/>
        </w:rPr>
        <w:t>the public interest in conducting investigations exceeds the journalist’s right to the confidentiality of his sources when presen</w:t>
      </w:r>
      <w:r w:rsidR="00B15339">
        <w:rPr>
          <w:lang w:val="en-CA"/>
        </w:rPr>
        <w:t>ting the application to obtain the</w:t>
      </w:r>
      <w:r w:rsidR="003B0830" w:rsidRPr="0050379F">
        <w:rPr>
          <w:lang w:val="en-CA"/>
        </w:rPr>
        <w:t xml:space="preserve"> </w:t>
      </w:r>
      <w:r w:rsidR="00E327F6">
        <w:rPr>
          <w:lang w:val="en-CA"/>
        </w:rPr>
        <w:t>general production</w:t>
      </w:r>
      <w:r w:rsidR="00E327F6" w:rsidRPr="0050379F">
        <w:rPr>
          <w:lang w:val="en-CA"/>
        </w:rPr>
        <w:t xml:space="preserve"> </w:t>
      </w:r>
      <w:r w:rsidR="003B0830" w:rsidRPr="0050379F">
        <w:rPr>
          <w:lang w:val="en-CA"/>
        </w:rPr>
        <w:t>order at issue</w:t>
      </w:r>
      <w:r w:rsidR="009F273F" w:rsidRPr="0050379F">
        <w:rPr>
          <w:lang w:val="en-CA"/>
        </w:rPr>
        <w:t>.</w:t>
      </w:r>
    </w:p>
    <w:p w14:paraId="654F438C" w14:textId="77777777" w:rsidR="009F273F" w:rsidRPr="0050379F" w:rsidRDefault="003B0830" w:rsidP="009F273F">
      <w:pPr>
        <w:pStyle w:val="Paragraphe"/>
        <w:tabs>
          <w:tab w:val="clear" w:pos="360"/>
          <w:tab w:val="num" w:pos="709"/>
        </w:tabs>
        <w:spacing w:before="100" w:after="100" w:line="240" w:lineRule="auto"/>
        <w:rPr>
          <w:b/>
          <w:lang w:val="en-CA"/>
        </w:rPr>
      </w:pPr>
      <w:r w:rsidRPr="0050379F">
        <w:rPr>
          <w:lang w:val="en-CA"/>
        </w:rPr>
        <w:t>This was not the approach that Groupe TVA Inc. used</w:t>
      </w:r>
      <w:r w:rsidR="00B15339">
        <w:rPr>
          <w:lang w:val="en-CA"/>
        </w:rPr>
        <w:t>,</w:t>
      </w:r>
      <w:r w:rsidRPr="0050379F">
        <w:rPr>
          <w:lang w:val="en-CA"/>
        </w:rPr>
        <w:t xml:space="preserve"> for </w:t>
      </w:r>
      <w:r w:rsidR="00B15339">
        <w:rPr>
          <w:lang w:val="en-CA"/>
        </w:rPr>
        <w:t xml:space="preserve">its own </w:t>
      </w:r>
      <w:r w:rsidRPr="0050379F">
        <w:rPr>
          <w:lang w:val="en-CA"/>
        </w:rPr>
        <w:t>reasons</w:t>
      </w:r>
      <w:r w:rsidR="009F273F" w:rsidRPr="0050379F">
        <w:rPr>
          <w:lang w:val="en-CA"/>
        </w:rPr>
        <w:t xml:space="preserve">. </w:t>
      </w:r>
    </w:p>
    <w:p w14:paraId="2CDF379D" w14:textId="19092BF1" w:rsidR="009F273F" w:rsidRPr="0050379F" w:rsidRDefault="00E327F6" w:rsidP="009F273F">
      <w:pPr>
        <w:pStyle w:val="Paragraphe"/>
        <w:tabs>
          <w:tab w:val="clear" w:pos="360"/>
          <w:tab w:val="num" w:pos="709"/>
        </w:tabs>
        <w:spacing w:before="100" w:after="100" w:line="240" w:lineRule="auto"/>
        <w:rPr>
          <w:b/>
          <w:lang w:val="en-CA"/>
        </w:rPr>
      </w:pPr>
      <w:r>
        <w:rPr>
          <w:lang w:val="en-CA"/>
        </w:rPr>
        <w:lastRenderedPageBreak/>
        <w:t>However, t</w:t>
      </w:r>
      <w:r w:rsidR="003B0830" w:rsidRPr="0050379F">
        <w:rPr>
          <w:lang w:val="en-CA"/>
        </w:rPr>
        <w:t xml:space="preserve">he Court is far from convinced that this is </w:t>
      </w:r>
      <w:r w:rsidR="00B15339">
        <w:rPr>
          <w:lang w:val="en-CA"/>
        </w:rPr>
        <w:t xml:space="preserve">the </w:t>
      </w:r>
      <w:r w:rsidR="003B0830" w:rsidRPr="0050379F">
        <w:rPr>
          <w:lang w:val="en-CA"/>
        </w:rPr>
        <w:t>type of journalism and relationship between journalist</w:t>
      </w:r>
      <w:r w:rsidR="00D41B56">
        <w:rPr>
          <w:lang w:val="en-CA"/>
        </w:rPr>
        <w:t>s</w:t>
      </w:r>
      <w:r w:rsidR="003B0830" w:rsidRPr="0050379F">
        <w:rPr>
          <w:lang w:val="en-CA"/>
        </w:rPr>
        <w:t xml:space="preserve"> and </w:t>
      </w:r>
      <w:r w:rsidR="00D41B56">
        <w:rPr>
          <w:lang w:val="en-CA"/>
        </w:rPr>
        <w:t xml:space="preserve">their </w:t>
      </w:r>
      <w:r w:rsidR="003B0830" w:rsidRPr="0050379F">
        <w:rPr>
          <w:lang w:val="en-CA"/>
        </w:rPr>
        <w:t xml:space="preserve">sources </w:t>
      </w:r>
      <w:r>
        <w:rPr>
          <w:lang w:val="en-CA"/>
        </w:rPr>
        <w:t xml:space="preserve">that </w:t>
      </w:r>
      <w:r w:rsidR="003B0830" w:rsidRPr="0050379F">
        <w:rPr>
          <w:lang w:val="en-CA"/>
        </w:rPr>
        <w:t>the Supreme Court and legislation aim to protect</w:t>
      </w:r>
      <w:r w:rsidR="009F273F" w:rsidRPr="0050379F">
        <w:rPr>
          <w:lang w:val="en-CA"/>
        </w:rPr>
        <w:t>.</w:t>
      </w:r>
    </w:p>
    <w:p w14:paraId="0A654F24" w14:textId="77777777" w:rsidR="009F273F" w:rsidRPr="0050379F" w:rsidRDefault="009F273F" w:rsidP="00077BF7">
      <w:pPr>
        <w:pStyle w:val="Paragraphe"/>
        <w:keepNext/>
        <w:numPr>
          <w:ilvl w:val="0"/>
          <w:numId w:val="0"/>
        </w:numPr>
        <w:spacing w:before="100" w:after="100" w:line="240" w:lineRule="auto"/>
        <w:rPr>
          <w:b/>
          <w:u w:val="single"/>
          <w:lang w:val="en-CA"/>
        </w:rPr>
      </w:pPr>
      <w:r w:rsidRPr="0050379F">
        <w:rPr>
          <w:b/>
          <w:u w:val="single"/>
          <w:lang w:val="en-CA"/>
        </w:rPr>
        <w:t>CONCLUSION</w:t>
      </w:r>
      <w:r w:rsidR="000C4705" w:rsidRPr="0050379F">
        <w:rPr>
          <w:b/>
          <w:u w:val="single"/>
          <w:lang w:val="en-CA"/>
        </w:rPr>
        <w:t xml:space="preserve"> </w:t>
      </w:r>
    </w:p>
    <w:p w14:paraId="6B99C808" w14:textId="3FC6CB6D" w:rsidR="009F273F" w:rsidRPr="0050379F" w:rsidRDefault="00415C5A" w:rsidP="00077BF7">
      <w:pPr>
        <w:pStyle w:val="Paragraphe"/>
        <w:keepNext/>
        <w:tabs>
          <w:tab w:val="clear" w:pos="360"/>
          <w:tab w:val="num" w:pos="709"/>
        </w:tabs>
        <w:spacing w:before="100" w:after="100" w:line="240" w:lineRule="auto"/>
        <w:rPr>
          <w:b/>
          <w:lang w:val="en-CA"/>
        </w:rPr>
      </w:pPr>
      <w:r w:rsidRPr="0050379F">
        <w:rPr>
          <w:lang w:val="en-CA"/>
        </w:rPr>
        <w:t xml:space="preserve">As explained earlier, the recording of the interview with individual C </w:t>
      </w:r>
      <w:r w:rsidR="00625169">
        <w:rPr>
          <w:lang w:val="en-CA"/>
        </w:rPr>
        <w:t xml:space="preserve">should </w:t>
      </w:r>
      <w:r w:rsidRPr="0050379F">
        <w:rPr>
          <w:lang w:val="en-CA"/>
        </w:rPr>
        <w:t>be disclosed</w:t>
      </w:r>
      <w:r w:rsidR="009F273F" w:rsidRPr="0050379F">
        <w:rPr>
          <w:b/>
          <w:lang w:val="en-CA"/>
        </w:rPr>
        <w:t>.</w:t>
      </w:r>
    </w:p>
    <w:p w14:paraId="059BBE57" w14:textId="064C8FAD" w:rsidR="009F273F" w:rsidRPr="0050379F" w:rsidRDefault="00415C5A" w:rsidP="009F273F">
      <w:pPr>
        <w:pStyle w:val="Paragraphe"/>
        <w:tabs>
          <w:tab w:val="clear" w:pos="360"/>
          <w:tab w:val="num" w:pos="709"/>
        </w:tabs>
        <w:spacing w:before="100" w:after="100" w:line="240" w:lineRule="auto"/>
        <w:rPr>
          <w:b/>
          <w:lang w:val="en-CA"/>
        </w:rPr>
      </w:pPr>
      <w:r w:rsidRPr="0050379F">
        <w:rPr>
          <w:lang w:val="en-CA"/>
        </w:rPr>
        <w:t xml:space="preserve">Regarding the interview with individuals A and B, the Court is in </w:t>
      </w:r>
      <w:r w:rsidR="00625169">
        <w:rPr>
          <w:lang w:val="en-CA"/>
        </w:rPr>
        <w:t>an</w:t>
      </w:r>
      <w:r w:rsidR="00625169" w:rsidRPr="0050379F">
        <w:rPr>
          <w:lang w:val="en-CA"/>
        </w:rPr>
        <w:t xml:space="preserve"> </w:t>
      </w:r>
      <w:r w:rsidRPr="0050379F">
        <w:rPr>
          <w:lang w:val="en-CA"/>
        </w:rPr>
        <w:t>unusual situation</w:t>
      </w:r>
      <w:r w:rsidR="00625169">
        <w:rPr>
          <w:lang w:val="en-CA"/>
        </w:rPr>
        <w:t>, where</w:t>
      </w:r>
      <w:r w:rsidRPr="0050379F">
        <w:rPr>
          <w:lang w:val="en-CA"/>
        </w:rPr>
        <w:t>, to use a popular expression</w:t>
      </w:r>
      <w:r w:rsidR="00B15339">
        <w:rPr>
          <w:lang w:val="en-CA"/>
        </w:rPr>
        <w:t>,</w:t>
      </w:r>
      <w:r w:rsidRPr="0050379F">
        <w:rPr>
          <w:lang w:val="en-CA"/>
        </w:rPr>
        <w:t xml:space="preserve"> “the damage is done”</w:t>
      </w:r>
      <w:r w:rsidR="005C193D">
        <w:rPr>
          <w:lang w:val="en-CA"/>
        </w:rPr>
        <w:t>.</w:t>
      </w:r>
      <w:r w:rsidRPr="0050379F">
        <w:rPr>
          <w:lang w:val="en-CA"/>
        </w:rPr>
        <w:t xml:space="preserve"> </w:t>
      </w:r>
    </w:p>
    <w:p w14:paraId="42E1C494" w14:textId="15773B4C" w:rsidR="009F273F" w:rsidRPr="0050379F" w:rsidRDefault="00415C5A" w:rsidP="009F273F">
      <w:pPr>
        <w:pStyle w:val="Paragraphe"/>
        <w:tabs>
          <w:tab w:val="clear" w:pos="360"/>
          <w:tab w:val="num" w:pos="709"/>
        </w:tabs>
        <w:spacing w:before="100" w:after="100" w:line="240" w:lineRule="auto"/>
        <w:rPr>
          <w:b/>
          <w:lang w:val="en-CA"/>
        </w:rPr>
      </w:pPr>
      <w:r w:rsidRPr="0050379F">
        <w:rPr>
          <w:lang w:val="en-CA"/>
        </w:rPr>
        <w:t xml:space="preserve">The identity of the sources to whom the journalist promised confidentiality was revealed and publicly known, not because of an application made by the </w:t>
      </w:r>
      <w:r w:rsidRPr="00077BF7">
        <w:rPr>
          <w:iCs/>
          <w:lang w:val="en-CA"/>
        </w:rPr>
        <w:t>Sûreté du</w:t>
      </w:r>
      <w:r w:rsidRPr="00F363AE">
        <w:rPr>
          <w:iCs/>
          <w:lang w:val="en-CA"/>
        </w:rPr>
        <w:t xml:space="preserve"> </w:t>
      </w:r>
      <w:r w:rsidRPr="00077BF7">
        <w:rPr>
          <w:iCs/>
          <w:lang w:val="en-CA"/>
        </w:rPr>
        <w:t>Québec</w:t>
      </w:r>
      <w:r w:rsidRPr="00F363AE">
        <w:rPr>
          <w:iCs/>
          <w:lang w:val="en-CA"/>
        </w:rPr>
        <w:t>,</w:t>
      </w:r>
      <w:r w:rsidRPr="0050379F">
        <w:rPr>
          <w:lang w:val="en-CA"/>
        </w:rPr>
        <w:t xml:space="preserve"> but entirely </w:t>
      </w:r>
      <w:r w:rsidR="00F363AE">
        <w:rPr>
          <w:lang w:val="en-CA"/>
        </w:rPr>
        <w:t xml:space="preserve">because of </w:t>
      </w:r>
      <w:r w:rsidRPr="0050379F">
        <w:rPr>
          <w:lang w:val="en-CA"/>
        </w:rPr>
        <w:t>the choices made by Groupe TVA I</w:t>
      </w:r>
      <w:r w:rsidR="009F273F" w:rsidRPr="0050379F">
        <w:rPr>
          <w:lang w:val="en-CA"/>
        </w:rPr>
        <w:t>nc.</w:t>
      </w:r>
    </w:p>
    <w:p w14:paraId="6A3F4BB6" w14:textId="4EB27DCE" w:rsidR="009F273F" w:rsidRPr="0050379F" w:rsidRDefault="00415C5A" w:rsidP="009F273F">
      <w:pPr>
        <w:pStyle w:val="Paragraphe"/>
        <w:tabs>
          <w:tab w:val="clear" w:pos="360"/>
          <w:tab w:val="num" w:pos="709"/>
        </w:tabs>
        <w:spacing w:before="100" w:after="100" w:line="240" w:lineRule="auto"/>
        <w:rPr>
          <w:b/>
          <w:lang w:val="en-CA"/>
        </w:rPr>
      </w:pPr>
      <w:r w:rsidRPr="0050379F">
        <w:rPr>
          <w:lang w:val="en-CA"/>
        </w:rPr>
        <w:t xml:space="preserve">On the other hand, </w:t>
      </w:r>
      <w:r w:rsidR="00F363AE">
        <w:rPr>
          <w:lang w:val="en-CA"/>
        </w:rPr>
        <w:t>although</w:t>
      </w:r>
      <w:r w:rsidRPr="0050379F">
        <w:rPr>
          <w:lang w:val="en-CA"/>
        </w:rPr>
        <w:t xml:space="preserve"> the very existence of the privilege </w:t>
      </w:r>
      <w:r w:rsidR="00F363AE">
        <w:rPr>
          <w:lang w:val="en-CA"/>
        </w:rPr>
        <w:t>attached to</w:t>
      </w:r>
      <w:r w:rsidR="00F363AE" w:rsidRPr="0050379F">
        <w:rPr>
          <w:lang w:val="en-CA"/>
        </w:rPr>
        <w:t xml:space="preserve"> </w:t>
      </w:r>
      <w:r w:rsidRPr="0050379F">
        <w:rPr>
          <w:lang w:val="en-CA"/>
        </w:rPr>
        <w:t xml:space="preserve">journalistic sources may be contested here, </w:t>
      </w:r>
      <w:r w:rsidR="00F363AE">
        <w:rPr>
          <w:lang w:val="en-CA"/>
        </w:rPr>
        <w:t>the</w:t>
      </w:r>
      <w:r w:rsidRPr="0050379F">
        <w:rPr>
          <w:lang w:val="en-CA"/>
        </w:rPr>
        <w:t xml:space="preserve"> situation </w:t>
      </w:r>
      <w:r w:rsidR="00F363AE">
        <w:rPr>
          <w:lang w:val="en-CA"/>
        </w:rPr>
        <w:t xml:space="preserve">before the Court is one where </w:t>
      </w:r>
      <w:r w:rsidRPr="0050379F">
        <w:rPr>
          <w:lang w:val="en-CA"/>
        </w:rPr>
        <w:t xml:space="preserve">the </w:t>
      </w:r>
      <w:r w:rsidRPr="00077BF7">
        <w:rPr>
          <w:iCs/>
          <w:lang w:val="en-CA"/>
        </w:rPr>
        <w:t>Sûreté du</w:t>
      </w:r>
      <w:r w:rsidRPr="00F363AE">
        <w:rPr>
          <w:iCs/>
          <w:lang w:val="en-CA"/>
        </w:rPr>
        <w:t xml:space="preserve"> </w:t>
      </w:r>
      <w:r w:rsidRPr="00077BF7">
        <w:rPr>
          <w:iCs/>
          <w:lang w:val="en-CA"/>
        </w:rPr>
        <w:t>Québec</w:t>
      </w:r>
      <w:r w:rsidRPr="0050379F">
        <w:rPr>
          <w:lang w:val="en-CA"/>
        </w:rPr>
        <w:t xml:space="preserve"> already has access to almost all of the inf</w:t>
      </w:r>
      <w:r w:rsidR="0045410B" w:rsidRPr="0050379F">
        <w:rPr>
          <w:lang w:val="en-CA"/>
        </w:rPr>
        <w:t>ormation given by these persons</w:t>
      </w:r>
      <w:r w:rsidR="009F273F" w:rsidRPr="0050379F">
        <w:rPr>
          <w:lang w:val="en-CA"/>
        </w:rPr>
        <w:t xml:space="preserve">. </w:t>
      </w:r>
      <w:r w:rsidR="0045410B" w:rsidRPr="0050379F">
        <w:rPr>
          <w:lang w:val="en-CA"/>
        </w:rPr>
        <w:t xml:space="preserve">The information that was not </w:t>
      </w:r>
      <w:r w:rsidR="00986716">
        <w:rPr>
          <w:lang w:val="en-CA"/>
        </w:rPr>
        <w:t>broadcast</w:t>
      </w:r>
      <w:r w:rsidR="0045410B" w:rsidRPr="0050379F">
        <w:rPr>
          <w:lang w:val="en-CA"/>
        </w:rPr>
        <w:t xml:space="preserve"> is of little probative value, is already known to the police</w:t>
      </w:r>
      <w:r w:rsidR="00F363AE">
        <w:rPr>
          <w:lang w:val="en-CA"/>
        </w:rPr>
        <w:t>,</w:t>
      </w:r>
      <w:r w:rsidR="0045410B" w:rsidRPr="0050379F">
        <w:rPr>
          <w:lang w:val="en-CA"/>
        </w:rPr>
        <w:t xml:space="preserve"> or may be obtained by them otherwise.</w:t>
      </w:r>
    </w:p>
    <w:p w14:paraId="19487F2E" w14:textId="49CE86A4" w:rsidR="009F273F" w:rsidRPr="0050379F" w:rsidRDefault="0045410B" w:rsidP="009F273F">
      <w:pPr>
        <w:pStyle w:val="Paragraphe"/>
        <w:tabs>
          <w:tab w:val="clear" w:pos="360"/>
          <w:tab w:val="num" w:pos="709"/>
        </w:tabs>
        <w:spacing w:before="100" w:after="100" w:line="240" w:lineRule="auto"/>
        <w:rPr>
          <w:b/>
          <w:lang w:val="en-CA"/>
        </w:rPr>
      </w:pPr>
      <w:r w:rsidRPr="0050379F">
        <w:rPr>
          <w:lang w:val="en-CA"/>
        </w:rPr>
        <w:t>The issu</w:t>
      </w:r>
      <w:r w:rsidR="00F363AE">
        <w:rPr>
          <w:lang w:val="en-CA"/>
        </w:rPr>
        <w:t>ing</w:t>
      </w:r>
      <w:r w:rsidRPr="0050379F">
        <w:rPr>
          <w:lang w:val="en-CA"/>
        </w:rPr>
        <w:t xml:space="preserve"> of </w:t>
      </w:r>
      <w:r w:rsidR="00F363AE">
        <w:rPr>
          <w:lang w:val="en-CA"/>
        </w:rPr>
        <w:t>general production</w:t>
      </w:r>
      <w:r w:rsidR="00F363AE" w:rsidRPr="0050379F">
        <w:rPr>
          <w:lang w:val="en-CA"/>
        </w:rPr>
        <w:t xml:space="preserve"> </w:t>
      </w:r>
      <w:r w:rsidRPr="0050379F">
        <w:rPr>
          <w:lang w:val="en-CA"/>
        </w:rPr>
        <w:t>orders and search warrants against the media must remain exceptional</w:t>
      </w:r>
      <w:r w:rsidR="00F363AE">
        <w:rPr>
          <w:lang w:val="en-CA"/>
        </w:rPr>
        <w:t>,</w:t>
      </w:r>
      <w:r w:rsidRPr="0050379F">
        <w:rPr>
          <w:lang w:val="en-CA"/>
        </w:rPr>
        <w:t xml:space="preserve"> so as to not hinder their essential work of </w:t>
      </w:r>
      <w:r w:rsidR="00C37DF6">
        <w:rPr>
          <w:lang w:val="en-CA"/>
        </w:rPr>
        <w:t>gathering</w:t>
      </w:r>
      <w:r w:rsidRPr="0050379F">
        <w:rPr>
          <w:lang w:val="en-CA"/>
        </w:rPr>
        <w:t xml:space="preserve"> and disseminating information in a democratic society.</w:t>
      </w:r>
    </w:p>
    <w:p w14:paraId="0D43B712" w14:textId="02588C57" w:rsidR="009F273F" w:rsidRPr="0050379F" w:rsidRDefault="0045410B" w:rsidP="009F273F">
      <w:pPr>
        <w:pStyle w:val="Paragraphe"/>
        <w:tabs>
          <w:tab w:val="clear" w:pos="360"/>
          <w:tab w:val="num" w:pos="709"/>
        </w:tabs>
        <w:spacing w:before="100" w:after="100" w:line="240" w:lineRule="auto"/>
        <w:rPr>
          <w:b/>
          <w:lang w:val="en-CA"/>
        </w:rPr>
      </w:pPr>
      <w:r w:rsidRPr="0050379F">
        <w:rPr>
          <w:lang w:val="en-CA"/>
        </w:rPr>
        <w:t xml:space="preserve">For these reasons, </w:t>
      </w:r>
      <w:r w:rsidR="00F363AE">
        <w:rPr>
          <w:lang w:val="en-CA"/>
        </w:rPr>
        <w:t>on the matter of</w:t>
      </w:r>
      <w:r w:rsidR="00F363AE" w:rsidRPr="0050379F">
        <w:rPr>
          <w:lang w:val="en-CA"/>
        </w:rPr>
        <w:t xml:space="preserve"> </w:t>
      </w:r>
      <w:r w:rsidRPr="0050379F">
        <w:rPr>
          <w:lang w:val="en-CA"/>
        </w:rPr>
        <w:t xml:space="preserve">the complete recording of the interview with individuals A and B, the Court is not convinced that the public interest in investigations </w:t>
      </w:r>
      <w:r w:rsidR="00F363AE">
        <w:rPr>
          <w:lang w:val="en-CA"/>
        </w:rPr>
        <w:t xml:space="preserve">being </w:t>
      </w:r>
      <w:r w:rsidRPr="0050379F">
        <w:rPr>
          <w:lang w:val="en-CA"/>
        </w:rPr>
        <w:t xml:space="preserve">conducted and in prosecutions </w:t>
      </w:r>
      <w:r w:rsidR="001D75D1">
        <w:rPr>
          <w:lang w:val="en-CA"/>
        </w:rPr>
        <w:t xml:space="preserve">being undertaken for </w:t>
      </w:r>
      <w:r w:rsidRPr="0050379F">
        <w:rPr>
          <w:lang w:val="en-CA"/>
        </w:rPr>
        <w:t xml:space="preserve">criminal offences </w:t>
      </w:r>
      <w:r w:rsidR="001D75D1">
        <w:rPr>
          <w:lang w:val="en-CA"/>
        </w:rPr>
        <w:t xml:space="preserve">should </w:t>
      </w:r>
      <w:r w:rsidRPr="0050379F">
        <w:rPr>
          <w:lang w:val="en-CA"/>
        </w:rPr>
        <w:t xml:space="preserve">take precedence over the right of a journalist to confidentiality in the process of </w:t>
      </w:r>
      <w:r w:rsidR="00CF2177">
        <w:rPr>
          <w:lang w:val="en-CA"/>
        </w:rPr>
        <w:t>gathering</w:t>
      </w:r>
      <w:r w:rsidRPr="0050379F">
        <w:rPr>
          <w:lang w:val="en-CA"/>
        </w:rPr>
        <w:t xml:space="preserve"> and disseminating information</w:t>
      </w:r>
      <w:r w:rsidR="009F273F" w:rsidRPr="0050379F">
        <w:rPr>
          <w:lang w:val="en-CA"/>
        </w:rPr>
        <w:t>.</w:t>
      </w:r>
    </w:p>
    <w:p w14:paraId="79D2D938" w14:textId="77777777" w:rsidR="009F273F" w:rsidRPr="0050379F" w:rsidRDefault="0045410B" w:rsidP="009F273F">
      <w:pPr>
        <w:pStyle w:val="Paragraphe"/>
        <w:numPr>
          <w:ilvl w:val="0"/>
          <w:numId w:val="0"/>
        </w:numPr>
        <w:tabs>
          <w:tab w:val="num" w:pos="709"/>
        </w:tabs>
        <w:spacing w:before="100" w:after="100" w:line="240" w:lineRule="auto"/>
        <w:rPr>
          <w:b/>
          <w:lang w:val="en-CA"/>
        </w:rPr>
      </w:pPr>
      <w:r w:rsidRPr="0050379F">
        <w:rPr>
          <w:b/>
          <w:lang w:val="en-CA"/>
        </w:rPr>
        <w:t>FOR THESE REASONS THE COURT</w:t>
      </w:r>
      <w:r w:rsidR="009F273F" w:rsidRPr="0050379F">
        <w:rPr>
          <w:b/>
          <w:lang w:val="en-CA"/>
        </w:rPr>
        <w:t>:</w:t>
      </w:r>
    </w:p>
    <w:p w14:paraId="28E43594" w14:textId="44F3A4A2" w:rsidR="009F273F" w:rsidRPr="0050379F" w:rsidRDefault="0045410B" w:rsidP="009F273F">
      <w:pPr>
        <w:pStyle w:val="Paragraphe"/>
        <w:numPr>
          <w:ilvl w:val="0"/>
          <w:numId w:val="0"/>
        </w:numPr>
        <w:spacing w:before="100" w:after="100" w:line="240" w:lineRule="auto"/>
        <w:rPr>
          <w:lang w:val="en-CA"/>
        </w:rPr>
      </w:pPr>
      <w:r w:rsidRPr="0050379F">
        <w:rPr>
          <w:b/>
          <w:lang w:val="en-CA"/>
        </w:rPr>
        <w:t>ORD</w:t>
      </w:r>
      <w:r w:rsidR="009F273F" w:rsidRPr="0050379F">
        <w:rPr>
          <w:b/>
          <w:lang w:val="en-CA"/>
        </w:rPr>
        <w:t>E</w:t>
      </w:r>
      <w:r w:rsidRPr="0050379F">
        <w:rPr>
          <w:b/>
          <w:lang w:val="en-CA"/>
        </w:rPr>
        <w:t>RS</w:t>
      </w:r>
      <w:r w:rsidR="009F273F" w:rsidRPr="0050379F">
        <w:rPr>
          <w:b/>
          <w:lang w:val="en-CA"/>
        </w:rPr>
        <w:t xml:space="preserve"> </w:t>
      </w:r>
      <w:r w:rsidRPr="0050379F">
        <w:rPr>
          <w:lang w:val="en-CA"/>
        </w:rPr>
        <w:t xml:space="preserve">that the USB stick containing the recording of the </w:t>
      </w:r>
      <w:r w:rsidR="001C06E7">
        <w:rPr>
          <w:lang w:val="en-CA"/>
        </w:rPr>
        <w:t>complete</w:t>
      </w:r>
      <w:r w:rsidR="001C06E7" w:rsidRPr="0050379F">
        <w:rPr>
          <w:lang w:val="en-CA"/>
        </w:rPr>
        <w:t xml:space="preserve"> </w:t>
      </w:r>
      <w:r w:rsidRPr="0050379F">
        <w:rPr>
          <w:lang w:val="en-CA"/>
        </w:rPr>
        <w:t>conversation between the journalist and individuals A and B</w:t>
      </w:r>
      <w:r w:rsidR="001C06E7">
        <w:rPr>
          <w:lang w:val="en-CA"/>
        </w:rPr>
        <w:t xml:space="preserve">, along with </w:t>
      </w:r>
      <w:r w:rsidRPr="0050379F">
        <w:rPr>
          <w:lang w:val="en-CA"/>
        </w:rPr>
        <w:t>the appended affidavit</w:t>
      </w:r>
      <w:r w:rsidR="001C06E7">
        <w:rPr>
          <w:lang w:val="en-CA"/>
        </w:rPr>
        <w:t>,</w:t>
      </w:r>
      <w:r w:rsidRPr="0050379F">
        <w:rPr>
          <w:lang w:val="en-CA"/>
        </w:rPr>
        <w:t xml:space="preserve"> be </w:t>
      </w:r>
      <w:r w:rsidR="001C06E7">
        <w:rPr>
          <w:lang w:val="en-CA"/>
        </w:rPr>
        <w:t xml:space="preserve">delivered </w:t>
      </w:r>
      <w:r w:rsidRPr="0050379F">
        <w:rPr>
          <w:lang w:val="en-CA"/>
        </w:rPr>
        <w:t xml:space="preserve">to Groupe TVA Inc.; </w:t>
      </w:r>
    </w:p>
    <w:p w14:paraId="55E82889" w14:textId="34AD2AE7" w:rsidR="009F273F" w:rsidRPr="0050379F" w:rsidRDefault="009F273F" w:rsidP="009F273F">
      <w:pPr>
        <w:pStyle w:val="Paragraphe"/>
        <w:numPr>
          <w:ilvl w:val="0"/>
          <w:numId w:val="0"/>
        </w:numPr>
        <w:spacing w:before="100" w:after="100" w:line="240" w:lineRule="auto"/>
        <w:rPr>
          <w:lang w:val="en-CA"/>
        </w:rPr>
      </w:pPr>
      <w:r w:rsidRPr="0050379F">
        <w:rPr>
          <w:b/>
          <w:lang w:val="en-CA"/>
        </w:rPr>
        <w:t>ORD</w:t>
      </w:r>
      <w:r w:rsidR="0045410B" w:rsidRPr="0050379F">
        <w:rPr>
          <w:b/>
          <w:lang w:val="en-CA"/>
        </w:rPr>
        <w:t>ERS</w:t>
      </w:r>
      <w:r w:rsidR="0045410B" w:rsidRPr="0050379F">
        <w:rPr>
          <w:lang w:val="en-CA"/>
        </w:rPr>
        <w:t xml:space="preserve"> Groupe TVA I</w:t>
      </w:r>
      <w:r w:rsidRPr="0050379F">
        <w:rPr>
          <w:lang w:val="en-CA"/>
        </w:rPr>
        <w:t xml:space="preserve">nc. </w:t>
      </w:r>
      <w:r w:rsidR="0045410B" w:rsidRPr="0050379F">
        <w:rPr>
          <w:lang w:val="en-CA"/>
        </w:rPr>
        <w:t xml:space="preserve">to </w:t>
      </w:r>
      <w:r w:rsidR="001C06E7">
        <w:rPr>
          <w:lang w:val="en-CA"/>
        </w:rPr>
        <w:t>deliver</w:t>
      </w:r>
      <w:r w:rsidR="001C06E7" w:rsidRPr="0050379F">
        <w:rPr>
          <w:lang w:val="en-CA"/>
        </w:rPr>
        <w:t xml:space="preserve"> </w:t>
      </w:r>
      <w:r w:rsidR="0045410B" w:rsidRPr="0050379F">
        <w:rPr>
          <w:lang w:val="en-CA"/>
        </w:rPr>
        <w:t xml:space="preserve">to managing </w:t>
      </w:r>
      <w:r w:rsidR="0050379F" w:rsidRPr="0050379F">
        <w:rPr>
          <w:lang w:val="en-CA"/>
        </w:rPr>
        <w:t>sergeant</w:t>
      </w:r>
      <w:r w:rsidR="00A40D99" w:rsidRPr="0050379F">
        <w:rPr>
          <w:lang w:val="en-CA"/>
        </w:rPr>
        <w:t xml:space="preserve"> </w:t>
      </w:r>
      <w:r w:rsidRPr="0050379F">
        <w:rPr>
          <w:lang w:val="en-CA"/>
        </w:rPr>
        <w:t>Geneviève Guérin</w:t>
      </w:r>
      <w:r w:rsidR="00A40D99" w:rsidRPr="0050379F">
        <w:rPr>
          <w:lang w:val="en-CA"/>
        </w:rPr>
        <w:t xml:space="preserve"> of the </w:t>
      </w:r>
      <w:r w:rsidR="00213D70" w:rsidRPr="00213D70">
        <w:rPr>
          <w:lang w:val="en-CA"/>
        </w:rPr>
        <w:t>Sûreté du Québec</w:t>
      </w:r>
      <w:r w:rsidRPr="0050379F">
        <w:rPr>
          <w:lang w:val="en-CA"/>
        </w:rPr>
        <w:t xml:space="preserve">, </w:t>
      </w:r>
      <w:r w:rsidR="00CB2B42" w:rsidRPr="0050379F">
        <w:rPr>
          <w:lang w:val="en-CA"/>
        </w:rPr>
        <w:t>within 30 days, the original or</w:t>
      </w:r>
      <w:r w:rsidR="001C06E7">
        <w:rPr>
          <w:lang w:val="en-CA"/>
        </w:rPr>
        <w:t>,</w:t>
      </w:r>
      <w:r w:rsidR="00CB2B42" w:rsidRPr="0050379F">
        <w:rPr>
          <w:lang w:val="en-CA"/>
        </w:rPr>
        <w:t xml:space="preserve"> failing that, a true copy of the</w:t>
      </w:r>
      <w:r w:rsidR="0050379F" w:rsidRPr="0050379F">
        <w:rPr>
          <w:lang w:val="en-CA"/>
        </w:rPr>
        <w:t xml:space="preserve"> </w:t>
      </w:r>
      <w:r w:rsidR="00CB2B42" w:rsidRPr="0050379F">
        <w:rPr>
          <w:lang w:val="en-CA"/>
        </w:rPr>
        <w:t>audio</w:t>
      </w:r>
      <w:r w:rsidR="001C06E7">
        <w:rPr>
          <w:lang w:val="en-CA"/>
        </w:rPr>
        <w:t xml:space="preserve"> recordings</w:t>
      </w:r>
      <w:r w:rsidR="00CB2B42" w:rsidRPr="0050379F">
        <w:rPr>
          <w:lang w:val="en-CA"/>
        </w:rPr>
        <w:t>/video</w:t>
      </w:r>
      <w:r w:rsidR="0050379F" w:rsidRPr="0050379F">
        <w:rPr>
          <w:lang w:val="en-CA"/>
        </w:rPr>
        <w:t xml:space="preserve"> interviews </w:t>
      </w:r>
      <w:r w:rsidR="001C06E7">
        <w:rPr>
          <w:lang w:val="en-CA"/>
        </w:rPr>
        <w:t>featuring the</w:t>
      </w:r>
      <w:r w:rsidR="001C06E7" w:rsidRPr="001C06E7">
        <w:rPr>
          <w:lang w:val="en-CA"/>
        </w:rPr>
        <w:t xml:space="preserve"> complete conversations </w:t>
      </w:r>
      <w:r w:rsidR="0050379F" w:rsidRPr="0050379F">
        <w:rPr>
          <w:lang w:val="en-CA"/>
        </w:rPr>
        <w:t xml:space="preserve">between the journalist(s) and individual C, as specified in the general </w:t>
      </w:r>
      <w:r w:rsidR="001C06E7">
        <w:rPr>
          <w:lang w:val="en-CA"/>
        </w:rPr>
        <w:t>production</w:t>
      </w:r>
      <w:r w:rsidR="001C06E7" w:rsidRPr="0050379F">
        <w:rPr>
          <w:lang w:val="en-CA"/>
        </w:rPr>
        <w:t xml:space="preserve"> </w:t>
      </w:r>
      <w:r w:rsidR="0050379F" w:rsidRPr="0050379F">
        <w:rPr>
          <w:lang w:val="en-CA"/>
        </w:rPr>
        <w:t xml:space="preserve">order bearing number </w:t>
      </w:r>
      <w:r w:rsidRPr="0050379F">
        <w:rPr>
          <w:lang w:val="en-CA"/>
        </w:rPr>
        <w:t>500-26-121035-202;</w:t>
      </w:r>
    </w:p>
    <w:p w14:paraId="4667EB55" w14:textId="55926030" w:rsidR="009F273F" w:rsidRPr="0050379F" w:rsidRDefault="0050379F" w:rsidP="009F273F">
      <w:pPr>
        <w:pStyle w:val="Paragraphe"/>
        <w:numPr>
          <w:ilvl w:val="0"/>
          <w:numId w:val="0"/>
        </w:numPr>
        <w:spacing w:before="100" w:after="100" w:line="240" w:lineRule="auto"/>
        <w:rPr>
          <w:lang w:val="en-CA"/>
        </w:rPr>
      </w:pPr>
      <w:r w:rsidRPr="0050379F">
        <w:rPr>
          <w:b/>
          <w:lang w:val="en-CA"/>
        </w:rPr>
        <w:t>ORDER</w:t>
      </w:r>
      <w:r w:rsidR="0043244D">
        <w:rPr>
          <w:b/>
          <w:lang w:val="en-CA"/>
        </w:rPr>
        <w:t>S</w:t>
      </w:r>
      <w:r w:rsidRPr="0050379F">
        <w:rPr>
          <w:lang w:val="en-CA"/>
        </w:rPr>
        <w:t xml:space="preserve"> Groupe TVA I</w:t>
      </w:r>
      <w:r w:rsidR="009F273F" w:rsidRPr="0050379F">
        <w:rPr>
          <w:lang w:val="en-CA"/>
        </w:rPr>
        <w:t xml:space="preserve">nc. </w:t>
      </w:r>
      <w:r w:rsidRPr="0050379F">
        <w:rPr>
          <w:lang w:val="en-CA"/>
        </w:rPr>
        <w:t xml:space="preserve">to </w:t>
      </w:r>
      <w:r w:rsidR="001C06E7">
        <w:rPr>
          <w:lang w:val="en-CA"/>
        </w:rPr>
        <w:t>deliver</w:t>
      </w:r>
      <w:r w:rsidR="001C06E7" w:rsidRPr="0050379F">
        <w:rPr>
          <w:lang w:val="en-CA"/>
        </w:rPr>
        <w:t xml:space="preserve"> </w:t>
      </w:r>
      <w:r w:rsidRPr="0050379F">
        <w:rPr>
          <w:lang w:val="en-CA"/>
        </w:rPr>
        <w:t xml:space="preserve">to managing sergeant Geneviève Guérin of the </w:t>
      </w:r>
      <w:r w:rsidR="00213D70" w:rsidRPr="00213D70">
        <w:rPr>
          <w:lang w:val="en-CA"/>
        </w:rPr>
        <w:t>Sûreté du Québec</w:t>
      </w:r>
      <w:r w:rsidRPr="0050379F">
        <w:rPr>
          <w:lang w:val="en-CA"/>
        </w:rPr>
        <w:t>, within 30 days, a</w:t>
      </w:r>
      <w:r w:rsidR="009F273F" w:rsidRPr="0050379F">
        <w:rPr>
          <w:lang w:val="en-CA"/>
        </w:rPr>
        <w:t xml:space="preserve">n affidavit </w:t>
      </w:r>
      <w:r w:rsidR="00CF2177">
        <w:rPr>
          <w:lang w:val="en-CA"/>
        </w:rPr>
        <w:t>pursuant to</w:t>
      </w:r>
      <w:r w:rsidRPr="0050379F">
        <w:rPr>
          <w:lang w:val="en-CA"/>
        </w:rPr>
        <w:t xml:space="preserve"> the </w:t>
      </w:r>
      <w:r w:rsidRPr="0050379F">
        <w:rPr>
          <w:i/>
          <w:lang w:val="en-CA"/>
        </w:rPr>
        <w:t>Canada Evidence Act</w:t>
      </w:r>
      <w:r w:rsidRPr="0050379F">
        <w:rPr>
          <w:lang w:val="en-CA"/>
        </w:rPr>
        <w:t xml:space="preserve"> confirming that the audio</w:t>
      </w:r>
      <w:r w:rsidR="001C06E7">
        <w:rPr>
          <w:lang w:val="en-CA"/>
        </w:rPr>
        <w:t xml:space="preserve"> recordings</w:t>
      </w:r>
      <w:r w:rsidRPr="0050379F">
        <w:rPr>
          <w:lang w:val="en-CA"/>
        </w:rPr>
        <w:t xml:space="preserve">/video </w:t>
      </w:r>
      <w:r w:rsidR="001C06E7">
        <w:rPr>
          <w:lang w:val="en-CA"/>
        </w:rPr>
        <w:t xml:space="preserve">interviews featuring </w:t>
      </w:r>
      <w:r w:rsidRPr="0050379F">
        <w:rPr>
          <w:lang w:val="en-CA"/>
        </w:rPr>
        <w:t xml:space="preserve">the complete conversations between the journalist(s) and individual C </w:t>
      </w:r>
      <w:r w:rsidR="00FF2189">
        <w:rPr>
          <w:lang w:val="en-CA"/>
        </w:rPr>
        <w:t xml:space="preserve">that are delivered </w:t>
      </w:r>
      <w:r w:rsidRPr="0050379F">
        <w:rPr>
          <w:lang w:val="en-CA"/>
        </w:rPr>
        <w:t xml:space="preserve">to her </w:t>
      </w:r>
      <w:r w:rsidR="00FF2189">
        <w:rPr>
          <w:lang w:val="en-CA"/>
        </w:rPr>
        <w:t>are in compliance</w:t>
      </w:r>
      <w:r w:rsidRPr="0050379F">
        <w:rPr>
          <w:lang w:val="en-CA"/>
        </w:rPr>
        <w:t xml:space="preserve"> with the </w:t>
      </w:r>
      <w:r w:rsidR="00FF2189">
        <w:rPr>
          <w:lang w:val="en-CA"/>
        </w:rPr>
        <w:t xml:space="preserve">terms and </w:t>
      </w:r>
      <w:r w:rsidRPr="0050379F">
        <w:rPr>
          <w:lang w:val="en-CA"/>
        </w:rPr>
        <w:t xml:space="preserve">conditions of the general </w:t>
      </w:r>
      <w:r w:rsidR="00FF2189">
        <w:rPr>
          <w:lang w:val="en-CA"/>
        </w:rPr>
        <w:t xml:space="preserve">production </w:t>
      </w:r>
      <w:r w:rsidRPr="0050379F">
        <w:rPr>
          <w:lang w:val="en-CA"/>
        </w:rPr>
        <w:t xml:space="preserve">order bearing number </w:t>
      </w:r>
      <w:r w:rsidR="009F273F" w:rsidRPr="0050379F">
        <w:rPr>
          <w:lang w:val="en-CA"/>
        </w:rPr>
        <w:t>500-26-121035-202.</w:t>
      </w:r>
    </w:p>
    <w:p w14:paraId="1BBBF45F" w14:textId="77777777" w:rsidR="009F273F" w:rsidRPr="0050379F" w:rsidRDefault="009F273F" w:rsidP="009F273F">
      <w:pPr>
        <w:pStyle w:val="Paragraphe"/>
        <w:numPr>
          <w:ilvl w:val="0"/>
          <w:numId w:val="0"/>
        </w:numPr>
        <w:spacing w:before="0" w:after="0" w:line="240" w:lineRule="auto"/>
        <w:rPr>
          <w:lang w:val="en-CA"/>
        </w:rPr>
      </w:pPr>
      <w:r w:rsidRPr="0050379F">
        <w:rPr>
          <w:lang w:val="en-CA"/>
        </w:rPr>
        <w:t xml:space="preserve"> </w:t>
      </w:r>
    </w:p>
    <w:p w14:paraId="149AA7D9" w14:textId="77777777" w:rsidR="009F273F" w:rsidRPr="0050379F" w:rsidRDefault="009F273F" w:rsidP="009F273F">
      <w:pPr>
        <w:pStyle w:val="Paragraphe"/>
        <w:numPr>
          <w:ilvl w:val="0"/>
          <w:numId w:val="0"/>
        </w:numPr>
        <w:spacing w:before="0" w:after="0" w:line="240" w:lineRule="auto"/>
        <w:rPr>
          <w:lang w:val="en-CA"/>
        </w:rPr>
      </w:pPr>
    </w:p>
    <w:p w14:paraId="0C25E050" w14:textId="77777777" w:rsidR="009F273F" w:rsidRPr="0050379F" w:rsidRDefault="009F273F" w:rsidP="009F273F">
      <w:pPr>
        <w:pStyle w:val="Paragraphe"/>
        <w:numPr>
          <w:ilvl w:val="0"/>
          <w:numId w:val="0"/>
        </w:numPr>
        <w:spacing w:before="0" w:after="0" w:line="240" w:lineRule="auto"/>
        <w:rPr>
          <w:lang w:val="en-CA"/>
        </w:rPr>
      </w:pPr>
    </w:p>
    <w:tbl>
      <w:tblPr>
        <w:tblW w:w="9505" w:type="dxa"/>
        <w:tblLayout w:type="fixed"/>
        <w:tblCellMar>
          <w:left w:w="0" w:type="dxa"/>
          <w:right w:w="0" w:type="dxa"/>
        </w:tblCellMar>
        <w:tblLook w:val="0000" w:firstRow="0" w:lastRow="0" w:firstColumn="0" w:lastColumn="0" w:noHBand="0" w:noVBand="0"/>
      </w:tblPr>
      <w:tblGrid>
        <w:gridCol w:w="2068"/>
        <w:gridCol w:w="2799"/>
        <w:gridCol w:w="4638"/>
      </w:tblGrid>
      <w:tr w:rsidR="009F273F" w:rsidRPr="0050379F" w14:paraId="39F6046F" w14:textId="77777777" w:rsidTr="00C0771A">
        <w:trPr>
          <w:cantSplit/>
        </w:trPr>
        <w:tc>
          <w:tcPr>
            <w:tcW w:w="4867" w:type="dxa"/>
            <w:gridSpan w:val="2"/>
          </w:tcPr>
          <w:p w14:paraId="241B248C" w14:textId="77777777" w:rsidR="009F273F" w:rsidRPr="0050379F" w:rsidRDefault="009F273F" w:rsidP="00C0771A">
            <w:pPr>
              <w:rPr>
                <w:lang w:val="en-CA"/>
              </w:rPr>
            </w:pPr>
          </w:p>
        </w:tc>
        <w:tc>
          <w:tcPr>
            <w:tcW w:w="4638" w:type="dxa"/>
          </w:tcPr>
          <w:p w14:paraId="4055CD46" w14:textId="77777777" w:rsidR="009F273F" w:rsidRPr="00461702" w:rsidRDefault="009F273F" w:rsidP="00C0771A">
            <w:pPr>
              <w:pStyle w:val="zSoquijdatSignature3Juge"/>
            </w:pPr>
            <w:r w:rsidRPr="00461702">
              <w:t>__________________________________</w:t>
            </w:r>
          </w:p>
          <w:p w14:paraId="36B0DC09" w14:textId="77777777" w:rsidR="009F273F" w:rsidRPr="00461702" w:rsidRDefault="009F273F" w:rsidP="00C0771A">
            <w:pPr>
              <w:pStyle w:val="zSoquijdatSignature3Juge"/>
            </w:pPr>
            <w:r w:rsidRPr="00461702">
              <w:t xml:space="preserve">ALEXANDRE DALMAU, J.C.Q. </w:t>
            </w:r>
          </w:p>
        </w:tc>
      </w:tr>
      <w:tr w:rsidR="009F273F" w:rsidRPr="0050379F" w14:paraId="750364C7" w14:textId="77777777" w:rsidTr="00C0771A">
        <w:tblPrEx>
          <w:tblCellMar>
            <w:left w:w="70" w:type="dxa"/>
            <w:right w:w="70" w:type="dxa"/>
          </w:tblCellMar>
        </w:tblPrEx>
        <w:tc>
          <w:tcPr>
            <w:tcW w:w="9505" w:type="dxa"/>
            <w:gridSpan w:val="3"/>
          </w:tcPr>
          <w:p w14:paraId="2E14F4E3" w14:textId="77777777" w:rsidR="009F273F" w:rsidRPr="00461702" w:rsidRDefault="009F273F" w:rsidP="00C0771A"/>
        </w:tc>
      </w:tr>
      <w:tr w:rsidR="009F273F" w:rsidRPr="0050379F" w14:paraId="529C7932" w14:textId="77777777" w:rsidTr="00C0771A">
        <w:tblPrEx>
          <w:tblCellMar>
            <w:left w:w="70" w:type="dxa"/>
            <w:right w:w="70" w:type="dxa"/>
          </w:tblCellMar>
        </w:tblPrEx>
        <w:tc>
          <w:tcPr>
            <w:tcW w:w="9505" w:type="dxa"/>
            <w:gridSpan w:val="3"/>
          </w:tcPr>
          <w:p w14:paraId="1E3E2EF7" w14:textId="77777777" w:rsidR="009F273F" w:rsidRPr="00461702" w:rsidRDefault="009F273F" w:rsidP="00C0771A"/>
        </w:tc>
      </w:tr>
      <w:tr w:rsidR="009F273F" w:rsidRPr="00D20259" w14:paraId="36EDE614" w14:textId="77777777" w:rsidTr="00C0771A">
        <w:tblPrEx>
          <w:tblCellMar>
            <w:left w:w="70" w:type="dxa"/>
            <w:right w:w="70" w:type="dxa"/>
          </w:tblCellMar>
        </w:tblPrEx>
        <w:trPr>
          <w:cantSplit/>
        </w:trPr>
        <w:tc>
          <w:tcPr>
            <w:tcW w:w="9505" w:type="dxa"/>
            <w:gridSpan w:val="3"/>
          </w:tcPr>
          <w:p w14:paraId="57E2473C" w14:textId="4D6FA1B6" w:rsidR="009F273F" w:rsidRPr="0050379F" w:rsidRDefault="00FF2189" w:rsidP="00C0771A">
            <w:pPr>
              <w:pStyle w:val="zSoquijdatNomProcureurDem"/>
              <w:rPr>
                <w:lang w:val="en-CA"/>
              </w:rPr>
            </w:pPr>
            <w:r>
              <w:rPr>
                <w:lang w:val="en-CA"/>
              </w:rPr>
              <w:t xml:space="preserve">Mtre </w:t>
            </w:r>
            <w:r w:rsidR="009F273F" w:rsidRPr="0050379F">
              <w:rPr>
                <w:lang w:val="en-CA"/>
              </w:rPr>
              <w:t>René Verret</w:t>
            </w:r>
          </w:p>
          <w:p w14:paraId="1ED39AFF" w14:textId="4E9BACD7" w:rsidR="009F273F" w:rsidRPr="0050379F" w:rsidRDefault="0050379F" w:rsidP="00C0771A">
            <w:pPr>
              <w:pStyle w:val="zSoquijdatNomProcureurDem"/>
              <w:rPr>
                <w:lang w:val="en-CA"/>
              </w:rPr>
            </w:pPr>
            <w:r w:rsidRPr="0050379F">
              <w:rPr>
                <w:lang w:val="en-CA"/>
              </w:rPr>
              <w:t xml:space="preserve">Counsel for the </w:t>
            </w:r>
            <w:r w:rsidR="00FF2189">
              <w:rPr>
                <w:lang w:val="en-CA"/>
              </w:rPr>
              <w:t>a</w:t>
            </w:r>
            <w:r w:rsidRPr="0050379F">
              <w:rPr>
                <w:lang w:val="en-CA"/>
              </w:rPr>
              <w:t>pplicant</w:t>
            </w:r>
          </w:p>
        </w:tc>
      </w:tr>
      <w:tr w:rsidR="009F273F" w:rsidRPr="00D20259" w14:paraId="274FCC1A" w14:textId="77777777" w:rsidTr="00C0771A">
        <w:tblPrEx>
          <w:tblCellMar>
            <w:left w:w="70" w:type="dxa"/>
            <w:right w:w="70" w:type="dxa"/>
          </w:tblCellMar>
        </w:tblPrEx>
        <w:trPr>
          <w:cantSplit/>
        </w:trPr>
        <w:tc>
          <w:tcPr>
            <w:tcW w:w="9505" w:type="dxa"/>
            <w:gridSpan w:val="3"/>
          </w:tcPr>
          <w:p w14:paraId="5FA06501" w14:textId="77777777" w:rsidR="009F273F" w:rsidRPr="0050379F" w:rsidRDefault="009F273F" w:rsidP="00C0771A">
            <w:pPr>
              <w:rPr>
                <w:lang w:val="en-CA"/>
              </w:rPr>
            </w:pPr>
          </w:p>
        </w:tc>
      </w:tr>
      <w:tr w:rsidR="009F273F" w:rsidRPr="00D20259" w14:paraId="7B0CCA68" w14:textId="77777777" w:rsidTr="00C0771A">
        <w:tblPrEx>
          <w:tblCellMar>
            <w:left w:w="70" w:type="dxa"/>
            <w:right w:w="70" w:type="dxa"/>
          </w:tblCellMar>
        </w:tblPrEx>
        <w:trPr>
          <w:cantSplit/>
        </w:trPr>
        <w:tc>
          <w:tcPr>
            <w:tcW w:w="9505" w:type="dxa"/>
            <w:gridSpan w:val="3"/>
          </w:tcPr>
          <w:p w14:paraId="3B55DB23" w14:textId="26FE5B0F" w:rsidR="009F273F" w:rsidRPr="0050379F" w:rsidRDefault="00FF2189" w:rsidP="00C0771A">
            <w:pPr>
              <w:pStyle w:val="zSoquijdatNomProcureurDem"/>
              <w:rPr>
                <w:lang w:val="en-CA"/>
              </w:rPr>
            </w:pPr>
            <w:r>
              <w:rPr>
                <w:lang w:val="en-CA"/>
              </w:rPr>
              <w:t xml:space="preserve">Mtre </w:t>
            </w:r>
            <w:r w:rsidR="009F273F" w:rsidRPr="0050379F">
              <w:rPr>
                <w:lang w:val="en-CA"/>
              </w:rPr>
              <w:t>Amanda Santache</w:t>
            </w:r>
          </w:p>
          <w:p w14:paraId="67C49173" w14:textId="06F81F60" w:rsidR="009F273F" w:rsidRPr="0050379F" w:rsidRDefault="0050379F" w:rsidP="00C0771A">
            <w:pPr>
              <w:pStyle w:val="zSoquijdatNomProcureurDef"/>
              <w:rPr>
                <w:lang w:val="en-CA"/>
              </w:rPr>
            </w:pPr>
            <w:r w:rsidRPr="0050379F">
              <w:rPr>
                <w:lang w:val="en-CA"/>
              </w:rPr>
              <w:t xml:space="preserve">Counsel for the </w:t>
            </w:r>
            <w:r w:rsidR="00FF2189">
              <w:rPr>
                <w:lang w:val="en-CA"/>
              </w:rPr>
              <w:t>r</w:t>
            </w:r>
            <w:r w:rsidRPr="0050379F">
              <w:rPr>
                <w:lang w:val="en-CA"/>
              </w:rPr>
              <w:t>espondent</w:t>
            </w:r>
          </w:p>
        </w:tc>
      </w:tr>
      <w:tr w:rsidR="009F273F" w:rsidRPr="00D20259" w14:paraId="750505B4" w14:textId="77777777" w:rsidTr="00C0771A">
        <w:tblPrEx>
          <w:tblCellMar>
            <w:left w:w="70" w:type="dxa"/>
            <w:right w:w="70" w:type="dxa"/>
          </w:tblCellMar>
        </w:tblPrEx>
        <w:tc>
          <w:tcPr>
            <w:tcW w:w="9505" w:type="dxa"/>
            <w:gridSpan w:val="3"/>
          </w:tcPr>
          <w:p w14:paraId="34BDEB9F" w14:textId="77777777" w:rsidR="009F273F" w:rsidRPr="0050379F" w:rsidRDefault="009F273F" w:rsidP="00C0771A">
            <w:pPr>
              <w:rPr>
                <w:lang w:val="en-CA"/>
              </w:rPr>
            </w:pPr>
          </w:p>
        </w:tc>
      </w:tr>
      <w:tr w:rsidR="009F273F" w:rsidRPr="0050379F" w14:paraId="7CA5B7B1" w14:textId="77777777" w:rsidTr="00C0771A">
        <w:tblPrEx>
          <w:tblCellMar>
            <w:left w:w="70" w:type="dxa"/>
            <w:right w:w="70" w:type="dxa"/>
          </w:tblCellMar>
        </w:tblPrEx>
        <w:tc>
          <w:tcPr>
            <w:tcW w:w="2068" w:type="dxa"/>
          </w:tcPr>
          <w:p w14:paraId="5CB8CD84" w14:textId="77777777" w:rsidR="009F273F" w:rsidRPr="0050379F" w:rsidRDefault="0050379F" w:rsidP="00C0771A">
            <w:pPr>
              <w:pStyle w:val="zSoquijlblDateAudience"/>
              <w:ind w:right="-482"/>
              <w:rPr>
                <w:lang w:val="en-CA"/>
              </w:rPr>
            </w:pPr>
            <w:r w:rsidRPr="0050379F">
              <w:rPr>
                <w:lang w:val="en-CA"/>
              </w:rPr>
              <w:t>Hearing dates</w:t>
            </w:r>
            <w:r w:rsidR="009F273F" w:rsidRPr="0050379F">
              <w:rPr>
                <w:lang w:val="en-CA"/>
              </w:rPr>
              <w:t>:</w:t>
            </w:r>
          </w:p>
        </w:tc>
        <w:tc>
          <w:tcPr>
            <w:tcW w:w="7437" w:type="dxa"/>
            <w:gridSpan w:val="2"/>
          </w:tcPr>
          <w:p w14:paraId="38B115FF" w14:textId="588C8523" w:rsidR="009F273F" w:rsidRPr="0050379F" w:rsidRDefault="0050379F" w:rsidP="0050379F">
            <w:pPr>
              <w:pStyle w:val="zSoquijdatNomProcureurDem"/>
              <w:rPr>
                <w:lang w:val="en-CA"/>
              </w:rPr>
            </w:pPr>
            <w:r w:rsidRPr="0050379F">
              <w:rPr>
                <w:lang w:val="en-CA"/>
              </w:rPr>
              <w:t>January 14</w:t>
            </w:r>
            <w:r w:rsidR="009F273F" w:rsidRPr="0050379F">
              <w:rPr>
                <w:lang w:val="en-CA"/>
              </w:rPr>
              <w:t xml:space="preserve">, </w:t>
            </w:r>
            <w:r w:rsidRPr="0050379F">
              <w:rPr>
                <w:lang w:val="en-CA"/>
              </w:rPr>
              <w:t>April 19</w:t>
            </w:r>
            <w:r w:rsidR="00FF2189">
              <w:rPr>
                <w:lang w:val="en-CA"/>
              </w:rPr>
              <w:t>,</w:t>
            </w:r>
            <w:r w:rsidR="009F273F" w:rsidRPr="0050379F">
              <w:rPr>
                <w:lang w:val="en-CA"/>
              </w:rPr>
              <w:t xml:space="preserve"> </w:t>
            </w:r>
            <w:r w:rsidRPr="0050379F">
              <w:rPr>
                <w:lang w:val="en-CA"/>
              </w:rPr>
              <w:t>and May 3,</w:t>
            </w:r>
            <w:r w:rsidR="009F273F" w:rsidRPr="0050379F">
              <w:rPr>
                <w:lang w:val="en-CA"/>
              </w:rPr>
              <w:t xml:space="preserve"> 2021</w:t>
            </w:r>
          </w:p>
        </w:tc>
      </w:tr>
    </w:tbl>
    <w:p w14:paraId="7C84FC41" w14:textId="77777777" w:rsidR="009F273F" w:rsidRPr="0050379F" w:rsidRDefault="009F273F" w:rsidP="009F273F">
      <w:pPr>
        <w:pStyle w:val="Paragraphe"/>
        <w:numPr>
          <w:ilvl w:val="0"/>
          <w:numId w:val="0"/>
        </w:numPr>
        <w:spacing w:before="0" w:after="0" w:line="240" w:lineRule="auto"/>
        <w:rPr>
          <w:lang w:val="en-CA"/>
        </w:rPr>
      </w:pPr>
    </w:p>
    <w:p w14:paraId="14CE4CAA" w14:textId="77777777" w:rsidR="009F273F" w:rsidRPr="0050379F" w:rsidRDefault="009F273F" w:rsidP="009F273F">
      <w:pPr>
        <w:pStyle w:val="Paragraphe"/>
        <w:numPr>
          <w:ilvl w:val="0"/>
          <w:numId w:val="0"/>
        </w:numPr>
        <w:spacing w:before="0" w:after="0" w:line="240" w:lineRule="auto"/>
        <w:rPr>
          <w:noProof/>
          <w:lang w:val="en-CA" w:eastAsia="fr-CA"/>
        </w:rPr>
      </w:pPr>
    </w:p>
    <w:p w14:paraId="495FE3C2" w14:textId="311AF122" w:rsidR="00C0771A" w:rsidRDefault="00C0771A">
      <w:pPr>
        <w:rPr>
          <w:lang w:val="en-CA"/>
        </w:rPr>
      </w:pPr>
    </w:p>
    <w:p w14:paraId="71A16CFB" w14:textId="58DECBE6" w:rsidR="00FF2189" w:rsidRPr="00FF2189" w:rsidRDefault="00FF2189" w:rsidP="00FF2189">
      <w:pPr>
        <w:rPr>
          <w:lang w:val="en-CA"/>
        </w:rPr>
      </w:pPr>
    </w:p>
    <w:p w14:paraId="764113FD" w14:textId="39A8BE28" w:rsidR="00FF2189" w:rsidRPr="00FF2189" w:rsidRDefault="00FF2189" w:rsidP="00FF2189">
      <w:pPr>
        <w:rPr>
          <w:lang w:val="en-CA"/>
        </w:rPr>
      </w:pPr>
    </w:p>
    <w:p w14:paraId="1993D814" w14:textId="57D53F0C" w:rsidR="00FF2189" w:rsidRPr="00FF2189" w:rsidRDefault="00FF2189" w:rsidP="00FF2189">
      <w:pPr>
        <w:rPr>
          <w:lang w:val="en-CA"/>
        </w:rPr>
      </w:pPr>
    </w:p>
    <w:p w14:paraId="2AE089A6" w14:textId="030D7A6D" w:rsidR="00FF2189" w:rsidRPr="00FF2189" w:rsidRDefault="00FF2189" w:rsidP="00FF2189">
      <w:pPr>
        <w:rPr>
          <w:lang w:val="en-CA"/>
        </w:rPr>
      </w:pPr>
    </w:p>
    <w:p w14:paraId="371E6843" w14:textId="2492A2D1" w:rsidR="00FF2189" w:rsidRPr="00FF2189" w:rsidRDefault="00FF2189" w:rsidP="00FF2189">
      <w:pPr>
        <w:rPr>
          <w:lang w:val="en-CA"/>
        </w:rPr>
      </w:pPr>
    </w:p>
    <w:p w14:paraId="287CF98E" w14:textId="5D7E76F4" w:rsidR="00FF2189" w:rsidRPr="00FF2189" w:rsidRDefault="00FF2189" w:rsidP="00FF2189">
      <w:pPr>
        <w:rPr>
          <w:lang w:val="en-CA"/>
        </w:rPr>
      </w:pPr>
    </w:p>
    <w:p w14:paraId="57A65B96" w14:textId="24146761" w:rsidR="00FF2189" w:rsidRPr="00FF2189" w:rsidRDefault="00FF2189" w:rsidP="00FF2189">
      <w:pPr>
        <w:rPr>
          <w:lang w:val="en-CA"/>
        </w:rPr>
      </w:pPr>
    </w:p>
    <w:p w14:paraId="3DCEBE91" w14:textId="3F71A1B5" w:rsidR="00FF2189" w:rsidRPr="00FF2189" w:rsidRDefault="00FF2189" w:rsidP="00FF2189">
      <w:pPr>
        <w:rPr>
          <w:lang w:val="en-CA"/>
        </w:rPr>
      </w:pPr>
    </w:p>
    <w:p w14:paraId="05557F37" w14:textId="3BFE0805" w:rsidR="00FF2189" w:rsidRDefault="00FF2189" w:rsidP="00FF2189">
      <w:pPr>
        <w:rPr>
          <w:lang w:val="en-CA"/>
        </w:rPr>
      </w:pPr>
    </w:p>
    <w:p w14:paraId="1B8673A5" w14:textId="100F53E4" w:rsidR="00FF2189" w:rsidRPr="00FF2189" w:rsidRDefault="00FF2189" w:rsidP="00077BF7">
      <w:pPr>
        <w:tabs>
          <w:tab w:val="left" w:pos="8040"/>
        </w:tabs>
        <w:rPr>
          <w:lang w:val="en-CA"/>
        </w:rPr>
      </w:pPr>
      <w:r>
        <w:rPr>
          <w:lang w:val="en-CA"/>
        </w:rPr>
        <w:tab/>
      </w:r>
    </w:p>
    <w:sectPr w:rsidR="00FF2189" w:rsidRPr="00FF2189">
      <w:headerReference w:type="even" r:id="rId7"/>
      <w:headerReference w:type="default" r:id="rId8"/>
      <w:footerReference w:type="even" r:id="rId9"/>
      <w:footerReference w:type="default" r:id="rId10"/>
      <w:headerReference w:type="first" r:id="rId11"/>
      <w:footerReference w:type="first" r:id="rId12"/>
      <w:footnotePr>
        <w:numRestart w:val="eachSect"/>
      </w:footnotePr>
      <w:pgSz w:w="12242" w:h="15842" w:code="1"/>
      <w:pgMar w:top="1440" w:right="1008" w:bottom="1440" w:left="1872" w:header="1440" w:footer="792"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4B2032" w14:textId="77777777" w:rsidR="00E90C67" w:rsidRDefault="00E90C67" w:rsidP="009F273F">
      <w:r>
        <w:separator/>
      </w:r>
    </w:p>
  </w:endnote>
  <w:endnote w:type="continuationSeparator" w:id="0">
    <w:p w14:paraId="7D7F79AD" w14:textId="77777777" w:rsidR="00E90C67" w:rsidRDefault="00E90C67" w:rsidP="009F2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1AECF" w14:textId="77777777" w:rsidR="00270F28" w:rsidRDefault="00270F28">
    <w:pPr>
      <w:framePr w:wrap="around" w:vAnchor="text" w:hAnchor="margin" w:xAlign="right" w:y="1"/>
    </w:pPr>
    <w:r>
      <w:fldChar w:fldCharType="begin"/>
    </w:r>
    <w:r>
      <w:instrText xml:space="preserve">PAGE  </w:instrText>
    </w:r>
    <w:r>
      <w:fldChar w:fldCharType="end"/>
    </w:r>
  </w:p>
  <w:p w14:paraId="236C2A9F" w14:textId="77777777" w:rsidR="00270F28" w:rsidRDefault="00270F28">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61B14" w14:textId="77777777" w:rsidR="008E1A30" w:rsidRDefault="008E1A30">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ED4CB" w14:textId="77777777" w:rsidR="008E1A30" w:rsidRDefault="008E1A3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B166AF" w14:textId="77777777" w:rsidR="00E90C67" w:rsidRDefault="00E90C67" w:rsidP="009F273F">
      <w:r>
        <w:separator/>
      </w:r>
    </w:p>
  </w:footnote>
  <w:footnote w:type="continuationSeparator" w:id="0">
    <w:p w14:paraId="563DF1A0" w14:textId="77777777" w:rsidR="00E90C67" w:rsidRDefault="00E90C67" w:rsidP="009F273F">
      <w:r>
        <w:continuationSeparator/>
      </w:r>
    </w:p>
  </w:footnote>
  <w:footnote w:id="1">
    <w:p w14:paraId="7CD1AF30" w14:textId="77777777" w:rsidR="00270F28" w:rsidRPr="003808E1" w:rsidRDefault="00270F28" w:rsidP="009F273F">
      <w:pPr>
        <w:pStyle w:val="Notedebasdepage"/>
        <w:rPr>
          <w:lang w:val="en-CA"/>
        </w:rPr>
      </w:pPr>
      <w:r>
        <w:rPr>
          <w:rStyle w:val="Appelnotedebasdep"/>
        </w:rPr>
        <w:footnoteRef/>
      </w:r>
      <w:r>
        <w:tab/>
      </w:r>
      <w:r w:rsidRPr="00922E38">
        <w:rPr>
          <w:lang w:val="en-CA"/>
        </w:rPr>
        <w:t xml:space="preserve">Criteria for the issuance of a warrant or an order under paragraph 488.01(3)(a) </w:t>
      </w:r>
      <w:r w:rsidRPr="00077BF7">
        <w:rPr>
          <w:i/>
          <w:iCs/>
          <w:lang w:val="en-CA"/>
        </w:rPr>
        <w:t>Cr. C</w:t>
      </w:r>
      <w:r>
        <w:rPr>
          <w:lang w:val="en-CA"/>
        </w:rPr>
        <w:t xml:space="preserve">. when the application concerns “a journalist’s communications.” </w:t>
      </w:r>
    </w:p>
  </w:footnote>
  <w:footnote w:id="2">
    <w:p w14:paraId="133ACC23" w14:textId="7A5A6D4B" w:rsidR="00270F28" w:rsidRPr="00041848" w:rsidRDefault="00270F28" w:rsidP="009F273F">
      <w:pPr>
        <w:pStyle w:val="Notedebasdepage"/>
        <w:rPr>
          <w:lang w:val="en-CA"/>
        </w:rPr>
      </w:pPr>
      <w:r>
        <w:rPr>
          <w:rStyle w:val="Appelnotedebasdep"/>
        </w:rPr>
        <w:footnoteRef/>
      </w:r>
      <w:r>
        <w:t xml:space="preserve"> </w:t>
      </w:r>
      <w:r>
        <w:tab/>
      </w:r>
      <w:r w:rsidRPr="00041848">
        <w:rPr>
          <w:lang w:val="en-CA"/>
        </w:rPr>
        <w:t>Definition of</w:t>
      </w:r>
      <w:r>
        <w:rPr>
          <w:lang w:val="en-CA"/>
        </w:rPr>
        <w:t xml:space="preserve"> “</w:t>
      </w:r>
      <w:r w:rsidRPr="00041848">
        <w:rPr>
          <w:lang w:val="en-CA"/>
        </w:rPr>
        <w:t>journalistic source</w:t>
      </w:r>
      <w:r>
        <w:rPr>
          <w:lang w:val="en-CA"/>
        </w:rPr>
        <w:t xml:space="preserve">” </w:t>
      </w:r>
      <w:r w:rsidRPr="00041848">
        <w:rPr>
          <w:lang w:val="en-CA"/>
        </w:rPr>
        <w:t xml:space="preserve">in subsection 39.1(1) </w:t>
      </w:r>
      <w:r w:rsidRPr="00041848">
        <w:rPr>
          <w:i/>
          <w:lang w:val="en-CA"/>
        </w:rPr>
        <w:t>Canada Evidence Act</w:t>
      </w:r>
      <w:r w:rsidRPr="00041848">
        <w:rPr>
          <w:lang w:val="en-CA"/>
        </w:rPr>
        <w:t xml:space="preserve">. </w:t>
      </w:r>
      <w:r w:rsidRPr="00826B6B">
        <w:rPr>
          <w:lang w:val="en-CA"/>
        </w:rPr>
        <w:t xml:space="preserve">Subsection </w:t>
      </w:r>
      <w:r w:rsidRPr="00041848">
        <w:rPr>
          <w:lang w:val="en-CA"/>
        </w:rPr>
        <w:t xml:space="preserve">488.01(1) </w:t>
      </w:r>
      <w:r w:rsidRPr="00077BF7">
        <w:rPr>
          <w:i/>
          <w:iCs/>
          <w:lang w:val="en-CA"/>
        </w:rPr>
        <w:t>Cr.</w:t>
      </w:r>
      <w:r w:rsidR="00077BF7">
        <w:rPr>
          <w:i/>
          <w:iCs/>
          <w:lang w:val="en-CA"/>
        </w:rPr>
        <w:t> </w:t>
      </w:r>
      <w:r w:rsidRPr="00077BF7">
        <w:rPr>
          <w:i/>
          <w:iCs/>
          <w:lang w:val="en-CA"/>
        </w:rPr>
        <w:t>C</w:t>
      </w:r>
      <w:r w:rsidRPr="00041848">
        <w:rPr>
          <w:lang w:val="en-CA"/>
        </w:rPr>
        <w:t>.</w:t>
      </w:r>
      <w:r w:rsidR="00077BF7">
        <w:rPr>
          <w:lang w:val="en-CA"/>
        </w:rPr>
        <w:t>,</w:t>
      </w:r>
      <w:r w:rsidRPr="00041848">
        <w:rPr>
          <w:lang w:val="en-CA"/>
        </w:rPr>
        <w:t xml:space="preserve"> which governs th</w:t>
      </w:r>
      <w:r w:rsidR="00077BF7">
        <w:rPr>
          <w:lang w:val="en-CA"/>
        </w:rPr>
        <w:t>is proceeding,</w:t>
      </w:r>
      <w:r>
        <w:rPr>
          <w:lang w:val="en-CA"/>
        </w:rPr>
        <w:t xml:space="preserve"> refers to this definition</w:t>
      </w:r>
      <w:r w:rsidRPr="00041848">
        <w:rPr>
          <w:lang w:val="en-CA"/>
        </w:rPr>
        <w:t>.</w:t>
      </w:r>
    </w:p>
  </w:footnote>
  <w:footnote w:id="3">
    <w:p w14:paraId="51B60C64" w14:textId="7D048D10" w:rsidR="00270F28" w:rsidRPr="00077BF7" w:rsidRDefault="00270F28" w:rsidP="009F273F">
      <w:pPr>
        <w:pStyle w:val="Notedebasdepage"/>
        <w:rPr>
          <w:lang w:val="en-CA"/>
        </w:rPr>
      </w:pPr>
      <w:r>
        <w:rPr>
          <w:rStyle w:val="Appelnotedebasdep"/>
        </w:rPr>
        <w:footnoteRef/>
      </w:r>
      <w:r>
        <w:tab/>
      </w:r>
      <w:r w:rsidRPr="00077BF7">
        <w:rPr>
          <w:lang w:val="en-CA"/>
        </w:rPr>
        <w:t xml:space="preserve">Subsection 488.02(3) </w:t>
      </w:r>
      <w:r w:rsidRPr="00077BF7">
        <w:rPr>
          <w:i/>
          <w:iCs/>
          <w:lang w:val="en-CA"/>
        </w:rPr>
        <w:t>C</w:t>
      </w:r>
      <w:r w:rsidR="00CC022C" w:rsidRPr="00077BF7">
        <w:rPr>
          <w:i/>
          <w:iCs/>
          <w:lang w:val="en-CA"/>
        </w:rPr>
        <w:t>r</w:t>
      </w:r>
      <w:r w:rsidRPr="00077BF7">
        <w:rPr>
          <w:i/>
          <w:iCs/>
          <w:lang w:val="en-CA"/>
        </w:rPr>
        <w:t>.</w:t>
      </w:r>
      <w:r w:rsidR="00CC022C" w:rsidRPr="00077BF7">
        <w:rPr>
          <w:i/>
          <w:iCs/>
          <w:lang w:val="en-CA"/>
        </w:rPr>
        <w:t xml:space="preserve"> C</w:t>
      </w:r>
      <w:r w:rsidRPr="00077BF7">
        <w:rPr>
          <w:lang w:val="en-CA"/>
        </w:rPr>
        <w:t>.</w:t>
      </w:r>
    </w:p>
  </w:footnote>
  <w:footnote w:id="4">
    <w:p w14:paraId="50064293" w14:textId="3136253D" w:rsidR="00270F28" w:rsidRPr="00826B6B" w:rsidRDefault="00270F28" w:rsidP="009F273F">
      <w:pPr>
        <w:pStyle w:val="Notedebasdepage"/>
        <w:rPr>
          <w:lang w:val="en-CA"/>
        </w:rPr>
      </w:pPr>
      <w:r>
        <w:rPr>
          <w:rStyle w:val="Appelnotedebasdep"/>
        </w:rPr>
        <w:footnoteRef/>
      </w:r>
      <w:r>
        <w:t xml:space="preserve"> </w:t>
      </w:r>
      <w:r>
        <w:tab/>
      </w:r>
      <w:r w:rsidRPr="00077BF7">
        <w:rPr>
          <w:i/>
          <w:lang w:val="en-CA"/>
        </w:rPr>
        <w:t xml:space="preserve">R. </w:t>
      </w:r>
      <w:r w:rsidRPr="00077BF7">
        <w:rPr>
          <w:i/>
          <w:iCs/>
          <w:lang w:val="en-CA"/>
        </w:rPr>
        <w:t>v</w:t>
      </w:r>
      <w:r w:rsidRPr="00077BF7">
        <w:rPr>
          <w:i/>
          <w:lang w:val="en-CA"/>
        </w:rPr>
        <w:t>. National Post</w:t>
      </w:r>
      <w:r w:rsidRPr="00077BF7">
        <w:rPr>
          <w:lang w:val="en-CA"/>
        </w:rPr>
        <w:t xml:space="preserve">, 2010 </w:t>
      </w:r>
      <w:r w:rsidR="00313661" w:rsidRPr="00077BF7">
        <w:rPr>
          <w:lang w:val="en-CA"/>
        </w:rPr>
        <w:t xml:space="preserve">SCC </w:t>
      </w:r>
      <w:r w:rsidRPr="00077BF7">
        <w:rPr>
          <w:lang w:val="en-CA"/>
        </w:rPr>
        <w:t>16</w:t>
      </w:r>
      <w:r w:rsidR="00313661" w:rsidRPr="00077BF7">
        <w:rPr>
          <w:lang w:val="en-CA"/>
        </w:rPr>
        <w:t xml:space="preserve"> at</w:t>
      </w:r>
      <w:r w:rsidRPr="00077BF7">
        <w:rPr>
          <w:lang w:val="en-CA"/>
        </w:rPr>
        <w:t xml:space="preserve"> para</w:t>
      </w:r>
      <w:r w:rsidR="008844B2" w:rsidRPr="00077BF7">
        <w:rPr>
          <w:lang w:val="en-CA"/>
        </w:rPr>
        <w:t>s</w:t>
      </w:r>
      <w:r w:rsidRPr="00077BF7">
        <w:rPr>
          <w:lang w:val="en-CA"/>
        </w:rPr>
        <w:t xml:space="preserve">. </w:t>
      </w:r>
      <w:r w:rsidRPr="00826B6B">
        <w:rPr>
          <w:lang w:val="en-CA"/>
        </w:rPr>
        <w:t>43</w:t>
      </w:r>
      <w:r w:rsidR="00313661">
        <w:rPr>
          <w:lang w:val="en-CA"/>
        </w:rPr>
        <w:t>–</w:t>
      </w:r>
      <w:r w:rsidRPr="00826B6B">
        <w:rPr>
          <w:lang w:val="en-CA"/>
        </w:rPr>
        <w:t>49.</w:t>
      </w:r>
    </w:p>
  </w:footnote>
  <w:footnote w:id="5">
    <w:p w14:paraId="1B34F0F9" w14:textId="053F724D" w:rsidR="00270F28" w:rsidRPr="00826B6B" w:rsidRDefault="00270F28" w:rsidP="009F273F">
      <w:pPr>
        <w:pStyle w:val="Notedebasdepage"/>
        <w:rPr>
          <w:lang w:val="en-CA"/>
        </w:rPr>
      </w:pPr>
      <w:r>
        <w:rPr>
          <w:rStyle w:val="Appelnotedebasdep"/>
        </w:rPr>
        <w:footnoteRef/>
      </w:r>
      <w:r>
        <w:t xml:space="preserve"> </w:t>
      </w:r>
      <w:r>
        <w:tab/>
      </w:r>
      <w:r w:rsidRPr="00826B6B">
        <w:rPr>
          <w:i/>
          <w:lang w:val="en-CA"/>
        </w:rPr>
        <w:t>I</w:t>
      </w:r>
      <w:r w:rsidR="00DB4E8F">
        <w:rPr>
          <w:i/>
          <w:lang w:val="en-CA"/>
        </w:rPr>
        <w:t>bi</w:t>
      </w:r>
      <w:r w:rsidRPr="00826B6B">
        <w:rPr>
          <w:i/>
          <w:lang w:val="en-CA"/>
        </w:rPr>
        <w:t>d.</w:t>
      </w:r>
      <w:r w:rsidRPr="00826B6B">
        <w:rPr>
          <w:lang w:val="en-CA"/>
        </w:rPr>
        <w:t xml:space="preserve"> </w:t>
      </w:r>
      <w:r w:rsidR="00DB4E8F">
        <w:rPr>
          <w:lang w:val="en-CA"/>
        </w:rPr>
        <w:t xml:space="preserve">at </w:t>
      </w:r>
      <w:r w:rsidRPr="00826B6B">
        <w:rPr>
          <w:lang w:val="en-CA"/>
        </w:rPr>
        <w:t>para. 43.</w:t>
      </w:r>
    </w:p>
  </w:footnote>
  <w:footnote w:id="6">
    <w:p w14:paraId="590D45B1" w14:textId="6E109EFB" w:rsidR="00270F28" w:rsidRPr="00826B6B" w:rsidRDefault="00270F28" w:rsidP="009F273F">
      <w:pPr>
        <w:pStyle w:val="Notedebasdepage"/>
        <w:rPr>
          <w:lang w:val="en-CA"/>
        </w:rPr>
      </w:pPr>
      <w:r>
        <w:rPr>
          <w:rStyle w:val="Appelnotedebasdep"/>
        </w:rPr>
        <w:footnoteRef/>
      </w:r>
      <w:r>
        <w:t xml:space="preserve"> </w:t>
      </w:r>
      <w:r>
        <w:tab/>
      </w:r>
      <w:r w:rsidRPr="00826B6B">
        <w:rPr>
          <w:i/>
          <w:lang w:val="en-CA"/>
        </w:rPr>
        <w:t>I</w:t>
      </w:r>
      <w:r w:rsidR="00DB4E8F">
        <w:rPr>
          <w:i/>
          <w:lang w:val="en-CA"/>
        </w:rPr>
        <w:t>bi</w:t>
      </w:r>
      <w:r w:rsidRPr="00826B6B">
        <w:rPr>
          <w:i/>
          <w:lang w:val="en-CA"/>
        </w:rPr>
        <w:t>d.</w:t>
      </w:r>
      <w:r w:rsidR="00DB4E8F">
        <w:rPr>
          <w:lang w:val="en-CA"/>
        </w:rPr>
        <w:t xml:space="preserve"> at</w:t>
      </w:r>
      <w:r w:rsidRPr="00826B6B">
        <w:rPr>
          <w:lang w:val="en-CA"/>
        </w:rPr>
        <w:t xml:space="preserve"> para. 44.</w:t>
      </w:r>
    </w:p>
  </w:footnote>
  <w:footnote w:id="7">
    <w:p w14:paraId="6D376AD8" w14:textId="0EAFE711" w:rsidR="00270F28" w:rsidRPr="00826B6B" w:rsidRDefault="00270F28" w:rsidP="009F273F">
      <w:pPr>
        <w:pStyle w:val="Notedebasdepage"/>
        <w:rPr>
          <w:lang w:val="en-CA"/>
        </w:rPr>
      </w:pPr>
      <w:r>
        <w:rPr>
          <w:rStyle w:val="Appelnotedebasdep"/>
        </w:rPr>
        <w:footnoteRef/>
      </w:r>
      <w:r>
        <w:t xml:space="preserve"> </w:t>
      </w:r>
      <w:r>
        <w:tab/>
      </w:r>
      <w:r w:rsidRPr="00826B6B">
        <w:rPr>
          <w:lang w:val="en-CA"/>
        </w:rPr>
        <w:t>S.C. 2017, c. 22.</w:t>
      </w:r>
    </w:p>
  </w:footnote>
  <w:footnote w:id="8">
    <w:p w14:paraId="020ACE9E" w14:textId="0D402F9A" w:rsidR="00270F28" w:rsidRPr="00461702" w:rsidRDefault="00270F28" w:rsidP="009F273F">
      <w:pPr>
        <w:pStyle w:val="Notedebasdepage"/>
        <w:rPr>
          <w:lang w:val="en-CA"/>
        </w:rPr>
      </w:pPr>
      <w:r>
        <w:rPr>
          <w:rStyle w:val="Appelnotedebasdep"/>
        </w:rPr>
        <w:footnoteRef/>
      </w:r>
      <w:r>
        <w:t xml:space="preserve"> </w:t>
      </w:r>
      <w:r>
        <w:tab/>
      </w:r>
      <w:r w:rsidRPr="00826B6B">
        <w:rPr>
          <w:lang w:val="en-CA"/>
        </w:rPr>
        <w:t>2019 SCC 44</w:t>
      </w:r>
      <w:r w:rsidR="00DB4E8F">
        <w:rPr>
          <w:lang w:val="en-CA"/>
        </w:rPr>
        <w:t xml:space="preserve"> at</w:t>
      </w:r>
      <w:r w:rsidRPr="00826B6B">
        <w:rPr>
          <w:lang w:val="en-CA"/>
        </w:rPr>
        <w:t xml:space="preserve"> para. </w:t>
      </w:r>
      <w:r w:rsidRPr="00461702">
        <w:rPr>
          <w:lang w:val="en-CA"/>
        </w:rPr>
        <w:t>37.</w:t>
      </w:r>
    </w:p>
  </w:footnote>
  <w:footnote w:id="9">
    <w:p w14:paraId="73A53779" w14:textId="0357E841" w:rsidR="00270F28" w:rsidRPr="00461702" w:rsidRDefault="00270F28" w:rsidP="009F273F">
      <w:pPr>
        <w:pStyle w:val="Notedebasdepage"/>
        <w:rPr>
          <w:lang w:val="en-CA"/>
        </w:rPr>
      </w:pPr>
      <w:r>
        <w:rPr>
          <w:rStyle w:val="Appelnotedebasdep"/>
        </w:rPr>
        <w:footnoteRef/>
      </w:r>
      <w:r>
        <w:t xml:space="preserve"> </w:t>
      </w:r>
      <w:r>
        <w:tab/>
      </w:r>
      <w:r w:rsidRPr="00461702">
        <w:rPr>
          <w:i/>
          <w:lang w:val="en-CA"/>
        </w:rPr>
        <w:t>I</w:t>
      </w:r>
      <w:r w:rsidR="00231832">
        <w:rPr>
          <w:i/>
          <w:lang w:val="en-CA"/>
        </w:rPr>
        <w:t>bi</w:t>
      </w:r>
      <w:r w:rsidRPr="00461702">
        <w:rPr>
          <w:i/>
          <w:lang w:val="en-CA"/>
        </w:rPr>
        <w:t>d.</w:t>
      </w:r>
    </w:p>
  </w:footnote>
  <w:footnote w:id="10">
    <w:p w14:paraId="244E0004" w14:textId="2073A1C8" w:rsidR="00270F28" w:rsidRPr="00461702" w:rsidRDefault="00270F28" w:rsidP="009F273F">
      <w:pPr>
        <w:pStyle w:val="Notedebasdepage"/>
        <w:rPr>
          <w:lang w:val="en-CA"/>
        </w:rPr>
      </w:pPr>
      <w:r>
        <w:rPr>
          <w:rStyle w:val="Appelnotedebasdep"/>
        </w:rPr>
        <w:footnoteRef/>
      </w:r>
      <w:r>
        <w:t xml:space="preserve"> </w:t>
      </w:r>
      <w:r>
        <w:tab/>
      </w:r>
      <w:r w:rsidR="00231832" w:rsidRPr="00077BF7">
        <w:rPr>
          <w:i/>
          <w:iCs/>
          <w:lang w:val="en-CA"/>
        </w:rPr>
        <w:t>Supra</w:t>
      </w:r>
      <w:r w:rsidRPr="00461702">
        <w:rPr>
          <w:lang w:val="en-CA"/>
        </w:rPr>
        <w:t xml:space="preserve"> note 3</w:t>
      </w:r>
      <w:r w:rsidR="00231832">
        <w:rPr>
          <w:lang w:val="en-CA"/>
        </w:rPr>
        <w:t xml:space="preserve"> at</w:t>
      </w:r>
      <w:r w:rsidRPr="00461702">
        <w:rPr>
          <w:lang w:val="en-CA"/>
        </w:rPr>
        <w:t xml:space="preserve"> para. 63.</w:t>
      </w:r>
    </w:p>
  </w:footnote>
  <w:footnote w:id="11">
    <w:p w14:paraId="5F6368F3" w14:textId="3E3BBF54" w:rsidR="00270F28" w:rsidRPr="007072EA" w:rsidRDefault="00270F28" w:rsidP="009F273F">
      <w:pPr>
        <w:pStyle w:val="Notedebasdepage"/>
        <w:rPr>
          <w:lang w:val="en-CA"/>
        </w:rPr>
      </w:pPr>
      <w:r>
        <w:rPr>
          <w:rStyle w:val="Appelnotedebasdep"/>
        </w:rPr>
        <w:footnoteRef/>
      </w:r>
      <w:r>
        <w:t xml:space="preserve"> </w:t>
      </w:r>
      <w:r>
        <w:tab/>
      </w:r>
      <w:r w:rsidRPr="007072EA">
        <w:rPr>
          <w:i/>
          <w:lang w:val="en-CA"/>
        </w:rPr>
        <w:t xml:space="preserve">R. </w:t>
      </w:r>
      <w:r w:rsidR="00231832">
        <w:rPr>
          <w:i/>
          <w:iCs/>
          <w:lang w:val="en-CA"/>
        </w:rPr>
        <w:t>v</w:t>
      </w:r>
      <w:r w:rsidRPr="007072EA">
        <w:rPr>
          <w:i/>
          <w:lang w:val="en-CA"/>
        </w:rPr>
        <w:t xml:space="preserve">. Vice </w:t>
      </w:r>
      <w:r w:rsidR="00231832">
        <w:rPr>
          <w:i/>
          <w:lang w:val="en-CA"/>
        </w:rPr>
        <w:t xml:space="preserve">Media </w:t>
      </w:r>
      <w:r w:rsidRPr="007072EA">
        <w:rPr>
          <w:i/>
          <w:lang w:val="en-CA"/>
        </w:rPr>
        <w:t>Canada Inc.</w:t>
      </w:r>
      <w:r w:rsidRPr="007072EA">
        <w:rPr>
          <w:lang w:val="en-CA"/>
        </w:rPr>
        <w:t>, 2018 SCC 53</w:t>
      </w:r>
      <w:r w:rsidR="00231832">
        <w:rPr>
          <w:lang w:val="en-CA"/>
        </w:rPr>
        <w:t xml:space="preserve"> at </w:t>
      </w:r>
      <w:r w:rsidRPr="007072EA">
        <w:rPr>
          <w:lang w:val="en-CA"/>
        </w:rPr>
        <w:t>para. 82.</w:t>
      </w:r>
    </w:p>
  </w:footnote>
  <w:footnote w:id="12">
    <w:p w14:paraId="03BE27C5" w14:textId="0BF969BF" w:rsidR="00270F28" w:rsidRPr="007072EA" w:rsidRDefault="00270F28" w:rsidP="009F273F">
      <w:pPr>
        <w:pStyle w:val="Notedebasdepage"/>
        <w:rPr>
          <w:lang w:val="en-CA"/>
        </w:rPr>
      </w:pPr>
      <w:r>
        <w:rPr>
          <w:rStyle w:val="Appelnotedebasdep"/>
        </w:rPr>
        <w:footnoteRef/>
      </w:r>
      <w:r>
        <w:t xml:space="preserve"> </w:t>
      </w:r>
      <w:r>
        <w:tab/>
      </w:r>
      <w:r w:rsidRPr="007072EA">
        <w:rPr>
          <w:lang w:val="en-CA"/>
        </w:rPr>
        <w:t>Definition of</w:t>
      </w:r>
      <w:r>
        <w:rPr>
          <w:lang w:val="en-CA"/>
        </w:rPr>
        <w:t xml:space="preserve"> “</w:t>
      </w:r>
      <w:r w:rsidRPr="007072EA">
        <w:rPr>
          <w:lang w:val="en-CA"/>
        </w:rPr>
        <w:t>journalist</w:t>
      </w:r>
      <w:r>
        <w:rPr>
          <w:lang w:val="en-CA"/>
        </w:rPr>
        <w:t>”</w:t>
      </w:r>
      <w:r w:rsidRPr="007072EA">
        <w:rPr>
          <w:lang w:val="en-CA"/>
        </w:rPr>
        <w:t xml:space="preserve"> </w:t>
      </w:r>
      <w:r w:rsidR="00B36622">
        <w:rPr>
          <w:lang w:val="en-CA"/>
        </w:rPr>
        <w:t xml:space="preserve">in </w:t>
      </w:r>
      <w:r w:rsidRPr="007072EA">
        <w:rPr>
          <w:lang w:val="en-CA"/>
        </w:rPr>
        <w:t xml:space="preserve">subsection 39.1(1) </w:t>
      </w:r>
      <w:r w:rsidRPr="007072EA">
        <w:rPr>
          <w:i/>
          <w:lang w:val="en-CA"/>
        </w:rPr>
        <w:t>Canada Evidence Act</w:t>
      </w:r>
      <w:r w:rsidRPr="007072EA">
        <w:rPr>
          <w:lang w:val="en-CA"/>
        </w:rPr>
        <w:t xml:space="preserve">. </w:t>
      </w:r>
      <w:r w:rsidRPr="00461702">
        <w:rPr>
          <w:lang w:val="en-CA"/>
        </w:rPr>
        <w:t xml:space="preserve">Subsection </w:t>
      </w:r>
      <w:r w:rsidRPr="007072EA">
        <w:rPr>
          <w:lang w:val="en-CA"/>
        </w:rPr>
        <w:t xml:space="preserve">488.01(1) </w:t>
      </w:r>
      <w:r w:rsidRPr="00077BF7">
        <w:rPr>
          <w:i/>
          <w:iCs/>
          <w:lang w:val="en-CA"/>
        </w:rPr>
        <w:t>Cr. C</w:t>
      </w:r>
      <w:r w:rsidRPr="007072EA">
        <w:rPr>
          <w:lang w:val="en-CA"/>
        </w:rPr>
        <w:t>.</w:t>
      </w:r>
      <w:r w:rsidR="00B36622">
        <w:rPr>
          <w:lang w:val="en-CA"/>
        </w:rPr>
        <w:t>,</w:t>
      </w:r>
      <w:r w:rsidRPr="007072EA">
        <w:rPr>
          <w:lang w:val="en-CA"/>
        </w:rPr>
        <w:t xml:space="preserve"> which governs this procedure</w:t>
      </w:r>
      <w:r w:rsidR="00B36622">
        <w:rPr>
          <w:lang w:val="en-CA"/>
        </w:rPr>
        <w:t>,</w:t>
      </w:r>
      <w:r w:rsidRPr="007072EA">
        <w:rPr>
          <w:lang w:val="en-CA"/>
        </w:rPr>
        <w:t xml:space="preserve"> refers to this definition.</w:t>
      </w:r>
    </w:p>
  </w:footnote>
  <w:footnote w:id="13">
    <w:p w14:paraId="31085CDA" w14:textId="7AF2C7BF" w:rsidR="00270F28" w:rsidRPr="00461702" w:rsidRDefault="00270F28" w:rsidP="009F273F">
      <w:pPr>
        <w:pStyle w:val="Notedebasdepage"/>
        <w:rPr>
          <w:lang w:val="en-CA"/>
        </w:rPr>
      </w:pPr>
      <w:r>
        <w:rPr>
          <w:rStyle w:val="Appelnotedebasdep"/>
        </w:rPr>
        <w:footnoteRef/>
      </w:r>
      <w:r>
        <w:t xml:space="preserve"> </w:t>
      </w:r>
      <w:r>
        <w:tab/>
      </w:r>
      <w:r w:rsidRPr="00461702">
        <w:rPr>
          <w:i/>
          <w:lang w:val="en-CA"/>
        </w:rPr>
        <w:t>Supra</w:t>
      </w:r>
      <w:r w:rsidRPr="00461702">
        <w:rPr>
          <w:lang w:val="en-CA"/>
        </w:rPr>
        <w:t xml:space="preserve"> note 4</w:t>
      </w:r>
      <w:r w:rsidR="00B36622">
        <w:rPr>
          <w:lang w:val="en-CA"/>
        </w:rPr>
        <w:t xml:space="preserve"> at</w:t>
      </w:r>
      <w:r w:rsidRPr="00461702">
        <w:rPr>
          <w:lang w:val="en-CA"/>
        </w:rPr>
        <w:t xml:space="preserve"> paras. 43</w:t>
      </w:r>
      <w:r w:rsidR="00B36622">
        <w:rPr>
          <w:lang w:val="en-CA"/>
        </w:rPr>
        <w:t>–</w:t>
      </w:r>
      <w:r w:rsidRPr="00461702">
        <w:rPr>
          <w:lang w:val="en-CA"/>
        </w:rPr>
        <w:t>49 and 63.</w:t>
      </w:r>
    </w:p>
  </w:footnote>
  <w:footnote w:id="14">
    <w:p w14:paraId="28DED816" w14:textId="4EE5EDA9" w:rsidR="00270F28" w:rsidRPr="00077BF7" w:rsidRDefault="00270F28" w:rsidP="009F273F">
      <w:pPr>
        <w:pStyle w:val="Notedebasdepage"/>
        <w:rPr>
          <w:lang w:val="en-CA"/>
        </w:rPr>
      </w:pPr>
      <w:r>
        <w:rPr>
          <w:rStyle w:val="Appelnotedebasdep"/>
        </w:rPr>
        <w:footnoteRef/>
      </w:r>
      <w:r>
        <w:t xml:space="preserve"> </w:t>
      </w:r>
      <w:r>
        <w:tab/>
      </w:r>
      <w:r w:rsidRPr="00077BF7">
        <w:rPr>
          <w:i/>
          <w:lang w:val="en-CA"/>
        </w:rPr>
        <w:t>Supra</w:t>
      </w:r>
      <w:r w:rsidRPr="00077BF7">
        <w:rPr>
          <w:lang w:val="en-CA"/>
        </w:rPr>
        <w:t xml:space="preserve"> note 8.</w:t>
      </w:r>
    </w:p>
  </w:footnote>
  <w:footnote w:id="15">
    <w:p w14:paraId="08148303" w14:textId="65DB4F39" w:rsidR="00270F28" w:rsidRPr="00077BF7" w:rsidRDefault="00270F28" w:rsidP="009F273F">
      <w:pPr>
        <w:pStyle w:val="Notedebasdepage"/>
        <w:rPr>
          <w:lang w:val="en-CA"/>
        </w:rPr>
      </w:pPr>
      <w:r>
        <w:rPr>
          <w:rStyle w:val="Appelnotedebasdep"/>
        </w:rPr>
        <w:footnoteRef/>
      </w:r>
      <w:r>
        <w:t xml:space="preserve"> </w:t>
      </w:r>
      <w:r>
        <w:tab/>
      </w:r>
      <w:r w:rsidRPr="00077BF7">
        <w:rPr>
          <w:i/>
          <w:lang w:val="en-CA"/>
        </w:rPr>
        <w:t>Supra</w:t>
      </w:r>
      <w:r w:rsidRPr="00077BF7">
        <w:rPr>
          <w:lang w:val="en-CA"/>
        </w:rPr>
        <w:t xml:space="preserve"> note 11.</w:t>
      </w:r>
    </w:p>
  </w:footnote>
  <w:footnote w:id="16">
    <w:p w14:paraId="15F2B45A" w14:textId="297B2DF4" w:rsidR="00270F28" w:rsidRPr="00077BF7" w:rsidRDefault="00270F28" w:rsidP="009F273F">
      <w:pPr>
        <w:pStyle w:val="Notedebasdepage"/>
        <w:rPr>
          <w:lang w:val="en-CA"/>
        </w:rPr>
      </w:pPr>
      <w:r>
        <w:rPr>
          <w:rStyle w:val="Appelnotedebasdep"/>
        </w:rPr>
        <w:footnoteRef/>
      </w:r>
      <w:r>
        <w:t xml:space="preserve"> </w:t>
      </w:r>
      <w:r>
        <w:tab/>
      </w:r>
      <w:r w:rsidRPr="00077BF7">
        <w:rPr>
          <w:i/>
          <w:lang w:val="en-CA"/>
        </w:rPr>
        <w:t>I</w:t>
      </w:r>
      <w:r w:rsidR="00863512" w:rsidRPr="00077BF7">
        <w:rPr>
          <w:i/>
          <w:lang w:val="en-CA"/>
        </w:rPr>
        <w:t>bi</w:t>
      </w:r>
      <w:r w:rsidRPr="00077BF7">
        <w:rPr>
          <w:i/>
          <w:lang w:val="en-CA"/>
        </w:rPr>
        <w:t>d.</w:t>
      </w:r>
      <w:r w:rsidR="00863512" w:rsidRPr="00077BF7">
        <w:rPr>
          <w:lang w:val="en-CA"/>
        </w:rPr>
        <w:t xml:space="preserve"> at</w:t>
      </w:r>
      <w:r w:rsidRPr="00077BF7">
        <w:rPr>
          <w:lang w:val="en-CA"/>
        </w:rPr>
        <w:t xml:space="preserve"> par</w:t>
      </w:r>
      <w:r w:rsidR="00863512" w:rsidRPr="00077BF7">
        <w:rPr>
          <w:lang w:val="en-CA"/>
        </w:rPr>
        <w:t>a</w:t>
      </w:r>
      <w:r w:rsidRPr="00077BF7">
        <w:rPr>
          <w:lang w:val="en-CA"/>
        </w:rPr>
        <w:t>. 26.</w:t>
      </w:r>
    </w:p>
  </w:footnote>
  <w:footnote w:id="17">
    <w:p w14:paraId="1AFDA542" w14:textId="759EA0DC" w:rsidR="00270F28" w:rsidRPr="00461702" w:rsidRDefault="00270F28" w:rsidP="009F273F">
      <w:pPr>
        <w:pStyle w:val="Notedebasdepage"/>
        <w:rPr>
          <w:lang w:val="en-CA"/>
        </w:rPr>
      </w:pPr>
      <w:r>
        <w:rPr>
          <w:rStyle w:val="Appelnotedebasdep"/>
        </w:rPr>
        <w:footnoteRef/>
      </w:r>
      <w:r>
        <w:t xml:space="preserve"> </w:t>
      </w:r>
      <w:r w:rsidRPr="00461702">
        <w:rPr>
          <w:lang w:val="en-CA"/>
        </w:rPr>
        <w:tab/>
      </w:r>
      <w:r w:rsidRPr="00461702">
        <w:rPr>
          <w:i/>
          <w:lang w:val="en-CA"/>
        </w:rPr>
        <w:t>I</w:t>
      </w:r>
      <w:r w:rsidR="00FC7B96">
        <w:rPr>
          <w:i/>
          <w:lang w:val="en-CA"/>
        </w:rPr>
        <w:t>bi</w:t>
      </w:r>
      <w:r w:rsidRPr="00461702">
        <w:rPr>
          <w:i/>
          <w:lang w:val="en-CA"/>
        </w:rPr>
        <w:t>d.</w:t>
      </w:r>
      <w:r w:rsidR="00FC7B96">
        <w:rPr>
          <w:lang w:val="en-CA"/>
        </w:rPr>
        <w:t xml:space="preserve"> at</w:t>
      </w:r>
      <w:r w:rsidRPr="00461702">
        <w:rPr>
          <w:lang w:val="en-CA"/>
        </w:rPr>
        <w:t xml:space="preserve"> par</w:t>
      </w:r>
      <w:r w:rsidR="00D33018" w:rsidRPr="00461702">
        <w:rPr>
          <w:lang w:val="en-CA"/>
        </w:rPr>
        <w:t>as</w:t>
      </w:r>
      <w:r w:rsidRPr="00461702">
        <w:rPr>
          <w:lang w:val="en-CA"/>
        </w:rPr>
        <w:t>. 47, 56.</w:t>
      </w:r>
    </w:p>
  </w:footnote>
  <w:footnote w:id="18">
    <w:p w14:paraId="0FB9902C" w14:textId="618E131A" w:rsidR="00270F28" w:rsidRPr="00094116" w:rsidRDefault="00270F28" w:rsidP="009F273F">
      <w:pPr>
        <w:pStyle w:val="Notedebasdepage"/>
        <w:rPr>
          <w:lang w:val="en-CA"/>
        </w:rPr>
      </w:pPr>
      <w:r>
        <w:rPr>
          <w:rStyle w:val="Appelnotedebasdep"/>
        </w:rPr>
        <w:footnoteRef/>
      </w:r>
      <w:r>
        <w:t xml:space="preserve"> </w:t>
      </w:r>
      <w:r>
        <w:tab/>
      </w:r>
      <w:r w:rsidR="00094116" w:rsidRPr="00094116">
        <w:rPr>
          <w:lang w:val="en-CA"/>
        </w:rPr>
        <w:t xml:space="preserve">The Court relies on the grounds submitted in support of the application for the </w:t>
      </w:r>
      <w:r w:rsidR="00D41B56">
        <w:rPr>
          <w:lang w:val="en-CA"/>
        </w:rPr>
        <w:t>general production</w:t>
      </w:r>
      <w:r w:rsidR="00D41B56" w:rsidRPr="00094116">
        <w:rPr>
          <w:lang w:val="en-CA"/>
        </w:rPr>
        <w:t xml:space="preserve"> </w:t>
      </w:r>
      <w:r w:rsidR="00094116" w:rsidRPr="00094116">
        <w:rPr>
          <w:lang w:val="en-CA"/>
        </w:rPr>
        <w:t>order at</w:t>
      </w:r>
      <w:r w:rsidR="00094116">
        <w:rPr>
          <w:lang w:val="en-CA"/>
        </w:rPr>
        <w:t xml:space="preserve"> issue to reach this conclusion</w:t>
      </w:r>
      <w:r w:rsidRPr="00094116">
        <w:rPr>
          <w:lang w:val="en-CA"/>
        </w:rPr>
        <w:t>.</w:t>
      </w:r>
    </w:p>
  </w:footnote>
  <w:footnote w:id="19">
    <w:p w14:paraId="5CDCAE7E" w14:textId="4633B6A4" w:rsidR="00270F28" w:rsidRPr="00094116" w:rsidRDefault="00270F28" w:rsidP="009F273F">
      <w:pPr>
        <w:pStyle w:val="Notedebasdepage"/>
        <w:rPr>
          <w:lang w:val="en-CA"/>
        </w:rPr>
      </w:pPr>
      <w:r>
        <w:rPr>
          <w:rStyle w:val="Appelnotedebasdep"/>
        </w:rPr>
        <w:footnoteRef/>
      </w:r>
      <w:r>
        <w:t xml:space="preserve"> </w:t>
      </w:r>
      <w:r>
        <w:tab/>
      </w:r>
      <w:r w:rsidR="00094116" w:rsidRPr="00094116">
        <w:rPr>
          <w:lang w:val="en-CA"/>
        </w:rPr>
        <w:t>Paragraph</w:t>
      </w:r>
      <w:r w:rsidRPr="00094116">
        <w:rPr>
          <w:lang w:val="en-CA"/>
        </w:rPr>
        <w:t xml:space="preserve"> 488.0</w:t>
      </w:r>
      <w:r w:rsidR="00D41B56">
        <w:rPr>
          <w:lang w:val="en-CA"/>
        </w:rPr>
        <w:t>1</w:t>
      </w:r>
      <w:r w:rsidRPr="00094116">
        <w:rPr>
          <w:lang w:val="en-CA"/>
        </w:rPr>
        <w:t>(3)</w:t>
      </w:r>
      <w:r w:rsidR="00094116" w:rsidRPr="00094116">
        <w:rPr>
          <w:lang w:val="en-CA"/>
        </w:rPr>
        <w:t>(</w:t>
      </w:r>
      <w:r w:rsidRPr="00094116">
        <w:rPr>
          <w:lang w:val="en-CA"/>
        </w:rPr>
        <w:t xml:space="preserve">a) </w:t>
      </w:r>
      <w:r w:rsidRPr="00077BF7">
        <w:rPr>
          <w:i/>
          <w:iCs/>
          <w:lang w:val="en-CA"/>
        </w:rPr>
        <w:t>C</w:t>
      </w:r>
      <w:r w:rsidR="00094116" w:rsidRPr="00077BF7">
        <w:rPr>
          <w:i/>
          <w:iCs/>
          <w:lang w:val="en-CA"/>
        </w:rPr>
        <w:t>r</w:t>
      </w:r>
      <w:r w:rsidRPr="00077BF7">
        <w:rPr>
          <w:i/>
          <w:iCs/>
          <w:lang w:val="en-CA"/>
        </w:rPr>
        <w:t>.</w:t>
      </w:r>
      <w:r w:rsidR="008051BC" w:rsidRPr="00077BF7">
        <w:rPr>
          <w:i/>
          <w:iCs/>
          <w:lang w:val="en-CA"/>
        </w:rPr>
        <w:t xml:space="preserve"> </w:t>
      </w:r>
      <w:r w:rsidR="00094116" w:rsidRPr="00077BF7">
        <w:rPr>
          <w:i/>
          <w:iCs/>
          <w:lang w:val="en-CA"/>
        </w:rPr>
        <w:t>C</w:t>
      </w:r>
      <w:r w:rsidR="00094116" w:rsidRPr="00094116">
        <w:rPr>
          <w:lang w:val="en-CA"/>
        </w:rPr>
        <w:t xml:space="preserve">. provides that a judge must be convinced </w:t>
      </w:r>
      <w:r w:rsidR="00094116">
        <w:rPr>
          <w:lang w:val="en-CA"/>
        </w:rPr>
        <w:t>“</w:t>
      </w:r>
      <w:r w:rsidR="00094116" w:rsidRPr="00094116">
        <w:rPr>
          <w:lang w:val="en-CA"/>
        </w:rPr>
        <w:t>there is no other way by which the information can reasonably be obtained</w:t>
      </w:r>
      <w:r w:rsidR="00094116">
        <w:rPr>
          <w:lang w:val="en-CA"/>
        </w:rPr>
        <w:t>” to order</w:t>
      </w:r>
      <w:r w:rsidR="00D41B56">
        <w:rPr>
          <w:lang w:val="en-CA"/>
        </w:rPr>
        <w:t xml:space="preserve"> production</w:t>
      </w:r>
      <w:r w:rsidRPr="00094116">
        <w:rPr>
          <w:lang w:val="en-CA"/>
        </w:rPr>
        <w:t>.</w:t>
      </w:r>
    </w:p>
  </w:footnote>
  <w:footnote w:id="20">
    <w:p w14:paraId="191EEEB1" w14:textId="48F2831A" w:rsidR="00270F28" w:rsidRPr="00415C5A" w:rsidRDefault="00270F28" w:rsidP="009F273F">
      <w:pPr>
        <w:pStyle w:val="Notedebasdepage"/>
        <w:rPr>
          <w:lang w:val="en-CA"/>
        </w:rPr>
      </w:pPr>
      <w:r>
        <w:rPr>
          <w:rStyle w:val="Appelnotedebasdep"/>
        </w:rPr>
        <w:footnoteRef/>
      </w:r>
      <w:r>
        <w:t xml:space="preserve"> </w:t>
      </w:r>
      <w:r>
        <w:tab/>
      </w:r>
      <w:r w:rsidR="00415C5A" w:rsidRPr="00415C5A">
        <w:rPr>
          <w:i/>
          <w:lang w:val="en-CA"/>
        </w:rPr>
        <w:t>Canadian Broadcasting Corp.</w:t>
      </w:r>
      <w:r w:rsidRPr="00415C5A">
        <w:rPr>
          <w:i/>
          <w:lang w:val="en-CA"/>
        </w:rPr>
        <w:t xml:space="preserve"> </w:t>
      </w:r>
      <w:r w:rsidR="00415C5A" w:rsidRPr="00077BF7">
        <w:rPr>
          <w:i/>
          <w:iCs/>
          <w:lang w:val="en-CA"/>
        </w:rPr>
        <w:t>v</w:t>
      </w:r>
      <w:r w:rsidRPr="00415C5A">
        <w:rPr>
          <w:lang w:val="en-CA"/>
        </w:rPr>
        <w:t>.</w:t>
      </w:r>
      <w:r w:rsidRPr="00415C5A">
        <w:rPr>
          <w:i/>
          <w:lang w:val="en-CA"/>
        </w:rPr>
        <w:t xml:space="preserve"> </w:t>
      </w:r>
      <w:r w:rsidR="00415C5A" w:rsidRPr="00415C5A">
        <w:rPr>
          <w:i/>
          <w:lang w:val="en-CA"/>
        </w:rPr>
        <w:t>New</w:t>
      </w:r>
      <w:r w:rsidRPr="00415C5A">
        <w:rPr>
          <w:i/>
          <w:lang w:val="en-CA"/>
        </w:rPr>
        <w:t>-Brunswick (</w:t>
      </w:r>
      <w:r w:rsidR="00415C5A">
        <w:rPr>
          <w:i/>
          <w:lang w:val="en-CA"/>
        </w:rPr>
        <w:t>Attorney General</w:t>
      </w:r>
      <w:r w:rsidRPr="00415C5A">
        <w:rPr>
          <w:i/>
          <w:lang w:val="en-CA"/>
        </w:rPr>
        <w:t>)</w:t>
      </w:r>
      <w:r w:rsidRPr="00415C5A">
        <w:rPr>
          <w:lang w:val="en-CA"/>
        </w:rPr>
        <w:t xml:space="preserve">, [1991] 3 </w:t>
      </w:r>
      <w:r w:rsidR="00415C5A">
        <w:rPr>
          <w:lang w:val="en-CA"/>
        </w:rPr>
        <w:t>S.C.R.</w:t>
      </w:r>
      <w:r w:rsidRPr="00415C5A">
        <w:rPr>
          <w:lang w:val="en-CA"/>
        </w:rPr>
        <w:t xml:space="preserve"> 459</w:t>
      </w:r>
      <w:r w:rsidR="008051BC">
        <w:rPr>
          <w:lang w:val="en-CA"/>
        </w:rPr>
        <w:t xml:space="preserve"> at</w:t>
      </w:r>
      <w:r w:rsidRPr="00415C5A">
        <w:rPr>
          <w:lang w:val="en-CA"/>
        </w:rPr>
        <w:t xml:space="preserve"> 475.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19992" w14:textId="6E9E2CFF" w:rsidR="008E1A30" w:rsidRDefault="00B27270">
    <w:pPr>
      <w:pStyle w:val="En-tte"/>
    </w:pPr>
    <w:r>
      <w:rPr>
        <w:noProof/>
      </w:rPr>
      <w:pict w14:anchorId="0510BF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076860" o:spid="_x0000_s2050" type="#_x0000_t136" style="position:absolute;margin-left:0;margin-top:0;width:594pt;height:66pt;rotation:315;z-index:-251655168;mso-position-horizontal:center;mso-position-horizontal-relative:margin;mso-position-vertical:center;mso-position-vertical-relative:margin" o:allowincell="f" fillcolor="#a5a5a5 [2092]" stroked="f">
          <v:fill opacity=".5"/>
          <v:textpath style="font-family:&quot;Arial&quot;;font-size:1pt" string="Courtesy Translatio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EFA68" w14:textId="5D87236C" w:rsidR="00270F28" w:rsidRDefault="00B27270" w:rsidP="00C0771A">
    <w:pPr>
      <w:pStyle w:val="zSoquijdatNoDossier"/>
    </w:pPr>
    <w:r>
      <w:rPr>
        <w:noProof/>
      </w:rPr>
      <w:pict w14:anchorId="3AE0CF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076861" o:spid="_x0000_s2051" type="#_x0000_t136" style="position:absolute;margin-left:0;margin-top:0;width:594pt;height:66pt;rotation:315;z-index:-251653120;mso-position-horizontal:center;mso-position-horizontal-relative:margin;mso-position-vertical:center;mso-position-vertical-relative:margin" o:allowincell="f" fillcolor="#a5a5a5 [2092]" stroked="f">
          <v:fill opacity=".5"/>
          <v:textpath style="font-family:&quot;Arial&quot;;font-size:1pt" string="Courtesy Translation"/>
          <w10:wrap anchorx="margin" anchory="margin"/>
        </v:shape>
      </w:pict>
    </w:r>
    <w:r w:rsidR="00270F28">
      <w:t>500-26-121035-202</w:t>
    </w:r>
    <w:r w:rsidR="00270F28">
      <w:tab/>
    </w:r>
    <w:r w:rsidR="00270F28">
      <w:tab/>
    </w:r>
    <w:r w:rsidR="00270F28">
      <w:tab/>
    </w:r>
    <w:r w:rsidR="00270F28">
      <w:tab/>
    </w:r>
    <w:r w:rsidR="00270F28">
      <w:tab/>
    </w:r>
    <w:r w:rsidR="00270F28">
      <w:tab/>
    </w:r>
    <w:r w:rsidR="00270F28">
      <w:tab/>
    </w:r>
    <w:r w:rsidR="00270F28">
      <w:tab/>
    </w:r>
    <w:r w:rsidR="00270F28">
      <w:tab/>
      <w:t xml:space="preserve">PAGE: </w:t>
    </w:r>
    <w:r w:rsidR="00270F28">
      <w:fldChar w:fldCharType="begin"/>
    </w:r>
    <w:r w:rsidR="00270F28">
      <w:instrText xml:space="preserve"> PAGE </w:instrText>
    </w:r>
    <w:r w:rsidR="00270F28">
      <w:fldChar w:fldCharType="separate"/>
    </w:r>
    <w:r w:rsidR="0043244D">
      <w:rPr>
        <w:noProof/>
      </w:rPr>
      <w:t>13</w:t>
    </w:r>
    <w:r w:rsidR="00270F28">
      <w:fldChar w:fldCharType="end"/>
    </w:r>
  </w:p>
  <w:p w14:paraId="3BB92992" w14:textId="77777777" w:rsidR="00270F28" w:rsidRDefault="00270F28">
    <w:pPr>
      <w:tabs>
        <w:tab w:val="center" w:pos="4709"/>
        <w:tab w:val="right" w:pos="9090"/>
      </w:tabs>
      <w:ind w:right="52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53E93" w14:textId="742650B3" w:rsidR="008E1A30" w:rsidRDefault="00B27270">
    <w:pPr>
      <w:pStyle w:val="En-tte"/>
    </w:pPr>
    <w:r>
      <w:rPr>
        <w:noProof/>
      </w:rPr>
      <w:pict w14:anchorId="53796B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076859" o:spid="_x0000_s2049" type="#_x0000_t136" style="position:absolute;margin-left:0;margin-top:0;width:594pt;height:66pt;rotation:315;z-index:-251657216;mso-position-horizontal:center;mso-position-horizontal-relative:margin;mso-position-vertical:center;mso-position-vertical-relative:margin" o:allowincell="f" fillcolor="#a5a5a5 [2092]" stroked="f">
          <v:fill opacity=".5"/>
          <v:textpath style="font-family:&quot;Arial&quot;;font-size:1pt" string="Courtesy Translatio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CFAD832"/>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1E6B1582"/>
    <w:multiLevelType w:val="hybridMultilevel"/>
    <w:tmpl w:val="05E0D2F8"/>
    <w:lvl w:ilvl="0" w:tplc="157CB2E8">
      <w:start w:val="1"/>
      <w:numFmt w:val="decimal"/>
      <w:lvlText w:val="%1-"/>
      <w:lvlJc w:val="left"/>
      <w:pPr>
        <w:ind w:left="1454" w:hanging="720"/>
      </w:pPr>
      <w:rPr>
        <w:rFonts w:ascii="Arial" w:eastAsia="Times New Roman" w:hAnsi="Arial" w:cs="Times New Roman"/>
      </w:rPr>
    </w:lvl>
    <w:lvl w:ilvl="1" w:tplc="0C0C0019" w:tentative="1">
      <w:start w:val="1"/>
      <w:numFmt w:val="lowerLetter"/>
      <w:lvlText w:val="%2."/>
      <w:lvlJc w:val="left"/>
      <w:pPr>
        <w:ind w:left="1814" w:hanging="360"/>
      </w:pPr>
    </w:lvl>
    <w:lvl w:ilvl="2" w:tplc="0C0C001B" w:tentative="1">
      <w:start w:val="1"/>
      <w:numFmt w:val="lowerRoman"/>
      <w:lvlText w:val="%3."/>
      <w:lvlJc w:val="right"/>
      <w:pPr>
        <w:ind w:left="2534" w:hanging="180"/>
      </w:pPr>
    </w:lvl>
    <w:lvl w:ilvl="3" w:tplc="0C0C000F" w:tentative="1">
      <w:start w:val="1"/>
      <w:numFmt w:val="decimal"/>
      <w:lvlText w:val="%4."/>
      <w:lvlJc w:val="left"/>
      <w:pPr>
        <w:ind w:left="3254" w:hanging="360"/>
      </w:pPr>
    </w:lvl>
    <w:lvl w:ilvl="4" w:tplc="0C0C0019" w:tentative="1">
      <w:start w:val="1"/>
      <w:numFmt w:val="lowerLetter"/>
      <w:lvlText w:val="%5."/>
      <w:lvlJc w:val="left"/>
      <w:pPr>
        <w:ind w:left="3974" w:hanging="360"/>
      </w:pPr>
    </w:lvl>
    <w:lvl w:ilvl="5" w:tplc="0C0C001B" w:tentative="1">
      <w:start w:val="1"/>
      <w:numFmt w:val="lowerRoman"/>
      <w:lvlText w:val="%6."/>
      <w:lvlJc w:val="right"/>
      <w:pPr>
        <w:ind w:left="4694" w:hanging="180"/>
      </w:pPr>
    </w:lvl>
    <w:lvl w:ilvl="6" w:tplc="0C0C000F" w:tentative="1">
      <w:start w:val="1"/>
      <w:numFmt w:val="decimal"/>
      <w:lvlText w:val="%7."/>
      <w:lvlJc w:val="left"/>
      <w:pPr>
        <w:ind w:left="5414" w:hanging="360"/>
      </w:pPr>
    </w:lvl>
    <w:lvl w:ilvl="7" w:tplc="0C0C0019" w:tentative="1">
      <w:start w:val="1"/>
      <w:numFmt w:val="lowerLetter"/>
      <w:lvlText w:val="%8."/>
      <w:lvlJc w:val="left"/>
      <w:pPr>
        <w:ind w:left="6134" w:hanging="360"/>
      </w:pPr>
    </w:lvl>
    <w:lvl w:ilvl="8" w:tplc="0C0C001B" w:tentative="1">
      <w:start w:val="1"/>
      <w:numFmt w:val="lowerRoman"/>
      <w:lvlText w:val="%9."/>
      <w:lvlJc w:val="right"/>
      <w:pPr>
        <w:ind w:left="6854" w:hanging="180"/>
      </w:pPr>
    </w:lvl>
  </w:abstractNum>
  <w:abstractNum w:abstractNumId="2" w15:restartNumberingAfterBreak="0">
    <w:nsid w:val="1ED87ACD"/>
    <w:multiLevelType w:val="hybridMultilevel"/>
    <w:tmpl w:val="E68C43E8"/>
    <w:lvl w:ilvl="0" w:tplc="2D240756">
      <w:start w:val="1"/>
      <w:numFmt w:val="decimal"/>
      <w:lvlText w:val="%1-"/>
      <w:lvlJc w:val="left"/>
      <w:pPr>
        <w:ind w:left="1094" w:hanging="360"/>
      </w:pPr>
      <w:rPr>
        <w:rFonts w:hint="default"/>
        <w:b w:val="0"/>
      </w:rPr>
    </w:lvl>
    <w:lvl w:ilvl="1" w:tplc="0C0C0019" w:tentative="1">
      <w:start w:val="1"/>
      <w:numFmt w:val="lowerLetter"/>
      <w:lvlText w:val="%2."/>
      <w:lvlJc w:val="left"/>
      <w:pPr>
        <w:ind w:left="1814" w:hanging="360"/>
      </w:pPr>
    </w:lvl>
    <w:lvl w:ilvl="2" w:tplc="0C0C001B" w:tentative="1">
      <w:start w:val="1"/>
      <w:numFmt w:val="lowerRoman"/>
      <w:lvlText w:val="%3."/>
      <w:lvlJc w:val="right"/>
      <w:pPr>
        <w:ind w:left="2534" w:hanging="180"/>
      </w:pPr>
    </w:lvl>
    <w:lvl w:ilvl="3" w:tplc="0C0C000F" w:tentative="1">
      <w:start w:val="1"/>
      <w:numFmt w:val="decimal"/>
      <w:lvlText w:val="%4."/>
      <w:lvlJc w:val="left"/>
      <w:pPr>
        <w:ind w:left="3254" w:hanging="360"/>
      </w:pPr>
    </w:lvl>
    <w:lvl w:ilvl="4" w:tplc="0C0C0019" w:tentative="1">
      <w:start w:val="1"/>
      <w:numFmt w:val="lowerLetter"/>
      <w:lvlText w:val="%5."/>
      <w:lvlJc w:val="left"/>
      <w:pPr>
        <w:ind w:left="3974" w:hanging="360"/>
      </w:pPr>
    </w:lvl>
    <w:lvl w:ilvl="5" w:tplc="0C0C001B" w:tentative="1">
      <w:start w:val="1"/>
      <w:numFmt w:val="lowerRoman"/>
      <w:lvlText w:val="%6."/>
      <w:lvlJc w:val="right"/>
      <w:pPr>
        <w:ind w:left="4694" w:hanging="180"/>
      </w:pPr>
    </w:lvl>
    <w:lvl w:ilvl="6" w:tplc="0C0C000F" w:tentative="1">
      <w:start w:val="1"/>
      <w:numFmt w:val="decimal"/>
      <w:lvlText w:val="%7."/>
      <w:lvlJc w:val="left"/>
      <w:pPr>
        <w:ind w:left="5414" w:hanging="360"/>
      </w:pPr>
    </w:lvl>
    <w:lvl w:ilvl="7" w:tplc="0C0C0019" w:tentative="1">
      <w:start w:val="1"/>
      <w:numFmt w:val="lowerLetter"/>
      <w:lvlText w:val="%8."/>
      <w:lvlJc w:val="left"/>
      <w:pPr>
        <w:ind w:left="6134" w:hanging="360"/>
      </w:pPr>
    </w:lvl>
    <w:lvl w:ilvl="8" w:tplc="0C0C001B" w:tentative="1">
      <w:start w:val="1"/>
      <w:numFmt w:val="lowerRoman"/>
      <w:lvlText w:val="%9."/>
      <w:lvlJc w:val="right"/>
      <w:pPr>
        <w:ind w:left="6854" w:hanging="180"/>
      </w:pPr>
    </w:lvl>
  </w:abstractNum>
  <w:abstractNum w:abstractNumId="3" w15:restartNumberingAfterBreak="0">
    <w:nsid w:val="609C0DCC"/>
    <w:multiLevelType w:val="multilevel"/>
    <w:tmpl w:val="D66A4680"/>
    <w:lvl w:ilvl="0">
      <w:start w:val="1"/>
      <w:numFmt w:val="decimal"/>
      <w:pStyle w:val="Paragraphe"/>
      <w:lvlText w:val="[%1]"/>
      <w:lvlJc w:val="left"/>
      <w:pPr>
        <w:tabs>
          <w:tab w:val="num" w:pos="360"/>
        </w:tabs>
        <w:ind w:left="0" w:firstLine="0"/>
      </w:pPr>
      <w:rPr>
        <w:rFonts w:ascii="Arial" w:hAnsi="Arial" w:hint="default"/>
        <w:b w:val="0"/>
        <w:i w:val="0"/>
        <w:color w:val="auto"/>
        <w:sz w:val="24"/>
      </w:rPr>
    </w:lvl>
    <w:lvl w:ilvl="1">
      <w:start w:val="1"/>
      <w:numFmt w:val="decimal"/>
      <w:pStyle w:val="Sous-paragraphe"/>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16cid:durableId="2018456436">
    <w:abstractNumId w:val="3"/>
  </w:num>
  <w:num w:numId="2" w16cid:durableId="1515918374">
    <w:abstractNumId w:val="1"/>
  </w:num>
  <w:num w:numId="3" w16cid:durableId="2129153189">
    <w:abstractNumId w:val="2"/>
  </w:num>
  <w:num w:numId="4" w16cid:durableId="1975532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2052"/>
    <o:shapelayout v:ext="edit">
      <o:idmap v:ext="edit" data="2"/>
    </o:shapelayout>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73F"/>
    <w:rsid w:val="00020E5C"/>
    <w:rsid w:val="00031C18"/>
    <w:rsid w:val="00041848"/>
    <w:rsid w:val="00070DDC"/>
    <w:rsid w:val="00077BF7"/>
    <w:rsid w:val="00094116"/>
    <w:rsid w:val="000A5494"/>
    <w:rsid w:val="000A5BBF"/>
    <w:rsid w:val="000A6CDE"/>
    <w:rsid w:val="000C4705"/>
    <w:rsid w:val="000D20DD"/>
    <w:rsid w:val="000D44F1"/>
    <w:rsid w:val="000D525B"/>
    <w:rsid w:val="000E769A"/>
    <w:rsid w:val="001046EA"/>
    <w:rsid w:val="00110552"/>
    <w:rsid w:val="00113AD9"/>
    <w:rsid w:val="00122F3D"/>
    <w:rsid w:val="00134C7D"/>
    <w:rsid w:val="00135685"/>
    <w:rsid w:val="0014041D"/>
    <w:rsid w:val="00144F28"/>
    <w:rsid w:val="00152E42"/>
    <w:rsid w:val="001716C3"/>
    <w:rsid w:val="001925BE"/>
    <w:rsid w:val="001C06E7"/>
    <w:rsid w:val="001C467A"/>
    <w:rsid w:val="001D625F"/>
    <w:rsid w:val="001D75D1"/>
    <w:rsid w:val="001D7900"/>
    <w:rsid w:val="001E542C"/>
    <w:rsid w:val="00213D70"/>
    <w:rsid w:val="00231832"/>
    <w:rsid w:val="00255440"/>
    <w:rsid w:val="00257A2F"/>
    <w:rsid w:val="00270F28"/>
    <w:rsid w:val="00292F15"/>
    <w:rsid w:val="002D6C6B"/>
    <w:rsid w:val="002E02E8"/>
    <w:rsid w:val="002E692E"/>
    <w:rsid w:val="003133CE"/>
    <w:rsid w:val="00313661"/>
    <w:rsid w:val="003227F0"/>
    <w:rsid w:val="0032342D"/>
    <w:rsid w:val="00325C3F"/>
    <w:rsid w:val="00330C56"/>
    <w:rsid w:val="0037238C"/>
    <w:rsid w:val="003808E1"/>
    <w:rsid w:val="00384038"/>
    <w:rsid w:val="00391182"/>
    <w:rsid w:val="003B0830"/>
    <w:rsid w:val="003C1AD2"/>
    <w:rsid w:val="003D7B62"/>
    <w:rsid w:val="003E5A23"/>
    <w:rsid w:val="004005EB"/>
    <w:rsid w:val="00414ED4"/>
    <w:rsid w:val="00415C5A"/>
    <w:rsid w:val="00416692"/>
    <w:rsid w:val="0043244D"/>
    <w:rsid w:val="0043465F"/>
    <w:rsid w:val="00435685"/>
    <w:rsid w:val="004445E0"/>
    <w:rsid w:val="004528B7"/>
    <w:rsid w:val="0045410B"/>
    <w:rsid w:val="0045783D"/>
    <w:rsid w:val="00461702"/>
    <w:rsid w:val="004E3D2A"/>
    <w:rsid w:val="004F7798"/>
    <w:rsid w:val="0050379F"/>
    <w:rsid w:val="00517105"/>
    <w:rsid w:val="00562D5D"/>
    <w:rsid w:val="00565164"/>
    <w:rsid w:val="00585248"/>
    <w:rsid w:val="005C193D"/>
    <w:rsid w:val="005C2997"/>
    <w:rsid w:val="005E2BEC"/>
    <w:rsid w:val="00600994"/>
    <w:rsid w:val="006129D3"/>
    <w:rsid w:val="00617EFB"/>
    <w:rsid w:val="00624ECA"/>
    <w:rsid w:val="00625169"/>
    <w:rsid w:val="00627EB3"/>
    <w:rsid w:val="00634E8C"/>
    <w:rsid w:val="00634F12"/>
    <w:rsid w:val="00637FFD"/>
    <w:rsid w:val="0064276D"/>
    <w:rsid w:val="00650A6C"/>
    <w:rsid w:val="00652B2A"/>
    <w:rsid w:val="00671B4F"/>
    <w:rsid w:val="00682525"/>
    <w:rsid w:val="00687FD9"/>
    <w:rsid w:val="006C2A53"/>
    <w:rsid w:val="006D2B6F"/>
    <w:rsid w:val="006E4217"/>
    <w:rsid w:val="006F42B3"/>
    <w:rsid w:val="007036D0"/>
    <w:rsid w:val="007072EA"/>
    <w:rsid w:val="00742832"/>
    <w:rsid w:val="0074426F"/>
    <w:rsid w:val="00747B28"/>
    <w:rsid w:val="007509B2"/>
    <w:rsid w:val="00771D0B"/>
    <w:rsid w:val="00797564"/>
    <w:rsid w:val="007F70B8"/>
    <w:rsid w:val="008051BC"/>
    <w:rsid w:val="00826B6B"/>
    <w:rsid w:val="008310E8"/>
    <w:rsid w:val="0086245B"/>
    <w:rsid w:val="00863512"/>
    <w:rsid w:val="00866340"/>
    <w:rsid w:val="008844B2"/>
    <w:rsid w:val="008B1EF6"/>
    <w:rsid w:val="008B5D10"/>
    <w:rsid w:val="008C6B85"/>
    <w:rsid w:val="008E1A30"/>
    <w:rsid w:val="008F0B51"/>
    <w:rsid w:val="008F0C11"/>
    <w:rsid w:val="008F1DB4"/>
    <w:rsid w:val="00903FA2"/>
    <w:rsid w:val="0092201D"/>
    <w:rsid w:val="00922E38"/>
    <w:rsid w:val="0096113E"/>
    <w:rsid w:val="009856B4"/>
    <w:rsid w:val="00986716"/>
    <w:rsid w:val="009A3E39"/>
    <w:rsid w:val="009B522B"/>
    <w:rsid w:val="009D1250"/>
    <w:rsid w:val="009D46B6"/>
    <w:rsid w:val="009D679D"/>
    <w:rsid w:val="009D683A"/>
    <w:rsid w:val="009F273F"/>
    <w:rsid w:val="00A02F88"/>
    <w:rsid w:val="00A40D99"/>
    <w:rsid w:val="00A42174"/>
    <w:rsid w:val="00A42FC3"/>
    <w:rsid w:val="00A62788"/>
    <w:rsid w:val="00A91A30"/>
    <w:rsid w:val="00AB3240"/>
    <w:rsid w:val="00AF61F6"/>
    <w:rsid w:val="00B01545"/>
    <w:rsid w:val="00B15339"/>
    <w:rsid w:val="00B27270"/>
    <w:rsid w:val="00B36622"/>
    <w:rsid w:val="00B51354"/>
    <w:rsid w:val="00B62A6D"/>
    <w:rsid w:val="00B732E7"/>
    <w:rsid w:val="00B815D6"/>
    <w:rsid w:val="00BC12D0"/>
    <w:rsid w:val="00BE61A7"/>
    <w:rsid w:val="00BF1904"/>
    <w:rsid w:val="00BF334E"/>
    <w:rsid w:val="00BF34D3"/>
    <w:rsid w:val="00C00F72"/>
    <w:rsid w:val="00C0771A"/>
    <w:rsid w:val="00C34AEF"/>
    <w:rsid w:val="00C34DB3"/>
    <w:rsid w:val="00C37DF6"/>
    <w:rsid w:val="00C44208"/>
    <w:rsid w:val="00C708D4"/>
    <w:rsid w:val="00C721C5"/>
    <w:rsid w:val="00C9005E"/>
    <w:rsid w:val="00C93BA9"/>
    <w:rsid w:val="00CB2B42"/>
    <w:rsid w:val="00CC022C"/>
    <w:rsid w:val="00CC225E"/>
    <w:rsid w:val="00CC4CA1"/>
    <w:rsid w:val="00CD442B"/>
    <w:rsid w:val="00CD5EEA"/>
    <w:rsid w:val="00CF2177"/>
    <w:rsid w:val="00CF4438"/>
    <w:rsid w:val="00CF58C9"/>
    <w:rsid w:val="00D059B6"/>
    <w:rsid w:val="00D20259"/>
    <w:rsid w:val="00D33018"/>
    <w:rsid w:val="00D41B56"/>
    <w:rsid w:val="00D6047F"/>
    <w:rsid w:val="00D7001B"/>
    <w:rsid w:val="00D769D7"/>
    <w:rsid w:val="00D80CFA"/>
    <w:rsid w:val="00D82E6D"/>
    <w:rsid w:val="00DA6F8E"/>
    <w:rsid w:val="00DB4E8F"/>
    <w:rsid w:val="00DB7FA0"/>
    <w:rsid w:val="00DE6837"/>
    <w:rsid w:val="00DF2303"/>
    <w:rsid w:val="00E03A43"/>
    <w:rsid w:val="00E12356"/>
    <w:rsid w:val="00E1590B"/>
    <w:rsid w:val="00E30496"/>
    <w:rsid w:val="00E327F6"/>
    <w:rsid w:val="00E53226"/>
    <w:rsid w:val="00E6415C"/>
    <w:rsid w:val="00E67BA7"/>
    <w:rsid w:val="00E85EA7"/>
    <w:rsid w:val="00E90C67"/>
    <w:rsid w:val="00ED6DD8"/>
    <w:rsid w:val="00EF07F0"/>
    <w:rsid w:val="00EF3332"/>
    <w:rsid w:val="00F124C1"/>
    <w:rsid w:val="00F16F3A"/>
    <w:rsid w:val="00F363AE"/>
    <w:rsid w:val="00F37719"/>
    <w:rsid w:val="00F377AA"/>
    <w:rsid w:val="00F4049A"/>
    <w:rsid w:val="00F51C50"/>
    <w:rsid w:val="00F7790E"/>
    <w:rsid w:val="00FA6E55"/>
    <w:rsid w:val="00FB24CC"/>
    <w:rsid w:val="00FC7B96"/>
    <w:rsid w:val="00FE1DB6"/>
    <w:rsid w:val="00FE38AC"/>
    <w:rsid w:val="00FF13E1"/>
    <w:rsid w:val="00FF1D5A"/>
    <w:rsid w:val="00FF2189"/>
    <w:rsid w:val="00FF51E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05163C3"/>
  <w15:chartTrackingRefBased/>
  <w15:docId w15:val="{FB7E09C7-2710-4C46-9FB8-72ADF0E0C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273F"/>
    <w:pPr>
      <w:spacing w:after="0" w:line="240" w:lineRule="auto"/>
    </w:pPr>
    <w:rPr>
      <w:rFonts w:ascii="Arial" w:eastAsia="Times New Roman" w:hAnsi="Arial" w:cs="Times New Roman"/>
      <w:sz w:val="24"/>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e">
    <w:name w:val="Paragraphe"/>
    <w:basedOn w:val="Normal"/>
    <w:rsid w:val="009F273F"/>
    <w:pPr>
      <w:numPr>
        <w:numId w:val="1"/>
      </w:numPr>
      <w:spacing w:before="120" w:after="120" w:line="500" w:lineRule="exact"/>
      <w:jc w:val="both"/>
    </w:pPr>
    <w:rPr>
      <w:kern w:val="28"/>
    </w:rPr>
  </w:style>
  <w:style w:type="paragraph" w:styleId="Notedebasdepage">
    <w:name w:val="footnote text"/>
    <w:basedOn w:val="Normal"/>
    <w:link w:val="NotedebasdepageCar"/>
    <w:semiHidden/>
    <w:rsid w:val="009F273F"/>
    <w:pPr>
      <w:ind w:left="360" w:hanging="360"/>
      <w:jc w:val="both"/>
    </w:pPr>
    <w:rPr>
      <w:sz w:val="20"/>
      <w:lang w:val="x-none"/>
    </w:rPr>
  </w:style>
  <w:style w:type="character" w:customStyle="1" w:styleId="NotedebasdepageCar">
    <w:name w:val="Note de bas de page Car"/>
    <w:basedOn w:val="Policepardfaut"/>
    <w:link w:val="Notedebasdepage"/>
    <w:semiHidden/>
    <w:rsid w:val="009F273F"/>
    <w:rPr>
      <w:rFonts w:ascii="Arial" w:eastAsia="Times New Roman" w:hAnsi="Arial" w:cs="Times New Roman"/>
      <w:sz w:val="20"/>
      <w:szCs w:val="20"/>
      <w:lang w:val="x-none" w:eastAsia="fr-FR"/>
    </w:rPr>
  </w:style>
  <w:style w:type="paragraph" w:customStyle="1" w:styleId="zSoquijlblCour">
    <w:name w:val="zSoquij_lblCour"/>
    <w:basedOn w:val="Normal"/>
    <w:rsid w:val="009F273F"/>
    <w:pPr>
      <w:jc w:val="center"/>
    </w:pPr>
    <w:rPr>
      <w:b/>
      <w:sz w:val="36"/>
    </w:rPr>
  </w:style>
  <w:style w:type="paragraph" w:customStyle="1" w:styleId="zSoquijlblPays">
    <w:name w:val="zSoquij_lblPays"/>
    <w:basedOn w:val="Normal"/>
    <w:rsid w:val="009F273F"/>
  </w:style>
  <w:style w:type="paragraph" w:customStyle="1" w:styleId="zSoquijlblProvince">
    <w:name w:val="zSoquij_lblProvince"/>
    <w:basedOn w:val="Normal"/>
    <w:rsid w:val="009F273F"/>
  </w:style>
  <w:style w:type="paragraph" w:customStyle="1" w:styleId="zSoquijlblGreffe">
    <w:name w:val="zSoquij_lblGreffe"/>
    <w:basedOn w:val="Normal"/>
    <w:rsid w:val="009F273F"/>
    <w:pPr>
      <w:ind w:left="70"/>
    </w:pPr>
  </w:style>
  <w:style w:type="paragraph" w:customStyle="1" w:styleId="zSoquijdatGreffe">
    <w:name w:val="zSoquij_datGreffe"/>
    <w:basedOn w:val="Normal"/>
    <w:rsid w:val="009F273F"/>
    <w:pPr>
      <w:ind w:left="29"/>
    </w:pPr>
  </w:style>
  <w:style w:type="paragraph" w:customStyle="1" w:styleId="zSoquijdatDivision">
    <w:name w:val="zSoquij_datDivision"/>
    <w:basedOn w:val="Normal"/>
    <w:rsid w:val="009F273F"/>
    <w:pPr>
      <w:jc w:val="center"/>
    </w:pPr>
    <w:rPr>
      <w:sz w:val="22"/>
    </w:rPr>
  </w:style>
  <w:style w:type="paragraph" w:customStyle="1" w:styleId="zSoquijlblNoDossier">
    <w:name w:val="zSoquij_lblNoDossier"/>
    <w:basedOn w:val="Normal"/>
    <w:rsid w:val="009F273F"/>
  </w:style>
  <w:style w:type="paragraph" w:customStyle="1" w:styleId="zSoquijdatNoDossier">
    <w:name w:val="zSoquij_datNoDossier"/>
    <w:basedOn w:val="Normal"/>
    <w:rsid w:val="009F273F"/>
  </w:style>
  <w:style w:type="paragraph" w:customStyle="1" w:styleId="zSoquijdatDateJugement">
    <w:name w:val="zSoquij_datDateJugement"/>
    <w:basedOn w:val="Normal"/>
    <w:rsid w:val="009F273F"/>
  </w:style>
  <w:style w:type="paragraph" w:customStyle="1" w:styleId="zSoquijlblDateJugement">
    <w:name w:val="zSoquij_lblDateJugement"/>
    <w:basedOn w:val="Normal"/>
    <w:rsid w:val="009F273F"/>
  </w:style>
  <w:style w:type="paragraph" w:customStyle="1" w:styleId="zSoquijlblJuge">
    <w:name w:val="zSoquij_lblJuge"/>
    <w:basedOn w:val="Normal"/>
    <w:rsid w:val="009F273F"/>
    <w:pPr>
      <w:ind w:left="70"/>
    </w:pPr>
    <w:rPr>
      <w:b/>
    </w:rPr>
  </w:style>
  <w:style w:type="paragraph" w:customStyle="1" w:styleId="zSoquijdatQteJuge">
    <w:name w:val="zSoquij_datQteJuge"/>
    <w:basedOn w:val="Normal"/>
    <w:rsid w:val="009F273F"/>
    <w:pPr>
      <w:ind w:left="29"/>
    </w:pPr>
    <w:rPr>
      <w:b/>
    </w:rPr>
  </w:style>
  <w:style w:type="paragraph" w:customStyle="1" w:styleId="zSoquijdatJuge">
    <w:name w:val="zSoquij_datJuge"/>
    <w:basedOn w:val="Normal"/>
    <w:rsid w:val="009F273F"/>
    <w:pPr>
      <w:ind w:left="52"/>
    </w:pPr>
    <w:rPr>
      <w:b/>
    </w:rPr>
  </w:style>
  <w:style w:type="paragraph" w:customStyle="1" w:styleId="zSoquijdatNomPartieDem">
    <w:name w:val="zSoquij_datNomPartieDem"/>
    <w:basedOn w:val="Normal"/>
    <w:rsid w:val="009F273F"/>
    <w:rPr>
      <w:b/>
      <w:bCs/>
    </w:rPr>
  </w:style>
  <w:style w:type="paragraph" w:customStyle="1" w:styleId="zSoquijdatQtePartieDem">
    <w:name w:val="zSoquij_datQtePartieDem"/>
    <w:basedOn w:val="Normal"/>
    <w:rsid w:val="009F273F"/>
    <w:pPr>
      <w:ind w:left="708"/>
    </w:pPr>
  </w:style>
  <w:style w:type="paragraph" w:customStyle="1" w:styleId="zSoquijlblLienParties">
    <w:name w:val="zSoquij_lblLienParties"/>
    <w:basedOn w:val="Normal"/>
    <w:rsid w:val="009F273F"/>
  </w:style>
  <w:style w:type="paragraph" w:customStyle="1" w:styleId="zSoquijdatNomPartieDef">
    <w:name w:val="zSoquij_datNomPartieDef"/>
    <w:basedOn w:val="Normal"/>
    <w:rsid w:val="009F273F"/>
    <w:rPr>
      <w:b/>
      <w:bCs/>
    </w:rPr>
  </w:style>
  <w:style w:type="paragraph" w:customStyle="1" w:styleId="zSoquijdatQtePartieDef">
    <w:name w:val="zSoquij_datQtePartieDef"/>
    <w:basedOn w:val="Normal"/>
    <w:rsid w:val="009F273F"/>
    <w:pPr>
      <w:ind w:left="708"/>
    </w:pPr>
  </w:style>
  <w:style w:type="paragraph" w:customStyle="1" w:styleId="zSoquijlblTypeDocument">
    <w:name w:val="zSoquij_lblTypeDocument"/>
    <w:basedOn w:val="Normal"/>
    <w:rsid w:val="009F273F"/>
    <w:pPr>
      <w:jc w:val="center"/>
    </w:pPr>
  </w:style>
  <w:style w:type="paragraph" w:customStyle="1" w:styleId="zSoquijlblDateAudience">
    <w:name w:val="zSoquij_lblDateAudience"/>
    <w:basedOn w:val="Normal"/>
    <w:rsid w:val="009F273F"/>
  </w:style>
  <w:style w:type="paragraph" w:customStyle="1" w:styleId="zSoquijlblNomChambre">
    <w:name w:val="zSoquij_lblNomChambre"/>
    <w:basedOn w:val="Normal"/>
    <w:rsid w:val="009F273F"/>
  </w:style>
  <w:style w:type="paragraph" w:customStyle="1" w:styleId="zSoquijlblTitrePartie">
    <w:name w:val="zSoquij_lblTitrePartie"/>
    <w:basedOn w:val="Normal"/>
    <w:rsid w:val="009F273F"/>
  </w:style>
  <w:style w:type="paragraph" w:customStyle="1" w:styleId="zSoquijdatSignature3Juge">
    <w:name w:val="zSoquij_datSignature3Juge"/>
    <w:basedOn w:val="Normal"/>
    <w:rsid w:val="009F273F"/>
  </w:style>
  <w:style w:type="paragraph" w:customStyle="1" w:styleId="Sous-paragraphe">
    <w:name w:val="Sous-paragraphe"/>
    <w:basedOn w:val="Normal"/>
    <w:rsid w:val="009F273F"/>
    <w:pPr>
      <w:widowControl w:val="0"/>
      <w:numPr>
        <w:ilvl w:val="1"/>
        <w:numId w:val="1"/>
      </w:numPr>
      <w:spacing w:after="120"/>
      <w:jc w:val="both"/>
    </w:pPr>
    <w:rPr>
      <w:kern w:val="28"/>
    </w:rPr>
  </w:style>
  <w:style w:type="paragraph" w:customStyle="1" w:styleId="zSoquijdatNomProcureurDem">
    <w:name w:val="zSoquij_datNomProcureurDem"/>
    <w:basedOn w:val="Normal"/>
    <w:rsid w:val="009F273F"/>
  </w:style>
  <w:style w:type="paragraph" w:customStyle="1" w:styleId="zSoquijdatNomProcureurDef">
    <w:name w:val="zSoquij_datNomProcureurDef"/>
    <w:basedOn w:val="Normal"/>
    <w:rsid w:val="009F273F"/>
  </w:style>
  <w:style w:type="paragraph" w:customStyle="1" w:styleId="zSoquijdatRepertorie">
    <w:name w:val="zSoquij_datRepertorie"/>
    <w:basedOn w:val="zSoquijlblCour"/>
    <w:rsid w:val="009F273F"/>
    <w:pPr>
      <w:jc w:val="left"/>
    </w:pPr>
    <w:rPr>
      <w:noProof/>
      <w:sz w:val="22"/>
    </w:rPr>
  </w:style>
  <w:style w:type="paragraph" w:customStyle="1" w:styleId="zSoquijdatRefNeutre">
    <w:name w:val="zSoquij_datRefNeutre"/>
    <w:basedOn w:val="zSoquijlblCour"/>
    <w:rsid w:val="009F273F"/>
    <w:pPr>
      <w:jc w:val="left"/>
    </w:pPr>
    <w:rPr>
      <w:noProof/>
      <w:sz w:val="22"/>
    </w:rPr>
  </w:style>
  <w:style w:type="character" w:styleId="Appelnotedebasdep">
    <w:name w:val="footnote reference"/>
    <w:uiPriority w:val="99"/>
    <w:semiHidden/>
    <w:unhideWhenUsed/>
    <w:rsid w:val="009F273F"/>
    <w:rPr>
      <w:vertAlign w:val="superscript"/>
      <w:lang w:val="fr-CA"/>
    </w:rPr>
  </w:style>
  <w:style w:type="paragraph" w:styleId="En-tte">
    <w:name w:val="header"/>
    <w:basedOn w:val="Normal"/>
    <w:link w:val="En-tteCar"/>
    <w:uiPriority w:val="99"/>
    <w:unhideWhenUsed/>
    <w:rsid w:val="009F273F"/>
    <w:pPr>
      <w:tabs>
        <w:tab w:val="center" w:pos="4320"/>
        <w:tab w:val="right" w:pos="8640"/>
      </w:tabs>
    </w:pPr>
  </w:style>
  <w:style w:type="character" w:customStyle="1" w:styleId="En-tteCar">
    <w:name w:val="En-tête Car"/>
    <w:basedOn w:val="Policepardfaut"/>
    <w:link w:val="En-tte"/>
    <w:uiPriority w:val="99"/>
    <w:rsid w:val="009F273F"/>
    <w:rPr>
      <w:rFonts w:ascii="Arial" w:eastAsia="Times New Roman" w:hAnsi="Arial" w:cs="Times New Roman"/>
      <w:sz w:val="24"/>
      <w:szCs w:val="20"/>
      <w:lang w:eastAsia="fr-FR"/>
    </w:rPr>
  </w:style>
  <w:style w:type="paragraph" w:styleId="Pieddepage">
    <w:name w:val="footer"/>
    <w:basedOn w:val="Normal"/>
    <w:link w:val="PieddepageCar"/>
    <w:uiPriority w:val="99"/>
    <w:unhideWhenUsed/>
    <w:rsid w:val="009F273F"/>
    <w:pPr>
      <w:tabs>
        <w:tab w:val="center" w:pos="4320"/>
        <w:tab w:val="right" w:pos="8640"/>
      </w:tabs>
    </w:pPr>
  </w:style>
  <w:style w:type="character" w:customStyle="1" w:styleId="PieddepageCar">
    <w:name w:val="Pied de page Car"/>
    <w:basedOn w:val="Policepardfaut"/>
    <w:link w:val="Pieddepage"/>
    <w:uiPriority w:val="99"/>
    <w:rsid w:val="009F273F"/>
    <w:rPr>
      <w:rFonts w:ascii="Arial" w:eastAsia="Times New Roman" w:hAnsi="Arial" w:cs="Times New Roman"/>
      <w:sz w:val="24"/>
      <w:szCs w:val="20"/>
      <w:lang w:eastAsia="fr-FR"/>
    </w:rPr>
  </w:style>
  <w:style w:type="paragraph" w:styleId="Listepuces">
    <w:name w:val="List Bullet"/>
    <w:basedOn w:val="Normal"/>
    <w:uiPriority w:val="99"/>
    <w:unhideWhenUsed/>
    <w:rsid w:val="00FE1DB6"/>
    <w:pPr>
      <w:numPr>
        <w:numId w:val="4"/>
      </w:numPr>
      <w:contextualSpacing/>
    </w:pPr>
  </w:style>
  <w:style w:type="paragraph" w:styleId="Rvision">
    <w:name w:val="Revision"/>
    <w:hidden/>
    <w:uiPriority w:val="99"/>
    <w:semiHidden/>
    <w:rsid w:val="00325C3F"/>
    <w:pPr>
      <w:spacing w:after="0" w:line="240" w:lineRule="auto"/>
    </w:pPr>
    <w:rPr>
      <w:rFonts w:ascii="Arial" w:eastAsia="Times New Roman" w:hAnsi="Arial" w:cs="Times New Roman"/>
      <w:sz w:val="24"/>
      <w:szCs w:val="20"/>
      <w:lang w:eastAsia="fr-FR"/>
    </w:rPr>
  </w:style>
  <w:style w:type="character" w:styleId="Marquedecommentaire">
    <w:name w:val="annotation reference"/>
    <w:basedOn w:val="Policepardfaut"/>
    <w:uiPriority w:val="99"/>
    <w:semiHidden/>
    <w:unhideWhenUsed/>
    <w:rsid w:val="00DF2303"/>
    <w:rPr>
      <w:sz w:val="16"/>
      <w:szCs w:val="16"/>
    </w:rPr>
  </w:style>
  <w:style w:type="paragraph" w:styleId="Commentaire">
    <w:name w:val="annotation text"/>
    <w:basedOn w:val="Normal"/>
    <w:link w:val="CommentaireCar"/>
    <w:uiPriority w:val="99"/>
    <w:unhideWhenUsed/>
    <w:rsid w:val="00DF2303"/>
    <w:rPr>
      <w:sz w:val="20"/>
    </w:rPr>
  </w:style>
  <w:style w:type="character" w:customStyle="1" w:styleId="CommentaireCar">
    <w:name w:val="Commentaire Car"/>
    <w:basedOn w:val="Policepardfaut"/>
    <w:link w:val="Commentaire"/>
    <w:uiPriority w:val="99"/>
    <w:rsid w:val="00DF2303"/>
    <w:rPr>
      <w:rFonts w:ascii="Arial" w:eastAsia="Times New Roman"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DF2303"/>
    <w:rPr>
      <w:b/>
      <w:bCs/>
    </w:rPr>
  </w:style>
  <w:style w:type="character" w:customStyle="1" w:styleId="ObjetducommentaireCar">
    <w:name w:val="Objet du commentaire Car"/>
    <w:basedOn w:val="CommentaireCar"/>
    <w:link w:val="Objetducommentaire"/>
    <w:uiPriority w:val="99"/>
    <w:semiHidden/>
    <w:rsid w:val="00DF2303"/>
    <w:rPr>
      <w:rFonts w:ascii="Arial" w:eastAsia="Times New Roman" w:hAnsi="Arial" w:cs="Times New Roman"/>
      <w:b/>
      <w:bCs/>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6680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13</Pages>
  <Words>4794</Words>
  <Characters>26367</Characters>
  <Application>Microsoft Office Word</Application>
  <DocSecurity>0</DocSecurity>
  <Lines>219</Lines>
  <Paragraphs>62</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31099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Allan Parvu</dc:creator>
  <cp:keywords/>
  <dc:description/>
  <cp:lastModifiedBy>trad-rev</cp:lastModifiedBy>
  <cp:revision>4</cp:revision>
  <dcterms:created xsi:type="dcterms:W3CDTF">2024-06-13T19:55:00Z</dcterms:created>
  <dcterms:modified xsi:type="dcterms:W3CDTF">2024-06-13T20:02:00Z</dcterms:modified>
</cp:coreProperties>
</file>