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1E0" w:firstRow="1" w:lastRow="1" w:firstColumn="1" w:lastColumn="1" w:noHBand="0" w:noVBand="0"/>
      </w:tblPr>
      <w:tblGrid>
        <w:gridCol w:w="7086"/>
        <w:gridCol w:w="2483"/>
      </w:tblGrid>
      <w:tr w:rsidR="00D352EA" w14:paraId="5A24F20B" w14:textId="77777777" w:rsidTr="00D352EA">
        <w:tc>
          <w:tcPr>
            <w:tcW w:w="7086" w:type="dxa"/>
          </w:tcPr>
          <w:p w14:paraId="272033B1" w14:textId="4AC4BDEB" w:rsidR="00D352EA" w:rsidRPr="00681FB6" w:rsidRDefault="00681FB6" w:rsidP="00681FB6">
            <w:pPr>
              <w:pStyle w:val="zSoquijdatRepertorie"/>
              <w:rPr>
                <w:rFonts w:cs="Arial"/>
              </w:rPr>
            </w:pPr>
            <w:r>
              <w:rPr>
                <w:rFonts w:cs="Arial"/>
              </w:rPr>
              <w:t>R. c. Daigle</w:t>
            </w:r>
          </w:p>
        </w:tc>
        <w:tc>
          <w:tcPr>
            <w:tcW w:w="2483" w:type="dxa"/>
          </w:tcPr>
          <w:p w14:paraId="196BDDB4" w14:textId="18337D3C" w:rsidR="00D352EA" w:rsidRPr="000D3AC1" w:rsidRDefault="000D3AC1" w:rsidP="000D3AC1">
            <w:pPr>
              <w:pStyle w:val="zSoquijdatRefNeutre"/>
              <w:jc w:val="right"/>
              <w:rPr>
                <w:rFonts w:cs="Arial"/>
              </w:rPr>
            </w:pPr>
            <w:r w:rsidRPr="000D3AC1">
              <w:rPr>
                <w:rFonts w:cs="Arial"/>
              </w:rPr>
              <w:t>2024 QCCQ 3083</w:t>
            </w:r>
          </w:p>
        </w:tc>
      </w:tr>
    </w:tbl>
    <w:p w14:paraId="57393030" w14:textId="77777777" w:rsidR="00D352EA" w:rsidRDefault="00D352EA"/>
    <w:tbl>
      <w:tblPr>
        <w:tblW w:w="9505" w:type="dxa"/>
        <w:tblLayout w:type="fixed"/>
        <w:tblCellMar>
          <w:left w:w="70" w:type="dxa"/>
          <w:right w:w="70" w:type="dxa"/>
        </w:tblCellMar>
        <w:tblLook w:val="0000" w:firstRow="0" w:lastRow="0" w:firstColumn="0" w:lastColumn="0" w:noHBand="0" w:noVBand="0"/>
      </w:tblPr>
      <w:tblGrid>
        <w:gridCol w:w="1036"/>
        <w:gridCol w:w="69"/>
        <w:gridCol w:w="520"/>
        <w:gridCol w:w="1575"/>
        <w:gridCol w:w="1826"/>
        <w:gridCol w:w="4479"/>
      </w:tblGrid>
      <w:tr w:rsidR="002943F8" w14:paraId="22B72E4D" w14:textId="77777777">
        <w:trPr>
          <w:trHeight w:val="900"/>
        </w:trPr>
        <w:tc>
          <w:tcPr>
            <w:tcW w:w="9505" w:type="dxa"/>
            <w:gridSpan w:val="6"/>
            <w:vAlign w:val="bottom"/>
          </w:tcPr>
          <w:p w14:paraId="03565994" w14:textId="77777777" w:rsidR="00FF4C41" w:rsidRDefault="00E418AD">
            <w:pPr>
              <w:pStyle w:val="zSoquijlblCour"/>
            </w:pPr>
            <w:r>
              <w:t>COUR DU QUÉBEC</w:t>
            </w:r>
          </w:p>
        </w:tc>
      </w:tr>
      <w:tr w:rsidR="002943F8" w14:paraId="5FD41124" w14:textId="77777777">
        <w:trPr>
          <w:trHeight w:val="540"/>
        </w:trPr>
        <w:tc>
          <w:tcPr>
            <w:tcW w:w="9505" w:type="dxa"/>
            <w:gridSpan w:val="6"/>
          </w:tcPr>
          <w:p w14:paraId="687807E7" w14:textId="77777777" w:rsidR="00FF4C41" w:rsidRDefault="00FF4C41">
            <w:pPr>
              <w:pStyle w:val="zSoquijdatDivision"/>
            </w:pPr>
          </w:p>
        </w:tc>
      </w:tr>
      <w:tr w:rsidR="002943F8" w14:paraId="26E15C34" w14:textId="77777777">
        <w:tc>
          <w:tcPr>
            <w:tcW w:w="9505" w:type="dxa"/>
            <w:gridSpan w:val="6"/>
          </w:tcPr>
          <w:p w14:paraId="65A28551" w14:textId="77777777" w:rsidR="00FF4C41" w:rsidRDefault="00E418AD">
            <w:pPr>
              <w:pStyle w:val="zSoquijlblPays"/>
            </w:pPr>
            <w:r>
              <w:t>CANADA</w:t>
            </w:r>
          </w:p>
        </w:tc>
      </w:tr>
      <w:tr w:rsidR="002943F8" w14:paraId="0B6823EE" w14:textId="77777777">
        <w:tc>
          <w:tcPr>
            <w:tcW w:w="9505" w:type="dxa"/>
            <w:gridSpan w:val="6"/>
          </w:tcPr>
          <w:p w14:paraId="2E9B0052" w14:textId="77777777" w:rsidR="00FF4C41" w:rsidRDefault="00E418AD" w:rsidP="004D4F6C">
            <w:pPr>
              <w:pStyle w:val="zSoquijlblProvince"/>
            </w:pPr>
            <w:r>
              <w:t xml:space="preserve">PROVINCE DE </w:t>
            </w:r>
            <w:r w:rsidR="009849C2">
              <w:t>QUÉBEC</w:t>
            </w:r>
          </w:p>
        </w:tc>
      </w:tr>
      <w:tr w:rsidR="002943F8" w14:paraId="61EFF68E" w14:textId="77777777">
        <w:tblPrEx>
          <w:tblCellMar>
            <w:left w:w="0" w:type="dxa"/>
            <w:right w:w="0" w:type="dxa"/>
          </w:tblCellMar>
        </w:tblPrEx>
        <w:trPr>
          <w:cantSplit/>
        </w:trPr>
        <w:tc>
          <w:tcPr>
            <w:tcW w:w="1625" w:type="dxa"/>
            <w:gridSpan w:val="3"/>
          </w:tcPr>
          <w:p w14:paraId="353728A5" w14:textId="77777777" w:rsidR="00FF4C41" w:rsidRDefault="00E418AD">
            <w:pPr>
              <w:pStyle w:val="zSoquijlblGreffe"/>
            </w:pPr>
            <w:r>
              <w:t>DISTRICT DE</w:t>
            </w:r>
          </w:p>
        </w:tc>
        <w:tc>
          <w:tcPr>
            <w:tcW w:w="7880" w:type="dxa"/>
            <w:gridSpan w:val="3"/>
          </w:tcPr>
          <w:p w14:paraId="201F0AD9" w14:textId="77777777" w:rsidR="00FF4C41" w:rsidRDefault="00E418AD" w:rsidP="004D4F6C">
            <w:pPr>
              <w:pStyle w:val="zSoquijdatGreffe"/>
            </w:pPr>
            <w:r>
              <w:t>QUÉBEC</w:t>
            </w:r>
          </w:p>
        </w:tc>
      </w:tr>
      <w:tr w:rsidR="002943F8" w14:paraId="20F638AF" w14:textId="77777777">
        <w:trPr>
          <w:trHeight w:val="540"/>
        </w:trPr>
        <w:tc>
          <w:tcPr>
            <w:tcW w:w="9505" w:type="dxa"/>
            <w:gridSpan w:val="6"/>
          </w:tcPr>
          <w:p w14:paraId="4DD2899D" w14:textId="77777777" w:rsidR="00FF4C41" w:rsidRDefault="00E418AD" w:rsidP="00343224">
            <w:pPr>
              <w:pStyle w:val="zSoquijlblNomChambre"/>
            </w:pPr>
            <w:r>
              <w:rPr>
                <w:lang w:val="fr-FR"/>
              </w:rPr>
              <w:t xml:space="preserve">« Chambre </w:t>
            </w:r>
            <w:r>
              <w:t>criminelle et pénale</w:t>
            </w:r>
            <w:r>
              <w:rPr>
                <w:lang w:val="fr-FR"/>
              </w:rPr>
              <w:t> »</w:t>
            </w:r>
          </w:p>
        </w:tc>
      </w:tr>
      <w:tr w:rsidR="002943F8" w14:paraId="3C059BDF" w14:textId="77777777">
        <w:tc>
          <w:tcPr>
            <w:tcW w:w="1105" w:type="dxa"/>
            <w:gridSpan w:val="2"/>
          </w:tcPr>
          <w:p w14:paraId="20E95397" w14:textId="77777777" w:rsidR="00FF4C41" w:rsidRDefault="00E418AD">
            <w:pPr>
              <w:pStyle w:val="zSoquijlblNoDossier"/>
            </w:pPr>
            <w:r>
              <w:t>N°:</w:t>
            </w:r>
          </w:p>
        </w:tc>
        <w:tc>
          <w:tcPr>
            <w:tcW w:w="8400" w:type="dxa"/>
            <w:gridSpan w:val="4"/>
          </w:tcPr>
          <w:p w14:paraId="32387C4E" w14:textId="6B8A82F5" w:rsidR="00FF4C41" w:rsidRDefault="00E418AD" w:rsidP="004D4F6C">
            <w:pPr>
              <w:pStyle w:val="zSoquijdatNoDossier"/>
            </w:pPr>
            <w:r>
              <w:t>200-01-</w:t>
            </w:r>
            <w:r w:rsidR="009849C2">
              <w:t>2</w:t>
            </w:r>
            <w:r w:rsidR="00CA7F4F">
              <w:t>46096</w:t>
            </w:r>
            <w:r w:rsidR="009849C2">
              <w:t>-</w:t>
            </w:r>
            <w:r w:rsidR="00CA7F4F">
              <w:t>212</w:t>
            </w:r>
          </w:p>
        </w:tc>
      </w:tr>
      <w:tr w:rsidR="002943F8" w14:paraId="3D5B21E4" w14:textId="77777777">
        <w:tblPrEx>
          <w:tblCellMar>
            <w:left w:w="0" w:type="dxa"/>
            <w:right w:w="0" w:type="dxa"/>
          </w:tblCellMar>
        </w:tblPrEx>
        <w:trPr>
          <w:cantSplit/>
        </w:trPr>
        <w:tc>
          <w:tcPr>
            <w:tcW w:w="1105" w:type="dxa"/>
            <w:gridSpan w:val="2"/>
          </w:tcPr>
          <w:p w14:paraId="3E398431" w14:textId="77777777" w:rsidR="00FF4C41" w:rsidRDefault="00FF4C41">
            <w:pPr>
              <w:pStyle w:val="zSoquijlblGreffe"/>
            </w:pPr>
          </w:p>
        </w:tc>
        <w:tc>
          <w:tcPr>
            <w:tcW w:w="8400" w:type="dxa"/>
            <w:gridSpan w:val="4"/>
          </w:tcPr>
          <w:p w14:paraId="3F911EE6" w14:textId="77777777" w:rsidR="00FF4C41" w:rsidRDefault="00E418AD" w:rsidP="004D4F6C">
            <w:pPr>
              <w:pStyle w:val="zSoquijdatNoDossierAnt"/>
            </w:pPr>
            <w:r>
              <w:t xml:space="preserve"> </w:t>
            </w:r>
          </w:p>
        </w:tc>
      </w:tr>
      <w:tr w:rsidR="002943F8" w14:paraId="7DED4E86" w14:textId="77777777">
        <w:tblPrEx>
          <w:tblCellMar>
            <w:left w:w="0" w:type="dxa"/>
            <w:right w:w="0" w:type="dxa"/>
          </w:tblCellMar>
        </w:tblPrEx>
        <w:trPr>
          <w:cantSplit/>
        </w:trPr>
        <w:tc>
          <w:tcPr>
            <w:tcW w:w="1105" w:type="dxa"/>
            <w:gridSpan w:val="2"/>
          </w:tcPr>
          <w:p w14:paraId="6C2FF47A" w14:textId="77777777" w:rsidR="00EB5146" w:rsidRDefault="00EB5146">
            <w:pPr>
              <w:pStyle w:val="zSoquijlblGreffe"/>
            </w:pPr>
          </w:p>
        </w:tc>
        <w:tc>
          <w:tcPr>
            <w:tcW w:w="8400" w:type="dxa"/>
            <w:gridSpan w:val="4"/>
          </w:tcPr>
          <w:p w14:paraId="06C2E58F" w14:textId="77777777" w:rsidR="00EB5146" w:rsidRDefault="00E418AD" w:rsidP="004D4F6C">
            <w:pPr>
              <w:pStyle w:val="zSoquijdatNoDossierAnt"/>
            </w:pPr>
            <w:r>
              <w:t xml:space="preserve"> </w:t>
            </w:r>
          </w:p>
        </w:tc>
      </w:tr>
      <w:tr w:rsidR="002943F8" w14:paraId="250A3B4B" w14:textId="77777777">
        <w:trPr>
          <w:cantSplit/>
          <w:trHeight w:val="235"/>
        </w:trPr>
        <w:tc>
          <w:tcPr>
            <w:tcW w:w="9505" w:type="dxa"/>
            <w:gridSpan w:val="6"/>
          </w:tcPr>
          <w:p w14:paraId="13EA77FF" w14:textId="77777777" w:rsidR="00FF4C41" w:rsidRDefault="00FF4C41"/>
        </w:tc>
      </w:tr>
      <w:tr w:rsidR="002943F8" w14:paraId="3F825930" w14:textId="77777777">
        <w:tc>
          <w:tcPr>
            <w:tcW w:w="1036" w:type="dxa"/>
          </w:tcPr>
          <w:p w14:paraId="149174EE" w14:textId="77777777" w:rsidR="00FF4C41" w:rsidRDefault="00E418AD">
            <w:pPr>
              <w:pStyle w:val="zSoquijlblDateJugement"/>
            </w:pPr>
            <w:r>
              <w:t>DATE :</w:t>
            </w:r>
          </w:p>
        </w:tc>
        <w:tc>
          <w:tcPr>
            <w:tcW w:w="8469" w:type="dxa"/>
            <w:gridSpan w:val="5"/>
          </w:tcPr>
          <w:p w14:paraId="2B3F8948" w14:textId="226F36F9" w:rsidR="00FF4C41" w:rsidRDefault="00E418AD" w:rsidP="004D4F6C">
            <w:pPr>
              <w:pStyle w:val="zSoquijdatDateJugement"/>
            </w:pPr>
            <w:r>
              <w:t xml:space="preserve"> </w:t>
            </w:r>
            <w:r w:rsidR="00CA7F4F">
              <w:t>8</w:t>
            </w:r>
            <w:r w:rsidR="009849C2">
              <w:t xml:space="preserve"> jui</w:t>
            </w:r>
            <w:r w:rsidR="00CA7F4F">
              <w:t>llet</w:t>
            </w:r>
            <w:r w:rsidR="009849C2">
              <w:t xml:space="preserve"> 202</w:t>
            </w:r>
            <w:r w:rsidR="00CA7F4F">
              <w:t>4</w:t>
            </w:r>
          </w:p>
        </w:tc>
      </w:tr>
      <w:tr w:rsidR="002943F8" w14:paraId="67F4F928" w14:textId="77777777">
        <w:tc>
          <w:tcPr>
            <w:tcW w:w="9505" w:type="dxa"/>
            <w:gridSpan w:val="6"/>
          </w:tcPr>
          <w:p w14:paraId="06A44B9A" w14:textId="77777777" w:rsidR="00FF4C41" w:rsidRDefault="00E418AD">
            <w:pPr>
              <w:ind w:left="14" w:right="-67"/>
            </w:pPr>
            <w:r>
              <w:t>______________________________________________________________________</w:t>
            </w:r>
          </w:p>
        </w:tc>
      </w:tr>
      <w:tr w:rsidR="002943F8" w14:paraId="02D91D07" w14:textId="77777777">
        <w:tc>
          <w:tcPr>
            <w:tcW w:w="9505" w:type="dxa"/>
            <w:gridSpan w:val="6"/>
          </w:tcPr>
          <w:p w14:paraId="3C0765CC" w14:textId="77777777" w:rsidR="00FF4C41" w:rsidRDefault="00FF4C41"/>
        </w:tc>
      </w:tr>
      <w:tr w:rsidR="002943F8" w14:paraId="382E05C0" w14:textId="77777777">
        <w:tblPrEx>
          <w:tblCellMar>
            <w:left w:w="0" w:type="dxa"/>
            <w:right w:w="0" w:type="dxa"/>
          </w:tblCellMar>
        </w:tblPrEx>
        <w:tc>
          <w:tcPr>
            <w:tcW w:w="3200" w:type="dxa"/>
            <w:gridSpan w:val="4"/>
          </w:tcPr>
          <w:p w14:paraId="5E3B47D1" w14:textId="77777777" w:rsidR="00FF4C41" w:rsidRDefault="00E418AD">
            <w:pPr>
              <w:pStyle w:val="zSoquijlblJuge"/>
            </w:pPr>
            <w:r>
              <w:t>SOUS LA PRÉSIDENCE DE</w:t>
            </w:r>
          </w:p>
        </w:tc>
        <w:tc>
          <w:tcPr>
            <w:tcW w:w="1826" w:type="dxa"/>
          </w:tcPr>
          <w:p w14:paraId="233F1890" w14:textId="77777777" w:rsidR="00FF4C41" w:rsidRDefault="00E418AD">
            <w:pPr>
              <w:pStyle w:val="zSoquijdatQteJuge"/>
            </w:pPr>
            <w:r>
              <w:t>L’HONORABLE</w:t>
            </w:r>
          </w:p>
        </w:tc>
        <w:tc>
          <w:tcPr>
            <w:tcW w:w="4479" w:type="dxa"/>
          </w:tcPr>
          <w:p w14:paraId="469E0B8D" w14:textId="77777777" w:rsidR="00FF4C41" w:rsidRDefault="00E418AD" w:rsidP="004D4F6C">
            <w:pPr>
              <w:pStyle w:val="zSoquijdatJuge"/>
            </w:pPr>
            <w:r>
              <w:t>THOMAS JACQUES</w:t>
            </w:r>
            <w:r w:rsidR="00343224">
              <w:t>, J.C.Q.</w:t>
            </w:r>
          </w:p>
        </w:tc>
      </w:tr>
      <w:tr w:rsidR="002943F8" w14:paraId="78643A60" w14:textId="77777777">
        <w:tc>
          <w:tcPr>
            <w:tcW w:w="9505" w:type="dxa"/>
            <w:gridSpan w:val="6"/>
          </w:tcPr>
          <w:p w14:paraId="589F754F" w14:textId="77777777" w:rsidR="00FF4C41" w:rsidRDefault="00E418AD">
            <w:pPr>
              <w:ind w:left="14" w:right="-67"/>
            </w:pPr>
            <w:r>
              <w:t>______________________________________________________________________</w:t>
            </w:r>
          </w:p>
        </w:tc>
      </w:tr>
      <w:tr w:rsidR="002943F8" w14:paraId="517D2353" w14:textId="77777777">
        <w:tc>
          <w:tcPr>
            <w:tcW w:w="9505" w:type="dxa"/>
            <w:gridSpan w:val="6"/>
          </w:tcPr>
          <w:p w14:paraId="38207D8C" w14:textId="77777777" w:rsidR="00FF4C41" w:rsidRDefault="00FF4C41">
            <w:pPr>
              <w:pStyle w:val="zSoquijlblTitrePartie"/>
            </w:pPr>
          </w:p>
        </w:tc>
      </w:tr>
      <w:tr w:rsidR="002943F8" w14:paraId="2E728BE8" w14:textId="77777777">
        <w:tc>
          <w:tcPr>
            <w:tcW w:w="9505" w:type="dxa"/>
            <w:gridSpan w:val="6"/>
          </w:tcPr>
          <w:p w14:paraId="48C0FB39" w14:textId="77777777" w:rsidR="00FF4C41" w:rsidRDefault="00E418AD">
            <w:pPr>
              <w:pStyle w:val="zSoquijdatNomPartieDem"/>
            </w:pPr>
            <w:r>
              <w:t>SA MAJESTÉ LE ROI</w:t>
            </w:r>
          </w:p>
        </w:tc>
      </w:tr>
      <w:tr w:rsidR="002943F8" w14:paraId="461E90F3" w14:textId="77777777">
        <w:tc>
          <w:tcPr>
            <w:tcW w:w="9505" w:type="dxa"/>
            <w:gridSpan w:val="6"/>
          </w:tcPr>
          <w:p w14:paraId="7B6E00B8" w14:textId="096B1671" w:rsidR="00FF4C41" w:rsidRDefault="00E418AD">
            <w:pPr>
              <w:pStyle w:val="zSoquijdatQtePartieDem"/>
            </w:pPr>
            <w:r>
              <w:t>Poursuivan</w:t>
            </w:r>
            <w:r w:rsidR="00CA7F4F">
              <w:t>t</w:t>
            </w:r>
          </w:p>
        </w:tc>
      </w:tr>
      <w:tr w:rsidR="002943F8" w14:paraId="58A9283A" w14:textId="77777777">
        <w:tc>
          <w:tcPr>
            <w:tcW w:w="9505" w:type="dxa"/>
            <w:gridSpan w:val="6"/>
          </w:tcPr>
          <w:p w14:paraId="1DAB88BB" w14:textId="77777777" w:rsidR="00F771D9" w:rsidRDefault="00F771D9">
            <w:pPr>
              <w:pStyle w:val="zSoquijlblLienParties"/>
            </w:pPr>
          </w:p>
        </w:tc>
      </w:tr>
      <w:tr w:rsidR="002943F8" w14:paraId="7DA8F15D" w14:textId="77777777">
        <w:tc>
          <w:tcPr>
            <w:tcW w:w="9505" w:type="dxa"/>
            <w:gridSpan w:val="6"/>
          </w:tcPr>
          <w:p w14:paraId="6C791F0C" w14:textId="77777777" w:rsidR="00FF4C41" w:rsidRDefault="00E418AD">
            <w:pPr>
              <w:pStyle w:val="zSoquijlblLienParties"/>
            </w:pPr>
            <w:r>
              <w:t>c.</w:t>
            </w:r>
          </w:p>
        </w:tc>
      </w:tr>
      <w:tr w:rsidR="00CA7F4F" w14:paraId="23A66313" w14:textId="77777777">
        <w:tc>
          <w:tcPr>
            <w:tcW w:w="9505" w:type="dxa"/>
            <w:gridSpan w:val="6"/>
          </w:tcPr>
          <w:p w14:paraId="31BB2710" w14:textId="77777777" w:rsidR="00CA7F4F" w:rsidRDefault="00CA7F4F" w:rsidP="00CA7F4F">
            <w:pPr>
              <w:pStyle w:val="zSoquijdatNomPartieDem"/>
              <w:rPr>
                <w:b w:val="0"/>
                <w:bCs w:val="0"/>
              </w:rPr>
            </w:pPr>
          </w:p>
          <w:p w14:paraId="73D6603C" w14:textId="77777777" w:rsidR="00CA7F4F" w:rsidRDefault="00CA7F4F" w:rsidP="00CA7F4F">
            <w:pPr>
              <w:pStyle w:val="zSoquijdatNomPartieDem"/>
            </w:pPr>
            <w:r>
              <w:t>NICOLAS DAIGLE (001)</w:t>
            </w:r>
          </w:p>
          <w:p w14:paraId="55406D1A" w14:textId="0236CC52" w:rsidR="00CA7F4F" w:rsidRDefault="00CA7F4F" w:rsidP="00CA7F4F">
            <w:pPr>
              <w:pStyle w:val="zSoquijdatNomPartieDef"/>
            </w:pPr>
            <w:r>
              <w:t>MASSIMO SICILIANO (002)</w:t>
            </w:r>
          </w:p>
        </w:tc>
      </w:tr>
      <w:tr w:rsidR="00CA7F4F" w14:paraId="4B54EF1D" w14:textId="77777777">
        <w:tc>
          <w:tcPr>
            <w:tcW w:w="9505" w:type="dxa"/>
            <w:gridSpan w:val="6"/>
          </w:tcPr>
          <w:p w14:paraId="68C0E66E" w14:textId="5F0CA49D" w:rsidR="00CA7F4F" w:rsidRDefault="00633C6B" w:rsidP="00CA7F4F">
            <w:pPr>
              <w:pStyle w:val="zSoquijdatQtePartieDef"/>
              <w:ind w:left="0"/>
            </w:pPr>
            <w:r>
              <w:tab/>
            </w:r>
            <w:r w:rsidR="00CA7F4F">
              <w:t>Co-accusés</w:t>
            </w:r>
          </w:p>
        </w:tc>
      </w:tr>
      <w:tr w:rsidR="002943F8" w14:paraId="2A253753" w14:textId="77777777">
        <w:tc>
          <w:tcPr>
            <w:tcW w:w="9505" w:type="dxa"/>
            <w:gridSpan w:val="6"/>
          </w:tcPr>
          <w:p w14:paraId="14660D9F" w14:textId="77777777" w:rsidR="00FF4C41" w:rsidRDefault="00E418AD">
            <w:pPr>
              <w:ind w:left="14" w:right="-95"/>
            </w:pPr>
            <w:r>
              <w:t>______________________________________________________________________</w:t>
            </w:r>
          </w:p>
        </w:tc>
      </w:tr>
      <w:tr w:rsidR="002943F8" w14:paraId="4948CCC7" w14:textId="77777777">
        <w:tc>
          <w:tcPr>
            <w:tcW w:w="9505" w:type="dxa"/>
            <w:gridSpan w:val="6"/>
          </w:tcPr>
          <w:p w14:paraId="70C82538" w14:textId="77777777" w:rsidR="00FF4C41" w:rsidRDefault="00FF4C41">
            <w:pPr>
              <w:jc w:val="center"/>
            </w:pPr>
          </w:p>
        </w:tc>
      </w:tr>
      <w:tr w:rsidR="002943F8" w14:paraId="4EF7EE54" w14:textId="77777777">
        <w:tc>
          <w:tcPr>
            <w:tcW w:w="9505" w:type="dxa"/>
            <w:gridSpan w:val="6"/>
          </w:tcPr>
          <w:p w14:paraId="08E4DCD1" w14:textId="2270F747" w:rsidR="00FF4C41" w:rsidRPr="009849C2" w:rsidRDefault="00E418AD" w:rsidP="00B26F31">
            <w:pPr>
              <w:pStyle w:val="zSoquijlblTypeDocument"/>
              <w:rPr>
                <w:b/>
                <w:bCs/>
              </w:rPr>
            </w:pPr>
            <w:r>
              <w:rPr>
                <w:b/>
                <w:bCs/>
              </w:rPr>
              <w:t>DÉCISION</w:t>
            </w:r>
            <w:r w:rsidR="009849C2">
              <w:rPr>
                <w:b/>
                <w:bCs/>
              </w:rPr>
              <w:t xml:space="preserve"> SUR LA PEINE</w:t>
            </w:r>
            <w:r w:rsidR="006433AF">
              <w:rPr>
                <w:rStyle w:val="Appelnotedebasdep"/>
                <w:b/>
                <w:bCs/>
              </w:rPr>
              <w:footnoteReference w:id="1"/>
            </w:r>
            <w:r w:rsidR="00850977">
              <w:rPr>
                <w:b/>
                <w:bCs/>
              </w:rPr>
              <w:t xml:space="preserve"> </w:t>
            </w:r>
          </w:p>
        </w:tc>
      </w:tr>
      <w:tr w:rsidR="002943F8" w14:paraId="594C2C3A" w14:textId="77777777">
        <w:tc>
          <w:tcPr>
            <w:tcW w:w="9505" w:type="dxa"/>
            <w:gridSpan w:val="6"/>
          </w:tcPr>
          <w:p w14:paraId="187EF365" w14:textId="77777777" w:rsidR="00FF4C41" w:rsidRDefault="00E418AD">
            <w:pPr>
              <w:ind w:left="14" w:right="-70"/>
            </w:pPr>
            <w:r>
              <w:t>______________________________________________________________________</w:t>
            </w:r>
          </w:p>
        </w:tc>
      </w:tr>
      <w:tr w:rsidR="002943F8" w14:paraId="30CF5E33" w14:textId="77777777">
        <w:tc>
          <w:tcPr>
            <w:tcW w:w="9505" w:type="dxa"/>
            <w:gridSpan w:val="6"/>
          </w:tcPr>
          <w:p w14:paraId="5A49924C" w14:textId="77777777" w:rsidR="002D46F2" w:rsidRDefault="002D46F2" w:rsidP="002D46F2">
            <w:pPr>
              <w:jc w:val="both"/>
              <w:rPr>
                <w:b/>
                <w:bCs/>
                <w:u w:val="single"/>
              </w:rPr>
            </w:pPr>
          </w:p>
          <w:p w14:paraId="7302CDBD" w14:textId="77777777" w:rsidR="00FF4C41" w:rsidRDefault="00E418AD" w:rsidP="002D46F2">
            <w:pPr>
              <w:jc w:val="both"/>
              <w:rPr>
                <w:b/>
                <w:bCs/>
              </w:rPr>
            </w:pPr>
            <w:r w:rsidRPr="00104EBA">
              <w:rPr>
                <w:b/>
                <w:bCs/>
                <w:u w:val="single"/>
              </w:rPr>
              <w:t>MISE EN GARDE</w:t>
            </w:r>
            <w:r w:rsidRPr="00104EBA">
              <w:rPr>
                <w:b/>
                <w:bCs/>
              </w:rPr>
              <w:t xml:space="preserve"> : Une ordonnance limitant la publication a été prononcée en vertu de l’article 486.4 C.cr. afin d’interdire la publication ou la diffusion de quelque façon que ce soit de tout renseignement qui permettrait d’établir l’identité de la victime ou d’un témoin.</w:t>
            </w:r>
          </w:p>
          <w:p w14:paraId="537E56A8" w14:textId="77777777" w:rsidR="00F93222" w:rsidRPr="00104EBA" w:rsidRDefault="00F93222" w:rsidP="002D46F2">
            <w:pPr>
              <w:jc w:val="both"/>
              <w:rPr>
                <w:b/>
                <w:bCs/>
              </w:rPr>
            </w:pPr>
          </w:p>
        </w:tc>
      </w:tr>
    </w:tbl>
    <w:p w14:paraId="44130D42" w14:textId="77777777" w:rsidR="0048262A" w:rsidRDefault="0048262A" w:rsidP="00DD44D8">
      <w:pPr>
        <w:spacing w:before="120" w:after="120"/>
        <w:jc w:val="both"/>
        <w:rPr>
          <w:b/>
          <w:bCs/>
          <w:kern w:val="28"/>
          <w:szCs w:val="24"/>
        </w:rPr>
      </w:pPr>
    </w:p>
    <w:p w14:paraId="1E5D84F9" w14:textId="294E8362" w:rsidR="001F6FF0" w:rsidRPr="009849C2" w:rsidRDefault="00E418AD" w:rsidP="00DD44D8">
      <w:pPr>
        <w:spacing w:before="120" w:after="120"/>
        <w:jc w:val="both"/>
        <w:rPr>
          <w:b/>
          <w:bCs/>
          <w:kern w:val="28"/>
          <w:szCs w:val="24"/>
        </w:rPr>
      </w:pPr>
      <w:r>
        <w:rPr>
          <w:b/>
          <w:bCs/>
          <w:kern w:val="28"/>
          <w:szCs w:val="24"/>
        </w:rPr>
        <w:t>1.</w:t>
      </w:r>
      <w:r>
        <w:rPr>
          <w:b/>
          <w:bCs/>
          <w:kern w:val="28"/>
          <w:szCs w:val="24"/>
        </w:rPr>
        <w:tab/>
      </w:r>
      <w:r w:rsidR="00EB3596">
        <w:rPr>
          <w:b/>
          <w:bCs/>
          <w:kern w:val="28"/>
          <w:szCs w:val="24"/>
          <w:u w:val="single"/>
        </w:rPr>
        <w:t>CONTEXTE</w:t>
      </w:r>
    </w:p>
    <w:p w14:paraId="0205FC18" w14:textId="3775C3E8" w:rsidR="001E0B77" w:rsidRDefault="009F3546" w:rsidP="00D90F35">
      <w:pPr>
        <w:pStyle w:val="Paragraphe"/>
        <w:keepLines/>
        <w:tabs>
          <w:tab w:val="clear" w:pos="360"/>
        </w:tabs>
        <w:spacing w:line="240" w:lineRule="auto"/>
      </w:pPr>
      <w:r>
        <w:t>Les co-accusés, Nicolas Daigle et Massimo Siciliano, sont conjointement accusés de différents chefs d’accusation</w:t>
      </w:r>
      <w:r w:rsidR="001E0B77">
        <w:t xml:space="preserve"> en lien avec des événements survenus à Lac</w:t>
      </w:r>
      <w:r w:rsidR="0010457E">
        <w:t>-</w:t>
      </w:r>
      <w:r w:rsidR="001E0B77">
        <w:t xml:space="preserve">Beauport dans la nuit du 6 juin 2021. Le 11 octobre 2023, au début de leur procès prévu pour une durée de </w:t>
      </w:r>
      <w:r w:rsidR="001950A9">
        <w:t>11</w:t>
      </w:r>
      <w:r w:rsidR="001E0B77">
        <w:t xml:space="preserve"> jours, les co-accusés enregistrent des plaidoyers de culpabilité</w:t>
      </w:r>
      <w:r>
        <w:t xml:space="preserve">. </w:t>
      </w:r>
    </w:p>
    <w:p w14:paraId="481BA473" w14:textId="77777777" w:rsidR="001E0B77" w:rsidRDefault="001E0B77" w:rsidP="00D90F35">
      <w:pPr>
        <w:pStyle w:val="Paragraphe"/>
        <w:keepLines/>
        <w:tabs>
          <w:tab w:val="clear" w:pos="360"/>
        </w:tabs>
        <w:spacing w:line="240" w:lineRule="auto"/>
      </w:pPr>
      <w:r>
        <w:t xml:space="preserve">Après l’examen de la validité des plaidoyers par le Tribunal, Nicolas Daigle est déclaré coupable </w:t>
      </w:r>
      <w:r w:rsidR="009F3546">
        <w:t>d’un chef d’agression sexuelle (art. 271 a) C.cr.)</w:t>
      </w:r>
      <w:r>
        <w:t>,</w:t>
      </w:r>
      <w:r w:rsidR="009F3546">
        <w:t xml:space="preserve"> d’un chef de production subreptice d’un enregistrement visuel dans des circonstances pour lesquelles il existe une </w:t>
      </w:r>
      <w:r w:rsidR="009F3546" w:rsidRPr="00924B6C">
        <w:t>attente</w:t>
      </w:r>
      <w:r w:rsidR="009F3546">
        <w:t xml:space="preserve"> raisonnable de protection en matière de vie privée (art. 162 (1)(5)a) C.cr.)</w:t>
      </w:r>
      <w:r>
        <w:t xml:space="preserve"> ainsi que d’un chef </w:t>
      </w:r>
      <w:r w:rsidR="009F3546">
        <w:t>de rendre accessible un enregistrement obtenu dans</w:t>
      </w:r>
      <w:r w:rsidR="009F3546" w:rsidRPr="00A921F4">
        <w:t xml:space="preserve"> </w:t>
      </w:r>
      <w:r w:rsidR="009F3546">
        <w:t>des circonstances pour lesquelles il existe une attente raisonnable de protection en matière de vie privée (art. 162 (4)(5)a) C.cr.)</w:t>
      </w:r>
      <w:r>
        <w:t>.</w:t>
      </w:r>
    </w:p>
    <w:p w14:paraId="7BE25630" w14:textId="77777777" w:rsidR="001E0B77" w:rsidRDefault="001E0B77" w:rsidP="00D90F35">
      <w:pPr>
        <w:pStyle w:val="Paragraphe"/>
        <w:keepLines/>
        <w:tabs>
          <w:tab w:val="clear" w:pos="360"/>
        </w:tabs>
        <w:spacing w:line="240" w:lineRule="auto"/>
      </w:pPr>
      <w:r>
        <w:t>De son côté, Massimo Siciliano est déclaré coupable d’un chef d’agression sexuelle (art. 271 a) C.cr.).</w:t>
      </w:r>
    </w:p>
    <w:p w14:paraId="45840F29" w14:textId="77777777" w:rsidR="00980EC8" w:rsidRDefault="009F3546" w:rsidP="00D90F35">
      <w:pPr>
        <w:pStyle w:val="Paragraphe"/>
        <w:keepLines/>
        <w:tabs>
          <w:tab w:val="clear" w:pos="360"/>
        </w:tabs>
        <w:spacing w:line="240" w:lineRule="auto"/>
      </w:pPr>
      <w:r>
        <w:t xml:space="preserve"> </w:t>
      </w:r>
      <w:r w:rsidR="001E0B77">
        <w:t>Au soutien des plaidoyers de culpabilité, les parties produisent une trame factuelle</w:t>
      </w:r>
      <w:r w:rsidR="00980EC8">
        <w:t xml:space="preserve"> au dossier de la Cour. Ce document est signé personnellement par les co-accusés ainsi que par les avocats concernés. Le Tribunal estime opportun de reproduire ici cette trame factuelle dans son intégralité :</w:t>
      </w:r>
    </w:p>
    <w:p w14:paraId="4C18398F" w14:textId="188B5B0F" w:rsidR="009F3546" w:rsidRDefault="00980EC8" w:rsidP="00D90F35">
      <w:pPr>
        <w:pStyle w:val="Paragraphe"/>
        <w:keepLines/>
        <w:numPr>
          <w:ilvl w:val="0"/>
          <w:numId w:val="39"/>
        </w:numPr>
        <w:spacing w:line="240" w:lineRule="auto"/>
        <w:ind w:hanging="436"/>
      </w:pPr>
      <w:r>
        <w:t xml:space="preserve">La plaignante, </w:t>
      </w:r>
      <w:r w:rsidR="0088750B">
        <w:t>X</w:t>
      </w:r>
      <w:r>
        <w:t>, est une employée de l’Hôtel Entourage sur le Lac à Lac</w:t>
      </w:r>
      <w:r w:rsidR="0010457E">
        <w:t>-</w:t>
      </w:r>
      <w:r>
        <w:t>Beauport (ci-après « L’Entourage »);</w:t>
      </w:r>
    </w:p>
    <w:p w14:paraId="06D8616C" w14:textId="712821AE" w:rsidR="00980EC8" w:rsidRDefault="00980EC8" w:rsidP="00D90F35">
      <w:pPr>
        <w:pStyle w:val="Paragraphe"/>
        <w:keepLines/>
        <w:numPr>
          <w:ilvl w:val="0"/>
          <w:numId w:val="39"/>
        </w:numPr>
        <w:spacing w:line="240" w:lineRule="auto"/>
        <w:ind w:hanging="436"/>
      </w:pPr>
      <w:r>
        <w:t xml:space="preserve">L’équipe de hockey des Tigres de Victoriaville séjournait à l’Entourage depuis environ un mois au moment des </w:t>
      </w:r>
      <w:r w:rsidRPr="00AE7662">
        <w:t>évènements</w:t>
      </w:r>
      <w:r>
        <w:t>;</w:t>
      </w:r>
    </w:p>
    <w:p w14:paraId="5C44ACBC" w14:textId="35311183" w:rsidR="00980EC8" w:rsidRDefault="00980EC8" w:rsidP="00D90F35">
      <w:pPr>
        <w:pStyle w:val="Paragraphe"/>
        <w:keepLines/>
        <w:numPr>
          <w:ilvl w:val="0"/>
          <w:numId w:val="39"/>
        </w:numPr>
        <w:spacing w:line="240" w:lineRule="auto"/>
        <w:ind w:hanging="436"/>
      </w:pPr>
      <w:r>
        <w:t>Le 5 juin 2021, les Tigres de Victoriaville ont remporté la Coupe du président et fêtaient</w:t>
      </w:r>
      <w:r w:rsidR="0015306C">
        <w:t xml:space="preserve"> la victoire à l’Entourage. Ce jour-là, </w:t>
      </w:r>
      <w:r w:rsidR="0088750B">
        <w:t>X</w:t>
      </w:r>
      <w:r w:rsidR="0015306C">
        <w:t xml:space="preserve"> travaille à l’Entourage jusqu’à 22</w:t>
      </w:r>
      <w:r w:rsidR="00B836D3">
        <w:t> </w:t>
      </w:r>
      <w:r w:rsidR="0015306C">
        <w:t>h</w:t>
      </w:r>
      <w:r w:rsidR="00B836D3">
        <w:t> </w:t>
      </w:r>
      <w:r w:rsidR="0015306C">
        <w:t>30;</w:t>
      </w:r>
    </w:p>
    <w:p w14:paraId="14204AE6" w14:textId="367997DF" w:rsidR="0015306C" w:rsidRDefault="0088750B" w:rsidP="00D90F35">
      <w:pPr>
        <w:pStyle w:val="Paragraphe"/>
        <w:keepLines/>
        <w:numPr>
          <w:ilvl w:val="0"/>
          <w:numId w:val="39"/>
        </w:numPr>
        <w:spacing w:line="240" w:lineRule="auto"/>
        <w:ind w:hanging="436"/>
      </w:pPr>
      <w:r>
        <w:t>X</w:t>
      </w:r>
      <w:r w:rsidR="0015306C">
        <w:t xml:space="preserve"> a été invitée par certains joueurs des Tigres de Victoriaville à venir fêter avec eux après son quart de travail, celle-ci décline dans un premier temps, car cela est contraire aux règlements de son employeur;</w:t>
      </w:r>
    </w:p>
    <w:p w14:paraId="127C28AF" w14:textId="71C41236" w:rsidR="0015306C" w:rsidRDefault="0015306C" w:rsidP="00D90F35">
      <w:pPr>
        <w:pStyle w:val="Paragraphe"/>
        <w:keepLines/>
        <w:numPr>
          <w:ilvl w:val="0"/>
          <w:numId w:val="39"/>
        </w:numPr>
        <w:spacing w:line="240" w:lineRule="auto"/>
        <w:ind w:hanging="436"/>
      </w:pPr>
      <w:r>
        <w:t xml:space="preserve">Après son quart de travail, </w:t>
      </w:r>
      <w:r w:rsidR="0088750B">
        <w:t>X</w:t>
      </w:r>
      <w:r>
        <w:t xml:space="preserve"> se dirige vers la résidence de l’une de ses amies pour y passer la soirée;</w:t>
      </w:r>
    </w:p>
    <w:p w14:paraId="75FB9545" w14:textId="685125F4" w:rsidR="0015306C" w:rsidRDefault="0015306C" w:rsidP="00D90F35">
      <w:pPr>
        <w:pStyle w:val="Paragraphe"/>
        <w:keepLines/>
        <w:numPr>
          <w:ilvl w:val="0"/>
          <w:numId w:val="39"/>
        </w:numPr>
        <w:spacing w:line="240" w:lineRule="auto"/>
        <w:ind w:hanging="436"/>
      </w:pPr>
      <w:r>
        <w:t>Vers 22</w:t>
      </w:r>
      <w:r w:rsidR="00B836D3">
        <w:t> </w:t>
      </w:r>
      <w:r>
        <w:t>h</w:t>
      </w:r>
      <w:r w:rsidR="00B836D3">
        <w:t> </w:t>
      </w:r>
      <w:r>
        <w:t xml:space="preserve">15, Nicolas Daigle et </w:t>
      </w:r>
      <w:r w:rsidR="0088750B">
        <w:t>X</w:t>
      </w:r>
      <w:r>
        <w:t xml:space="preserve"> ont des conversations via la plateforme Instagram. Plus tard, Nicolas Daigle l’invite à le rejoindre dans le stationnement de l’hôtel. Outre des contacts nécessaires dans le cadre de l’emploi </w:t>
      </w:r>
      <w:r w:rsidR="0088750B">
        <w:t>de X</w:t>
      </w:r>
      <w:r>
        <w:t>, Nicolas Daigle et celle-ci n’ont pas eu d’autres échanges;</w:t>
      </w:r>
    </w:p>
    <w:p w14:paraId="7BC42D6E" w14:textId="3EC9F8DA" w:rsidR="00402B4B" w:rsidRDefault="0088750B" w:rsidP="00D90F35">
      <w:pPr>
        <w:pStyle w:val="Paragraphe"/>
        <w:keepLines/>
        <w:numPr>
          <w:ilvl w:val="0"/>
          <w:numId w:val="39"/>
        </w:numPr>
        <w:spacing w:line="240" w:lineRule="auto"/>
        <w:ind w:hanging="436"/>
      </w:pPr>
      <w:r>
        <w:lastRenderedPageBreak/>
        <w:t>X</w:t>
      </w:r>
      <w:r w:rsidR="00DB1B48">
        <w:t xml:space="preserve">, accompagnée de deux de ses amies, se rend au stationnement de l’hôtel pour voir Nicolas Daigle. Ce dernier demande alors à </w:t>
      </w:r>
      <w:r>
        <w:t>X</w:t>
      </w:r>
      <w:r w:rsidR="00DB1B48">
        <w:t xml:space="preserve"> de revenir dormir avec lui, mais comme elle travaille le lendemain, elle décline l’offre;</w:t>
      </w:r>
    </w:p>
    <w:p w14:paraId="562B1D95" w14:textId="655CA86C" w:rsidR="00DB1B48" w:rsidRDefault="00DB1B48" w:rsidP="00D90F35">
      <w:pPr>
        <w:pStyle w:val="Paragraphe"/>
        <w:keepLines/>
        <w:numPr>
          <w:ilvl w:val="0"/>
          <w:numId w:val="39"/>
        </w:numPr>
        <w:spacing w:line="240" w:lineRule="auto"/>
        <w:ind w:hanging="436"/>
      </w:pPr>
      <w:r>
        <w:t xml:space="preserve">Avant de quitter, </w:t>
      </w:r>
      <w:r w:rsidR="0088750B">
        <w:t>X</w:t>
      </w:r>
      <w:r>
        <w:t xml:space="preserve"> et Nicolas Daigle s’embrassent de façon consensuelle;</w:t>
      </w:r>
    </w:p>
    <w:p w14:paraId="1FE22F27" w14:textId="1C015D53" w:rsidR="00DB1B48" w:rsidRDefault="00DB1B48" w:rsidP="00D90F35">
      <w:pPr>
        <w:pStyle w:val="Paragraphe"/>
        <w:keepLines/>
        <w:numPr>
          <w:ilvl w:val="0"/>
          <w:numId w:val="39"/>
        </w:numPr>
        <w:spacing w:line="240" w:lineRule="auto"/>
        <w:ind w:hanging="436"/>
      </w:pPr>
      <w:r>
        <w:t>Plus tard dans la nuit, soit le 6 juin 2021 vers 1</w:t>
      </w:r>
      <w:r w:rsidR="00B836D3">
        <w:t> </w:t>
      </w:r>
      <w:r>
        <w:t>h</w:t>
      </w:r>
      <w:r w:rsidR="00B836D3">
        <w:t> </w:t>
      </w:r>
      <w:r>
        <w:t xml:space="preserve">30, </w:t>
      </w:r>
      <w:r w:rsidR="0088750B">
        <w:t>X</w:t>
      </w:r>
      <w:r>
        <w:t xml:space="preserve"> reçoit plusieurs messages sur la plateforme Instagram de la part de Nicolas Daigle qui lui demande de venir le rejoindre. </w:t>
      </w:r>
      <w:r w:rsidR="0088750B">
        <w:t>X</w:t>
      </w:r>
      <w:r>
        <w:t xml:space="preserve"> accepte et se rend à l’Entourage;</w:t>
      </w:r>
    </w:p>
    <w:p w14:paraId="67A752F3" w14:textId="7B65F398" w:rsidR="00DB1B48" w:rsidRDefault="00DB1B48" w:rsidP="00D90F35">
      <w:pPr>
        <w:pStyle w:val="Paragraphe"/>
        <w:keepLines/>
        <w:numPr>
          <w:ilvl w:val="0"/>
          <w:numId w:val="39"/>
        </w:numPr>
        <w:spacing w:line="240" w:lineRule="auto"/>
        <w:ind w:hanging="436"/>
      </w:pPr>
      <w:r>
        <w:t xml:space="preserve">Une fois dans le stationnement de l’hôtel, </w:t>
      </w:r>
      <w:r w:rsidR="0088750B">
        <w:t>X</w:t>
      </w:r>
      <w:r>
        <w:t xml:space="preserve"> écrit à Nicolas Daigle pour lui demander s’il est seul dans sa chambre;</w:t>
      </w:r>
    </w:p>
    <w:p w14:paraId="3A1FD81A" w14:textId="2ACFEA81" w:rsidR="00DB1B48" w:rsidRDefault="00DB1B48" w:rsidP="00D90F35">
      <w:pPr>
        <w:pStyle w:val="Paragraphe"/>
        <w:keepLines/>
        <w:numPr>
          <w:ilvl w:val="0"/>
          <w:numId w:val="39"/>
        </w:numPr>
        <w:spacing w:line="240" w:lineRule="auto"/>
        <w:ind w:hanging="436"/>
      </w:pPr>
      <w:r>
        <w:t>Nicolas Daigle répond qu’il est avec un ami, il lui demande si la présence de son ami la dérange et si elle préférait être seule avec lui;</w:t>
      </w:r>
    </w:p>
    <w:p w14:paraId="641F5D30" w14:textId="113F0223" w:rsidR="00681684" w:rsidRDefault="0088750B" w:rsidP="00D90F35">
      <w:pPr>
        <w:pStyle w:val="Paragraphe"/>
        <w:keepLines/>
        <w:numPr>
          <w:ilvl w:val="0"/>
          <w:numId w:val="39"/>
        </w:numPr>
        <w:spacing w:line="240" w:lineRule="auto"/>
        <w:ind w:hanging="436"/>
      </w:pPr>
      <w:r>
        <w:t>X</w:t>
      </w:r>
      <w:r w:rsidR="00681684">
        <w:t xml:space="preserve"> lui répond qu’elle veut être seule avec lui à quelques reprises et elle refuse par écrit une relation sexuelle à trois. Nicolas Daigle lui assure alors qu’il sera seul;</w:t>
      </w:r>
    </w:p>
    <w:p w14:paraId="44FA12E9" w14:textId="3941AC31" w:rsidR="00681684" w:rsidRDefault="00681684" w:rsidP="00D90F35">
      <w:pPr>
        <w:pStyle w:val="Paragraphe"/>
        <w:keepLines/>
        <w:numPr>
          <w:ilvl w:val="0"/>
          <w:numId w:val="39"/>
        </w:numPr>
        <w:spacing w:line="240" w:lineRule="auto"/>
        <w:ind w:hanging="436"/>
      </w:pPr>
      <w:r>
        <w:t xml:space="preserve">Toujours dans cet échange, </w:t>
      </w:r>
      <w:r w:rsidR="0088750B">
        <w:t>X</w:t>
      </w:r>
      <w:r>
        <w:t xml:space="preserve"> fait état de certaines préoccupations, soit le fait qu’elle doive dormir là et ne peut pas être vue en raison des règlements de l’Entourage;</w:t>
      </w:r>
    </w:p>
    <w:p w14:paraId="76C2FA62" w14:textId="2777A579" w:rsidR="00681684" w:rsidRDefault="00681684" w:rsidP="00D90F35">
      <w:pPr>
        <w:pStyle w:val="Paragraphe"/>
        <w:keepLines/>
        <w:numPr>
          <w:ilvl w:val="0"/>
          <w:numId w:val="39"/>
        </w:numPr>
        <w:spacing w:line="240" w:lineRule="auto"/>
        <w:ind w:hanging="436"/>
      </w:pPr>
      <w:r>
        <w:t xml:space="preserve">Lorsque </w:t>
      </w:r>
      <w:r w:rsidR="0088750B">
        <w:t>X</w:t>
      </w:r>
      <w:r>
        <w:t xml:space="preserve"> ouvre la porte de la chambre d’hôtel, Massimo Siciliano est présent ainsi que Nicolas Daigle;</w:t>
      </w:r>
    </w:p>
    <w:p w14:paraId="4D266874" w14:textId="3413EC59" w:rsidR="00681684" w:rsidRDefault="0088750B" w:rsidP="00D90F35">
      <w:pPr>
        <w:pStyle w:val="Paragraphe"/>
        <w:keepLines/>
        <w:numPr>
          <w:ilvl w:val="0"/>
          <w:numId w:val="39"/>
        </w:numPr>
        <w:spacing w:line="240" w:lineRule="auto"/>
        <w:ind w:hanging="436"/>
      </w:pPr>
      <w:r>
        <w:t>X</w:t>
      </w:r>
      <w:r w:rsidR="00681684">
        <w:t xml:space="preserve"> ne connaît pas Massimo Siciliano;</w:t>
      </w:r>
    </w:p>
    <w:p w14:paraId="17117D5B" w14:textId="13EA5A72" w:rsidR="00681684" w:rsidRDefault="00681684" w:rsidP="00D90F35">
      <w:pPr>
        <w:pStyle w:val="Paragraphe"/>
        <w:keepLines/>
        <w:numPr>
          <w:ilvl w:val="0"/>
          <w:numId w:val="39"/>
        </w:numPr>
        <w:spacing w:line="240" w:lineRule="auto"/>
        <w:ind w:hanging="436"/>
      </w:pPr>
      <w:r>
        <w:t xml:space="preserve">Malgré les demandes répétées pour que Nicolas Daigle soit seul et son refus explicite à une activité sexuelle à trois, Massimo Siciliano demande à </w:t>
      </w:r>
      <w:r w:rsidR="0088750B">
        <w:t>X</w:t>
      </w:r>
      <w:r>
        <w:t xml:space="preserve"> si « ça</w:t>
      </w:r>
      <w:r w:rsidR="00B836D3">
        <w:t> </w:t>
      </w:r>
      <w:r>
        <w:t xml:space="preserve">lui dérange qu’ils soient deux ». </w:t>
      </w:r>
      <w:r w:rsidR="0088750B">
        <w:t>X</w:t>
      </w:r>
      <w:r>
        <w:t xml:space="preserve"> se sent prise au piège et répond « non »;</w:t>
      </w:r>
    </w:p>
    <w:p w14:paraId="0A4BF255" w14:textId="5288C1C5" w:rsidR="00681684" w:rsidRDefault="00681684" w:rsidP="00D90F35">
      <w:pPr>
        <w:pStyle w:val="Paragraphe"/>
        <w:keepLines/>
        <w:numPr>
          <w:ilvl w:val="0"/>
          <w:numId w:val="39"/>
        </w:numPr>
        <w:spacing w:line="240" w:lineRule="auto"/>
        <w:ind w:hanging="436"/>
      </w:pPr>
      <w:r>
        <w:t>Dès sa réponse donnée</w:t>
      </w:r>
      <w:r w:rsidR="00FF1AE1">
        <w:t>, Massimo Siciliano déshabille la plaignante rapidement. Aucune autre mesure n’a été prise pour s’assurer du consentement de la plaignante;</w:t>
      </w:r>
    </w:p>
    <w:p w14:paraId="0937B3C6" w14:textId="4A17631A" w:rsidR="00FF1AE1" w:rsidRDefault="00FF1AE1" w:rsidP="00D90F35">
      <w:pPr>
        <w:pStyle w:val="Paragraphe"/>
        <w:keepLines/>
        <w:numPr>
          <w:ilvl w:val="0"/>
          <w:numId w:val="39"/>
        </w:numPr>
        <w:spacing w:line="240" w:lineRule="auto"/>
        <w:ind w:hanging="436"/>
      </w:pPr>
      <w:r>
        <w:t>Ainsi, les accusés reconnaissent, étant entre autres en état d’ébriété, ne pas avoir pris les mesures raisonnables afin de s’assurer du consentement valable de cette dernière;</w:t>
      </w:r>
    </w:p>
    <w:p w14:paraId="37B35A72" w14:textId="209C88E8" w:rsidR="00FF1AE1" w:rsidRDefault="00E368C4" w:rsidP="00D90F35">
      <w:pPr>
        <w:pStyle w:val="Paragraphe"/>
        <w:keepLines/>
        <w:numPr>
          <w:ilvl w:val="0"/>
          <w:numId w:val="39"/>
        </w:numPr>
        <w:spacing w:line="240" w:lineRule="auto"/>
        <w:ind w:hanging="436"/>
      </w:pPr>
      <w:r>
        <w:t xml:space="preserve">Tout au long de la relation sexuelle avec les deux accusés, </w:t>
      </w:r>
      <w:r w:rsidR="0088750B">
        <w:t>X</w:t>
      </w:r>
      <w:r>
        <w:t xml:space="preserve"> fait ce qu’on lui demande, mais n’a aucun plaisir et ne donne aucun accord verbal durant l’acte;</w:t>
      </w:r>
    </w:p>
    <w:p w14:paraId="07B195B2" w14:textId="6827D798" w:rsidR="00E368C4" w:rsidRDefault="00E368C4" w:rsidP="00D90F35">
      <w:pPr>
        <w:pStyle w:val="Paragraphe"/>
        <w:keepLines/>
        <w:numPr>
          <w:ilvl w:val="0"/>
          <w:numId w:val="39"/>
        </w:numPr>
        <w:spacing w:line="240" w:lineRule="auto"/>
        <w:ind w:hanging="436"/>
      </w:pPr>
      <w:r>
        <w:t>D’ailleurs, dans les heures qui suivent l’agression sexuelle, les accusés ont une conversation où ils reconnaissent qu’elle ne semblait pas aimer ça;</w:t>
      </w:r>
    </w:p>
    <w:p w14:paraId="5C310E60" w14:textId="1B8642B8" w:rsidR="00E368C4" w:rsidRDefault="00E368C4" w:rsidP="00D90F35">
      <w:pPr>
        <w:pStyle w:val="Paragraphe"/>
        <w:keepLines/>
        <w:numPr>
          <w:ilvl w:val="0"/>
          <w:numId w:val="39"/>
        </w:numPr>
        <w:spacing w:line="240" w:lineRule="auto"/>
        <w:ind w:hanging="436"/>
      </w:pPr>
      <w:r>
        <w:lastRenderedPageBreak/>
        <w:t>Durant l’agression, il y a notamment pénétration simultanée, anale et vaginale, par les deux accusés;</w:t>
      </w:r>
    </w:p>
    <w:p w14:paraId="6D143205" w14:textId="2C692FBE" w:rsidR="00E368C4" w:rsidRDefault="00E368C4" w:rsidP="00D90F35">
      <w:pPr>
        <w:pStyle w:val="Paragraphe"/>
        <w:keepLines/>
        <w:numPr>
          <w:ilvl w:val="0"/>
          <w:numId w:val="39"/>
        </w:numPr>
        <w:spacing w:line="240" w:lineRule="auto"/>
        <w:ind w:hanging="436"/>
      </w:pPr>
      <w:r>
        <w:t xml:space="preserve">À un moment durant l’activité sexuelle, malgré </w:t>
      </w:r>
      <w:r w:rsidR="0088750B">
        <w:t>que X</w:t>
      </w:r>
      <w:r>
        <w:t xml:space="preserve"> ait exprimée son refus clair à être filmée, Nicolas Daigle la filme alors qu’elle a une relation sexuelle avec Massimo Siciliano, et ce, à leur insu;</w:t>
      </w:r>
    </w:p>
    <w:p w14:paraId="3B93D18F" w14:textId="5A595467" w:rsidR="00FE7AB2" w:rsidRDefault="00FE7AB2" w:rsidP="00D90F35">
      <w:pPr>
        <w:pStyle w:val="Paragraphe"/>
        <w:keepLines/>
        <w:numPr>
          <w:ilvl w:val="0"/>
          <w:numId w:val="39"/>
        </w:numPr>
        <w:spacing w:line="240" w:lineRule="auto"/>
        <w:ind w:hanging="436"/>
      </w:pPr>
      <w:r>
        <w:t xml:space="preserve">Les accusés et </w:t>
      </w:r>
      <w:r w:rsidR="0088750B">
        <w:t>X</w:t>
      </w:r>
      <w:r>
        <w:t xml:space="preserve"> se retrouvent tous trois dans la chambre pour une durée d’environ quarante minutes et aucun condom n’est utilisé durant l’évènement;</w:t>
      </w:r>
    </w:p>
    <w:p w14:paraId="1DBEF136" w14:textId="3007DF17" w:rsidR="00FE7AB2" w:rsidRDefault="00FE7AB2" w:rsidP="00D90F35">
      <w:pPr>
        <w:pStyle w:val="Paragraphe"/>
        <w:keepLines/>
        <w:numPr>
          <w:ilvl w:val="0"/>
          <w:numId w:val="39"/>
        </w:numPr>
        <w:spacing w:line="240" w:lineRule="auto"/>
        <w:ind w:hanging="436"/>
      </w:pPr>
      <w:r>
        <w:t xml:space="preserve">À un moment, Nicolas Daigle quitte la chambre et laisse </w:t>
      </w:r>
      <w:r w:rsidR="0088750B">
        <w:t>X</w:t>
      </w:r>
      <w:r>
        <w:t xml:space="preserve"> seule avec Massimo Siciliano;</w:t>
      </w:r>
    </w:p>
    <w:p w14:paraId="574FABC9" w14:textId="5552F879" w:rsidR="00FE7AB2" w:rsidRDefault="00FE7AB2" w:rsidP="00D90F35">
      <w:pPr>
        <w:pStyle w:val="Paragraphe"/>
        <w:keepLines/>
        <w:numPr>
          <w:ilvl w:val="0"/>
          <w:numId w:val="39"/>
        </w:numPr>
        <w:spacing w:line="240" w:lineRule="auto"/>
        <w:ind w:hanging="436"/>
      </w:pPr>
      <w:r>
        <w:t>Pendant ce temps, Nicolas Daigle était redescendu à la fête avec l’équipe de hockey. Celui-ci exhibe le</w:t>
      </w:r>
      <w:r w:rsidR="00D742A0">
        <w:t xml:space="preserve"> [sic]</w:t>
      </w:r>
      <w:r>
        <w:t xml:space="preserve"> vidéo pris</w:t>
      </w:r>
      <w:r w:rsidR="00D742A0">
        <w:t xml:space="preserve"> [sic]</w:t>
      </w:r>
      <w:r>
        <w:t xml:space="preserve"> plus tôt, dans la salle de conférence où ont lieu les festivités, à quelques personnes, soit des membres de l’équipe de hockey et un entraîneur. Une employée de l’Entourage qui est en service ce soir-là intervient. Elle demande et s’assure que le</w:t>
      </w:r>
      <w:r w:rsidR="00D742A0">
        <w:t xml:space="preserve"> [sic]</w:t>
      </w:r>
      <w:r>
        <w:t xml:space="preserve"> vidéo soit effacé</w:t>
      </w:r>
      <w:r w:rsidR="00D742A0">
        <w:t xml:space="preserve"> [sic]</w:t>
      </w:r>
      <w:r>
        <w:t>, ce que fait Nicolas Daigle;</w:t>
      </w:r>
    </w:p>
    <w:p w14:paraId="7622E510" w14:textId="35085E26" w:rsidR="00F4055A" w:rsidRDefault="00F4055A" w:rsidP="00D90F35">
      <w:pPr>
        <w:pStyle w:val="Paragraphe"/>
        <w:keepLines/>
        <w:numPr>
          <w:ilvl w:val="0"/>
          <w:numId w:val="39"/>
        </w:numPr>
        <w:spacing w:line="240" w:lineRule="auto"/>
        <w:ind w:hanging="436"/>
      </w:pPr>
      <w:r>
        <w:t xml:space="preserve">Durant l’absence de Nicolas Daigle, Massimo Siciliano souhaite continuer les rapports sexuels avec </w:t>
      </w:r>
      <w:r w:rsidR="0088750B">
        <w:t>X.</w:t>
      </w:r>
      <w:r>
        <w:t xml:space="preserve"> À quelques reprises, </w:t>
      </w:r>
      <w:r w:rsidR="0088750B">
        <w:t>X</w:t>
      </w:r>
      <w:r>
        <w:t xml:space="preserve"> lui mentionne que ça ne lui tente plus et qu’elle est fatiguée. Massimo Siciliano insiste néanmoins et poursuit la relation sexuelle. Après quelques minutes, </w:t>
      </w:r>
      <w:r w:rsidR="0088750B">
        <w:t>X</w:t>
      </w:r>
      <w:r>
        <w:t xml:space="preserve"> se lève et se dirige à la salle de bain, où elle se met à pleurer</w:t>
      </w:r>
      <w:r w:rsidR="00EB3596">
        <w:t>. Massimo Siciliano constate alors la situation, quitte la chambre et la laisse seule;</w:t>
      </w:r>
    </w:p>
    <w:p w14:paraId="087B6A09" w14:textId="1D10A967" w:rsidR="00EB3596" w:rsidRDefault="0088750B" w:rsidP="00D90F35">
      <w:pPr>
        <w:pStyle w:val="Paragraphe"/>
        <w:keepLines/>
        <w:numPr>
          <w:ilvl w:val="0"/>
          <w:numId w:val="39"/>
        </w:numPr>
        <w:spacing w:line="240" w:lineRule="auto"/>
        <w:ind w:hanging="436"/>
      </w:pPr>
      <w:r>
        <w:t>X</w:t>
      </w:r>
      <w:r w:rsidR="00EB3596">
        <w:t xml:space="preserve"> n’a jamais consenti à une relation sexuelle avec les deux accusés, ni à la relation sexuelle avec Massimo Siciliano;</w:t>
      </w:r>
    </w:p>
    <w:p w14:paraId="303ACDE5" w14:textId="5BF05873" w:rsidR="00EB3596" w:rsidRDefault="00EB3596" w:rsidP="00472AC4">
      <w:pPr>
        <w:pStyle w:val="Paragraphe"/>
        <w:keepLines/>
        <w:numPr>
          <w:ilvl w:val="0"/>
          <w:numId w:val="39"/>
        </w:numPr>
        <w:spacing w:line="240" w:lineRule="auto"/>
        <w:ind w:hanging="436"/>
      </w:pPr>
      <w:r>
        <w:t xml:space="preserve">C’est seulement le lendemain </w:t>
      </w:r>
      <w:r w:rsidR="0088750B">
        <w:t>que X</w:t>
      </w:r>
      <w:r>
        <w:t xml:space="preserve"> apprendra l’existence du </w:t>
      </w:r>
      <w:r w:rsidR="00D742A0">
        <w:t xml:space="preserve">[sic] </w:t>
      </w:r>
      <w:r>
        <w:t>vidéo;</w:t>
      </w:r>
    </w:p>
    <w:p w14:paraId="344D8D24" w14:textId="65537499" w:rsidR="00EB3596" w:rsidRPr="000C6D85" w:rsidRDefault="00EB3596" w:rsidP="00D90F35">
      <w:pPr>
        <w:keepLines/>
        <w:spacing w:before="120" w:after="120"/>
        <w:jc w:val="both"/>
        <w:rPr>
          <w:kern w:val="28"/>
        </w:rPr>
      </w:pPr>
      <w:r>
        <w:rPr>
          <w:b/>
          <w:kern w:val="28"/>
        </w:rPr>
        <w:t>2</w:t>
      </w:r>
      <w:r w:rsidRPr="001F6FF0">
        <w:rPr>
          <w:b/>
          <w:kern w:val="28"/>
        </w:rPr>
        <w:t>.</w:t>
      </w:r>
      <w:r w:rsidRPr="001F6FF0">
        <w:rPr>
          <w:b/>
          <w:kern w:val="28"/>
        </w:rPr>
        <w:tab/>
      </w:r>
      <w:r w:rsidRPr="001F6FF0">
        <w:rPr>
          <w:b/>
          <w:kern w:val="28"/>
          <w:u w:val="single"/>
        </w:rPr>
        <w:t>PREUVE SUR LA DÉTERMINATION DE LA PEINE</w:t>
      </w:r>
    </w:p>
    <w:p w14:paraId="27B0629B" w14:textId="2727D2BF" w:rsidR="00C17C89" w:rsidRPr="00C17C89" w:rsidRDefault="00E86027" w:rsidP="00D90F35">
      <w:pPr>
        <w:pStyle w:val="Paragraphe"/>
        <w:keepLines/>
        <w:tabs>
          <w:tab w:val="clear" w:pos="360"/>
        </w:tabs>
        <w:spacing w:line="240" w:lineRule="auto"/>
      </w:pPr>
      <w:r>
        <w:t>À la suite des déclarations de culpabilité, une audience sur la détermination de la peine est fixée. Lors de cette audience, une preuve est présentée.</w:t>
      </w:r>
    </w:p>
    <w:p w14:paraId="27286399" w14:textId="19748F76" w:rsidR="00C17C89" w:rsidRPr="00C17C89" w:rsidRDefault="00C17C89" w:rsidP="00D90F35">
      <w:pPr>
        <w:pStyle w:val="Paragraphe"/>
        <w:keepLines/>
        <w:numPr>
          <w:ilvl w:val="0"/>
          <w:numId w:val="0"/>
        </w:numPr>
        <w:spacing w:line="240" w:lineRule="auto"/>
        <w:rPr>
          <w:b/>
          <w:bCs/>
        </w:rPr>
      </w:pPr>
      <w:r w:rsidRPr="00C17C89">
        <w:rPr>
          <w:b/>
          <w:bCs/>
        </w:rPr>
        <w:t>La victime</w:t>
      </w:r>
    </w:p>
    <w:p w14:paraId="15F2485E" w14:textId="6F37C82E" w:rsidR="00E86027" w:rsidRDefault="00E418AD" w:rsidP="00D90F35">
      <w:pPr>
        <w:pStyle w:val="Paragraphe"/>
        <w:keepLines/>
        <w:tabs>
          <w:tab w:val="clear" w:pos="360"/>
        </w:tabs>
        <w:spacing w:line="240" w:lineRule="auto"/>
      </w:pPr>
      <w:r w:rsidRPr="001F6FF0">
        <w:t>En poursuite, le premier</w:t>
      </w:r>
      <w:r w:rsidR="00E86027">
        <w:t xml:space="preserve"> et seul</w:t>
      </w:r>
      <w:r w:rsidRPr="001F6FF0">
        <w:t xml:space="preserve"> témoin entendu est la victime</w:t>
      </w:r>
      <w:r w:rsidR="00FC765B">
        <w:t>.</w:t>
      </w:r>
      <w:r w:rsidRPr="001F6FF0">
        <w:t xml:space="preserve"> </w:t>
      </w:r>
      <w:r w:rsidR="00E86027">
        <w:t>Elle fait la lecture d’un document qu’elle a rédigé à titre de déclaration de la victime sur les conséquences du crime, produit au dossier de la Cour sous la cote SP-1</w:t>
      </w:r>
      <w:r w:rsidR="00C322FD">
        <w:rPr>
          <w:rStyle w:val="Appelnotedebasdep"/>
        </w:rPr>
        <w:footnoteReference w:id="2"/>
      </w:r>
      <w:r w:rsidR="00E86027">
        <w:t>.</w:t>
      </w:r>
    </w:p>
    <w:p w14:paraId="08048099" w14:textId="360FB2E8" w:rsidR="00507BCF" w:rsidRDefault="00E86027" w:rsidP="005A0CDE">
      <w:pPr>
        <w:pStyle w:val="Paragraphe"/>
        <w:tabs>
          <w:tab w:val="clear" w:pos="360"/>
        </w:tabs>
        <w:spacing w:line="240" w:lineRule="auto"/>
      </w:pPr>
      <w:r>
        <w:lastRenderedPageBreak/>
        <w:t xml:space="preserve">Lors de ce témoignage, la victime déclare </w:t>
      </w:r>
      <w:r w:rsidR="00B46DF3">
        <w:t xml:space="preserve">d’emblée </w:t>
      </w:r>
      <w:r>
        <w:t>qu’</w:t>
      </w:r>
      <w:r w:rsidR="00B46DF3">
        <w:t>elle avait 17</w:t>
      </w:r>
      <w:r w:rsidR="00FE483E">
        <w:t xml:space="preserve"> </w:t>
      </w:r>
      <w:r w:rsidR="00B46DF3">
        <w:t>ans et qu’elle était vulnérable au moment des événements, utilisant l’expression « la sardine idéale pour leur filet à poisson ». Elle témoigne être tombée dans un piège et s’être longtemps sentie responsable</w:t>
      </w:r>
      <w:r w:rsidR="00FD2470">
        <w:t xml:space="preserve"> de s’être trouvée dans cette situation. Elle s’est culpabilisée et cherchait à banaliser la gravité des événements. Elle affirme que son désir initial était que personne ne sache ce qui s’est passé la nuit du 6 juin 2021 et que, n’eût été du support de ses parents, elle ne se serait pas retrouvée devant une policière « tremblante comme une petite feuille au vent ».</w:t>
      </w:r>
    </w:p>
    <w:p w14:paraId="7BDF8415" w14:textId="7F3F21DD" w:rsidR="00E56414" w:rsidRDefault="00507BCF" w:rsidP="00D90F35">
      <w:pPr>
        <w:pStyle w:val="Paragraphe"/>
        <w:keepLines/>
        <w:tabs>
          <w:tab w:val="clear" w:pos="360"/>
        </w:tabs>
        <w:spacing w:line="240" w:lineRule="auto"/>
      </w:pPr>
      <w:r>
        <w:t xml:space="preserve">La victime témoigne que les mois qui ont suivi ont été extrêmement éprouvants au niveau psychologique. Elle déclare : « L’inconnu nourrit la spéculation et la spéculation </w:t>
      </w:r>
      <w:r w:rsidRPr="006433AF">
        <w:t>nourrit</w:t>
      </w:r>
      <w:r>
        <w:t xml:space="preserve"> l’anxiété ». Elle réfère notamment aux sorties médiatiques, à la peur, à la culpabilité, aux allusions, aux rumeurs et à la tristesse. Elle exprime la colère ressenti</w:t>
      </w:r>
      <w:r w:rsidR="00D75834">
        <w:t>e</w:t>
      </w:r>
      <w:r>
        <w:t xml:space="preserve"> lorsque, grugée par l’angoisse depuis trop longtemps, elle apprend le jour du procès que les accusés vont plaider coupable. </w:t>
      </w:r>
      <w:r w:rsidR="00E56414">
        <w:t>Elle ressent alors que les co-accusés ont exercé un contrôle sur elle une deuxième fois.</w:t>
      </w:r>
    </w:p>
    <w:p w14:paraId="3D2B1B4A" w14:textId="7BCC10A9" w:rsidR="009D52A9" w:rsidRDefault="00E56414" w:rsidP="00D90F35">
      <w:pPr>
        <w:pStyle w:val="Paragraphe"/>
        <w:keepLines/>
        <w:tabs>
          <w:tab w:val="clear" w:pos="360"/>
        </w:tabs>
        <w:spacing w:line="240" w:lineRule="auto"/>
      </w:pPr>
      <w:r>
        <w:t xml:space="preserve">La victime </w:t>
      </w:r>
      <w:r w:rsidR="00D75834">
        <w:t>fait également référence à</w:t>
      </w:r>
      <w:r>
        <w:t xml:space="preserve"> d’autres répercussions des infractions commises. Son parcours académique a été impacté et retardé. Un malaise profond l’envahit à la vue d’une patinoire. Elle ressent de l’inconfort dans sa vie sexuelle. Elle souligne un profond mal-être qu’elle décrit de la façon suivante : « Mais surtout un état constant d’anxiété</w:t>
      </w:r>
      <w:r w:rsidR="00E86027">
        <w:t xml:space="preserve"> fa</w:t>
      </w:r>
      <w:r>
        <w:t xml:space="preserve">ce au futur et d’angoisse face au passé ». </w:t>
      </w:r>
      <w:r w:rsidR="00E418AD" w:rsidRPr="001F6FF0">
        <w:t xml:space="preserve">Elle témoigne </w:t>
      </w:r>
      <w:r>
        <w:t xml:space="preserve">également </w:t>
      </w:r>
      <w:r w:rsidR="00E418AD" w:rsidRPr="001F6FF0">
        <w:t>des répercussions</w:t>
      </w:r>
      <w:r w:rsidR="001F459E">
        <w:t xml:space="preserve"> sur ses proches : parents, frère, sœur</w:t>
      </w:r>
      <w:r w:rsidR="00650B1F">
        <w:t>,</w:t>
      </w:r>
      <w:r w:rsidR="001F459E">
        <w:t xml:space="preserve"> grands-parents, amis, amoureux. Elle exprime de l’empathie pour les proches des co-accusés. Elle termine son témoignage en </w:t>
      </w:r>
      <w:r w:rsidR="009D52A9">
        <w:t>soulignant que, bien que les démarches judiciaires soient tumultueuses et sans promesse, la participation au processus judiciaire lui a permis de grandir et de se respecter et elle encourage toute démarche de dénonciation.</w:t>
      </w:r>
    </w:p>
    <w:p w14:paraId="51A0BD9D" w14:textId="2F2D4BF5" w:rsidR="00C17C89" w:rsidRPr="00C17C89" w:rsidRDefault="00C17C89" w:rsidP="00D90F35">
      <w:pPr>
        <w:pStyle w:val="Paragraphe"/>
        <w:keepLines/>
        <w:numPr>
          <w:ilvl w:val="0"/>
          <w:numId w:val="0"/>
        </w:numPr>
        <w:spacing w:line="240" w:lineRule="auto"/>
        <w:rPr>
          <w:b/>
          <w:bCs/>
        </w:rPr>
      </w:pPr>
      <w:r w:rsidRPr="00C17C89">
        <w:rPr>
          <w:b/>
          <w:bCs/>
        </w:rPr>
        <w:t>Nicolas Daigle</w:t>
      </w:r>
    </w:p>
    <w:p w14:paraId="7C209F32" w14:textId="35549AA7" w:rsidR="001F6FF0" w:rsidRDefault="00213865" w:rsidP="00D90F35">
      <w:pPr>
        <w:pStyle w:val="Paragraphe"/>
        <w:keepLines/>
        <w:spacing w:line="240" w:lineRule="auto"/>
      </w:pPr>
      <w:r>
        <w:t xml:space="preserve">En défense, le premier témoin entendu est Nicolas Daigle. Il demeure chez son père avec son demi-frère et sa demi-sœur, qu’il considère comme frère et </w:t>
      </w:r>
      <w:r w:rsidR="001F7B4E" w:rsidRPr="0048204F">
        <w:t>sœur</w:t>
      </w:r>
      <w:r>
        <w:t xml:space="preserve">. Il entretient de très bons liens avec ses parents. Les valeurs familiales sont importantes pour lui. </w:t>
      </w:r>
    </w:p>
    <w:p w14:paraId="71111D0D" w14:textId="11B301EE" w:rsidR="00A06E92" w:rsidRDefault="00A06E92" w:rsidP="00D90F35">
      <w:pPr>
        <w:pStyle w:val="Paragraphe"/>
        <w:keepLines/>
        <w:spacing w:line="240" w:lineRule="auto"/>
      </w:pPr>
      <w:r>
        <w:t>Le processus judiciaire a eu des répercussions sur les membres de sa famille. Notamment, sa demi-sœur a subi de l’intimidation en lien avec les accusations et a dû changer d’école. Il déclare vivre avec beaucoup de regrets et de honte. Il est conscient que sa famille est affectée par les événements, ce qui le touche particulièrement. La honte et les regrets qui l’habitent lui cause</w:t>
      </w:r>
      <w:r w:rsidR="009F3141">
        <w:t>nt</w:t>
      </w:r>
      <w:r>
        <w:t xml:space="preserve"> également des difficultés à faire face au public.</w:t>
      </w:r>
    </w:p>
    <w:p w14:paraId="6045FEDD" w14:textId="1B5DD1CB" w:rsidR="00A06E92" w:rsidRDefault="00A06E92" w:rsidP="00D90F35">
      <w:pPr>
        <w:pStyle w:val="Paragraphe"/>
        <w:keepLines/>
        <w:spacing w:line="240" w:lineRule="auto"/>
      </w:pPr>
      <w:r>
        <w:lastRenderedPageBreak/>
        <w:t>Nicolas Daigle témoigne de son parcours académique adapté à la pratique du hockey de haut niveau. Dès le niveau secondaire 3, il fréquente une école à l’extérieur de la municipalité où il réside. Dès le niveau secondaire 4</w:t>
      </w:r>
      <w:r w:rsidR="009F0591">
        <w:t>, il demeure en pension</w:t>
      </w:r>
      <w:r w:rsidR="009F3141">
        <w:t>,</w:t>
      </w:r>
      <w:r w:rsidR="009F0591">
        <w:t xml:space="preserve"> car il fréquente une école de Lévis. </w:t>
      </w:r>
    </w:p>
    <w:p w14:paraId="27FB84AA" w14:textId="4CEE1384" w:rsidR="009F0591" w:rsidRDefault="00D80E96" w:rsidP="00D90F35">
      <w:pPr>
        <w:pStyle w:val="Paragraphe"/>
        <w:keepLines/>
        <w:spacing w:line="240" w:lineRule="auto"/>
      </w:pPr>
      <w:r>
        <w:t>À la suite de son parcours secondaire</w:t>
      </w:r>
      <w:r w:rsidR="009F0591">
        <w:t xml:space="preserve">, il participe au camp de sélection du club de hockey des Tigres de Victoriaville, où il </w:t>
      </w:r>
      <w:r w:rsidR="00C14EA2">
        <w:t>obtient un poste au sein de</w:t>
      </w:r>
      <w:r w:rsidR="009F0591">
        <w:t xml:space="preserve"> l’équipe. Il s’inscrit au Cégep de Victoriaville dans un programme de Sciences de la nature / profil santé. À</w:t>
      </w:r>
      <w:r w:rsidR="00E95F4F">
        <w:t> </w:t>
      </w:r>
      <w:r w:rsidR="009F0591">
        <w:t>l’automne 2021, il effectue un changement de programme académique. Cependant, le dépôt des accusations criminelles en octobre 2021 suscite de la honte, du stress et de l’anxiété</w:t>
      </w:r>
      <w:r w:rsidR="00C14EA2">
        <w:t>. I</w:t>
      </w:r>
      <w:r w:rsidR="009F0591">
        <w:t>l est incapable de poursuivre sa session académique.</w:t>
      </w:r>
    </w:p>
    <w:p w14:paraId="75433E4D" w14:textId="2E363B41" w:rsidR="009F0591" w:rsidRDefault="009F0591" w:rsidP="00D90F35">
      <w:pPr>
        <w:pStyle w:val="Paragraphe"/>
        <w:keepLines/>
        <w:spacing w:line="240" w:lineRule="auto"/>
      </w:pPr>
      <w:r>
        <w:t>À partir de l’hiver 2022, il s’inscrit dans un autre établissement collégial, qui lui permet de poursuivre son parcours scolaire à distance.</w:t>
      </w:r>
      <w:r w:rsidR="00111D9F">
        <w:t xml:space="preserve"> Il fréquente toujours cet établissement à l’automne 2022 pour terminer ses cours de base </w:t>
      </w:r>
      <w:r w:rsidR="00E269B6">
        <w:t>en vue d’</w:t>
      </w:r>
      <w:r w:rsidR="00111D9F">
        <w:t>entrer à l’université. À l’hiver 2023, il s’inscrit au Cégep de Thetford-Mines, ne souhaitant plus poursuivre son parcours collégial de façon virtuelle.</w:t>
      </w:r>
    </w:p>
    <w:p w14:paraId="10AD0A2F" w14:textId="0059AA21" w:rsidR="00111D9F" w:rsidRDefault="00111D9F" w:rsidP="00D90F35">
      <w:pPr>
        <w:pStyle w:val="Paragraphe"/>
        <w:keepLines/>
        <w:spacing w:line="240" w:lineRule="auto"/>
      </w:pPr>
      <w:r>
        <w:t xml:space="preserve">À l’automne 2023, alors que l’audition de requêtes préliminaires ainsi que le procès sont fixés, il ne s’inscrit pas dans un établissement d’enseignement car il souhaite se concentrer sur le processus judiciaire. À l’hiver 2024, il termine un cours collégial pour obtenir son diplôme d’études collégiales et entame un certificat en planification financière à l’Université Laval. Il projette d’entamer un baccalauréat en </w:t>
      </w:r>
      <w:r w:rsidR="00ED6966">
        <w:t>administration des affaires à HEC Montréal</w:t>
      </w:r>
      <w:r w:rsidR="00984F67">
        <w:t>, où il a été accepté,</w:t>
      </w:r>
      <w:r w:rsidR="00ED6966">
        <w:t xml:space="preserve"> à compter de l’automne 2024.</w:t>
      </w:r>
      <w:r w:rsidR="00D80E96">
        <w:t xml:space="preserve"> Plusieurs pièces sont produites au dossier de Cour pour appuyer le témoignage de Nicolas Daigle sur son parcours académique.</w:t>
      </w:r>
    </w:p>
    <w:p w14:paraId="197B149A" w14:textId="4C4394FD" w:rsidR="00B342AB" w:rsidRDefault="00B342AB" w:rsidP="00D90F35">
      <w:pPr>
        <w:pStyle w:val="Paragraphe"/>
        <w:keepLines/>
        <w:spacing w:line="240" w:lineRule="auto"/>
      </w:pPr>
      <w:r>
        <w:t xml:space="preserve">Nicolas Daigle témoigne également sur son parcours sportif dans le hockey. Il débute dès l’âge de 4 ans. Il change d’école dès secondaire 2 en lien avec cette passion. </w:t>
      </w:r>
      <w:r w:rsidR="000140DE">
        <w:t xml:space="preserve">Dès 2018, il mandate un agent de joueur pour le représenter. </w:t>
      </w:r>
      <w:r>
        <w:t xml:space="preserve">Alors qu’il fréquente des programmes sports-études en hockey, il est repêché par l’équipe de l’Océanic de Rimouski en 2018. Durant la période des Fêtes, il est échangé aux Tigres de Victoriaville. De janvier à mars 2019, il joue quatre matchs avec cette équipe alors qu’il termine son parcours secondaire. À l’automne 2019, il fait sa place dans l’équipe et entreprend sa première saison complète dans la </w:t>
      </w:r>
      <w:r w:rsidR="003E1AB8" w:rsidRPr="003E1AB8">
        <w:rPr>
          <w:i/>
          <w:iCs/>
        </w:rPr>
        <w:t>Ligue de hockey junior majeur du Québec</w:t>
      </w:r>
      <w:r w:rsidR="00B836D3">
        <w:rPr>
          <w:i/>
          <w:iCs/>
        </w:rPr>
        <w:t xml:space="preserve"> </w:t>
      </w:r>
      <w:r w:rsidR="003E1AB8">
        <w:t>(ci</w:t>
      </w:r>
      <w:r w:rsidR="00B836D3">
        <w:noBreakHyphen/>
      </w:r>
      <w:r w:rsidR="003E1AB8">
        <w:t>après</w:t>
      </w:r>
      <w:r w:rsidR="00E95F4F">
        <w:t> </w:t>
      </w:r>
      <w:r w:rsidR="003E1AB8" w:rsidRPr="003E1AB8">
        <w:rPr>
          <w:i/>
          <w:iCs/>
        </w:rPr>
        <w:t>LHJMQ</w:t>
      </w:r>
      <w:r w:rsidR="003E1AB8">
        <w:t>)</w:t>
      </w:r>
      <w:r>
        <w:rPr>
          <w:rStyle w:val="Appelnotedebasdep"/>
        </w:rPr>
        <w:footnoteReference w:id="3"/>
      </w:r>
      <w:r>
        <w:t>.</w:t>
      </w:r>
    </w:p>
    <w:p w14:paraId="0D56DF41" w14:textId="15AF10E1" w:rsidR="00F27738" w:rsidRDefault="00F27738" w:rsidP="00D90F35">
      <w:pPr>
        <w:pStyle w:val="Paragraphe"/>
        <w:keepLines/>
        <w:spacing w:line="240" w:lineRule="auto"/>
      </w:pPr>
      <w:r>
        <w:t xml:space="preserve">En tant que membre des Tigres de Victoriaville, il reconnaît avoir bénéficié d’ateliers de sensibilisation portant sur le consentement, offerts par la </w:t>
      </w:r>
      <w:r w:rsidRPr="003E1AB8">
        <w:rPr>
          <w:i/>
          <w:iCs/>
        </w:rPr>
        <w:t>LHJMQ</w:t>
      </w:r>
      <w:r w:rsidR="003A537F">
        <w:t>,</w:t>
      </w:r>
      <w:r>
        <w:t xml:space="preserve"> à chaque début de saison. Il a notamment visionné un</w:t>
      </w:r>
      <w:r w:rsidR="00935232">
        <w:t>e</w:t>
      </w:r>
      <w:r>
        <w:t xml:space="preserve"> vidéo en lien avec la question du consentement sexuel. </w:t>
      </w:r>
      <w:r w:rsidR="00204FE8">
        <w:t>L’équipe bénéficiait également du support d’un policier-parrain pour toute</w:t>
      </w:r>
      <w:r w:rsidR="003E1AB8">
        <w:t>s</w:t>
      </w:r>
      <w:r w:rsidR="00204FE8">
        <w:t xml:space="preserve"> question</w:t>
      </w:r>
      <w:r w:rsidR="003E1AB8">
        <w:t>s</w:t>
      </w:r>
      <w:r w:rsidR="00204FE8">
        <w:t xml:space="preserve"> liées aux drogues, à l’alcool, au sexe et aux réseaux sociaux.</w:t>
      </w:r>
    </w:p>
    <w:p w14:paraId="51F922EA" w14:textId="5043E0BC" w:rsidR="005E491E" w:rsidRDefault="005E491E" w:rsidP="00D90F35">
      <w:pPr>
        <w:pStyle w:val="Paragraphe"/>
        <w:keepLines/>
        <w:spacing w:line="240" w:lineRule="auto"/>
      </w:pPr>
      <w:r>
        <w:lastRenderedPageBreak/>
        <w:t xml:space="preserve">En 2021, il est approché par trois équipes de la </w:t>
      </w:r>
      <w:r w:rsidRPr="003E1AB8">
        <w:rPr>
          <w:i/>
          <w:iCs/>
        </w:rPr>
        <w:t>Ligue nationale de hockey</w:t>
      </w:r>
      <w:r>
        <w:t xml:space="preserve"> (</w:t>
      </w:r>
      <w:r w:rsidRPr="003E1AB8">
        <w:rPr>
          <w:i/>
          <w:iCs/>
        </w:rPr>
        <w:t>LNH</w:t>
      </w:r>
      <w:r>
        <w:t xml:space="preserve">) mais ne sera pas </w:t>
      </w:r>
      <w:r w:rsidR="00D742A0">
        <w:t>sélectionné</w:t>
      </w:r>
      <w:r>
        <w:t xml:space="preserve"> lors du repêchage de juin 2021. Il est néanmoins invité par une équipe à participer à un camp.</w:t>
      </w:r>
      <w:r w:rsidR="00C113D6">
        <w:t xml:space="preserve"> Deux semaines avant le début de ce camp, il est cependant informé qu’il n’est plus bienvenu en raison du dépôt des accusations criminelles. Ces dernières l’empêchent également de se joindre à l’équipe de l’Université de Moncton, au niveau universitaire, ou de jouer au niveau professionnel en Ukraine.</w:t>
      </w:r>
    </w:p>
    <w:p w14:paraId="63E0B6AB" w14:textId="20BDD36F" w:rsidR="00C113D6" w:rsidRDefault="00C113D6" w:rsidP="00D90F35">
      <w:pPr>
        <w:pStyle w:val="Paragraphe"/>
        <w:keepLines/>
        <w:spacing w:line="240" w:lineRule="auto"/>
      </w:pPr>
      <w:r>
        <w:t xml:space="preserve">Il témoigne que jouer au hockey au niveau professionnel a longtemps constitué un rêve pour lui, qu’il considérait </w:t>
      </w:r>
      <w:r w:rsidR="00DF40B9">
        <w:t xml:space="preserve">comme </w:t>
      </w:r>
      <w:r>
        <w:t xml:space="preserve">réaliste. Les gestes posés, qu’il regrette, font en sorte que ce rêve est désormais </w:t>
      </w:r>
      <w:r w:rsidR="003820A1">
        <w:t>inaccessible.</w:t>
      </w:r>
    </w:p>
    <w:p w14:paraId="6B6493BB" w14:textId="58831DDB" w:rsidR="003820A1" w:rsidRDefault="003820A1" w:rsidP="00D90F35">
      <w:pPr>
        <w:pStyle w:val="Paragraphe"/>
        <w:keepLines/>
        <w:spacing w:line="240" w:lineRule="auto"/>
      </w:pPr>
      <w:r>
        <w:t xml:space="preserve">Nicolas Daigle témoigne de son implication bénévole. Il s’est impliqué pour différentes causes caritatives, souvent en lien avec le sport et la jeunesse. </w:t>
      </w:r>
      <w:r w:rsidR="0010457E">
        <w:t>Entre autres</w:t>
      </w:r>
      <w:r>
        <w:t xml:space="preserve">, lorsque son frère a reçu un diagnostic de cancer, il a </w:t>
      </w:r>
      <w:r w:rsidR="009F3141">
        <w:t>organisé</w:t>
      </w:r>
      <w:r>
        <w:t xml:space="preserve"> une campagne de financement permettant de remettre 15</w:t>
      </w:r>
      <w:r w:rsidR="002B6218">
        <w:t> </w:t>
      </w:r>
      <w:r>
        <w:t>000</w:t>
      </w:r>
      <w:r w:rsidR="002B6218">
        <w:t xml:space="preserve"> </w:t>
      </w:r>
      <w:r>
        <w:t xml:space="preserve">$ à l’organisme </w:t>
      </w:r>
      <w:r w:rsidRPr="009F3141">
        <w:rPr>
          <w:i/>
          <w:iCs/>
        </w:rPr>
        <w:t>Leucan</w:t>
      </w:r>
      <w:r>
        <w:t>.</w:t>
      </w:r>
    </w:p>
    <w:p w14:paraId="524658AD" w14:textId="44D7797B" w:rsidR="003820A1" w:rsidRDefault="003820A1" w:rsidP="00D90F35">
      <w:pPr>
        <w:pStyle w:val="Paragraphe"/>
        <w:keepLines/>
        <w:spacing w:line="240" w:lineRule="auto"/>
      </w:pPr>
      <w:r>
        <w:t>Il a également reçu différentes bourses, notamment en lien avec son implication communautaire.</w:t>
      </w:r>
    </w:p>
    <w:p w14:paraId="6932CAC2" w14:textId="39753970" w:rsidR="00CB526D" w:rsidRDefault="00CB526D" w:rsidP="00D90F35">
      <w:pPr>
        <w:pStyle w:val="Paragraphe"/>
        <w:keepLines/>
        <w:spacing w:line="240" w:lineRule="auto"/>
      </w:pPr>
      <w:r>
        <w:t>Depuis le mois de novembre 2021, il occupe un emploi dans une ferme/érablière où il effectue différentes tâches d’entretien. Il y travaille à temps plein durant la période estivale et à temps partiel durant l’année scolaire.</w:t>
      </w:r>
    </w:p>
    <w:p w14:paraId="0718C9DC" w14:textId="42CA86E7" w:rsidR="00CB526D" w:rsidRDefault="00CB526D" w:rsidP="00D90F35">
      <w:pPr>
        <w:pStyle w:val="Paragraphe"/>
        <w:keepLines/>
        <w:spacing w:line="240" w:lineRule="auto"/>
      </w:pPr>
      <w:r>
        <w:t xml:space="preserve">Depuis le mois de février 2024, il a entamé un suivi psychologique </w:t>
      </w:r>
      <w:r w:rsidR="00C17C89">
        <w:t>à la suite d’une</w:t>
      </w:r>
      <w:r>
        <w:t xml:space="preserve"> recommandation effectuée par Mme Isabelle Crouzet, </w:t>
      </w:r>
      <w:r w:rsidR="002C2EED">
        <w:t>psych</w:t>
      </w:r>
      <w:r>
        <w:t>ologue. Ce suivi vise notamment à travailler les notions d’affirmation de soi, de consentement sexuel et d’estime de soi. Il manifeste l’intention de poursuivre ce suivi.</w:t>
      </w:r>
      <w:r w:rsidR="004F51BB">
        <w:t xml:space="preserve"> De manière volontaire, depuis les événements, il a fait la lecture de deux livres à propos du </w:t>
      </w:r>
      <w:r w:rsidR="005A7BCD">
        <w:t>comportement des hommes et des bonnes conduites sexuelles</w:t>
      </w:r>
      <w:r w:rsidR="005A7BCD">
        <w:rPr>
          <w:rStyle w:val="Appelnotedebasdep"/>
        </w:rPr>
        <w:footnoteReference w:id="4"/>
      </w:r>
      <w:r w:rsidR="005A7BCD">
        <w:t>.</w:t>
      </w:r>
    </w:p>
    <w:p w14:paraId="2DFE3446" w14:textId="4243E092" w:rsidR="002C2EED" w:rsidRPr="00640BE3" w:rsidRDefault="002C2EED" w:rsidP="00D90F35">
      <w:pPr>
        <w:pStyle w:val="Paragraphe"/>
        <w:keepLines/>
        <w:spacing w:line="240" w:lineRule="auto"/>
      </w:pPr>
      <w:r>
        <w:t>Les conclusions du rapport préparé par Mme Crouzet sont produites en preuve</w:t>
      </w:r>
      <w:r>
        <w:rPr>
          <w:rStyle w:val="Appelnotedebasdep"/>
        </w:rPr>
        <w:footnoteReference w:id="5"/>
      </w:r>
      <w:r>
        <w:t>. Selon la combinaison des résultats obtenus à deux outils statistiques</w:t>
      </w:r>
      <w:r>
        <w:rPr>
          <w:rStyle w:val="Appelnotedebasdep"/>
        </w:rPr>
        <w:footnoteReference w:id="6"/>
      </w:r>
      <w:r>
        <w:t xml:space="preserve">, le risque de récidive sexuelle de Nicolas Daigle se classe au deuxième niveau de risque standardisé, en partant du plus faible, sur les </w:t>
      </w:r>
      <w:r w:rsidR="00B74049">
        <w:t>cinq</w:t>
      </w:r>
      <w:r>
        <w:t xml:space="preserve"> niveaux de risque existants. Les résultats</w:t>
      </w:r>
      <w:r w:rsidR="002E7496">
        <w:t xml:space="preserve"> obtenus aux échelles classent Nicolas Daigle dans une catégorie de risque de récidive sexuelle </w:t>
      </w:r>
      <w:r w:rsidR="002E7496" w:rsidRPr="00640BE3">
        <w:t>«</w:t>
      </w:r>
      <w:r w:rsidR="00293BCB">
        <w:t> </w:t>
      </w:r>
      <w:r w:rsidR="002E7496" w:rsidRPr="00640BE3">
        <w:t>faible ».</w:t>
      </w:r>
    </w:p>
    <w:p w14:paraId="1B5A707D" w14:textId="687182CF" w:rsidR="005A7BCD" w:rsidRDefault="005A7BCD" w:rsidP="00D90F35">
      <w:pPr>
        <w:pStyle w:val="Paragraphe"/>
        <w:keepLines/>
        <w:spacing w:line="240" w:lineRule="auto"/>
      </w:pPr>
      <w:r>
        <w:t>Depuis mars 2023, il a une conjointe qui est aux études à l’UQAM. Ils projettent de cohabiter dans un appartement à partir de l’automne 2024.</w:t>
      </w:r>
    </w:p>
    <w:p w14:paraId="4B452E61" w14:textId="049A81D3" w:rsidR="005A7BCD" w:rsidRDefault="005A7BCD" w:rsidP="00D90F35">
      <w:pPr>
        <w:pStyle w:val="Paragraphe"/>
        <w:keepLines/>
        <w:spacing w:line="240" w:lineRule="auto"/>
      </w:pPr>
      <w:r>
        <w:lastRenderedPageBreak/>
        <w:t>Nicolas Daigle a rédigé une lettre d’excuse à l’attention de la victime, dont il fait la lecture à l’audience</w:t>
      </w:r>
      <w:r>
        <w:rPr>
          <w:rStyle w:val="Appelnotedebasdep"/>
        </w:rPr>
        <w:footnoteReference w:id="7"/>
      </w:r>
      <w:r>
        <w:t>. De manière sentie, il présente ses excuses et se déclare entièrement désolé. Il souligne que la victime n’est pas responsable de la situation dont il s’attribue l’entière responsabilité.</w:t>
      </w:r>
    </w:p>
    <w:p w14:paraId="7D3CC723" w14:textId="1FF06609" w:rsidR="005A7BCD" w:rsidRDefault="005A7BCD" w:rsidP="00D90F35">
      <w:pPr>
        <w:pStyle w:val="Paragraphe"/>
        <w:keepLines/>
        <w:spacing w:line="240" w:lineRule="auto"/>
      </w:pPr>
      <w:r>
        <w:t>Nicolas Daigle termine son témoignage en déposant une multitude de lettre</w:t>
      </w:r>
      <w:r w:rsidR="00BE3356">
        <w:t>s</w:t>
      </w:r>
      <w:r>
        <w:t xml:space="preserve"> d’appui obtenues à son initiative</w:t>
      </w:r>
      <w:r w:rsidR="00F27738">
        <w:rPr>
          <w:rStyle w:val="Appelnotedebasdep"/>
        </w:rPr>
        <w:footnoteReference w:id="8"/>
      </w:r>
      <w:r>
        <w:t>. Ces lettres proviennent notamment de ses parents, de sa conjointe, de son employeur, de personnes l’ayant accueilli en pension</w:t>
      </w:r>
      <w:r w:rsidR="009356DC">
        <w:t>, de son agent et d’amis. Ces lettres décrivent Nicolas Daigle comme une personne respectueuse, travaillante, serviable, enjouée et attachée aux valeurs familiales.</w:t>
      </w:r>
    </w:p>
    <w:p w14:paraId="765C9CA5" w14:textId="540D3A07" w:rsidR="00C17C89" w:rsidRPr="00C17C89" w:rsidRDefault="00C17C89" w:rsidP="00D90F35">
      <w:pPr>
        <w:pStyle w:val="Paragraphe"/>
        <w:keepLines/>
        <w:numPr>
          <w:ilvl w:val="0"/>
          <w:numId w:val="0"/>
        </w:numPr>
        <w:spacing w:line="240" w:lineRule="auto"/>
        <w:rPr>
          <w:b/>
          <w:bCs/>
        </w:rPr>
      </w:pPr>
      <w:r w:rsidRPr="00C17C89">
        <w:rPr>
          <w:b/>
          <w:bCs/>
        </w:rPr>
        <w:t>Massimo Siciliano</w:t>
      </w:r>
    </w:p>
    <w:p w14:paraId="2BD63B7F" w14:textId="24F07496" w:rsidR="001F6FF0" w:rsidRDefault="002C2EED" w:rsidP="00D90F35">
      <w:pPr>
        <w:pStyle w:val="Paragraphe"/>
        <w:keepLines/>
        <w:spacing w:line="240" w:lineRule="auto"/>
      </w:pPr>
      <w:r>
        <w:t>Massimo Siciliano témoigne également à l’audience sur la détermination de la peine.</w:t>
      </w:r>
      <w:r w:rsidR="002E7496">
        <w:t xml:space="preserve"> Il demeure chez ses parents qui possèdent une entreprise familiale. Il travaille pour l’entreprise familiale quelques fois par semaine.</w:t>
      </w:r>
    </w:p>
    <w:p w14:paraId="46FBB061" w14:textId="2E15A075" w:rsidR="002E7496" w:rsidRDefault="002E7496" w:rsidP="00D90F35">
      <w:pPr>
        <w:pStyle w:val="Paragraphe"/>
        <w:keepLines/>
        <w:spacing w:line="240" w:lineRule="auto"/>
      </w:pPr>
      <w:r>
        <w:t xml:space="preserve">Au moment des événements reprochés, il est âgé de 18 ans. </w:t>
      </w:r>
      <w:r w:rsidR="00D60D76">
        <w:t xml:space="preserve">En juin 2021, il a une copine, étudie à temps plein et joue au hockey pour l’équipe des Tigres de Victoriaville. </w:t>
      </w:r>
      <w:r w:rsidR="000D6F01">
        <w:t>S</w:t>
      </w:r>
      <w:r w:rsidR="00D60D76">
        <w:t>a vie est alors centrée sur</w:t>
      </w:r>
      <w:r w:rsidR="00523465">
        <w:t xml:space="preserve"> le hockey et ses études. Il déclare que jouer dans la </w:t>
      </w:r>
      <w:r w:rsidR="00523465" w:rsidRPr="003E1AB8">
        <w:rPr>
          <w:i/>
          <w:iCs/>
        </w:rPr>
        <w:t>LHJMQ</w:t>
      </w:r>
      <w:r w:rsidR="00523465">
        <w:t xml:space="preserve"> implique de faire des sacrifices. Il démontre du sérieux et de la discipline, autant à l’école que dans ses entraînements et son alimentation. Il ne boit pas beaucoup d’alcool et fréquente peu les bars.</w:t>
      </w:r>
    </w:p>
    <w:p w14:paraId="04D288A2" w14:textId="50E2FEF0" w:rsidR="00523465" w:rsidRDefault="00523465" w:rsidP="00D90F35">
      <w:pPr>
        <w:pStyle w:val="Paragraphe"/>
        <w:keepLines/>
        <w:spacing w:line="240" w:lineRule="auto"/>
      </w:pPr>
      <w:r>
        <w:t xml:space="preserve">Aujourd’hui âgé de 21 ans, il a une copine depuis novembre 2023 et étudie à temps plein. En plus de ses études et de son travail, il s’entraîne de </w:t>
      </w:r>
      <w:r w:rsidR="00BE3356">
        <w:t>cinq</w:t>
      </w:r>
      <w:r>
        <w:t xml:space="preserve"> à </w:t>
      </w:r>
      <w:r w:rsidR="00BE3356">
        <w:t>six</w:t>
      </w:r>
      <w:r>
        <w:t xml:space="preserve"> fois par semaine même s’il ne joue plus au hockey. Ses habitudes de consommation d’alcool et de fréquentation des bars n’ont pas changé. Il </w:t>
      </w:r>
      <w:r w:rsidR="00935232">
        <w:t>n’a pas d’</w:t>
      </w:r>
      <w:r>
        <w:t>antécéd</w:t>
      </w:r>
      <w:r w:rsidR="00935232">
        <w:t>e</w:t>
      </w:r>
      <w:r>
        <w:t>nt</w:t>
      </w:r>
      <w:r w:rsidR="00935232">
        <w:t>s</w:t>
      </w:r>
      <w:r>
        <w:t xml:space="preserve"> judiciaire</w:t>
      </w:r>
      <w:r w:rsidR="00935232">
        <w:t>s</w:t>
      </w:r>
      <w:r>
        <w:t xml:space="preserve"> et est confronté pour la première fois au système de justice criminel.</w:t>
      </w:r>
    </w:p>
    <w:p w14:paraId="605C7668" w14:textId="1AE661DA" w:rsidR="00A263E2" w:rsidRDefault="00A263E2" w:rsidP="00D90F35">
      <w:pPr>
        <w:pStyle w:val="Paragraphe"/>
        <w:keepLines/>
        <w:spacing w:line="240" w:lineRule="auto"/>
      </w:pPr>
      <w:r>
        <w:t>Il témoigne de son parcours scolaire. Il fréquente des programmes sports-études hockey durant son cours secondaire. Il est repêché par les Tigres de Victoriaville à 17</w:t>
      </w:r>
      <w:r w:rsidR="007C5F9A">
        <w:t> </w:t>
      </w:r>
      <w:r>
        <w:t>ans</w:t>
      </w:r>
      <w:r w:rsidR="00CA10BF">
        <w:t xml:space="preserve">. Il entreprend son </w:t>
      </w:r>
      <w:r w:rsidR="00935232">
        <w:t>cursus</w:t>
      </w:r>
      <w:r w:rsidR="00CA10BF">
        <w:t xml:space="preserve"> collégial au Cégep de Victoriaville</w:t>
      </w:r>
      <w:r w:rsidR="00CA10BF">
        <w:rPr>
          <w:rStyle w:val="Appelnotedebasdep"/>
        </w:rPr>
        <w:footnoteReference w:id="9"/>
      </w:r>
      <w:r w:rsidR="00CA10BF">
        <w:t xml:space="preserve">. Il </w:t>
      </w:r>
      <w:r w:rsidR="00526910">
        <w:t xml:space="preserve">reçoit le prix joueur-étudiant </w:t>
      </w:r>
      <w:r w:rsidR="00BE3356">
        <w:t xml:space="preserve">dans la </w:t>
      </w:r>
      <w:r w:rsidR="00526910">
        <w:t>catégorie Éthique de travail en 2020-2021, remis par les Tigres de Victoriaville, et est finaliste pour l’obtention d’un autre honneur</w:t>
      </w:r>
      <w:r w:rsidR="00526910">
        <w:rPr>
          <w:rStyle w:val="Appelnotedebasdep"/>
        </w:rPr>
        <w:footnoteReference w:id="10"/>
      </w:r>
      <w:r w:rsidR="00526910">
        <w:t>.</w:t>
      </w:r>
    </w:p>
    <w:p w14:paraId="0786989A" w14:textId="1AD5A5DF" w:rsidR="00526910" w:rsidRDefault="00526910" w:rsidP="00D90F35">
      <w:pPr>
        <w:pStyle w:val="Paragraphe"/>
        <w:keepLines/>
        <w:spacing w:line="240" w:lineRule="auto"/>
      </w:pPr>
      <w:r>
        <w:lastRenderedPageBreak/>
        <w:t xml:space="preserve">À la suite du dépôt des accusations, il est suspendu indéfiniment par la </w:t>
      </w:r>
      <w:r w:rsidRPr="003E1AB8">
        <w:rPr>
          <w:i/>
          <w:iCs/>
        </w:rPr>
        <w:t>LHJMQ</w:t>
      </w:r>
      <w:r>
        <w:t xml:space="preserve">. En janvier 2022, il s’inscrit au Cégep de Terrebonne, pour des raisons de proximité de son domicile. À l’automne 2022, il s’inscrit à la </w:t>
      </w:r>
      <w:r w:rsidRPr="003E1AB8">
        <w:rPr>
          <w:i/>
          <w:iCs/>
        </w:rPr>
        <w:t>John Molson School of Business</w:t>
      </w:r>
      <w:r>
        <w:t xml:space="preserve"> de l’Université Concordia. Ses résultats scolaires sont au-dessus de la moyenne et, en septembre 2023, il est invité à joindre le </w:t>
      </w:r>
      <w:r w:rsidRPr="003E1AB8">
        <w:rPr>
          <w:i/>
          <w:iCs/>
        </w:rPr>
        <w:t>Honour group in finances</w:t>
      </w:r>
      <w:r>
        <w:t>. Toutefois, suite au plaidoyer de culpabilité, il est informé par l’Université qu’il ne peut plus participer à ses cours en présenc</w:t>
      </w:r>
      <w:r w:rsidR="005167BE">
        <w:t>e. Il souhaite faire carrière en finances comme son père.</w:t>
      </w:r>
    </w:p>
    <w:p w14:paraId="37E7BAF1" w14:textId="29B5F20A" w:rsidR="00B65CC1" w:rsidRDefault="00B65CC1" w:rsidP="00D90F35">
      <w:pPr>
        <w:pStyle w:val="Paragraphe"/>
        <w:keepLines/>
        <w:spacing w:line="240" w:lineRule="auto"/>
      </w:pPr>
      <w:r>
        <w:t xml:space="preserve">Il témoigne de son </w:t>
      </w:r>
      <w:r w:rsidR="00935232">
        <w:t>cheminement</w:t>
      </w:r>
      <w:r>
        <w:t xml:space="preserve"> au niveau du hockey. Il débute dès l’âge de trois ans et joue dans toutes les catégories jusqu’au hockey junior majeur. Il déclare que le hockey constitue pour lui une école de vie qui lui a inculqué notamment la discipline, la capacité de performer sous pression et la confiance en lui. Lorsqu’il jo</w:t>
      </w:r>
      <w:r w:rsidR="00967041">
        <w:t>ue au niveau junior majeur, il a l’ambition de jouer au niveau professionnel, dans la Ligue nationale de hockey ou en Europe. Il n’a pas pu poursuivre ce projet suite au dépôt des accusations. Il n’a pu se joindre non plus à l’équipe de hockey de l’Université McGill, en raison du processus judiciaire en cours.</w:t>
      </w:r>
    </w:p>
    <w:p w14:paraId="02A59031" w14:textId="7656DF5F" w:rsidR="00B65CC1" w:rsidRDefault="00B65CC1" w:rsidP="00D90F35">
      <w:pPr>
        <w:pStyle w:val="Paragraphe"/>
        <w:keepLines/>
        <w:spacing w:line="240" w:lineRule="auto"/>
      </w:pPr>
      <w:r>
        <w:t>Il reconnaît avoir suivi une formation donnée par les Tigres de Victoriaville portant sur le consentement. Cette formation inclu</w:t>
      </w:r>
      <w:r w:rsidR="003A537F">
        <w:t>t</w:t>
      </w:r>
      <w:r>
        <w:t xml:space="preserve"> le visionnement d’un</w:t>
      </w:r>
      <w:r w:rsidR="00935232">
        <w:t>e</w:t>
      </w:r>
      <w:r>
        <w:t xml:space="preserve"> vidéo faisant </w:t>
      </w:r>
      <w:r w:rsidR="00405921">
        <w:t xml:space="preserve">une </w:t>
      </w:r>
      <w:r>
        <w:t>analogie avec une tasse de thé. Il a suivi cette formation</w:t>
      </w:r>
      <w:r w:rsidR="003A537F">
        <w:t xml:space="preserve"> annuellement,</w:t>
      </w:r>
      <w:r>
        <w:t xml:space="preserve"> lors des deux années </w:t>
      </w:r>
      <w:r w:rsidR="003A537F">
        <w:t>où il</w:t>
      </w:r>
      <w:r>
        <w:t xml:space="preserve"> a joué pour cette équipe.</w:t>
      </w:r>
    </w:p>
    <w:p w14:paraId="67762BD9" w14:textId="0ECDA421" w:rsidR="00B65CC1" w:rsidRDefault="00B65CC1" w:rsidP="00D90F35">
      <w:pPr>
        <w:pStyle w:val="Paragraphe"/>
        <w:keepLines/>
        <w:spacing w:line="240" w:lineRule="auto"/>
      </w:pPr>
      <w:r>
        <w:t>Massimo Siciliano témoigne de la réalité et du quotidien des joueurs durant la pandémie de COVID-19.</w:t>
      </w:r>
      <w:r w:rsidR="00967041">
        <w:t xml:space="preserve"> Il produit différentes lettres d’appui provenant de personnes l’ayant accompagné </w:t>
      </w:r>
      <w:r w:rsidR="00B7224F">
        <w:t>durant cette période de sa vie</w:t>
      </w:r>
      <w:r w:rsidR="00967041">
        <w:rPr>
          <w:rStyle w:val="Appelnotedebasdep"/>
        </w:rPr>
        <w:footnoteReference w:id="11"/>
      </w:r>
      <w:r w:rsidR="00967041">
        <w:t>.</w:t>
      </w:r>
    </w:p>
    <w:p w14:paraId="35B1661C" w14:textId="725BD591" w:rsidR="00967041" w:rsidRDefault="00967041" w:rsidP="00D90F35">
      <w:pPr>
        <w:pStyle w:val="Paragraphe"/>
        <w:keepLines/>
        <w:spacing w:line="240" w:lineRule="auto"/>
      </w:pPr>
      <w:r>
        <w:t>Il témoigne de l’impact du processus judiciaire et de sa médiatisation.</w:t>
      </w:r>
      <w:r w:rsidR="00E5028A">
        <w:t xml:space="preserve"> </w:t>
      </w:r>
      <w:r w:rsidR="006569C4">
        <w:t>Étant donné que sa vie tourne autour du hockey, son monde s’écroule. Ce grand choc entraîne une perte d’intérêt. Il s</w:t>
      </w:r>
      <w:r w:rsidR="00DB0A6A">
        <w:t>e</w:t>
      </w:r>
      <w:r w:rsidR="006569C4">
        <w:t xml:space="preserve"> fait intimider à son retour au Cégep et </w:t>
      </w:r>
      <w:r w:rsidR="00DB0A6A">
        <w:t>reçoit</w:t>
      </w:r>
      <w:r w:rsidR="006569C4">
        <w:t xml:space="preserve"> des menaces de mort. </w:t>
      </w:r>
      <w:r w:rsidR="00E5028A">
        <w:t xml:space="preserve">Ses parents et son frère se </w:t>
      </w:r>
      <w:r w:rsidR="00DB0A6A">
        <w:t>f</w:t>
      </w:r>
      <w:r w:rsidR="00E5028A">
        <w:t>ont déranger à leur travail</w:t>
      </w:r>
      <w:r w:rsidR="006569C4">
        <w:t>.</w:t>
      </w:r>
    </w:p>
    <w:p w14:paraId="35F48277" w14:textId="12C508AD" w:rsidR="006569C4" w:rsidRDefault="006569C4" w:rsidP="00D90F35">
      <w:pPr>
        <w:pStyle w:val="Paragraphe"/>
        <w:keepLines/>
        <w:spacing w:line="240" w:lineRule="auto"/>
      </w:pPr>
      <w:r>
        <w:t>Il accepte la trame factuelle sans réserve.</w:t>
      </w:r>
      <w:r w:rsidR="00DA213B">
        <w:t xml:space="preserve"> Il décrit sa conduite comme immature. Il déclare qu’il n’a pas pensé aux autres et qu’il n’a pensé qu’à lui. Il se sent terriblement mal face à la victime et à la famille de cette dernière qui ont subi de lourdes conséquences. Il a de la difficulté à accepter les lourdes conséquences vécues également par sa famille.</w:t>
      </w:r>
    </w:p>
    <w:p w14:paraId="36EF8642" w14:textId="06867B91" w:rsidR="002C3299" w:rsidRDefault="0045736D" w:rsidP="001A264A">
      <w:pPr>
        <w:pStyle w:val="Paragraphe"/>
        <w:keepLines/>
        <w:spacing w:line="240" w:lineRule="auto"/>
      </w:pPr>
      <w:r>
        <w:t>Cette expérience, qu’il qualifie de pire de toute sa vie, constitue une leçon pour lui. Il déclare qu’on ne le reverra plus devant les tribunaux en matière criminelle. Il affirme s’assurer dorénavant du consentement, en ajoutant qu’il « n’accepte plus l’ambiguïté ».</w:t>
      </w:r>
    </w:p>
    <w:p w14:paraId="0B4FE6C0" w14:textId="39EEACE2" w:rsidR="0045736D" w:rsidRDefault="0045736D" w:rsidP="00D90F35">
      <w:pPr>
        <w:pStyle w:val="Paragraphe"/>
        <w:keepLines/>
        <w:spacing w:line="240" w:lineRule="auto"/>
      </w:pPr>
      <w:r>
        <w:t>Il exprime des remords et se dit sincèrement désolé face à la victime et sa famille.</w:t>
      </w:r>
    </w:p>
    <w:p w14:paraId="6890FD53" w14:textId="39FF4983" w:rsidR="00F13067" w:rsidRDefault="00F13067" w:rsidP="00D90F35">
      <w:pPr>
        <w:pStyle w:val="Paragraphe"/>
        <w:keepLines/>
        <w:spacing w:line="240" w:lineRule="auto"/>
      </w:pPr>
      <w:r>
        <w:lastRenderedPageBreak/>
        <w:t>Le témoin suivant est Marc-André Lamontagne. Il est psychologue et témoigne à titre de témoin</w:t>
      </w:r>
      <w:r w:rsidR="00BE3356">
        <w:t xml:space="preserve"> </w:t>
      </w:r>
      <w:r>
        <w:t xml:space="preserve">expert en évaluation et gestion de risque de récidive criminelle. Il </w:t>
      </w:r>
      <w:r w:rsidR="00C95817">
        <w:t xml:space="preserve">a de </w:t>
      </w:r>
      <w:r>
        <w:t>nombreuses qualifications et possède une expertise en matière de délinquance sexuelle. Il rencontre Massimo Siciliano à la demande de son avocat.</w:t>
      </w:r>
    </w:p>
    <w:p w14:paraId="6C8CE2DA" w14:textId="7E263C2E" w:rsidR="00F13067" w:rsidRDefault="00F13067" w:rsidP="00D90F35">
      <w:pPr>
        <w:pStyle w:val="Paragraphe"/>
        <w:keepLines/>
        <w:spacing w:line="240" w:lineRule="auto"/>
      </w:pPr>
      <w:r>
        <w:t>Il utilise une approche actuarielle pour évaluer M. Siciliano, approche qu’il considère la plus probante au niveau scientifique.</w:t>
      </w:r>
      <w:r w:rsidR="007A7609">
        <w:t xml:space="preserve"> L’historique sexuel de M. Siciliano est sans particularités. Au niveau de sa personnalité, Massimo Siciliano présente certaines caractéristiques s’apparentant à des traits narcissiques</w:t>
      </w:r>
      <w:r w:rsidR="00BE3356">
        <w:t>,</w:t>
      </w:r>
      <w:r w:rsidR="007A7609">
        <w:t xml:space="preserve"> mais l’expert considère qu’il semble plutôt adapté.</w:t>
      </w:r>
      <w:r w:rsidR="00687ADE">
        <w:t xml:space="preserve"> L’expertisé se soucie de son image</w:t>
      </w:r>
      <w:r w:rsidR="00BE3356">
        <w:t>,</w:t>
      </w:r>
      <w:r w:rsidR="00687ADE">
        <w:t xml:space="preserve"> mais cette tendance n’est pas suffisamment marquée pour démontrer des problèmes significatifs. </w:t>
      </w:r>
      <w:r w:rsidR="007A7609">
        <w:t>En fonction des différents outils d’évaluation utilisés, le risque de récidive est considéré comme soit très faible ou en bas de la moyenne. Le niveau de risque de récidive sexuel standardisé est considéré sous la moyenne des délinquants sexuels.</w:t>
      </w:r>
      <w:r w:rsidR="0044562B">
        <w:t xml:space="preserve"> Compte tenu de son âge, l’expert mentionne que Massimo Siciliano ne peut obtenir un risque de récidive plus faible.</w:t>
      </w:r>
    </w:p>
    <w:p w14:paraId="5B0CAAFD" w14:textId="0EFEEF1B" w:rsidR="00687ADE" w:rsidRDefault="00687ADE" w:rsidP="00D90F35">
      <w:pPr>
        <w:pStyle w:val="Paragraphe"/>
        <w:keepLines/>
        <w:spacing w:line="240" w:lineRule="auto"/>
      </w:pPr>
      <w:r>
        <w:t>Au final, l’expert identifie peu de facteurs de risque</w:t>
      </w:r>
      <w:r w:rsidR="0044562B">
        <w:t xml:space="preserve"> et n’identifie pas de facteurs indiquant un risque de récidive à long terme. </w:t>
      </w:r>
    </w:p>
    <w:p w14:paraId="4513F0E7" w14:textId="348BACF9" w:rsidR="0044562B" w:rsidRPr="001F6FF0" w:rsidRDefault="007A7609" w:rsidP="00D90F35">
      <w:pPr>
        <w:pStyle w:val="Paragraphe"/>
        <w:keepLines/>
        <w:spacing w:line="240" w:lineRule="auto"/>
      </w:pPr>
      <w:r>
        <w:t>L’expert</w:t>
      </w:r>
      <w:r w:rsidR="0044562B">
        <w:t xml:space="preserve"> recommande néanmoins un suivi spécialisé particulièrement sur la notion de consentement. Il estime également qu’une sensibilisation supplémentaire pourrait être souhaitable concernant la notion de célébrité et de rapport à l’autorité.</w:t>
      </w:r>
    </w:p>
    <w:p w14:paraId="4B71B2AC" w14:textId="0AE11B0D" w:rsidR="001F6FF0" w:rsidRPr="001F6FF0" w:rsidRDefault="0044562B" w:rsidP="00D90F35">
      <w:pPr>
        <w:keepLines/>
        <w:spacing w:before="120" w:after="120"/>
        <w:jc w:val="both"/>
        <w:rPr>
          <w:b/>
          <w:bCs/>
          <w:kern w:val="28"/>
        </w:rPr>
      </w:pPr>
      <w:r>
        <w:rPr>
          <w:b/>
          <w:bCs/>
          <w:kern w:val="28"/>
        </w:rPr>
        <w:t>3</w:t>
      </w:r>
      <w:r w:rsidR="00E418AD" w:rsidRPr="001F6FF0">
        <w:rPr>
          <w:b/>
          <w:bCs/>
          <w:kern w:val="28"/>
        </w:rPr>
        <w:t>.</w:t>
      </w:r>
      <w:r w:rsidR="00E418AD" w:rsidRPr="001F6FF0">
        <w:rPr>
          <w:b/>
          <w:bCs/>
          <w:kern w:val="28"/>
        </w:rPr>
        <w:tab/>
      </w:r>
      <w:r w:rsidR="00E418AD" w:rsidRPr="001F6FF0">
        <w:rPr>
          <w:b/>
          <w:bCs/>
          <w:kern w:val="28"/>
          <w:u w:val="single"/>
        </w:rPr>
        <w:t>POSITIONS DES PARTIES</w:t>
      </w:r>
    </w:p>
    <w:p w14:paraId="63E0503E" w14:textId="294EB04A" w:rsidR="001F6FF0" w:rsidRPr="001F6FF0" w:rsidRDefault="0044562B" w:rsidP="00D90F35">
      <w:pPr>
        <w:keepLines/>
        <w:spacing w:before="120" w:after="120"/>
        <w:ind w:firstLine="734"/>
        <w:jc w:val="both"/>
        <w:rPr>
          <w:b/>
          <w:kern w:val="28"/>
        </w:rPr>
      </w:pPr>
      <w:r>
        <w:rPr>
          <w:b/>
          <w:kern w:val="28"/>
        </w:rPr>
        <w:t>3</w:t>
      </w:r>
      <w:r w:rsidR="00E418AD" w:rsidRPr="001F6FF0">
        <w:rPr>
          <w:b/>
          <w:kern w:val="28"/>
        </w:rPr>
        <w:t>.1</w:t>
      </w:r>
      <w:r w:rsidR="00E418AD" w:rsidRPr="001F6FF0">
        <w:rPr>
          <w:b/>
          <w:kern w:val="28"/>
        </w:rPr>
        <w:tab/>
        <w:t>Le poursuivant</w:t>
      </w:r>
    </w:p>
    <w:p w14:paraId="61759D02" w14:textId="68987005" w:rsidR="00FA3002" w:rsidRPr="00CD511D" w:rsidRDefault="00E418AD" w:rsidP="008D1CE1">
      <w:pPr>
        <w:pStyle w:val="Paragraphe"/>
        <w:spacing w:line="240" w:lineRule="auto"/>
      </w:pPr>
      <w:r w:rsidRPr="001F6FF0">
        <w:t xml:space="preserve">Le poursuivant </w:t>
      </w:r>
      <w:r w:rsidR="001115CC">
        <w:t>souligne la gravité des gestes commis et</w:t>
      </w:r>
      <w:r w:rsidRPr="001F6FF0">
        <w:t xml:space="preserve"> la présence de plusieurs facteurs aggravants </w:t>
      </w:r>
      <w:r w:rsidR="001115CC">
        <w:t xml:space="preserve">dans cette affaire, dont la dimension collective de l’agression sexuelle, </w:t>
      </w:r>
      <w:r w:rsidR="00F64C6F">
        <w:t>le niveau d’atteinte à l’intégrité physique et sexuelle de la victime, l’influence significative exercée sur la victime, la vulnérabilité de celle-ci ainsi que les conséquences importantes subies par la victime</w:t>
      </w:r>
      <w:r w:rsidRPr="001F6FF0">
        <w:t xml:space="preserve">. </w:t>
      </w:r>
      <w:r w:rsidR="00F64C6F">
        <w:t>Le poursuivant insiste que les objectifs de dénonciation et de dissuasion doivent être priorisés dans un tel cas. L</w:t>
      </w:r>
      <w:r w:rsidR="00C46E93">
        <w:t xml:space="preserve">e poursuivant estime que les gestes commis correspondent à la deuxième catégorie de peines infligées en matière d’agression sexuelle, selon les fourchettes établies dans l’affaire </w:t>
      </w:r>
      <w:r w:rsidR="00C46E93" w:rsidRPr="00B96B4A">
        <w:rPr>
          <w:i/>
          <w:iCs/>
        </w:rPr>
        <w:t>Cloutier</w:t>
      </w:r>
      <w:r w:rsidR="00C46E93">
        <w:rPr>
          <w:rStyle w:val="Appelnotedebasdep"/>
        </w:rPr>
        <w:footnoteReference w:id="12"/>
      </w:r>
      <w:r w:rsidR="00C46E93">
        <w:t>, reconnues par la Cour d’appel du Québec</w:t>
      </w:r>
      <w:r w:rsidR="00C46E93">
        <w:rPr>
          <w:rStyle w:val="Appelnotedebasdep"/>
        </w:rPr>
        <w:footnoteReference w:id="13"/>
      </w:r>
      <w:r w:rsidR="00C46E93">
        <w:t>.</w:t>
      </w:r>
      <w:r w:rsidR="00C46E93" w:rsidRPr="001F6FF0">
        <w:t xml:space="preserve"> </w:t>
      </w:r>
      <w:r w:rsidRPr="001F6FF0">
        <w:t xml:space="preserve">De façon plus précise, </w:t>
      </w:r>
      <w:r w:rsidR="00C46E93">
        <w:t>le poursuivant réclame l’i</w:t>
      </w:r>
      <w:r w:rsidR="00EB6564">
        <w:t>nflic</w:t>
      </w:r>
      <w:r w:rsidR="00C46E93">
        <w:t>tion d’une peine de 36 mois de détention pour le chef d’agression sexuelle, autant pour Massimo Siciliano que pour Nicolas Daigle. Par ailleurs</w:t>
      </w:r>
      <w:r w:rsidR="00853534">
        <w:t>, l</w:t>
      </w:r>
      <w:r w:rsidR="00C46E93">
        <w:t>e poursuivant</w:t>
      </w:r>
      <w:r w:rsidR="00853534">
        <w:t xml:space="preserve"> suggère qu’une peine de 6 mois de détention soit i</w:t>
      </w:r>
      <w:r w:rsidR="00EB6564">
        <w:t>nflig</w:t>
      </w:r>
      <w:r w:rsidR="00853534">
        <w:t xml:space="preserve">ée à Nicolas Daigle, tant sur le chef de production subreptice d’un enregistrement que </w:t>
      </w:r>
      <w:r w:rsidR="00A6498A">
        <w:t>sur le</w:t>
      </w:r>
      <w:r w:rsidR="00853534">
        <w:t xml:space="preserve"> chef d’avoir rendu accessible cet enregistrement, à purger de manière consécutive à la peine i</w:t>
      </w:r>
      <w:r w:rsidR="00EB6564">
        <w:t>nflig</w:t>
      </w:r>
      <w:r w:rsidR="00853534">
        <w:t xml:space="preserve">ée pour l’agression sexuelle. </w:t>
      </w:r>
      <w:r w:rsidR="00FA3002">
        <w:t xml:space="preserve">Afin de respecter les principes de totalité et de modération, le poursuivant </w:t>
      </w:r>
      <w:r w:rsidR="00FA3002">
        <w:lastRenderedPageBreak/>
        <w:t>suggère d’i</w:t>
      </w:r>
      <w:r w:rsidR="00EB6564">
        <w:t>nflig</w:t>
      </w:r>
      <w:r w:rsidR="00FA3002">
        <w:t>er une peine</w:t>
      </w:r>
      <w:r w:rsidR="00853534">
        <w:t xml:space="preserve"> </w:t>
      </w:r>
      <w:r w:rsidR="00FA3002">
        <w:t xml:space="preserve">globale de 39 à 42 mois de détention à Nicolas Daigle. </w:t>
      </w:r>
      <w:r w:rsidRPr="001F6FF0">
        <w:t xml:space="preserve">Le poursuivant </w:t>
      </w:r>
      <w:r w:rsidR="00FA3002">
        <w:t>considère</w:t>
      </w:r>
      <w:r w:rsidRPr="001F6FF0">
        <w:t xml:space="preserve"> que </w:t>
      </w:r>
      <w:r w:rsidR="00FA3002">
        <w:t>les</w:t>
      </w:r>
      <w:r w:rsidRPr="001F6FF0">
        <w:t xml:space="preserve"> peine</w:t>
      </w:r>
      <w:r w:rsidR="00FA3002">
        <w:t>s proposées sont</w:t>
      </w:r>
      <w:r w:rsidRPr="001F6FF0">
        <w:t xml:space="preserve"> proportionnelle</w:t>
      </w:r>
      <w:r w:rsidR="00FA3002">
        <w:t>s</w:t>
      </w:r>
      <w:r w:rsidRPr="001F6FF0">
        <w:t xml:space="preserve"> à la gravité des crimes commis et au degré de culpabilité morale d</w:t>
      </w:r>
      <w:r w:rsidR="00FA3002">
        <w:t>es</w:t>
      </w:r>
      <w:r w:rsidRPr="001F6FF0">
        <w:t xml:space="preserve"> délinquant</w:t>
      </w:r>
      <w:r w:rsidR="00FA3002">
        <w:t>s</w:t>
      </w:r>
      <w:r w:rsidRPr="001F6FF0">
        <w:t xml:space="preserve">, en plus de refléter la compréhension actuelle des </w:t>
      </w:r>
      <w:r w:rsidR="00FA3002">
        <w:t>torts causés par des</w:t>
      </w:r>
      <w:r w:rsidRPr="001F6FF0">
        <w:t xml:space="preserve"> crimes</w:t>
      </w:r>
      <w:r w:rsidR="00FA3002">
        <w:t xml:space="preserve"> d’ordre</w:t>
      </w:r>
      <w:r w:rsidRPr="001F6FF0">
        <w:t xml:space="preserve"> sexuels.</w:t>
      </w:r>
      <w:r w:rsidR="00A5720E">
        <w:t xml:space="preserve"> Il soutient que certaines ordonnances obligatoires doivent être rendues, dont celle concernant le registre des délinquants sexuels.</w:t>
      </w:r>
    </w:p>
    <w:p w14:paraId="7275DC67" w14:textId="2D1388D8" w:rsidR="001F6FF0" w:rsidRPr="001F6FF0" w:rsidRDefault="0044562B" w:rsidP="00D90F35">
      <w:pPr>
        <w:keepLines/>
        <w:spacing w:before="120" w:after="120"/>
        <w:ind w:firstLine="734"/>
        <w:jc w:val="both"/>
        <w:rPr>
          <w:b/>
          <w:kern w:val="28"/>
        </w:rPr>
      </w:pPr>
      <w:r>
        <w:rPr>
          <w:b/>
          <w:kern w:val="28"/>
        </w:rPr>
        <w:t>3</w:t>
      </w:r>
      <w:r w:rsidR="00E418AD" w:rsidRPr="001F6FF0">
        <w:rPr>
          <w:b/>
          <w:kern w:val="28"/>
        </w:rPr>
        <w:t>.2</w:t>
      </w:r>
      <w:r w:rsidR="00E418AD" w:rsidRPr="001F6FF0">
        <w:rPr>
          <w:b/>
          <w:kern w:val="28"/>
        </w:rPr>
        <w:tab/>
        <w:t>La défense</w:t>
      </w:r>
    </w:p>
    <w:p w14:paraId="0AC375B8" w14:textId="64BFF811" w:rsidR="0025115D" w:rsidRDefault="0025115D" w:rsidP="00D90F35">
      <w:pPr>
        <w:pStyle w:val="Paragraphe"/>
        <w:keepLines/>
        <w:spacing w:line="240" w:lineRule="auto"/>
      </w:pPr>
      <w:r>
        <w:t xml:space="preserve">Les deux co-accusés estiment que les faits reprochés correspondent </w:t>
      </w:r>
      <w:r w:rsidR="000D2144">
        <w:t xml:space="preserve">plutôt </w:t>
      </w:r>
      <w:r>
        <w:t>à la première catégorie de peines infligées en matière d’agression sexuelle, selon</w:t>
      </w:r>
      <w:r w:rsidR="005B25C9">
        <w:t xml:space="preserve"> les fourchettes établies dans l’affaire </w:t>
      </w:r>
      <w:r w:rsidR="005B25C9" w:rsidRPr="00B96B4A">
        <w:rPr>
          <w:i/>
          <w:iCs/>
        </w:rPr>
        <w:t>Cloutier</w:t>
      </w:r>
      <w:r w:rsidR="005B25C9">
        <w:rPr>
          <w:rStyle w:val="Appelnotedebasdep"/>
        </w:rPr>
        <w:footnoteReference w:id="14"/>
      </w:r>
      <w:r w:rsidR="005B25C9">
        <w:t>.</w:t>
      </w:r>
    </w:p>
    <w:p w14:paraId="2E95473E" w14:textId="2A03914D" w:rsidR="001F6FF0" w:rsidRPr="001F6FF0" w:rsidRDefault="0011451B" w:rsidP="00D90F35">
      <w:pPr>
        <w:pStyle w:val="Paragraphe"/>
        <w:keepLines/>
        <w:spacing w:line="240" w:lineRule="auto"/>
      </w:pPr>
      <w:r>
        <w:t>Nicolas Daigle, par la voix de ses procureurs, réclame une peine de détention à purger dans la collectivité.</w:t>
      </w:r>
      <w:r w:rsidR="00A84A83">
        <w:t xml:space="preserve"> Il souligne le caractère punitif d’une telle peine, qui rencontre les principes d’individualisation et de proportionnalité. Il soutient que la grande médiatisation du dossier ne constitue</w:t>
      </w:r>
      <w:r w:rsidR="006C4236">
        <w:t xml:space="preserve"> pas</w:t>
      </w:r>
      <w:r w:rsidR="00A84A83">
        <w:t xml:space="preserve"> une circonstance </w:t>
      </w:r>
      <w:r w:rsidR="00AE7662">
        <w:t>atténuante</w:t>
      </w:r>
      <w:r w:rsidR="00A84A83">
        <w:t xml:space="preserve"> en soi</w:t>
      </w:r>
      <w:r w:rsidR="006C4236">
        <w:t>,</w:t>
      </w:r>
      <w:r w:rsidR="00A84A83">
        <w:t xml:space="preserve"> mais devrait néanmoins être considérée à titre de facteur pertinent.</w:t>
      </w:r>
      <w:r w:rsidR="001750BC">
        <w:t xml:space="preserve"> Il soumet que l’objectif de dissuasion spécifique est acquis et que la réinsertion sociale est déjà bien amorcée. Le quantum de la peine de détention à purger dans la collectivité est laissé à la discrétion du Tribunal, tout en soulignant qu’elle pourrait être assortie d’une probation avec suivi ainsi que l’imposition de services communautaires et/ou d’un don. L’ordonnance de se soumettre au registre des délinquants sexuels ne devrait pas s’appliquer.</w:t>
      </w:r>
    </w:p>
    <w:p w14:paraId="2831ABA8" w14:textId="72C16CA8" w:rsidR="002C3299" w:rsidRPr="001F6FF0" w:rsidRDefault="005C73B0" w:rsidP="001A264A">
      <w:pPr>
        <w:pStyle w:val="Paragraphe"/>
        <w:keepLines/>
        <w:spacing w:line="240" w:lineRule="auto"/>
      </w:pPr>
      <w:r>
        <w:t>Massimo Siciliano, par la voix de son procureur, insiste sur le principe d’individualisation de la peine</w:t>
      </w:r>
      <w:r w:rsidR="00E418AD" w:rsidRPr="001F6FF0">
        <w:t>.</w:t>
      </w:r>
      <w:r>
        <w:t xml:space="preserve"> Bien qu’il reconnaisse que les objectifs de dénonciation et de dissuasion doivent primer en l’espèce, il soutien</w:t>
      </w:r>
      <w:r w:rsidR="00A900A5">
        <w:t>t</w:t>
      </w:r>
      <w:r>
        <w:t xml:space="preserve"> que l’objectif de réinsertion sociale ne doit pas être écarté pour autant. De plus</w:t>
      </w:r>
      <w:r w:rsidR="0011451B">
        <w:t xml:space="preserve">, il souligne le principe de modération face à un délinquant primaire. Il énonce la présence de plusieurs facteurs atténuants qu’il identifie. </w:t>
      </w:r>
      <w:r>
        <w:t>Il suggère l’i</w:t>
      </w:r>
      <w:r w:rsidR="00EB6564">
        <w:t>nflic</w:t>
      </w:r>
      <w:r>
        <w:t xml:space="preserve">tion d’une peine de trois à six mois de détention, à purger dans la collectivité, assortie d’une ordonnance de probation avec suivi comportant l’imposition de services communautaires et d’un don. Il ne propose aucune ordonnance en vertu de la </w:t>
      </w:r>
      <w:r w:rsidRPr="00C922B5">
        <w:rPr>
          <w:i/>
          <w:iCs/>
        </w:rPr>
        <w:t>Loi sur l’enregistrement de renseignements sur les délinquants sexuels</w:t>
      </w:r>
      <w:r>
        <w:t>.</w:t>
      </w:r>
    </w:p>
    <w:p w14:paraId="6BF92BE4" w14:textId="30C0ADC5" w:rsidR="001F6FF0" w:rsidRPr="00393B17" w:rsidRDefault="0044562B" w:rsidP="00D90F35">
      <w:pPr>
        <w:keepNext/>
        <w:keepLines/>
        <w:spacing w:before="120" w:after="120"/>
        <w:outlineLvl w:val="0"/>
        <w:rPr>
          <w:b/>
          <w:kern w:val="28"/>
          <w:szCs w:val="24"/>
        </w:rPr>
      </w:pPr>
      <w:r>
        <w:rPr>
          <w:b/>
          <w:kern w:val="28"/>
          <w:szCs w:val="24"/>
        </w:rPr>
        <w:t>4</w:t>
      </w:r>
      <w:r w:rsidR="00E418AD" w:rsidRPr="001F6FF0">
        <w:rPr>
          <w:b/>
          <w:kern w:val="28"/>
          <w:szCs w:val="24"/>
        </w:rPr>
        <w:t>.</w:t>
      </w:r>
      <w:r w:rsidR="00E418AD" w:rsidRPr="001F6FF0">
        <w:rPr>
          <w:b/>
          <w:kern w:val="28"/>
          <w:szCs w:val="24"/>
        </w:rPr>
        <w:tab/>
      </w:r>
      <w:r w:rsidR="00E418AD" w:rsidRPr="001F6FF0">
        <w:rPr>
          <w:b/>
          <w:kern w:val="28"/>
          <w:szCs w:val="24"/>
          <w:u w:val="single"/>
        </w:rPr>
        <w:t>ANALYSE</w:t>
      </w:r>
    </w:p>
    <w:p w14:paraId="47B017CC" w14:textId="647A34FF" w:rsidR="001F6FF0" w:rsidRPr="001F6FF0" w:rsidRDefault="00E418AD" w:rsidP="00D90F35">
      <w:pPr>
        <w:keepLines/>
        <w:spacing w:before="120" w:after="120"/>
        <w:ind w:left="1468" w:hanging="734"/>
        <w:jc w:val="both"/>
        <w:rPr>
          <w:b/>
          <w:bCs/>
          <w:kern w:val="28"/>
        </w:rPr>
      </w:pPr>
      <w:r w:rsidRPr="001F6FF0">
        <w:rPr>
          <w:b/>
          <w:bCs/>
          <w:kern w:val="28"/>
        </w:rPr>
        <w:t>A)</w:t>
      </w:r>
      <w:r w:rsidRPr="001F6FF0">
        <w:rPr>
          <w:b/>
          <w:bCs/>
          <w:kern w:val="28"/>
        </w:rPr>
        <w:tab/>
        <w:t>Objectifs</w:t>
      </w:r>
      <w:r w:rsidR="00FE483E">
        <w:rPr>
          <w:b/>
          <w:bCs/>
          <w:kern w:val="28"/>
        </w:rPr>
        <w:t>,</w:t>
      </w:r>
      <w:r w:rsidRPr="001F6FF0">
        <w:rPr>
          <w:b/>
          <w:bCs/>
          <w:kern w:val="28"/>
        </w:rPr>
        <w:t xml:space="preserve"> principes</w:t>
      </w:r>
      <w:r w:rsidR="00FE483E">
        <w:rPr>
          <w:b/>
          <w:bCs/>
          <w:kern w:val="28"/>
        </w:rPr>
        <w:t xml:space="preserve"> et facteurs</w:t>
      </w:r>
      <w:r w:rsidRPr="001F6FF0">
        <w:rPr>
          <w:b/>
          <w:bCs/>
          <w:kern w:val="28"/>
        </w:rPr>
        <w:t xml:space="preserve"> applicables en matière de détermination de la peine</w:t>
      </w:r>
    </w:p>
    <w:p w14:paraId="498DC693" w14:textId="726FBC19" w:rsidR="001F6FF0" w:rsidRPr="001F6FF0" w:rsidRDefault="00E418AD" w:rsidP="001A264A">
      <w:pPr>
        <w:pStyle w:val="Paragraphe"/>
        <w:spacing w:line="240" w:lineRule="auto"/>
      </w:pPr>
      <w:r w:rsidRPr="001F6FF0">
        <w:t>Le processus d</w:t>
      </w:r>
      <w:r w:rsidR="00EB6564">
        <w:t>e détermination</w:t>
      </w:r>
      <w:r w:rsidRPr="001F6FF0">
        <w:t xml:space="preserve"> de la peine n’est pas une science exacte</w:t>
      </w:r>
      <w:r w:rsidR="00393B17">
        <w:t>,</w:t>
      </w:r>
      <w:r w:rsidRPr="001F6FF0">
        <w:t xml:space="preserve"> mais plutôt un art délicat</w:t>
      </w:r>
      <w:r>
        <w:rPr>
          <w:vertAlign w:val="superscript"/>
        </w:rPr>
        <w:footnoteReference w:id="15"/>
      </w:r>
      <w:r w:rsidRPr="001F6FF0">
        <w:t>. Elle est l’une des tâches les plus difficiles et les plus délicates de la fonction judiciaire. Trouver et appliquer la norme la plus juste et la plus équitable pour l</w:t>
      </w:r>
      <w:r w:rsidR="000D2144">
        <w:t>es co-</w:t>
      </w:r>
      <w:r w:rsidRPr="001F6FF0">
        <w:t>accusé</w:t>
      </w:r>
      <w:r w:rsidR="000D2144">
        <w:t>s</w:t>
      </w:r>
      <w:r w:rsidRPr="001F6FF0">
        <w:t xml:space="preserve">, tout en manifestant la réprobation sociale adéquate et en assurant la </w:t>
      </w:r>
      <w:r w:rsidRPr="001F6FF0">
        <w:lastRenderedPageBreak/>
        <w:t>protection de la société est un exercice de pondération complexe puisqu’il tend à assurer un équilibre entre des valeurs qui, sans s’opposer, visent des objectifs différents</w:t>
      </w:r>
      <w:r>
        <w:rPr>
          <w:rFonts w:cs="Arial"/>
          <w:color w:val="000000"/>
          <w:vertAlign w:val="superscript"/>
        </w:rPr>
        <w:footnoteReference w:id="16"/>
      </w:r>
      <w:r w:rsidRPr="001F6FF0">
        <w:t xml:space="preserve">. L’analyse est discrétionnaire et dépendra souvent de variables subjectives. </w:t>
      </w:r>
    </w:p>
    <w:p w14:paraId="5F07CA98" w14:textId="77777777" w:rsidR="001F6FF0" w:rsidRPr="001F6FF0" w:rsidRDefault="00E418AD" w:rsidP="00D90F35">
      <w:pPr>
        <w:pStyle w:val="Paragraphe"/>
        <w:keepLines/>
        <w:spacing w:line="240" w:lineRule="auto"/>
      </w:pPr>
      <w:r w:rsidRPr="001F6FF0">
        <w:t>La peine vise à la fois des objectifs punitifs et curatifs. Il s’agit d’un processus « intrinsèquement individualisé »</w:t>
      </w:r>
      <w:r>
        <w:rPr>
          <w:vertAlign w:val="superscript"/>
        </w:rPr>
        <w:footnoteReference w:id="17"/>
      </w:r>
      <w:r w:rsidRPr="001F6FF0">
        <w:t>. Le Tribunal ne punit pas un crime, mais bien la personne qui l’a commis. Lors de cet exercice délicat, il faut pondérer différents facteurs qui reflètent tant la gravité objective du crime commis que sa gravité subjective</w:t>
      </w:r>
      <w:r>
        <w:rPr>
          <w:vertAlign w:val="superscript"/>
        </w:rPr>
        <w:footnoteReference w:id="18"/>
      </w:r>
      <w:r w:rsidRPr="001F6FF0">
        <w:t>. Le Tribunal doit notamment tenir compte de la protection de la société, de la dénonciation, de la dissuasion et de la réhabilitation du contrevenant. Tel que l’enseigne la Cour suprême du Canada, la peine ne doit jamais être l’expression d’une vengeance</w:t>
      </w:r>
      <w:r>
        <w:rPr>
          <w:vertAlign w:val="superscript"/>
        </w:rPr>
        <w:footnoteReference w:id="19"/>
      </w:r>
      <w:r w:rsidR="00393B17">
        <w:t> </w:t>
      </w:r>
      <w:r w:rsidRPr="001F6FF0">
        <w:t>:</w:t>
      </w:r>
    </w:p>
    <w:p w14:paraId="48F41737" w14:textId="77777777" w:rsidR="001F6FF0" w:rsidRPr="001F6FF0" w:rsidRDefault="00E418AD" w:rsidP="00D90F35">
      <w:pPr>
        <w:pStyle w:val="Citationenretrait"/>
        <w:keepLines/>
      </w:pPr>
      <w:r>
        <w:t>[80]  […] </w:t>
      </w:r>
      <w:r w:rsidRPr="001F6FF0">
        <w:t xml:space="preserve">En contexte criminel, par contraste, le châtiment se traduit par la détermination objective, raisonnée et mesurée d’une peine appropriée, reflétant adéquatement la </w:t>
      </w:r>
      <w:r w:rsidRPr="00033163">
        <w:rPr>
          <w:u w:val="single"/>
        </w:rPr>
        <w:t>culpabilité morale</w:t>
      </w:r>
      <w:r w:rsidRPr="001F6FF0">
        <w:t xml:space="preserve"> du délinquant, compte tenu des risques pris intentionnellement par le contrevenant, du préjudice qu’il a causé en conséquence et du caractère normatif de sa conduite. De plus, contrairement à la vengeance, le châtiment intègre un principe de modération; en effet, le châtiment exige l’application d’une peine juste et appropriée, </w:t>
      </w:r>
      <w:r w:rsidRPr="00033163">
        <w:rPr>
          <w:u w:val="single"/>
        </w:rPr>
        <w:t>rien de plus</w:t>
      </w:r>
      <w:r w:rsidRPr="00033163">
        <w:t xml:space="preserve"> […]</w:t>
      </w:r>
      <w:r w:rsidRPr="001F6FF0">
        <w:t>.</w:t>
      </w:r>
    </w:p>
    <w:p w14:paraId="08C37F02" w14:textId="182FC39A" w:rsidR="00087341" w:rsidRDefault="00087341" w:rsidP="00D90F35">
      <w:pPr>
        <w:pStyle w:val="Paragraphe"/>
        <w:keepLines/>
        <w:spacing w:line="240" w:lineRule="auto"/>
      </w:pPr>
      <w:r>
        <w:t>La Cour suprême du Canada s’exprime ensuite ainsi :</w:t>
      </w:r>
    </w:p>
    <w:p w14:paraId="06C3C864" w14:textId="7554333E" w:rsidR="00087341" w:rsidRDefault="00087341" w:rsidP="008D1CE1">
      <w:pPr>
        <w:pStyle w:val="Citationenretrait"/>
      </w:pPr>
      <w:r>
        <w:t>[8</w:t>
      </w:r>
      <w:r w:rsidR="00950D84">
        <w:t>1</w:t>
      </w:r>
      <w:r>
        <w:t>]  […] </w:t>
      </w:r>
      <w:r w:rsidR="00950D84" w:rsidRPr="00950D84">
        <w:t>La pertinence du châtiment et de la réprobation en tant qu'objectifs de la détermination de la peine fait bien ressortir que notre système de justice pénale n'est pas simplement un vaste régime de sanctions négatives visant à empêcher les conduites objectivement préjudiciables en haussant le coût que doit supporter le contrevenant qui commet une infraction énumérée.  Notre droit criminel est également un système de valeurs.  La peine qui exprime la réprobation de la société est uniquement le moyen par lequel ces valeurs sont communiquées.  En résumé, en plus d'attacher des conséquences négatives aux comportements indésirables, les peines infligées par les tribunaux devraient également être infligées d'une manière propre à enseigner de manière positive la gamme fondamentale des valeurs communes que partagent l'ensemble des Canadiens et des Canadiennes et qui sont exprimées par le </w:t>
      </w:r>
      <w:r w:rsidR="00483061" w:rsidRPr="00482ED2">
        <w:rPr>
          <w:rFonts w:cs="Arial"/>
          <w:i/>
          <w:iCs/>
          <w:szCs w:val="22"/>
        </w:rPr>
        <w:t>Code criminel</w:t>
      </w:r>
      <w:r w:rsidRPr="007C5F9A">
        <w:t>.</w:t>
      </w:r>
    </w:p>
    <w:p w14:paraId="572B6555" w14:textId="19E8B14E" w:rsidR="001F6FF0" w:rsidRPr="001F6FF0" w:rsidRDefault="00E418AD" w:rsidP="00D90F35">
      <w:pPr>
        <w:pStyle w:val="Paragraphe"/>
        <w:keepLines/>
        <w:spacing w:line="240" w:lineRule="auto"/>
      </w:pPr>
      <w:r w:rsidRPr="001F6FF0">
        <w:t>Les principes et objectifs de la détermination de la peine se trouvent aux art</w:t>
      </w:r>
      <w:r w:rsidR="00E2797B">
        <w:t>icles</w:t>
      </w:r>
      <w:r w:rsidRPr="001F6FF0">
        <w:t xml:space="preserve"> 718 et suivants </w:t>
      </w:r>
      <w:r w:rsidR="002C5086">
        <w:t xml:space="preserve">du </w:t>
      </w:r>
      <w:r w:rsidR="002C5086" w:rsidRPr="002C5086">
        <w:rPr>
          <w:i/>
          <w:iCs/>
        </w:rPr>
        <w:t>Code criminel (</w:t>
      </w:r>
      <w:r w:rsidR="002C5086" w:rsidRPr="002C5086">
        <w:t>ci-après C.cr.</w:t>
      </w:r>
      <w:r w:rsidR="002C5086" w:rsidRPr="002C5086">
        <w:rPr>
          <w:i/>
          <w:iCs/>
        </w:rPr>
        <w:t>).</w:t>
      </w:r>
      <w:r w:rsidRPr="004B44A2">
        <w:t xml:space="preserve"> </w:t>
      </w:r>
      <w:r w:rsidRPr="001F6FF0">
        <w:t>Le prononcé de la peine a pour objectif essentiel de protéger la société et de contribuer au respect de la loi et au maintien d’une société juste, paisible et sûre par l’i</w:t>
      </w:r>
      <w:r w:rsidR="00EB6564">
        <w:t>nflic</w:t>
      </w:r>
      <w:r w:rsidRPr="001F6FF0">
        <w:t>tion d’une sanction juste visant à : dénoncer le comportement illégal et le tort causé aux victimes, dissuader le délinquant et quiconque de commettre des infractions, l’isoler au besoin, conscientiser celui-ci des torts qu’il a causés, tout en favorisant sa réinsertion sociale.</w:t>
      </w:r>
    </w:p>
    <w:p w14:paraId="36DB4B3E" w14:textId="77777777" w:rsidR="001F6FF0" w:rsidRPr="001F6FF0" w:rsidRDefault="00E418AD" w:rsidP="00D90F35">
      <w:pPr>
        <w:pStyle w:val="Paragraphe"/>
        <w:keepLines/>
        <w:spacing w:line="240" w:lineRule="auto"/>
      </w:pPr>
      <w:r w:rsidRPr="001F6FF0">
        <w:lastRenderedPageBreak/>
        <w:t xml:space="preserve">Le </w:t>
      </w:r>
      <w:r w:rsidR="00104EBA">
        <w:t>l</w:t>
      </w:r>
      <w:r w:rsidRPr="001F6FF0">
        <w:t xml:space="preserve">égislateur a prévu à l’article 718.1 C.cr. le principe fondamental en matière de détermination de la peine, qui prévoit que la peine doit être proportionnelle à la gravité des infractions commises et au degré de responsabilité morale du délinquant. </w:t>
      </w:r>
    </w:p>
    <w:p w14:paraId="15E24971" w14:textId="1063143A" w:rsidR="001F6FF0" w:rsidRDefault="00E418AD" w:rsidP="00D90F35">
      <w:pPr>
        <w:pStyle w:val="Paragraphe"/>
        <w:keepLines/>
        <w:spacing w:line="240" w:lineRule="auto"/>
      </w:pPr>
      <w:r w:rsidRPr="001F6FF0">
        <w:t xml:space="preserve">De plus, le </w:t>
      </w:r>
      <w:r w:rsidR="00104EBA">
        <w:t>l</w:t>
      </w:r>
      <w:r w:rsidRPr="001F6FF0">
        <w:t>égislateur a prévu à l’art</w:t>
      </w:r>
      <w:r w:rsidR="006C4236">
        <w:t>icle</w:t>
      </w:r>
      <w:r w:rsidRPr="001F6FF0">
        <w:t xml:space="preserve"> 718.01 C.cr. que le Tribunal qui impose une peine pour une infraction qui constitue un mauvais traitement à l’égard d’une personne âgée de moins de 18 ans accorde une attention particulière aux objectifs de dénonciation et de dissuasion d’un tel comportement.</w:t>
      </w:r>
    </w:p>
    <w:p w14:paraId="571F1851" w14:textId="4F3999A7" w:rsidR="008F58FB" w:rsidRPr="001F6FF0" w:rsidRDefault="008F58FB" w:rsidP="00D90F35">
      <w:pPr>
        <w:pStyle w:val="Paragraphe"/>
        <w:keepLines/>
        <w:spacing w:line="240" w:lineRule="auto"/>
      </w:pPr>
      <w:r>
        <w:t>Le législateur</w:t>
      </w:r>
      <w:r w:rsidR="004071E6">
        <w:t xml:space="preserve"> a également prévu à l’article 718.04 C.cr. que le Tribunal qui impose une peine pour une infraction qui constitue un mauvais traitement à l’égard d’une personne vulnérable, accorde une attention particulière aux objectifs de dénonciation et de dissuasion de l’agissement à l’origine de l’infraction.</w:t>
      </w:r>
    </w:p>
    <w:p w14:paraId="25282535" w14:textId="26D8CA0E" w:rsidR="001F6FF0" w:rsidRPr="001F6FF0" w:rsidRDefault="00E418AD" w:rsidP="00D90F35">
      <w:pPr>
        <w:pStyle w:val="Paragraphe"/>
        <w:keepLines/>
        <w:spacing w:line="240" w:lineRule="auto"/>
        <w:rPr>
          <w:lang w:eastAsia="fr-CA"/>
        </w:rPr>
      </w:pPr>
      <w:r w:rsidRPr="001F6FF0">
        <w:rPr>
          <w:lang w:eastAsia="fr-CA"/>
        </w:rPr>
        <w:t>La peine doit être adaptée aux circonstances aggravantes ou atténuantes liées à la perpétration du crime et à la situation personnelle de l'accusé (art</w:t>
      </w:r>
      <w:r w:rsidR="00E2797B">
        <w:rPr>
          <w:lang w:eastAsia="fr-CA"/>
        </w:rPr>
        <w:t>.</w:t>
      </w:r>
      <w:r w:rsidRPr="001F6FF0">
        <w:rPr>
          <w:lang w:eastAsia="fr-CA"/>
        </w:rPr>
        <w:t xml:space="preserve"> 718.2 a) C.cr.).</w:t>
      </w:r>
    </w:p>
    <w:p w14:paraId="10281BBA" w14:textId="77777777" w:rsidR="001F6FF0" w:rsidRPr="001F6FF0" w:rsidRDefault="00E418AD" w:rsidP="00D90F35">
      <w:pPr>
        <w:pStyle w:val="Paragraphe"/>
        <w:keepLines/>
        <w:spacing w:line="240" w:lineRule="auto"/>
      </w:pPr>
      <w:r w:rsidRPr="001F6FF0">
        <w:t xml:space="preserve">Au niveau des facteurs qui doivent être considérés par la Cour, le </w:t>
      </w:r>
      <w:r w:rsidR="00104EBA">
        <w:t>l</w:t>
      </w:r>
      <w:r w:rsidRPr="001F6FF0">
        <w:t>égislateur a prévu que constitue une circonstance aggravante la preuve que l’infraction perpétrée par le délinquant constitue un mauvais traitement à l’égard d’une personne âgée de moins de 18 ans (art. 718.2 a) (ii.1) C.cr.).</w:t>
      </w:r>
    </w:p>
    <w:p w14:paraId="6DBC6E42" w14:textId="77777777" w:rsidR="001F6FF0" w:rsidRPr="001F6FF0" w:rsidRDefault="00E418AD" w:rsidP="00D90F35">
      <w:pPr>
        <w:pStyle w:val="Paragraphe"/>
        <w:keepLines/>
        <w:spacing w:line="240" w:lineRule="auto"/>
      </w:pPr>
      <w:r>
        <w:t>Le l</w:t>
      </w:r>
      <w:r w:rsidRPr="001F6FF0">
        <w:t>égislateur a également prévu que constitue une circonstance aggravante la preuve que l’infraction perpétrée par le délinquant constitue un abus de la confiance de la victime ou un abus d’autorité à son égard (art. 718.2 a) (iii) C.cr.).</w:t>
      </w:r>
    </w:p>
    <w:p w14:paraId="70DEC2F3" w14:textId="77777777" w:rsidR="001F6FF0" w:rsidRPr="001F6FF0" w:rsidRDefault="00E418AD" w:rsidP="00D90F35">
      <w:pPr>
        <w:pStyle w:val="Paragraphe"/>
        <w:keepLines/>
        <w:spacing w:line="240" w:lineRule="auto"/>
      </w:pPr>
      <w:r w:rsidRPr="001F6FF0">
        <w:t xml:space="preserve">De plus, le </w:t>
      </w:r>
      <w:r w:rsidR="00104EBA">
        <w:t>l</w:t>
      </w:r>
      <w:r w:rsidRPr="001F6FF0">
        <w:t>égislateur a prévu que constitue une circonstance aggravante la preuve que l’infraction a eu un effet important sur la victime en raison de son âge et de tout autre élément de sa situation personnelle (art. 718.2 a) (iii.1) C.cr.).</w:t>
      </w:r>
    </w:p>
    <w:p w14:paraId="10C59968" w14:textId="69368D09" w:rsidR="004B44A2" w:rsidRDefault="00E418AD" w:rsidP="00D90F35">
      <w:pPr>
        <w:pStyle w:val="Paragraphe"/>
        <w:keepLines/>
        <w:spacing w:line="240" w:lineRule="auto"/>
        <w:rPr>
          <w:lang w:eastAsia="fr-CA"/>
        </w:rPr>
      </w:pPr>
      <w:r w:rsidRPr="001F6FF0">
        <w:rPr>
          <w:rFonts w:cs="Arial"/>
          <w:color w:val="000000"/>
        </w:rPr>
        <w:t xml:space="preserve">Le Tribunal doit également considérer le principe de l’harmonisation des peines </w:t>
      </w:r>
      <w:r w:rsidRPr="001F6FF0">
        <w:rPr>
          <w:rFonts w:cs="Arial"/>
        </w:rPr>
        <w:t>(</w:t>
      </w:r>
      <w:r w:rsidRPr="004B44A2">
        <w:rPr>
          <w:rFonts w:cs="Arial"/>
        </w:rPr>
        <w:t>art. 718.2</w:t>
      </w:r>
      <w:r w:rsidR="00134F55">
        <w:rPr>
          <w:rFonts w:cs="Arial"/>
        </w:rPr>
        <w:t xml:space="preserve"> </w:t>
      </w:r>
      <w:r w:rsidRPr="004B44A2">
        <w:rPr>
          <w:rFonts w:cs="Arial"/>
        </w:rPr>
        <w:t xml:space="preserve">b) C.cr.) </w:t>
      </w:r>
      <w:r w:rsidRPr="001F6FF0">
        <w:rPr>
          <w:rFonts w:cs="Arial"/>
          <w:color w:val="000000"/>
        </w:rPr>
        <w:t>qui prévoit que la peine doit être semblable à celles infligées à des délinquants pour des infractions semblables</w:t>
      </w:r>
      <w:r w:rsidR="00697CBF">
        <w:rPr>
          <w:rFonts w:cs="Arial"/>
          <w:color w:val="000000"/>
        </w:rPr>
        <w:t xml:space="preserve"> commises</w:t>
      </w:r>
      <w:r w:rsidRPr="001F6FF0">
        <w:rPr>
          <w:rFonts w:cs="Arial"/>
          <w:color w:val="000000"/>
        </w:rPr>
        <w:t xml:space="preserve"> dans des circonstances s</w:t>
      </w:r>
      <w:r w:rsidR="00697CBF">
        <w:rPr>
          <w:rFonts w:cs="Arial"/>
          <w:color w:val="000000"/>
        </w:rPr>
        <w:t>imilaires</w:t>
      </w:r>
      <w:r w:rsidRPr="001F6FF0">
        <w:rPr>
          <w:rFonts w:cs="Arial"/>
          <w:color w:val="000000"/>
        </w:rPr>
        <w:t>.</w:t>
      </w:r>
      <w:r w:rsidR="008F58FB">
        <w:rPr>
          <w:rFonts w:cs="Arial"/>
          <w:color w:val="000000"/>
        </w:rPr>
        <w:t xml:space="preserve"> </w:t>
      </w:r>
      <w:r w:rsidRPr="001F6FF0">
        <w:rPr>
          <w:lang w:eastAsia="fr-CA"/>
        </w:rPr>
        <w:t xml:space="preserve">Ce principe n'est </w:t>
      </w:r>
      <w:r w:rsidR="000D2144">
        <w:rPr>
          <w:lang w:eastAsia="fr-CA"/>
        </w:rPr>
        <w:t xml:space="preserve">toutefois </w:t>
      </w:r>
      <w:r w:rsidRPr="001F6FF0">
        <w:rPr>
          <w:lang w:eastAsia="fr-CA"/>
        </w:rPr>
        <w:t xml:space="preserve">pas absolu. La Cour d'appel du Québec </w:t>
      </w:r>
      <w:r w:rsidR="008F58FB">
        <w:rPr>
          <w:lang w:eastAsia="fr-CA"/>
        </w:rPr>
        <w:t>enseigne que</w:t>
      </w:r>
      <w:r w:rsidR="008F58FB">
        <w:rPr>
          <w:kern w:val="24"/>
          <w:sz w:val="22"/>
          <w:lang w:eastAsia="fr-CA"/>
        </w:rPr>
        <w:t xml:space="preserve"> la</w:t>
      </w:r>
      <w:r w:rsidR="001F6FF0" w:rsidRPr="001F6FF0">
        <w:rPr>
          <w:lang w:eastAsia="fr-CA"/>
        </w:rPr>
        <w:t xml:space="preserve"> similarité demeure une question de degré</w:t>
      </w:r>
      <w:r w:rsidR="008F58FB">
        <w:rPr>
          <w:lang w:eastAsia="fr-CA"/>
        </w:rPr>
        <w:t>,</w:t>
      </w:r>
      <w:r w:rsidR="001F6FF0" w:rsidRPr="001F6FF0">
        <w:rPr>
          <w:lang w:eastAsia="fr-CA"/>
        </w:rPr>
        <w:t xml:space="preserve"> dont l'analyse repose sur la nature des infractions en cause, la personnalité des délinquants et des circonstances comparables</w:t>
      </w:r>
      <w:r>
        <w:rPr>
          <w:rStyle w:val="Appelnotedebasdep"/>
          <w:lang w:eastAsia="fr-CA"/>
        </w:rPr>
        <w:footnoteReference w:id="20"/>
      </w:r>
      <w:r w:rsidR="00E2797B">
        <w:rPr>
          <w:lang w:eastAsia="fr-CA"/>
        </w:rPr>
        <w:t>.</w:t>
      </w:r>
    </w:p>
    <w:p w14:paraId="5B41DC2A" w14:textId="77777777" w:rsidR="001F6FF0" w:rsidRDefault="00E418AD" w:rsidP="00D90F35">
      <w:pPr>
        <w:pStyle w:val="Paragraphe"/>
        <w:keepLines/>
        <w:spacing w:line="240" w:lineRule="auto"/>
      </w:pPr>
      <w:r w:rsidRPr="001F6FF0">
        <w:rPr>
          <w:lang w:eastAsia="fr-CA"/>
        </w:rPr>
        <w:t>Par ailleurs, faut-il le rappeler, les fourchettes de peine ne servent qu'à fournir un guide au Tribunal, qui doit individualiser la peine</w:t>
      </w:r>
      <w:r>
        <w:rPr>
          <w:vertAlign w:val="superscript"/>
          <w:lang w:eastAsia="fr-CA"/>
        </w:rPr>
        <w:footnoteReference w:id="21"/>
      </w:r>
      <w:r w:rsidRPr="001F6FF0">
        <w:rPr>
          <w:lang w:eastAsia="fr-CA"/>
        </w:rPr>
        <w:t>.</w:t>
      </w:r>
    </w:p>
    <w:p w14:paraId="36317109" w14:textId="77777777" w:rsidR="005A0CDE" w:rsidRDefault="005A0CDE" w:rsidP="005A0CDE">
      <w:pPr>
        <w:pStyle w:val="Paragraphe"/>
        <w:keepLines/>
        <w:numPr>
          <w:ilvl w:val="0"/>
          <w:numId w:val="0"/>
        </w:numPr>
        <w:spacing w:line="240" w:lineRule="auto"/>
      </w:pPr>
    </w:p>
    <w:p w14:paraId="7BF2A201" w14:textId="1A134D64" w:rsidR="00C922B5" w:rsidRDefault="00C922B5" w:rsidP="00D90F35">
      <w:pPr>
        <w:pStyle w:val="Paragraphe"/>
        <w:keepLines/>
        <w:spacing w:line="240" w:lineRule="auto"/>
      </w:pPr>
      <w:r>
        <w:rPr>
          <w:lang w:eastAsia="fr-CA"/>
        </w:rPr>
        <w:lastRenderedPageBreak/>
        <w:t>Concernant le principe d’individualisation de la peine</w:t>
      </w:r>
      <w:r w:rsidR="00E532CB">
        <w:rPr>
          <w:lang w:eastAsia="fr-CA"/>
        </w:rPr>
        <w:t>, notre Cour d’appel le décrit de la façon suivante dans un arrêt récent :</w:t>
      </w:r>
    </w:p>
    <w:p w14:paraId="3E56DFF0" w14:textId="459F5E23" w:rsidR="00E532CB" w:rsidRPr="00472AC4" w:rsidRDefault="00E532CB" w:rsidP="008D1CE1">
      <w:pPr>
        <w:pStyle w:val="Citationenretrait"/>
      </w:pPr>
      <w:r w:rsidRPr="00472AC4">
        <w:t>La détermination individualisée de la peine exige que les juges se posent la question qui suit : « Pour </w:t>
      </w:r>
      <w:r w:rsidRPr="00472AC4">
        <w:rPr>
          <w:u w:val="single"/>
        </w:rPr>
        <w:t>cette</w:t>
      </w:r>
      <w:r w:rsidRPr="00472AC4">
        <w:t> infraction, commise par </w:t>
      </w:r>
      <w:r w:rsidRPr="00472AC4">
        <w:rPr>
          <w:u w:val="single"/>
        </w:rPr>
        <w:t>ce</w:t>
      </w:r>
      <w:r w:rsidRPr="00472AC4">
        <w:t> délinquant, ayant causé du tort à </w:t>
      </w:r>
      <w:r w:rsidRPr="00472AC4">
        <w:rPr>
          <w:u w:val="single"/>
        </w:rPr>
        <w:t>cette</w:t>
      </w:r>
      <w:r w:rsidRPr="00472AC4">
        <w:t> victime, dans </w:t>
      </w:r>
      <w:r w:rsidRPr="00472AC4">
        <w:rPr>
          <w:u w:val="single"/>
        </w:rPr>
        <w:t>cette</w:t>
      </w:r>
      <w:r w:rsidRPr="00472AC4">
        <w:t xml:space="preserve"> communauté, quelle est la sanction appropriée au regard du </w:t>
      </w:r>
      <w:r w:rsidRPr="00472AC4">
        <w:rPr>
          <w:i/>
          <w:iCs/>
        </w:rPr>
        <w:t>Code criminel</w:t>
      </w:r>
      <w:r w:rsidRPr="00472AC4">
        <w:t>? »</w:t>
      </w:r>
      <w:r w:rsidRPr="00472AC4">
        <w:rPr>
          <w:rStyle w:val="Appelnotedebasdep"/>
          <w:szCs w:val="22"/>
        </w:rPr>
        <w:footnoteReference w:id="22"/>
      </w:r>
      <w:r w:rsidRPr="00472AC4">
        <w:t>.</w:t>
      </w:r>
    </w:p>
    <w:p w14:paraId="08A82123" w14:textId="56D59E8E" w:rsidR="001F6FF0" w:rsidRPr="001F6FF0" w:rsidRDefault="00E418AD" w:rsidP="00D90F35">
      <w:pPr>
        <w:pStyle w:val="Paragraphe"/>
        <w:keepLines/>
        <w:spacing w:line="240" w:lineRule="auto"/>
      </w:pPr>
      <w:r w:rsidRPr="001F6FF0">
        <w:rPr>
          <w:lang w:eastAsia="fr-CA"/>
        </w:rPr>
        <w:t xml:space="preserve">Le Tribunal </w:t>
      </w:r>
      <w:r w:rsidR="00BC08DD">
        <w:rPr>
          <w:lang w:eastAsia="fr-CA"/>
        </w:rPr>
        <w:t>a</w:t>
      </w:r>
      <w:r w:rsidRPr="001F6FF0">
        <w:rPr>
          <w:lang w:eastAsia="fr-CA"/>
        </w:rPr>
        <w:t xml:space="preserve"> également </w:t>
      </w:r>
      <w:r w:rsidRPr="001F6FF0">
        <w:t>l’obligation d’éviter l’excès de nature ou de durée dans l’infliction de peines consécutives (a</w:t>
      </w:r>
      <w:r w:rsidR="00E2797B">
        <w:t>rt</w:t>
      </w:r>
      <w:r w:rsidRPr="001F6FF0">
        <w:t xml:space="preserve">. 718.2 c) C.cr.). De plus, </w:t>
      </w:r>
      <w:r w:rsidRPr="001F6FF0">
        <w:rPr>
          <w:lang w:eastAsia="fr-CA"/>
        </w:rPr>
        <w:t>des sanctions raisonnables autres que la privation de liberté et l'emprisonnement doivent être considérées lorsque les circonstances le justifient (a</w:t>
      </w:r>
      <w:r w:rsidR="00E2797B">
        <w:rPr>
          <w:lang w:eastAsia="fr-CA"/>
        </w:rPr>
        <w:t>rt</w:t>
      </w:r>
      <w:r w:rsidRPr="001F6FF0">
        <w:rPr>
          <w:lang w:eastAsia="fr-CA"/>
        </w:rPr>
        <w:t xml:space="preserve">. 718.2 d) et e) </w:t>
      </w:r>
      <w:r w:rsidR="000B244F">
        <w:rPr>
          <w:lang w:eastAsia="fr-CA"/>
        </w:rPr>
        <w:t>C.cr.</w:t>
      </w:r>
      <w:r w:rsidRPr="001F6FF0">
        <w:rPr>
          <w:lang w:eastAsia="fr-CA"/>
        </w:rPr>
        <w:t>).</w:t>
      </w:r>
    </w:p>
    <w:p w14:paraId="633515B7" w14:textId="00816639" w:rsidR="00F06E64" w:rsidRPr="002C3299" w:rsidRDefault="00E418AD" w:rsidP="00F06E64">
      <w:pPr>
        <w:keepLines/>
        <w:numPr>
          <w:ilvl w:val="0"/>
          <w:numId w:val="1"/>
        </w:numPr>
        <w:spacing w:before="120" w:after="120"/>
        <w:jc w:val="both"/>
        <w:rPr>
          <w:rFonts w:cs="Arial"/>
          <w:kern w:val="28"/>
        </w:rPr>
      </w:pPr>
      <w:r w:rsidRPr="004E7179">
        <w:rPr>
          <w:rFonts w:cs="Arial"/>
          <w:kern w:val="28"/>
          <w:shd w:val="clear" w:color="auto" w:fill="FFFFFF"/>
        </w:rPr>
        <w:t xml:space="preserve">Récemment, dans l’arrêt </w:t>
      </w:r>
      <w:r w:rsidRPr="004E7179">
        <w:rPr>
          <w:rFonts w:cs="Arial"/>
          <w:i/>
          <w:iCs/>
          <w:kern w:val="28"/>
          <w:shd w:val="clear" w:color="auto" w:fill="FFFFFF"/>
        </w:rPr>
        <w:t>Friesen</w:t>
      </w:r>
      <w:r>
        <w:rPr>
          <w:rFonts w:cs="Arial"/>
          <w:kern w:val="28"/>
          <w:shd w:val="clear" w:color="auto" w:fill="FFFFFF"/>
          <w:vertAlign w:val="superscript"/>
        </w:rPr>
        <w:footnoteReference w:id="23"/>
      </w:r>
      <w:r w:rsidRPr="004E7179">
        <w:rPr>
          <w:rFonts w:cs="Arial"/>
          <w:kern w:val="28"/>
          <w:shd w:val="clear" w:color="auto" w:fill="FFFFFF"/>
        </w:rPr>
        <w:t xml:space="preserve">, la Cour suprême du Canada </w:t>
      </w:r>
      <w:r w:rsidRPr="004E7179">
        <w:rPr>
          <w:rFonts w:cs="Arial"/>
        </w:rPr>
        <w:t>analyse le processus de détermination de</w:t>
      </w:r>
      <w:r w:rsidRPr="004E7179">
        <w:rPr>
          <w:bCs/>
          <w:kern w:val="28"/>
          <w:szCs w:val="24"/>
        </w:rPr>
        <w:t xml:space="preserve"> peines qui reflètent et illustrent pleinement le caractère hautement répréhensible et la grande nocivité des infractions d’ordre sexuel commises contre les enfants.</w:t>
      </w:r>
      <w:r w:rsidRPr="004E7179">
        <w:rPr>
          <w:rFonts w:cs="Arial"/>
          <w:kern w:val="28"/>
          <w:shd w:val="clear" w:color="auto" w:fill="FFFFFF"/>
        </w:rPr>
        <w:t xml:space="preserve"> Le plus haut </w:t>
      </w:r>
      <w:r w:rsidR="00E2797B">
        <w:rPr>
          <w:rFonts w:cs="Arial"/>
          <w:kern w:val="28"/>
          <w:shd w:val="clear" w:color="auto" w:fill="FFFFFF"/>
        </w:rPr>
        <w:t>t</w:t>
      </w:r>
      <w:r w:rsidRPr="004E7179">
        <w:rPr>
          <w:rFonts w:cs="Arial"/>
          <w:kern w:val="28"/>
          <w:shd w:val="clear" w:color="auto" w:fill="FFFFFF"/>
        </w:rPr>
        <w:t xml:space="preserve">ribunal du pays </w:t>
      </w:r>
      <w:r w:rsidRPr="004E7179">
        <w:rPr>
          <w:kern w:val="28"/>
        </w:rPr>
        <w:t>précise que le fait de prendre en considération la nocivité des infractions d’ordre sexuel contre des enfants permet de veiller à ce que la peine reflète pleinement les «</w:t>
      </w:r>
      <w:r w:rsidR="00E46ACC" w:rsidRPr="004E7179">
        <w:rPr>
          <w:kern w:val="28"/>
        </w:rPr>
        <w:t> </w:t>
      </w:r>
      <w:r w:rsidRPr="004E7179">
        <w:rPr>
          <w:kern w:val="28"/>
        </w:rPr>
        <w:t>conséquences dévastatrices</w:t>
      </w:r>
      <w:r w:rsidR="00E46ACC" w:rsidRPr="004E7179">
        <w:rPr>
          <w:kern w:val="28"/>
        </w:rPr>
        <w:t> </w:t>
      </w:r>
      <w:r w:rsidRPr="004E7179">
        <w:rPr>
          <w:kern w:val="28"/>
        </w:rPr>
        <w:t>» que de tels crimes causent aux victimes, aux familles et aux collectivités. Cet arrêt invite les tribunaux à</w:t>
      </w:r>
      <w:r w:rsidRPr="004E7179">
        <w:rPr>
          <w:rFonts w:cs="Arial"/>
          <w:kern w:val="28"/>
          <w:shd w:val="clear" w:color="auto" w:fill="FFFFFF"/>
        </w:rPr>
        <w:t xml:space="preserve"> reconsidérer leur approche précédente à l’égard de la détermination de la peine en semblable matière. </w:t>
      </w:r>
    </w:p>
    <w:p w14:paraId="2CF4417F" w14:textId="77777777" w:rsidR="00EE1062" w:rsidRPr="00EE1062" w:rsidRDefault="00EE1062" w:rsidP="00D90F35">
      <w:pPr>
        <w:keepLines/>
        <w:numPr>
          <w:ilvl w:val="0"/>
          <w:numId w:val="1"/>
        </w:numPr>
        <w:spacing w:before="120" w:after="120"/>
        <w:jc w:val="both"/>
        <w:rPr>
          <w:rFonts w:cs="Arial"/>
          <w:kern w:val="28"/>
        </w:rPr>
      </w:pPr>
      <w:r>
        <w:rPr>
          <w:rFonts w:cs="Arial"/>
          <w:kern w:val="28"/>
          <w:shd w:val="clear" w:color="auto" w:fill="FFFFFF"/>
        </w:rPr>
        <w:t>La Cour suprême du Canada se prononce ainsi :</w:t>
      </w:r>
    </w:p>
    <w:p w14:paraId="573E832B" w14:textId="78261805" w:rsidR="00EE1062" w:rsidRPr="00EE1062" w:rsidRDefault="00EE1062" w:rsidP="002C3299">
      <w:pPr>
        <w:pStyle w:val="Citationenretrait"/>
        <w:rPr>
          <w:lang w:eastAsia="fr-CA"/>
        </w:rPr>
      </w:pPr>
      <w:r w:rsidRPr="00EE1062">
        <w:rPr>
          <w:lang w:eastAsia="fr-CA"/>
        </w:rPr>
        <w:t>[89] Toutes les formes de violence sexuelle, y compris la violence sexuelle faite aux adultes, sont moralement blâmables précisément parce qu’elles comportent l’exploitation illicite par le délinquant de la victime — le délinquant traite la victime comme un objet et fait fi de sa dignité humaine</w:t>
      </w:r>
      <w:r>
        <w:rPr>
          <w:lang w:eastAsia="fr-CA"/>
        </w:rPr>
        <w:t>.</w:t>
      </w:r>
      <w:r w:rsidRPr="00EE1062">
        <w:rPr>
          <w:lang w:eastAsia="fr-CA"/>
        </w:rPr>
        <w:t xml:space="preserve"> Comme l’a expliqué la juge L’Heureux-Dubé dans l’arrêt </w:t>
      </w:r>
      <w:r w:rsidRPr="00EE1062">
        <w:rPr>
          <w:i/>
          <w:iCs/>
          <w:lang w:eastAsia="fr-CA"/>
        </w:rPr>
        <w:t>L. (D.O.)</w:t>
      </w:r>
      <w:r w:rsidRPr="00EE1062">
        <w:rPr>
          <w:lang w:eastAsia="fr-CA"/>
        </w:rPr>
        <w:t xml:space="preserve">, « la question des agressions sexuelles contre les enfants est étroitement liée à celle des agressions sexuelles contre les femmes dans leur ensemble », justement parce que ces deux formes d’infractions d’ordre sexuel impliquent l’objectification sexuelle de la victime (p. 441). Au moment de la détermination de la peine, les tribunaux doivent accorder le poids qu’il convient aux attitudes sous-jacentes du délinquant, car celles-ci sont très pertinentes pour évaluer sa culpabilité morale et en ce qui a trait à l’objectif de dénonciation. </w:t>
      </w:r>
      <w:r>
        <w:rPr>
          <w:lang w:eastAsia="fr-CA"/>
        </w:rPr>
        <w:tab/>
      </w:r>
      <w:r>
        <w:rPr>
          <w:lang w:eastAsia="fr-CA"/>
        </w:rPr>
        <w:tab/>
      </w:r>
      <w:r>
        <w:rPr>
          <w:lang w:eastAsia="fr-CA"/>
        </w:rPr>
        <w:tab/>
      </w:r>
      <w:r>
        <w:rPr>
          <w:lang w:eastAsia="fr-CA"/>
        </w:rPr>
        <w:tab/>
      </w:r>
      <w:r>
        <w:rPr>
          <w:lang w:eastAsia="fr-CA"/>
        </w:rPr>
        <w:tab/>
      </w:r>
      <w:r>
        <w:rPr>
          <w:lang w:eastAsia="fr-CA"/>
        </w:rPr>
        <w:tab/>
      </w:r>
      <w:r>
        <w:rPr>
          <w:lang w:eastAsia="fr-CA"/>
        </w:rPr>
        <w:tab/>
      </w:r>
      <w:r>
        <w:rPr>
          <w:lang w:eastAsia="fr-CA"/>
        </w:rPr>
        <w:tab/>
      </w:r>
      <w:r>
        <w:rPr>
          <w:lang w:eastAsia="fr-CA"/>
        </w:rPr>
        <w:tab/>
      </w:r>
      <w:r>
        <w:rPr>
          <w:lang w:eastAsia="fr-CA"/>
        </w:rPr>
        <w:tab/>
      </w:r>
      <w:r>
        <w:rPr>
          <w:lang w:eastAsia="fr-CA"/>
        </w:rPr>
        <w:tab/>
      </w:r>
      <w:r>
        <w:rPr>
          <w:lang w:eastAsia="fr-CA"/>
        </w:rPr>
        <w:tab/>
      </w:r>
      <w:r>
        <w:rPr>
          <w:lang w:eastAsia="fr-CA"/>
        </w:rPr>
        <w:tab/>
      </w:r>
      <w:r>
        <w:rPr>
          <w:lang w:eastAsia="fr-CA"/>
        </w:rPr>
        <w:tab/>
      </w:r>
      <w:r>
        <w:rPr>
          <w:lang w:eastAsia="fr-CA"/>
        </w:rPr>
        <w:tab/>
      </w:r>
      <w:r>
        <w:rPr>
          <w:lang w:eastAsia="fr-CA"/>
        </w:rPr>
        <w:tab/>
      </w:r>
      <w:r w:rsidR="00F7122D">
        <w:rPr>
          <w:lang w:eastAsia="fr-CA"/>
        </w:rPr>
        <w:tab/>
      </w:r>
      <w:r w:rsidR="00F7122D">
        <w:rPr>
          <w:lang w:eastAsia="fr-CA"/>
        </w:rPr>
        <w:tab/>
      </w:r>
      <w:r w:rsidRPr="00EE1062">
        <w:rPr>
          <w:lang w:eastAsia="fr-CA"/>
        </w:rPr>
        <w:t>[</w:t>
      </w:r>
      <w:r w:rsidR="008D1CE1">
        <w:rPr>
          <w:lang w:eastAsia="fr-CA"/>
        </w:rPr>
        <w:t>R</w:t>
      </w:r>
      <w:r w:rsidRPr="00EE1062">
        <w:rPr>
          <w:lang w:eastAsia="fr-CA"/>
        </w:rPr>
        <w:t>éférences omises]</w:t>
      </w:r>
    </w:p>
    <w:p w14:paraId="23ECF31B" w14:textId="77777777" w:rsidR="001F6FF0" w:rsidRDefault="00E418AD" w:rsidP="00D90F35">
      <w:pPr>
        <w:keepLines/>
        <w:numPr>
          <w:ilvl w:val="0"/>
          <w:numId w:val="1"/>
        </w:numPr>
        <w:spacing w:before="120" w:after="120"/>
        <w:jc w:val="both"/>
        <w:rPr>
          <w:kern w:val="28"/>
        </w:rPr>
      </w:pPr>
      <w:r w:rsidRPr="001F6FF0">
        <w:rPr>
          <w:kern w:val="28"/>
        </w:rPr>
        <w:t>Après avoir établi les différents objectifs, principes et facteurs devant être considérés, le Tribunal doit maintenant procéder à l’examen des caractéristiques propres au présent cas.</w:t>
      </w:r>
    </w:p>
    <w:p w14:paraId="5437247B" w14:textId="77777777" w:rsidR="001F6FF0" w:rsidRPr="001F6FF0" w:rsidRDefault="00E418AD" w:rsidP="005A0CDE">
      <w:pPr>
        <w:keepLines/>
        <w:spacing w:before="120" w:after="120"/>
        <w:ind w:firstLine="734"/>
        <w:jc w:val="both"/>
        <w:rPr>
          <w:b/>
          <w:bCs/>
          <w:kern w:val="28"/>
        </w:rPr>
      </w:pPr>
      <w:r w:rsidRPr="001F6FF0">
        <w:rPr>
          <w:b/>
          <w:bCs/>
          <w:kern w:val="28"/>
        </w:rPr>
        <w:lastRenderedPageBreak/>
        <w:t>B)</w:t>
      </w:r>
      <w:r w:rsidRPr="001F6FF0">
        <w:rPr>
          <w:b/>
          <w:bCs/>
          <w:kern w:val="28"/>
        </w:rPr>
        <w:tab/>
        <w:t>Gravité objective des infractions commises</w:t>
      </w:r>
    </w:p>
    <w:p w14:paraId="0D7E6C32" w14:textId="77777777" w:rsidR="00745B3A" w:rsidRPr="00745B3A" w:rsidRDefault="00E418AD" w:rsidP="00D90F35">
      <w:pPr>
        <w:keepLines/>
        <w:numPr>
          <w:ilvl w:val="0"/>
          <w:numId w:val="1"/>
        </w:numPr>
        <w:spacing w:before="120" w:after="120"/>
        <w:jc w:val="both"/>
        <w:rPr>
          <w:kern w:val="24"/>
          <w:sz w:val="22"/>
        </w:rPr>
      </w:pPr>
      <w:r w:rsidRPr="001F6FF0">
        <w:rPr>
          <w:kern w:val="28"/>
        </w:rPr>
        <w:t xml:space="preserve">L’infraction </w:t>
      </w:r>
      <w:r w:rsidR="00EE1062">
        <w:rPr>
          <w:kern w:val="28"/>
        </w:rPr>
        <w:t>d’agression sexuelle</w:t>
      </w:r>
      <w:r w:rsidRPr="001F6FF0">
        <w:rPr>
          <w:kern w:val="28"/>
        </w:rPr>
        <w:t>, poursuivie par acte criminel, est punissable d’un emprisonnement maximal de 1</w:t>
      </w:r>
      <w:r w:rsidR="007156EA">
        <w:rPr>
          <w:kern w:val="28"/>
        </w:rPr>
        <w:t>0</w:t>
      </w:r>
      <w:r w:rsidRPr="001F6FF0">
        <w:rPr>
          <w:kern w:val="28"/>
        </w:rPr>
        <w:t> ans</w:t>
      </w:r>
      <w:r w:rsidR="00745B3A">
        <w:rPr>
          <w:rStyle w:val="Appelnotedebasdep"/>
          <w:kern w:val="28"/>
        </w:rPr>
        <w:footnoteReference w:id="24"/>
      </w:r>
      <w:r w:rsidR="007156EA">
        <w:rPr>
          <w:kern w:val="28"/>
        </w:rPr>
        <w:t>.</w:t>
      </w:r>
    </w:p>
    <w:p w14:paraId="0483B5E3" w14:textId="5108811D" w:rsidR="001F6FF0" w:rsidRPr="00CB5A0B" w:rsidRDefault="00D862B8" w:rsidP="00D90F35">
      <w:pPr>
        <w:keepLines/>
        <w:numPr>
          <w:ilvl w:val="0"/>
          <w:numId w:val="1"/>
        </w:numPr>
        <w:spacing w:before="120" w:after="120"/>
        <w:jc w:val="both"/>
        <w:rPr>
          <w:kern w:val="24"/>
          <w:sz w:val="22"/>
        </w:rPr>
      </w:pPr>
      <w:r>
        <w:rPr>
          <w:kern w:val="28"/>
        </w:rPr>
        <w:t xml:space="preserve">Suivant les modifications législatives apportées au </w:t>
      </w:r>
      <w:r w:rsidRPr="006C4236">
        <w:rPr>
          <w:i/>
          <w:iCs/>
          <w:kern w:val="28"/>
        </w:rPr>
        <w:t>Code criminel</w:t>
      </w:r>
      <w:r>
        <w:rPr>
          <w:kern w:val="28"/>
        </w:rPr>
        <w:t xml:space="preserve"> par la mise en vigueur du projet de loi C-5</w:t>
      </w:r>
      <w:r>
        <w:rPr>
          <w:rStyle w:val="Appelnotedebasdep"/>
          <w:kern w:val="28"/>
        </w:rPr>
        <w:footnoteReference w:id="25"/>
      </w:r>
      <w:r w:rsidR="00E418AD" w:rsidRPr="001F6FF0">
        <w:rPr>
          <w:kern w:val="28"/>
        </w:rPr>
        <w:t xml:space="preserve"> </w:t>
      </w:r>
      <w:r>
        <w:rPr>
          <w:kern w:val="28"/>
        </w:rPr>
        <w:t xml:space="preserve">le </w:t>
      </w:r>
      <w:r w:rsidR="0048727D">
        <w:rPr>
          <w:kern w:val="28"/>
        </w:rPr>
        <w:t>17</w:t>
      </w:r>
      <w:r>
        <w:rPr>
          <w:kern w:val="28"/>
        </w:rPr>
        <w:t xml:space="preserve"> novembre 2022, la détention dans la collectivité est dorénavant une peine applicable pour l’infraction d’agression sexuelle dans la mesure où elle respecte les critères énoncés à l’article 742.1 </w:t>
      </w:r>
      <w:r w:rsidR="002C5086">
        <w:rPr>
          <w:kern w:val="28"/>
        </w:rPr>
        <w:t xml:space="preserve">C.cr. </w:t>
      </w:r>
      <w:r>
        <w:rPr>
          <w:kern w:val="28"/>
        </w:rPr>
        <w:t>: 1)</w:t>
      </w:r>
      <w:r w:rsidR="00CB5A0B">
        <w:rPr>
          <w:kern w:val="28"/>
        </w:rPr>
        <w:t xml:space="preserve"> il s’agit d’une peine d’emprisonnement de moins de deux ans, (2) la mesure ne met pas en danger la sécurité de la collectivité et, (3) elle est conforme à l’objectif essentiel et aux principes énoncés aux articles 718 à 718.2 C.cr.</w:t>
      </w:r>
    </w:p>
    <w:p w14:paraId="7BCA3480" w14:textId="1C276DBF" w:rsidR="00CB5A0B" w:rsidRDefault="00CB5A0B" w:rsidP="00D90F35">
      <w:pPr>
        <w:pStyle w:val="Paragraphe"/>
        <w:keepLines/>
        <w:spacing w:line="240" w:lineRule="auto"/>
      </w:pPr>
      <w:r>
        <w:t>L’infraction de production subreptice d’un enregistrement visuel dans des circonstances pour lesquelles il existe une attente raisonnable de protection en matière de vie privée</w:t>
      </w:r>
      <w:r w:rsidR="0010443A">
        <w:t>, poursuivie par acte criminel, est passible d’un emprisonnement maximal de cinq ans</w:t>
      </w:r>
      <w:r>
        <w:rPr>
          <w:rStyle w:val="Appelnotedebasdep"/>
        </w:rPr>
        <w:footnoteReference w:id="26"/>
      </w:r>
      <w:r w:rsidR="0010443A">
        <w:t>.</w:t>
      </w:r>
    </w:p>
    <w:p w14:paraId="2175CBD2" w14:textId="50C4B0D1" w:rsidR="00CD511D" w:rsidRPr="00F93222" w:rsidRDefault="00CB5A0B" w:rsidP="00D90F35">
      <w:pPr>
        <w:pStyle w:val="Paragraphe"/>
        <w:keepLines/>
        <w:spacing w:line="240" w:lineRule="auto"/>
      </w:pPr>
      <w:r>
        <w:t xml:space="preserve"> </w:t>
      </w:r>
      <w:r w:rsidR="0010443A">
        <w:t>L’infraction</w:t>
      </w:r>
      <w:r>
        <w:t xml:space="preserve"> de rendre accessible un enregistrement obtenu dans</w:t>
      </w:r>
      <w:r w:rsidRPr="00A921F4">
        <w:t xml:space="preserve"> </w:t>
      </w:r>
      <w:r>
        <w:t>des circonstances pour lesquelles il existe une attente raisonnable de protection en matière de vie privée</w:t>
      </w:r>
      <w:r w:rsidR="0010443A">
        <w:t>, poursuivie par acte criminel, est passible d’un emprisonnement maximal de cinq ans</w:t>
      </w:r>
      <w:r w:rsidR="0010443A">
        <w:rPr>
          <w:rStyle w:val="Appelnotedebasdep"/>
        </w:rPr>
        <w:footnoteReference w:id="27"/>
      </w:r>
      <w:r w:rsidR="0010443A">
        <w:t>.</w:t>
      </w:r>
    </w:p>
    <w:p w14:paraId="219D0434" w14:textId="6D77A159" w:rsidR="00F50BE6" w:rsidRPr="00F50BE6" w:rsidRDefault="00F50BE6" w:rsidP="00D90F35">
      <w:pPr>
        <w:pStyle w:val="Paragraphe"/>
        <w:keepLines/>
        <w:numPr>
          <w:ilvl w:val="0"/>
          <w:numId w:val="0"/>
        </w:numPr>
        <w:ind w:firstLine="734"/>
        <w:rPr>
          <w:b/>
          <w:bCs/>
        </w:rPr>
      </w:pPr>
      <w:r w:rsidRPr="00F50BE6">
        <w:rPr>
          <w:b/>
          <w:bCs/>
        </w:rPr>
        <w:t>C)</w:t>
      </w:r>
      <w:r w:rsidRPr="00F50BE6">
        <w:rPr>
          <w:b/>
          <w:bCs/>
        </w:rPr>
        <w:tab/>
        <w:t>Gravité subjective des infractions commises</w:t>
      </w:r>
    </w:p>
    <w:p w14:paraId="58B4685D" w14:textId="35BB6042" w:rsidR="0038154E" w:rsidRDefault="0038154E" w:rsidP="00D90F35">
      <w:pPr>
        <w:pStyle w:val="Paragraphe"/>
        <w:keepLines/>
        <w:spacing w:line="240" w:lineRule="auto"/>
        <w:rPr>
          <w:szCs w:val="24"/>
        </w:rPr>
      </w:pPr>
      <w:r w:rsidRPr="00B928C7">
        <w:rPr>
          <w:szCs w:val="24"/>
        </w:rPr>
        <w:t xml:space="preserve">Dans l’arrêt </w:t>
      </w:r>
      <w:r w:rsidRPr="00B928C7">
        <w:rPr>
          <w:i/>
          <w:iCs/>
          <w:szCs w:val="24"/>
        </w:rPr>
        <w:t>R</w:t>
      </w:r>
      <w:r w:rsidRPr="00B928C7">
        <w:rPr>
          <w:szCs w:val="24"/>
        </w:rPr>
        <w:t xml:space="preserve">. c. </w:t>
      </w:r>
      <w:r w:rsidRPr="00B928C7">
        <w:rPr>
          <w:i/>
          <w:iCs/>
          <w:szCs w:val="24"/>
        </w:rPr>
        <w:t>L. (J.-J.)</w:t>
      </w:r>
      <w:r w:rsidRPr="00B928C7">
        <w:rPr>
          <w:rStyle w:val="Appelnotedebasdep"/>
          <w:szCs w:val="24"/>
        </w:rPr>
        <w:footnoteReference w:id="28"/>
      </w:r>
      <w:r w:rsidRPr="00B928C7">
        <w:rPr>
          <w:szCs w:val="24"/>
        </w:rPr>
        <w:t>, la Cour d’appel du Québec énumère une liste de facteurs permettant de mesurer la responsabilité pénale d’un délinquant concernant des infractions d’ordre sexuel</w:t>
      </w:r>
      <w:r>
        <w:rPr>
          <w:szCs w:val="24"/>
        </w:rPr>
        <w:t>. Le Tribunal estime opportun d’analyser ces facteurs.</w:t>
      </w:r>
    </w:p>
    <w:p w14:paraId="5DD38B18" w14:textId="1EA3D61F" w:rsidR="0038154E" w:rsidRPr="0038154E" w:rsidRDefault="0038154E" w:rsidP="00D90F35">
      <w:pPr>
        <w:pStyle w:val="Paragraphe"/>
        <w:keepLines/>
        <w:numPr>
          <w:ilvl w:val="0"/>
          <w:numId w:val="0"/>
        </w:numPr>
        <w:spacing w:line="240" w:lineRule="auto"/>
        <w:ind w:left="720"/>
        <w:rPr>
          <w:u w:val="single"/>
        </w:rPr>
      </w:pPr>
      <w:r w:rsidRPr="0038154E">
        <w:rPr>
          <w:u w:val="single"/>
        </w:rPr>
        <w:t>La nature et la gravité intrinsèque des infractions se traduisant, notamment, par l'usage de menaces, violence, contrainte psychologique et manipulation, etc.</w:t>
      </w:r>
    </w:p>
    <w:p w14:paraId="6BEE00C7" w14:textId="635CB2D8" w:rsidR="005B64A2" w:rsidRDefault="005B64A2" w:rsidP="00D90F35">
      <w:pPr>
        <w:pStyle w:val="Paragraphe"/>
        <w:keepLines/>
        <w:spacing w:line="240" w:lineRule="auto"/>
        <w:rPr>
          <w:rFonts w:eastAsia="Calibri"/>
          <w:lang w:eastAsia="en-US"/>
        </w:rPr>
      </w:pPr>
      <w:r>
        <w:rPr>
          <w:rFonts w:eastAsia="Calibri"/>
          <w:lang w:eastAsia="en-US"/>
        </w:rPr>
        <w:t>La preuve démontre qu’il s’agit d’un cas d’exploitation sexuelle à dimension collective</w:t>
      </w:r>
      <w:r>
        <w:rPr>
          <w:rStyle w:val="Appelnotedebasdep"/>
          <w:rFonts w:eastAsia="Calibri" w:cs="Arial"/>
          <w:szCs w:val="24"/>
          <w:lang w:eastAsia="en-US"/>
        </w:rPr>
        <w:footnoteReference w:id="29"/>
      </w:r>
      <w:r>
        <w:rPr>
          <w:rFonts w:eastAsia="Calibri"/>
          <w:lang w:eastAsia="en-US"/>
        </w:rPr>
        <w:t xml:space="preserve">. </w:t>
      </w:r>
    </w:p>
    <w:p w14:paraId="0C7BD599" w14:textId="02995509" w:rsidR="00FB03F4" w:rsidRPr="00FB03F4" w:rsidRDefault="00FB03F4" w:rsidP="00D90F35">
      <w:pPr>
        <w:pStyle w:val="Paragraphe"/>
        <w:keepLines/>
        <w:spacing w:line="240" w:lineRule="auto"/>
        <w:rPr>
          <w:rFonts w:eastAsia="Calibri"/>
          <w:lang w:eastAsia="en-US"/>
        </w:rPr>
      </w:pPr>
      <w:r>
        <w:rPr>
          <w:rFonts w:eastAsia="Calibri"/>
          <w:lang w:eastAsia="en-US"/>
        </w:rPr>
        <w:lastRenderedPageBreak/>
        <w:t>En plus de tromper la victime qui se présente dans une chambre d’hôtel où elle s’attend à ce que Nicolas Daigle soit seul, les contrevenants font preuve d’absence de considération à l’égard de l’adolescente. Dans les instants qui suivent son arrivée dans la chambre, elle est déshabillée rapidement par Massimo Siciliano. Tout au long de la relation sexuelle avec les deux contrevenants, la victime obtempère à leur</w:t>
      </w:r>
      <w:r w:rsidR="00097CBD">
        <w:rPr>
          <w:rFonts w:eastAsia="Calibri"/>
          <w:lang w:eastAsia="en-US"/>
        </w:rPr>
        <w:t>s</w:t>
      </w:r>
      <w:r>
        <w:rPr>
          <w:rFonts w:eastAsia="Calibri"/>
          <w:lang w:eastAsia="en-US"/>
        </w:rPr>
        <w:t xml:space="preserve"> demande</w:t>
      </w:r>
      <w:r w:rsidR="00097CBD">
        <w:rPr>
          <w:rFonts w:eastAsia="Calibri"/>
          <w:lang w:eastAsia="en-US"/>
        </w:rPr>
        <w:t>s</w:t>
      </w:r>
      <w:r>
        <w:rPr>
          <w:rFonts w:eastAsia="Calibri"/>
          <w:lang w:eastAsia="en-US"/>
        </w:rPr>
        <w:t>. Elle ne ressent aucun plaisir et ne donne aucun accord verbal. Les contrevenants constatent son absence de plaisir</w:t>
      </w:r>
      <w:r>
        <w:rPr>
          <w:rStyle w:val="Appelnotedebasdep"/>
          <w:rFonts w:eastAsia="Calibri" w:cs="Arial"/>
          <w:szCs w:val="24"/>
          <w:lang w:eastAsia="en-US"/>
        </w:rPr>
        <w:footnoteReference w:id="30"/>
      </w:r>
      <w:r w:rsidR="006C4236">
        <w:rPr>
          <w:rFonts w:eastAsia="Calibri"/>
          <w:lang w:eastAsia="en-US"/>
        </w:rPr>
        <w:t>,</w:t>
      </w:r>
      <w:r>
        <w:rPr>
          <w:rFonts w:eastAsia="Calibri"/>
          <w:lang w:eastAsia="en-US"/>
        </w:rPr>
        <w:t xml:space="preserve"> mais poursuivent néanmoins l’agression sexuelle. Bien qu’elle ait manifesté son refus clair d’être filmée durant l’activité sexuelle, Nicolas</w:t>
      </w:r>
      <w:r w:rsidR="00E95F4F">
        <w:rPr>
          <w:rFonts w:eastAsia="Calibri"/>
          <w:lang w:eastAsia="en-US"/>
        </w:rPr>
        <w:t> </w:t>
      </w:r>
      <w:r>
        <w:rPr>
          <w:rFonts w:eastAsia="Calibri"/>
          <w:lang w:eastAsia="en-US"/>
        </w:rPr>
        <w:t>Daigle fait fi de sa volonté exprimée et la filme à son insu durant une relation sexuelle avec Massimo Siciliano. Lorsque Nicolas Daigle quitte la chambre, la victime manifeste à Massimo Siciliano, à quelques reprises, que ça ne lui tente plus et qu’elle est fatiguée. Massimo Siciliano fait fi de sa volonté exprimée, insiste et poursuit la relation sexuelle. La séquence des événements démontre l’objectification de la victime, dans un contexte où les contrevenants assouvissent leurs désirs sexuels avec persistance et indifférence face au respect de la victime.</w:t>
      </w:r>
    </w:p>
    <w:p w14:paraId="3A662DB4" w14:textId="5C68CB8A" w:rsidR="00CD511D" w:rsidRPr="00F93222" w:rsidRDefault="005B64A2" w:rsidP="00D90F35">
      <w:pPr>
        <w:pStyle w:val="Paragraphe"/>
        <w:keepLines/>
        <w:spacing w:line="240" w:lineRule="auto"/>
        <w:rPr>
          <w:rFonts w:eastAsia="Calibri"/>
          <w:lang w:eastAsia="en-US"/>
        </w:rPr>
      </w:pPr>
      <w:r>
        <w:rPr>
          <w:rFonts w:eastAsia="Calibri"/>
          <w:lang w:eastAsia="en-US"/>
        </w:rPr>
        <w:t>L’agression sexuelle à dimension collective inclu</w:t>
      </w:r>
      <w:r w:rsidR="006C4236">
        <w:rPr>
          <w:rFonts w:eastAsia="Calibri"/>
          <w:lang w:eastAsia="en-US"/>
        </w:rPr>
        <w:t>t</w:t>
      </w:r>
      <w:r>
        <w:rPr>
          <w:rFonts w:eastAsia="Calibri"/>
          <w:lang w:eastAsia="en-US"/>
        </w:rPr>
        <w:t xml:space="preserve"> notamment une pénétration simultanée, anale et vaginale, par les deux contrevenants, comportant un degré d’atteinte élevé à l’intégrité physique et sexuelle de la victime.</w:t>
      </w:r>
      <w:r w:rsidR="00FA5096">
        <w:rPr>
          <w:rFonts w:eastAsia="Calibri"/>
          <w:lang w:eastAsia="en-US"/>
        </w:rPr>
        <w:t xml:space="preserve"> L’agression sexuelle comporte </w:t>
      </w:r>
      <w:r w:rsidR="00FA5096" w:rsidRPr="00FA5096">
        <w:rPr>
          <w:rFonts w:eastAsia="Calibri"/>
          <w:lang w:eastAsia="en-US"/>
        </w:rPr>
        <w:t>de</w:t>
      </w:r>
      <w:r w:rsidR="00FA5096">
        <w:rPr>
          <w:rFonts w:eastAsia="Calibri"/>
          <w:lang w:eastAsia="en-US"/>
        </w:rPr>
        <w:t>s</w:t>
      </w:r>
      <w:r w:rsidR="00FA5096" w:rsidRPr="00FA5096">
        <w:rPr>
          <w:rFonts w:eastAsia="Calibri"/>
          <w:lang w:eastAsia="en-US"/>
        </w:rPr>
        <w:t xml:space="preserve"> relations sexuelles non-protégées avec pénétrations du pénis</w:t>
      </w:r>
      <w:r w:rsidR="00FA5096">
        <w:rPr>
          <w:rFonts w:eastAsia="Calibri"/>
          <w:lang w:eastAsia="en-US"/>
        </w:rPr>
        <w:t xml:space="preserve">, </w:t>
      </w:r>
      <w:r w:rsidR="00FA5096" w:rsidRPr="00FA5096">
        <w:rPr>
          <w:rFonts w:eastAsia="Calibri"/>
          <w:lang w:eastAsia="en-US"/>
        </w:rPr>
        <w:t>posant des risques de maladie et de grossesse</w:t>
      </w:r>
      <w:r w:rsidR="00FA5096">
        <w:rPr>
          <w:rStyle w:val="Appelnotedebasdep"/>
          <w:rFonts w:eastAsia="Calibri" w:cs="Arial"/>
          <w:szCs w:val="24"/>
          <w:lang w:eastAsia="en-US"/>
        </w:rPr>
        <w:footnoteReference w:id="31"/>
      </w:r>
      <w:r w:rsidR="00FB03F4">
        <w:rPr>
          <w:rFonts w:eastAsia="Calibri"/>
          <w:lang w:eastAsia="en-US"/>
        </w:rPr>
        <w:t>.</w:t>
      </w:r>
    </w:p>
    <w:p w14:paraId="2001C764" w14:textId="3F18EDC3" w:rsidR="005B64A2" w:rsidRPr="005B64A2" w:rsidRDefault="005B64A2" w:rsidP="00D90F35">
      <w:pPr>
        <w:pStyle w:val="Paragraphe"/>
        <w:keepLines/>
        <w:numPr>
          <w:ilvl w:val="0"/>
          <w:numId w:val="0"/>
        </w:numPr>
        <w:ind w:firstLine="720"/>
        <w:rPr>
          <w:u w:val="single"/>
        </w:rPr>
      </w:pPr>
      <w:r w:rsidRPr="005B64A2">
        <w:rPr>
          <w:u w:val="single"/>
        </w:rPr>
        <w:t>La fréquence des infractions et l'espace temporel qui les contient</w:t>
      </w:r>
    </w:p>
    <w:p w14:paraId="0CACD051" w14:textId="3E29C4BB" w:rsidR="0038154E" w:rsidRDefault="00C356E7" w:rsidP="00D90F35">
      <w:pPr>
        <w:pStyle w:val="Paragraphe"/>
        <w:keepLines/>
        <w:spacing w:line="240" w:lineRule="auto"/>
        <w:rPr>
          <w:szCs w:val="24"/>
        </w:rPr>
      </w:pPr>
      <w:r>
        <w:rPr>
          <w:szCs w:val="24"/>
        </w:rPr>
        <w:t xml:space="preserve">Il s’agit d’événements isolés qui s’inscrivent dans un contexte où les contrevenants célèbrent la victoire leur ayant permis de remporter la Coupe du Président de la </w:t>
      </w:r>
      <w:r w:rsidRPr="003E1AB8">
        <w:rPr>
          <w:i/>
          <w:iCs/>
          <w:szCs w:val="24"/>
        </w:rPr>
        <w:t>LHJMQ</w:t>
      </w:r>
      <w:r>
        <w:rPr>
          <w:szCs w:val="24"/>
        </w:rPr>
        <w:t>.</w:t>
      </w:r>
    </w:p>
    <w:p w14:paraId="0F298F61" w14:textId="77777777" w:rsidR="00CD3DBD" w:rsidRDefault="00CD3DBD" w:rsidP="00D90F35">
      <w:pPr>
        <w:pStyle w:val="Paragraphe"/>
        <w:keepLines/>
        <w:spacing w:line="240" w:lineRule="auto"/>
        <w:rPr>
          <w:szCs w:val="24"/>
        </w:rPr>
      </w:pPr>
      <w:r>
        <w:rPr>
          <w:szCs w:val="24"/>
        </w:rPr>
        <w:t>L’agression sexuelle à dimension collective se produit durant une quarantaine de minutes. Par la suite, lors du départ de Nicolas Daigle de la chambre, l’agression sexuelle se poursuit par Massimo Siciliano. Le Tribunal conclut qu’il s’agit de gestes isolés qui se déroulent sur une période prolongée.</w:t>
      </w:r>
    </w:p>
    <w:p w14:paraId="609CF836" w14:textId="4FEF0635" w:rsidR="00C356E7" w:rsidRPr="00CD3DBD" w:rsidRDefault="00C356E7" w:rsidP="00D90F35">
      <w:pPr>
        <w:pStyle w:val="Paragraphe"/>
        <w:keepLines/>
        <w:numPr>
          <w:ilvl w:val="0"/>
          <w:numId w:val="0"/>
        </w:numPr>
        <w:spacing w:line="240" w:lineRule="auto"/>
        <w:ind w:left="734"/>
        <w:rPr>
          <w:szCs w:val="24"/>
        </w:rPr>
      </w:pPr>
      <w:r w:rsidRPr="00CD3DBD">
        <w:rPr>
          <w:u w:val="single"/>
        </w:rPr>
        <w:t>L'abus de confiance et l'abus d'autorité caractérisant les relations du délinquant avec la victime</w:t>
      </w:r>
    </w:p>
    <w:p w14:paraId="22D8114B" w14:textId="0B1B9B4E" w:rsidR="00C356E7" w:rsidRDefault="00C356E7" w:rsidP="00293BCB">
      <w:pPr>
        <w:pStyle w:val="Paragraphe"/>
        <w:spacing w:line="240" w:lineRule="auto"/>
        <w:rPr>
          <w:rFonts w:eastAsia="Calibri"/>
          <w:lang w:eastAsia="en-US"/>
        </w:rPr>
      </w:pPr>
      <w:r>
        <w:rPr>
          <w:rFonts w:eastAsia="Calibri"/>
          <w:lang w:eastAsia="en-US"/>
        </w:rPr>
        <w:t>Le Tribunal considère que le présent dossier démontre une situation d’abus de confiance. La trame factuelle révèle que la victime a initialement refusé une première invitation de certains joueurs des Tigres de Victoriaville à célébrer avec eux</w:t>
      </w:r>
      <w:r>
        <w:rPr>
          <w:rStyle w:val="Appelnotedebasdep"/>
          <w:rFonts w:eastAsia="Calibri" w:cs="Arial"/>
          <w:szCs w:val="24"/>
          <w:lang w:eastAsia="en-US"/>
        </w:rPr>
        <w:footnoteReference w:id="32"/>
      </w:r>
      <w:r w:rsidR="006C4236">
        <w:rPr>
          <w:rFonts w:eastAsia="Calibri"/>
          <w:lang w:eastAsia="en-US"/>
        </w:rPr>
        <w:t>,</w:t>
      </w:r>
      <w:r>
        <w:rPr>
          <w:rFonts w:eastAsia="Calibri"/>
          <w:lang w:eastAsia="en-US"/>
        </w:rPr>
        <w:t xml:space="preserve"> </w:t>
      </w:r>
      <w:r w:rsidR="006C4236">
        <w:rPr>
          <w:rFonts w:eastAsia="Calibri"/>
          <w:lang w:eastAsia="en-US"/>
        </w:rPr>
        <w:t>ainsi qu’</w:t>
      </w:r>
      <w:r>
        <w:rPr>
          <w:rFonts w:eastAsia="Calibri"/>
          <w:lang w:eastAsia="en-US"/>
        </w:rPr>
        <w:t>une deuxième invitation de Nicolas Daigle à venir dormir avec lui</w:t>
      </w:r>
      <w:r>
        <w:rPr>
          <w:rStyle w:val="Appelnotedebasdep"/>
          <w:rFonts w:eastAsia="Calibri" w:cs="Arial"/>
          <w:szCs w:val="24"/>
          <w:lang w:eastAsia="en-US"/>
        </w:rPr>
        <w:footnoteReference w:id="33"/>
      </w:r>
      <w:r>
        <w:rPr>
          <w:rFonts w:eastAsia="Calibri"/>
          <w:lang w:eastAsia="en-US"/>
        </w:rPr>
        <w:t xml:space="preserve">. Relancée par </w:t>
      </w:r>
      <w:r>
        <w:rPr>
          <w:rFonts w:eastAsia="Calibri"/>
          <w:lang w:eastAsia="en-US"/>
        </w:rPr>
        <w:lastRenderedPageBreak/>
        <w:t>Nicolas Daigle qui l’invite de nouveau</w:t>
      </w:r>
      <w:r>
        <w:rPr>
          <w:rStyle w:val="Appelnotedebasdep"/>
          <w:rFonts w:eastAsia="Calibri" w:cs="Arial"/>
          <w:szCs w:val="24"/>
          <w:lang w:eastAsia="en-US"/>
        </w:rPr>
        <w:footnoteReference w:id="34"/>
      </w:r>
      <w:r>
        <w:rPr>
          <w:rFonts w:eastAsia="Calibri"/>
          <w:lang w:eastAsia="en-US"/>
        </w:rPr>
        <w:t>, elle accepte finalement d’aller le rejoindre. Cependant, dans le stationnement de l’hôtel, elle tient à s’assurer que ce dernier est seul</w:t>
      </w:r>
      <w:r w:rsidR="00D232CE">
        <w:rPr>
          <w:rStyle w:val="Appelnotedebasdep"/>
          <w:rFonts w:eastAsia="Calibri"/>
          <w:lang w:eastAsia="en-US"/>
        </w:rPr>
        <w:footnoteReference w:id="35"/>
      </w:r>
      <w:r>
        <w:rPr>
          <w:rFonts w:eastAsia="Calibri"/>
          <w:lang w:eastAsia="en-US"/>
        </w:rPr>
        <w:t xml:space="preserve">. Lorsqu’elle apprend que Nicolas Daigle est avec un ami, elle lui communique, </w:t>
      </w:r>
      <w:r w:rsidRPr="00BE3F46">
        <w:rPr>
          <w:rFonts w:eastAsia="Calibri"/>
          <w:u w:val="single"/>
          <w:lang w:eastAsia="en-US"/>
        </w:rPr>
        <w:t>à quelques reprises</w:t>
      </w:r>
      <w:r>
        <w:rPr>
          <w:rFonts w:eastAsia="Calibri"/>
          <w:lang w:eastAsia="en-US"/>
        </w:rPr>
        <w:t>, qu’elle veut être seule avec lui. Elle refuse spécifiquement une relation sexuelle à trois</w:t>
      </w:r>
      <w:r w:rsidR="00D232CE">
        <w:rPr>
          <w:rStyle w:val="Appelnotedebasdep"/>
          <w:rFonts w:eastAsia="Calibri"/>
          <w:lang w:eastAsia="en-US"/>
        </w:rPr>
        <w:footnoteReference w:id="36"/>
      </w:r>
      <w:r>
        <w:rPr>
          <w:rFonts w:eastAsia="Calibri"/>
          <w:lang w:eastAsia="en-US"/>
        </w:rPr>
        <w:t>. Avant de se rendre dans la chambre d’hôtel, elle reçoit l’assurance que Nicolas Daigle sera seul. Dans ces circonstances, le Tribunal est d’avis que les contrevenants ont abusé de la confiance de la victime en l’attirant dans la chambre d’hôtel par une forme de supercherie. Cette dernière exprime d’ailleurs être tombée dans un piège</w:t>
      </w:r>
      <w:r>
        <w:rPr>
          <w:rStyle w:val="Appelnotedebasdep"/>
          <w:rFonts w:eastAsia="Calibri" w:cs="Arial"/>
          <w:szCs w:val="24"/>
          <w:lang w:eastAsia="en-US"/>
        </w:rPr>
        <w:footnoteReference w:id="37"/>
      </w:r>
      <w:r>
        <w:rPr>
          <w:rFonts w:eastAsia="Calibri"/>
          <w:lang w:eastAsia="en-US"/>
        </w:rPr>
        <w:t>.</w:t>
      </w:r>
    </w:p>
    <w:p w14:paraId="34A31712" w14:textId="6AD2A731" w:rsidR="00F06E64" w:rsidRPr="002C3299" w:rsidRDefault="00C356E7" w:rsidP="002C3299">
      <w:pPr>
        <w:pStyle w:val="Paragraphe"/>
        <w:keepLines/>
        <w:spacing w:line="240" w:lineRule="auto"/>
        <w:rPr>
          <w:szCs w:val="24"/>
        </w:rPr>
      </w:pPr>
      <w:r w:rsidRPr="00C356E7">
        <w:rPr>
          <w:rFonts w:eastAsia="Calibri" w:cs="Arial"/>
          <w:szCs w:val="24"/>
          <w:lang w:eastAsia="en-US"/>
        </w:rPr>
        <w:t xml:space="preserve">Récemment, dans l’arrêt </w:t>
      </w:r>
      <w:r w:rsidRPr="00D232CE">
        <w:rPr>
          <w:rFonts w:eastAsia="Calibri" w:cs="Arial"/>
          <w:i/>
          <w:iCs/>
          <w:szCs w:val="24"/>
          <w:lang w:eastAsia="en-US"/>
        </w:rPr>
        <w:t>Pierre</w:t>
      </w:r>
      <w:r>
        <w:rPr>
          <w:rStyle w:val="Appelnotedebasdep"/>
          <w:rFonts w:eastAsia="Calibri" w:cs="Arial"/>
          <w:szCs w:val="24"/>
          <w:lang w:eastAsia="en-US"/>
        </w:rPr>
        <w:footnoteReference w:id="38"/>
      </w:r>
      <w:r w:rsidRPr="00C356E7">
        <w:rPr>
          <w:rFonts w:eastAsia="Calibri" w:cs="Arial"/>
          <w:szCs w:val="24"/>
          <w:lang w:eastAsia="en-US"/>
        </w:rPr>
        <w:t xml:space="preserve">, la Cour d’appel du Québec rappelait que les situations d’abus de confiance ne sont pas restreintes au « cas classique » mettant en cause un membre de la famille ou un enseignant. Elle précise que </w:t>
      </w:r>
      <w:r w:rsidRPr="00C356E7">
        <w:rPr>
          <w:rFonts w:cs="Arial"/>
          <w:color w:val="000000"/>
        </w:rPr>
        <w:t>la relation de confiance établie entre un agresseur et une victime n’a pas non plus à être « forte » pour être prise en compte parmi les facteurs aggravants</w:t>
      </w:r>
      <w:r>
        <w:rPr>
          <w:rStyle w:val="Appelnotedebasdep"/>
          <w:rFonts w:cs="Arial"/>
          <w:color w:val="000000"/>
        </w:rPr>
        <w:footnoteReference w:id="39"/>
      </w:r>
      <w:r w:rsidRPr="00C356E7">
        <w:rPr>
          <w:rFonts w:cs="Arial"/>
          <w:color w:val="000000"/>
        </w:rPr>
        <w:t>.</w:t>
      </w:r>
    </w:p>
    <w:p w14:paraId="41C6560D" w14:textId="4DC27B79" w:rsidR="00C356E7" w:rsidRPr="00C356E7" w:rsidRDefault="00C356E7" w:rsidP="00D90F35">
      <w:pPr>
        <w:pStyle w:val="Paragraphe"/>
        <w:keepLines/>
        <w:numPr>
          <w:ilvl w:val="0"/>
          <w:numId w:val="0"/>
        </w:numPr>
        <w:spacing w:line="240" w:lineRule="auto"/>
        <w:ind w:left="720"/>
        <w:rPr>
          <w:u w:val="single"/>
        </w:rPr>
      </w:pPr>
      <w:r w:rsidRPr="00C356E7">
        <w:rPr>
          <w:u w:val="single"/>
        </w:rPr>
        <w:t xml:space="preserve">Les désordres sous-jacents à la commission des infractions: détresse psychologique du délinquant, pathologie et déviance, intoxication, etc. </w:t>
      </w:r>
    </w:p>
    <w:p w14:paraId="6FB342D6" w14:textId="2000A1B8" w:rsidR="002C3299" w:rsidRPr="00293BCB" w:rsidRDefault="00D85DA5" w:rsidP="00293BCB">
      <w:pPr>
        <w:pStyle w:val="Paragraphe"/>
        <w:keepLines/>
        <w:spacing w:line="240" w:lineRule="auto"/>
        <w:rPr>
          <w:szCs w:val="24"/>
        </w:rPr>
      </w:pPr>
      <w:r>
        <w:rPr>
          <w:szCs w:val="24"/>
        </w:rPr>
        <w:t xml:space="preserve">La preuve </w:t>
      </w:r>
      <w:r w:rsidR="003E15B1">
        <w:rPr>
          <w:szCs w:val="24"/>
        </w:rPr>
        <w:t xml:space="preserve">ne </w:t>
      </w:r>
      <w:r w:rsidR="009A7B22">
        <w:rPr>
          <w:szCs w:val="24"/>
        </w:rPr>
        <w:t xml:space="preserve">révèle </w:t>
      </w:r>
      <w:r w:rsidR="003E15B1">
        <w:rPr>
          <w:szCs w:val="24"/>
        </w:rPr>
        <w:t xml:space="preserve">pas </w:t>
      </w:r>
      <w:r w:rsidR="009A7B22">
        <w:rPr>
          <w:szCs w:val="24"/>
        </w:rPr>
        <w:t xml:space="preserve">que les contrevenants possèdent </w:t>
      </w:r>
      <w:r w:rsidR="00B14660">
        <w:rPr>
          <w:szCs w:val="24"/>
        </w:rPr>
        <w:t xml:space="preserve">une </w:t>
      </w:r>
      <w:r w:rsidR="003E15B1" w:rsidRPr="00B14660">
        <w:rPr>
          <w:szCs w:val="24"/>
        </w:rPr>
        <w:t>quelconque</w:t>
      </w:r>
      <w:r w:rsidR="009A7B22">
        <w:rPr>
          <w:szCs w:val="24"/>
        </w:rPr>
        <w:t xml:space="preserve"> pathologie</w:t>
      </w:r>
      <w:r w:rsidR="003E15B1">
        <w:rPr>
          <w:szCs w:val="24"/>
        </w:rPr>
        <w:t xml:space="preserve">, </w:t>
      </w:r>
      <w:r w:rsidR="009A7B22">
        <w:rPr>
          <w:szCs w:val="24"/>
        </w:rPr>
        <w:t>déviance</w:t>
      </w:r>
      <w:r w:rsidR="003E15B1">
        <w:rPr>
          <w:szCs w:val="24"/>
        </w:rPr>
        <w:t xml:space="preserve"> ou problématique d’assuétude</w:t>
      </w:r>
      <w:r w:rsidR="0096687E">
        <w:rPr>
          <w:szCs w:val="24"/>
        </w:rPr>
        <w:t xml:space="preserve">. </w:t>
      </w:r>
      <w:r w:rsidR="003E15B1">
        <w:rPr>
          <w:szCs w:val="24"/>
        </w:rPr>
        <w:t xml:space="preserve">Au moment de la commission des </w:t>
      </w:r>
      <w:r w:rsidR="0096687E">
        <w:rPr>
          <w:szCs w:val="24"/>
        </w:rPr>
        <w:t>infraction</w:t>
      </w:r>
      <w:r w:rsidR="003E15B1">
        <w:rPr>
          <w:szCs w:val="24"/>
        </w:rPr>
        <w:t xml:space="preserve">s, </w:t>
      </w:r>
      <w:r w:rsidR="0096687E">
        <w:rPr>
          <w:szCs w:val="24"/>
        </w:rPr>
        <w:t xml:space="preserve">les contrevenants sont </w:t>
      </w:r>
      <w:r w:rsidR="003E15B1">
        <w:rPr>
          <w:szCs w:val="24"/>
        </w:rPr>
        <w:t>intoxiqués par l’alcool</w:t>
      </w:r>
      <w:r w:rsidR="0096687E">
        <w:rPr>
          <w:szCs w:val="24"/>
        </w:rPr>
        <w:t>.</w:t>
      </w:r>
    </w:p>
    <w:p w14:paraId="2757891D" w14:textId="07E429FB" w:rsidR="00EC0F99" w:rsidRPr="00EC0F99" w:rsidRDefault="00EC0F99" w:rsidP="00D90F35">
      <w:pPr>
        <w:pStyle w:val="Paragraphe"/>
        <w:keepLines/>
        <w:numPr>
          <w:ilvl w:val="0"/>
          <w:numId w:val="0"/>
        </w:numPr>
        <w:spacing w:line="240" w:lineRule="auto"/>
        <w:ind w:left="720"/>
        <w:rPr>
          <w:u w:val="single"/>
        </w:rPr>
      </w:pPr>
      <w:r w:rsidRPr="00EC0F99">
        <w:rPr>
          <w:u w:val="single"/>
        </w:rPr>
        <w:t>Les condamnations antérieures du délinquant: proximité temporelle avec l'infraction reprochée et nature des condamnations antérieures</w:t>
      </w:r>
    </w:p>
    <w:p w14:paraId="5786B704" w14:textId="4E90C6DD" w:rsidR="00EC0F99" w:rsidRDefault="00EC0F99" w:rsidP="00D90F35">
      <w:pPr>
        <w:pStyle w:val="Paragraphe"/>
        <w:keepLines/>
        <w:spacing w:line="240" w:lineRule="auto"/>
        <w:rPr>
          <w:szCs w:val="24"/>
        </w:rPr>
      </w:pPr>
      <w:r>
        <w:rPr>
          <w:szCs w:val="24"/>
        </w:rPr>
        <w:t xml:space="preserve">Les deux contrevenants n’ont </w:t>
      </w:r>
      <w:r w:rsidR="00337E16">
        <w:rPr>
          <w:szCs w:val="24"/>
        </w:rPr>
        <w:t>pas</w:t>
      </w:r>
      <w:r>
        <w:rPr>
          <w:szCs w:val="24"/>
        </w:rPr>
        <w:t xml:space="preserve"> </w:t>
      </w:r>
      <w:r w:rsidR="00337E16">
        <w:rPr>
          <w:szCs w:val="24"/>
        </w:rPr>
        <w:t>d’</w:t>
      </w:r>
      <w:r>
        <w:rPr>
          <w:szCs w:val="24"/>
        </w:rPr>
        <w:t>antécédent</w:t>
      </w:r>
      <w:r w:rsidR="00337E16">
        <w:rPr>
          <w:szCs w:val="24"/>
        </w:rPr>
        <w:t>s</w:t>
      </w:r>
      <w:r>
        <w:rPr>
          <w:szCs w:val="24"/>
        </w:rPr>
        <w:t xml:space="preserve"> judiciaire</w:t>
      </w:r>
      <w:r w:rsidR="00337E16">
        <w:rPr>
          <w:szCs w:val="24"/>
        </w:rPr>
        <w:t>s</w:t>
      </w:r>
      <w:r>
        <w:rPr>
          <w:szCs w:val="24"/>
        </w:rPr>
        <w:t>.</w:t>
      </w:r>
    </w:p>
    <w:p w14:paraId="7CAB2BE0" w14:textId="1481DCA9" w:rsidR="00EC0F99" w:rsidRPr="00EC0F99" w:rsidRDefault="00EC0F99" w:rsidP="00D90F35">
      <w:pPr>
        <w:pStyle w:val="Paragraphe"/>
        <w:keepLines/>
        <w:numPr>
          <w:ilvl w:val="0"/>
          <w:numId w:val="0"/>
        </w:numPr>
        <w:spacing w:line="240" w:lineRule="auto"/>
        <w:ind w:left="720"/>
        <w:rPr>
          <w:u w:val="single"/>
        </w:rPr>
      </w:pPr>
      <w:r w:rsidRPr="00EC0F99">
        <w:rPr>
          <w:u w:val="single"/>
        </w:rPr>
        <w:t>Le comportement du délinquant après la commission des infractions: aveux, collaboration à l'enquête, implication immédiate dans un programme de traitement, potentiel de réadaptation, assistance financière s'il y a lieu, compassion et empathie à l'endroit des victimes (remords, regrets, etc.)</w:t>
      </w:r>
    </w:p>
    <w:p w14:paraId="59787000" w14:textId="3B1DBDB5" w:rsidR="00BD52EE" w:rsidRDefault="003E15B1" w:rsidP="00D90F35">
      <w:pPr>
        <w:pStyle w:val="Paragraphe"/>
        <w:keepLines/>
        <w:spacing w:line="240" w:lineRule="auto"/>
        <w:rPr>
          <w:szCs w:val="24"/>
        </w:rPr>
      </w:pPr>
      <w:r>
        <w:rPr>
          <w:szCs w:val="24"/>
        </w:rPr>
        <w:t xml:space="preserve">Les deux contrevenants enregistrent des plaidoyers de culpabilité au début d’un procès fixé pour </w:t>
      </w:r>
      <w:r w:rsidR="001950A9">
        <w:rPr>
          <w:szCs w:val="24"/>
        </w:rPr>
        <w:t>11</w:t>
      </w:r>
      <w:r>
        <w:rPr>
          <w:szCs w:val="24"/>
        </w:rPr>
        <w:t xml:space="preserve"> jours d’audience.</w:t>
      </w:r>
      <w:r w:rsidR="00BD52EE">
        <w:rPr>
          <w:szCs w:val="24"/>
        </w:rPr>
        <w:t xml:space="preserve"> </w:t>
      </w:r>
    </w:p>
    <w:p w14:paraId="10CAC2B4" w14:textId="1D6F4BD1" w:rsidR="00EC0F99" w:rsidRDefault="00BD52EE" w:rsidP="00D90F35">
      <w:pPr>
        <w:pStyle w:val="Paragraphe"/>
        <w:keepLines/>
        <w:spacing w:line="240" w:lineRule="auto"/>
        <w:rPr>
          <w:szCs w:val="24"/>
        </w:rPr>
      </w:pPr>
      <w:r>
        <w:rPr>
          <w:szCs w:val="24"/>
        </w:rPr>
        <w:lastRenderedPageBreak/>
        <w:t>Lors de l’audience sur la détermination de la peine, Nicolas Daigle exprime des regrets</w:t>
      </w:r>
      <w:r w:rsidR="007B74E7">
        <w:rPr>
          <w:szCs w:val="24"/>
        </w:rPr>
        <w:t xml:space="preserve"> sentis</w:t>
      </w:r>
      <w:r>
        <w:rPr>
          <w:szCs w:val="24"/>
        </w:rPr>
        <w:t xml:space="preserve"> et de la honte face aux gestes commis. Il fait la lecture d’une lettre d’excuse rédigée à l’attention de la victime. </w:t>
      </w:r>
      <w:r w:rsidR="00F022D8">
        <w:rPr>
          <w:szCs w:val="24"/>
        </w:rPr>
        <w:t>Le risque de récidive sexuel est considéré faible. Il a récemment entamé un suivi psychologique.</w:t>
      </w:r>
    </w:p>
    <w:p w14:paraId="10985992" w14:textId="4766DFD7" w:rsidR="00430F8B" w:rsidRPr="00C356E7" w:rsidRDefault="00430F8B" w:rsidP="00D90F35">
      <w:pPr>
        <w:pStyle w:val="Paragraphe"/>
        <w:keepLines/>
        <w:spacing w:line="240" w:lineRule="auto"/>
        <w:rPr>
          <w:szCs w:val="24"/>
        </w:rPr>
      </w:pPr>
      <w:r>
        <w:rPr>
          <w:szCs w:val="24"/>
        </w:rPr>
        <w:t>De son côté, Massimo Siciliano exprime des remords et de la honte face aux répercussions des gestes commis. Il déclare être sincèrement désolé pour la victime et les membres de sa famille. Le risque de récidive sexuel est considéré faible. Un suivi spécialisé est néanmoins recommandé</w:t>
      </w:r>
      <w:r w:rsidR="005D4F13">
        <w:rPr>
          <w:szCs w:val="24"/>
        </w:rPr>
        <w:t xml:space="preserve"> par l’expert ayant procédé à l’évaluation de la gestion du risque de récidive criminelle. Massimo Siciliano se dit disposé à participer à un tel suivi.</w:t>
      </w:r>
    </w:p>
    <w:p w14:paraId="45C4838A" w14:textId="3FBBC25F" w:rsidR="00D755E6" w:rsidRPr="00CD511D" w:rsidRDefault="00BD52EE" w:rsidP="00D90F35">
      <w:pPr>
        <w:pStyle w:val="Paragraphe"/>
        <w:keepLines/>
        <w:spacing w:line="240" w:lineRule="auto"/>
        <w:rPr>
          <w:szCs w:val="24"/>
        </w:rPr>
      </w:pPr>
      <w:r>
        <w:rPr>
          <w:szCs w:val="24"/>
        </w:rPr>
        <w:t>Le</w:t>
      </w:r>
      <w:r w:rsidR="005D4F13">
        <w:rPr>
          <w:szCs w:val="24"/>
        </w:rPr>
        <w:t xml:space="preserve"> Tribunal conclut que le</w:t>
      </w:r>
      <w:r>
        <w:rPr>
          <w:szCs w:val="24"/>
        </w:rPr>
        <w:t xml:space="preserve">s deux contrevenants présentent un potentiel de réadaptation fort positif. </w:t>
      </w:r>
    </w:p>
    <w:p w14:paraId="66A6E012" w14:textId="458065C3" w:rsidR="0038154E" w:rsidRPr="005D4F13" w:rsidRDefault="0038154E" w:rsidP="00D90F35">
      <w:pPr>
        <w:pStyle w:val="Default"/>
        <w:keepLines/>
        <w:spacing w:after="277"/>
        <w:ind w:left="720"/>
        <w:jc w:val="both"/>
        <w:rPr>
          <w:u w:val="single"/>
        </w:rPr>
      </w:pPr>
      <w:r w:rsidRPr="005D4F13">
        <w:rPr>
          <w:u w:val="single"/>
        </w:rPr>
        <w:t>Le délai entre la commission des infractions et la déclaration de culpabilité comme facteur d'atténuation selon le comportement du délinquant (âge du délinquant, intégration sociale et professionnelle, commission d'autres infractions, etc.)</w:t>
      </w:r>
    </w:p>
    <w:p w14:paraId="71F4D5A1" w14:textId="6DA70416" w:rsidR="0038154E" w:rsidRDefault="005D4F13" w:rsidP="00D90F35">
      <w:pPr>
        <w:pStyle w:val="Paragraphe"/>
        <w:keepLines/>
        <w:spacing w:line="240" w:lineRule="auto"/>
      </w:pPr>
      <w:r>
        <w:t xml:space="preserve">Les contrevenants ont été déclarés coupables </w:t>
      </w:r>
      <w:r w:rsidR="001473CA">
        <w:t>à la suite de</w:t>
      </w:r>
      <w:r>
        <w:t xml:space="preserve"> l’enregistrement des plaidoyers de culpabilité le 11 octobre 2023, soit deux ans et quatre mois</w:t>
      </w:r>
      <w:r w:rsidR="001473CA">
        <w:t xml:space="preserve"> après la commission des infractions.</w:t>
      </w:r>
    </w:p>
    <w:p w14:paraId="48BE9F0C" w14:textId="02F4F611" w:rsidR="008C2CFA" w:rsidRPr="00F93222" w:rsidRDefault="001473CA" w:rsidP="00D90F35">
      <w:pPr>
        <w:pStyle w:val="Paragraphe"/>
        <w:keepLines/>
        <w:spacing w:line="240" w:lineRule="auto"/>
      </w:pPr>
      <w:r>
        <w:t xml:space="preserve">Ils n’ont commis aucune infraction durant cette période. Le processus judiciaire a mis fin à leur espoir de poursuivre leur carrière </w:t>
      </w:r>
      <w:r w:rsidR="00BE1EAC" w:rsidRPr="00485CFD">
        <w:t>d</w:t>
      </w:r>
      <w:r w:rsidR="00514DDB" w:rsidRPr="00485CFD">
        <w:t>’</w:t>
      </w:r>
      <w:r w:rsidR="00BE1EAC" w:rsidRPr="00485CFD">
        <w:t>hockeyeur</w:t>
      </w:r>
      <w:r w:rsidR="00BE1EAC">
        <w:t>. Ils occupent un emploi et poursuivent leur parcours académique</w:t>
      </w:r>
      <w:r w:rsidR="008C2CFA">
        <w:t xml:space="preserve"> au niveau universitaire.</w:t>
      </w:r>
    </w:p>
    <w:p w14:paraId="4BC7A005" w14:textId="1947B3F1" w:rsidR="005D4F13" w:rsidRPr="008C2CFA" w:rsidRDefault="005D4F13" w:rsidP="00D90F35">
      <w:pPr>
        <w:pStyle w:val="Paragraphe"/>
        <w:keepLines/>
        <w:numPr>
          <w:ilvl w:val="0"/>
          <w:numId w:val="0"/>
        </w:numPr>
        <w:spacing w:line="240" w:lineRule="auto"/>
        <w:ind w:left="734"/>
        <w:rPr>
          <w:u w:val="single"/>
        </w:rPr>
      </w:pPr>
      <w:r w:rsidRPr="008C2CFA">
        <w:rPr>
          <w:u w:val="single"/>
        </w:rPr>
        <w:t>La gravité des atteintes à l'intégrité physique et psychologique de la victime, se traduisant, notamment, par</w:t>
      </w:r>
      <w:r w:rsidR="00514DDB">
        <w:rPr>
          <w:u w:val="single"/>
        </w:rPr>
        <w:t xml:space="preserve"> l’âge</w:t>
      </w:r>
      <w:r w:rsidRPr="008C2CFA">
        <w:rPr>
          <w:u w:val="single"/>
        </w:rPr>
        <w:t xml:space="preserve">, la nature et l'ampleur de l'agression, la fréquence et </w:t>
      </w:r>
      <w:r w:rsidR="00514DDB">
        <w:rPr>
          <w:u w:val="single"/>
        </w:rPr>
        <w:t>l</w:t>
      </w:r>
      <w:r w:rsidRPr="008C2CFA">
        <w:rPr>
          <w:u w:val="single"/>
        </w:rPr>
        <w:t xml:space="preserve">a durée, le caractère de la victime, sa vulnérabilité (déficience mentale ou physique), l'abus de confiance ou d'autorité, les séquelles traumatiques, etc. </w:t>
      </w:r>
    </w:p>
    <w:p w14:paraId="4FA03528" w14:textId="77777777" w:rsidR="00AC1F85" w:rsidRDefault="008C2CFA" w:rsidP="00D90F35">
      <w:pPr>
        <w:pStyle w:val="Paragraphe"/>
        <w:keepLines/>
        <w:spacing w:line="240" w:lineRule="auto"/>
        <w:rPr>
          <w:rFonts w:eastAsia="Calibri"/>
          <w:lang w:eastAsia="en-US"/>
        </w:rPr>
      </w:pPr>
      <w:r>
        <w:rPr>
          <w:rFonts w:eastAsia="Calibri"/>
          <w:lang w:eastAsia="en-US"/>
        </w:rPr>
        <w:t xml:space="preserve">Le témoignage de la victime révèle des atteintes importantes à son intégrité physique, psychologique et sexuelle. Il démontre également des </w:t>
      </w:r>
      <w:r w:rsidR="00AC1F85">
        <w:rPr>
          <w:rFonts w:eastAsia="Calibri"/>
          <w:lang w:eastAsia="en-US"/>
        </w:rPr>
        <w:t>répercussions</w:t>
      </w:r>
      <w:r>
        <w:rPr>
          <w:rFonts w:eastAsia="Calibri"/>
          <w:lang w:eastAsia="en-US"/>
        </w:rPr>
        <w:t xml:space="preserve"> au niveau de son parcours académique</w:t>
      </w:r>
      <w:r w:rsidR="00AC1F85">
        <w:rPr>
          <w:rFonts w:eastAsia="Calibri"/>
          <w:lang w:eastAsia="en-US"/>
        </w:rPr>
        <w:t xml:space="preserve">. Sa famille et ses proches ont également subi des conséquences de ces événements. </w:t>
      </w:r>
    </w:p>
    <w:p w14:paraId="5AB9A49B" w14:textId="20BBA50F" w:rsidR="00F6405D" w:rsidRDefault="00F6405D" w:rsidP="00D90F35">
      <w:pPr>
        <w:pStyle w:val="Paragraphe"/>
        <w:keepLines/>
        <w:spacing w:line="240" w:lineRule="auto"/>
        <w:rPr>
          <w:rFonts w:eastAsia="Calibri"/>
          <w:lang w:eastAsia="en-US"/>
        </w:rPr>
      </w:pPr>
      <w:r>
        <w:rPr>
          <w:rFonts w:eastAsia="Calibri"/>
          <w:lang w:eastAsia="en-US"/>
        </w:rPr>
        <w:t>L’enregistrement vidéo de la victime comporte une atteinte à la vie privée et à la dignité de la victime</w:t>
      </w:r>
      <w:r>
        <w:rPr>
          <w:rStyle w:val="Appelnotedebasdep"/>
          <w:rFonts w:eastAsia="Calibri"/>
          <w:lang w:eastAsia="en-US"/>
        </w:rPr>
        <w:footnoteReference w:id="40"/>
      </w:r>
      <w:r>
        <w:rPr>
          <w:rFonts w:eastAsia="Calibri"/>
          <w:lang w:eastAsia="en-US"/>
        </w:rPr>
        <w:t>.</w:t>
      </w:r>
    </w:p>
    <w:p w14:paraId="4452BE27" w14:textId="053287D4" w:rsidR="005D4F13" w:rsidRDefault="00D755E6" w:rsidP="00D90F35">
      <w:pPr>
        <w:pStyle w:val="Paragraphe"/>
        <w:keepLines/>
        <w:spacing w:line="240" w:lineRule="auto"/>
        <w:rPr>
          <w:rFonts w:eastAsia="Calibri"/>
          <w:lang w:eastAsia="en-US"/>
        </w:rPr>
      </w:pPr>
      <w:r>
        <w:rPr>
          <w:rFonts w:eastAsia="Calibri"/>
          <w:lang w:eastAsia="en-US"/>
        </w:rPr>
        <w:lastRenderedPageBreak/>
        <w:t>Conformément à son témoignage, l</w:t>
      </w:r>
      <w:r w:rsidR="00AC1F85">
        <w:rPr>
          <w:rFonts w:eastAsia="Calibri"/>
          <w:lang w:eastAsia="en-US"/>
        </w:rPr>
        <w:t xml:space="preserve">a victime </w:t>
      </w:r>
      <w:r>
        <w:rPr>
          <w:rFonts w:eastAsia="Calibri"/>
          <w:lang w:eastAsia="en-US"/>
        </w:rPr>
        <w:t>est en situation de</w:t>
      </w:r>
      <w:r w:rsidR="00AC1F85">
        <w:rPr>
          <w:rFonts w:eastAsia="Calibri"/>
          <w:lang w:eastAsia="en-US"/>
        </w:rPr>
        <w:t xml:space="preserve"> vulnérabilité </w:t>
      </w:r>
      <w:r>
        <w:rPr>
          <w:rFonts w:eastAsia="Calibri"/>
          <w:lang w:eastAsia="en-US"/>
        </w:rPr>
        <w:t>au moment</w:t>
      </w:r>
      <w:r w:rsidR="00AC1F85">
        <w:rPr>
          <w:rFonts w:eastAsia="Calibri"/>
          <w:lang w:eastAsia="en-US"/>
        </w:rPr>
        <w:t xml:space="preserve"> des événements. À cet égard, la preuve révèle que</w:t>
      </w:r>
      <w:r w:rsidR="00FE33FE">
        <w:rPr>
          <w:rFonts w:eastAsia="Calibri"/>
          <w:lang w:eastAsia="en-US"/>
        </w:rPr>
        <w:t xml:space="preserve"> </w:t>
      </w:r>
      <w:r w:rsidR="00AC1F85">
        <w:rPr>
          <w:rFonts w:eastAsia="Calibri"/>
          <w:lang w:eastAsia="en-US"/>
        </w:rPr>
        <w:t>l</w:t>
      </w:r>
      <w:r w:rsidR="005D4F13">
        <w:rPr>
          <w:rFonts w:eastAsia="Calibri"/>
          <w:lang w:eastAsia="en-US"/>
        </w:rPr>
        <w:t>a jeune victime est une employée de l’établissement hôtelier où les événements surviennent. Dans ces circonstances, elle ne peut célébrer avec les contrevenants selon les règlements de son employeur. Lorsqu’elle accepte de rejoindre Nicolas Daigle, envers qui elle a une attirance, elle lui communique ses préoccupations</w:t>
      </w:r>
      <w:r w:rsidR="0029594C">
        <w:rPr>
          <w:rFonts w:eastAsia="Calibri"/>
          <w:lang w:eastAsia="en-US"/>
        </w:rPr>
        <w:t>,</w:t>
      </w:r>
      <w:r w:rsidR="005D4F13">
        <w:rPr>
          <w:rFonts w:eastAsia="Calibri"/>
          <w:lang w:eastAsia="en-US"/>
        </w:rPr>
        <w:t xml:space="preserve"> car elle doit dormir sur place et ne peut être vue en raison des règlements de son employeur. Cette situation exacerbe sa vulnérabilité en limitant sa liberté d’action. Seule dans la chambre d’hôtel où se trouvent les deux contrevenants, le déséquilibre du rapport de force est manifeste. Par ailleurs, âgée de 17 ans, la victime est encore une adolescente. Dans l’arrêt </w:t>
      </w:r>
      <w:r w:rsidR="005D4F13" w:rsidRPr="00FC3920">
        <w:rPr>
          <w:rFonts w:eastAsia="Calibri"/>
          <w:i/>
          <w:iCs/>
          <w:lang w:eastAsia="en-US"/>
        </w:rPr>
        <w:t>Bergeron</w:t>
      </w:r>
      <w:r w:rsidR="005D4F13">
        <w:rPr>
          <w:rFonts w:eastAsia="Calibri"/>
          <w:lang w:eastAsia="en-US"/>
        </w:rPr>
        <w:t>, la Cour d’appel du Québec s’exprime ainsi sur la vulnérabilité des adolescents :</w:t>
      </w:r>
    </w:p>
    <w:p w14:paraId="3555ABF2" w14:textId="77777777" w:rsidR="005D4F13" w:rsidRDefault="005D4F13" w:rsidP="008D1CE1">
      <w:pPr>
        <w:pStyle w:val="Citationenretrait"/>
      </w:pPr>
      <w:r w:rsidRPr="00FC3920">
        <w:t xml:space="preserve">Ces propos sont largement transposables aux </w:t>
      </w:r>
      <w:r w:rsidRPr="00FC3920">
        <w:rPr>
          <w:u w:val="single"/>
        </w:rPr>
        <w:t>adolescents</w:t>
      </w:r>
      <w:r w:rsidRPr="00FC3920">
        <w:t xml:space="preserve"> qui, pour n'être plus des bambins, n'en sont pas moins, eux aussi, des </w:t>
      </w:r>
      <w:r w:rsidRPr="00FC3920">
        <w:rPr>
          <w:u w:val="single"/>
        </w:rPr>
        <w:t>personnes vulnérables</w:t>
      </w:r>
      <w:r w:rsidRPr="00FC3920">
        <w:t xml:space="preserve">, à une étape cruciale de leur développement personnel. Leur </w:t>
      </w:r>
      <w:r w:rsidRPr="003215A4">
        <w:rPr>
          <w:u w:val="single"/>
        </w:rPr>
        <w:t>vulnérabilité</w:t>
      </w:r>
      <w:r w:rsidRPr="00FC3920">
        <w:t xml:space="preserve"> réside souvent dans le fait qu'ils </w:t>
      </w:r>
      <w:r w:rsidRPr="003215A4">
        <w:rPr>
          <w:u w:val="single"/>
        </w:rPr>
        <w:t>paraissent consentir, désirer, s'abandonner même aux abus perpétrés sur leur personne, ce qui en fait des victimes idéales, qui ne résistent pas à l'emprise qu'on exerce sur eux</w:t>
      </w:r>
      <w:r w:rsidRPr="00FC3920">
        <w:t xml:space="preserve">. On ne compte plus les adolescents ou adolescentes, par exemple, qui s'amourachent d'un professeur, d'un entraîneur ou autre personne faisant figure de mentor, et </w:t>
      </w:r>
      <w:r w:rsidRPr="007B74E7">
        <w:rPr>
          <w:u w:val="single"/>
        </w:rPr>
        <w:t>c'est précisément de cette attirance, qui accroît leur fragilité, que les adultes ne peuvent pas et n'ont pas le droit de profiter</w:t>
      </w:r>
      <w:r>
        <w:rPr>
          <w:rStyle w:val="Appelnotedebasdep"/>
          <w:rFonts w:cs="Arial"/>
        </w:rPr>
        <w:footnoteReference w:id="41"/>
      </w:r>
      <w:r w:rsidRPr="00FC3920">
        <w:t>.</w:t>
      </w:r>
    </w:p>
    <w:p w14:paraId="32B22B39" w14:textId="708D4C87" w:rsidR="005D4F13" w:rsidRDefault="007B74E7" w:rsidP="00D90F35">
      <w:pPr>
        <w:pStyle w:val="Paragraphedeliste"/>
        <w:keepLines/>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53158">
        <w:rPr>
          <w:rFonts w:ascii="Arial" w:hAnsi="Arial" w:cs="Arial"/>
        </w:rPr>
        <w:tab/>
      </w:r>
      <w:r w:rsidR="00453158">
        <w:rPr>
          <w:rFonts w:ascii="Arial" w:hAnsi="Arial" w:cs="Arial"/>
        </w:rPr>
        <w:tab/>
      </w:r>
      <w:r w:rsidR="008D1CE1" w:rsidRPr="0048204F">
        <w:rPr>
          <w:rFonts w:ascii="Arial" w:hAnsi="Arial" w:cs="Arial"/>
        </w:rPr>
        <w:t>[</w:t>
      </w:r>
      <w:r w:rsidR="008D1CE1">
        <w:rPr>
          <w:rFonts w:ascii="Arial" w:hAnsi="Arial" w:cs="Arial"/>
        </w:rPr>
        <w:t>N</w:t>
      </w:r>
      <w:r>
        <w:rPr>
          <w:rFonts w:ascii="Arial" w:hAnsi="Arial" w:cs="Arial"/>
        </w:rPr>
        <w:t>os soulignements</w:t>
      </w:r>
      <w:r w:rsidR="008D1CE1" w:rsidRPr="0048204F">
        <w:rPr>
          <w:rFonts w:ascii="Arial" w:hAnsi="Arial" w:cs="Arial"/>
        </w:rPr>
        <w:t>]</w:t>
      </w:r>
    </w:p>
    <w:p w14:paraId="05E7F6CB" w14:textId="1BB43010" w:rsidR="005D4F13" w:rsidRDefault="00AC1F85" w:rsidP="00D90F35">
      <w:pPr>
        <w:pStyle w:val="Paragraphe"/>
        <w:keepLines/>
        <w:spacing w:line="240" w:lineRule="auto"/>
      </w:pPr>
      <w:r>
        <w:t xml:space="preserve">Le présent dossier constitue une illustration malheureuse des propos de notre Cour d’appel. </w:t>
      </w:r>
    </w:p>
    <w:p w14:paraId="3C2D6277" w14:textId="58BE3C00" w:rsidR="00C71D77" w:rsidRPr="00C71D77" w:rsidRDefault="00C71D77" w:rsidP="00D90F35">
      <w:pPr>
        <w:pStyle w:val="Paragraphe"/>
        <w:keepLines/>
        <w:spacing w:line="240" w:lineRule="auto"/>
        <w:rPr>
          <w:rFonts w:eastAsia="Calibri"/>
          <w:lang w:eastAsia="en-US"/>
        </w:rPr>
      </w:pPr>
      <w:r>
        <w:rPr>
          <w:rFonts w:eastAsia="Calibri"/>
          <w:lang w:eastAsia="en-US"/>
        </w:rPr>
        <w:t xml:space="preserve">Le Tribunal souligne d’ailleurs le courage dont </w:t>
      </w:r>
      <w:r w:rsidR="00F61B01">
        <w:rPr>
          <w:rFonts w:eastAsia="Calibri"/>
          <w:lang w:eastAsia="en-US"/>
        </w:rPr>
        <w:t>la victime</w:t>
      </w:r>
      <w:r>
        <w:rPr>
          <w:rFonts w:eastAsia="Calibri"/>
          <w:lang w:eastAsia="en-US"/>
        </w:rPr>
        <w:t xml:space="preserve"> a fait preuve en participant au processus judiciaire et en se présentant à la Cour pour témoigner des conséquences des crimes subis. Elle démontre une grande force de caractère malgré toute sa fragilité. Elle livre un encouragement et un message d’espoir à toute victime de violence sexuelle.</w:t>
      </w:r>
    </w:p>
    <w:p w14:paraId="51BC5608" w14:textId="42484435" w:rsidR="00C33BC8" w:rsidRDefault="00D755E6" w:rsidP="00D90F35">
      <w:pPr>
        <w:pStyle w:val="Paragraphe"/>
        <w:keepLines/>
        <w:spacing w:line="240" w:lineRule="auto"/>
      </w:pPr>
      <w:r>
        <w:t>Toujours au niveau</w:t>
      </w:r>
      <w:r w:rsidR="00C33BC8" w:rsidRPr="001F6FF0">
        <w:t xml:space="preserve"> de la gravité subjective,</w:t>
      </w:r>
      <w:r w:rsidR="008D1335">
        <w:t xml:space="preserve"> </w:t>
      </w:r>
      <w:r w:rsidR="008D1335" w:rsidRPr="001F6FF0">
        <w:t>dans le cadre du processus d’individualisation de la peine</w:t>
      </w:r>
      <w:r w:rsidR="008D1335">
        <w:t>,</w:t>
      </w:r>
      <w:r w:rsidR="00C33BC8" w:rsidRPr="001F6FF0">
        <w:t xml:space="preserve"> le Tribunal doit analyser les circonstances aggravantes et atténuantes</w:t>
      </w:r>
      <w:r>
        <w:t xml:space="preserve"> liées à la perpétration de l’infraction ou à la situation du délinquant</w:t>
      </w:r>
      <w:r>
        <w:rPr>
          <w:rStyle w:val="Appelnotedebasdep"/>
        </w:rPr>
        <w:footnoteReference w:id="42"/>
      </w:r>
      <w:r w:rsidR="00C33BC8" w:rsidRPr="001F6FF0">
        <w:t>.</w:t>
      </w:r>
    </w:p>
    <w:p w14:paraId="413D5D7A" w14:textId="77777777" w:rsidR="00C33BC8" w:rsidRPr="001F6FF0" w:rsidRDefault="00C33BC8" w:rsidP="00D90F35">
      <w:pPr>
        <w:pStyle w:val="Paragraphe"/>
        <w:keepLines/>
      </w:pPr>
      <w:r w:rsidRPr="001F6FF0">
        <w:t>À titre de facteurs atténuants, le Tribunal retient les éléments suivants :</w:t>
      </w:r>
    </w:p>
    <w:p w14:paraId="0EA976A2" w14:textId="3223351F" w:rsidR="00E7004C" w:rsidRPr="00472AC4" w:rsidRDefault="00C33BC8" w:rsidP="00472AC4">
      <w:pPr>
        <w:keepLines/>
        <w:numPr>
          <w:ilvl w:val="0"/>
          <w:numId w:val="35"/>
        </w:numPr>
        <w:spacing w:before="120" w:after="120"/>
        <w:ind w:left="714" w:hanging="357"/>
        <w:jc w:val="both"/>
        <w:rPr>
          <w:rFonts w:eastAsia="Calibri" w:cs="Arial"/>
          <w:szCs w:val="24"/>
          <w:lang w:eastAsia="en-US"/>
        </w:rPr>
      </w:pPr>
      <w:r w:rsidRPr="001F6FF0">
        <w:rPr>
          <w:rFonts w:eastAsia="Calibri" w:cs="Arial"/>
          <w:szCs w:val="24"/>
          <w:lang w:eastAsia="en-US"/>
        </w:rPr>
        <w:t>L’absence d’antécédents judiciaires</w:t>
      </w:r>
      <w:r>
        <w:rPr>
          <w:rFonts w:eastAsia="Calibri" w:cs="Arial"/>
          <w:szCs w:val="24"/>
          <w:lang w:eastAsia="en-US"/>
        </w:rPr>
        <w:t xml:space="preserve"> des deux contrevenants</w:t>
      </w:r>
      <w:r w:rsidR="00E7004C">
        <w:rPr>
          <w:rFonts w:eastAsia="Calibri" w:cs="Arial"/>
          <w:szCs w:val="24"/>
          <w:lang w:eastAsia="en-US"/>
        </w:rPr>
        <w:t>;</w:t>
      </w:r>
    </w:p>
    <w:p w14:paraId="20A03FFD" w14:textId="65C25072" w:rsidR="00E7004C" w:rsidRPr="00472AC4" w:rsidRDefault="00C33BC8" w:rsidP="00472AC4">
      <w:pPr>
        <w:keepLines/>
        <w:numPr>
          <w:ilvl w:val="0"/>
          <w:numId w:val="35"/>
        </w:numPr>
        <w:spacing w:before="120" w:after="120"/>
        <w:ind w:left="714" w:hanging="357"/>
        <w:jc w:val="both"/>
        <w:rPr>
          <w:rFonts w:eastAsia="Calibri" w:cs="Arial"/>
          <w:szCs w:val="24"/>
          <w:lang w:eastAsia="en-US"/>
        </w:rPr>
      </w:pPr>
      <w:r w:rsidRPr="001F6FF0">
        <w:rPr>
          <w:rFonts w:eastAsia="Calibri" w:cs="Arial"/>
          <w:szCs w:val="24"/>
          <w:lang w:eastAsia="en-US"/>
        </w:rPr>
        <w:lastRenderedPageBreak/>
        <w:t>Le jeune âge d</w:t>
      </w:r>
      <w:r w:rsidR="00E7004C">
        <w:rPr>
          <w:rFonts w:eastAsia="Calibri" w:cs="Arial"/>
          <w:szCs w:val="24"/>
          <w:lang w:eastAsia="en-US"/>
        </w:rPr>
        <w:t>es deux</w:t>
      </w:r>
      <w:r w:rsidRPr="001F6FF0">
        <w:rPr>
          <w:rFonts w:eastAsia="Calibri" w:cs="Arial"/>
          <w:szCs w:val="24"/>
          <w:lang w:eastAsia="en-US"/>
        </w:rPr>
        <w:t xml:space="preserve"> contrevenant</w:t>
      </w:r>
      <w:r w:rsidR="00E7004C">
        <w:rPr>
          <w:rFonts w:eastAsia="Calibri" w:cs="Arial"/>
          <w:szCs w:val="24"/>
          <w:lang w:eastAsia="en-US"/>
        </w:rPr>
        <w:t xml:space="preserve">s – </w:t>
      </w:r>
      <w:r w:rsidR="00323BFD">
        <w:rPr>
          <w:rFonts w:eastAsia="Calibri" w:cs="Arial"/>
          <w:szCs w:val="24"/>
          <w:lang w:eastAsia="en-US"/>
        </w:rPr>
        <w:t>c</w:t>
      </w:r>
      <w:r w:rsidR="00E7004C">
        <w:rPr>
          <w:rFonts w:eastAsia="Calibri" w:cs="Arial"/>
          <w:szCs w:val="24"/>
          <w:lang w:eastAsia="en-US"/>
        </w:rPr>
        <w:t>es derniers étaient âgés de 18 ans au moment des événements et sont aujourd’hui âgés de 21 ans;</w:t>
      </w:r>
    </w:p>
    <w:p w14:paraId="2DA55D63" w14:textId="265CC7FD" w:rsidR="008F2E22" w:rsidRPr="00472AC4" w:rsidRDefault="00E7004C" w:rsidP="00472AC4">
      <w:pPr>
        <w:keepLines/>
        <w:numPr>
          <w:ilvl w:val="0"/>
          <w:numId w:val="35"/>
        </w:numPr>
        <w:spacing w:before="120" w:after="120"/>
        <w:ind w:left="714" w:hanging="357"/>
        <w:jc w:val="both"/>
        <w:rPr>
          <w:rFonts w:eastAsia="Calibri" w:cs="Arial"/>
          <w:szCs w:val="24"/>
          <w:lang w:eastAsia="en-US"/>
        </w:rPr>
      </w:pPr>
      <w:r>
        <w:rPr>
          <w:rFonts w:eastAsia="Calibri" w:cs="Arial"/>
          <w:szCs w:val="24"/>
          <w:lang w:eastAsia="en-US"/>
        </w:rPr>
        <w:t xml:space="preserve">Les plaidoyers de culpabilité enregistrés par les deux contrevenants </w:t>
      </w:r>
      <w:r w:rsidR="000F1E3F">
        <w:rPr>
          <w:rFonts w:eastAsia="Calibri" w:cs="Arial"/>
          <w:szCs w:val="24"/>
          <w:lang w:eastAsia="en-US"/>
        </w:rPr>
        <w:t>–</w:t>
      </w:r>
      <w:r>
        <w:rPr>
          <w:rFonts w:eastAsia="Calibri" w:cs="Arial"/>
          <w:szCs w:val="24"/>
          <w:lang w:eastAsia="en-US"/>
        </w:rPr>
        <w:t xml:space="preserve"> </w:t>
      </w:r>
      <w:r w:rsidR="00323BFD">
        <w:rPr>
          <w:rFonts w:eastAsia="Calibri" w:cs="Arial"/>
          <w:szCs w:val="24"/>
          <w:lang w:eastAsia="en-US"/>
        </w:rPr>
        <w:t>b</w:t>
      </w:r>
      <w:r w:rsidR="000F1E3F">
        <w:rPr>
          <w:rFonts w:eastAsia="Calibri" w:cs="Arial"/>
          <w:szCs w:val="24"/>
          <w:lang w:eastAsia="en-US"/>
        </w:rPr>
        <w:t xml:space="preserve">ien que le Tribunal considère qu’il s’agit d’un facteur atténuant, son importance est </w:t>
      </w:r>
      <w:r w:rsidR="008D4B4A">
        <w:rPr>
          <w:rFonts w:eastAsia="Calibri" w:cs="Arial"/>
          <w:szCs w:val="24"/>
          <w:lang w:eastAsia="en-US"/>
        </w:rPr>
        <w:t>amoindrie</w:t>
      </w:r>
      <w:r w:rsidR="000F1E3F">
        <w:rPr>
          <w:rFonts w:eastAsia="Calibri" w:cs="Arial"/>
          <w:szCs w:val="24"/>
          <w:lang w:eastAsia="en-US"/>
        </w:rPr>
        <w:t xml:space="preserve"> en raison de leur tardiv</w:t>
      </w:r>
      <w:r w:rsidR="007F16AC">
        <w:rPr>
          <w:rFonts w:eastAsia="Calibri" w:cs="Arial"/>
          <w:szCs w:val="24"/>
          <w:lang w:eastAsia="en-US"/>
        </w:rPr>
        <w:t>e</w:t>
      </w:r>
      <w:r w:rsidR="000F1E3F">
        <w:rPr>
          <w:rFonts w:eastAsia="Calibri" w:cs="Arial"/>
          <w:szCs w:val="24"/>
          <w:lang w:eastAsia="en-US"/>
        </w:rPr>
        <w:t>té. Tel que l’enseigne la Cour suprême du Canada : « Un plaidoyer enregistré à la dernière minute avant le procès ne mérite pas une aussi grande considération qu’un plaidoyer enregistré avec célérité »</w:t>
      </w:r>
      <w:r w:rsidR="000F1E3F">
        <w:rPr>
          <w:rStyle w:val="Appelnotedebasdep"/>
          <w:rFonts w:eastAsia="Calibri" w:cs="Arial"/>
          <w:szCs w:val="24"/>
          <w:lang w:eastAsia="en-US"/>
        </w:rPr>
        <w:footnoteReference w:id="43"/>
      </w:r>
      <w:r w:rsidR="000F1E3F">
        <w:rPr>
          <w:rFonts w:eastAsia="Calibri" w:cs="Arial"/>
          <w:szCs w:val="24"/>
          <w:lang w:eastAsia="en-US"/>
        </w:rPr>
        <w:t>.</w:t>
      </w:r>
      <w:r w:rsidR="00C17C89">
        <w:rPr>
          <w:rFonts w:eastAsia="Calibri" w:cs="Arial"/>
          <w:szCs w:val="24"/>
          <w:lang w:eastAsia="en-US"/>
        </w:rPr>
        <w:t xml:space="preserve"> </w:t>
      </w:r>
      <w:r w:rsidR="00C17C89" w:rsidRPr="00CA6A5E">
        <w:rPr>
          <w:rFonts w:eastAsia="Calibri" w:cs="Arial"/>
          <w:szCs w:val="24"/>
          <w:lang w:eastAsia="en-US"/>
        </w:rPr>
        <w:t>À cet égard, le témoignage de la victime relativement à l’angoisse</w:t>
      </w:r>
      <w:r w:rsidR="004A1ADF" w:rsidRPr="00CA6A5E">
        <w:rPr>
          <w:rFonts w:eastAsia="Calibri" w:cs="Arial"/>
          <w:szCs w:val="24"/>
          <w:lang w:eastAsia="en-US"/>
        </w:rPr>
        <w:t xml:space="preserve"> du procès </w:t>
      </w:r>
      <w:r w:rsidR="00CA6A5E">
        <w:rPr>
          <w:rFonts w:eastAsia="Calibri" w:cs="Arial"/>
          <w:szCs w:val="24"/>
          <w:lang w:eastAsia="en-US"/>
        </w:rPr>
        <w:t>illustre les propos de la Cour suprême</w:t>
      </w:r>
      <w:r w:rsidR="00D96D4B">
        <w:rPr>
          <w:rFonts w:eastAsia="Calibri" w:cs="Arial"/>
          <w:szCs w:val="24"/>
          <w:lang w:eastAsia="en-US"/>
        </w:rPr>
        <w:t>;</w:t>
      </w:r>
    </w:p>
    <w:p w14:paraId="3075573B" w14:textId="6625EAFC" w:rsidR="00E7004C" w:rsidRPr="00472AC4" w:rsidRDefault="008F2E22" w:rsidP="00472AC4">
      <w:pPr>
        <w:keepLines/>
        <w:numPr>
          <w:ilvl w:val="0"/>
          <w:numId w:val="35"/>
        </w:numPr>
        <w:spacing w:before="120" w:after="120"/>
        <w:ind w:left="714" w:hanging="357"/>
        <w:jc w:val="both"/>
        <w:rPr>
          <w:rFonts w:eastAsia="Calibri" w:cs="Arial"/>
          <w:szCs w:val="24"/>
          <w:lang w:eastAsia="en-US"/>
        </w:rPr>
      </w:pPr>
      <w:r>
        <w:rPr>
          <w:rFonts w:eastAsia="Calibri" w:cs="Arial"/>
          <w:szCs w:val="24"/>
          <w:lang w:eastAsia="en-US"/>
        </w:rPr>
        <w:t>Il s’agit d’événements isolés qui surviennent à une date unique;</w:t>
      </w:r>
    </w:p>
    <w:p w14:paraId="1C52B96A" w14:textId="41FDFE6F" w:rsidR="008D4B4A" w:rsidRPr="00472AC4" w:rsidRDefault="00C33BC8" w:rsidP="00472AC4">
      <w:pPr>
        <w:keepLines/>
        <w:numPr>
          <w:ilvl w:val="0"/>
          <w:numId w:val="35"/>
        </w:numPr>
        <w:spacing w:before="120" w:after="120"/>
        <w:ind w:left="714" w:hanging="357"/>
        <w:jc w:val="both"/>
        <w:rPr>
          <w:rFonts w:eastAsia="Calibri" w:cs="Arial"/>
          <w:szCs w:val="24"/>
          <w:lang w:eastAsia="en-US"/>
        </w:rPr>
      </w:pPr>
      <w:r w:rsidRPr="001F6FF0">
        <w:rPr>
          <w:rFonts w:eastAsia="Calibri" w:cs="Arial"/>
          <w:szCs w:val="24"/>
          <w:lang w:eastAsia="en-US"/>
        </w:rPr>
        <w:t>Le</w:t>
      </w:r>
      <w:r w:rsidR="008D4B4A">
        <w:rPr>
          <w:rFonts w:eastAsia="Calibri" w:cs="Arial"/>
          <w:szCs w:val="24"/>
          <w:lang w:eastAsia="en-US"/>
        </w:rPr>
        <w:t>s deux</w:t>
      </w:r>
      <w:r w:rsidRPr="001F6FF0">
        <w:rPr>
          <w:rFonts w:eastAsia="Calibri" w:cs="Arial"/>
          <w:szCs w:val="24"/>
          <w:lang w:eastAsia="en-US"/>
        </w:rPr>
        <w:t xml:space="preserve"> contrevenant</w:t>
      </w:r>
      <w:r w:rsidR="008D4B4A">
        <w:rPr>
          <w:rFonts w:eastAsia="Calibri" w:cs="Arial"/>
          <w:szCs w:val="24"/>
          <w:lang w:eastAsia="en-US"/>
        </w:rPr>
        <w:t>s</w:t>
      </w:r>
      <w:r w:rsidRPr="001F6FF0">
        <w:rPr>
          <w:rFonts w:eastAsia="Calibri" w:cs="Arial"/>
          <w:szCs w:val="24"/>
          <w:lang w:eastAsia="en-US"/>
        </w:rPr>
        <w:t xml:space="preserve"> exprime</w:t>
      </w:r>
      <w:r w:rsidR="008D4B4A">
        <w:rPr>
          <w:rFonts w:eastAsia="Calibri" w:cs="Arial"/>
          <w:szCs w:val="24"/>
          <w:lang w:eastAsia="en-US"/>
        </w:rPr>
        <w:t>nt</w:t>
      </w:r>
      <w:r w:rsidRPr="001F6FF0">
        <w:rPr>
          <w:rFonts w:eastAsia="Calibri" w:cs="Arial"/>
          <w:szCs w:val="24"/>
          <w:lang w:eastAsia="en-US"/>
        </w:rPr>
        <w:t xml:space="preserve"> des regrets et de la compassion envers les torts causés à la victime et à ses proches</w:t>
      </w:r>
      <w:r w:rsidR="00D96D4B">
        <w:rPr>
          <w:rFonts w:eastAsia="Calibri" w:cs="Arial"/>
          <w:szCs w:val="24"/>
          <w:lang w:eastAsia="en-US"/>
        </w:rPr>
        <w:t xml:space="preserve"> – </w:t>
      </w:r>
      <w:r w:rsidR="00323BFD">
        <w:rPr>
          <w:rFonts w:eastAsia="Calibri" w:cs="Arial"/>
          <w:szCs w:val="24"/>
          <w:lang w:eastAsia="en-US"/>
        </w:rPr>
        <w:t>b</w:t>
      </w:r>
      <w:r w:rsidR="00D96D4B">
        <w:rPr>
          <w:rFonts w:eastAsia="Calibri" w:cs="Arial"/>
          <w:szCs w:val="24"/>
          <w:lang w:eastAsia="en-US"/>
        </w:rPr>
        <w:t xml:space="preserve">ien que le Tribunal retienne ce facteur atténuant pour les deux contrevenants, le Tribunal estime qu’il </w:t>
      </w:r>
      <w:r w:rsidR="00745BF3">
        <w:rPr>
          <w:rFonts w:eastAsia="Calibri" w:cs="Arial"/>
          <w:szCs w:val="24"/>
          <w:lang w:eastAsia="en-US"/>
        </w:rPr>
        <w:t>comporte</w:t>
      </w:r>
      <w:r w:rsidR="00D96D4B">
        <w:rPr>
          <w:rFonts w:eastAsia="Calibri" w:cs="Arial"/>
          <w:szCs w:val="24"/>
          <w:lang w:eastAsia="en-US"/>
        </w:rPr>
        <w:t xml:space="preserve"> une plus grande valeur pour Nicolas Daigle</w:t>
      </w:r>
      <w:r w:rsidR="00C37CFD">
        <w:rPr>
          <w:rFonts w:eastAsia="Calibri" w:cs="Arial"/>
          <w:szCs w:val="24"/>
          <w:lang w:eastAsia="en-US"/>
        </w:rPr>
        <w:t>, dont la sincérité des regrets et des excuses exprimées est plus sentie et la reconnaissance des torts causés semble plus approfondie;</w:t>
      </w:r>
    </w:p>
    <w:p w14:paraId="190E9D09" w14:textId="78AA4595" w:rsidR="00C37CFD" w:rsidRPr="00472AC4" w:rsidRDefault="00C33BC8" w:rsidP="00472AC4">
      <w:pPr>
        <w:keepLines/>
        <w:numPr>
          <w:ilvl w:val="0"/>
          <w:numId w:val="35"/>
        </w:numPr>
        <w:spacing w:before="120" w:after="120"/>
        <w:ind w:left="714" w:hanging="357"/>
        <w:jc w:val="both"/>
        <w:rPr>
          <w:rFonts w:eastAsia="Calibri" w:cs="Arial"/>
          <w:szCs w:val="24"/>
          <w:lang w:eastAsia="en-US"/>
        </w:rPr>
      </w:pPr>
      <w:r w:rsidRPr="001F6FF0">
        <w:rPr>
          <w:rFonts w:eastAsia="Calibri" w:cs="Arial"/>
          <w:szCs w:val="24"/>
          <w:lang w:eastAsia="en-US"/>
        </w:rPr>
        <w:t>Le</w:t>
      </w:r>
      <w:r w:rsidR="00C37CFD">
        <w:rPr>
          <w:rFonts w:eastAsia="Calibri" w:cs="Arial"/>
          <w:szCs w:val="24"/>
          <w:lang w:eastAsia="en-US"/>
        </w:rPr>
        <w:t>s deux</w:t>
      </w:r>
      <w:r w:rsidRPr="001F6FF0">
        <w:rPr>
          <w:rFonts w:eastAsia="Calibri" w:cs="Arial"/>
          <w:szCs w:val="24"/>
          <w:lang w:eastAsia="en-US"/>
        </w:rPr>
        <w:t xml:space="preserve"> contrevenant</w:t>
      </w:r>
      <w:r w:rsidR="00C37CFD">
        <w:rPr>
          <w:rFonts w:eastAsia="Calibri" w:cs="Arial"/>
          <w:szCs w:val="24"/>
          <w:lang w:eastAsia="en-US"/>
        </w:rPr>
        <w:t>s</w:t>
      </w:r>
      <w:r w:rsidRPr="001F6FF0">
        <w:rPr>
          <w:rFonts w:eastAsia="Calibri" w:cs="Arial"/>
          <w:szCs w:val="24"/>
          <w:lang w:eastAsia="en-US"/>
        </w:rPr>
        <w:t xml:space="preserve"> adopte</w:t>
      </w:r>
      <w:r w:rsidR="00C37CFD">
        <w:rPr>
          <w:rFonts w:eastAsia="Calibri" w:cs="Arial"/>
          <w:szCs w:val="24"/>
          <w:lang w:eastAsia="en-US"/>
        </w:rPr>
        <w:t>nt</w:t>
      </w:r>
      <w:r w:rsidRPr="001F6FF0">
        <w:rPr>
          <w:rFonts w:eastAsia="Calibri" w:cs="Arial"/>
          <w:szCs w:val="24"/>
          <w:lang w:eastAsia="en-US"/>
        </w:rPr>
        <w:t xml:space="preserve"> un mode de vie positif qui se traduit par une situation personnelle, familiale, conjugale</w:t>
      </w:r>
      <w:r w:rsidR="00C37CFD">
        <w:rPr>
          <w:rFonts w:eastAsia="Calibri" w:cs="Arial"/>
          <w:szCs w:val="24"/>
          <w:lang w:eastAsia="en-US"/>
        </w:rPr>
        <w:t>, académique</w:t>
      </w:r>
      <w:r w:rsidRPr="001F6FF0">
        <w:rPr>
          <w:rFonts w:eastAsia="Calibri" w:cs="Arial"/>
          <w:szCs w:val="24"/>
          <w:lang w:eastAsia="en-US"/>
        </w:rPr>
        <w:t xml:space="preserve"> et professionnelle stable</w:t>
      </w:r>
      <w:r w:rsidR="0003482A">
        <w:rPr>
          <w:rFonts w:eastAsia="Calibri" w:cs="Arial"/>
          <w:szCs w:val="24"/>
          <w:lang w:eastAsia="en-US"/>
        </w:rPr>
        <w:t>. Ils bénéficient du support de leur famille et de leur réseau social;</w:t>
      </w:r>
    </w:p>
    <w:p w14:paraId="06CEBEE7" w14:textId="4FE65D62" w:rsidR="00CD511D" w:rsidRPr="00472AC4" w:rsidRDefault="00C33BC8" w:rsidP="00472AC4">
      <w:pPr>
        <w:keepLines/>
        <w:numPr>
          <w:ilvl w:val="0"/>
          <w:numId w:val="35"/>
        </w:numPr>
        <w:spacing w:before="120" w:after="120"/>
        <w:ind w:left="714" w:hanging="357"/>
        <w:jc w:val="both"/>
        <w:rPr>
          <w:rFonts w:eastAsia="Calibri" w:cs="Arial"/>
          <w:szCs w:val="24"/>
          <w:lang w:eastAsia="en-US"/>
        </w:rPr>
      </w:pPr>
      <w:r w:rsidRPr="001F6FF0">
        <w:rPr>
          <w:rFonts w:eastAsia="Calibri" w:cs="Arial"/>
          <w:szCs w:val="24"/>
          <w:lang w:eastAsia="en-US"/>
        </w:rPr>
        <w:t>Le</w:t>
      </w:r>
      <w:r w:rsidR="0003482A">
        <w:rPr>
          <w:rFonts w:eastAsia="Calibri" w:cs="Arial"/>
          <w:szCs w:val="24"/>
          <w:lang w:eastAsia="en-US"/>
        </w:rPr>
        <w:t>s deux</w:t>
      </w:r>
      <w:r w:rsidRPr="001F6FF0">
        <w:rPr>
          <w:rFonts w:eastAsia="Calibri" w:cs="Arial"/>
          <w:szCs w:val="24"/>
          <w:lang w:eastAsia="en-US"/>
        </w:rPr>
        <w:t xml:space="preserve"> contrevenant</w:t>
      </w:r>
      <w:r w:rsidR="0029594C">
        <w:rPr>
          <w:rFonts w:eastAsia="Calibri" w:cs="Arial"/>
          <w:szCs w:val="24"/>
          <w:lang w:eastAsia="en-US"/>
        </w:rPr>
        <w:t>s</w:t>
      </w:r>
      <w:r w:rsidRPr="001F6FF0">
        <w:rPr>
          <w:rFonts w:eastAsia="Calibri" w:cs="Arial"/>
          <w:szCs w:val="24"/>
          <w:lang w:eastAsia="en-US"/>
        </w:rPr>
        <w:t xml:space="preserve"> </w:t>
      </w:r>
      <w:r w:rsidR="0003482A">
        <w:rPr>
          <w:rFonts w:eastAsia="Calibri" w:cs="Arial"/>
          <w:szCs w:val="24"/>
          <w:lang w:eastAsia="en-US"/>
        </w:rPr>
        <w:t xml:space="preserve">présentent un risque de récidive limité et </w:t>
      </w:r>
      <w:r w:rsidR="009E3C8C">
        <w:rPr>
          <w:rFonts w:eastAsia="Calibri" w:cs="Arial"/>
          <w:szCs w:val="24"/>
          <w:lang w:eastAsia="en-US"/>
        </w:rPr>
        <w:t xml:space="preserve">sont enclins à s’investir dans des démarches de réhabilitation. </w:t>
      </w:r>
      <w:r w:rsidR="00745BF3">
        <w:rPr>
          <w:rFonts w:eastAsia="Calibri" w:cs="Arial"/>
          <w:szCs w:val="24"/>
          <w:lang w:eastAsia="en-US"/>
        </w:rPr>
        <w:t>Nicolas Daigle a d’ailleurs amorcé des démarches en ce sens.</w:t>
      </w:r>
    </w:p>
    <w:p w14:paraId="1C60089D" w14:textId="2202FD43" w:rsidR="001F2F1C" w:rsidRPr="001F6FF0" w:rsidRDefault="00C33BC8" w:rsidP="00D90F35">
      <w:pPr>
        <w:pStyle w:val="Paragraphe"/>
        <w:keepLines/>
        <w:spacing w:line="240" w:lineRule="auto"/>
      </w:pPr>
      <w:r w:rsidRPr="001F6FF0">
        <w:t>À titre de facteurs aggravants, le Tribunal retient les éléments suivants :</w:t>
      </w:r>
    </w:p>
    <w:p w14:paraId="3D44D793" w14:textId="6E6DBC16" w:rsidR="001E34AF" w:rsidRPr="00472AC4" w:rsidRDefault="00C33BC8" w:rsidP="00472AC4">
      <w:pPr>
        <w:keepLines/>
        <w:numPr>
          <w:ilvl w:val="0"/>
          <w:numId w:val="34"/>
        </w:numPr>
        <w:spacing w:after="120"/>
        <w:ind w:left="714" w:hanging="357"/>
        <w:jc w:val="both"/>
        <w:rPr>
          <w:rFonts w:eastAsia="Calibri" w:cs="Arial"/>
          <w:szCs w:val="24"/>
          <w:lang w:eastAsia="en-US"/>
        </w:rPr>
      </w:pPr>
      <w:r w:rsidRPr="001F6FF0">
        <w:rPr>
          <w:rFonts w:eastAsia="Calibri" w:cs="Arial"/>
          <w:szCs w:val="24"/>
          <w:lang w:eastAsia="en-US"/>
        </w:rPr>
        <w:t>Les gestes commis par l</w:t>
      </w:r>
      <w:r>
        <w:rPr>
          <w:rFonts w:eastAsia="Calibri" w:cs="Arial"/>
          <w:szCs w:val="24"/>
          <w:lang w:eastAsia="en-US"/>
        </w:rPr>
        <w:t>e</w:t>
      </w:r>
      <w:r w:rsidR="003215A4">
        <w:rPr>
          <w:rFonts w:eastAsia="Calibri" w:cs="Arial"/>
          <w:szCs w:val="24"/>
          <w:lang w:eastAsia="en-US"/>
        </w:rPr>
        <w:t>s deux</w:t>
      </w:r>
      <w:r>
        <w:rPr>
          <w:rFonts w:eastAsia="Calibri" w:cs="Arial"/>
          <w:szCs w:val="24"/>
          <w:lang w:eastAsia="en-US"/>
        </w:rPr>
        <w:t xml:space="preserve"> contrevenant</w:t>
      </w:r>
      <w:r w:rsidR="003215A4">
        <w:rPr>
          <w:rFonts w:eastAsia="Calibri" w:cs="Arial"/>
          <w:szCs w:val="24"/>
          <w:lang w:eastAsia="en-US"/>
        </w:rPr>
        <w:t>s</w:t>
      </w:r>
      <w:r w:rsidRPr="001F6FF0">
        <w:rPr>
          <w:rFonts w:eastAsia="Calibri" w:cs="Arial"/>
          <w:szCs w:val="24"/>
          <w:lang w:eastAsia="en-US"/>
        </w:rPr>
        <w:t xml:space="preserve"> constituent un mauvais traitement d’une personne âgée de moins de 18 ans – </w:t>
      </w:r>
      <w:r>
        <w:rPr>
          <w:rFonts w:eastAsia="Calibri" w:cs="Arial"/>
          <w:szCs w:val="24"/>
          <w:lang w:eastAsia="en-US"/>
        </w:rPr>
        <w:t xml:space="preserve">art. </w:t>
      </w:r>
      <w:r w:rsidRPr="001F6FF0">
        <w:rPr>
          <w:rFonts w:eastAsia="Calibri" w:cs="Arial"/>
          <w:szCs w:val="24"/>
          <w:lang w:eastAsia="en-US"/>
        </w:rPr>
        <w:t>718.2 a) (ii.1)</w:t>
      </w:r>
      <w:r>
        <w:rPr>
          <w:rFonts w:eastAsia="Calibri" w:cs="Arial"/>
          <w:szCs w:val="24"/>
          <w:lang w:eastAsia="en-US"/>
        </w:rPr>
        <w:t xml:space="preserve"> C.cr.</w:t>
      </w:r>
      <w:r w:rsidR="00147612">
        <w:rPr>
          <w:rFonts w:eastAsia="Calibri" w:cs="Arial"/>
          <w:szCs w:val="24"/>
          <w:lang w:eastAsia="en-US"/>
        </w:rPr>
        <w:t>;</w:t>
      </w:r>
    </w:p>
    <w:p w14:paraId="3D85DF51" w14:textId="4534AD51" w:rsidR="0097691F" w:rsidRPr="00472AC4" w:rsidRDefault="001E34AF" w:rsidP="00472AC4">
      <w:pPr>
        <w:keepLines/>
        <w:numPr>
          <w:ilvl w:val="0"/>
          <w:numId w:val="34"/>
        </w:numPr>
        <w:spacing w:after="120"/>
        <w:ind w:left="714" w:hanging="357"/>
        <w:jc w:val="both"/>
        <w:rPr>
          <w:rFonts w:cs="Arial"/>
          <w:szCs w:val="24"/>
        </w:rPr>
      </w:pPr>
      <w:r w:rsidRPr="001F6FF0">
        <w:rPr>
          <w:rFonts w:eastAsia="Calibri" w:cs="Arial"/>
          <w:szCs w:val="24"/>
          <w:lang w:eastAsia="en-US"/>
        </w:rPr>
        <w:t>La vulnérabilité de la victime</w:t>
      </w:r>
      <w:r w:rsidR="00B50DC5">
        <w:rPr>
          <w:rFonts w:eastAsia="Calibri" w:cs="Arial"/>
          <w:szCs w:val="24"/>
          <w:lang w:eastAsia="en-US"/>
        </w:rPr>
        <w:t>;</w:t>
      </w:r>
      <w:r>
        <w:rPr>
          <w:rFonts w:eastAsia="Calibri" w:cs="Arial"/>
          <w:szCs w:val="24"/>
          <w:lang w:eastAsia="en-US"/>
        </w:rPr>
        <w:t xml:space="preserve"> </w:t>
      </w:r>
    </w:p>
    <w:p w14:paraId="6F07B234" w14:textId="394C7D0D" w:rsidR="006154EF" w:rsidRPr="00472AC4" w:rsidRDefault="00147612" w:rsidP="00472AC4">
      <w:pPr>
        <w:keepLines/>
        <w:numPr>
          <w:ilvl w:val="0"/>
          <w:numId w:val="34"/>
        </w:numPr>
        <w:spacing w:after="120"/>
        <w:ind w:left="714" w:hanging="357"/>
        <w:jc w:val="both"/>
        <w:rPr>
          <w:rFonts w:eastAsia="Calibri" w:cs="Arial"/>
          <w:szCs w:val="24"/>
          <w:lang w:eastAsia="en-US"/>
        </w:rPr>
      </w:pPr>
      <w:r>
        <w:rPr>
          <w:rFonts w:eastAsia="Calibri" w:cs="Arial"/>
          <w:szCs w:val="24"/>
          <w:lang w:eastAsia="en-US"/>
        </w:rPr>
        <w:t>Il s’agit d’un</w:t>
      </w:r>
      <w:r w:rsidR="00EF6A36">
        <w:rPr>
          <w:rFonts w:eastAsia="Calibri" w:cs="Arial"/>
          <w:szCs w:val="24"/>
          <w:lang w:eastAsia="en-US"/>
        </w:rPr>
        <w:t xml:space="preserve"> cas d’exploitation</w:t>
      </w:r>
      <w:r>
        <w:rPr>
          <w:rFonts w:eastAsia="Calibri" w:cs="Arial"/>
          <w:szCs w:val="24"/>
          <w:lang w:eastAsia="en-US"/>
        </w:rPr>
        <w:t xml:space="preserve"> sexuelle à dimension collective</w:t>
      </w:r>
      <w:r w:rsidR="00EF6A36">
        <w:rPr>
          <w:rStyle w:val="Appelnotedebasdep"/>
          <w:rFonts w:eastAsia="Calibri" w:cs="Arial"/>
          <w:szCs w:val="24"/>
          <w:lang w:eastAsia="en-US"/>
        </w:rPr>
        <w:footnoteReference w:id="44"/>
      </w:r>
      <w:r w:rsidR="00B50DC5">
        <w:rPr>
          <w:rFonts w:eastAsia="Calibri" w:cs="Arial"/>
          <w:szCs w:val="24"/>
          <w:lang w:eastAsia="en-US"/>
        </w:rPr>
        <w:t>;</w:t>
      </w:r>
      <w:r>
        <w:rPr>
          <w:rFonts w:eastAsia="Calibri" w:cs="Arial"/>
          <w:szCs w:val="24"/>
          <w:lang w:eastAsia="en-US"/>
        </w:rPr>
        <w:t xml:space="preserve"> </w:t>
      </w:r>
    </w:p>
    <w:p w14:paraId="5EDE06DB" w14:textId="1A21DD75" w:rsidR="00391047" w:rsidRPr="00472AC4" w:rsidRDefault="00391047" w:rsidP="00472AC4">
      <w:pPr>
        <w:keepLines/>
        <w:numPr>
          <w:ilvl w:val="0"/>
          <w:numId w:val="34"/>
        </w:numPr>
        <w:spacing w:after="120"/>
        <w:ind w:left="714" w:hanging="357"/>
        <w:jc w:val="both"/>
        <w:rPr>
          <w:rFonts w:eastAsia="Calibri" w:cs="Arial"/>
          <w:szCs w:val="24"/>
          <w:lang w:eastAsia="en-US"/>
        </w:rPr>
      </w:pPr>
      <w:r>
        <w:rPr>
          <w:rFonts w:eastAsia="Calibri" w:cs="Arial"/>
          <w:szCs w:val="24"/>
          <w:lang w:eastAsia="en-US"/>
        </w:rPr>
        <w:t>Le degré d’atteinte</w:t>
      </w:r>
      <w:r w:rsidR="0046703E">
        <w:rPr>
          <w:rFonts w:eastAsia="Calibri" w:cs="Arial"/>
          <w:szCs w:val="24"/>
          <w:lang w:eastAsia="en-US"/>
        </w:rPr>
        <w:t xml:space="preserve"> élevé</w:t>
      </w:r>
      <w:r>
        <w:rPr>
          <w:rFonts w:eastAsia="Calibri" w:cs="Arial"/>
          <w:szCs w:val="24"/>
          <w:lang w:eastAsia="en-US"/>
        </w:rPr>
        <w:t xml:space="preserve"> à l’intégrité physique</w:t>
      </w:r>
      <w:r w:rsidR="00B50DC5">
        <w:rPr>
          <w:rFonts w:eastAsia="Calibri" w:cs="Arial"/>
          <w:szCs w:val="24"/>
          <w:lang w:eastAsia="en-US"/>
        </w:rPr>
        <w:t xml:space="preserve"> </w:t>
      </w:r>
      <w:r>
        <w:rPr>
          <w:rFonts w:eastAsia="Calibri" w:cs="Arial"/>
          <w:szCs w:val="24"/>
          <w:lang w:eastAsia="en-US"/>
        </w:rPr>
        <w:t>et sexuelle de la victime</w:t>
      </w:r>
      <w:r w:rsidR="000A41C7">
        <w:rPr>
          <w:rStyle w:val="Appelnotedebasdep"/>
          <w:rFonts w:eastAsia="Calibri" w:cs="Arial"/>
          <w:szCs w:val="24"/>
          <w:lang w:eastAsia="en-US"/>
        </w:rPr>
        <w:footnoteReference w:id="45"/>
      </w:r>
      <w:r>
        <w:rPr>
          <w:rFonts w:eastAsia="Calibri" w:cs="Arial"/>
          <w:szCs w:val="24"/>
          <w:lang w:eastAsia="en-US"/>
        </w:rPr>
        <w:t>;</w:t>
      </w:r>
    </w:p>
    <w:p w14:paraId="754BE9F9" w14:textId="65B4CD4E" w:rsidR="00745BF3" w:rsidRPr="00472AC4" w:rsidRDefault="00391047" w:rsidP="00472AC4">
      <w:pPr>
        <w:keepLines/>
        <w:numPr>
          <w:ilvl w:val="0"/>
          <w:numId w:val="34"/>
        </w:numPr>
        <w:spacing w:after="120"/>
        <w:ind w:left="714" w:hanging="357"/>
        <w:jc w:val="both"/>
        <w:rPr>
          <w:rFonts w:eastAsia="Calibri" w:cs="Arial"/>
          <w:szCs w:val="24"/>
          <w:lang w:eastAsia="en-US"/>
        </w:rPr>
      </w:pPr>
      <w:r>
        <w:rPr>
          <w:rFonts w:eastAsia="Calibri" w:cs="Arial"/>
          <w:szCs w:val="24"/>
          <w:lang w:eastAsia="en-US"/>
        </w:rPr>
        <w:t>Il s’agit de relations sexuelles non-protégées</w:t>
      </w:r>
      <w:r w:rsidR="004830A0">
        <w:rPr>
          <w:rFonts w:eastAsia="Calibri" w:cs="Arial"/>
          <w:szCs w:val="24"/>
          <w:lang w:eastAsia="en-US"/>
        </w:rPr>
        <w:t xml:space="preserve"> avec pénétrations du pénis</w:t>
      </w:r>
      <w:r w:rsidR="004830A0">
        <w:rPr>
          <w:rStyle w:val="Appelnotedebasdep"/>
          <w:rFonts w:eastAsia="Calibri" w:cs="Arial"/>
          <w:szCs w:val="24"/>
          <w:lang w:eastAsia="en-US"/>
        </w:rPr>
        <w:footnoteReference w:id="46"/>
      </w:r>
      <w:r>
        <w:rPr>
          <w:rFonts w:eastAsia="Calibri" w:cs="Arial"/>
          <w:szCs w:val="24"/>
          <w:lang w:eastAsia="en-US"/>
        </w:rPr>
        <w:t>;</w:t>
      </w:r>
    </w:p>
    <w:p w14:paraId="28429CD5" w14:textId="141AAFE7" w:rsidR="0049469D" w:rsidRPr="00472AC4" w:rsidRDefault="00C33BC8" w:rsidP="00472AC4">
      <w:pPr>
        <w:keepLines/>
        <w:numPr>
          <w:ilvl w:val="0"/>
          <w:numId w:val="34"/>
        </w:numPr>
        <w:spacing w:after="120"/>
        <w:ind w:left="714" w:hanging="357"/>
        <w:jc w:val="both"/>
        <w:rPr>
          <w:rFonts w:eastAsia="Calibri" w:cs="Arial"/>
          <w:szCs w:val="24"/>
          <w:lang w:eastAsia="en-US"/>
        </w:rPr>
      </w:pPr>
      <w:r w:rsidRPr="001F6FF0">
        <w:rPr>
          <w:rFonts w:eastAsia="Calibri" w:cs="Arial"/>
          <w:szCs w:val="24"/>
          <w:lang w:eastAsia="en-US"/>
        </w:rPr>
        <w:t>Les gestes d</w:t>
      </w:r>
      <w:r w:rsidR="0049469D">
        <w:rPr>
          <w:rFonts w:eastAsia="Calibri" w:cs="Arial"/>
          <w:szCs w:val="24"/>
          <w:lang w:eastAsia="en-US"/>
        </w:rPr>
        <w:t>es deux</w:t>
      </w:r>
      <w:r>
        <w:rPr>
          <w:rFonts w:eastAsia="Calibri" w:cs="Arial"/>
          <w:szCs w:val="24"/>
          <w:lang w:eastAsia="en-US"/>
        </w:rPr>
        <w:t xml:space="preserve"> contrevenant</w:t>
      </w:r>
      <w:r w:rsidR="0049469D">
        <w:rPr>
          <w:rFonts w:eastAsia="Calibri" w:cs="Arial"/>
          <w:szCs w:val="24"/>
          <w:lang w:eastAsia="en-US"/>
        </w:rPr>
        <w:t>s</w:t>
      </w:r>
      <w:r w:rsidRPr="001F6FF0">
        <w:rPr>
          <w:rFonts w:eastAsia="Calibri" w:cs="Arial"/>
          <w:szCs w:val="24"/>
          <w:lang w:eastAsia="en-US"/>
        </w:rPr>
        <w:t xml:space="preserve"> constituent un abus de confiance à l’égard de la victime </w:t>
      </w:r>
      <w:r>
        <w:rPr>
          <w:rFonts w:eastAsia="Calibri" w:cs="Arial"/>
          <w:szCs w:val="24"/>
          <w:lang w:eastAsia="en-US"/>
        </w:rPr>
        <w:t>–</w:t>
      </w:r>
      <w:r w:rsidRPr="001F6FF0">
        <w:rPr>
          <w:rFonts w:eastAsia="Calibri" w:cs="Arial"/>
          <w:szCs w:val="24"/>
          <w:lang w:eastAsia="en-US"/>
        </w:rPr>
        <w:t xml:space="preserve"> </w:t>
      </w:r>
      <w:r>
        <w:rPr>
          <w:rFonts w:eastAsia="Calibri" w:cs="Arial"/>
          <w:szCs w:val="24"/>
          <w:lang w:eastAsia="en-US"/>
        </w:rPr>
        <w:t xml:space="preserve">art. </w:t>
      </w:r>
      <w:r w:rsidRPr="001F6FF0">
        <w:rPr>
          <w:rFonts w:eastAsia="Calibri" w:cs="Arial"/>
          <w:szCs w:val="24"/>
          <w:lang w:eastAsia="en-US"/>
        </w:rPr>
        <w:t>718.2 a) (iii)</w:t>
      </w:r>
      <w:r>
        <w:rPr>
          <w:rFonts w:eastAsia="Calibri" w:cs="Arial"/>
          <w:szCs w:val="24"/>
          <w:lang w:eastAsia="en-US"/>
        </w:rPr>
        <w:t xml:space="preserve"> C.cr.</w:t>
      </w:r>
      <w:r w:rsidR="002C0189">
        <w:rPr>
          <w:rFonts w:eastAsia="Calibri" w:cs="Arial"/>
          <w:szCs w:val="24"/>
          <w:lang w:eastAsia="en-US"/>
        </w:rPr>
        <w:t xml:space="preserve"> </w:t>
      </w:r>
      <w:r w:rsidR="005A0CDE">
        <w:rPr>
          <w:rFonts w:eastAsia="Calibri" w:cs="Arial"/>
          <w:szCs w:val="24"/>
          <w:lang w:eastAsia="en-US"/>
        </w:rPr>
        <w:t>;</w:t>
      </w:r>
    </w:p>
    <w:p w14:paraId="0339F317" w14:textId="6B03327F" w:rsidR="00821C95" w:rsidRPr="00472AC4" w:rsidRDefault="00DB2E1A" w:rsidP="00472AC4">
      <w:pPr>
        <w:keepLines/>
        <w:numPr>
          <w:ilvl w:val="0"/>
          <w:numId w:val="34"/>
        </w:numPr>
        <w:spacing w:after="120"/>
        <w:ind w:left="714" w:hanging="357"/>
        <w:jc w:val="both"/>
        <w:rPr>
          <w:rFonts w:eastAsia="Calibri" w:cs="Arial"/>
          <w:szCs w:val="24"/>
          <w:lang w:eastAsia="en-US"/>
        </w:rPr>
      </w:pPr>
      <w:r>
        <w:rPr>
          <w:rFonts w:eastAsia="Calibri" w:cs="Arial"/>
          <w:szCs w:val="24"/>
          <w:lang w:eastAsia="en-US"/>
        </w:rPr>
        <w:lastRenderedPageBreak/>
        <w:t>L</w:t>
      </w:r>
      <w:r w:rsidR="008F2E22">
        <w:rPr>
          <w:rFonts w:eastAsia="Calibri" w:cs="Arial"/>
          <w:szCs w:val="24"/>
          <w:lang w:eastAsia="en-US"/>
        </w:rPr>
        <w:t xml:space="preserve">a durée et les circonstances </w:t>
      </w:r>
      <w:r>
        <w:rPr>
          <w:rFonts w:eastAsia="Calibri" w:cs="Arial"/>
          <w:szCs w:val="24"/>
          <w:lang w:eastAsia="en-US"/>
        </w:rPr>
        <w:t>de l’agression sexuelle</w:t>
      </w:r>
      <w:r w:rsidR="008F2E22">
        <w:rPr>
          <w:rFonts w:eastAsia="Calibri" w:cs="Arial"/>
          <w:szCs w:val="24"/>
          <w:lang w:eastAsia="en-US"/>
        </w:rPr>
        <w:t xml:space="preserve"> qui démontrent la persistance des contrevenants</w:t>
      </w:r>
      <w:r>
        <w:rPr>
          <w:rFonts w:eastAsia="Calibri" w:cs="Arial"/>
          <w:szCs w:val="24"/>
          <w:lang w:eastAsia="en-US"/>
        </w:rPr>
        <w:t xml:space="preserve"> et l’</w:t>
      </w:r>
      <w:r w:rsidR="002E0087">
        <w:rPr>
          <w:rFonts w:eastAsia="Calibri" w:cs="Arial"/>
          <w:szCs w:val="24"/>
          <w:lang w:eastAsia="en-US"/>
        </w:rPr>
        <w:t xml:space="preserve">objectification sexuelle </w:t>
      </w:r>
      <w:r>
        <w:rPr>
          <w:rFonts w:eastAsia="Calibri" w:cs="Arial"/>
          <w:szCs w:val="24"/>
          <w:lang w:eastAsia="en-US"/>
        </w:rPr>
        <w:t>de la victime</w:t>
      </w:r>
      <w:r w:rsidR="008F2E22">
        <w:rPr>
          <w:rFonts w:eastAsia="Calibri" w:cs="Arial"/>
          <w:szCs w:val="24"/>
          <w:lang w:eastAsia="en-US"/>
        </w:rPr>
        <w:t>;</w:t>
      </w:r>
      <w:r>
        <w:rPr>
          <w:rFonts w:eastAsia="Calibri" w:cs="Arial"/>
          <w:szCs w:val="24"/>
          <w:lang w:eastAsia="en-US"/>
        </w:rPr>
        <w:t xml:space="preserve"> </w:t>
      </w:r>
    </w:p>
    <w:p w14:paraId="251C50B3" w14:textId="23C6F23B" w:rsidR="00DB2E1A" w:rsidRPr="00472AC4" w:rsidRDefault="00821C95" w:rsidP="00472AC4">
      <w:pPr>
        <w:keepLines/>
        <w:numPr>
          <w:ilvl w:val="0"/>
          <w:numId w:val="34"/>
        </w:numPr>
        <w:spacing w:after="120"/>
        <w:ind w:left="714" w:hanging="357"/>
        <w:jc w:val="both"/>
        <w:rPr>
          <w:rFonts w:eastAsia="Calibri" w:cs="Arial"/>
          <w:szCs w:val="24"/>
          <w:lang w:eastAsia="en-US"/>
        </w:rPr>
      </w:pPr>
      <w:r>
        <w:rPr>
          <w:rFonts w:eastAsia="Calibri" w:cs="Arial"/>
          <w:szCs w:val="24"/>
          <w:lang w:eastAsia="en-US"/>
        </w:rPr>
        <w:t>L’atteinte à la vie privée et à la dignité de la victime</w:t>
      </w:r>
      <w:r>
        <w:rPr>
          <w:rStyle w:val="Appelnotedebasdep"/>
          <w:rFonts w:eastAsia="Calibri" w:cs="Arial"/>
          <w:szCs w:val="24"/>
          <w:lang w:eastAsia="en-US"/>
        </w:rPr>
        <w:footnoteReference w:id="47"/>
      </w:r>
      <w:r>
        <w:rPr>
          <w:rFonts w:eastAsia="Calibri" w:cs="Arial"/>
          <w:szCs w:val="24"/>
          <w:lang w:eastAsia="en-US"/>
        </w:rPr>
        <w:t>;</w:t>
      </w:r>
    </w:p>
    <w:p w14:paraId="2F8B526F" w14:textId="0A92CBA7" w:rsidR="00FC3920" w:rsidRPr="00472AC4" w:rsidRDefault="00C33BC8" w:rsidP="00472AC4">
      <w:pPr>
        <w:keepLines/>
        <w:numPr>
          <w:ilvl w:val="0"/>
          <w:numId w:val="34"/>
        </w:numPr>
        <w:spacing w:after="120"/>
        <w:ind w:left="714" w:hanging="357"/>
        <w:jc w:val="both"/>
        <w:rPr>
          <w:rFonts w:eastAsia="Calibri" w:cs="Arial"/>
          <w:szCs w:val="24"/>
          <w:lang w:eastAsia="en-US"/>
        </w:rPr>
      </w:pPr>
      <w:r>
        <w:rPr>
          <w:rFonts w:eastAsia="Calibri" w:cs="Arial"/>
          <w:szCs w:val="24"/>
          <w:lang w:eastAsia="en-US"/>
        </w:rPr>
        <w:t>Les c</w:t>
      </w:r>
      <w:r w:rsidRPr="001F6FF0">
        <w:rPr>
          <w:rFonts w:eastAsia="Calibri" w:cs="Arial"/>
          <w:szCs w:val="24"/>
          <w:lang w:eastAsia="en-US"/>
        </w:rPr>
        <w:t>onséquences</w:t>
      </w:r>
      <w:r w:rsidR="00B50DC5">
        <w:rPr>
          <w:rFonts w:eastAsia="Calibri" w:cs="Arial"/>
          <w:szCs w:val="24"/>
          <w:lang w:eastAsia="en-US"/>
        </w:rPr>
        <w:t xml:space="preserve"> importantes</w:t>
      </w:r>
      <w:r w:rsidRPr="001F6FF0">
        <w:rPr>
          <w:rFonts w:eastAsia="Calibri" w:cs="Arial"/>
          <w:szCs w:val="24"/>
          <w:lang w:eastAsia="en-US"/>
        </w:rPr>
        <w:t xml:space="preserve"> des crimes chez la victime ainsi que sur les membres de sa famille – </w:t>
      </w:r>
      <w:r>
        <w:rPr>
          <w:rFonts w:eastAsia="Calibri" w:cs="Arial"/>
          <w:szCs w:val="24"/>
          <w:lang w:eastAsia="en-US"/>
        </w:rPr>
        <w:t xml:space="preserve">art. </w:t>
      </w:r>
      <w:r w:rsidRPr="001F6FF0">
        <w:rPr>
          <w:rFonts w:eastAsia="Calibri" w:cs="Arial"/>
          <w:szCs w:val="24"/>
          <w:lang w:eastAsia="en-US"/>
        </w:rPr>
        <w:t>718.2 a) (iii.1)</w:t>
      </w:r>
      <w:r>
        <w:rPr>
          <w:rFonts w:eastAsia="Calibri" w:cs="Arial"/>
          <w:szCs w:val="24"/>
          <w:lang w:eastAsia="en-US"/>
        </w:rPr>
        <w:t xml:space="preserve"> C.cr.</w:t>
      </w:r>
    </w:p>
    <w:p w14:paraId="598DBFF5" w14:textId="67DD3727" w:rsidR="00C33BC8" w:rsidRDefault="00FC3920" w:rsidP="00D90F35">
      <w:pPr>
        <w:pStyle w:val="Paragraphe"/>
        <w:keepLines/>
        <w:spacing w:line="240" w:lineRule="auto"/>
        <w:rPr>
          <w:szCs w:val="24"/>
        </w:rPr>
      </w:pPr>
      <w:r>
        <w:rPr>
          <w:szCs w:val="24"/>
        </w:rPr>
        <w:t xml:space="preserve">À titre de facteur pertinent, le Tribunal retient </w:t>
      </w:r>
      <w:r w:rsidR="00155304">
        <w:rPr>
          <w:szCs w:val="24"/>
        </w:rPr>
        <w:t>le faible écart d’âge entre la victime (17 ans) et les contrevenants (18 ans).</w:t>
      </w:r>
      <w:r w:rsidR="00CD511D">
        <w:rPr>
          <w:szCs w:val="24"/>
        </w:rPr>
        <w:t xml:space="preserve"> Le Tribunal prend également en considération la couverture médiatique importante du dossier</w:t>
      </w:r>
      <w:r w:rsidR="008B287C">
        <w:rPr>
          <w:szCs w:val="24"/>
        </w:rPr>
        <w:t>,</w:t>
      </w:r>
      <w:r w:rsidR="005267FD">
        <w:rPr>
          <w:szCs w:val="24"/>
        </w:rPr>
        <w:t xml:space="preserve"> liée notamment à la notoriété des contrevenants,</w:t>
      </w:r>
      <w:r w:rsidR="008B287C">
        <w:rPr>
          <w:szCs w:val="24"/>
        </w:rPr>
        <w:t xml:space="preserve"> qui a entraîné des répercussions négatives tant chez les contrevenants que chez la victime, ainsi que sur leur famille respective. Notons que la défense ne soutient pas, à dessein, que cette couverture médiatique est </w:t>
      </w:r>
      <w:r w:rsidR="005267FD">
        <w:rPr>
          <w:szCs w:val="24"/>
        </w:rPr>
        <w:t xml:space="preserve">démesurée, abusive ou </w:t>
      </w:r>
      <w:r w:rsidR="008B287C">
        <w:rPr>
          <w:szCs w:val="24"/>
        </w:rPr>
        <w:t>oppressive</w:t>
      </w:r>
      <w:r w:rsidR="005267FD">
        <w:rPr>
          <w:szCs w:val="24"/>
        </w:rPr>
        <w:t xml:space="preserve">, </w:t>
      </w:r>
      <w:r w:rsidR="008B287C">
        <w:rPr>
          <w:szCs w:val="24"/>
        </w:rPr>
        <w:t>au point de constituer un facteur atténuant</w:t>
      </w:r>
      <w:r w:rsidR="005267FD">
        <w:rPr>
          <w:rStyle w:val="Appelnotedebasdep"/>
          <w:szCs w:val="24"/>
        </w:rPr>
        <w:footnoteReference w:id="48"/>
      </w:r>
      <w:r w:rsidR="008B287C">
        <w:rPr>
          <w:szCs w:val="24"/>
        </w:rPr>
        <w:t>.</w:t>
      </w:r>
    </w:p>
    <w:p w14:paraId="5CA9C765" w14:textId="1A0BCCEC" w:rsidR="00F06E64" w:rsidRPr="002C3299" w:rsidRDefault="005267FD" w:rsidP="002C3299">
      <w:pPr>
        <w:pStyle w:val="Paragraphe"/>
        <w:keepLines/>
        <w:spacing w:line="240" w:lineRule="auto"/>
        <w:rPr>
          <w:szCs w:val="24"/>
        </w:rPr>
      </w:pPr>
      <w:r>
        <w:rPr>
          <w:szCs w:val="24"/>
        </w:rPr>
        <w:t>Par ailleurs, l</w:t>
      </w:r>
      <w:r w:rsidR="001F2F1C">
        <w:rPr>
          <w:szCs w:val="24"/>
        </w:rPr>
        <w:t>e Tribunal considère que l’intoxication volontaire des contrevenants constitue un facteur neutre dans les circonstances</w:t>
      </w:r>
      <w:r w:rsidR="001F2F1C">
        <w:rPr>
          <w:rStyle w:val="Appelnotedebasdep"/>
          <w:szCs w:val="24"/>
        </w:rPr>
        <w:footnoteReference w:id="49"/>
      </w:r>
      <w:r w:rsidR="001F2F1C">
        <w:rPr>
          <w:szCs w:val="24"/>
        </w:rPr>
        <w:t>.</w:t>
      </w:r>
    </w:p>
    <w:p w14:paraId="6A7E0EF6" w14:textId="3F30295B" w:rsidR="001F6FF0" w:rsidRPr="001F6FF0" w:rsidRDefault="00977281" w:rsidP="00D90F35">
      <w:pPr>
        <w:keepLines/>
        <w:spacing w:before="120" w:after="120"/>
        <w:ind w:firstLine="720"/>
        <w:jc w:val="both"/>
        <w:rPr>
          <w:b/>
          <w:bCs/>
          <w:kern w:val="28"/>
        </w:rPr>
      </w:pPr>
      <w:r>
        <w:rPr>
          <w:b/>
          <w:bCs/>
          <w:kern w:val="28"/>
        </w:rPr>
        <w:t>D</w:t>
      </w:r>
      <w:r w:rsidR="00E418AD" w:rsidRPr="001F6FF0">
        <w:rPr>
          <w:b/>
          <w:bCs/>
          <w:kern w:val="28"/>
        </w:rPr>
        <w:t>)</w:t>
      </w:r>
      <w:r w:rsidR="00E418AD" w:rsidRPr="001F6FF0">
        <w:rPr>
          <w:b/>
          <w:bCs/>
          <w:kern w:val="28"/>
        </w:rPr>
        <w:tab/>
      </w:r>
      <w:r w:rsidR="008F2E22">
        <w:rPr>
          <w:b/>
          <w:bCs/>
          <w:kern w:val="28"/>
        </w:rPr>
        <w:t>Responsabilité morale des contrevenants</w:t>
      </w:r>
    </w:p>
    <w:p w14:paraId="71F74577" w14:textId="513BFFD2" w:rsidR="001F6FF0" w:rsidRDefault="00E66BC5" w:rsidP="002C3299">
      <w:pPr>
        <w:pStyle w:val="Paragraphe"/>
        <w:spacing w:line="240" w:lineRule="auto"/>
      </w:pPr>
      <w:r>
        <w:t xml:space="preserve">Au regard de l’ensemble des facteurs analysés précédemment, le Tribunal considère que la responsabilité morale des contrevenants est entière et élevée. </w:t>
      </w:r>
      <w:r w:rsidR="00DE01B4">
        <w:t>Cette conclusion est notamment basée sur l’abus de confiance et la vulnérabilité de la victime, la gravité de l’atteinte à son intégrité physique et sexuelle, la persistance des contrevenants et leur indifférence face au respect de la victime</w:t>
      </w:r>
      <w:r w:rsidR="00977281">
        <w:t xml:space="preserve"> et de sa volonté maintes fois communiquée,</w:t>
      </w:r>
      <w:r w:rsidR="00DE01B4">
        <w:t xml:space="preserve"> ainsi que sur l’importance des conséquences vécues par cette dernière.</w:t>
      </w:r>
    </w:p>
    <w:p w14:paraId="0E131C68" w14:textId="4E39791C" w:rsidR="00DE01B4" w:rsidRDefault="00723BA5" w:rsidP="00D90F35">
      <w:pPr>
        <w:pStyle w:val="Paragraphe"/>
        <w:keepLines/>
        <w:spacing w:line="240" w:lineRule="auto"/>
      </w:pPr>
      <w:r>
        <w:t xml:space="preserve">Le Tribunal prend également en considération que la preuve démontre que les contrevenants </w:t>
      </w:r>
      <w:r w:rsidR="00CD511D">
        <w:t>ont reçu à deux reprises, soit annuellement,</w:t>
      </w:r>
      <w:r>
        <w:t xml:space="preserve"> un</w:t>
      </w:r>
      <w:r w:rsidR="00CD511D">
        <w:t xml:space="preserve"> atelier de sensibilisation</w:t>
      </w:r>
      <w:r>
        <w:t xml:space="preserve"> </w:t>
      </w:r>
      <w:r w:rsidR="00CD511D">
        <w:t>offert</w:t>
      </w:r>
      <w:r>
        <w:t xml:space="preserve"> par leur équipe de la </w:t>
      </w:r>
      <w:r w:rsidRPr="003E1AB8">
        <w:rPr>
          <w:i/>
          <w:iCs/>
        </w:rPr>
        <w:t>LHJMQ</w:t>
      </w:r>
      <w:r>
        <w:t xml:space="preserve">, portant spécifiquement sur la notion de consentement. </w:t>
      </w:r>
    </w:p>
    <w:p w14:paraId="5930D9FB" w14:textId="711B52A6" w:rsidR="00723BA5" w:rsidRDefault="00723BA5" w:rsidP="00D90F35">
      <w:pPr>
        <w:pStyle w:val="Paragraphe"/>
        <w:keepLines/>
        <w:spacing w:line="240" w:lineRule="auto"/>
      </w:pPr>
      <w:r>
        <w:lastRenderedPageBreak/>
        <w:t>Au niveau</w:t>
      </w:r>
      <w:r w:rsidR="006729BC">
        <w:t xml:space="preserve"> de l’infraction d’agression sexuelle, le Tribunal considère que la responsabilité morale de Massimo Siciliano est supérieure à celle de Nicolas Daigle. En</w:t>
      </w:r>
      <w:r w:rsidR="00076E41">
        <w:t> </w:t>
      </w:r>
      <w:r w:rsidR="006729BC">
        <w:t xml:space="preserve">effet, il impose sa présence bien que la victime ait exprimé son désir d’être seule avec Nicolas Daigle. Il initie l’agression sexuelle en déshabillant la victime dans les instants </w:t>
      </w:r>
      <w:r w:rsidR="006729BC" w:rsidRPr="007F16AC">
        <w:t>suivant</w:t>
      </w:r>
      <w:r w:rsidR="007F16AC">
        <w:t xml:space="preserve"> </w:t>
      </w:r>
      <w:r w:rsidR="006729BC">
        <w:t>son arrivée dans la chambre. Par ailleurs, à la suite du départ de Nicolas Daigle, il perpé</w:t>
      </w:r>
      <w:r w:rsidR="001441E2">
        <w:t>tue l’agression sexuelle en insistant auprès de la victime</w:t>
      </w:r>
      <w:r w:rsidR="008F2023">
        <w:t>,</w:t>
      </w:r>
      <w:r w:rsidR="001441E2">
        <w:t xml:space="preserve"> qui lui</w:t>
      </w:r>
      <w:r w:rsidR="008F2023">
        <w:t xml:space="preserve"> avait pourtant</w:t>
      </w:r>
      <w:r w:rsidR="001441E2">
        <w:t xml:space="preserve"> </w:t>
      </w:r>
      <w:r w:rsidR="008F2023">
        <w:t>communiqué</w:t>
      </w:r>
      <w:r w:rsidR="001441E2">
        <w:t xml:space="preserve"> </w:t>
      </w:r>
      <w:r w:rsidR="008F2023">
        <w:t xml:space="preserve">à quelques reprises </w:t>
      </w:r>
      <w:r w:rsidR="001441E2">
        <w:t>son désir</w:t>
      </w:r>
      <w:r w:rsidR="008F2023">
        <w:t xml:space="preserve"> d’y mettre fin.</w:t>
      </w:r>
      <w:r w:rsidR="00977281">
        <w:t xml:space="preserve"> Les circonstances démontrent un degré de culpabilité morale fort élevé.</w:t>
      </w:r>
    </w:p>
    <w:p w14:paraId="3C17BBDF" w14:textId="2DF89B42" w:rsidR="008F2023" w:rsidRPr="001F6FF0" w:rsidRDefault="008F2023" w:rsidP="00D90F35">
      <w:pPr>
        <w:pStyle w:val="Paragraphe"/>
        <w:keepLines/>
        <w:spacing w:line="240" w:lineRule="auto"/>
      </w:pPr>
      <w:r>
        <w:t>Par ailleurs, la responsabilité morale de Nicolas Daigl</w:t>
      </w:r>
      <w:r w:rsidR="00977281">
        <w:t>e</w:t>
      </w:r>
      <w:r w:rsidR="0029594C">
        <w:t>,</w:t>
      </w:r>
      <w:r w:rsidR="00977281">
        <w:t xml:space="preserve"> qui est élevée au niveau de l’agression sexuelle,</w:t>
      </w:r>
      <w:r>
        <w:t xml:space="preserve"> est exacerbée par la production d’un enregistrement vidéo de la victime, à son insu et à l’encontre de sa volonté exprimée de façon claire. Cet enregistrement vidéo est par la suite exhibé à quelques personnes, augmentant l’atteinte à la vie privée et à la dignité de la victime</w:t>
      </w:r>
      <w:r w:rsidR="00EE308B">
        <w:t>. Il a fallu l’intervention d’une employée de l’hôtel pour faire cesser cette diffusion préjudiciable.</w:t>
      </w:r>
      <w:r w:rsidR="00977281">
        <w:t xml:space="preserve"> Les circonstances démontrent également un degré de culpabilité morale fort élevé.</w:t>
      </w:r>
    </w:p>
    <w:p w14:paraId="3630D55A" w14:textId="6268A5B2" w:rsidR="001F6FF0" w:rsidRPr="001F6FF0" w:rsidRDefault="00977281" w:rsidP="00D90F35">
      <w:pPr>
        <w:keepLines/>
        <w:spacing w:before="120" w:after="120"/>
        <w:ind w:firstLine="734"/>
        <w:jc w:val="both"/>
        <w:rPr>
          <w:b/>
          <w:bCs/>
          <w:kern w:val="28"/>
        </w:rPr>
      </w:pPr>
      <w:r>
        <w:rPr>
          <w:b/>
          <w:bCs/>
          <w:kern w:val="28"/>
        </w:rPr>
        <w:t>E</w:t>
      </w:r>
      <w:r w:rsidR="00E418AD" w:rsidRPr="001F6FF0">
        <w:rPr>
          <w:b/>
          <w:bCs/>
          <w:kern w:val="28"/>
        </w:rPr>
        <w:t>)</w:t>
      </w:r>
      <w:r w:rsidR="00E418AD" w:rsidRPr="001F6FF0">
        <w:rPr>
          <w:b/>
          <w:bCs/>
          <w:kern w:val="28"/>
        </w:rPr>
        <w:tab/>
      </w:r>
      <w:r>
        <w:rPr>
          <w:b/>
          <w:bCs/>
          <w:kern w:val="28"/>
        </w:rPr>
        <w:t>Principe de l’h</w:t>
      </w:r>
      <w:r w:rsidR="00E418AD" w:rsidRPr="001F6FF0">
        <w:rPr>
          <w:b/>
          <w:bCs/>
          <w:kern w:val="28"/>
        </w:rPr>
        <w:t>armonisation de la peine</w:t>
      </w:r>
    </w:p>
    <w:p w14:paraId="04736BCD" w14:textId="25C433BE" w:rsidR="00483038" w:rsidRPr="000F73FA" w:rsidRDefault="00483038" w:rsidP="00D90F35">
      <w:pPr>
        <w:pStyle w:val="Paragraphe"/>
        <w:keepLines/>
        <w:spacing w:line="240" w:lineRule="auto"/>
        <w:rPr>
          <w:rFonts w:cs="Arial"/>
          <w:color w:val="000000"/>
        </w:rPr>
      </w:pPr>
      <w:r>
        <w:t>Tel qu’abordé précédemment, les objectifs de dénonciation et de dissuasion doivent être priorisés en matière d’infraction commise à l’égard d’une personne âgée de moins de 18 ans</w:t>
      </w:r>
      <w:r>
        <w:rPr>
          <w:rStyle w:val="Appelnotedebasdep"/>
        </w:rPr>
        <w:footnoteReference w:id="50"/>
      </w:r>
      <w:r>
        <w:t xml:space="preserve">. Dans l’arrêt </w:t>
      </w:r>
      <w:r w:rsidRPr="00F93222">
        <w:rPr>
          <w:i/>
          <w:iCs/>
        </w:rPr>
        <w:t>Friesen</w:t>
      </w:r>
      <w:r>
        <w:t>, la Cour suprême du Canada considère que ce choix du législateur</w:t>
      </w:r>
      <w:r w:rsidR="000F73FA">
        <w:t xml:space="preserve"> </w:t>
      </w:r>
      <w:r w:rsidR="000F73FA">
        <w:rPr>
          <w:color w:val="000000"/>
        </w:rPr>
        <w:t>de privilégier la dénonciation et la dissuasion pour les infractions d’ordre sexuel contre des enfants</w:t>
      </w:r>
      <w:r>
        <w:t xml:space="preserve"> constitue une réponse </w:t>
      </w:r>
      <w:r w:rsidR="000F73FA">
        <w:rPr>
          <w:color w:val="000000"/>
        </w:rPr>
        <w:t>sensée au caractère répréhensible de ces infractions et aux préjudices graves qu’elles causent</w:t>
      </w:r>
      <w:r w:rsidR="000F73FA">
        <w:rPr>
          <w:rStyle w:val="Appelnotedebasdep"/>
          <w:color w:val="000000"/>
        </w:rPr>
        <w:footnoteReference w:id="51"/>
      </w:r>
      <w:r w:rsidR="000F73FA">
        <w:rPr>
          <w:color w:val="000000"/>
        </w:rPr>
        <w:t>.</w:t>
      </w:r>
    </w:p>
    <w:p w14:paraId="2C6175F0" w14:textId="28F56AA4" w:rsidR="000F73FA" w:rsidRPr="00BA74A5" w:rsidRDefault="000F73FA" w:rsidP="00D90F35">
      <w:pPr>
        <w:pStyle w:val="Paragraphe"/>
        <w:keepLines/>
        <w:spacing w:line="240" w:lineRule="auto"/>
        <w:rPr>
          <w:rFonts w:cs="Arial"/>
          <w:color w:val="000000"/>
        </w:rPr>
      </w:pPr>
      <w:r>
        <w:t>Une jurisprudence constante reconnaît également que les objectifs de dénonciation et de dissuasion</w:t>
      </w:r>
      <w:r w:rsidR="00D80FB4">
        <w:t xml:space="preserve"> se voient accorder un poids prédominant</w:t>
      </w:r>
      <w:r>
        <w:t xml:space="preserve"> en matière d’agressions sexuelles commises sur des adultes</w:t>
      </w:r>
      <w:r>
        <w:rPr>
          <w:rStyle w:val="Appelnotedebasdep"/>
        </w:rPr>
        <w:footnoteReference w:id="52"/>
      </w:r>
      <w:r>
        <w:t>.</w:t>
      </w:r>
    </w:p>
    <w:p w14:paraId="6457A222" w14:textId="54A1F173" w:rsidR="00BA74A5" w:rsidRPr="00483038" w:rsidRDefault="00BA74A5" w:rsidP="00D90F35">
      <w:pPr>
        <w:pStyle w:val="Paragraphe"/>
        <w:keepLines/>
        <w:spacing w:line="240" w:lineRule="auto"/>
        <w:rPr>
          <w:rFonts w:cs="Arial"/>
          <w:color w:val="000000"/>
        </w:rPr>
      </w:pPr>
      <w:r>
        <w:t xml:space="preserve">Néanmoins, </w:t>
      </w:r>
      <w:r w:rsidR="00FE56ED">
        <w:t xml:space="preserve">la Cour suprême du Canada rappelle, </w:t>
      </w:r>
      <w:r w:rsidR="00FE56ED">
        <w:rPr>
          <w:rStyle w:val="reflex"/>
          <w:rFonts w:cs="Arial"/>
          <w:color w:val="000000"/>
        </w:rPr>
        <w:t>dans l’arrêt </w:t>
      </w:r>
      <w:r w:rsidR="00FE56ED">
        <w:rPr>
          <w:rStyle w:val="reflex"/>
          <w:rFonts w:cs="Arial"/>
          <w:i/>
          <w:iCs/>
          <w:color w:val="000000"/>
        </w:rPr>
        <w:t>Bertrand Marchand</w:t>
      </w:r>
      <w:r w:rsidR="00FE56ED" w:rsidRPr="00F93222">
        <w:rPr>
          <w:rStyle w:val="Appelnotedebasdep"/>
          <w:rFonts w:cs="Arial"/>
          <w:color w:val="000000"/>
        </w:rPr>
        <w:footnoteReference w:id="53"/>
      </w:r>
      <w:r w:rsidR="00FE56ED">
        <w:rPr>
          <w:rFonts w:cs="Arial"/>
          <w:color w:val="000000"/>
        </w:rPr>
        <w:t>, que la priorité accordée à ces objectifs ne permet pas d’écarter les autres objectifs de détermination de la peine</w:t>
      </w:r>
      <w:r w:rsidR="00401CC7">
        <w:rPr>
          <w:rStyle w:val="Appelnotedebasdep"/>
          <w:rFonts w:cs="Arial"/>
          <w:color w:val="000000"/>
        </w:rPr>
        <w:footnoteReference w:id="54"/>
      </w:r>
      <w:r w:rsidR="00FE56ED">
        <w:rPr>
          <w:rFonts w:cs="Arial"/>
          <w:color w:val="000000"/>
        </w:rPr>
        <w:t>.</w:t>
      </w:r>
    </w:p>
    <w:p w14:paraId="197F34C8" w14:textId="0FBE658C" w:rsidR="00EA3653" w:rsidRPr="00285093" w:rsidRDefault="006E0951" w:rsidP="00D90F35">
      <w:pPr>
        <w:pStyle w:val="Paragraphe"/>
        <w:keepLines/>
        <w:spacing w:line="240" w:lineRule="auto"/>
      </w:pPr>
      <w:r>
        <w:lastRenderedPageBreak/>
        <w:t>D</w:t>
      </w:r>
      <w:r w:rsidR="00BB470C">
        <w:t>’autre part, d</w:t>
      </w:r>
      <w:r>
        <w:t>ans plusieurs arrêts récents, l</w:t>
      </w:r>
      <w:r w:rsidR="00EA3653">
        <w:t>a Cour d'appel du Québec a cité à nouveau, en les approuvant</w:t>
      </w:r>
      <w:r>
        <w:rPr>
          <w:rStyle w:val="Appelnotedebasdep"/>
        </w:rPr>
        <w:footnoteReference w:id="55"/>
      </w:r>
      <w:r w:rsidR="00EA3653">
        <w:t>, les fourchettes</w:t>
      </w:r>
      <w:r w:rsidR="00BB470C">
        <w:t xml:space="preserve"> de peine</w:t>
      </w:r>
      <w:r w:rsidR="00EA3653">
        <w:t xml:space="preserve"> établies dans l'a</w:t>
      </w:r>
      <w:r>
        <w:t>ffaire</w:t>
      </w:r>
      <w:r w:rsidR="00EA3653">
        <w:t xml:space="preserve"> </w:t>
      </w:r>
      <w:r w:rsidR="00EA3653">
        <w:rPr>
          <w:i/>
          <w:iCs/>
        </w:rPr>
        <w:t>R.</w:t>
      </w:r>
      <w:r w:rsidR="001950A9">
        <w:rPr>
          <w:i/>
          <w:iCs/>
        </w:rPr>
        <w:t> </w:t>
      </w:r>
      <w:r w:rsidR="00EA3653">
        <w:t>c.</w:t>
      </w:r>
      <w:r w:rsidR="001950A9">
        <w:t> </w:t>
      </w:r>
      <w:r w:rsidR="00EA3653">
        <w:rPr>
          <w:i/>
          <w:iCs/>
        </w:rPr>
        <w:t>Cloutier</w:t>
      </w:r>
      <w:r w:rsidRPr="00F93222">
        <w:rPr>
          <w:rStyle w:val="Appelnotedebasdep"/>
        </w:rPr>
        <w:footnoteReference w:id="56"/>
      </w:r>
      <w:r w:rsidR="00EA3653">
        <w:t>. Elles sont décrites par les auteurs Parent et Desrosiers comme suit</w:t>
      </w:r>
      <w:r w:rsidR="00B02BEB">
        <w:rPr>
          <w:rStyle w:val="Appelnotedebasdep"/>
        </w:rPr>
        <w:footnoteReference w:id="57"/>
      </w:r>
      <w:r w:rsidR="00EA3653">
        <w:rPr>
          <w:sz w:val="16"/>
          <w:szCs w:val="16"/>
        </w:rPr>
        <w:t xml:space="preserve"> </w:t>
      </w:r>
      <w:r w:rsidR="00EA3653">
        <w:t xml:space="preserve">: </w:t>
      </w:r>
    </w:p>
    <w:p w14:paraId="40189693" w14:textId="69EF2B8B" w:rsidR="00EA3653" w:rsidRDefault="00605731" w:rsidP="008D1CE1">
      <w:pPr>
        <w:pStyle w:val="Citationenretrait"/>
      </w:pPr>
      <w:r>
        <w:rPr>
          <w:b/>
          <w:bCs/>
        </w:rPr>
        <w:t>i) Les sentences de moins de deux ans [l</w:t>
      </w:r>
      <w:r w:rsidR="00EA3653">
        <w:rPr>
          <w:b/>
          <w:bCs/>
        </w:rPr>
        <w:t>es peines de plus courte durée</w:t>
      </w:r>
      <w:r>
        <w:rPr>
          <w:b/>
          <w:bCs/>
        </w:rPr>
        <w:t>]</w:t>
      </w:r>
      <w:r w:rsidR="00485CFD">
        <w:rPr>
          <w:b/>
          <w:bCs/>
        </w:rPr>
        <w:t> </w:t>
      </w:r>
      <w:r w:rsidR="00485CFD" w:rsidRPr="00485CFD">
        <w:t>:</w:t>
      </w:r>
      <w:r w:rsidR="00EA3653">
        <w:t xml:space="preserve"> Ces sentences sanctionnent des gestes sexuels de peu de gravité </w:t>
      </w:r>
      <w:r w:rsidR="00285093">
        <w:t>et/</w:t>
      </w:r>
      <w:r w:rsidR="00EA3653">
        <w:t xml:space="preserve">ou survenus en de rares occasions </w:t>
      </w:r>
      <w:r w:rsidR="00285093">
        <w:t>et/</w:t>
      </w:r>
      <w:r w:rsidR="00EA3653">
        <w:t xml:space="preserve">ou </w:t>
      </w:r>
      <w:r w:rsidR="00285093">
        <w:t>sur</w:t>
      </w:r>
      <w:r w:rsidR="00EA3653">
        <w:t xml:space="preserve"> une courte période de temps, commis à l’endroit d’une seule victime. </w:t>
      </w:r>
    </w:p>
    <w:p w14:paraId="0A556EE8" w14:textId="77777777" w:rsidR="00EA3653" w:rsidRDefault="00EA3653" w:rsidP="008D1CE1">
      <w:pPr>
        <w:pStyle w:val="Citationenretrait"/>
      </w:pPr>
      <w:r>
        <w:t xml:space="preserve">[…] </w:t>
      </w:r>
    </w:p>
    <w:p w14:paraId="2CA7ED04" w14:textId="0CBD9483" w:rsidR="00285093" w:rsidRDefault="00285093" w:rsidP="008D1CE1">
      <w:pPr>
        <w:pStyle w:val="Citationenretrait"/>
      </w:pPr>
      <w:r>
        <w:t>À toutes fins utiles, les sentences de moins de 24 mois d’emprisonnement ferme sont réservées aux infractions de moindre gravité, commises en de rares occasions ou au cours d’un épisode unique, généralement sur une seule victime.</w:t>
      </w:r>
    </w:p>
    <w:p w14:paraId="28E7CC0D" w14:textId="74EAFF3E" w:rsidR="00285093" w:rsidRDefault="00285093" w:rsidP="008D1CE1">
      <w:pPr>
        <w:pStyle w:val="Citationenretrait"/>
      </w:pPr>
      <w:r>
        <w:t>[…]</w:t>
      </w:r>
    </w:p>
    <w:p w14:paraId="0A8C642B" w14:textId="4179D269" w:rsidR="00EA3653" w:rsidRDefault="00605731" w:rsidP="008D1CE1">
      <w:pPr>
        <w:pStyle w:val="Citationenretrait"/>
      </w:pPr>
      <w:r>
        <w:rPr>
          <w:b/>
          <w:bCs/>
        </w:rPr>
        <w:t>ii) L</w:t>
      </w:r>
      <w:r w:rsidR="00285093">
        <w:rPr>
          <w:b/>
          <w:bCs/>
        </w:rPr>
        <w:t>es sentences</w:t>
      </w:r>
      <w:r w:rsidR="00EA3653">
        <w:rPr>
          <w:b/>
          <w:bCs/>
        </w:rPr>
        <w:t xml:space="preserve"> de </w:t>
      </w:r>
      <w:r>
        <w:rPr>
          <w:b/>
          <w:bCs/>
        </w:rPr>
        <w:t>2</w:t>
      </w:r>
      <w:r w:rsidR="00EA3653">
        <w:rPr>
          <w:b/>
          <w:bCs/>
        </w:rPr>
        <w:t xml:space="preserve"> ans à </w:t>
      </w:r>
      <w:r>
        <w:rPr>
          <w:b/>
          <w:bCs/>
        </w:rPr>
        <w:t>6</w:t>
      </w:r>
      <w:r w:rsidR="00EA3653">
        <w:rPr>
          <w:b/>
          <w:bCs/>
        </w:rPr>
        <w:t xml:space="preserve"> ans, avec une concentration </w:t>
      </w:r>
      <w:r w:rsidR="00285093">
        <w:rPr>
          <w:b/>
          <w:bCs/>
        </w:rPr>
        <w:t xml:space="preserve">importante </w:t>
      </w:r>
      <w:r w:rsidR="00EA3653">
        <w:rPr>
          <w:b/>
          <w:bCs/>
        </w:rPr>
        <w:t>de</w:t>
      </w:r>
      <w:r w:rsidR="00485CFD">
        <w:rPr>
          <w:b/>
          <w:bCs/>
        </w:rPr>
        <w:t>s</w:t>
      </w:r>
      <w:r w:rsidR="00EA3653">
        <w:rPr>
          <w:b/>
          <w:bCs/>
        </w:rPr>
        <w:t xml:space="preserve"> </w:t>
      </w:r>
      <w:r>
        <w:rPr>
          <w:b/>
          <w:bCs/>
        </w:rPr>
        <w:t>3</w:t>
      </w:r>
      <w:r w:rsidR="001950A9">
        <w:rPr>
          <w:b/>
          <w:bCs/>
        </w:rPr>
        <w:t> </w:t>
      </w:r>
      <w:r w:rsidR="00EA3653">
        <w:rPr>
          <w:b/>
          <w:bCs/>
        </w:rPr>
        <w:t xml:space="preserve">à </w:t>
      </w:r>
      <w:r>
        <w:rPr>
          <w:b/>
          <w:bCs/>
        </w:rPr>
        <w:t>4</w:t>
      </w:r>
      <w:r w:rsidR="00EA3653">
        <w:rPr>
          <w:b/>
          <w:bCs/>
        </w:rPr>
        <w:t xml:space="preserve"> ans</w:t>
      </w:r>
      <w:r>
        <w:rPr>
          <w:b/>
          <w:bCs/>
        </w:rPr>
        <w:t xml:space="preserve"> [les peines de durée intermédiaire]</w:t>
      </w:r>
      <w:r w:rsidR="00EA3653">
        <w:rPr>
          <w:b/>
          <w:bCs/>
        </w:rPr>
        <w:t xml:space="preserve"> </w:t>
      </w:r>
      <w:r w:rsidR="00EA3653">
        <w:t xml:space="preserve">: Selon le juge Sansfaçon dans l’affaire </w:t>
      </w:r>
      <w:r w:rsidR="00EA3653">
        <w:rPr>
          <w:i/>
          <w:iCs/>
        </w:rPr>
        <w:t>Cloutier</w:t>
      </w:r>
      <w:r w:rsidR="00EA3653">
        <w:t xml:space="preserve">, la ligne médiane des peines pour crimes sexuels se situerait autour de 3 ans et demi. Ce </w:t>
      </w:r>
      <w:r w:rsidR="00285093">
        <w:t>com</w:t>
      </w:r>
      <w:r w:rsidR="00EA3653">
        <w:t xml:space="preserve">mentaire, certes judicieux, émane de la lecture des jugements soumis par les procureurs afin d'asseoir leur suggestion de peine respective. Les trames factuelles des affaires soumises tendaient donc naturellement à s'approcher des faits de l'affaire </w:t>
      </w:r>
      <w:r w:rsidR="00EA3653">
        <w:rPr>
          <w:i/>
          <w:iCs/>
        </w:rPr>
        <w:t>Cloutier</w:t>
      </w:r>
      <w:r w:rsidR="00AC6921">
        <w:rPr>
          <w:i/>
          <w:iCs/>
        </w:rPr>
        <w:t> </w:t>
      </w:r>
      <w:r w:rsidR="00AC6921">
        <w:t>:</w:t>
      </w:r>
      <w:r w:rsidR="00EA3653">
        <w:t xml:space="preserve"> pas de casier judiciaire, abus de confiance, de pouvoir et d'autorité, mais absence de violence directe (autre que celle inhérente à la nature de l'infraction). Dans ce contexte, les jugements de la Cour d'appel confirment ce seuil. </w:t>
      </w:r>
    </w:p>
    <w:p w14:paraId="46EB8DB4" w14:textId="77777777" w:rsidR="00EA3653" w:rsidRDefault="00EA3653" w:rsidP="008D1CE1">
      <w:pPr>
        <w:pStyle w:val="Citationenretrait"/>
      </w:pPr>
      <w:r>
        <w:t xml:space="preserve">[…] </w:t>
      </w:r>
    </w:p>
    <w:p w14:paraId="674D57ED" w14:textId="3C9D023B" w:rsidR="00AC6921" w:rsidRDefault="00AC6921" w:rsidP="008D1CE1">
      <w:pPr>
        <w:pStyle w:val="Citationenretrait"/>
      </w:pPr>
      <w:r>
        <w:t>Loin d’être réservées aux agressions multiples s’échelonnant sur une longue période de temps, les peines de durée intermédiaire s’appliquent également à « des infractions sexuelles graves comportant un abus de confiance ou d’autorité, mais en l’absence d’antécédents judiciaires et de violence extrinsèque à l’infraction ».</w:t>
      </w:r>
    </w:p>
    <w:p w14:paraId="28E85AA6" w14:textId="0753F937" w:rsidR="00AC6921" w:rsidRDefault="00AC6921" w:rsidP="008D1CE1">
      <w:pPr>
        <w:pStyle w:val="Citationenretrait"/>
      </w:pPr>
      <w:r>
        <w:t>[…]</w:t>
      </w:r>
    </w:p>
    <w:p w14:paraId="16FDE8C1" w14:textId="54A2CD38" w:rsidR="00AC6921" w:rsidRDefault="00AC6921" w:rsidP="008D1CE1">
      <w:pPr>
        <w:pStyle w:val="Citationenretrait"/>
      </w:pPr>
      <w:r>
        <w:t>Les peines de 30 mois d’emprisonnement infligées dans les cas d’agression unique commise sur des adultes et comportant des circonstances aggravantes se rapportant au crime ou au degré de responsabilité du délinquant sont fréquentes.</w:t>
      </w:r>
    </w:p>
    <w:p w14:paraId="338F9C33" w14:textId="03B6D400" w:rsidR="00AC6921" w:rsidRDefault="00AC6921" w:rsidP="008D1CE1">
      <w:pPr>
        <w:pStyle w:val="Citationenretrait"/>
      </w:pPr>
      <w:r>
        <w:t>[…]</w:t>
      </w:r>
    </w:p>
    <w:p w14:paraId="55A80230" w14:textId="5B1BDEFF" w:rsidR="00EA3653" w:rsidRDefault="00605731" w:rsidP="008D1CE1">
      <w:pPr>
        <w:pStyle w:val="Citationenretrait"/>
      </w:pPr>
      <w:r>
        <w:rPr>
          <w:b/>
          <w:bCs/>
        </w:rPr>
        <w:lastRenderedPageBreak/>
        <w:t>iii) L</w:t>
      </w:r>
      <w:r w:rsidR="00AC6921">
        <w:rPr>
          <w:b/>
          <w:bCs/>
        </w:rPr>
        <w:t>es sentences</w:t>
      </w:r>
      <w:r w:rsidR="00EA3653">
        <w:rPr>
          <w:b/>
          <w:bCs/>
        </w:rPr>
        <w:t xml:space="preserve"> de </w:t>
      </w:r>
      <w:r w:rsidR="00AC6921">
        <w:rPr>
          <w:b/>
          <w:bCs/>
        </w:rPr>
        <w:t>7 à 13</w:t>
      </w:r>
      <w:r w:rsidR="00EA3653">
        <w:rPr>
          <w:b/>
          <w:bCs/>
        </w:rPr>
        <w:t xml:space="preserve"> ans</w:t>
      </w:r>
      <w:r>
        <w:rPr>
          <w:b/>
          <w:bCs/>
        </w:rPr>
        <w:t xml:space="preserve"> [</w:t>
      </w:r>
      <w:r w:rsidR="00A12B80">
        <w:rPr>
          <w:b/>
          <w:bCs/>
        </w:rPr>
        <w:t>l</w:t>
      </w:r>
      <w:r>
        <w:rPr>
          <w:b/>
          <w:bCs/>
        </w:rPr>
        <w:t>es peines de plus longue durée]</w:t>
      </w:r>
      <w:r w:rsidR="00EA3653">
        <w:rPr>
          <w:b/>
          <w:bCs/>
        </w:rPr>
        <w:t xml:space="preserve"> </w:t>
      </w:r>
      <w:r w:rsidR="00EA3653">
        <w:t xml:space="preserve">: Le juge Sansfaçon note que « les sentences de 7 à 13 ans ont été imposées en raison de circonstances particulières de violence, au-delà des gestes sexuels et/ou de la présence d'antécédents judiciaires et évidemment en relation avec des infractions comportant une gravité objective [élevée] ». </w:t>
      </w:r>
    </w:p>
    <w:p w14:paraId="57A38A36" w14:textId="2B9C19E4" w:rsidR="00A12B80" w:rsidRDefault="00A12B80" w:rsidP="008D1CE1">
      <w:pPr>
        <w:pStyle w:val="Citationenretrait"/>
      </w:pPr>
      <w:r>
        <w:rPr>
          <w:b/>
          <w:bCs/>
        </w:rPr>
        <w:tab/>
      </w:r>
      <w:r>
        <w:rPr>
          <w:b/>
          <w:bCs/>
        </w:rPr>
        <w:tab/>
      </w:r>
      <w:r>
        <w:rPr>
          <w:b/>
          <w:bCs/>
        </w:rPr>
        <w:tab/>
      </w:r>
      <w:r>
        <w:rPr>
          <w:b/>
          <w:bCs/>
        </w:rPr>
        <w:tab/>
      </w:r>
      <w:r>
        <w:rPr>
          <w:b/>
          <w:bCs/>
        </w:rPr>
        <w:tab/>
      </w:r>
      <w:r>
        <w:rPr>
          <w:b/>
          <w:bCs/>
        </w:rPr>
        <w:tab/>
      </w:r>
      <w:r>
        <w:rPr>
          <w:b/>
          <w:bCs/>
        </w:rPr>
        <w:tab/>
      </w:r>
      <w:r>
        <w:rPr>
          <w:b/>
          <w:bCs/>
        </w:rPr>
        <w:tab/>
      </w:r>
      <w:r w:rsidR="00293BCB">
        <w:rPr>
          <w:b/>
          <w:bCs/>
        </w:rPr>
        <w:tab/>
      </w:r>
      <w:r w:rsidRPr="00EE1062">
        <w:rPr>
          <w:lang w:eastAsia="fr-CA"/>
        </w:rPr>
        <w:t>[</w:t>
      </w:r>
      <w:r>
        <w:rPr>
          <w:lang w:eastAsia="fr-CA"/>
        </w:rPr>
        <w:t>R</w:t>
      </w:r>
      <w:r w:rsidRPr="00EE1062">
        <w:rPr>
          <w:lang w:eastAsia="fr-CA"/>
        </w:rPr>
        <w:t>éférences omises]</w:t>
      </w:r>
    </w:p>
    <w:p w14:paraId="2968D670" w14:textId="5ECED136" w:rsidR="00EA3653" w:rsidRDefault="000E189D" w:rsidP="00D90F35">
      <w:pPr>
        <w:pStyle w:val="Paragraphe"/>
        <w:keepLines/>
        <w:spacing w:line="240" w:lineRule="auto"/>
      </w:pPr>
      <w:r>
        <w:t>Bien que</w:t>
      </w:r>
      <w:r w:rsidR="00EA3653">
        <w:t xml:space="preserve"> les fourchettes de peines so</w:t>
      </w:r>
      <w:r>
        <w:t>ie</w:t>
      </w:r>
      <w:r w:rsidR="00EA3653">
        <w:t>nt des guides utiles, elles ne sont pas contraignantes, le Tribunal devant respecter son devoir d’i</w:t>
      </w:r>
      <w:r w:rsidR="0076582C">
        <w:t>nfliger</w:t>
      </w:r>
      <w:r w:rsidR="00EA3653">
        <w:t xml:space="preserve"> une peine proportionnelle</w:t>
      </w:r>
      <w:r>
        <w:rPr>
          <w:rStyle w:val="Appelnotedebasdep"/>
        </w:rPr>
        <w:footnoteReference w:id="58"/>
      </w:r>
      <w:r w:rsidR="00EA3653">
        <w:t xml:space="preserve">. </w:t>
      </w:r>
    </w:p>
    <w:p w14:paraId="2E656160" w14:textId="4E4E0495" w:rsidR="006E0951" w:rsidRPr="00FE56ED" w:rsidRDefault="006E0951" w:rsidP="00D90F35">
      <w:pPr>
        <w:pStyle w:val="Paragraphe"/>
        <w:keepLines/>
        <w:spacing w:line="240" w:lineRule="auto"/>
        <w:rPr>
          <w:rFonts w:cs="Arial"/>
          <w:color w:val="000000"/>
        </w:rPr>
      </w:pPr>
      <w:r w:rsidRPr="001F6FF0">
        <w:t>Dans le cadre de l’analyse d</w:t>
      </w:r>
      <w:r w:rsidR="000E189D">
        <w:t xml:space="preserve">u </w:t>
      </w:r>
      <w:r w:rsidRPr="001F6FF0">
        <w:t>principe</w:t>
      </w:r>
      <w:r w:rsidR="000E189D">
        <w:t xml:space="preserve"> de l’harmonisation des peines</w:t>
      </w:r>
      <w:r w:rsidRPr="001F6FF0">
        <w:t>, le Tribunal a considéré l’ensemble de la volumineuse jurisprudence soumise par les parties</w:t>
      </w:r>
      <w:r w:rsidR="000E189D">
        <w:rPr>
          <w:rStyle w:val="Appelnotedebasdep"/>
        </w:rPr>
        <w:footnoteReference w:id="59"/>
      </w:r>
      <w:r w:rsidR="000D76BE">
        <w:t>.</w:t>
      </w:r>
      <w:r w:rsidRPr="001F6FF0">
        <w:t xml:space="preserve"> </w:t>
      </w:r>
      <w:r w:rsidR="00D22B84">
        <w:t>Bien que les affaires soumises se distinguent du présent dossier à plusieurs égards, l’exercice de comparaison des peines rendues en semblable matière, en fonction des circonstances propres et des facteurs retenus dans chaque cas</w:t>
      </w:r>
      <w:r w:rsidR="002C5086">
        <w:t>,</w:t>
      </w:r>
      <w:r w:rsidR="00D22B84">
        <w:t xml:space="preserve"> demeure un exercice utile.</w:t>
      </w:r>
    </w:p>
    <w:p w14:paraId="130127ED" w14:textId="7ACBAB78" w:rsidR="006E0951" w:rsidRDefault="000D76BE" w:rsidP="00D90F35">
      <w:pPr>
        <w:pStyle w:val="Paragraphe"/>
        <w:keepLines/>
        <w:spacing w:line="240" w:lineRule="auto"/>
      </w:pPr>
      <w:r>
        <w:t>Après l’analyse de la gravité subjective de l’agression sexuelle commise et des nombreux facteurs retenus par le Tribunal à titre de circonstances atténuantes et aggravantes, le Tribunal considère</w:t>
      </w:r>
      <w:r w:rsidR="00694A5F">
        <w:t xml:space="preserve"> qu’une peine de durée intermédiaire est requise en l’espèce. Il s’agit d’un cas d’abus sexuel grave, commis lors d’une séquence</w:t>
      </w:r>
      <w:r w:rsidR="0029594C">
        <w:t xml:space="preserve"> unique</w:t>
      </w:r>
      <w:r w:rsidR="00694A5F">
        <w:t xml:space="preserve"> d’événements par deux contrevenants </w:t>
      </w:r>
      <w:r w:rsidR="0076582C">
        <w:t>n’ayant pas d’</w:t>
      </w:r>
      <w:r w:rsidR="00694A5F">
        <w:t>antécédent</w:t>
      </w:r>
      <w:r w:rsidR="0076582C">
        <w:t>s</w:t>
      </w:r>
      <w:r w:rsidR="00694A5F">
        <w:t xml:space="preserve"> judiciaire</w:t>
      </w:r>
      <w:r w:rsidR="0076582C">
        <w:t>s</w:t>
      </w:r>
      <w:r w:rsidR="00694A5F">
        <w:t>, comportant une agression sexuelle à dimension collective incluant de graves atteintes à l’intégrité physique et sexuelle d</w:t>
      </w:r>
      <w:r w:rsidR="00F33D80">
        <w:t>’une</w:t>
      </w:r>
      <w:r w:rsidR="00694A5F">
        <w:t xml:space="preserve"> victime</w:t>
      </w:r>
      <w:r w:rsidR="00F33D80">
        <w:t xml:space="preserve"> vulnérable</w:t>
      </w:r>
      <w:r w:rsidR="00F246E0">
        <w:t>, dans un contexte d’abus de confiance et d’objectification sexuelle d’une adolescente, mais en l’absence de violence extrinsèque à l’infraction.</w:t>
      </w:r>
    </w:p>
    <w:p w14:paraId="5E040AD5" w14:textId="6C8D6F9F" w:rsidR="00E17930" w:rsidRPr="00E17930" w:rsidRDefault="00E17930" w:rsidP="00D90F35">
      <w:pPr>
        <w:pStyle w:val="Paragraphe"/>
        <w:keepLines/>
        <w:spacing w:line="240" w:lineRule="auto"/>
      </w:pPr>
      <w:r>
        <w:t xml:space="preserve">Dans le présent dossier, les nombreux facteurs aggravants identifiés ont un poids déterminant. En l’espèce, même si les contrevenants sont sans </w:t>
      </w:r>
      <w:r w:rsidR="0076582C">
        <w:t>casier</w:t>
      </w:r>
      <w:r>
        <w:t xml:space="preserve"> judiciaire, qu’ils participent activement à la société, qu’ils bénéficient d’une situation </w:t>
      </w:r>
      <w:r w:rsidRPr="00E17930">
        <w:rPr>
          <w:rFonts w:eastAsia="Calibri"/>
          <w:lang w:eastAsia="en-US"/>
        </w:rPr>
        <w:t>personnelle</w:t>
      </w:r>
      <w:r>
        <w:rPr>
          <w:rFonts w:eastAsia="Calibri"/>
          <w:lang w:eastAsia="en-US"/>
        </w:rPr>
        <w:t xml:space="preserve"> </w:t>
      </w:r>
      <w:r w:rsidRPr="00E17930">
        <w:rPr>
          <w:rFonts w:eastAsia="Calibri"/>
          <w:lang w:eastAsia="en-US"/>
        </w:rPr>
        <w:t>stable</w:t>
      </w:r>
      <w:r>
        <w:rPr>
          <w:rFonts w:eastAsia="Calibri"/>
          <w:lang w:eastAsia="en-US"/>
        </w:rPr>
        <w:t xml:space="preserve"> et qu’il</w:t>
      </w:r>
      <w:r w:rsidRPr="00E17930">
        <w:rPr>
          <w:rFonts w:eastAsia="Calibri"/>
          <w:lang w:eastAsia="en-US"/>
        </w:rPr>
        <w:t>s bénéficient du support de leur famille et de leur réseau social</w:t>
      </w:r>
      <w:r>
        <w:rPr>
          <w:rFonts w:eastAsia="Calibri"/>
          <w:lang w:eastAsia="en-US"/>
        </w:rPr>
        <w:t xml:space="preserve">, l’incarcération s’impose </w:t>
      </w:r>
      <w:r w:rsidR="00021E39">
        <w:rPr>
          <w:rFonts w:eastAsia="Calibri"/>
          <w:lang w:eastAsia="en-US"/>
        </w:rPr>
        <w:t>puis</w:t>
      </w:r>
      <w:r>
        <w:rPr>
          <w:rFonts w:eastAsia="Calibri"/>
          <w:lang w:eastAsia="en-US"/>
        </w:rPr>
        <w:t>que les objectifs de dénonciation et de dissuasion doivent prévaloir, sans toutefois omettre de considérer les autres objectifs.</w:t>
      </w:r>
      <w:r w:rsidRPr="00E17930">
        <w:rPr>
          <w:rFonts w:eastAsia="Calibri"/>
          <w:lang w:eastAsia="en-US"/>
        </w:rPr>
        <w:t xml:space="preserve">  </w:t>
      </w:r>
    </w:p>
    <w:p w14:paraId="30DB0964" w14:textId="4C79E76A" w:rsidR="00E17930" w:rsidRDefault="00FE1EB3" w:rsidP="00D90F35">
      <w:pPr>
        <w:pStyle w:val="Paragraphe"/>
        <w:keepLines/>
        <w:spacing w:line="240" w:lineRule="auto"/>
      </w:pPr>
      <w:r>
        <w:t xml:space="preserve">Concernant l’objectif de dénonciation, la Cour d’appel du Québec s’exprime ainsi dans l’arrêt </w:t>
      </w:r>
      <w:r w:rsidRPr="008C0A51">
        <w:rPr>
          <w:i/>
          <w:iCs/>
        </w:rPr>
        <w:t>Lemieux</w:t>
      </w:r>
      <w:r>
        <w:rPr>
          <w:rStyle w:val="Appelnotedebasdep"/>
        </w:rPr>
        <w:footnoteReference w:id="60"/>
      </w:r>
      <w:r>
        <w:t> :</w:t>
      </w:r>
    </w:p>
    <w:p w14:paraId="67717433" w14:textId="30DD0D4F" w:rsidR="00FE1EB3" w:rsidRDefault="00FE1EB3" w:rsidP="005A0CDE">
      <w:pPr>
        <w:pStyle w:val="Citationenretrait"/>
        <w:rPr>
          <w:lang w:eastAsia="fr-CA"/>
        </w:rPr>
      </w:pPr>
      <w:r w:rsidRPr="00FE1EB3">
        <w:rPr>
          <w:lang w:eastAsia="fr-CA"/>
        </w:rPr>
        <w:t xml:space="preserve">[96] La dénonciation n’est pas qu’un concept flou, aux pourtours incertains. Au contraire, la société en comprend très bien la signification puisqu’elle « est l’expression de la condamnation par la société du comportement du délinquant ». Une telle réprobation « représente une déclaration collective, ayant valeur de </w:t>
      </w:r>
      <w:r w:rsidRPr="00FE1EB3">
        <w:rPr>
          <w:lang w:eastAsia="fr-CA"/>
        </w:rPr>
        <w:lastRenderedPageBreak/>
        <w:t>symbole, que la conduite du contrevenant doit être punie parce qu'elle a porté atteinte au code des valeurs fondamentales de notre société qui sont constatées dans notre droit pénal substantiel ». Or, « le besoin de dénonciation est intimement lié à la gravité de l’infraction ». Plus l’ensemble des circonstances de l’infraction est grave, plus la dénonciation s’impose et, dans le but de limiter la prolifération de telles infractions, l’objectif de dénonciation « témoigne du rôle de communication et d’éducation du droit ».</w:t>
      </w:r>
    </w:p>
    <w:p w14:paraId="1C64473F" w14:textId="38E128FE" w:rsidR="00FE1EB3" w:rsidRPr="008C0A51" w:rsidRDefault="00FE1EB3" w:rsidP="00941E9E">
      <w:pPr>
        <w:pStyle w:val="Citationenretrait"/>
        <w:keepLines/>
        <w:rPr>
          <w:rFonts w:cs="Arial"/>
          <w:lang w:eastAsia="fr-CA"/>
        </w:rPr>
      </w:pPr>
      <w:r w:rsidRPr="008C0A51">
        <w:rPr>
          <w:rFonts w:cs="Arial"/>
          <w:lang w:eastAsia="fr-CA"/>
        </w:rPr>
        <w:t>[97] Il est donc nécessaire que la dénonciation soit exprimée lorsque les</w:t>
      </w:r>
      <w:r w:rsidR="00285DFC" w:rsidRPr="008C0A51">
        <w:rPr>
          <w:rFonts w:cs="Arial"/>
          <w:lang w:eastAsia="fr-CA"/>
        </w:rPr>
        <w:t xml:space="preserve"> </w:t>
      </w:r>
      <w:r w:rsidRPr="008C0A51">
        <w:rPr>
          <w:rFonts w:cs="Arial"/>
          <w:lang w:eastAsia="fr-CA"/>
        </w:rPr>
        <w:t>circonstances</w:t>
      </w:r>
      <w:r w:rsidR="00285DFC" w:rsidRPr="008C0A51">
        <w:rPr>
          <w:rFonts w:cs="Arial"/>
          <w:lang w:eastAsia="fr-CA"/>
        </w:rPr>
        <w:t xml:space="preserve"> </w:t>
      </w:r>
      <w:r w:rsidRPr="008C0A51">
        <w:rPr>
          <w:rFonts w:cs="Arial"/>
          <w:lang w:eastAsia="fr-CA"/>
        </w:rPr>
        <w:t>l’exigent, comme en l’espèce, en tenant compte de l’abus de confiance, de l’atteinte grave</w:t>
      </w:r>
      <w:r w:rsidR="00285DFC" w:rsidRPr="008C0A51">
        <w:rPr>
          <w:rFonts w:cs="Arial"/>
          <w:lang w:eastAsia="fr-CA"/>
        </w:rPr>
        <w:t xml:space="preserve"> </w:t>
      </w:r>
      <w:r w:rsidRPr="008C0A51">
        <w:rPr>
          <w:rFonts w:cs="Arial"/>
          <w:lang w:eastAsia="fr-CA"/>
        </w:rPr>
        <w:t>à l’intégrité physique, psychologique et émotionnelle de la victime, de même que de son</w:t>
      </w:r>
      <w:r w:rsidR="00285DFC" w:rsidRPr="008C0A51">
        <w:rPr>
          <w:rFonts w:cs="Arial"/>
          <w:lang w:eastAsia="fr-CA"/>
        </w:rPr>
        <w:t xml:space="preserve"> </w:t>
      </w:r>
      <w:r w:rsidRPr="008C0A51">
        <w:rPr>
          <w:rFonts w:cs="Arial"/>
          <w:lang w:eastAsia="fr-CA"/>
        </w:rPr>
        <w:t>état de grande vulnérabilité au moment de l’agression.</w:t>
      </w:r>
    </w:p>
    <w:p w14:paraId="1267EE80" w14:textId="62E9E5D2" w:rsidR="00FE1EB3" w:rsidRPr="00FE1EB3" w:rsidRDefault="00FE1EB3" w:rsidP="00941E9E">
      <w:pPr>
        <w:pStyle w:val="Citationenretrait"/>
        <w:keepLines/>
        <w:rPr>
          <w:lang w:eastAsia="fr-CA"/>
        </w:rPr>
      </w:pPr>
      <w:r>
        <w:rPr>
          <w:lang w:eastAsia="fr-CA"/>
        </w:rPr>
        <w:tab/>
      </w:r>
      <w:r>
        <w:rPr>
          <w:lang w:eastAsia="fr-CA"/>
        </w:rPr>
        <w:tab/>
      </w:r>
      <w:r>
        <w:rPr>
          <w:lang w:eastAsia="fr-CA"/>
        </w:rPr>
        <w:tab/>
      </w:r>
      <w:r>
        <w:rPr>
          <w:lang w:eastAsia="fr-CA"/>
        </w:rPr>
        <w:tab/>
      </w:r>
      <w:r>
        <w:rPr>
          <w:lang w:eastAsia="fr-CA"/>
        </w:rPr>
        <w:tab/>
      </w:r>
      <w:r>
        <w:rPr>
          <w:lang w:eastAsia="fr-CA"/>
        </w:rPr>
        <w:tab/>
      </w:r>
      <w:r>
        <w:rPr>
          <w:lang w:eastAsia="fr-CA"/>
        </w:rPr>
        <w:tab/>
      </w:r>
      <w:r w:rsidR="00021E39">
        <w:rPr>
          <w:lang w:eastAsia="fr-CA"/>
        </w:rPr>
        <w:tab/>
      </w:r>
      <w:r w:rsidR="00021E39">
        <w:rPr>
          <w:lang w:eastAsia="fr-CA"/>
        </w:rPr>
        <w:tab/>
      </w:r>
      <w:r>
        <w:rPr>
          <w:lang w:eastAsia="fr-CA"/>
        </w:rPr>
        <w:t>[</w:t>
      </w:r>
      <w:r w:rsidR="008D1CE1" w:rsidRPr="0048204F">
        <w:rPr>
          <w:lang w:eastAsia="fr-CA"/>
        </w:rPr>
        <w:t>R</w:t>
      </w:r>
      <w:r>
        <w:rPr>
          <w:lang w:eastAsia="fr-CA"/>
        </w:rPr>
        <w:t>éférences omises]</w:t>
      </w:r>
    </w:p>
    <w:p w14:paraId="02685EA1" w14:textId="68222355" w:rsidR="00285DFC" w:rsidRDefault="00285DFC" w:rsidP="00D90F35">
      <w:pPr>
        <w:pStyle w:val="Paragraphe"/>
        <w:keepLines/>
        <w:spacing w:line="240" w:lineRule="auto"/>
      </w:pPr>
      <w:r>
        <w:t xml:space="preserve">Bien que les faits constitutifs de l’infraction dans l’arrêt </w:t>
      </w:r>
      <w:r w:rsidRPr="008C0A51">
        <w:rPr>
          <w:i/>
          <w:iCs/>
        </w:rPr>
        <w:t>Lemieux</w:t>
      </w:r>
      <w:r>
        <w:t xml:space="preserve"> se distinguent de ceux de la présente affaire, ces propos de notre Cour d’appel s’applique</w:t>
      </w:r>
      <w:r w:rsidR="0029594C">
        <w:t>nt</w:t>
      </w:r>
      <w:r>
        <w:t xml:space="preserve"> intégralement au présent dossier.</w:t>
      </w:r>
    </w:p>
    <w:p w14:paraId="028CC6CA" w14:textId="4EB9A614" w:rsidR="00285DFC" w:rsidRDefault="00285DFC" w:rsidP="00D90F35">
      <w:pPr>
        <w:pStyle w:val="Paragraphe"/>
        <w:keepLines/>
        <w:spacing w:line="240" w:lineRule="auto"/>
      </w:pPr>
      <w:r>
        <w:t>En concluant que les circonstances du présent dossier exigent de donner préséance à la dénonciation et à la dissuasion, le Tribunal n’exclut pas pour autant les autres objectifs de la peine ni les facteurs pertinent</w:t>
      </w:r>
      <w:r w:rsidR="00F33D80">
        <w:t>s</w:t>
      </w:r>
      <w:r>
        <w:t>.</w:t>
      </w:r>
    </w:p>
    <w:p w14:paraId="3AF63B2A" w14:textId="69F52B01" w:rsidR="00096936" w:rsidRDefault="00096936" w:rsidP="00D90F35">
      <w:pPr>
        <w:pStyle w:val="Paragraphe"/>
        <w:keepLines/>
        <w:spacing w:line="240" w:lineRule="auto"/>
      </w:pPr>
      <w:r>
        <w:t>La preuve démontre que les objectifs de dissuasion spécifique, de réinsertion sociale et de responsabilisation sont en bonne voie. Néanmoins, l’objectif de dénoncer la violence sexuelle et le voyeurisme ainsi que le tort important causé à la victime pèsent lourd, en plus de l’objectif de dissuasion générale</w:t>
      </w:r>
      <w:r>
        <w:rPr>
          <w:rStyle w:val="Appelnotedebasdep"/>
        </w:rPr>
        <w:footnoteReference w:id="61"/>
      </w:r>
      <w:r>
        <w:t>. De plus, le principe de l’harmonisation des peines milite en faveur d’une peine d’incarcération de durée intermédiaire.</w:t>
      </w:r>
    </w:p>
    <w:p w14:paraId="0ABEA481" w14:textId="00B26AA5" w:rsidR="00F33D80" w:rsidRPr="005A0CDE" w:rsidRDefault="00F33D80" w:rsidP="00D90F35">
      <w:pPr>
        <w:pStyle w:val="Paragraphe"/>
        <w:keepLines/>
        <w:spacing w:line="240" w:lineRule="auto"/>
      </w:pPr>
      <w:r>
        <w:t xml:space="preserve">Au regard des circonstances de la présente affaire, comportant une agression sexuelle à dimension collective incluant de graves atteintes à l’intégrité physique et sexuelle d’une victime vulnérable, dans un contexte d’abus de confiance et d’objectification sexuelle d’une adolescente dont la volonté communiquée est maintes fois ignorée au profit de l’assouvissement des désirs des contrevenants, </w:t>
      </w:r>
      <w:r w:rsidR="00F33BD6">
        <w:t>le Tribunal conclut qu’il s’agit d’un cas « </w:t>
      </w:r>
      <w:r w:rsidR="00F33BD6" w:rsidRPr="00F33BD6">
        <w:rPr>
          <w:rFonts w:ascii="ArialMT" w:hAnsi="ArialMT" w:cs="ArialMT"/>
          <w:szCs w:val="24"/>
          <w:lang w:eastAsia="fr-CA"/>
        </w:rPr>
        <w:t>où la nécessité de dénoncer est si</w:t>
      </w:r>
      <w:r w:rsidR="00F33BD6">
        <w:rPr>
          <w:rFonts w:ascii="ArialMT" w:hAnsi="ArialMT" w:cs="ArialMT"/>
          <w:szCs w:val="24"/>
          <w:lang w:eastAsia="fr-CA"/>
        </w:rPr>
        <w:t xml:space="preserve"> </w:t>
      </w:r>
      <w:r w:rsidR="00F33BD6" w:rsidRPr="00F33BD6">
        <w:rPr>
          <w:rFonts w:ascii="ArialMT" w:hAnsi="ArialMT" w:cs="ArialMT"/>
          <w:szCs w:val="24"/>
          <w:lang w:eastAsia="fr-CA"/>
        </w:rPr>
        <w:t>pressante que l’incarcération est alors la seule peine qui convienne pour exprimer la</w:t>
      </w:r>
      <w:r w:rsidR="00F33BD6">
        <w:t xml:space="preserve"> </w:t>
      </w:r>
      <w:r w:rsidR="00F33BD6" w:rsidRPr="00F33BD6">
        <w:rPr>
          <w:rFonts w:ascii="ArialMT" w:hAnsi="ArialMT" w:cs="ArialMT"/>
          <w:szCs w:val="24"/>
          <w:lang w:eastAsia="fr-CA"/>
        </w:rPr>
        <w:t>réprobation de la société à l’égard du comportement du délinquant »</w:t>
      </w:r>
      <w:r w:rsidR="00F33BD6">
        <w:rPr>
          <w:rStyle w:val="Appelnotedebasdep"/>
          <w:rFonts w:ascii="ArialMT" w:hAnsi="ArialMT" w:cs="ArialMT"/>
          <w:szCs w:val="24"/>
          <w:lang w:eastAsia="fr-CA"/>
        </w:rPr>
        <w:footnoteReference w:id="62"/>
      </w:r>
      <w:r w:rsidR="00F33BD6" w:rsidRPr="00F33BD6">
        <w:rPr>
          <w:rFonts w:ascii="ArialMT" w:hAnsi="ArialMT" w:cs="ArialMT"/>
          <w:szCs w:val="24"/>
          <w:lang w:eastAsia="fr-CA"/>
        </w:rPr>
        <w:t>.</w:t>
      </w:r>
    </w:p>
    <w:p w14:paraId="58D82950" w14:textId="77777777" w:rsidR="005A0CDE" w:rsidRDefault="005A0CDE" w:rsidP="005A0CDE">
      <w:pPr>
        <w:pStyle w:val="Paragraphe"/>
        <w:keepLines/>
        <w:numPr>
          <w:ilvl w:val="0"/>
          <w:numId w:val="0"/>
        </w:numPr>
        <w:spacing w:line="240" w:lineRule="auto"/>
        <w:rPr>
          <w:rFonts w:ascii="ArialMT" w:hAnsi="ArialMT" w:cs="ArialMT"/>
          <w:szCs w:val="24"/>
          <w:lang w:eastAsia="fr-CA"/>
        </w:rPr>
      </w:pPr>
    </w:p>
    <w:p w14:paraId="14E49CD7" w14:textId="77777777" w:rsidR="005A0CDE" w:rsidRDefault="005A0CDE" w:rsidP="005A0CDE">
      <w:pPr>
        <w:pStyle w:val="Paragraphe"/>
        <w:keepLines/>
        <w:numPr>
          <w:ilvl w:val="0"/>
          <w:numId w:val="0"/>
        </w:numPr>
        <w:spacing w:line="240" w:lineRule="auto"/>
      </w:pPr>
    </w:p>
    <w:p w14:paraId="4BCAF2A4" w14:textId="18FC7783" w:rsidR="001F6FF0" w:rsidRPr="001F6FF0" w:rsidRDefault="00977281" w:rsidP="00D90F35">
      <w:pPr>
        <w:keepLines/>
        <w:spacing w:before="120" w:after="120"/>
        <w:ind w:firstLine="734"/>
        <w:jc w:val="both"/>
        <w:rPr>
          <w:b/>
          <w:bCs/>
          <w:kern w:val="28"/>
        </w:rPr>
      </w:pPr>
      <w:r>
        <w:rPr>
          <w:b/>
          <w:bCs/>
          <w:kern w:val="28"/>
        </w:rPr>
        <w:lastRenderedPageBreak/>
        <w:t>F</w:t>
      </w:r>
      <w:r w:rsidR="00E418AD" w:rsidRPr="001F6FF0">
        <w:rPr>
          <w:b/>
          <w:bCs/>
          <w:kern w:val="28"/>
        </w:rPr>
        <w:t>)</w:t>
      </w:r>
      <w:r w:rsidR="00E418AD" w:rsidRPr="001F6FF0">
        <w:rPr>
          <w:b/>
          <w:bCs/>
          <w:kern w:val="28"/>
        </w:rPr>
        <w:tab/>
      </w:r>
      <w:r w:rsidR="00C36FCC">
        <w:rPr>
          <w:b/>
          <w:bCs/>
          <w:kern w:val="28"/>
        </w:rPr>
        <w:t>P</w:t>
      </w:r>
      <w:r w:rsidR="00395050">
        <w:rPr>
          <w:b/>
          <w:bCs/>
          <w:kern w:val="28"/>
        </w:rPr>
        <w:t>eines consécutives et p</w:t>
      </w:r>
      <w:r w:rsidR="00C36FCC">
        <w:rPr>
          <w:b/>
          <w:bCs/>
          <w:kern w:val="28"/>
        </w:rPr>
        <w:t xml:space="preserve">rincipe de totalité </w:t>
      </w:r>
    </w:p>
    <w:p w14:paraId="0ABCDA92" w14:textId="658F328A" w:rsidR="00E85444" w:rsidRDefault="00E85444" w:rsidP="00D90F35">
      <w:pPr>
        <w:pStyle w:val="Paragraphe"/>
        <w:keepLines/>
        <w:spacing w:line="240" w:lineRule="auto"/>
      </w:pPr>
      <w:r>
        <w:t>À la suite des</w:t>
      </w:r>
      <w:r w:rsidR="0041319A">
        <w:t xml:space="preserve"> plaidoyers de culpabilité enregistrés, Nicolas Daigle a été déclaré coupab</w:t>
      </w:r>
      <w:r>
        <w:t>le de trois infractions criminelles. Le Tribunal doit donc déterminer si ces infractions entraînent l’</w:t>
      </w:r>
      <w:r w:rsidR="0076582C">
        <w:t>inflic</w:t>
      </w:r>
      <w:r>
        <w:t>tion de peines concurrentes ou consécutives.</w:t>
      </w:r>
    </w:p>
    <w:p w14:paraId="19322F84" w14:textId="7BBE9EFC" w:rsidR="00E85444" w:rsidRDefault="00E85444" w:rsidP="00D90F35">
      <w:pPr>
        <w:pStyle w:val="Paragraphe"/>
        <w:keepLines/>
        <w:spacing w:line="240" w:lineRule="auto"/>
      </w:pPr>
      <w:r>
        <w:t>Cette décision relève de la discrétion du juge</w:t>
      </w:r>
      <w:r>
        <w:rPr>
          <w:rStyle w:val="Appelnotedebasdep"/>
        </w:rPr>
        <w:footnoteReference w:id="63"/>
      </w:r>
      <w:r>
        <w:t>. Il demeure qu’en principe, les crimes constituant des transactions criminelles distinctes entraînent, sous réserve du principe de la totalité, des peines consécutives</w:t>
      </w:r>
      <w:r>
        <w:rPr>
          <w:rStyle w:val="Appelnotedebasdep"/>
        </w:rPr>
        <w:footnoteReference w:id="64"/>
      </w:r>
      <w:r>
        <w:t>.</w:t>
      </w:r>
    </w:p>
    <w:p w14:paraId="1C5C2465" w14:textId="4E1979ED" w:rsidR="00D051C9" w:rsidRDefault="00D051C9" w:rsidP="00D90F35">
      <w:pPr>
        <w:pStyle w:val="Paragraphe"/>
        <w:keepLines/>
        <w:spacing w:line="240" w:lineRule="auto"/>
      </w:pPr>
      <w:r>
        <w:t>En l’espèce, bien que l’enregistrement vidéo ait été produit dans la chambre d’hôtel à l’insu de la victime, la preuve démontre que Nicolas Daigle retourne ensuite à la fête avec l’équipe de hockey où il exhibe l</w:t>
      </w:r>
      <w:r w:rsidR="0029594C">
        <w:t>a</w:t>
      </w:r>
      <w:r>
        <w:t xml:space="preserve"> vidéo dans la salle de conférence où ont lieu les festivités, à des membres de l’équipe et un entraîneur. </w:t>
      </w:r>
    </w:p>
    <w:p w14:paraId="63CA2FAB" w14:textId="166AA2BB" w:rsidR="00D051C9" w:rsidRDefault="00D051C9" w:rsidP="00D90F35">
      <w:pPr>
        <w:pStyle w:val="Paragraphe"/>
        <w:keepLines/>
        <w:spacing w:line="240" w:lineRule="auto"/>
      </w:pPr>
      <w:r>
        <w:t xml:space="preserve">Si, dans </w:t>
      </w:r>
      <w:r w:rsidR="004D1DDB">
        <w:t xml:space="preserve">l’arrêt </w:t>
      </w:r>
      <w:r w:rsidRPr="004D1DDB">
        <w:rPr>
          <w:i/>
          <w:iCs/>
        </w:rPr>
        <w:t>Jarvis</w:t>
      </w:r>
      <w:r>
        <w:t>, la Cour suprême reconnaît que « l’enregistrement présente une menace plus grande à la vie privée et à l’intégrité sexuelle que la simple observation</w:t>
      </w:r>
      <w:r w:rsidR="00293BCB">
        <w:t> </w:t>
      </w:r>
      <w:r>
        <w:t>»</w:t>
      </w:r>
      <w:r>
        <w:rPr>
          <w:rStyle w:val="Appelnotedebasdep"/>
        </w:rPr>
        <w:footnoteReference w:id="65"/>
      </w:r>
      <w:r>
        <w:t xml:space="preserve">, </w:t>
      </w:r>
      <w:r w:rsidR="00821C95">
        <w:t>la diffusion d’un tel enregistrement exacerbe le degré d’atteinte à la vie privée et à la dignité de la victime, facteur aggravant dont le Tribunal doit tenir compte.</w:t>
      </w:r>
    </w:p>
    <w:p w14:paraId="12DA11F8" w14:textId="088B7F7A" w:rsidR="00821C95" w:rsidRDefault="00821C95" w:rsidP="00D90F35">
      <w:pPr>
        <w:pStyle w:val="Paragraphe"/>
        <w:keepLines/>
        <w:spacing w:line="240" w:lineRule="auto"/>
      </w:pPr>
      <w:r>
        <w:t>Dans les circonstances de la présente affaire,</w:t>
      </w:r>
      <w:r w:rsidR="00EB43F2">
        <w:t xml:space="preserve"> il ne s’agit pas d’infractions étroitement liées au point de constituer un incident criminel unique</w:t>
      </w:r>
      <w:r w:rsidR="00EB43F2">
        <w:rPr>
          <w:rStyle w:val="Appelnotedebasdep"/>
        </w:rPr>
        <w:footnoteReference w:id="66"/>
      </w:r>
      <w:r w:rsidR="00EB43F2">
        <w:t>.</w:t>
      </w:r>
      <w:r>
        <w:t xml:space="preserve"> </w:t>
      </w:r>
      <w:r w:rsidR="00EB43F2">
        <w:t>L</w:t>
      </w:r>
      <w:r>
        <w:t>e Tribunal considère</w:t>
      </w:r>
      <w:r w:rsidR="00EB43F2">
        <w:t xml:space="preserve"> plutôt</w:t>
      </w:r>
      <w:r>
        <w:t xml:space="preserve"> que les infractions en matière de voyeurisme constituent des infractions criminelles distinctes entraînant l’i</w:t>
      </w:r>
      <w:r w:rsidR="00EB6564">
        <w:t>nflic</w:t>
      </w:r>
      <w:r>
        <w:t xml:space="preserve">tion de peines consécutives. Le Tribunal doit néanmoins s’assurer que </w:t>
      </w:r>
      <w:r w:rsidR="00EB43F2">
        <w:t>la peine globale imposée respecte le principe fondamental de la proportionnalité de la peine</w:t>
      </w:r>
      <w:r w:rsidR="00395050">
        <w:t xml:space="preserve">, ce qui implique qu’elle ne </w:t>
      </w:r>
      <w:r w:rsidR="00E26052">
        <w:t>sur</w:t>
      </w:r>
      <w:r w:rsidR="00395050">
        <w:t>passe pas la culpabilité globale du contrevenant et qu’elle demeure juste et appropriée.</w:t>
      </w:r>
    </w:p>
    <w:p w14:paraId="330D1716" w14:textId="1490F8C0" w:rsidR="00395050" w:rsidRPr="00395050" w:rsidRDefault="00395050" w:rsidP="00D90F35">
      <w:pPr>
        <w:pStyle w:val="Paragraphe"/>
        <w:keepLines/>
        <w:numPr>
          <w:ilvl w:val="0"/>
          <w:numId w:val="0"/>
        </w:numPr>
        <w:ind w:firstLine="734"/>
        <w:rPr>
          <w:b/>
          <w:bCs/>
        </w:rPr>
      </w:pPr>
      <w:r w:rsidRPr="00395050">
        <w:rPr>
          <w:b/>
          <w:bCs/>
        </w:rPr>
        <w:t>G)</w:t>
      </w:r>
      <w:r w:rsidRPr="00395050">
        <w:rPr>
          <w:b/>
          <w:bCs/>
        </w:rPr>
        <w:tab/>
        <w:t>Principe de modération</w:t>
      </w:r>
    </w:p>
    <w:p w14:paraId="7CA0BFD1" w14:textId="0A9560EA" w:rsidR="002D078E" w:rsidRDefault="002D078E" w:rsidP="00D90F35">
      <w:pPr>
        <w:pStyle w:val="Paragraphe"/>
        <w:keepLines/>
        <w:spacing w:line="240" w:lineRule="auto"/>
        <w:rPr>
          <w:shd w:val="clear" w:color="auto" w:fill="FFFFFF"/>
        </w:rPr>
      </w:pPr>
      <w:r>
        <w:rPr>
          <w:shd w:val="clear" w:color="auto" w:fill="FFFFFF"/>
        </w:rPr>
        <w:t>Le Tribunal est pleinement conscient qu’en vertu du principe de modération, l’incarcération d’un délinquant primaire ne doit être envisagé</w:t>
      </w:r>
      <w:r w:rsidR="00E91D0C">
        <w:rPr>
          <w:shd w:val="clear" w:color="auto" w:fill="FFFFFF"/>
        </w:rPr>
        <w:t>e</w:t>
      </w:r>
      <w:r>
        <w:rPr>
          <w:shd w:val="clear" w:color="auto" w:fill="FFFFFF"/>
        </w:rPr>
        <w:t xml:space="preserve"> que si aucune autre peine n’est appropriée</w:t>
      </w:r>
      <w:r>
        <w:rPr>
          <w:rStyle w:val="Appelnotedebasdep"/>
          <w:shd w:val="clear" w:color="auto" w:fill="FFFFFF"/>
        </w:rPr>
        <w:footnoteReference w:id="67"/>
      </w:r>
      <w:r>
        <w:rPr>
          <w:shd w:val="clear" w:color="auto" w:fill="FFFFFF"/>
        </w:rPr>
        <w:t>.</w:t>
      </w:r>
    </w:p>
    <w:p w14:paraId="5C504A9E" w14:textId="77777777" w:rsidR="002E5940" w:rsidRDefault="002E5940" w:rsidP="002E5940">
      <w:pPr>
        <w:pStyle w:val="Paragraphe"/>
        <w:keepLines/>
        <w:numPr>
          <w:ilvl w:val="0"/>
          <w:numId w:val="0"/>
        </w:numPr>
        <w:spacing w:line="240" w:lineRule="auto"/>
        <w:rPr>
          <w:shd w:val="clear" w:color="auto" w:fill="FFFFFF"/>
        </w:rPr>
      </w:pPr>
    </w:p>
    <w:p w14:paraId="5B9834C1" w14:textId="77777777" w:rsidR="002E5940" w:rsidRDefault="002E5940" w:rsidP="002E5940">
      <w:pPr>
        <w:pStyle w:val="Paragraphe"/>
        <w:keepLines/>
        <w:numPr>
          <w:ilvl w:val="0"/>
          <w:numId w:val="0"/>
        </w:numPr>
        <w:spacing w:line="240" w:lineRule="auto"/>
        <w:rPr>
          <w:shd w:val="clear" w:color="auto" w:fill="FFFFFF"/>
        </w:rPr>
      </w:pPr>
    </w:p>
    <w:p w14:paraId="21965EC7" w14:textId="333C224B" w:rsidR="00702BA1" w:rsidRDefault="00702BA1" w:rsidP="00D90F35">
      <w:pPr>
        <w:pStyle w:val="Paragraphe"/>
        <w:keepLines/>
        <w:spacing w:line="240" w:lineRule="auto"/>
        <w:rPr>
          <w:shd w:val="clear" w:color="auto" w:fill="FFFFFF"/>
        </w:rPr>
      </w:pPr>
      <w:r>
        <w:rPr>
          <w:shd w:val="clear" w:color="auto" w:fill="FFFFFF"/>
        </w:rPr>
        <w:lastRenderedPageBreak/>
        <w:t>Cependant, tel que le rappelle la Cour d’appel du Québec :</w:t>
      </w:r>
    </w:p>
    <w:p w14:paraId="435711FB" w14:textId="4DA325BA" w:rsidR="00702BA1" w:rsidRPr="00702BA1" w:rsidRDefault="00702BA1" w:rsidP="003A739D">
      <w:pPr>
        <w:pStyle w:val="Citationenretrait"/>
      </w:pPr>
      <w:r w:rsidRPr="00702BA1">
        <w:t>[43] Cela dit, « la réalisation de l’important objectif de modération dans le recours à l’incarcération » ne doit pas se faire « à n’importe quel prix ». Comme l’explique le juge Lamer dans l’arrêt Proulx : « pour décider si les circonstances ‘‘justifient’’ des sanctions moins contraignantes ou si des sanctions substitutives sont ‘‘justifiées’’, il faut prendre en compte les autres principes de détermination de la peine visés aux art. 718 à 718.2 »</w:t>
      </w:r>
      <w:r>
        <w:rPr>
          <w:rStyle w:val="Appelnotedebasdep"/>
          <w:szCs w:val="22"/>
        </w:rPr>
        <w:footnoteReference w:id="68"/>
      </w:r>
      <w:r w:rsidRPr="00702BA1">
        <w:t xml:space="preserve">. </w:t>
      </w:r>
    </w:p>
    <w:p w14:paraId="01240658" w14:textId="2BAC4D52" w:rsidR="00702BA1" w:rsidRDefault="00702BA1" w:rsidP="003A739D">
      <w:pPr>
        <w:pStyle w:val="Citationenretrait"/>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sidR="00F06E64">
        <w:rPr>
          <w:shd w:val="clear" w:color="auto" w:fill="FFFFFF"/>
        </w:rPr>
        <w:tab/>
      </w:r>
      <w:r w:rsidR="009B25B0">
        <w:rPr>
          <w:shd w:val="clear" w:color="auto" w:fill="FFFFFF"/>
        </w:rPr>
        <w:tab/>
      </w:r>
      <w:r w:rsidR="009B25B0">
        <w:rPr>
          <w:shd w:val="clear" w:color="auto" w:fill="FFFFFF"/>
        </w:rPr>
        <w:tab/>
      </w:r>
      <w:r>
        <w:rPr>
          <w:shd w:val="clear" w:color="auto" w:fill="FFFFFF"/>
        </w:rPr>
        <w:t>[</w:t>
      </w:r>
      <w:r w:rsidR="003A739D" w:rsidRPr="00FD3837">
        <w:rPr>
          <w:shd w:val="clear" w:color="auto" w:fill="FFFFFF"/>
        </w:rPr>
        <w:t>R</w:t>
      </w:r>
      <w:r>
        <w:rPr>
          <w:shd w:val="clear" w:color="auto" w:fill="FFFFFF"/>
        </w:rPr>
        <w:t>éférences omises]</w:t>
      </w:r>
    </w:p>
    <w:p w14:paraId="52BF0821" w14:textId="3444CB5B" w:rsidR="00AC6DE4" w:rsidRDefault="00702BA1" w:rsidP="00D90F35">
      <w:pPr>
        <w:pStyle w:val="Paragraphe"/>
        <w:keepLines/>
        <w:spacing w:line="240" w:lineRule="auto"/>
        <w:rPr>
          <w:shd w:val="clear" w:color="auto" w:fill="FFFFFF"/>
        </w:rPr>
      </w:pPr>
      <w:r>
        <w:rPr>
          <w:shd w:val="clear" w:color="auto" w:fill="FFFFFF"/>
        </w:rPr>
        <w:t xml:space="preserve">La prise en considération des objectifs, principes et facteurs applicables en matière de détermination de la peine visés aux articles 718 à 718.2 </w:t>
      </w:r>
      <w:r w:rsidR="002C5086">
        <w:rPr>
          <w:shd w:val="clear" w:color="auto" w:fill="FFFFFF"/>
        </w:rPr>
        <w:t xml:space="preserve">C.cr. </w:t>
      </w:r>
      <w:r>
        <w:rPr>
          <w:shd w:val="clear" w:color="auto" w:fill="FFFFFF"/>
        </w:rPr>
        <w:t>amène le Tribunal à conclure qu’une sanction moins contraignante que l’incarcération n’est pas justifiée dans le cas des contrevenants, au regard de l’ensemble des circonstances abordées précédemment</w:t>
      </w:r>
      <w:r w:rsidR="00AC6DE4">
        <w:rPr>
          <w:shd w:val="clear" w:color="auto" w:fill="FFFFFF"/>
        </w:rPr>
        <w:t>.</w:t>
      </w:r>
    </w:p>
    <w:p w14:paraId="3D580433" w14:textId="566EC3E3" w:rsidR="00AC6DE4" w:rsidRDefault="00AC6DE4" w:rsidP="00D90F35">
      <w:pPr>
        <w:pStyle w:val="Paragraphe"/>
        <w:keepLines/>
        <w:spacing w:line="240" w:lineRule="auto"/>
        <w:rPr>
          <w:shd w:val="clear" w:color="auto" w:fill="FFFFFF"/>
        </w:rPr>
      </w:pPr>
      <w:r>
        <w:rPr>
          <w:shd w:val="clear" w:color="auto" w:fill="FFFFFF"/>
        </w:rPr>
        <w:t>Malgré tout, le principe de modération demeure et doit trouver application. Dans un arrêt récent</w:t>
      </w:r>
      <w:r>
        <w:rPr>
          <w:rStyle w:val="Appelnotedebasdep"/>
          <w:shd w:val="clear" w:color="auto" w:fill="FFFFFF"/>
        </w:rPr>
        <w:footnoteReference w:id="69"/>
      </w:r>
      <w:r>
        <w:rPr>
          <w:shd w:val="clear" w:color="auto" w:fill="FFFFFF"/>
        </w:rPr>
        <w:t>, la Cour d’appel de l’Ontario enseigne que lorsque l’incarcération est requise, voire lorsqu’une peine de pénitencier est requise, le principe de modération exige que la peine imposée ne soit pas plus longue que ce qui est nécessaire pour atteindre d’autres objectifs de détermination de la peine, comme la dénonciation et la dissuasion.</w:t>
      </w:r>
    </w:p>
    <w:p w14:paraId="3DD6F20D" w14:textId="50A71E40" w:rsidR="00F06E64" w:rsidRPr="002C3299" w:rsidRDefault="00AC6DE4" w:rsidP="002C3299">
      <w:pPr>
        <w:pStyle w:val="Paragraphe"/>
        <w:keepLines/>
        <w:spacing w:line="240" w:lineRule="auto"/>
        <w:rPr>
          <w:shd w:val="clear" w:color="auto" w:fill="FFFFFF"/>
        </w:rPr>
      </w:pPr>
      <w:r>
        <w:rPr>
          <w:shd w:val="clear" w:color="auto" w:fill="FFFFFF"/>
        </w:rPr>
        <w:t xml:space="preserve">Le Tribunal </w:t>
      </w:r>
      <w:r w:rsidR="0079127F">
        <w:rPr>
          <w:shd w:val="clear" w:color="auto" w:fill="FFFFFF"/>
        </w:rPr>
        <w:t>prend en considération le principe de modération dans l’analyse de la détermination de peines proportionnelles, justes et appropriées pour chaque contrevenant.</w:t>
      </w:r>
    </w:p>
    <w:p w14:paraId="3321244B" w14:textId="4E2A7BDD" w:rsidR="0079127F" w:rsidRPr="0079127F" w:rsidRDefault="0079127F" w:rsidP="00D90F35">
      <w:pPr>
        <w:pStyle w:val="Paragraphe"/>
        <w:keepLines/>
        <w:numPr>
          <w:ilvl w:val="0"/>
          <w:numId w:val="0"/>
        </w:numPr>
        <w:rPr>
          <w:b/>
          <w:bCs/>
        </w:rPr>
      </w:pPr>
      <w:r w:rsidRPr="0079127F">
        <w:rPr>
          <w:b/>
          <w:bCs/>
        </w:rPr>
        <w:t>5.</w:t>
      </w:r>
      <w:r w:rsidRPr="0079127F">
        <w:rPr>
          <w:b/>
          <w:bCs/>
        </w:rPr>
        <w:tab/>
      </w:r>
      <w:r w:rsidRPr="0079127F">
        <w:rPr>
          <w:b/>
          <w:bCs/>
          <w:u w:val="single"/>
        </w:rPr>
        <w:t>CONCLUSION</w:t>
      </w:r>
    </w:p>
    <w:p w14:paraId="2C057C14" w14:textId="61E5FCDA" w:rsidR="008204D0" w:rsidRDefault="008204D0" w:rsidP="00D90F35">
      <w:pPr>
        <w:pStyle w:val="Paragraphe"/>
        <w:keepLines/>
        <w:spacing w:line="240" w:lineRule="auto"/>
        <w:rPr>
          <w:lang w:eastAsia="fr-CA"/>
        </w:rPr>
      </w:pPr>
      <w:r>
        <w:rPr>
          <w:lang w:eastAsia="fr-CA"/>
        </w:rPr>
        <w:t xml:space="preserve">Les peines que le Tribunal s’apprête à </w:t>
      </w:r>
      <w:r w:rsidR="001950A9">
        <w:rPr>
          <w:lang w:eastAsia="fr-CA"/>
        </w:rPr>
        <w:t>infliger</w:t>
      </w:r>
      <w:r>
        <w:rPr>
          <w:lang w:eastAsia="fr-CA"/>
        </w:rPr>
        <w:t xml:space="preserve"> reflètent la réprobation de la société à l’égard du comportement adopté par les contrevenants. L’exploitation sexuelle </w:t>
      </w:r>
      <w:r w:rsidR="00A900A5">
        <w:rPr>
          <w:lang w:eastAsia="fr-CA"/>
        </w:rPr>
        <w:t xml:space="preserve">à dimension collective </w:t>
      </w:r>
      <w:r>
        <w:rPr>
          <w:lang w:eastAsia="fr-CA"/>
        </w:rPr>
        <w:t>d’une adolescente vulnérable, dans un contexte d’abus de confiance, comportant des atteintes importantes à son intégrité physique et sexuelle</w:t>
      </w:r>
      <w:r w:rsidR="00050BFC">
        <w:rPr>
          <w:lang w:eastAsia="fr-CA"/>
        </w:rPr>
        <w:t>,</w:t>
      </w:r>
      <w:r w:rsidR="00A900A5">
        <w:rPr>
          <w:lang w:eastAsia="fr-CA"/>
        </w:rPr>
        <w:t xml:space="preserve"> et </w:t>
      </w:r>
      <w:r w:rsidR="007E7EDD">
        <w:rPr>
          <w:lang w:eastAsia="fr-CA"/>
        </w:rPr>
        <w:t>entraînant des répercussions sérieuses et multiples, ne peut être tolérée et doit être dénoncée, tout particulièrement au regard de la compréhension de plus en plus approfondie et évolutive de la société à l’égard des conséquences dévastatrices des violences sexuelles.</w:t>
      </w:r>
    </w:p>
    <w:p w14:paraId="4153AEE2" w14:textId="7B43AD33" w:rsidR="00615940" w:rsidRDefault="00615940" w:rsidP="00D90F35">
      <w:pPr>
        <w:pStyle w:val="Paragraphe"/>
        <w:keepLines/>
        <w:spacing w:line="240" w:lineRule="auto"/>
        <w:rPr>
          <w:lang w:eastAsia="fr-CA"/>
        </w:rPr>
      </w:pPr>
      <w:r>
        <w:rPr>
          <w:lang w:eastAsia="fr-CA"/>
        </w:rPr>
        <w:t>Ces peines prennent également en considération le profil positif de chacun des contrevenants et leur potentiel de réinsertion sociale favorable.</w:t>
      </w:r>
    </w:p>
    <w:p w14:paraId="551B5266" w14:textId="7989D9B0" w:rsidR="00615940" w:rsidRDefault="00E418AD" w:rsidP="00D90F35">
      <w:pPr>
        <w:pStyle w:val="Paragraphe"/>
        <w:keepLines/>
        <w:spacing w:line="240" w:lineRule="auto"/>
        <w:rPr>
          <w:lang w:eastAsia="fr-CA"/>
        </w:rPr>
      </w:pPr>
      <w:r w:rsidRPr="001F6FF0">
        <w:lastRenderedPageBreak/>
        <w:t xml:space="preserve">Considérant l’ensemble de la preuve, après analyse, réflexion et mise en équilibre des </w:t>
      </w:r>
      <w:r w:rsidR="00DE5104">
        <w:t>objectifs</w:t>
      </w:r>
      <w:r w:rsidR="00D656C0">
        <w:t xml:space="preserve">, </w:t>
      </w:r>
      <w:r w:rsidRPr="001F6FF0">
        <w:t>principes</w:t>
      </w:r>
      <w:r w:rsidR="00D656C0">
        <w:t xml:space="preserve"> et facteurs</w:t>
      </w:r>
      <w:r w:rsidRPr="001F6FF0">
        <w:t xml:space="preserve"> applicables, le Tribunal en vient à la conclusion que l</w:t>
      </w:r>
      <w:r w:rsidR="00D656C0">
        <w:t>es</w:t>
      </w:r>
      <w:r w:rsidRPr="001F6FF0">
        <w:t xml:space="preserve"> peine</w:t>
      </w:r>
      <w:r w:rsidR="00D656C0">
        <w:t>s</w:t>
      </w:r>
      <w:r w:rsidRPr="001F6FF0">
        <w:t xml:space="preserve"> juste</w:t>
      </w:r>
      <w:r w:rsidR="00D656C0">
        <w:t>s</w:t>
      </w:r>
      <w:r w:rsidRPr="001F6FF0">
        <w:t xml:space="preserve"> et appropriée</w:t>
      </w:r>
      <w:r w:rsidR="00D656C0">
        <w:t>s pour chacun des contrevenants</w:t>
      </w:r>
      <w:r w:rsidRPr="001F6FF0">
        <w:t xml:space="preserve"> devrai</w:t>
      </w:r>
      <w:r w:rsidR="00D656C0">
        <w:t>en</w:t>
      </w:r>
      <w:r w:rsidRPr="001F6FF0">
        <w:t xml:space="preserve">t être </w:t>
      </w:r>
      <w:r w:rsidR="00D656C0">
        <w:t>des</w:t>
      </w:r>
      <w:r w:rsidRPr="001F6FF0">
        <w:t xml:space="preserve"> peine</w:t>
      </w:r>
      <w:r w:rsidR="00D656C0">
        <w:t>s de pénitencier se trouvant dans la partie inférieure des peines de durée intermédiaire</w:t>
      </w:r>
      <w:r w:rsidR="001950A9">
        <w:t>,</w:t>
      </w:r>
      <w:r w:rsidR="00D656C0">
        <w:t xml:space="preserve"> selon les fourchettes de peine</w:t>
      </w:r>
      <w:r w:rsidR="00D56F59">
        <w:t>s</w:t>
      </w:r>
      <w:r w:rsidR="00D656C0">
        <w:t xml:space="preserve"> appliquées par la jurisprudence en matière d’agression sexuelle.</w:t>
      </w:r>
      <w:r w:rsidR="003863B4">
        <w:t xml:space="preserve"> Ces peines seront assorties d’ordonnances obligatoires en vertu de la Loi.</w:t>
      </w:r>
    </w:p>
    <w:p w14:paraId="47D6E47A" w14:textId="77777777" w:rsidR="00615940" w:rsidRDefault="00615940" w:rsidP="00D90F35">
      <w:pPr>
        <w:pStyle w:val="Paragraphe"/>
        <w:keepLines/>
        <w:spacing w:line="240" w:lineRule="auto"/>
        <w:rPr>
          <w:lang w:eastAsia="fr-CA"/>
        </w:rPr>
      </w:pPr>
      <w:r>
        <w:t>Le Tribunal conclut que la peine juste et appropriée pour Nicolas Daigle est une peine globale de 32 mois de détention.</w:t>
      </w:r>
    </w:p>
    <w:p w14:paraId="7078A42B" w14:textId="70E56A90" w:rsidR="00615940" w:rsidRDefault="00615940" w:rsidP="00D90F35">
      <w:pPr>
        <w:pStyle w:val="Paragraphe"/>
        <w:keepLines/>
        <w:spacing w:line="240" w:lineRule="auto"/>
        <w:rPr>
          <w:lang w:eastAsia="fr-CA"/>
        </w:rPr>
      </w:pPr>
      <w:r>
        <w:t>Le Tribunal conclut que la peine juste et appropriée pour Massimo Siciliano est une peine de 30 mois de détention.</w:t>
      </w:r>
    </w:p>
    <w:p w14:paraId="37BC03E8" w14:textId="52C0617A" w:rsidR="005A0CDE" w:rsidRPr="00293BCB" w:rsidRDefault="00D656C0" w:rsidP="005A0CDE">
      <w:pPr>
        <w:pStyle w:val="Paragraphe"/>
        <w:keepLines/>
        <w:spacing w:line="240" w:lineRule="auto"/>
        <w:rPr>
          <w:lang w:eastAsia="fr-CA"/>
        </w:rPr>
      </w:pPr>
      <w:r>
        <w:t>Le Tribunal considère que les peines i</w:t>
      </w:r>
      <w:r w:rsidR="0076582C">
        <w:t>nflig</w:t>
      </w:r>
      <w:r>
        <w:t>ées sont proportionnelles à la gravité des infractions commises</w:t>
      </w:r>
      <w:r w:rsidR="00615940">
        <w:t xml:space="preserve"> </w:t>
      </w:r>
      <w:r>
        <w:t>ainsi qu’au degré de culpabilité morale des contrevenants</w:t>
      </w:r>
      <w:r w:rsidR="00615940">
        <w:t>.</w:t>
      </w:r>
      <w:r w:rsidR="00E418AD" w:rsidRPr="001F6FF0">
        <w:t xml:space="preserve"> </w:t>
      </w:r>
    </w:p>
    <w:p w14:paraId="1E68ECFD" w14:textId="13F19AC1" w:rsidR="001F6FF0" w:rsidRDefault="00E418AD" w:rsidP="00DD44D8">
      <w:pPr>
        <w:spacing w:before="240" w:after="120"/>
        <w:jc w:val="both"/>
        <w:rPr>
          <w:rFonts w:cs="Arial"/>
          <w:b/>
          <w:bCs/>
          <w:color w:val="000000"/>
          <w:sz w:val="27"/>
          <w:szCs w:val="27"/>
          <w:lang w:eastAsia="fr-CA"/>
        </w:rPr>
      </w:pPr>
      <w:r w:rsidRPr="0014069F">
        <w:rPr>
          <w:rFonts w:cs="Arial"/>
          <w:b/>
          <w:bCs/>
          <w:color w:val="000000"/>
          <w:szCs w:val="24"/>
          <w:lang w:eastAsia="fr-CA"/>
        </w:rPr>
        <w:t>POUR CES MOTIFS, LE TRIBUNAL</w:t>
      </w:r>
      <w:r w:rsidRPr="0014069F">
        <w:rPr>
          <w:rFonts w:cs="Arial"/>
          <w:b/>
          <w:bCs/>
          <w:color w:val="000000"/>
          <w:sz w:val="27"/>
          <w:szCs w:val="27"/>
          <w:lang w:eastAsia="fr-CA"/>
        </w:rPr>
        <w:t> :</w:t>
      </w:r>
    </w:p>
    <w:p w14:paraId="17F9723F" w14:textId="08EBABC2" w:rsidR="00244CEC" w:rsidRPr="00244CEC" w:rsidRDefault="00244CEC" w:rsidP="00DD44D8">
      <w:pPr>
        <w:spacing w:before="240" w:after="120"/>
        <w:jc w:val="both"/>
        <w:rPr>
          <w:rFonts w:cs="Arial"/>
          <w:color w:val="000000"/>
          <w:szCs w:val="24"/>
          <w:u w:val="single"/>
          <w:lang w:eastAsia="fr-CA"/>
        </w:rPr>
      </w:pPr>
      <w:r w:rsidRPr="00244CEC">
        <w:rPr>
          <w:rFonts w:cs="Arial"/>
          <w:b/>
          <w:bCs/>
          <w:color w:val="000000"/>
          <w:szCs w:val="24"/>
          <w:u w:val="single"/>
          <w:lang w:eastAsia="fr-CA"/>
        </w:rPr>
        <w:t>Nicolas Daigle</w:t>
      </w:r>
    </w:p>
    <w:p w14:paraId="50D0CE0C" w14:textId="1898557F" w:rsidR="00B137F0" w:rsidRPr="001F6FF0" w:rsidRDefault="00E418AD" w:rsidP="00DD44D8">
      <w:pPr>
        <w:pStyle w:val="Paragraphe"/>
        <w:spacing w:line="240" w:lineRule="auto"/>
        <w:rPr>
          <w:lang w:eastAsia="fr-CA"/>
        </w:rPr>
      </w:pPr>
      <w:r w:rsidRPr="001F6FF0">
        <w:rPr>
          <w:b/>
          <w:bCs/>
          <w:lang w:eastAsia="fr-CA"/>
        </w:rPr>
        <w:t>CONDAMNE</w:t>
      </w:r>
      <w:r w:rsidRPr="001F6FF0">
        <w:rPr>
          <w:lang w:eastAsia="fr-CA"/>
        </w:rPr>
        <w:t> </w:t>
      </w:r>
      <w:r w:rsidR="00CF0DF9">
        <w:rPr>
          <w:lang w:eastAsia="fr-CA"/>
        </w:rPr>
        <w:t xml:space="preserve">Nicolas Daigle à une peine de 28 mois de détention sur le chef d’accusation d’agression sexuelle (chef 1); </w:t>
      </w:r>
    </w:p>
    <w:p w14:paraId="2DBD1ADC" w14:textId="01393A4C" w:rsidR="00CF0DF9" w:rsidRPr="001F6FF0" w:rsidRDefault="00CF0DF9" w:rsidP="00CF0DF9">
      <w:pPr>
        <w:pStyle w:val="Paragraphe"/>
        <w:spacing w:line="240" w:lineRule="auto"/>
        <w:rPr>
          <w:lang w:eastAsia="fr-CA"/>
        </w:rPr>
      </w:pPr>
      <w:r w:rsidRPr="001F6FF0">
        <w:rPr>
          <w:b/>
          <w:bCs/>
          <w:lang w:eastAsia="fr-CA"/>
        </w:rPr>
        <w:t>CONDAMNE</w:t>
      </w:r>
      <w:r w:rsidRPr="001F6FF0">
        <w:rPr>
          <w:lang w:eastAsia="fr-CA"/>
        </w:rPr>
        <w:t> </w:t>
      </w:r>
      <w:r>
        <w:rPr>
          <w:lang w:eastAsia="fr-CA"/>
        </w:rPr>
        <w:t xml:space="preserve">Nicolas Daigle à une peine de 2 mois de détention sur le chef d’accusation de voyeurisme (chef 2), </w:t>
      </w:r>
      <w:r w:rsidRPr="001F6FF0">
        <w:rPr>
          <w:lang w:eastAsia="fr-CA"/>
        </w:rPr>
        <w:t xml:space="preserve">à purger de manière consécutive </w:t>
      </w:r>
      <w:r>
        <w:rPr>
          <w:lang w:eastAsia="fr-CA"/>
        </w:rPr>
        <w:t>à la peine</w:t>
      </w:r>
      <w:r w:rsidRPr="001F6FF0">
        <w:rPr>
          <w:lang w:eastAsia="fr-CA"/>
        </w:rPr>
        <w:t xml:space="preserve"> imposée sur le premier chef</w:t>
      </w:r>
      <w:r>
        <w:rPr>
          <w:lang w:eastAsia="fr-CA"/>
        </w:rPr>
        <w:t xml:space="preserve">; </w:t>
      </w:r>
    </w:p>
    <w:p w14:paraId="757D7FA4" w14:textId="5F1278BB" w:rsidR="001F6FF0" w:rsidRDefault="00CF0DF9" w:rsidP="00CF0DF9">
      <w:pPr>
        <w:pStyle w:val="Paragraphe"/>
        <w:spacing w:line="240" w:lineRule="auto"/>
        <w:rPr>
          <w:lang w:eastAsia="fr-CA"/>
        </w:rPr>
      </w:pPr>
      <w:r w:rsidRPr="001F6FF0">
        <w:rPr>
          <w:b/>
          <w:bCs/>
          <w:lang w:eastAsia="fr-CA"/>
        </w:rPr>
        <w:t>CONDAMNE</w:t>
      </w:r>
      <w:r w:rsidRPr="001F6FF0">
        <w:rPr>
          <w:lang w:eastAsia="fr-CA"/>
        </w:rPr>
        <w:t> </w:t>
      </w:r>
      <w:r>
        <w:rPr>
          <w:lang w:eastAsia="fr-CA"/>
        </w:rPr>
        <w:t xml:space="preserve">Nicolas Daigle à une peine de 2 mois de détention sur le chef d’accusation de rendre accessible du matériel voyeuriste (chef </w:t>
      </w:r>
      <w:r w:rsidR="003863B4">
        <w:rPr>
          <w:lang w:eastAsia="fr-CA"/>
        </w:rPr>
        <w:t>3</w:t>
      </w:r>
      <w:r>
        <w:rPr>
          <w:lang w:eastAsia="fr-CA"/>
        </w:rPr>
        <w:t xml:space="preserve">), </w:t>
      </w:r>
      <w:r w:rsidRPr="001F6FF0">
        <w:rPr>
          <w:lang w:eastAsia="fr-CA"/>
        </w:rPr>
        <w:t xml:space="preserve">à purger de manière consécutive </w:t>
      </w:r>
      <w:r w:rsidR="003863B4" w:rsidRPr="001F6FF0">
        <w:rPr>
          <w:lang w:eastAsia="fr-CA"/>
        </w:rPr>
        <w:t>aux peines imposées sur les deux premiers chefs;</w:t>
      </w:r>
    </w:p>
    <w:p w14:paraId="525F88BF" w14:textId="716EE932" w:rsidR="00244CEC" w:rsidRPr="00244CEC" w:rsidRDefault="00244CEC" w:rsidP="00244CEC">
      <w:pPr>
        <w:pStyle w:val="Paragraphe"/>
        <w:numPr>
          <w:ilvl w:val="0"/>
          <w:numId w:val="0"/>
        </w:numPr>
        <w:spacing w:line="240" w:lineRule="auto"/>
        <w:rPr>
          <w:u w:val="single"/>
          <w:lang w:eastAsia="fr-CA"/>
        </w:rPr>
      </w:pPr>
      <w:r w:rsidRPr="00244CEC">
        <w:rPr>
          <w:b/>
          <w:bCs/>
          <w:u w:val="single"/>
          <w:lang w:eastAsia="fr-CA"/>
        </w:rPr>
        <w:t>Massimo Siciliano</w:t>
      </w:r>
    </w:p>
    <w:p w14:paraId="6FB4E5CB" w14:textId="451D02CA" w:rsidR="00E0452F" w:rsidRPr="00F138A1" w:rsidRDefault="00CF0DF9" w:rsidP="00F138A1">
      <w:pPr>
        <w:pStyle w:val="Paragraphe"/>
        <w:spacing w:line="240" w:lineRule="auto"/>
        <w:rPr>
          <w:lang w:eastAsia="fr-CA"/>
        </w:rPr>
      </w:pPr>
      <w:r w:rsidRPr="001F6FF0">
        <w:rPr>
          <w:b/>
          <w:bCs/>
          <w:lang w:eastAsia="fr-CA"/>
        </w:rPr>
        <w:t>CONDAMNE</w:t>
      </w:r>
      <w:r w:rsidRPr="001F6FF0">
        <w:rPr>
          <w:lang w:eastAsia="fr-CA"/>
        </w:rPr>
        <w:t> </w:t>
      </w:r>
      <w:r>
        <w:rPr>
          <w:lang w:eastAsia="fr-CA"/>
        </w:rPr>
        <w:t xml:space="preserve">Massimo Siciliano à une peine de 30 mois de détention sur le chef d’accusation d’agression sexuelle (chef 1); </w:t>
      </w:r>
    </w:p>
    <w:p w14:paraId="46043757" w14:textId="6254F12B" w:rsidR="00244CEC" w:rsidRPr="00244CEC" w:rsidRDefault="00244CEC" w:rsidP="00244CEC">
      <w:pPr>
        <w:pStyle w:val="Paragraphe"/>
        <w:numPr>
          <w:ilvl w:val="0"/>
          <w:numId w:val="0"/>
        </w:numPr>
        <w:spacing w:line="240" w:lineRule="auto"/>
        <w:rPr>
          <w:u w:val="single"/>
          <w:lang w:eastAsia="fr-CA"/>
        </w:rPr>
      </w:pPr>
      <w:r w:rsidRPr="00244CEC">
        <w:rPr>
          <w:b/>
          <w:bCs/>
          <w:u w:val="single"/>
          <w:lang w:eastAsia="fr-CA"/>
        </w:rPr>
        <w:t>Nicolas Daigle et Massimo Siciliano</w:t>
      </w:r>
    </w:p>
    <w:p w14:paraId="06FA05D2" w14:textId="38722ED1" w:rsidR="00244CEC" w:rsidRPr="00244CEC" w:rsidRDefault="00244CEC" w:rsidP="000B4DC0">
      <w:pPr>
        <w:pStyle w:val="Paragraphe"/>
        <w:spacing w:line="240" w:lineRule="auto"/>
      </w:pPr>
      <w:r>
        <w:rPr>
          <w:b/>
          <w:bCs/>
        </w:rPr>
        <w:t xml:space="preserve">INTERDIT </w:t>
      </w:r>
      <w:r>
        <w:t>aux contrevenants</w:t>
      </w:r>
      <w:r>
        <w:rPr>
          <w:b/>
          <w:bCs/>
        </w:rPr>
        <w:t xml:space="preserve">, </w:t>
      </w:r>
      <w:r w:rsidRPr="000B4DC0">
        <w:t>en vertu de l’art</w:t>
      </w:r>
      <w:r w:rsidR="000B4DC0">
        <w:t>icle</w:t>
      </w:r>
      <w:r>
        <w:rPr>
          <w:b/>
          <w:bCs/>
        </w:rPr>
        <w:t xml:space="preserve"> </w:t>
      </w:r>
      <w:r>
        <w:t>743.21</w:t>
      </w:r>
      <w:r w:rsidR="000B4DC0">
        <w:t xml:space="preserve"> </w:t>
      </w:r>
      <w:r>
        <w:t xml:space="preserve">du </w:t>
      </w:r>
      <w:r>
        <w:rPr>
          <w:i/>
          <w:iCs/>
        </w:rPr>
        <w:t>Code criminel</w:t>
      </w:r>
      <w:r w:rsidR="000B4DC0">
        <w:t>,</w:t>
      </w:r>
      <w:r>
        <w:rPr>
          <w:i/>
          <w:iCs/>
        </w:rPr>
        <w:t xml:space="preserve"> </w:t>
      </w:r>
      <w:r>
        <w:t xml:space="preserve">de communiquer, directement ou indirectement, avec </w:t>
      </w:r>
      <w:r w:rsidR="0088750B">
        <w:t>X</w:t>
      </w:r>
      <w:r>
        <w:t xml:space="preserve"> pendant la durée de leur détention; </w:t>
      </w:r>
    </w:p>
    <w:p w14:paraId="0467E9ED" w14:textId="4D456366" w:rsidR="001F6FF0" w:rsidRDefault="00E418AD" w:rsidP="00DD44D8">
      <w:pPr>
        <w:pStyle w:val="Paragraphe"/>
        <w:spacing w:line="240" w:lineRule="auto"/>
        <w:rPr>
          <w:lang w:eastAsia="fr-CA"/>
        </w:rPr>
      </w:pPr>
      <w:r w:rsidRPr="001F6FF0">
        <w:rPr>
          <w:b/>
          <w:bCs/>
          <w:lang w:eastAsia="fr-CA"/>
        </w:rPr>
        <w:t>ORDONNE</w:t>
      </w:r>
      <w:r w:rsidRPr="001F6FF0">
        <w:rPr>
          <w:lang w:eastAsia="fr-CA"/>
        </w:rPr>
        <w:t xml:space="preserve"> le prélèvement du nombre d’échantillons de substances corporelles </w:t>
      </w:r>
      <w:r w:rsidR="000B4DC0">
        <w:rPr>
          <w:lang w:eastAsia="fr-CA"/>
        </w:rPr>
        <w:t>des contrevenants</w:t>
      </w:r>
      <w:r w:rsidRPr="001F6FF0">
        <w:rPr>
          <w:lang w:eastAsia="fr-CA"/>
        </w:rPr>
        <w:t xml:space="preserve"> jugé nécessaire aux fins d’analyse génétique, conformément à l’article 487.051</w:t>
      </w:r>
      <w:r w:rsidR="000B4DC0">
        <w:rPr>
          <w:lang w:eastAsia="fr-CA"/>
        </w:rPr>
        <w:t>(1)</w:t>
      </w:r>
      <w:r w:rsidRPr="001F6FF0">
        <w:rPr>
          <w:lang w:eastAsia="fr-CA"/>
        </w:rPr>
        <w:t xml:space="preserve"> </w:t>
      </w:r>
      <w:r w:rsidR="005F0C41">
        <w:t xml:space="preserve">du </w:t>
      </w:r>
      <w:r w:rsidR="005F0C41">
        <w:rPr>
          <w:i/>
          <w:iCs/>
        </w:rPr>
        <w:t>Code criminel</w:t>
      </w:r>
      <w:r w:rsidRPr="001F6FF0">
        <w:rPr>
          <w:lang w:eastAsia="fr-CA"/>
        </w:rPr>
        <w:t>, sur le</w:t>
      </w:r>
      <w:r w:rsidR="003863B4">
        <w:rPr>
          <w:lang w:eastAsia="fr-CA"/>
        </w:rPr>
        <w:t xml:space="preserve"> premier</w:t>
      </w:r>
      <w:r w:rsidRPr="001F6FF0">
        <w:rPr>
          <w:lang w:eastAsia="fr-CA"/>
        </w:rPr>
        <w:t xml:space="preserve"> chef d’accusation;</w:t>
      </w:r>
    </w:p>
    <w:p w14:paraId="19E31C49" w14:textId="15589098" w:rsidR="003863B4" w:rsidRPr="000B4DC0" w:rsidRDefault="00244CEC" w:rsidP="00244CEC">
      <w:pPr>
        <w:pStyle w:val="Paragraphe"/>
        <w:spacing w:line="240" w:lineRule="auto"/>
        <w:rPr>
          <w:szCs w:val="24"/>
          <w:lang w:eastAsia="fr-CA"/>
        </w:rPr>
      </w:pPr>
      <w:r w:rsidRPr="000B4DC0">
        <w:rPr>
          <w:b/>
          <w:bCs/>
          <w:szCs w:val="24"/>
        </w:rPr>
        <w:lastRenderedPageBreak/>
        <w:t xml:space="preserve">ENJOINT </w:t>
      </w:r>
      <w:r w:rsidRPr="000B4DC0">
        <w:rPr>
          <w:szCs w:val="24"/>
        </w:rPr>
        <w:t xml:space="preserve">les </w:t>
      </w:r>
      <w:r w:rsidR="000B4DC0">
        <w:rPr>
          <w:szCs w:val="24"/>
        </w:rPr>
        <w:t>contrevenants</w:t>
      </w:r>
      <w:r w:rsidRPr="000B4DC0">
        <w:rPr>
          <w:szCs w:val="24"/>
        </w:rPr>
        <w:t>, en vertu de</w:t>
      </w:r>
      <w:r w:rsidR="0059176D">
        <w:rPr>
          <w:szCs w:val="24"/>
        </w:rPr>
        <w:t>s</w:t>
      </w:r>
      <w:r w:rsidRPr="000B4DC0">
        <w:rPr>
          <w:szCs w:val="24"/>
        </w:rPr>
        <w:t xml:space="preserve"> article</w:t>
      </w:r>
      <w:r w:rsidR="0059176D">
        <w:rPr>
          <w:szCs w:val="24"/>
        </w:rPr>
        <w:t>s</w:t>
      </w:r>
      <w:r w:rsidRPr="000B4DC0">
        <w:rPr>
          <w:szCs w:val="24"/>
        </w:rPr>
        <w:t xml:space="preserve"> </w:t>
      </w:r>
      <w:r w:rsidRPr="0059176D">
        <w:rPr>
          <w:szCs w:val="24"/>
        </w:rPr>
        <w:t>490.012</w:t>
      </w:r>
      <w:r w:rsidR="0059176D">
        <w:rPr>
          <w:szCs w:val="24"/>
        </w:rPr>
        <w:t>(1) et 490.013(2)b)</w:t>
      </w:r>
      <w:r w:rsidRPr="000B4DC0">
        <w:rPr>
          <w:b/>
          <w:bCs/>
          <w:szCs w:val="24"/>
        </w:rPr>
        <w:t xml:space="preserve"> </w:t>
      </w:r>
      <w:r w:rsidR="00320838">
        <w:t xml:space="preserve">du </w:t>
      </w:r>
      <w:r w:rsidR="00320838">
        <w:rPr>
          <w:i/>
          <w:iCs/>
        </w:rPr>
        <w:t>Code criminel</w:t>
      </w:r>
      <w:r w:rsidRPr="000B4DC0">
        <w:rPr>
          <w:szCs w:val="24"/>
        </w:rPr>
        <w:t xml:space="preserve">, de se conformer à la </w:t>
      </w:r>
      <w:r w:rsidRPr="000B4DC0">
        <w:rPr>
          <w:i/>
          <w:iCs/>
          <w:szCs w:val="24"/>
        </w:rPr>
        <w:t>Loi sur l’enregistrement de renseignements sur les délinquants sexuels</w:t>
      </w:r>
      <w:r w:rsidRPr="000B4DC0">
        <w:rPr>
          <w:szCs w:val="24"/>
        </w:rPr>
        <w:t>, et ce, pour une période de 20 ans</w:t>
      </w:r>
      <w:r w:rsidR="005F0C41">
        <w:rPr>
          <w:szCs w:val="24"/>
        </w:rPr>
        <w:t>, sur le premier chef d’accusation</w:t>
      </w:r>
      <w:r w:rsidR="00C81BFB">
        <w:rPr>
          <w:rStyle w:val="Appelnotedebasdep"/>
          <w:szCs w:val="24"/>
        </w:rPr>
        <w:footnoteReference w:id="70"/>
      </w:r>
      <w:r w:rsidRPr="000B4DC0">
        <w:rPr>
          <w:szCs w:val="24"/>
        </w:rPr>
        <w:t>;</w:t>
      </w:r>
    </w:p>
    <w:p w14:paraId="2185EC4F" w14:textId="4928677A" w:rsidR="001F6FF0" w:rsidRPr="00F138A1" w:rsidRDefault="00244CEC" w:rsidP="00F138A1">
      <w:pPr>
        <w:pStyle w:val="Paragraphe"/>
        <w:spacing w:line="240" w:lineRule="auto"/>
        <w:rPr>
          <w:szCs w:val="24"/>
          <w:lang w:eastAsia="fr-CA"/>
        </w:rPr>
      </w:pPr>
      <w:r w:rsidRPr="000B4DC0">
        <w:rPr>
          <w:b/>
          <w:bCs/>
          <w:szCs w:val="24"/>
        </w:rPr>
        <w:t xml:space="preserve">INTERDIT </w:t>
      </w:r>
      <w:r w:rsidRPr="000B4DC0">
        <w:rPr>
          <w:szCs w:val="24"/>
        </w:rPr>
        <w:t xml:space="preserve">aux </w:t>
      </w:r>
      <w:r w:rsidR="00320838">
        <w:rPr>
          <w:szCs w:val="24"/>
        </w:rPr>
        <w:t>contrevenants</w:t>
      </w:r>
      <w:r w:rsidRPr="000B4DC0">
        <w:rPr>
          <w:szCs w:val="24"/>
        </w:rPr>
        <w:t xml:space="preserve">, en vertu des dispositions de </w:t>
      </w:r>
      <w:r w:rsidRPr="0059176D">
        <w:rPr>
          <w:szCs w:val="24"/>
        </w:rPr>
        <w:t>l'article 109</w:t>
      </w:r>
      <w:r w:rsidRPr="000B4DC0">
        <w:rPr>
          <w:b/>
          <w:bCs/>
          <w:szCs w:val="24"/>
        </w:rPr>
        <w:t xml:space="preserve"> </w:t>
      </w:r>
      <w:r w:rsidRPr="000B4DC0">
        <w:rPr>
          <w:szCs w:val="24"/>
        </w:rPr>
        <w:t xml:space="preserve">du </w:t>
      </w:r>
      <w:r w:rsidRPr="000B4DC0">
        <w:rPr>
          <w:i/>
          <w:iCs/>
          <w:szCs w:val="24"/>
        </w:rPr>
        <w:t>Code criminel</w:t>
      </w:r>
      <w:r w:rsidRPr="000B4DC0">
        <w:rPr>
          <w:szCs w:val="24"/>
        </w:rPr>
        <w:t>, d'avoir en leur possession toutes armes décrites au paragraphe (2)a) pour une période de 10 ans, et à perpétuité pour celles décrites au paragraphe (2)b) de ce même article</w:t>
      </w:r>
      <w:r w:rsidR="005F0C41">
        <w:rPr>
          <w:szCs w:val="24"/>
        </w:rPr>
        <w:t>, sur le premier chef d’accusation</w:t>
      </w:r>
      <w:r w:rsidRPr="000B4DC0">
        <w:rPr>
          <w:szCs w:val="24"/>
        </w:rPr>
        <w:t>.</w:t>
      </w:r>
    </w:p>
    <w:tbl>
      <w:tblPr>
        <w:tblW w:w="9505" w:type="dxa"/>
        <w:tblLayout w:type="fixed"/>
        <w:tblCellMar>
          <w:left w:w="70" w:type="dxa"/>
          <w:right w:w="70" w:type="dxa"/>
        </w:tblCellMar>
        <w:tblLook w:val="0000" w:firstRow="0" w:lastRow="0" w:firstColumn="0" w:lastColumn="0" w:noHBand="0" w:noVBand="0"/>
      </w:tblPr>
      <w:tblGrid>
        <w:gridCol w:w="4867"/>
        <w:gridCol w:w="4638"/>
      </w:tblGrid>
      <w:tr w:rsidR="002943F8" w14:paraId="6E2D3332" w14:textId="77777777" w:rsidTr="00C670EC">
        <w:trPr>
          <w:trHeight w:val="576"/>
        </w:trPr>
        <w:tc>
          <w:tcPr>
            <w:tcW w:w="9505" w:type="dxa"/>
            <w:gridSpan w:val="2"/>
          </w:tcPr>
          <w:p w14:paraId="743BF3F6" w14:textId="77777777" w:rsidR="00BC4E25" w:rsidRDefault="00BC4E25" w:rsidP="001F6FF0">
            <w:pPr>
              <w:keepNext/>
              <w:keepLines/>
            </w:pPr>
          </w:p>
          <w:p w14:paraId="579E0BE3" w14:textId="77777777" w:rsidR="00AD41DF" w:rsidRDefault="00AD41DF" w:rsidP="001F6FF0">
            <w:pPr>
              <w:keepNext/>
              <w:keepLines/>
            </w:pPr>
          </w:p>
          <w:p w14:paraId="227EBA83" w14:textId="77777777" w:rsidR="000952BC" w:rsidRDefault="000952BC" w:rsidP="001F6FF0">
            <w:pPr>
              <w:keepNext/>
              <w:keepLines/>
            </w:pPr>
          </w:p>
          <w:p w14:paraId="314BFA2A" w14:textId="77777777" w:rsidR="000952BC" w:rsidRDefault="000952BC" w:rsidP="001F6FF0">
            <w:pPr>
              <w:keepNext/>
              <w:keepLines/>
            </w:pPr>
          </w:p>
          <w:p w14:paraId="77E02D0D" w14:textId="77777777" w:rsidR="000952BC" w:rsidRPr="001F6FF0" w:rsidRDefault="000952BC" w:rsidP="001F6FF0">
            <w:pPr>
              <w:keepNext/>
              <w:keepLines/>
            </w:pPr>
          </w:p>
        </w:tc>
      </w:tr>
      <w:tr w:rsidR="002943F8" w14:paraId="305869B2" w14:textId="77777777" w:rsidTr="00C670EC">
        <w:tblPrEx>
          <w:tblCellMar>
            <w:left w:w="0" w:type="dxa"/>
            <w:right w:w="0" w:type="dxa"/>
          </w:tblCellMar>
        </w:tblPrEx>
        <w:trPr>
          <w:cantSplit/>
        </w:trPr>
        <w:tc>
          <w:tcPr>
            <w:tcW w:w="4867" w:type="dxa"/>
          </w:tcPr>
          <w:p w14:paraId="5711FF85" w14:textId="77777777" w:rsidR="001F6FF0" w:rsidRDefault="001F6FF0" w:rsidP="001F6FF0"/>
          <w:p w14:paraId="688482FB" w14:textId="77777777" w:rsidR="00446BFA" w:rsidRDefault="00446BFA" w:rsidP="001F6FF0"/>
          <w:p w14:paraId="3EA1C614" w14:textId="77777777" w:rsidR="00446BFA" w:rsidRPr="001F6FF0" w:rsidRDefault="00446BFA" w:rsidP="001F6FF0"/>
        </w:tc>
        <w:tc>
          <w:tcPr>
            <w:tcW w:w="4638" w:type="dxa"/>
          </w:tcPr>
          <w:p w14:paraId="5F38C082" w14:textId="77777777" w:rsidR="001F6FF0" w:rsidRPr="001F6FF0" w:rsidRDefault="00E418AD" w:rsidP="001F6FF0">
            <w:r w:rsidRPr="001F6FF0">
              <w:t>__________________________________</w:t>
            </w:r>
          </w:p>
          <w:p w14:paraId="1F3E33DD" w14:textId="77777777" w:rsidR="001F6FF0" w:rsidRPr="001F6FF0" w:rsidRDefault="00E418AD" w:rsidP="001F6FF0">
            <w:r w:rsidRPr="001F6FF0">
              <w:t>THOMAS JACQUES, J.C.Q.</w:t>
            </w:r>
          </w:p>
        </w:tc>
      </w:tr>
      <w:tr w:rsidR="002943F8" w14:paraId="6760B044" w14:textId="77777777" w:rsidTr="00C670EC">
        <w:tc>
          <w:tcPr>
            <w:tcW w:w="9505" w:type="dxa"/>
            <w:gridSpan w:val="2"/>
          </w:tcPr>
          <w:p w14:paraId="4ADBA549" w14:textId="77777777" w:rsidR="001F6FF0" w:rsidRPr="001F6FF0" w:rsidRDefault="001F6FF0" w:rsidP="001F6FF0"/>
        </w:tc>
      </w:tr>
      <w:tr w:rsidR="002943F8" w14:paraId="42266663" w14:textId="77777777" w:rsidTr="00C670EC">
        <w:trPr>
          <w:cantSplit/>
        </w:trPr>
        <w:tc>
          <w:tcPr>
            <w:tcW w:w="9505" w:type="dxa"/>
            <w:gridSpan w:val="2"/>
          </w:tcPr>
          <w:p w14:paraId="03571D3D" w14:textId="77777777" w:rsidR="002003BC" w:rsidRDefault="002003BC" w:rsidP="001F6FF0"/>
          <w:p w14:paraId="09DAF5A0" w14:textId="77777777" w:rsidR="001F6FF0" w:rsidRDefault="00E418AD" w:rsidP="001F6FF0">
            <w:r w:rsidRPr="001F6FF0">
              <w:t>M</w:t>
            </w:r>
            <w:r w:rsidRPr="001F6FF0">
              <w:rPr>
                <w:vertAlign w:val="superscript"/>
              </w:rPr>
              <w:t>e</w:t>
            </w:r>
            <w:r w:rsidRPr="001F6FF0">
              <w:t xml:space="preserve"> </w:t>
            </w:r>
            <w:r w:rsidR="003863B4">
              <w:t>Michel Bérubé</w:t>
            </w:r>
          </w:p>
          <w:p w14:paraId="40095C4A" w14:textId="0711E541" w:rsidR="003863B4" w:rsidRPr="001F6FF0" w:rsidRDefault="003863B4" w:rsidP="001F6FF0">
            <w:r>
              <w:t>Me Anne-Laurence Brouw</w:t>
            </w:r>
          </w:p>
        </w:tc>
      </w:tr>
      <w:tr w:rsidR="002943F8" w14:paraId="74EA4B05" w14:textId="77777777" w:rsidTr="00C670EC">
        <w:trPr>
          <w:cantSplit/>
        </w:trPr>
        <w:tc>
          <w:tcPr>
            <w:tcW w:w="9505" w:type="dxa"/>
            <w:gridSpan w:val="2"/>
          </w:tcPr>
          <w:p w14:paraId="5632C632" w14:textId="33050CCD" w:rsidR="001F6FF0" w:rsidRPr="001F6FF0" w:rsidRDefault="00E418AD" w:rsidP="001F6FF0">
            <w:r w:rsidRPr="001F6FF0">
              <w:t>Procureur</w:t>
            </w:r>
            <w:r w:rsidR="00333883">
              <w:t>s</w:t>
            </w:r>
            <w:r w:rsidRPr="001F6FF0">
              <w:t xml:space="preserve"> aux poursuites criminelles et pénales</w:t>
            </w:r>
          </w:p>
        </w:tc>
      </w:tr>
      <w:tr w:rsidR="002943F8" w14:paraId="33A0F769" w14:textId="77777777" w:rsidTr="00C670EC">
        <w:trPr>
          <w:cantSplit/>
        </w:trPr>
        <w:tc>
          <w:tcPr>
            <w:tcW w:w="9505" w:type="dxa"/>
            <w:gridSpan w:val="2"/>
          </w:tcPr>
          <w:p w14:paraId="5B4CFD5E" w14:textId="77777777" w:rsidR="001F6FF0" w:rsidRPr="001F6FF0" w:rsidRDefault="001F6FF0" w:rsidP="001F6FF0"/>
        </w:tc>
      </w:tr>
      <w:tr w:rsidR="002943F8" w14:paraId="716552DD" w14:textId="77777777" w:rsidTr="00C670EC">
        <w:trPr>
          <w:cantSplit/>
        </w:trPr>
        <w:tc>
          <w:tcPr>
            <w:tcW w:w="9505" w:type="dxa"/>
            <w:gridSpan w:val="2"/>
          </w:tcPr>
          <w:p w14:paraId="41403F13" w14:textId="465568FB" w:rsidR="001F6FF0" w:rsidRPr="001F6FF0" w:rsidRDefault="00E418AD" w:rsidP="001F6FF0">
            <w:r w:rsidRPr="001F6FF0">
              <w:t>M</w:t>
            </w:r>
            <w:r w:rsidRPr="001F6FF0">
              <w:rPr>
                <w:vertAlign w:val="superscript"/>
              </w:rPr>
              <w:t>e</w:t>
            </w:r>
            <w:r w:rsidRPr="001F6FF0">
              <w:t xml:space="preserve"> </w:t>
            </w:r>
            <w:r w:rsidR="00333883">
              <w:t>Pénélope L. Provencher</w:t>
            </w:r>
          </w:p>
          <w:p w14:paraId="58C0A420" w14:textId="6C13AD2D" w:rsidR="001F6FF0" w:rsidRPr="001F6FF0" w:rsidRDefault="00E418AD" w:rsidP="001F6FF0">
            <w:r w:rsidRPr="001F6FF0">
              <w:t>M</w:t>
            </w:r>
            <w:r w:rsidRPr="001F6FF0">
              <w:rPr>
                <w:vertAlign w:val="superscript"/>
              </w:rPr>
              <w:t>e</w:t>
            </w:r>
            <w:r w:rsidRPr="001F6FF0">
              <w:t xml:space="preserve"> </w:t>
            </w:r>
            <w:r w:rsidR="00333883">
              <w:t>Michel LeBrun</w:t>
            </w:r>
          </w:p>
        </w:tc>
      </w:tr>
      <w:tr w:rsidR="002943F8" w14:paraId="53C2BF51" w14:textId="77777777" w:rsidTr="00C670EC">
        <w:trPr>
          <w:cantSplit/>
        </w:trPr>
        <w:tc>
          <w:tcPr>
            <w:tcW w:w="9505" w:type="dxa"/>
            <w:gridSpan w:val="2"/>
          </w:tcPr>
          <w:p w14:paraId="5728D00F" w14:textId="04A4939E" w:rsidR="001F6FF0" w:rsidRPr="001F6FF0" w:rsidRDefault="00E418AD" w:rsidP="001F6FF0">
            <w:r w:rsidRPr="001F6FF0">
              <w:t xml:space="preserve">Procureurs de </w:t>
            </w:r>
            <w:r w:rsidR="00333883">
              <w:t>Nicolas Daigle</w:t>
            </w:r>
          </w:p>
        </w:tc>
      </w:tr>
      <w:tr w:rsidR="002943F8" w14:paraId="56DE75BC" w14:textId="77777777" w:rsidTr="00C670EC">
        <w:tc>
          <w:tcPr>
            <w:tcW w:w="9505" w:type="dxa"/>
            <w:gridSpan w:val="2"/>
          </w:tcPr>
          <w:p w14:paraId="12C55844" w14:textId="77777777" w:rsidR="00904EA0" w:rsidRDefault="00904EA0" w:rsidP="001F6FF0"/>
          <w:p w14:paraId="35BAB5D5" w14:textId="30219106" w:rsidR="001F6FF0" w:rsidRPr="001F6FF0" w:rsidRDefault="00E418AD" w:rsidP="001F6FF0">
            <w:r w:rsidRPr="001F6FF0">
              <w:t xml:space="preserve">Me </w:t>
            </w:r>
            <w:r w:rsidR="00333883">
              <w:t>Charles Levasseur</w:t>
            </w:r>
          </w:p>
        </w:tc>
      </w:tr>
      <w:tr w:rsidR="002943F8" w14:paraId="4AE846E5" w14:textId="77777777" w:rsidTr="00C670EC">
        <w:tc>
          <w:tcPr>
            <w:tcW w:w="9505" w:type="dxa"/>
            <w:gridSpan w:val="2"/>
          </w:tcPr>
          <w:p w14:paraId="2F578078" w14:textId="2AE092FF" w:rsidR="001F6FF0" w:rsidRPr="001F6FF0" w:rsidRDefault="00E418AD" w:rsidP="001F6FF0">
            <w:r w:rsidRPr="001F6FF0">
              <w:t>Procureur</w:t>
            </w:r>
            <w:r w:rsidR="00333883">
              <w:t xml:space="preserve"> de Massimo Siciliano</w:t>
            </w:r>
          </w:p>
        </w:tc>
      </w:tr>
    </w:tbl>
    <w:p w14:paraId="4BF4AE16" w14:textId="77777777" w:rsidR="001F6FF0" w:rsidRPr="001F6FF0" w:rsidRDefault="001F6FF0" w:rsidP="001F6FF0"/>
    <w:p w14:paraId="04C7553E" w14:textId="77777777" w:rsidR="001F6FF0" w:rsidRPr="001F6FF0" w:rsidRDefault="001F6FF0" w:rsidP="001F6FF0"/>
    <w:p w14:paraId="6E1DD76E" w14:textId="77777777" w:rsidR="001F6FF0" w:rsidRPr="001F6FF0" w:rsidRDefault="001F6FF0" w:rsidP="001F6FF0"/>
    <w:p w14:paraId="09DE81BD" w14:textId="376E181B" w:rsidR="00C54CD4" w:rsidRPr="00C54CD4" w:rsidRDefault="00E418AD" w:rsidP="00187268">
      <w:r w:rsidRPr="001F6FF0">
        <w:t xml:space="preserve">Dates d’audience : </w:t>
      </w:r>
      <w:r w:rsidR="00333883">
        <w:t>18, 19, 20 et 21 mars</w:t>
      </w:r>
      <w:r w:rsidRPr="001F6FF0">
        <w:t xml:space="preserve"> 202</w:t>
      </w:r>
      <w:r w:rsidR="00333883">
        <w:t>4</w:t>
      </w:r>
    </w:p>
    <w:p w14:paraId="3823DCFE" w14:textId="77777777" w:rsidR="00343224" w:rsidRDefault="00343224"/>
    <w:p w14:paraId="162A5DC8" w14:textId="77777777" w:rsidR="00C322FD" w:rsidRDefault="00C322FD"/>
    <w:p w14:paraId="6C279BC7" w14:textId="77777777" w:rsidR="00F06E64" w:rsidRDefault="00F06E64"/>
    <w:p w14:paraId="20FD66EC" w14:textId="77777777" w:rsidR="00F06E64" w:rsidRDefault="00F06E64"/>
    <w:p w14:paraId="3625ABD4" w14:textId="77777777" w:rsidR="00F06E64" w:rsidRDefault="00F06E64"/>
    <w:p w14:paraId="01CEAA8E" w14:textId="77777777" w:rsidR="00F06E64" w:rsidRDefault="00F06E64"/>
    <w:p w14:paraId="54161B84" w14:textId="77777777" w:rsidR="00F06E64" w:rsidRDefault="00F06E64"/>
    <w:p w14:paraId="4A6F6AD5" w14:textId="77777777" w:rsidR="00F06E64" w:rsidRDefault="00F06E64"/>
    <w:p w14:paraId="27579266" w14:textId="77777777" w:rsidR="00C322FD" w:rsidRDefault="00C322FD"/>
    <w:p w14:paraId="06BD205F" w14:textId="3D93E8AD" w:rsidR="002C3299" w:rsidRPr="00F06E64" w:rsidRDefault="00C322FD" w:rsidP="00293BCB">
      <w:pPr>
        <w:spacing w:before="120" w:after="120"/>
        <w:jc w:val="center"/>
        <w:rPr>
          <w:b/>
          <w:bCs/>
          <w:szCs w:val="24"/>
        </w:rPr>
      </w:pPr>
      <w:r w:rsidRPr="00F06E64">
        <w:rPr>
          <w:b/>
          <w:bCs/>
          <w:szCs w:val="24"/>
        </w:rPr>
        <w:t>ANNEXE I - Pièces produites à l’audience sur la détermination de la peine</w:t>
      </w:r>
    </w:p>
    <w:p w14:paraId="5B9D3808" w14:textId="77777777" w:rsidR="000952BC" w:rsidRDefault="000952BC" w:rsidP="002C3299">
      <w:pPr>
        <w:spacing w:before="120" w:after="120"/>
      </w:pPr>
    </w:p>
    <w:p w14:paraId="088BD0BF" w14:textId="44BB43C0" w:rsidR="00F06E64" w:rsidRDefault="001F38B3" w:rsidP="002610EF">
      <w:pPr>
        <w:tabs>
          <w:tab w:val="left" w:pos="1276"/>
        </w:tabs>
        <w:spacing w:before="120" w:after="120"/>
      </w:pPr>
      <w:r>
        <w:t>SP-1</w:t>
      </w:r>
      <w:r w:rsidR="00941E9E">
        <w:t> :</w:t>
      </w:r>
      <w:r w:rsidR="002610EF">
        <w:tab/>
      </w:r>
      <w:r>
        <w:t>Déclaration de la victime</w:t>
      </w:r>
      <w:r w:rsidR="00C322FD">
        <w:t xml:space="preserve"> </w:t>
      </w:r>
    </w:p>
    <w:p w14:paraId="33523F5A" w14:textId="5F22F16B" w:rsidR="00C322FD" w:rsidRDefault="001F38B3" w:rsidP="002610EF">
      <w:pPr>
        <w:tabs>
          <w:tab w:val="left" w:pos="1276"/>
        </w:tabs>
        <w:spacing w:before="120" w:after="120"/>
      </w:pPr>
      <w:r>
        <w:t>SD-1</w:t>
      </w:r>
      <w:r w:rsidR="00941E9E">
        <w:t> :</w:t>
      </w:r>
      <w:r w:rsidR="002610EF">
        <w:tab/>
      </w:r>
      <w:r>
        <w:t>Bulletin scolaire du secondaire de Nicolas Daigle</w:t>
      </w:r>
      <w:r w:rsidR="00C322FD">
        <w:t xml:space="preserve"> </w:t>
      </w:r>
    </w:p>
    <w:p w14:paraId="61D7CB14" w14:textId="5A947973" w:rsidR="00C322FD" w:rsidRDefault="001F38B3" w:rsidP="002610EF">
      <w:pPr>
        <w:tabs>
          <w:tab w:val="left" w:pos="1276"/>
        </w:tabs>
        <w:spacing w:before="120" w:after="120"/>
      </w:pPr>
      <w:r>
        <w:t>SD-2</w:t>
      </w:r>
      <w:r w:rsidR="00941E9E">
        <w:t xml:space="preserve"> : </w:t>
      </w:r>
      <w:r w:rsidR="002610EF">
        <w:tab/>
      </w:r>
      <w:r>
        <w:t>Relevé de notes de Nicolas Daigle</w:t>
      </w:r>
      <w:r w:rsidR="00C322FD">
        <w:t xml:space="preserve"> </w:t>
      </w:r>
    </w:p>
    <w:p w14:paraId="6375888C" w14:textId="0D0419FB" w:rsidR="00C322FD" w:rsidRDefault="001F38B3" w:rsidP="002610EF">
      <w:pPr>
        <w:tabs>
          <w:tab w:val="left" w:pos="1276"/>
        </w:tabs>
        <w:spacing w:before="120" w:after="120"/>
      </w:pPr>
      <w:r>
        <w:t>SD-3</w:t>
      </w:r>
      <w:r w:rsidR="00941E9E">
        <w:t xml:space="preserve"> : </w:t>
      </w:r>
      <w:r w:rsidR="002610EF">
        <w:tab/>
      </w:r>
      <w:r>
        <w:t>Relevé de notes du certificat de Nicolas Daigle</w:t>
      </w:r>
      <w:r w:rsidR="00C322FD">
        <w:t xml:space="preserve"> </w:t>
      </w:r>
    </w:p>
    <w:p w14:paraId="5203A067" w14:textId="7165668E" w:rsidR="00C322FD" w:rsidRDefault="001F38B3" w:rsidP="002610EF">
      <w:pPr>
        <w:tabs>
          <w:tab w:val="left" w:pos="1276"/>
        </w:tabs>
        <w:spacing w:before="120" w:after="120"/>
      </w:pPr>
      <w:r>
        <w:t>SD-4</w:t>
      </w:r>
      <w:r w:rsidR="00941E9E">
        <w:t xml:space="preserve"> : </w:t>
      </w:r>
      <w:r w:rsidR="002610EF">
        <w:tab/>
      </w:r>
      <w:r>
        <w:t>Lettre d’acceptation de HEC de Nicolas Daigle</w:t>
      </w:r>
      <w:r w:rsidR="00C322FD">
        <w:t xml:space="preserve"> </w:t>
      </w:r>
    </w:p>
    <w:p w14:paraId="1BC6BCA6" w14:textId="5A1C5483" w:rsidR="00C322FD" w:rsidRDefault="001F38B3" w:rsidP="002610EF">
      <w:pPr>
        <w:tabs>
          <w:tab w:val="left" w:pos="1276"/>
        </w:tabs>
        <w:spacing w:before="120" w:after="120"/>
      </w:pPr>
      <w:r>
        <w:t>SD-5</w:t>
      </w:r>
      <w:r w:rsidR="00941E9E">
        <w:t xml:space="preserve"> : </w:t>
      </w:r>
      <w:r w:rsidR="002610EF">
        <w:tab/>
      </w:r>
      <w:r>
        <w:t>C.V. de Nicolas Daigle</w:t>
      </w:r>
      <w:r w:rsidR="00C322FD">
        <w:t xml:space="preserve"> </w:t>
      </w:r>
    </w:p>
    <w:p w14:paraId="00D421CF" w14:textId="0BE31A68" w:rsidR="00C322FD" w:rsidRDefault="001F38B3" w:rsidP="002610EF">
      <w:pPr>
        <w:tabs>
          <w:tab w:val="left" w:pos="1276"/>
        </w:tabs>
        <w:spacing w:before="120" w:after="120"/>
      </w:pPr>
      <w:r>
        <w:t>SD-6</w:t>
      </w:r>
      <w:r w:rsidR="00941E9E">
        <w:t xml:space="preserve"> : </w:t>
      </w:r>
      <w:r w:rsidR="002610EF">
        <w:tab/>
      </w:r>
      <w:r>
        <w:t>Lettre d’excuse à l’attention</w:t>
      </w:r>
      <w:r w:rsidR="00C322FD">
        <w:t xml:space="preserve"> </w:t>
      </w:r>
      <w:r>
        <w:t>de la victime par Nicolas Daigle</w:t>
      </w:r>
    </w:p>
    <w:p w14:paraId="57E048AC" w14:textId="2278C214" w:rsidR="00C322FD" w:rsidRDefault="001F38B3" w:rsidP="002610EF">
      <w:pPr>
        <w:tabs>
          <w:tab w:val="left" w:pos="1276"/>
        </w:tabs>
        <w:spacing w:before="120" w:after="120"/>
      </w:pPr>
      <w:r>
        <w:t>SD-7</w:t>
      </w:r>
      <w:r w:rsidR="00941E9E">
        <w:t xml:space="preserve"> : </w:t>
      </w:r>
      <w:r w:rsidR="002610EF">
        <w:tab/>
      </w:r>
      <w:r>
        <w:t>Lettre de Johanne Breton et Alain Gardner</w:t>
      </w:r>
    </w:p>
    <w:p w14:paraId="0445F879" w14:textId="0DBA38E2" w:rsidR="001F38B3" w:rsidRDefault="001F38B3" w:rsidP="002610EF">
      <w:pPr>
        <w:tabs>
          <w:tab w:val="left" w:pos="1276"/>
        </w:tabs>
        <w:spacing w:before="120" w:after="120"/>
      </w:pPr>
      <w:r>
        <w:t>SD-8</w:t>
      </w:r>
      <w:r w:rsidR="00941E9E">
        <w:t xml:space="preserve"> : </w:t>
      </w:r>
      <w:r w:rsidR="002610EF">
        <w:tab/>
      </w:r>
      <w:r>
        <w:t>Lettre de Marie-Claude Dostie</w:t>
      </w:r>
    </w:p>
    <w:p w14:paraId="2FED77D3" w14:textId="3C24F1BF" w:rsidR="001F38B3" w:rsidRDefault="001F38B3" w:rsidP="002610EF">
      <w:pPr>
        <w:tabs>
          <w:tab w:val="left" w:pos="1276"/>
        </w:tabs>
        <w:spacing w:before="120" w:after="120"/>
      </w:pPr>
      <w:r>
        <w:t>SD-9</w:t>
      </w:r>
      <w:r w:rsidR="00941E9E">
        <w:t xml:space="preserve"> : </w:t>
      </w:r>
      <w:r w:rsidR="002610EF">
        <w:tab/>
      </w:r>
      <w:r>
        <w:t>Lettre de Charles Roy</w:t>
      </w:r>
      <w:r w:rsidR="00DB009D">
        <w:t>,</w:t>
      </w:r>
      <w:r>
        <w:t xml:space="preserve"> employeur</w:t>
      </w:r>
    </w:p>
    <w:p w14:paraId="15DD4316" w14:textId="705AF657" w:rsidR="001F38B3" w:rsidRDefault="001F38B3" w:rsidP="002610EF">
      <w:pPr>
        <w:tabs>
          <w:tab w:val="left" w:pos="1276"/>
        </w:tabs>
        <w:spacing w:before="120" w:after="120"/>
      </w:pPr>
      <w:r>
        <w:t>SD-10</w:t>
      </w:r>
      <w:r w:rsidR="00941E9E">
        <w:t xml:space="preserve"> : </w:t>
      </w:r>
      <w:r w:rsidR="002610EF">
        <w:tab/>
      </w:r>
      <w:r>
        <w:t xml:space="preserve">Lettre de </w:t>
      </w:r>
      <w:r w:rsidR="00DB009D">
        <w:t>Stephen Renaud, directeur</w:t>
      </w:r>
    </w:p>
    <w:p w14:paraId="092F8FFC" w14:textId="2DC3137A" w:rsidR="00DB009D" w:rsidRDefault="00DB009D" w:rsidP="002610EF">
      <w:pPr>
        <w:tabs>
          <w:tab w:val="left" w:pos="1276"/>
        </w:tabs>
        <w:spacing w:before="120" w:after="120"/>
      </w:pPr>
      <w:r>
        <w:t>SD-11</w:t>
      </w:r>
      <w:r w:rsidR="00941E9E">
        <w:t> :</w:t>
      </w:r>
      <w:r w:rsidR="002610EF">
        <w:tab/>
      </w:r>
      <w:r>
        <w:t>Lettre de Line Paquet, psychologue</w:t>
      </w:r>
    </w:p>
    <w:p w14:paraId="2E6918F3" w14:textId="4372FF90" w:rsidR="00DB009D" w:rsidRDefault="00DB009D" w:rsidP="002610EF">
      <w:pPr>
        <w:tabs>
          <w:tab w:val="left" w:pos="1276"/>
        </w:tabs>
        <w:spacing w:before="120" w:after="120"/>
      </w:pPr>
      <w:r>
        <w:t>SD-12</w:t>
      </w:r>
      <w:r w:rsidR="00941E9E">
        <w:t> :</w:t>
      </w:r>
      <w:r w:rsidR="002610EF">
        <w:tab/>
      </w:r>
      <w:r>
        <w:t>Lettre de Cindy Tremblay</w:t>
      </w:r>
    </w:p>
    <w:p w14:paraId="5E4AAF6D" w14:textId="2FCEF2D5" w:rsidR="00815FD3" w:rsidRDefault="00DB009D" w:rsidP="002610EF">
      <w:pPr>
        <w:tabs>
          <w:tab w:val="left" w:pos="1276"/>
        </w:tabs>
        <w:spacing w:before="120" w:after="120"/>
      </w:pPr>
      <w:r>
        <w:t>SD-13</w:t>
      </w:r>
      <w:r w:rsidR="00941E9E">
        <w:t xml:space="preserve"> : </w:t>
      </w:r>
      <w:r w:rsidR="002610EF">
        <w:tab/>
      </w:r>
      <w:r>
        <w:t>Lettre de Shawn Element</w:t>
      </w:r>
    </w:p>
    <w:p w14:paraId="45FD6272" w14:textId="3146A21B" w:rsidR="00DB009D" w:rsidRDefault="00DB009D" w:rsidP="002610EF">
      <w:pPr>
        <w:tabs>
          <w:tab w:val="left" w:pos="1276"/>
        </w:tabs>
        <w:spacing w:before="120" w:after="120"/>
      </w:pPr>
      <w:r>
        <w:t>SD-14</w:t>
      </w:r>
      <w:r w:rsidR="00941E9E">
        <w:t xml:space="preserve"> : </w:t>
      </w:r>
      <w:r w:rsidR="002610EF">
        <w:tab/>
      </w:r>
      <w:r>
        <w:t>Lettre d’Antoine Desrochers</w:t>
      </w:r>
    </w:p>
    <w:p w14:paraId="6449027F" w14:textId="7DC5BFA5" w:rsidR="00DB009D" w:rsidRDefault="00DB009D" w:rsidP="002610EF">
      <w:pPr>
        <w:tabs>
          <w:tab w:val="left" w:pos="1276"/>
        </w:tabs>
        <w:spacing w:before="120" w:after="120"/>
      </w:pPr>
      <w:r>
        <w:t>SD-15</w:t>
      </w:r>
      <w:r w:rsidR="00941E9E">
        <w:t xml:space="preserve"> : </w:t>
      </w:r>
      <w:r w:rsidR="002610EF">
        <w:tab/>
      </w:r>
      <w:r>
        <w:t>Lettre de Kevin Cloutier, directeur général des Tigres de Victoriaville</w:t>
      </w:r>
      <w:r w:rsidR="00D2565C">
        <w:t xml:space="preserve"> (N.D.)</w:t>
      </w:r>
    </w:p>
    <w:p w14:paraId="679A2818" w14:textId="265614FA" w:rsidR="00DB009D" w:rsidRDefault="00DB009D" w:rsidP="002610EF">
      <w:pPr>
        <w:tabs>
          <w:tab w:val="left" w:pos="1276"/>
        </w:tabs>
        <w:spacing w:before="120" w:after="120"/>
      </w:pPr>
      <w:r>
        <w:t>SD-16</w:t>
      </w:r>
      <w:r w:rsidR="00941E9E">
        <w:t xml:space="preserve"> : </w:t>
      </w:r>
      <w:r w:rsidR="002610EF">
        <w:tab/>
      </w:r>
      <w:r>
        <w:t>Lettre de Chrystian Couture</w:t>
      </w:r>
    </w:p>
    <w:p w14:paraId="38D716CC" w14:textId="48ED4A96" w:rsidR="00DB009D" w:rsidRDefault="00DB009D" w:rsidP="002610EF">
      <w:pPr>
        <w:tabs>
          <w:tab w:val="left" w:pos="1276"/>
        </w:tabs>
        <w:spacing w:before="120" w:after="120"/>
      </w:pPr>
      <w:r>
        <w:t>SD-17</w:t>
      </w:r>
      <w:r w:rsidR="00941E9E">
        <w:t> :</w:t>
      </w:r>
      <w:r w:rsidR="002610EF">
        <w:tab/>
      </w:r>
      <w:r>
        <w:t>Lettre de Keven Poulin et Mélinda Bilodeau</w:t>
      </w:r>
    </w:p>
    <w:p w14:paraId="6626D318" w14:textId="069B6996" w:rsidR="00DB009D" w:rsidRDefault="00DB009D" w:rsidP="002610EF">
      <w:pPr>
        <w:tabs>
          <w:tab w:val="left" w:pos="1276"/>
        </w:tabs>
        <w:spacing w:before="120" w:after="120"/>
      </w:pPr>
      <w:r>
        <w:t>SD-18</w:t>
      </w:r>
      <w:r w:rsidR="00941E9E">
        <w:t xml:space="preserve"> : </w:t>
      </w:r>
      <w:r w:rsidR="002610EF">
        <w:tab/>
      </w:r>
      <w:r>
        <w:t>Lettre de Paul Corbeil, agent</w:t>
      </w:r>
    </w:p>
    <w:p w14:paraId="1AC11C89" w14:textId="132E6301" w:rsidR="00DB009D" w:rsidRDefault="00DB009D" w:rsidP="002610EF">
      <w:pPr>
        <w:tabs>
          <w:tab w:val="left" w:pos="1276"/>
        </w:tabs>
        <w:spacing w:before="120" w:after="120"/>
      </w:pPr>
      <w:r>
        <w:t>SD-19</w:t>
      </w:r>
      <w:r w:rsidR="00941E9E">
        <w:t xml:space="preserve"> : </w:t>
      </w:r>
      <w:r w:rsidR="002610EF">
        <w:tab/>
      </w:r>
      <w:r>
        <w:t>Lettre de Amélie Turgeon, conjointe</w:t>
      </w:r>
    </w:p>
    <w:p w14:paraId="26FCF877" w14:textId="7598EA16" w:rsidR="00DB009D" w:rsidRDefault="00DB009D" w:rsidP="002610EF">
      <w:pPr>
        <w:tabs>
          <w:tab w:val="left" w:pos="1276"/>
        </w:tabs>
        <w:spacing w:before="120" w:after="120"/>
      </w:pPr>
      <w:r>
        <w:t>SD-20</w:t>
      </w:r>
      <w:r w:rsidR="00941E9E">
        <w:t xml:space="preserve"> : </w:t>
      </w:r>
      <w:r w:rsidR="002610EF">
        <w:tab/>
      </w:r>
      <w:r>
        <w:t>Lettre de Judy Poulin, mère</w:t>
      </w:r>
    </w:p>
    <w:p w14:paraId="246CBA80" w14:textId="06594E33" w:rsidR="00DB009D" w:rsidRDefault="00DB009D" w:rsidP="002610EF">
      <w:pPr>
        <w:tabs>
          <w:tab w:val="left" w:pos="1276"/>
        </w:tabs>
        <w:spacing w:before="120" w:after="120"/>
      </w:pPr>
      <w:r>
        <w:lastRenderedPageBreak/>
        <w:t>SD-21</w:t>
      </w:r>
      <w:r w:rsidR="00941E9E">
        <w:t xml:space="preserve"> : </w:t>
      </w:r>
      <w:r w:rsidR="002610EF">
        <w:tab/>
      </w:r>
      <w:r>
        <w:t>Lettre de Martin Daigle, père</w:t>
      </w:r>
    </w:p>
    <w:p w14:paraId="6526BAF3" w14:textId="2B19A5EA" w:rsidR="00DB009D" w:rsidRDefault="00DB009D" w:rsidP="002610EF">
      <w:pPr>
        <w:tabs>
          <w:tab w:val="left" w:pos="1276"/>
        </w:tabs>
        <w:spacing w:before="120" w:after="120"/>
      </w:pPr>
      <w:r>
        <w:t>SD-22</w:t>
      </w:r>
      <w:r w:rsidR="00941E9E">
        <w:t xml:space="preserve"> : </w:t>
      </w:r>
      <w:r w:rsidR="002610EF">
        <w:tab/>
      </w:r>
      <w:r>
        <w:t>Admission des conclusions du rapport d’Isabelle Crouzet</w:t>
      </w:r>
    </w:p>
    <w:p w14:paraId="24D0CF8A" w14:textId="11FEBC01" w:rsidR="00DB009D" w:rsidRDefault="00DB009D" w:rsidP="002610EF">
      <w:pPr>
        <w:tabs>
          <w:tab w:val="left" w:pos="1276"/>
        </w:tabs>
        <w:spacing w:before="120" w:after="120"/>
      </w:pPr>
      <w:r>
        <w:t>SD-23</w:t>
      </w:r>
      <w:r w:rsidR="00941E9E">
        <w:t xml:space="preserve"> : </w:t>
      </w:r>
      <w:r w:rsidR="002610EF">
        <w:tab/>
      </w:r>
      <w:r w:rsidRPr="00DB009D">
        <w:t>C.V. de madame Isa</w:t>
      </w:r>
      <w:r>
        <w:t>belle Crouzet</w:t>
      </w:r>
    </w:p>
    <w:p w14:paraId="78800576" w14:textId="747F3C77" w:rsidR="00DB009D" w:rsidRDefault="00DB009D" w:rsidP="002610EF">
      <w:pPr>
        <w:tabs>
          <w:tab w:val="left" w:pos="1276"/>
        </w:tabs>
        <w:spacing w:before="120" w:after="120"/>
      </w:pPr>
      <w:r>
        <w:t>SD-24</w:t>
      </w:r>
      <w:r w:rsidR="00941E9E">
        <w:t xml:space="preserve"> : </w:t>
      </w:r>
      <w:r w:rsidR="002610EF">
        <w:tab/>
      </w:r>
      <w:r>
        <w:t>Relevé de notes – Cégep de Victoriaville</w:t>
      </w:r>
    </w:p>
    <w:p w14:paraId="27DDA2E7" w14:textId="0A2A18E4" w:rsidR="00DB009D" w:rsidRDefault="00DB009D" w:rsidP="002610EF">
      <w:pPr>
        <w:tabs>
          <w:tab w:val="left" w:pos="1276"/>
        </w:tabs>
        <w:spacing w:before="120" w:after="120"/>
      </w:pPr>
      <w:r>
        <w:t>SD-25</w:t>
      </w:r>
      <w:r w:rsidR="00941E9E">
        <w:t xml:space="preserve"> : </w:t>
      </w:r>
      <w:r w:rsidR="002610EF">
        <w:tab/>
      </w:r>
      <w:r>
        <w:t>(</w:t>
      </w:r>
      <w:r w:rsidR="002610EF">
        <w:t>E</w:t>
      </w:r>
      <w:r>
        <w:t xml:space="preserve">n liasse) </w:t>
      </w:r>
      <w:r w:rsidR="00D2565C">
        <w:t>Prix et nominations – Massimo Siciliano</w:t>
      </w:r>
    </w:p>
    <w:p w14:paraId="4BDFCA24" w14:textId="0C099FD3" w:rsidR="00D2565C" w:rsidRDefault="00D2565C" w:rsidP="002610EF">
      <w:pPr>
        <w:tabs>
          <w:tab w:val="left" w:pos="1276"/>
        </w:tabs>
        <w:spacing w:before="120" w:after="120"/>
      </w:pPr>
      <w:r>
        <w:t>SD-26</w:t>
      </w:r>
      <w:r w:rsidR="00941E9E">
        <w:t xml:space="preserve"> : </w:t>
      </w:r>
      <w:r w:rsidR="002610EF">
        <w:tab/>
      </w:r>
      <w:r>
        <w:t>Lettre de Mélanie Constant</w:t>
      </w:r>
    </w:p>
    <w:p w14:paraId="7C94B981" w14:textId="68450F95" w:rsidR="00D2565C" w:rsidRDefault="00D2565C" w:rsidP="002610EF">
      <w:pPr>
        <w:tabs>
          <w:tab w:val="left" w:pos="1276"/>
        </w:tabs>
        <w:spacing w:before="120" w:after="120"/>
      </w:pPr>
      <w:r>
        <w:t>SD-27</w:t>
      </w:r>
      <w:r w:rsidR="00941E9E">
        <w:t xml:space="preserve"> : </w:t>
      </w:r>
      <w:r w:rsidR="002610EF">
        <w:tab/>
      </w:r>
      <w:r>
        <w:t>Lettre de Kevin Cloutier, directeur général des Tigres de Victoriaville (M.S.)</w:t>
      </w:r>
    </w:p>
    <w:p w14:paraId="1F91184A" w14:textId="3C73AE3B" w:rsidR="00D2565C" w:rsidRDefault="00D2565C" w:rsidP="002610EF">
      <w:pPr>
        <w:tabs>
          <w:tab w:val="left" w:pos="1276"/>
        </w:tabs>
        <w:spacing w:before="120" w:after="120"/>
      </w:pPr>
      <w:r>
        <w:t>SD-28</w:t>
      </w:r>
      <w:r w:rsidR="00941E9E">
        <w:t xml:space="preserve"> : </w:t>
      </w:r>
      <w:r w:rsidR="002610EF">
        <w:tab/>
      </w:r>
      <w:r>
        <w:t>Lettre de Diane Morin et Lyne Morin</w:t>
      </w:r>
    </w:p>
    <w:p w14:paraId="72867704" w14:textId="3CEFE4E0" w:rsidR="00F06E64" w:rsidRDefault="00D2565C" w:rsidP="002610EF">
      <w:pPr>
        <w:tabs>
          <w:tab w:val="left" w:pos="1276"/>
        </w:tabs>
        <w:spacing w:before="120" w:after="120"/>
      </w:pPr>
      <w:r>
        <w:t>SD-29</w:t>
      </w:r>
      <w:r w:rsidR="00941E9E">
        <w:t xml:space="preserve"> : </w:t>
      </w:r>
      <w:r w:rsidR="002610EF">
        <w:tab/>
      </w:r>
      <w:r>
        <w:t>Lettre de Charles Blais-Dionne</w:t>
      </w:r>
    </w:p>
    <w:p w14:paraId="02FD7F31" w14:textId="5A2C3E3D" w:rsidR="00D2565C" w:rsidRDefault="00D2565C" w:rsidP="002610EF">
      <w:pPr>
        <w:tabs>
          <w:tab w:val="left" w:pos="1276"/>
        </w:tabs>
        <w:spacing w:before="120" w:after="120"/>
      </w:pPr>
      <w:r>
        <w:t>SD-30</w:t>
      </w:r>
      <w:r w:rsidR="00941E9E">
        <w:t xml:space="preserve"> : </w:t>
      </w:r>
      <w:r w:rsidR="002610EF">
        <w:tab/>
      </w:r>
      <w:r>
        <w:t>Lettre de Phil Paquette et de Jean-François Trudeau</w:t>
      </w:r>
    </w:p>
    <w:p w14:paraId="1E284678" w14:textId="6E5C9455" w:rsidR="00320838" w:rsidRDefault="00712F91" w:rsidP="002610EF">
      <w:pPr>
        <w:tabs>
          <w:tab w:val="left" w:pos="1276"/>
        </w:tabs>
        <w:spacing w:before="120" w:after="120"/>
      </w:pPr>
      <w:r>
        <w:t>SD-31</w:t>
      </w:r>
      <w:r w:rsidR="00941E9E">
        <w:t xml:space="preserve"> : </w:t>
      </w:r>
      <w:r w:rsidR="002610EF">
        <w:tab/>
      </w:r>
      <w:r>
        <w:t>Lettre de Babak Owen</w:t>
      </w:r>
    </w:p>
    <w:p w14:paraId="07A4ED64" w14:textId="77777777" w:rsidR="002C3299" w:rsidRDefault="002C3299" w:rsidP="002C3299">
      <w:pPr>
        <w:spacing w:before="120" w:after="120"/>
      </w:pPr>
    </w:p>
    <w:p w14:paraId="14C4225F" w14:textId="3B1728D5" w:rsidR="00F06E64" w:rsidRDefault="00815FD3" w:rsidP="008F0CF9">
      <w:pPr>
        <w:spacing w:before="120" w:after="120"/>
        <w:jc w:val="center"/>
        <w:rPr>
          <w:b/>
          <w:bCs/>
          <w:szCs w:val="24"/>
        </w:rPr>
      </w:pPr>
      <w:r w:rsidRPr="005C571C">
        <w:rPr>
          <w:b/>
          <w:bCs/>
          <w:szCs w:val="24"/>
        </w:rPr>
        <w:t>ANNEXE II – Jurisprudence soumise par le poursuivant</w:t>
      </w:r>
    </w:p>
    <w:p w14:paraId="7124735F" w14:textId="77777777" w:rsidR="002C3299" w:rsidRPr="00815FD3" w:rsidRDefault="002C3299" w:rsidP="008F0CF9">
      <w:pPr>
        <w:spacing w:before="120" w:after="120"/>
        <w:jc w:val="center"/>
        <w:rPr>
          <w:b/>
          <w:bCs/>
          <w:szCs w:val="24"/>
        </w:rPr>
      </w:pPr>
    </w:p>
    <w:p w14:paraId="060E3607" w14:textId="3EE57B09" w:rsidR="00815FD3" w:rsidRPr="00293BCB" w:rsidRDefault="00815FD3" w:rsidP="00815FD3">
      <w:pPr>
        <w:spacing w:before="120" w:after="120"/>
        <w:rPr>
          <w:szCs w:val="24"/>
          <w:lang w:val="en-CA"/>
        </w:rPr>
      </w:pPr>
      <w:r w:rsidRPr="00293BCB">
        <w:rPr>
          <w:i/>
          <w:iCs/>
          <w:szCs w:val="24"/>
          <w:lang w:val="en-CA"/>
        </w:rPr>
        <w:t>Blondeau</w:t>
      </w:r>
      <w:r w:rsidRPr="00293BCB">
        <w:rPr>
          <w:szCs w:val="24"/>
          <w:lang w:val="en-CA"/>
        </w:rPr>
        <w:t xml:space="preserve"> c. </w:t>
      </w:r>
      <w:r w:rsidRPr="00293BCB">
        <w:rPr>
          <w:i/>
          <w:iCs/>
          <w:szCs w:val="24"/>
          <w:lang w:val="en-CA"/>
        </w:rPr>
        <w:t>R.</w:t>
      </w:r>
      <w:r w:rsidRPr="00293BCB">
        <w:rPr>
          <w:szCs w:val="24"/>
          <w:lang w:val="en-CA"/>
        </w:rPr>
        <w:t>, 2018 QCCA 1250</w:t>
      </w:r>
    </w:p>
    <w:p w14:paraId="714A5125" w14:textId="1D5DC2A2" w:rsidR="00815FD3" w:rsidRPr="00815FD3" w:rsidRDefault="00815FD3" w:rsidP="00815FD3">
      <w:pPr>
        <w:spacing w:before="120" w:after="120"/>
        <w:rPr>
          <w:szCs w:val="24"/>
          <w:lang w:val="en-CA"/>
        </w:rPr>
      </w:pPr>
      <w:r w:rsidRPr="00815FD3">
        <w:rPr>
          <w:i/>
          <w:iCs/>
          <w:szCs w:val="24"/>
          <w:lang w:val="en-CA"/>
        </w:rPr>
        <w:t>R.</w:t>
      </w:r>
      <w:r w:rsidRPr="00815FD3">
        <w:rPr>
          <w:szCs w:val="24"/>
          <w:lang w:val="en-CA"/>
        </w:rPr>
        <w:t xml:space="preserve"> c. </w:t>
      </w:r>
      <w:r w:rsidRPr="00815FD3">
        <w:rPr>
          <w:i/>
          <w:iCs/>
          <w:szCs w:val="24"/>
          <w:lang w:val="en-CA"/>
        </w:rPr>
        <w:t>Demirovic</w:t>
      </w:r>
      <w:r w:rsidRPr="00815FD3">
        <w:rPr>
          <w:szCs w:val="24"/>
          <w:lang w:val="en-CA"/>
        </w:rPr>
        <w:t>, 2021 QCCQ 13948</w:t>
      </w:r>
    </w:p>
    <w:p w14:paraId="6E074D96" w14:textId="310072E8" w:rsidR="00815FD3" w:rsidRPr="005C571C" w:rsidRDefault="00815FD3" w:rsidP="00815FD3">
      <w:pPr>
        <w:spacing w:before="120" w:after="120"/>
        <w:rPr>
          <w:szCs w:val="24"/>
          <w:lang w:val="en-CA"/>
        </w:rPr>
      </w:pPr>
      <w:r w:rsidRPr="005C571C">
        <w:rPr>
          <w:i/>
          <w:iCs/>
          <w:szCs w:val="24"/>
          <w:lang w:val="en-CA"/>
        </w:rPr>
        <w:t>R.</w:t>
      </w:r>
      <w:r w:rsidRPr="005C571C">
        <w:rPr>
          <w:szCs w:val="24"/>
          <w:lang w:val="en-CA"/>
        </w:rPr>
        <w:t xml:space="preserve"> c. </w:t>
      </w:r>
      <w:r w:rsidRPr="005C571C">
        <w:rPr>
          <w:i/>
          <w:iCs/>
          <w:szCs w:val="24"/>
          <w:lang w:val="en-CA"/>
        </w:rPr>
        <w:t>Friesen</w:t>
      </w:r>
      <w:r w:rsidRPr="005C571C">
        <w:rPr>
          <w:szCs w:val="24"/>
          <w:lang w:val="en-CA"/>
        </w:rPr>
        <w:t>, 2020 CSC 9</w:t>
      </w:r>
    </w:p>
    <w:p w14:paraId="7595E72A" w14:textId="7944EEA4" w:rsidR="00815FD3" w:rsidRPr="005C571C" w:rsidRDefault="00815FD3" w:rsidP="00815FD3">
      <w:pPr>
        <w:spacing w:before="120" w:after="120"/>
        <w:rPr>
          <w:szCs w:val="24"/>
          <w:lang w:val="en-CA"/>
        </w:rPr>
      </w:pPr>
      <w:r w:rsidRPr="005C571C">
        <w:rPr>
          <w:i/>
          <w:iCs/>
          <w:szCs w:val="24"/>
          <w:lang w:val="en-CA"/>
        </w:rPr>
        <w:t>R.</w:t>
      </w:r>
      <w:r w:rsidRPr="005C571C">
        <w:rPr>
          <w:szCs w:val="24"/>
          <w:lang w:val="en-CA"/>
        </w:rPr>
        <w:t xml:space="preserve"> c. </w:t>
      </w:r>
      <w:r w:rsidRPr="005C571C">
        <w:rPr>
          <w:i/>
          <w:iCs/>
          <w:szCs w:val="24"/>
          <w:lang w:val="en-CA"/>
        </w:rPr>
        <w:t>Goldfinch</w:t>
      </w:r>
      <w:r w:rsidRPr="005C571C">
        <w:rPr>
          <w:szCs w:val="24"/>
          <w:lang w:val="en-CA"/>
        </w:rPr>
        <w:t>, 2019 CSC 38</w:t>
      </w:r>
    </w:p>
    <w:p w14:paraId="240D4F60" w14:textId="64840AE7" w:rsidR="00815FD3" w:rsidRPr="00815FD3" w:rsidRDefault="00815FD3" w:rsidP="00815FD3">
      <w:pPr>
        <w:spacing w:before="120" w:after="120"/>
        <w:rPr>
          <w:szCs w:val="24"/>
          <w:lang w:val="en-CA"/>
        </w:rPr>
      </w:pPr>
      <w:r w:rsidRPr="00815FD3">
        <w:rPr>
          <w:i/>
          <w:iCs/>
          <w:szCs w:val="24"/>
          <w:lang w:val="en-CA"/>
        </w:rPr>
        <w:t>R.</w:t>
      </w:r>
      <w:r w:rsidRPr="00815FD3">
        <w:rPr>
          <w:szCs w:val="24"/>
          <w:lang w:val="en-CA"/>
        </w:rPr>
        <w:t xml:space="preserve"> c. </w:t>
      </w:r>
      <w:r w:rsidRPr="00815FD3">
        <w:rPr>
          <w:i/>
          <w:iCs/>
          <w:szCs w:val="24"/>
          <w:lang w:val="en-CA"/>
        </w:rPr>
        <w:t>Houle</w:t>
      </w:r>
      <w:r w:rsidRPr="00815FD3">
        <w:rPr>
          <w:szCs w:val="24"/>
          <w:lang w:val="en-CA"/>
        </w:rPr>
        <w:t>, 2023 QCCA 99</w:t>
      </w:r>
    </w:p>
    <w:p w14:paraId="0D2EE588" w14:textId="38A32D8A" w:rsidR="00815FD3" w:rsidRPr="005C571C" w:rsidRDefault="00815FD3" w:rsidP="00815FD3">
      <w:pPr>
        <w:spacing w:before="120" w:after="120"/>
        <w:rPr>
          <w:szCs w:val="24"/>
        </w:rPr>
      </w:pPr>
      <w:r w:rsidRPr="005C571C">
        <w:rPr>
          <w:i/>
          <w:iCs/>
          <w:szCs w:val="24"/>
        </w:rPr>
        <w:t>R.</w:t>
      </w:r>
      <w:r w:rsidRPr="005C571C">
        <w:rPr>
          <w:szCs w:val="24"/>
        </w:rPr>
        <w:t xml:space="preserve"> c. </w:t>
      </w:r>
      <w:r w:rsidRPr="005C571C">
        <w:rPr>
          <w:i/>
          <w:iCs/>
          <w:szCs w:val="24"/>
        </w:rPr>
        <w:t>Lacasse</w:t>
      </w:r>
      <w:r w:rsidRPr="005C571C">
        <w:rPr>
          <w:szCs w:val="24"/>
        </w:rPr>
        <w:t>, 2015 CSC 64</w:t>
      </w:r>
    </w:p>
    <w:p w14:paraId="35E5000E" w14:textId="6716D701" w:rsidR="00815FD3" w:rsidRPr="005C571C" w:rsidRDefault="00815FD3" w:rsidP="00815FD3">
      <w:pPr>
        <w:spacing w:before="120" w:after="120"/>
        <w:rPr>
          <w:szCs w:val="24"/>
        </w:rPr>
      </w:pPr>
      <w:r w:rsidRPr="005C571C">
        <w:rPr>
          <w:i/>
          <w:iCs/>
          <w:szCs w:val="24"/>
        </w:rPr>
        <w:t>Lacelle Belec</w:t>
      </w:r>
      <w:r w:rsidRPr="005C571C">
        <w:rPr>
          <w:szCs w:val="24"/>
        </w:rPr>
        <w:t xml:space="preserve"> c. </w:t>
      </w:r>
      <w:r w:rsidRPr="005C571C">
        <w:rPr>
          <w:i/>
          <w:iCs/>
          <w:szCs w:val="24"/>
        </w:rPr>
        <w:t>R.</w:t>
      </w:r>
      <w:r w:rsidRPr="005C571C">
        <w:rPr>
          <w:szCs w:val="24"/>
        </w:rPr>
        <w:t>, 2019 QCCA 711</w:t>
      </w:r>
    </w:p>
    <w:p w14:paraId="08406C51" w14:textId="72433354" w:rsidR="00815FD3" w:rsidRPr="005C571C" w:rsidRDefault="00815FD3" w:rsidP="00815FD3">
      <w:pPr>
        <w:spacing w:before="120" w:after="120"/>
        <w:rPr>
          <w:szCs w:val="24"/>
        </w:rPr>
      </w:pPr>
      <w:r w:rsidRPr="005C571C">
        <w:rPr>
          <w:i/>
          <w:iCs/>
          <w:szCs w:val="24"/>
        </w:rPr>
        <w:t>R.</w:t>
      </w:r>
      <w:r w:rsidRPr="005C571C">
        <w:rPr>
          <w:szCs w:val="24"/>
        </w:rPr>
        <w:t xml:space="preserve"> c. </w:t>
      </w:r>
      <w:r w:rsidRPr="005C571C">
        <w:rPr>
          <w:i/>
          <w:iCs/>
          <w:szCs w:val="24"/>
        </w:rPr>
        <w:t>Le</w:t>
      </w:r>
      <w:r w:rsidRPr="005C571C">
        <w:rPr>
          <w:szCs w:val="24"/>
        </w:rPr>
        <w:t>, 2019 CSC 34</w:t>
      </w:r>
    </w:p>
    <w:p w14:paraId="43A2BE90" w14:textId="171501EC" w:rsidR="00815FD3" w:rsidRPr="005C571C" w:rsidRDefault="00815FD3" w:rsidP="00815FD3">
      <w:pPr>
        <w:spacing w:before="120" w:after="120"/>
        <w:rPr>
          <w:szCs w:val="24"/>
        </w:rPr>
      </w:pPr>
      <w:r w:rsidRPr="005C571C">
        <w:rPr>
          <w:i/>
          <w:iCs/>
          <w:szCs w:val="24"/>
        </w:rPr>
        <w:t>Lemieux</w:t>
      </w:r>
      <w:r w:rsidRPr="005C571C">
        <w:rPr>
          <w:szCs w:val="24"/>
        </w:rPr>
        <w:t xml:space="preserve"> c. </w:t>
      </w:r>
      <w:r w:rsidRPr="005C571C">
        <w:rPr>
          <w:i/>
          <w:iCs/>
          <w:szCs w:val="24"/>
        </w:rPr>
        <w:t>R.</w:t>
      </w:r>
      <w:r w:rsidRPr="005C571C">
        <w:rPr>
          <w:szCs w:val="24"/>
        </w:rPr>
        <w:t>, 2023 QCCA 480</w:t>
      </w:r>
    </w:p>
    <w:p w14:paraId="134C8C7E" w14:textId="1BF77D7F" w:rsidR="00815FD3" w:rsidRPr="005C571C" w:rsidRDefault="00815FD3" w:rsidP="00815FD3">
      <w:pPr>
        <w:spacing w:before="120" w:after="120"/>
        <w:rPr>
          <w:szCs w:val="24"/>
        </w:rPr>
      </w:pPr>
      <w:r w:rsidRPr="005C571C">
        <w:rPr>
          <w:i/>
          <w:iCs/>
          <w:szCs w:val="24"/>
        </w:rPr>
        <w:t>Marien Frenette</w:t>
      </w:r>
      <w:r w:rsidRPr="005C571C">
        <w:rPr>
          <w:szCs w:val="24"/>
        </w:rPr>
        <w:t xml:space="preserve"> c. </w:t>
      </w:r>
      <w:r w:rsidRPr="005C571C">
        <w:rPr>
          <w:i/>
          <w:iCs/>
          <w:szCs w:val="24"/>
        </w:rPr>
        <w:t>R.</w:t>
      </w:r>
      <w:r w:rsidRPr="005C571C">
        <w:rPr>
          <w:szCs w:val="24"/>
        </w:rPr>
        <w:t>, 2024 QCCA 207</w:t>
      </w:r>
    </w:p>
    <w:p w14:paraId="36B456F4" w14:textId="77777777" w:rsidR="002E5940" w:rsidRDefault="002E5940" w:rsidP="00815FD3">
      <w:pPr>
        <w:spacing w:before="120" w:after="120"/>
        <w:rPr>
          <w:i/>
          <w:iCs/>
          <w:szCs w:val="24"/>
        </w:rPr>
      </w:pPr>
    </w:p>
    <w:p w14:paraId="46B5B84E" w14:textId="29E44EEB" w:rsidR="00815FD3" w:rsidRPr="005C571C" w:rsidRDefault="00815FD3" w:rsidP="00815FD3">
      <w:pPr>
        <w:spacing w:before="120" w:after="120"/>
        <w:rPr>
          <w:szCs w:val="24"/>
        </w:rPr>
      </w:pPr>
      <w:r w:rsidRPr="005C571C">
        <w:rPr>
          <w:i/>
          <w:iCs/>
          <w:szCs w:val="24"/>
        </w:rPr>
        <w:t>Moisan</w:t>
      </w:r>
      <w:r w:rsidRPr="005C571C">
        <w:rPr>
          <w:szCs w:val="24"/>
        </w:rPr>
        <w:t xml:space="preserve"> c. </w:t>
      </w:r>
      <w:r w:rsidRPr="005C571C">
        <w:rPr>
          <w:i/>
          <w:iCs/>
          <w:szCs w:val="24"/>
        </w:rPr>
        <w:t>R.</w:t>
      </w:r>
      <w:r w:rsidRPr="005C571C">
        <w:rPr>
          <w:szCs w:val="24"/>
        </w:rPr>
        <w:t>, 2023 QCCA 117</w:t>
      </w:r>
    </w:p>
    <w:p w14:paraId="0F3E1028" w14:textId="6411981C" w:rsidR="00815FD3" w:rsidRPr="00815FD3" w:rsidRDefault="00815FD3" w:rsidP="00815FD3">
      <w:pPr>
        <w:spacing w:before="120" w:after="120"/>
        <w:rPr>
          <w:szCs w:val="24"/>
        </w:rPr>
      </w:pPr>
      <w:r w:rsidRPr="00815FD3">
        <w:rPr>
          <w:i/>
          <w:iCs/>
          <w:szCs w:val="24"/>
        </w:rPr>
        <w:t>R</w:t>
      </w:r>
      <w:r w:rsidR="00B86A51">
        <w:rPr>
          <w:i/>
          <w:iCs/>
          <w:szCs w:val="24"/>
        </w:rPr>
        <w:t>.</w:t>
      </w:r>
      <w:r w:rsidRPr="00815FD3">
        <w:rPr>
          <w:szCs w:val="24"/>
        </w:rPr>
        <w:t xml:space="preserve"> v</w:t>
      </w:r>
      <w:r w:rsidR="00B86A51">
        <w:rPr>
          <w:szCs w:val="24"/>
        </w:rPr>
        <w:t>.</w:t>
      </w:r>
      <w:r w:rsidRPr="00815FD3">
        <w:rPr>
          <w:szCs w:val="24"/>
        </w:rPr>
        <w:t xml:space="preserve"> </w:t>
      </w:r>
      <w:r w:rsidRPr="00815FD3">
        <w:rPr>
          <w:i/>
          <w:iCs/>
          <w:szCs w:val="24"/>
        </w:rPr>
        <w:t>Mufuta</w:t>
      </w:r>
      <w:r w:rsidRPr="00815FD3">
        <w:rPr>
          <w:szCs w:val="24"/>
        </w:rPr>
        <w:t>, 2020 ABCA 79</w:t>
      </w:r>
    </w:p>
    <w:p w14:paraId="73B3F708" w14:textId="2F6E7C06" w:rsidR="00815FD3" w:rsidRPr="005C571C" w:rsidRDefault="00815FD3" w:rsidP="00815FD3">
      <w:pPr>
        <w:spacing w:before="120" w:after="120"/>
        <w:rPr>
          <w:szCs w:val="24"/>
        </w:rPr>
      </w:pPr>
      <w:r w:rsidRPr="005C571C">
        <w:rPr>
          <w:i/>
          <w:iCs/>
          <w:szCs w:val="24"/>
        </w:rPr>
        <w:t>Paulhus</w:t>
      </w:r>
      <w:r w:rsidRPr="005C571C">
        <w:rPr>
          <w:szCs w:val="24"/>
        </w:rPr>
        <w:t xml:space="preserve"> c. </w:t>
      </w:r>
      <w:r w:rsidRPr="005C571C">
        <w:rPr>
          <w:i/>
          <w:iCs/>
          <w:szCs w:val="24"/>
        </w:rPr>
        <w:t>R.</w:t>
      </w:r>
      <w:r w:rsidRPr="005C571C">
        <w:rPr>
          <w:szCs w:val="24"/>
        </w:rPr>
        <w:t>, 2023 QCCA 1293</w:t>
      </w:r>
    </w:p>
    <w:p w14:paraId="05462A08" w14:textId="3C98AD90" w:rsidR="00815FD3" w:rsidRPr="005C571C" w:rsidRDefault="00815FD3" w:rsidP="00815FD3">
      <w:pPr>
        <w:spacing w:before="120" w:after="120"/>
        <w:rPr>
          <w:szCs w:val="24"/>
        </w:rPr>
      </w:pPr>
      <w:r w:rsidRPr="005C571C">
        <w:rPr>
          <w:i/>
          <w:iCs/>
          <w:szCs w:val="24"/>
        </w:rPr>
        <w:t>Perron</w:t>
      </w:r>
      <w:r w:rsidRPr="005C571C">
        <w:rPr>
          <w:szCs w:val="24"/>
        </w:rPr>
        <w:t xml:space="preserve"> c. </w:t>
      </w:r>
      <w:r w:rsidRPr="005C571C">
        <w:rPr>
          <w:i/>
          <w:iCs/>
          <w:szCs w:val="24"/>
        </w:rPr>
        <w:t>R.</w:t>
      </w:r>
      <w:r w:rsidRPr="005C571C">
        <w:rPr>
          <w:szCs w:val="24"/>
        </w:rPr>
        <w:t>, 2015 QCCA 601</w:t>
      </w:r>
    </w:p>
    <w:p w14:paraId="4725A09C" w14:textId="4847320F" w:rsidR="00815FD3" w:rsidRPr="005C571C" w:rsidRDefault="00815FD3" w:rsidP="00815FD3">
      <w:pPr>
        <w:spacing w:before="120" w:after="120"/>
        <w:rPr>
          <w:szCs w:val="24"/>
        </w:rPr>
      </w:pPr>
      <w:r w:rsidRPr="005C571C">
        <w:rPr>
          <w:i/>
          <w:iCs/>
          <w:szCs w:val="24"/>
        </w:rPr>
        <w:t>R.</w:t>
      </w:r>
      <w:r w:rsidRPr="005C571C">
        <w:rPr>
          <w:szCs w:val="24"/>
        </w:rPr>
        <w:t xml:space="preserve"> c. </w:t>
      </w:r>
      <w:r w:rsidRPr="005C571C">
        <w:rPr>
          <w:i/>
          <w:iCs/>
          <w:szCs w:val="24"/>
        </w:rPr>
        <w:t>Proulx</w:t>
      </w:r>
      <w:r w:rsidRPr="005C571C">
        <w:rPr>
          <w:szCs w:val="24"/>
        </w:rPr>
        <w:t>, 2000 CSC 5</w:t>
      </w:r>
    </w:p>
    <w:p w14:paraId="5A5F72F8" w14:textId="6E584934" w:rsidR="00815FD3" w:rsidRPr="005C571C" w:rsidRDefault="00815FD3" w:rsidP="00815FD3">
      <w:pPr>
        <w:spacing w:before="120" w:after="120"/>
        <w:rPr>
          <w:szCs w:val="24"/>
        </w:rPr>
      </w:pPr>
      <w:r w:rsidRPr="005C571C">
        <w:rPr>
          <w:i/>
          <w:iCs/>
          <w:szCs w:val="24"/>
        </w:rPr>
        <w:t>S.J.</w:t>
      </w:r>
      <w:r w:rsidRPr="005C571C">
        <w:rPr>
          <w:szCs w:val="24"/>
        </w:rPr>
        <w:t xml:space="preserve"> c. </w:t>
      </w:r>
      <w:r w:rsidRPr="005C571C">
        <w:rPr>
          <w:i/>
          <w:iCs/>
          <w:szCs w:val="24"/>
        </w:rPr>
        <w:t>R.</w:t>
      </w:r>
      <w:r w:rsidRPr="005C571C">
        <w:rPr>
          <w:szCs w:val="24"/>
        </w:rPr>
        <w:t>, 2024 QCCA 253</w:t>
      </w:r>
    </w:p>
    <w:p w14:paraId="3041F776" w14:textId="5D33C08F" w:rsidR="008F0CF9" w:rsidRDefault="00815FD3" w:rsidP="00F06E64">
      <w:pPr>
        <w:spacing w:before="120" w:after="120"/>
        <w:rPr>
          <w:szCs w:val="24"/>
        </w:rPr>
      </w:pPr>
      <w:r w:rsidRPr="005C571C">
        <w:rPr>
          <w:i/>
          <w:iCs/>
          <w:szCs w:val="24"/>
        </w:rPr>
        <w:t>R.</w:t>
      </w:r>
      <w:r w:rsidRPr="005C571C">
        <w:rPr>
          <w:szCs w:val="24"/>
        </w:rPr>
        <w:t xml:space="preserve"> c. </w:t>
      </w:r>
      <w:r w:rsidRPr="005C571C">
        <w:rPr>
          <w:i/>
          <w:iCs/>
          <w:szCs w:val="24"/>
        </w:rPr>
        <w:t>Turpin</w:t>
      </w:r>
      <w:r w:rsidRPr="005C571C">
        <w:rPr>
          <w:szCs w:val="24"/>
        </w:rPr>
        <w:t>, 2018 QCCQ 1659</w:t>
      </w:r>
    </w:p>
    <w:p w14:paraId="342DCCA5" w14:textId="77777777" w:rsidR="002C3299" w:rsidRPr="00F06E64" w:rsidRDefault="002C3299" w:rsidP="00F06E64">
      <w:pPr>
        <w:spacing w:before="120" w:after="120"/>
        <w:rPr>
          <w:szCs w:val="24"/>
        </w:rPr>
      </w:pPr>
    </w:p>
    <w:p w14:paraId="07A36D4F" w14:textId="36A86191" w:rsidR="00815FD3" w:rsidRDefault="00815FD3" w:rsidP="008F0CF9">
      <w:pPr>
        <w:spacing w:before="120" w:after="120"/>
        <w:jc w:val="center"/>
        <w:rPr>
          <w:b/>
          <w:bCs/>
          <w:szCs w:val="24"/>
        </w:rPr>
      </w:pPr>
      <w:r w:rsidRPr="005C571C">
        <w:rPr>
          <w:b/>
          <w:bCs/>
          <w:szCs w:val="24"/>
        </w:rPr>
        <w:t>ANNEXE III – Jurisprudence soumise</w:t>
      </w:r>
      <w:r w:rsidR="00EC53F3">
        <w:rPr>
          <w:b/>
          <w:bCs/>
          <w:szCs w:val="24"/>
        </w:rPr>
        <w:t xml:space="preserve"> par</w:t>
      </w:r>
      <w:r w:rsidRPr="005C571C">
        <w:rPr>
          <w:b/>
          <w:bCs/>
          <w:szCs w:val="24"/>
        </w:rPr>
        <w:t xml:space="preserve"> la défense</w:t>
      </w:r>
    </w:p>
    <w:p w14:paraId="0509964B" w14:textId="77777777" w:rsidR="002C3299" w:rsidRPr="008F0CF9" w:rsidRDefault="002C3299" w:rsidP="008F0CF9">
      <w:pPr>
        <w:spacing w:before="120" w:after="120"/>
        <w:jc w:val="center"/>
        <w:rPr>
          <w:b/>
          <w:bCs/>
          <w:szCs w:val="24"/>
        </w:rPr>
      </w:pPr>
    </w:p>
    <w:p w14:paraId="2A18987B" w14:textId="25179BD2" w:rsidR="00C504BD" w:rsidRPr="00AC3855" w:rsidRDefault="00C504BD" w:rsidP="00815FD3">
      <w:pPr>
        <w:spacing w:before="120" w:after="120"/>
        <w:rPr>
          <w:szCs w:val="24"/>
        </w:rPr>
      </w:pPr>
      <w:r w:rsidRPr="00AC3855">
        <w:rPr>
          <w:i/>
          <w:iCs/>
          <w:szCs w:val="24"/>
        </w:rPr>
        <w:t xml:space="preserve">R. </w:t>
      </w:r>
      <w:r w:rsidRPr="00AC3855">
        <w:rPr>
          <w:szCs w:val="24"/>
        </w:rPr>
        <w:t>c.</w:t>
      </w:r>
      <w:r w:rsidRPr="00AC3855">
        <w:rPr>
          <w:i/>
          <w:iCs/>
          <w:szCs w:val="24"/>
        </w:rPr>
        <w:t xml:space="preserve"> A.B.</w:t>
      </w:r>
      <w:r w:rsidRPr="00AC3855">
        <w:rPr>
          <w:szCs w:val="24"/>
        </w:rPr>
        <w:t>, 2020 QCCQ 311</w:t>
      </w:r>
    </w:p>
    <w:p w14:paraId="6D4310E7" w14:textId="65F69CB3" w:rsidR="00DB39EE" w:rsidRPr="00AC3855" w:rsidRDefault="00DB39EE" w:rsidP="00815FD3">
      <w:pPr>
        <w:spacing w:before="120" w:after="120"/>
        <w:rPr>
          <w:szCs w:val="24"/>
        </w:rPr>
      </w:pPr>
      <w:r w:rsidRPr="00AC3855">
        <w:rPr>
          <w:i/>
          <w:iCs/>
          <w:szCs w:val="24"/>
        </w:rPr>
        <w:t>R</w:t>
      </w:r>
      <w:r w:rsidRPr="00AC3855">
        <w:rPr>
          <w:szCs w:val="24"/>
        </w:rPr>
        <w:t xml:space="preserve">. c. </w:t>
      </w:r>
      <w:r w:rsidRPr="00AC3855">
        <w:rPr>
          <w:i/>
          <w:iCs/>
          <w:szCs w:val="24"/>
        </w:rPr>
        <w:t>Audet</w:t>
      </w:r>
      <w:r w:rsidRPr="00AC3855">
        <w:rPr>
          <w:szCs w:val="24"/>
        </w:rPr>
        <w:t>, [1996] 2 R.C.S. 171</w:t>
      </w:r>
    </w:p>
    <w:p w14:paraId="3C9A45A8" w14:textId="76DA270A" w:rsidR="00815FD3" w:rsidRPr="00C504BD" w:rsidRDefault="00815FD3" w:rsidP="00815FD3">
      <w:pPr>
        <w:spacing w:before="120" w:after="120"/>
        <w:rPr>
          <w:szCs w:val="24"/>
          <w:lang w:val="en-CA"/>
        </w:rPr>
      </w:pPr>
      <w:r w:rsidRPr="00C504BD">
        <w:rPr>
          <w:i/>
          <w:iCs/>
          <w:szCs w:val="24"/>
          <w:lang w:val="en-CA"/>
        </w:rPr>
        <w:t>Bachou</w:t>
      </w:r>
      <w:r w:rsidRPr="00C504BD">
        <w:rPr>
          <w:szCs w:val="24"/>
          <w:lang w:val="en-CA"/>
        </w:rPr>
        <w:t xml:space="preserve"> c. </w:t>
      </w:r>
      <w:r w:rsidRPr="00C504BD">
        <w:rPr>
          <w:i/>
          <w:iCs/>
          <w:szCs w:val="24"/>
          <w:lang w:val="en-CA"/>
        </w:rPr>
        <w:t>R.</w:t>
      </w:r>
      <w:r w:rsidRPr="00C504BD">
        <w:rPr>
          <w:szCs w:val="24"/>
          <w:lang w:val="en-CA"/>
        </w:rPr>
        <w:t>, 2022 QCCA 1145</w:t>
      </w:r>
    </w:p>
    <w:p w14:paraId="0E6197D1" w14:textId="0CB60F97" w:rsidR="00815FD3" w:rsidRPr="00AC3855" w:rsidRDefault="00815FD3" w:rsidP="00815FD3">
      <w:pPr>
        <w:spacing w:before="120" w:after="120"/>
        <w:rPr>
          <w:szCs w:val="24"/>
          <w:lang w:val="en-CA"/>
        </w:rPr>
      </w:pPr>
      <w:r w:rsidRPr="00AC3855">
        <w:rPr>
          <w:i/>
          <w:iCs/>
          <w:szCs w:val="24"/>
          <w:lang w:val="en-CA"/>
        </w:rPr>
        <w:t>Bernard</w:t>
      </w:r>
      <w:r w:rsidRPr="00AC3855">
        <w:rPr>
          <w:szCs w:val="24"/>
          <w:lang w:val="en-CA"/>
        </w:rPr>
        <w:t xml:space="preserve"> c. </w:t>
      </w:r>
      <w:r w:rsidRPr="00AC3855">
        <w:rPr>
          <w:i/>
          <w:iCs/>
          <w:szCs w:val="24"/>
          <w:lang w:val="en-CA"/>
        </w:rPr>
        <w:t>R.</w:t>
      </w:r>
      <w:r w:rsidRPr="00AC3855">
        <w:rPr>
          <w:szCs w:val="24"/>
          <w:lang w:val="en-CA"/>
        </w:rPr>
        <w:t>, 2019 QCCA 638</w:t>
      </w:r>
    </w:p>
    <w:p w14:paraId="027146EA" w14:textId="3F80C409" w:rsidR="00815FD3" w:rsidRDefault="00815FD3" w:rsidP="00815FD3">
      <w:pPr>
        <w:spacing w:before="120" w:after="120"/>
        <w:rPr>
          <w:szCs w:val="24"/>
        </w:rPr>
      </w:pPr>
      <w:r w:rsidRPr="005C571C">
        <w:rPr>
          <w:i/>
          <w:iCs/>
          <w:szCs w:val="24"/>
        </w:rPr>
        <w:t>R.</w:t>
      </w:r>
      <w:r w:rsidRPr="005C571C">
        <w:rPr>
          <w:szCs w:val="24"/>
        </w:rPr>
        <w:t xml:space="preserve"> c. </w:t>
      </w:r>
      <w:r w:rsidRPr="005C571C">
        <w:rPr>
          <w:i/>
          <w:iCs/>
          <w:szCs w:val="24"/>
        </w:rPr>
        <w:t>Bertrand Marchand</w:t>
      </w:r>
      <w:r w:rsidRPr="005C571C">
        <w:rPr>
          <w:szCs w:val="24"/>
        </w:rPr>
        <w:t>, 2023 CSC 26</w:t>
      </w:r>
    </w:p>
    <w:p w14:paraId="7C6E62BF" w14:textId="0773058B" w:rsidR="00DB39EE" w:rsidRPr="005C571C" w:rsidRDefault="00DB39EE" w:rsidP="00815FD3">
      <w:pPr>
        <w:spacing w:before="120" w:after="120"/>
        <w:rPr>
          <w:szCs w:val="24"/>
        </w:rPr>
      </w:pPr>
      <w:r w:rsidRPr="00DB39EE">
        <w:rPr>
          <w:i/>
          <w:iCs/>
          <w:szCs w:val="24"/>
        </w:rPr>
        <w:t>R.</w:t>
      </w:r>
      <w:r>
        <w:rPr>
          <w:szCs w:val="24"/>
        </w:rPr>
        <w:t xml:space="preserve"> v. </w:t>
      </w:r>
      <w:r w:rsidRPr="00DB39EE">
        <w:rPr>
          <w:i/>
          <w:iCs/>
          <w:szCs w:val="24"/>
        </w:rPr>
        <w:t>Bertuzzi</w:t>
      </w:r>
      <w:r>
        <w:rPr>
          <w:szCs w:val="24"/>
        </w:rPr>
        <w:t>, 2004 BCPC 472</w:t>
      </w:r>
    </w:p>
    <w:p w14:paraId="5729FC7D" w14:textId="49ED5F3E" w:rsidR="00815FD3" w:rsidRPr="005C571C" w:rsidRDefault="00815FD3" w:rsidP="00815FD3">
      <w:pPr>
        <w:spacing w:before="120" w:after="120"/>
        <w:rPr>
          <w:szCs w:val="24"/>
        </w:rPr>
      </w:pPr>
      <w:r w:rsidRPr="005C571C">
        <w:rPr>
          <w:i/>
          <w:iCs/>
          <w:szCs w:val="24"/>
        </w:rPr>
        <w:t>Bérubé-Gagnon</w:t>
      </w:r>
      <w:r w:rsidRPr="005C571C">
        <w:rPr>
          <w:szCs w:val="24"/>
        </w:rPr>
        <w:t xml:space="preserve"> c. </w:t>
      </w:r>
      <w:r w:rsidRPr="005C571C">
        <w:rPr>
          <w:i/>
          <w:iCs/>
          <w:szCs w:val="24"/>
        </w:rPr>
        <w:t>R.</w:t>
      </w:r>
      <w:r w:rsidRPr="005C571C">
        <w:rPr>
          <w:szCs w:val="24"/>
        </w:rPr>
        <w:t>, 2020 QCCA 1382</w:t>
      </w:r>
    </w:p>
    <w:p w14:paraId="1AC70DDF" w14:textId="326B9C6D" w:rsidR="00815FD3" w:rsidRPr="005C571C" w:rsidRDefault="00815FD3" w:rsidP="00815FD3">
      <w:pPr>
        <w:spacing w:before="120" w:after="120"/>
        <w:rPr>
          <w:szCs w:val="24"/>
        </w:rPr>
      </w:pPr>
      <w:r w:rsidRPr="005C571C">
        <w:rPr>
          <w:i/>
          <w:iCs/>
          <w:szCs w:val="24"/>
        </w:rPr>
        <w:t>R.</w:t>
      </w:r>
      <w:r w:rsidRPr="005C571C">
        <w:rPr>
          <w:szCs w:val="24"/>
        </w:rPr>
        <w:t xml:space="preserve"> c. </w:t>
      </w:r>
      <w:r w:rsidRPr="005C571C">
        <w:rPr>
          <w:i/>
          <w:iCs/>
          <w:szCs w:val="24"/>
        </w:rPr>
        <w:t>Bitemo Kifoueti</w:t>
      </w:r>
      <w:r w:rsidRPr="005C571C">
        <w:rPr>
          <w:szCs w:val="24"/>
        </w:rPr>
        <w:t>, 2021 QCCQ 2389</w:t>
      </w:r>
    </w:p>
    <w:p w14:paraId="01423312" w14:textId="655CBF56" w:rsidR="00815FD3" w:rsidRDefault="00815FD3" w:rsidP="00815FD3">
      <w:pPr>
        <w:spacing w:before="120" w:after="120"/>
        <w:rPr>
          <w:szCs w:val="24"/>
        </w:rPr>
      </w:pPr>
      <w:r w:rsidRPr="005C571C">
        <w:rPr>
          <w:i/>
          <w:iCs/>
          <w:szCs w:val="24"/>
        </w:rPr>
        <w:t>R.</w:t>
      </w:r>
      <w:r w:rsidRPr="005C571C">
        <w:rPr>
          <w:szCs w:val="24"/>
        </w:rPr>
        <w:t xml:space="preserve"> c. </w:t>
      </w:r>
      <w:r w:rsidRPr="005C571C">
        <w:rPr>
          <w:i/>
          <w:iCs/>
          <w:szCs w:val="24"/>
        </w:rPr>
        <w:t>Boivin</w:t>
      </w:r>
      <w:r w:rsidRPr="005C571C">
        <w:rPr>
          <w:szCs w:val="24"/>
        </w:rPr>
        <w:t>, 2018 QCCQ 7126</w:t>
      </w:r>
    </w:p>
    <w:p w14:paraId="64C6ABE4" w14:textId="545B0880" w:rsidR="00B3323B" w:rsidRPr="005C571C" w:rsidRDefault="00B3323B" w:rsidP="00815FD3">
      <w:pPr>
        <w:spacing w:before="120" w:after="120"/>
        <w:rPr>
          <w:szCs w:val="24"/>
        </w:rPr>
      </w:pPr>
      <w:r w:rsidRPr="00B3323B">
        <w:rPr>
          <w:i/>
          <w:iCs/>
          <w:szCs w:val="24"/>
        </w:rPr>
        <w:t>R</w:t>
      </w:r>
      <w:r>
        <w:rPr>
          <w:szCs w:val="24"/>
        </w:rPr>
        <w:t xml:space="preserve">. c. </w:t>
      </w:r>
      <w:r w:rsidRPr="00B3323B">
        <w:rPr>
          <w:i/>
          <w:iCs/>
          <w:szCs w:val="24"/>
        </w:rPr>
        <w:t>Boudreau-Dénommé</w:t>
      </w:r>
      <w:r>
        <w:rPr>
          <w:szCs w:val="24"/>
        </w:rPr>
        <w:t>, 2023 QCCQ 2735</w:t>
      </w:r>
    </w:p>
    <w:p w14:paraId="22116823" w14:textId="322539DC" w:rsidR="00815FD3" w:rsidRPr="005C571C" w:rsidRDefault="00815FD3" w:rsidP="00815FD3">
      <w:pPr>
        <w:spacing w:before="120" w:after="120"/>
        <w:rPr>
          <w:szCs w:val="24"/>
        </w:rPr>
      </w:pPr>
      <w:r w:rsidRPr="005C571C">
        <w:rPr>
          <w:i/>
          <w:iCs/>
          <w:szCs w:val="24"/>
        </w:rPr>
        <w:t>R.</w:t>
      </w:r>
      <w:r w:rsidRPr="005C571C">
        <w:rPr>
          <w:szCs w:val="24"/>
        </w:rPr>
        <w:t xml:space="preserve"> c. </w:t>
      </w:r>
      <w:r w:rsidRPr="005C571C">
        <w:rPr>
          <w:i/>
          <w:iCs/>
          <w:szCs w:val="24"/>
        </w:rPr>
        <w:t>Brosseau</w:t>
      </w:r>
      <w:r w:rsidRPr="005C571C">
        <w:rPr>
          <w:szCs w:val="24"/>
        </w:rPr>
        <w:t>, 2023 QCCQ 296</w:t>
      </w:r>
    </w:p>
    <w:p w14:paraId="4F84129B" w14:textId="59296AD0" w:rsidR="00815FD3" w:rsidRPr="005C571C" w:rsidRDefault="00815FD3" w:rsidP="00815FD3">
      <w:pPr>
        <w:spacing w:before="120" w:after="120"/>
        <w:rPr>
          <w:szCs w:val="24"/>
        </w:rPr>
      </w:pPr>
      <w:r w:rsidRPr="005C571C">
        <w:rPr>
          <w:i/>
          <w:iCs/>
          <w:szCs w:val="24"/>
        </w:rPr>
        <w:t>R.</w:t>
      </w:r>
      <w:r w:rsidRPr="005C571C">
        <w:rPr>
          <w:szCs w:val="24"/>
        </w:rPr>
        <w:t xml:space="preserve"> c. </w:t>
      </w:r>
      <w:r w:rsidRPr="005C571C">
        <w:rPr>
          <w:i/>
          <w:iCs/>
          <w:szCs w:val="24"/>
        </w:rPr>
        <w:t>Brunet</w:t>
      </w:r>
      <w:r w:rsidRPr="005C571C">
        <w:rPr>
          <w:szCs w:val="24"/>
        </w:rPr>
        <w:t>, 2016 QCCA 2059</w:t>
      </w:r>
    </w:p>
    <w:p w14:paraId="306126A2" w14:textId="24F388C1" w:rsidR="00815FD3" w:rsidRPr="005C571C" w:rsidRDefault="00815FD3" w:rsidP="00815FD3">
      <w:pPr>
        <w:spacing w:before="120" w:after="120"/>
        <w:rPr>
          <w:szCs w:val="24"/>
        </w:rPr>
      </w:pPr>
      <w:r w:rsidRPr="005C571C">
        <w:rPr>
          <w:i/>
          <w:iCs/>
          <w:szCs w:val="24"/>
        </w:rPr>
        <w:t>R.</w:t>
      </w:r>
      <w:r w:rsidRPr="005C571C">
        <w:rPr>
          <w:szCs w:val="24"/>
        </w:rPr>
        <w:t xml:space="preserve"> c. </w:t>
      </w:r>
      <w:r w:rsidRPr="005C571C">
        <w:rPr>
          <w:i/>
          <w:iCs/>
          <w:szCs w:val="24"/>
        </w:rPr>
        <w:t>Brunet</w:t>
      </w:r>
      <w:r w:rsidRPr="005C571C">
        <w:rPr>
          <w:szCs w:val="24"/>
        </w:rPr>
        <w:t>, 2023 QCCQ 5562</w:t>
      </w:r>
    </w:p>
    <w:p w14:paraId="0F46B200" w14:textId="77777777" w:rsidR="002E5940" w:rsidRDefault="002E5940" w:rsidP="00815FD3">
      <w:pPr>
        <w:spacing w:before="120" w:after="120"/>
        <w:rPr>
          <w:i/>
          <w:iCs/>
          <w:szCs w:val="24"/>
        </w:rPr>
      </w:pPr>
    </w:p>
    <w:p w14:paraId="0790E6CF" w14:textId="3F78905A" w:rsidR="00815FD3" w:rsidRPr="005C571C" w:rsidRDefault="00815FD3" w:rsidP="00815FD3">
      <w:pPr>
        <w:spacing w:before="120" w:after="120"/>
        <w:rPr>
          <w:szCs w:val="24"/>
        </w:rPr>
      </w:pPr>
      <w:r w:rsidRPr="005C571C">
        <w:rPr>
          <w:i/>
          <w:iCs/>
          <w:szCs w:val="24"/>
        </w:rPr>
        <w:t>Camiré</w:t>
      </w:r>
      <w:r w:rsidRPr="005C571C">
        <w:rPr>
          <w:szCs w:val="24"/>
        </w:rPr>
        <w:t xml:space="preserve"> c. </w:t>
      </w:r>
      <w:r w:rsidRPr="005C571C">
        <w:rPr>
          <w:i/>
          <w:iCs/>
          <w:szCs w:val="24"/>
        </w:rPr>
        <w:t>R.</w:t>
      </w:r>
      <w:r w:rsidRPr="005C571C">
        <w:rPr>
          <w:szCs w:val="24"/>
        </w:rPr>
        <w:t>, 2010 QCCA 615</w:t>
      </w:r>
    </w:p>
    <w:p w14:paraId="79B2061F" w14:textId="6DCD59C6" w:rsidR="00815FD3" w:rsidRPr="005C571C" w:rsidRDefault="00815FD3" w:rsidP="00815FD3">
      <w:pPr>
        <w:spacing w:before="120" w:after="120"/>
        <w:rPr>
          <w:szCs w:val="24"/>
        </w:rPr>
      </w:pPr>
      <w:r w:rsidRPr="005C571C">
        <w:rPr>
          <w:i/>
          <w:iCs/>
          <w:szCs w:val="24"/>
        </w:rPr>
        <w:t>Caron Barrette</w:t>
      </w:r>
      <w:r w:rsidRPr="005C571C">
        <w:rPr>
          <w:szCs w:val="24"/>
        </w:rPr>
        <w:t xml:space="preserve"> c. </w:t>
      </w:r>
      <w:r w:rsidRPr="005C571C">
        <w:rPr>
          <w:i/>
          <w:iCs/>
          <w:szCs w:val="24"/>
        </w:rPr>
        <w:t>R.</w:t>
      </w:r>
      <w:r w:rsidRPr="005C571C">
        <w:rPr>
          <w:szCs w:val="24"/>
        </w:rPr>
        <w:t>, 2018 QCCA 516</w:t>
      </w:r>
    </w:p>
    <w:p w14:paraId="3DA1DD5B" w14:textId="77777777" w:rsidR="00815FD3" w:rsidRDefault="00815FD3" w:rsidP="00815FD3">
      <w:pPr>
        <w:spacing w:before="120" w:after="120"/>
        <w:rPr>
          <w:szCs w:val="24"/>
        </w:rPr>
      </w:pPr>
      <w:r w:rsidRPr="005C571C">
        <w:rPr>
          <w:i/>
          <w:iCs/>
          <w:szCs w:val="24"/>
        </w:rPr>
        <w:t>Charbonneau</w:t>
      </w:r>
      <w:r w:rsidRPr="005C571C">
        <w:rPr>
          <w:szCs w:val="24"/>
        </w:rPr>
        <w:t xml:space="preserve"> c. </w:t>
      </w:r>
      <w:r w:rsidRPr="005C571C">
        <w:rPr>
          <w:i/>
          <w:iCs/>
          <w:szCs w:val="24"/>
        </w:rPr>
        <w:t>R.</w:t>
      </w:r>
      <w:r w:rsidRPr="005C571C">
        <w:rPr>
          <w:szCs w:val="24"/>
        </w:rPr>
        <w:t>, 2016 QCCA 1567</w:t>
      </w:r>
    </w:p>
    <w:p w14:paraId="05B5BCE9" w14:textId="77777777" w:rsidR="00815FD3" w:rsidRDefault="00815FD3" w:rsidP="00815FD3">
      <w:pPr>
        <w:spacing w:before="120" w:after="120"/>
        <w:rPr>
          <w:szCs w:val="24"/>
        </w:rPr>
      </w:pPr>
      <w:r w:rsidRPr="005C571C">
        <w:rPr>
          <w:i/>
          <w:iCs/>
          <w:szCs w:val="24"/>
        </w:rPr>
        <w:t>R.</w:t>
      </w:r>
      <w:r w:rsidRPr="005C571C">
        <w:rPr>
          <w:szCs w:val="24"/>
        </w:rPr>
        <w:t xml:space="preserve"> c. </w:t>
      </w:r>
      <w:r w:rsidRPr="005C571C">
        <w:rPr>
          <w:i/>
          <w:iCs/>
          <w:szCs w:val="24"/>
        </w:rPr>
        <w:t>Côté-Nault</w:t>
      </w:r>
      <w:r w:rsidRPr="005C571C">
        <w:rPr>
          <w:szCs w:val="24"/>
        </w:rPr>
        <w:t>, 2020 QCCQ 1975</w:t>
      </w:r>
    </w:p>
    <w:p w14:paraId="281CE9BF" w14:textId="77777777" w:rsidR="00815FD3" w:rsidRDefault="00815FD3" w:rsidP="00815FD3">
      <w:pPr>
        <w:spacing w:before="120" w:after="120"/>
        <w:rPr>
          <w:szCs w:val="24"/>
        </w:rPr>
      </w:pPr>
      <w:r w:rsidRPr="00264CBE">
        <w:rPr>
          <w:i/>
          <w:iCs/>
          <w:szCs w:val="24"/>
        </w:rPr>
        <w:t>Denis-Damée</w:t>
      </w:r>
      <w:r w:rsidRPr="00264CBE">
        <w:rPr>
          <w:szCs w:val="24"/>
        </w:rPr>
        <w:t xml:space="preserve"> c. </w:t>
      </w:r>
      <w:r w:rsidRPr="00264CBE">
        <w:rPr>
          <w:i/>
          <w:iCs/>
          <w:szCs w:val="24"/>
        </w:rPr>
        <w:t>R.</w:t>
      </w:r>
      <w:r w:rsidRPr="00264CBE">
        <w:rPr>
          <w:szCs w:val="24"/>
        </w:rPr>
        <w:t>, 2018 QCCA 1251</w:t>
      </w:r>
    </w:p>
    <w:p w14:paraId="78401994" w14:textId="77777777" w:rsidR="00815FD3" w:rsidRDefault="00815FD3" w:rsidP="00815FD3">
      <w:pPr>
        <w:spacing w:before="120" w:after="120"/>
        <w:rPr>
          <w:szCs w:val="24"/>
        </w:rPr>
      </w:pPr>
      <w:r w:rsidRPr="00264CBE">
        <w:rPr>
          <w:i/>
          <w:iCs/>
          <w:szCs w:val="24"/>
        </w:rPr>
        <w:t>R.</w:t>
      </w:r>
      <w:r w:rsidRPr="00264CBE">
        <w:rPr>
          <w:szCs w:val="24"/>
        </w:rPr>
        <w:t xml:space="preserve"> c. </w:t>
      </w:r>
      <w:r w:rsidRPr="00264CBE">
        <w:rPr>
          <w:i/>
          <w:iCs/>
          <w:szCs w:val="24"/>
        </w:rPr>
        <w:t>Diotte</w:t>
      </w:r>
      <w:r w:rsidRPr="00264CBE">
        <w:rPr>
          <w:szCs w:val="24"/>
        </w:rPr>
        <w:t>, 2015 QCCQ 11684</w:t>
      </w:r>
    </w:p>
    <w:p w14:paraId="4E2230C3" w14:textId="77777777" w:rsidR="00815FD3" w:rsidRDefault="00815FD3" w:rsidP="00815FD3">
      <w:pPr>
        <w:spacing w:before="120" w:after="120"/>
        <w:rPr>
          <w:szCs w:val="24"/>
        </w:rPr>
      </w:pPr>
      <w:r w:rsidRPr="00264CBE">
        <w:rPr>
          <w:i/>
          <w:iCs/>
          <w:szCs w:val="24"/>
        </w:rPr>
        <w:t>R.</w:t>
      </w:r>
      <w:r w:rsidRPr="00264CBE">
        <w:rPr>
          <w:szCs w:val="24"/>
        </w:rPr>
        <w:t xml:space="preserve"> c. </w:t>
      </w:r>
      <w:r w:rsidRPr="00264CBE">
        <w:rPr>
          <w:i/>
          <w:iCs/>
          <w:szCs w:val="24"/>
        </w:rPr>
        <w:t>Ducharme</w:t>
      </w:r>
      <w:r w:rsidRPr="00264CBE">
        <w:rPr>
          <w:szCs w:val="24"/>
        </w:rPr>
        <w:t>, 2023 QCCQ 9868</w:t>
      </w:r>
    </w:p>
    <w:p w14:paraId="10B57532" w14:textId="77777777" w:rsidR="00815FD3" w:rsidRDefault="00815FD3" w:rsidP="00815FD3">
      <w:pPr>
        <w:spacing w:before="120" w:after="120"/>
        <w:rPr>
          <w:szCs w:val="24"/>
        </w:rPr>
      </w:pPr>
      <w:r w:rsidRPr="00264CBE">
        <w:rPr>
          <w:i/>
          <w:iCs/>
          <w:szCs w:val="24"/>
        </w:rPr>
        <w:t>R.</w:t>
      </w:r>
      <w:r w:rsidRPr="00264CBE">
        <w:rPr>
          <w:szCs w:val="24"/>
        </w:rPr>
        <w:t xml:space="preserve"> c. </w:t>
      </w:r>
      <w:r w:rsidRPr="00264CBE">
        <w:rPr>
          <w:i/>
          <w:iCs/>
          <w:szCs w:val="24"/>
        </w:rPr>
        <w:t>Dusablon</w:t>
      </w:r>
      <w:r w:rsidRPr="00264CBE">
        <w:rPr>
          <w:szCs w:val="24"/>
        </w:rPr>
        <w:t>, 2023 QCCA 1286</w:t>
      </w:r>
    </w:p>
    <w:p w14:paraId="1C5DB62A" w14:textId="77777777" w:rsidR="00815FD3" w:rsidRDefault="00815FD3" w:rsidP="00815FD3">
      <w:pPr>
        <w:spacing w:before="120" w:after="120"/>
        <w:rPr>
          <w:szCs w:val="24"/>
        </w:rPr>
      </w:pPr>
      <w:r w:rsidRPr="00264CBE">
        <w:rPr>
          <w:i/>
          <w:iCs/>
          <w:szCs w:val="24"/>
        </w:rPr>
        <w:t>R.</w:t>
      </w:r>
      <w:r w:rsidRPr="00264CBE">
        <w:rPr>
          <w:szCs w:val="24"/>
        </w:rPr>
        <w:t xml:space="preserve"> c. </w:t>
      </w:r>
      <w:r w:rsidRPr="00264CBE">
        <w:rPr>
          <w:i/>
          <w:iCs/>
          <w:szCs w:val="24"/>
        </w:rPr>
        <w:t>Forgues</w:t>
      </w:r>
      <w:r w:rsidRPr="00264CBE">
        <w:rPr>
          <w:szCs w:val="24"/>
        </w:rPr>
        <w:t>, 2023 QCCQ 4713</w:t>
      </w:r>
    </w:p>
    <w:p w14:paraId="5222292C" w14:textId="77777777" w:rsidR="00815FD3" w:rsidRDefault="00815FD3" w:rsidP="00815FD3">
      <w:pPr>
        <w:spacing w:before="120" w:after="120"/>
        <w:rPr>
          <w:szCs w:val="24"/>
        </w:rPr>
      </w:pPr>
      <w:r w:rsidRPr="00264CBE">
        <w:rPr>
          <w:i/>
          <w:iCs/>
          <w:szCs w:val="24"/>
        </w:rPr>
        <w:t>R.</w:t>
      </w:r>
      <w:r w:rsidRPr="00264CBE">
        <w:rPr>
          <w:szCs w:val="24"/>
        </w:rPr>
        <w:t xml:space="preserve"> c. </w:t>
      </w:r>
      <w:r w:rsidRPr="00264CBE">
        <w:rPr>
          <w:i/>
          <w:iCs/>
          <w:szCs w:val="24"/>
        </w:rPr>
        <w:t>Gravel</w:t>
      </w:r>
      <w:r w:rsidRPr="00264CBE">
        <w:rPr>
          <w:szCs w:val="24"/>
        </w:rPr>
        <w:t>, 2018 QCCA 1114</w:t>
      </w:r>
    </w:p>
    <w:p w14:paraId="03925481" w14:textId="77777777" w:rsidR="00815FD3" w:rsidRDefault="00815FD3" w:rsidP="00815FD3">
      <w:pPr>
        <w:spacing w:before="120" w:after="120"/>
        <w:rPr>
          <w:szCs w:val="24"/>
        </w:rPr>
      </w:pPr>
      <w:r w:rsidRPr="00264CBE">
        <w:rPr>
          <w:i/>
          <w:iCs/>
          <w:szCs w:val="24"/>
        </w:rPr>
        <w:t>Harbour</w:t>
      </w:r>
      <w:r w:rsidRPr="00264CBE">
        <w:rPr>
          <w:szCs w:val="24"/>
        </w:rPr>
        <w:t xml:space="preserve"> c. </w:t>
      </w:r>
      <w:r w:rsidRPr="00264CBE">
        <w:rPr>
          <w:i/>
          <w:iCs/>
          <w:szCs w:val="24"/>
        </w:rPr>
        <w:t>R.</w:t>
      </w:r>
      <w:r w:rsidRPr="00264CBE">
        <w:rPr>
          <w:szCs w:val="24"/>
        </w:rPr>
        <w:t>, 2017 QCCA 204</w:t>
      </w:r>
    </w:p>
    <w:p w14:paraId="1FC09256" w14:textId="77777777" w:rsidR="00815FD3" w:rsidRDefault="00815FD3" w:rsidP="00815FD3">
      <w:pPr>
        <w:spacing w:before="120" w:after="120"/>
        <w:rPr>
          <w:szCs w:val="24"/>
        </w:rPr>
      </w:pPr>
      <w:r w:rsidRPr="00264CBE">
        <w:rPr>
          <w:i/>
          <w:iCs/>
          <w:szCs w:val="24"/>
        </w:rPr>
        <w:t>Lajoie</w:t>
      </w:r>
      <w:r w:rsidRPr="00264CBE">
        <w:rPr>
          <w:szCs w:val="24"/>
        </w:rPr>
        <w:t xml:space="preserve"> c. </w:t>
      </w:r>
      <w:r w:rsidRPr="00264CBE">
        <w:rPr>
          <w:i/>
          <w:iCs/>
          <w:szCs w:val="24"/>
        </w:rPr>
        <w:t>R.</w:t>
      </w:r>
      <w:r w:rsidRPr="00264CBE">
        <w:rPr>
          <w:szCs w:val="24"/>
        </w:rPr>
        <w:t>, 2023 QCCA 1595</w:t>
      </w:r>
    </w:p>
    <w:p w14:paraId="39BAACEF" w14:textId="77777777" w:rsidR="00815FD3" w:rsidRDefault="00815FD3" w:rsidP="00815FD3">
      <w:pPr>
        <w:spacing w:before="120" w:after="120"/>
        <w:rPr>
          <w:szCs w:val="24"/>
        </w:rPr>
      </w:pPr>
      <w:r w:rsidRPr="00264CBE">
        <w:rPr>
          <w:i/>
          <w:iCs/>
          <w:szCs w:val="24"/>
        </w:rPr>
        <w:t>Lemieux</w:t>
      </w:r>
      <w:r w:rsidRPr="00264CBE">
        <w:rPr>
          <w:szCs w:val="24"/>
        </w:rPr>
        <w:t xml:space="preserve"> c. </w:t>
      </w:r>
      <w:r w:rsidRPr="00264CBE">
        <w:rPr>
          <w:i/>
          <w:iCs/>
          <w:szCs w:val="24"/>
        </w:rPr>
        <w:t>R.</w:t>
      </w:r>
      <w:r w:rsidRPr="00264CBE">
        <w:rPr>
          <w:szCs w:val="24"/>
        </w:rPr>
        <w:t>, 2023 QCCA 480</w:t>
      </w:r>
    </w:p>
    <w:p w14:paraId="4B067B5D" w14:textId="70768962" w:rsidR="00B3323B" w:rsidRPr="00AC3855" w:rsidRDefault="00B3323B" w:rsidP="00815FD3">
      <w:pPr>
        <w:spacing w:before="120" w:after="120"/>
        <w:rPr>
          <w:szCs w:val="24"/>
        </w:rPr>
      </w:pPr>
      <w:r w:rsidRPr="00AC3855">
        <w:rPr>
          <w:i/>
          <w:iCs/>
          <w:szCs w:val="24"/>
        </w:rPr>
        <w:t>R</w:t>
      </w:r>
      <w:r w:rsidRPr="00AC3855">
        <w:rPr>
          <w:szCs w:val="24"/>
        </w:rPr>
        <w:t xml:space="preserve">. c. </w:t>
      </w:r>
      <w:r w:rsidRPr="00AC3855">
        <w:rPr>
          <w:i/>
          <w:iCs/>
          <w:szCs w:val="24"/>
        </w:rPr>
        <w:t>L.F.W.</w:t>
      </w:r>
      <w:r w:rsidRPr="00AC3855">
        <w:rPr>
          <w:szCs w:val="24"/>
        </w:rPr>
        <w:t>, 2000 CSC 6</w:t>
      </w:r>
    </w:p>
    <w:p w14:paraId="19E0604C" w14:textId="581957D7" w:rsidR="00DB39EE" w:rsidRPr="00DB39EE" w:rsidRDefault="00DB39EE" w:rsidP="00815FD3">
      <w:pPr>
        <w:spacing w:before="120" w:after="120"/>
        <w:rPr>
          <w:szCs w:val="24"/>
          <w:lang w:val="en-CA"/>
        </w:rPr>
      </w:pPr>
      <w:r w:rsidRPr="00DB39EE">
        <w:rPr>
          <w:i/>
          <w:iCs/>
          <w:szCs w:val="24"/>
          <w:lang w:val="en-CA"/>
        </w:rPr>
        <w:t xml:space="preserve">Marchessault </w:t>
      </w:r>
      <w:r w:rsidRPr="00DB39EE">
        <w:rPr>
          <w:szCs w:val="24"/>
          <w:lang w:val="en-CA"/>
        </w:rPr>
        <w:t xml:space="preserve">c. </w:t>
      </w:r>
      <w:r w:rsidRPr="00DB39EE">
        <w:rPr>
          <w:i/>
          <w:iCs/>
          <w:szCs w:val="24"/>
          <w:lang w:val="en-CA"/>
        </w:rPr>
        <w:t>R.</w:t>
      </w:r>
      <w:r w:rsidRPr="00DB39EE">
        <w:rPr>
          <w:szCs w:val="24"/>
          <w:lang w:val="en-CA"/>
        </w:rPr>
        <w:t>, [1984] J.Q. no</w:t>
      </w:r>
      <w:r>
        <w:rPr>
          <w:szCs w:val="24"/>
          <w:lang w:val="en-CA"/>
        </w:rPr>
        <w:t xml:space="preserve"> 686</w:t>
      </w:r>
    </w:p>
    <w:p w14:paraId="2A220186" w14:textId="77777777" w:rsidR="00815FD3" w:rsidRDefault="00815FD3" w:rsidP="00815FD3">
      <w:pPr>
        <w:spacing w:before="120" w:after="120"/>
        <w:rPr>
          <w:szCs w:val="24"/>
          <w:lang w:val="en-CA"/>
        </w:rPr>
      </w:pPr>
      <w:r w:rsidRPr="00B3323B">
        <w:rPr>
          <w:i/>
          <w:iCs/>
          <w:szCs w:val="24"/>
          <w:lang w:val="en-CA"/>
        </w:rPr>
        <w:t>R.</w:t>
      </w:r>
      <w:r w:rsidRPr="00B3323B">
        <w:rPr>
          <w:szCs w:val="24"/>
          <w:lang w:val="en-CA"/>
        </w:rPr>
        <w:t xml:space="preserve"> c. </w:t>
      </w:r>
      <w:r w:rsidRPr="00B3323B">
        <w:rPr>
          <w:i/>
          <w:iCs/>
          <w:szCs w:val="24"/>
          <w:lang w:val="en-CA"/>
        </w:rPr>
        <w:t>Massue</w:t>
      </w:r>
      <w:r w:rsidRPr="00B3323B">
        <w:rPr>
          <w:szCs w:val="24"/>
          <w:lang w:val="en-CA"/>
        </w:rPr>
        <w:t>, 2023 QCCQ 8584</w:t>
      </w:r>
    </w:p>
    <w:p w14:paraId="1340647E" w14:textId="1C596849" w:rsidR="00B3323B" w:rsidRPr="00B3323B" w:rsidRDefault="00511AE2" w:rsidP="00815FD3">
      <w:pPr>
        <w:spacing w:before="120" w:after="120"/>
        <w:rPr>
          <w:szCs w:val="24"/>
          <w:lang w:val="en-CA"/>
        </w:rPr>
      </w:pPr>
      <w:r w:rsidRPr="00511AE2">
        <w:rPr>
          <w:i/>
          <w:iCs/>
          <w:szCs w:val="24"/>
          <w:lang w:val="en-CA"/>
        </w:rPr>
        <w:t>R</w:t>
      </w:r>
      <w:r>
        <w:rPr>
          <w:szCs w:val="24"/>
          <w:lang w:val="en-CA"/>
        </w:rPr>
        <w:t xml:space="preserve">. c. </w:t>
      </w:r>
      <w:r w:rsidRPr="00511AE2">
        <w:rPr>
          <w:i/>
          <w:iCs/>
          <w:szCs w:val="24"/>
          <w:lang w:val="en-CA"/>
        </w:rPr>
        <w:t>M.B.</w:t>
      </w:r>
      <w:r>
        <w:rPr>
          <w:szCs w:val="24"/>
          <w:lang w:val="en-CA"/>
        </w:rPr>
        <w:t>, 2023 QCCA 1515</w:t>
      </w:r>
    </w:p>
    <w:p w14:paraId="75A1303E" w14:textId="77777777" w:rsidR="00815FD3" w:rsidRPr="00AC3855" w:rsidRDefault="00815FD3" w:rsidP="00815FD3">
      <w:pPr>
        <w:spacing w:before="120" w:after="120"/>
        <w:rPr>
          <w:szCs w:val="24"/>
          <w:lang w:val="en-CA"/>
        </w:rPr>
      </w:pPr>
      <w:r w:rsidRPr="00AC3855">
        <w:rPr>
          <w:i/>
          <w:iCs/>
          <w:szCs w:val="24"/>
          <w:lang w:val="en-CA"/>
        </w:rPr>
        <w:t>R.</w:t>
      </w:r>
      <w:r w:rsidRPr="00AC3855">
        <w:rPr>
          <w:szCs w:val="24"/>
          <w:lang w:val="en-CA"/>
        </w:rPr>
        <w:t xml:space="preserve"> c. </w:t>
      </w:r>
      <w:r w:rsidRPr="00AC3855">
        <w:rPr>
          <w:i/>
          <w:iCs/>
          <w:szCs w:val="24"/>
          <w:lang w:val="en-CA"/>
        </w:rPr>
        <w:t>M.C.</w:t>
      </w:r>
      <w:r w:rsidRPr="00AC3855">
        <w:rPr>
          <w:szCs w:val="24"/>
          <w:lang w:val="en-CA"/>
        </w:rPr>
        <w:t>, 2023 QCCQ 196</w:t>
      </w:r>
    </w:p>
    <w:p w14:paraId="743F5CB4" w14:textId="073CFBBB" w:rsidR="00DB39EE" w:rsidRPr="00AC3855" w:rsidRDefault="00DB39EE" w:rsidP="00815FD3">
      <w:pPr>
        <w:spacing w:before="120" w:after="120"/>
        <w:rPr>
          <w:szCs w:val="24"/>
          <w:lang w:val="en-CA"/>
        </w:rPr>
      </w:pPr>
      <w:r w:rsidRPr="00AC3855">
        <w:rPr>
          <w:i/>
          <w:iCs/>
          <w:szCs w:val="24"/>
          <w:lang w:val="en-CA"/>
        </w:rPr>
        <w:t>R</w:t>
      </w:r>
      <w:r w:rsidRPr="00AC3855">
        <w:rPr>
          <w:szCs w:val="24"/>
          <w:lang w:val="en-CA"/>
        </w:rPr>
        <w:t xml:space="preserve">. v. </w:t>
      </w:r>
      <w:r w:rsidRPr="00AC3855">
        <w:rPr>
          <w:i/>
          <w:iCs/>
          <w:szCs w:val="24"/>
          <w:lang w:val="en-CA"/>
        </w:rPr>
        <w:t>McSorley</w:t>
      </w:r>
      <w:r w:rsidRPr="00AC3855">
        <w:rPr>
          <w:szCs w:val="24"/>
          <w:lang w:val="en-CA"/>
        </w:rPr>
        <w:t>, 2000 BCPC 117</w:t>
      </w:r>
    </w:p>
    <w:p w14:paraId="50B98A06" w14:textId="2B84AE71" w:rsidR="00511AE2" w:rsidRPr="00AC3855" w:rsidRDefault="00511AE2" w:rsidP="00815FD3">
      <w:pPr>
        <w:spacing w:before="120" w:after="120"/>
        <w:rPr>
          <w:szCs w:val="24"/>
          <w:lang w:val="en-CA"/>
        </w:rPr>
      </w:pPr>
      <w:r w:rsidRPr="00AC3855">
        <w:rPr>
          <w:i/>
          <w:iCs/>
          <w:szCs w:val="24"/>
          <w:lang w:val="en-CA"/>
        </w:rPr>
        <w:t>R</w:t>
      </w:r>
      <w:r w:rsidRPr="00AC3855">
        <w:rPr>
          <w:szCs w:val="24"/>
          <w:lang w:val="en-CA"/>
        </w:rPr>
        <w:t xml:space="preserve">. c. </w:t>
      </w:r>
      <w:r w:rsidRPr="00AC3855">
        <w:rPr>
          <w:i/>
          <w:iCs/>
          <w:szCs w:val="24"/>
          <w:lang w:val="en-CA"/>
        </w:rPr>
        <w:t>M.G.</w:t>
      </w:r>
      <w:r w:rsidRPr="00AC3855">
        <w:rPr>
          <w:szCs w:val="24"/>
          <w:lang w:val="en-CA"/>
        </w:rPr>
        <w:t>, 2021 QCCQ 3494</w:t>
      </w:r>
    </w:p>
    <w:p w14:paraId="43C4AE10" w14:textId="77777777" w:rsidR="00815FD3" w:rsidRPr="00815FD3" w:rsidRDefault="00815FD3" w:rsidP="00815FD3">
      <w:pPr>
        <w:spacing w:before="120" w:after="120"/>
        <w:rPr>
          <w:szCs w:val="24"/>
        </w:rPr>
      </w:pPr>
      <w:r w:rsidRPr="00815FD3">
        <w:rPr>
          <w:i/>
          <w:iCs/>
          <w:szCs w:val="24"/>
        </w:rPr>
        <w:t>R.</w:t>
      </w:r>
      <w:r w:rsidRPr="00815FD3">
        <w:rPr>
          <w:szCs w:val="24"/>
        </w:rPr>
        <w:t xml:space="preserve"> c. </w:t>
      </w:r>
      <w:r w:rsidRPr="00815FD3">
        <w:rPr>
          <w:i/>
          <w:iCs/>
          <w:szCs w:val="24"/>
        </w:rPr>
        <w:t>Michon</w:t>
      </w:r>
      <w:r w:rsidRPr="00815FD3">
        <w:rPr>
          <w:szCs w:val="24"/>
        </w:rPr>
        <w:t>, 2023 QCCS 2892</w:t>
      </w:r>
    </w:p>
    <w:p w14:paraId="6B56793F" w14:textId="77777777" w:rsidR="00815FD3" w:rsidRPr="00815FD3" w:rsidRDefault="00815FD3" w:rsidP="00815FD3">
      <w:pPr>
        <w:spacing w:before="120" w:after="120"/>
        <w:rPr>
          <w:szCs w:val="24"/>
        </w:rPr>
      </w:pPr>
      <w:r w:rsidRPr="00815FD3">
        <w:rPr>
          <w:i/>
          <w:iCs/>
          <w:szCs w:val="24"/>
        </w:rPr>
        <w:t>Nadeau</w:t>
      </w:r>
      <w:r w:rsidRPr="00815FD3">
        <w:rPr>
          <w:szCs w:val="24"/>
        </w:rPr>
        <w:t xml:space="preserve"> c. </w:t>
      </w:r>
      <w:r w:rsidRPr="00815FD3">
        <w:rPr>
          <w:i/>
          <w:iCs/>
          <w:szCs w:val="24"/>
        </w:rPr>
        <w:t>R.</w:t>
      </w:r>
      <w:r w:rsidRPr="00815FD3">
        <w:rPr>
          <w:szCs w:val="24"/>
        </w:rPr>
        <w:t>, 2020 QCCA 445</w:t>
      </w:r>
    </w:p>
    <w:p w14:paraId="6F765321" w14:textId="77777777" w:rsidR="00815FD3" w:rsidRPr="00815FD3" w:rsidRDefault="00815FD3" w:rsidP="00815FD3">
      <w:pPr>
        <w:spacing w:before="120" w:after="120"/>
        <w:rPr>
          <w:szCs w:val="24"/>
        </w:rPr>
      </w:pPr>
      <w:r w:rsidRPr="00815FD3">
        <w:rPr>
          <w:i/>
          <w:iCs/>
          <w:szCs w:val="24"/>
        </w:rPr>
        <w:t>Ouellet</w:t>
      </w:r>
      <w:r w:rsidRPr="00815FD3">
        <w:rPr>
          <w:szCs w:val="24"/>
        </w:rPr>
        <w:t xml:space="preserve"> c. </w:t>
      </w:r>
      <w:r w:rsidRPr="00815FD3">
        <w:rPr>
          <w:i/>
          <w:iCs/>
          <w:szCs w:val="24"/>
        </w:rPr>
        <w:t>R.</w:t>
      </w:r>
      <w:r w:rsidRPr="00815FD3">
        <w:rPr>
          <w:szCs w:val="24"/>
        </w:rPr>
        <w:t>, 2014 QCCA 135</w:t>
      </w:r>
    </w:p>
    <w:p w14:paraId="528CBCB6" w14:textId="77777777" w:rsidR="002E5940" w:rsidRDefault="002E5940" w:rsidP="00815FD3">
      <w:pPr>
        <w:spacing w:before="120" w:after="120"/>
        <w:rPr>
          <w:i/>
          <w:iCs/>
          <w:szCs w:val="24"/>
        </w:rPr>
      </w:pPr>
    </w:p>
    <w:p w14:paraId="296012E6" w14:textId="262773A8" w:rsidR="00815FD3" w:rsidRDefault="00815FD3" w:rsidP="00815FD3">
      <w:pPr>
        <w:spacing w:before="120" w:after="120"/>
        <w:rPr>
          <w:szCs w:val="24"/>
        </w:rPr>
      </w:pPr>
      <w:r w:rsidRPr="00815FD3">
        <w:rPr>
          <w:i/>
          <w:iCs/>
          <w:szCs w:val="24"/>
        </w:rPr>
        <w:t>R.</w:t>
      </w:r>
      <w:r w:rsidRPr="00815FD3">
        <w:rPr>
          <w:szCs w:val="24"/>
        </w:rPr>
        <w:t xml:space="preserve"> c. </w:t>
      </w:r>
      <w:r w:rsidRPr="00815FD3">
        <w:rPr>
          <w:i/>
          <w:iCs/>
          <w:szCs w:val="24"/>
        </w:rPr>
        <w:t>Précourt</w:t>
      </w:r>
      <w:r w:rsidRPr="00815FD3">
        <w:rPr>
          <w:szCs w:val="24"/>
        </w:rPr>
        <w:t>, 2019 QCCQ 5798</w:t>
      </w:r>
    </w:p>
    <w:p w14:paraId="45AD8FBF" w14:textId="27EC7627" w:rsidR="00C504BD" w:rsidRDefault="00C504BD" w:rsidP="00815FD3">
      <w:pPr>
        <w:spacing w:before="120" w:after="120"/>
        <w:rPr>
          <w:szCs w:val="24"/>
        </w:rPr>
      </w:pPr>
      <w:r w:rsidRPr="005C571C">
        <w:rPr>
          <w:i/>
          <w:iCs/>
          <w:szCs w:val="24"/>
        </w:rPr>
        <w:t>R.</w:t>
      </w:r>
      <w:r w:rsidRPr="005C571C">
        <w:rPr>
          <w:szCs w:val="24"/>
        </w:rPr>
        <w:t xml:space="preserve"> c. </w:t>
      </w:r>
      <w:r w:rsidRPr="005C571C">
        <w:rPr>
          <w:i/>
          <w:iCs/>
          <w:szCs w:val="24"/>
        </w:rPr>
        <w:t>Proulx</w:t>
      </w:r>
      <w:r w:rsidRPr="005C571C">
        <w:rPr>
          <w:szCs w:val="24"/>
        </w:rPr>
        <w:t>, 2000 CSC 5</w:t>
      </w:r>
    </w:p>
    <w:p w14:paraId="29AF0861" w14:textId="0C77B8D7" w:rsidR="00DB39EE" w:rsidRPr="00815FD3" w:rsidRDefault="00DB39EE" w:rsidP="00815FD3">
      <w:pPr>
        <w:spacing w:before="120" w:after="120"/>
        <w:rPr>
          <w:szCs w:val="24"/>
        </w:rPr>
      </w:pPr>
      <w:r w:rsidRPr="00DB39EE">
        <w:rPr>
          <w:i/>
          <w:iCs/>
          <w:szCs w:val="24"/>
        </w:rPr>
        <w:t>R</w:t>
      </w:r>
      <w:r>
        <w:rPr>
          <w:szCs w:val="24"/>
        </w:rPr>
        <w:t xml:space="preserve">. c. </w:t>
      </w:r>
      <w:r w:rsidRPr="00DB39EE">
        <w:rPr>
          <w:i/>
          <w:iCs/>
          <w:szCs w:val="24"/>
        </w:rPr>
        <w:t>Roy</w:t>
      </w:r>
      <w:r>
        <w:rPr>
          <w:szCs w:val="24"/>
        </w:rPr>
        <w:t>, 2009 QCCQ 13939</w:t>
      </w:r>
    </w:p>
    <w:p w14:paraId="65C1C969" w14:textId="77777777" w:rsidR="00815FD3" w:rsidRDefault="00815FD3" w:rsidP="00815FD3">
      <w:pPr>
        <w:spacing w:before="120" w:after="120"/>
        <w:rPr>
          <w:szCs w:val="24"/>
        </w:rPr>
      </w:pPr>
      <w:r w:rsidRPr="00815FD3">
        <w:rPr>
          <w:i/>
          <w:iCs/>
          <w:szCs w:val="24"/>
        </w:rPr>
        <w:t>R.</w:t>
      </w:r>
      <w:r w:rsidRPr="00815FD3">
        <w:rPr>
          <w:szCs w:val="24"/>
        </w:rPr>
        <w:t xml:space="preserve"> c. </w:t>
      </w:r>
      <w:r w:rsidRPr="00815FD3">
        <w:rPr>
          <w:i/>
          <w:iCs/>
          <w:szCs w:val="24"/>
        </w:rPr>
        <w:t>Sklivas</w:t>
      </w:r>
      <w:r w:rsidRPr="00815FD3">
        <w:rPr>
          <w:szCs w:val="24"/>
        </w:rPr>
        <w:t>, 2020 QCCQ 3905</w:t>
      </w:r>
    </w:p>
    <w:p w14:paraId="63C08215" w14:textId="418F0F41" w:rsidR="00C504BD" w:rsidRPr="00815FD3" w:rsidRDefault="00C504BD" w:rsidP="00815FD3">
      <w:pPr>
        <w:spacing w:before="120" w:after="120"/>
        <w:rPr>
          <w:szCs w:val="24"/>
        </w:rPr>
      </w:pPr>
      <w:r w:rsidRPr="005C571C">
        <w:rPr>
          <w:i/>
          <w:iCs/>
          <w:szCs w:val="24"/>
        </w:rPr>
        <w:t>R.</w:t>
      </w:r>
      <w:r w:rsidRPr="005C571C">
        <w:rPr>
          <w:szCs w:val="24"/>
        </w:rPr>
        <w:t xml:space="preserve"> c. </w:t>
      </w:r>
      <w:r w:rsidRPr="005C571C">
        <w:rPr>
          <w:i/>
          <w:iCs/>
          <w:szCs w:val="24"/>
        </w:rPr>
        <w:t>T.A.</w:t>
      </w:r>
      <w:r w:rsidRPr="005C571C">
        <w:rPr>
          <w:szCs w:val="24"/>
        </w:rPr>
        <w:t>, 2021 QCCQ 13985</w:t>
      </w:r>
    </w:p>
    <w:p w14:paraId="5658A267" w14:textId="77777777" w:rsidR="00815FD3" w:rsidRDefault="00815FD3" w:rsidP="00815FD3">
      <w:pPr>
        <w:spacing w:before="120" w:after="120"/>
        <w:rPr>
          <w:szCs w:val="24"/>
        </w:rPr>
      </w:pPr>
      <w:r w:rsidRPr="00815FD3">
        <w:rPr>
          <w:i/>
          <w:iCs/>
          <w:szCs w:val="24"/>
        </w:rPr>
        <w:t>R.</w:t>
      </w:r>
      <w:r w:rsidRPr="00815FD3">
        <w:rPr>
          <w:szCs w:val="24"/>
        </w:rPr>
        <w:t xml:space="preserve"> c. </w:t>
      </w:r>
      <w:r w:rsidRPr="00815FD3">
        <w:rPr>
          <w:i/>
          <w:iCs/>
          <w:szCs w:val="24"/>
        </w:rPr>
        <w:t>Tremblay</w:t>
      </w:r>
      <w:r w:rsidRPr="00815FD3">
        <w:rPr>
          <w:szCs w:val="24"/>
        </w:rPr>
        <w:t>, 2006 QCCQ 5294</w:t>
      </w:r>
    </w:p>
    <w:p w14:paraId="2C7BAB8C" w14:textId="0FA870AC" w:rsidR="00B3323B" w:rsidRDefault="00B3323B" w:rsidP="00815FD3">
      <w:pPr>
        <w:spacing w:before="120" w:after="120"/>
        <w:rPr>
          <w:szCs w:val="24"/>
        </w:rPr>
      </w:pPr>
      <w:r w:rsidRPr="00B3323B">
        <w:rPr>
          <w:i/>
          <w:iCs/>
          <w:szCs w:val="24"/>
        </w:rPr>
        <w:t>R</w:t>
      </w:r>
      <w:r>
        <w:rPr>
          <w:szCs w:val="24"/>
        </w:rPr>
        <w:t xml:space="preserve">. c. </w:t>
      </w:r>
      <w:r w:rsidRPr="00B3323B">
        <w:rPr>
          <w:i/>
          <w:iCs/>
          <w:szCs w:val="24"/>
        </w:rPr>
        <w:t>Turcotte</w:t>
      </w:r>
      <w:r>
        <w:rPr>
          <w:szCs w:val="24"/>
        </w:rPr>
        <w:t>, 2023 QCCS 4598</w:t>
      </w:r>
    </w:p>
    <w:p w14:paraId="7D583728" w14:textId="585F0CDC" w:rsidR="00B3323B" w:rsidRPr="00AC3855" w:rsidRDefault="00B3323B" w:rsidP="00815FD3">
      <w:pPr>
        <w:spacing w:before="120" w:after="120"/>
        <w:rPr>
          <w:szCs w:val="24"/>
        </w:rPr>
      </w:pPr>
      <w:r w:rsidRPr="00AC3855">
        <w:rPr>
          <w:i/>
          <w:iCs/>
          <w:szCs w:val="24"/>
        </w:rPr>
        <w:t>V.L.</w:t>
      </w:r>
      <w:r w:rsidRPr="00AC3855">
        <w:rPr>
          <w:szCs w:val="24"/>
        </w:rPr>
        <w:t xml:space="preserve"> c. </w:t>
      </w:r>
      <w:r w:rsidRPr="00AC3855">
        <w:rPr>
          <w:i/>
          <w:iCs/>
          <w:szCs w:val="24"/>
        </w:rPr>
        <w:t>R.</w:t>
      </w:r>
      <w:r w:rsidRPr="00AC3855">
        <w:rPr>
          <w:szCs w:val="24"/>
        </w:rPr>
        <w:t xml:space="preserve">, 2023 QCCA 449 </w:t>
      </w:r>
    </w:p>
    <w:p w14:paraId="215B1A6B" w14:textId="57052793" w:rsidR="00815FD3" w:rsidRDefault="00815FD3" w:rsidP="00293BCB">
      <w:pPr>
        <w:spacing w:before="120" w:after="120"/>
        <w:jc w:val="both"/>
        <w:rPr>
          <w:szCs w:val="24"/>
        </w:rPr>
      </w:pPr>
      <w:r w:rsidRPr="00650B1F">
        <w:rPr>
          <w:i/>
          <w:iCs/>
          <w:szCs w:val="24"/>
        </w:rPr>
        <w:t>R.</w:t>
      </w:r>
      <w:r w:rsidRPr="00650B1F">
        <w:rPr>
          <w:szCs w:val="24"/>
        </w:rPr>
        <w:t xml:space="preserve"> c. </w:t>
      </w:r>
      <w:r w:rsidRPr="00650B1F">
        <w:rPr>
          <w:i/>
          <w:iCs/>
          <w:szCs w:val="24"/>
        </w:rPr>
        <w:t>X</w:t>
      </w:r>
      <w:r w:rsidRPr="00650B1F">
        <w:rPr>
          <w:szCs w:val="24"/>
        </w:rPr>
        <w:t>, C. Q.</w:t>
      </w:r>
      <w:r w:rsidR="00650B1F">
        <w:rPr>
          <w:szCs w:val="24"/>
        </w:rPr>
        <w:t>,</w:t>
      </w:r>
      <w:r w:rsidRPr="00650B1F">
        <w:rPr>
          <w:szCs w:val="24"/>
        </w:rPr>
        <w:t xml:space="preserve"> district de Saint-François, localité de Sherbrooke, nos 450-01-125437-223 / 450-01-123150-216</w:t>
      </w:r>
      <w:r w:rsidR="00650B1F">
        <w:rPr>
          <w:szCs w:val="24"/>
        </w:rPr>
        <w:t>,</w:t>
      </w:r>
      <w:r w:rsidRPr="00650B1F">
        <w:rPr>
          <w:szCs w:val="24"/>
        </w:rPr>
        <w:t xml:space="preserve"> le 5 mai 2023, j. Chapdelaine (jugement non publié et caviardé en ce qui concerne le nom de l’accusé)</w:t>
      </w:r>
      <w:r w:rsidR="002C3299">
        <w:rPr>
          <w:szCs w:val="24"/>
        </w:rPr>
        <w:t xml:space="preserve">  </w:t>
      </w:r>
    </w:p>
    <w:p w14:paraId="63BD6259" w14:textId="517267CB" w:rsidR="00DB39EE" w:rsidRPr="00A13F09" w:rsidRDefault="00DB39EE" w:rsidP="00815FD3">
      <w:pPr>
        <w:spacing w:before="120" w:after="120"/>
        <w:rPr>
          <w:szCs w:val="24"/>
        </w:rPr>
      </w:pPr>
      <w:r w:rsidRPr="00DB39EE">
        <w:rPr>
          <w:i/>
          <w:iCs/>
          <w:szCs w:val="24"/>
        </w:rPr>
        <w:t>R</w:t>
      </w:r>
      <w:r>
        <w:rPr>
          <w:szCs w:val="24"/>
        </w:rPr>
        <w:t xml:space="preserve">. c. </w:t>
      </w:r>
      <w:r w:rsidRPr="00DB39EE">
        <w:rPr>
          <w:i/>
          <w:iCs/>
          <w:szCs w:val="24"/>
        </w:rPr>
        <w:t>Zawahra</w:t>
      </w:r>
      <w:r>
        <w:rPr>
          <w:szCs w:val="24"/>
        </w:rPr>
        <w:t>, 2016 QCCA 871</w:t>
      </w:r>
    </w:p>
    <w:p w14:paraId="19F0BF83" w14:textId="2C2976DA" w:rsidR="00C322FD" w:rsidRPr="00DB009D" w:rsidRDefault="00C322FD" w:rsidP="001F38B3">
      <w:pPr>
        <w:spacing w:line="480" w:lineRule="auto"/>
      </w:pPr>
    </w:p>
    <w:sectPr w:rsidR="00C322FD" w:rsidRPr="00DB009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456A" w14:textId="77777777" w:rsidR="001D4EC3" w:rsidRDefault="001D4EC3">
      <w:r>
        <w:separator/>
      </w:r>
    </w:p>
  </w:endnote>
  <w:endnote w:type="continuationSeparator" w:id="0">
    <w:p w14:paraId="47E2B5B2" w14:textId="77777777" w:rsidR="001D4EC3" w:rsidRDefault="001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E79" w14:textId="77777777" w:rsidR="00FF4C41" w:rsidRDefault="00E418AD">
    <w:pPr>
      <w:framePr w:wrap="around" w:vAnchor="text" w:hAnchor="margin" w:xAlign="right" w:y="1"/>
    </w:pPr>
    <w:r>
      <w:fldChar w:fldCharType="begin"/>
    </w:r>
    <w:r>
      <w:instrText xml:space="preserve">PAGE  </w:instrText>
    </w:r>
    <w:r>
      <w:fldChar w:fldCharType="end"/>
    </w:r>
  </w:p>
  <w:p w14:paraId="1F6F2072" w14:textId="77777777" w:rsidR="00FF4C41" w:rsidRDefault="00FF4C4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2A2F" w14:textId="77777777" w:rsidR="0054026B" w:rsidRDefault="005402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6681" w14:textId="77777777" w:rsidR="0054026B" w:rsidRDefault="005402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C97E" w14:textId="77777777" w:rsidR="001D4EC3" w:rsidRDefault="001D4EC3">
      <w:r>
        <w:separator/>
      </w:r>
    </w:p>
  </w:footnote>
  <w:footnote w:type="continuationSeparator" w:id="0">
    <w:p w14:paraId="62E0ADEA" w14:textId="77777777" w:rsidR="001D4EC3" w:rsidRDefault="001D4EC3">
      <w:r>
        <w:continuationSeparator/>
      </w:r>
    </w:p>
  </w:footnote>
  <w:footnote w:id="1">
    <w:p w14:paraId="62CB20E1" w14:textId="1F64906A" w:rsidR="006433AF" w:rsidRDefault="006433AF">
      <w:pPr>
        <w:pStyle w:val="Notedebasdepage"/>
      </w:pPr>
      <w:r>
        <w:rPr>
          <w:rStyle w:val="Appelnotedebasdep"/>
        </w:rPr>
        <w:footnoteRef/>
      </w:r>
      <w:r>
        <w:t xml:space="preserve"> </w:t>
      </w:r>
      <w:r>
        <w:tab/>
        <w:t xml:space="preserve">La décision, rendue oralement le 8 juillet 2024, est retouchée uniquement pour améliorer la présentation et la compréhension, tel que l’autorise la Cour d’appel dans </w:t>
      </w:r>
      <w:r>
        <w:rPr>
          <w:i/>
        </w:rPr>
        <w:t xml:space="preserve">Kellogg’s Company of Canada </w:t>
      </w:r>
      <w:r>
        <w:t xml:space="preserve">c. </w:t>
      </w:r>
      <w:r>
        <w:rPr>
          <w:i/>
        </w:rPr>
        <w:t>Procureur Général du Québec</w:t>
      </w:r>
      <w:r>
        <w:t xml:space="preserve">, [1978] C.A. 258. En cas de divergence entre les deux versions, le jugement oral aura évidemment préséance : </w:t>
      </w:r>
      <w:r>
        <w:rPr>
          <w:i/>
        </w:rPr>
        <w:t xml:space="preserve">R. </w:t>
      </w:r>
      <w:r>
        <w:t xml:space="preserve">c. </w:t>
      </w:r>
      <w:r>
        <w:rPr>
          <w:i/>
        </w:rPr>
        <w:t>Guzoraky</w:t>
      </w:r>
      <w:r>
        <w:t xml:space="preserve">, 2021 QCCA 1788; </w:t>
      </w:r>
      <w:r>
        <w:rPr>
          <w:i/>
        </w:rPr>
        <w:t>Directeur des poursuites criminelles et pénales</w:t>
      </w:r>
      <w:r>
        <w:t xml:space="preserve"> c. </w:t>
      </w:r>
      <w:r>
        <w:rPr>
          <w:i/>
        </w:rPr>
        <w:t>3095-2899 Québec Inc.</w:t>
      </w:r>
      <w:r>
        <w:t>, 2021 QCCA 1222.</w:t>
      </w:r>
    </w:p>
  </w:footnote>
  <w:footnote w:id="2">
    <w:p w14:paraId="4A078592" w14:textId="066870A2" w:rsidR="00C322FD" w:rsidRDefault="00C322FD">
      <w:pPr>
        <w:pStyle w:val="Notedebasdepage"/>
      </w:pPr>
      <w:r>
        <w:rPr>
          <w:rStyle w:val="Appelnotedebasdep"/>
        </w:rPr>
        <w:footnoteRef/>
      </w:r>
      <w:r>
        <w:t xml:space="preserve"> </w:t>
      </w:r>
      <w:r w:rsidR="00D80E96">
        <w:tab/>
      </w:r>
      <w:r w:rsidR="0025368D">
        <w:t>La description de l’ensemble des pièces produites à l’audience se trouve à l’annexe I, jointe à la fin d</w:t>
      </w:r>
      <w:r w:rsidR="00D80E96">
        <w:t>e cette décision.</w:t>
      </w:r>
    </w:p>
  </w:footnote>
  <w:footnote w:id="3">
    <w:p w14:paraId="762590C1" w14:textId="671D18AB" w:rsidR="00B342AB" w:rsidRPr="003E1AB8" w:rsidRDefault="00B342AB">
      <w:pPr>
        <w:pStyle w:val="Notedebasdepage"/>
      </w:pPr>
      <w:r>
        <w:rPr>
          <w:rStyle w:val="Appelnotedebasdep"/>
        </w:rPr>
        <w:footnoteRef/>
      </w:r>
      <w:r w:rsidRPr="00B342AB">
        <w:t xml:space="preserve"> </w:t>
      </w:r>
      <w:r w:rsidRPr="00B342AB">
        <w:tab/>
      </w:r>
      <w:r w:rsidR="003E1AB8" w:rsidRPr="00D742A0">
        <w:t xml:space="preserve">Depuis le 14 décembre 2023, cette ligue porte dorénavant le nom de </w:t>
      </w:r>
      <w:r w:rsidR="003E1AB8" w:rsidRPr="00D742A0">
        <w:rPr>
          <w:i/>
          <w:iCs/>
        </w:rPr>
        <w:t>Ligue de hockey junior Maritimes Québec</w:t>
      </w:r>
      <w:r w:rsidR="003E1AB8" w:rsidRPr="00D742A0">
        <w:t>.</w:t>
      </w:r>
    </w:p>
  </w:footnote>
  <w:footnote w:id="4">
    <w:p w14:paraId="43534546" w14:textId="1DA15E24" w:rsidR="005A7BCD" w:rsidRPr="003A537F" w:rsidRDefault="005A7BCD">
      <w:pPr>
        <w:pStyle w:val="Notedebasdepage"/>
      </w:pPr>
      <w:r>
        <w:rPr>
          <w:rStyle w:val="Appelnotedebasdep"/>
        </w:rPr>
        <w:footnoteRef/>
      </w:r>
      <w:r>
        <w:t xml:space="preserve"> </w:t>
      </w:r>
      <w:r w:rsidR="0010457E">
        <w:tab/>
        <w:t xml:space="preserve">Janette BERTRAND, </w:t>
      </w:r>
      <w:r w:rsidR="0010457E">
        <w:rPr>
          <w:i/>
          <w:iCs/>
        </w:rPr>
        <w:t>Un homme, tout simplement</w:t>
      </w:r>
      <w:r w:rsidR="0010457E">
        <w:t xml:space="preserve">, Éd. Libre </w:t>
      </w:r>
      <w:r w:rsidR="003A537F">
        <w:t xml:space="preserve">Expression, 2021; Michel DORAIS, </w:t>
      </w:r>
      <w:r w:rsidR="003A537F">
        <w:rPr>
          <w:i/>
          <w:iCs/>
        </w:rPr>
        <w:t>Guide de bonne conduite sexuelle à l’égard des gars</w:t>
      </w:r>
      <w:r w:rsidR="003A537F">
        <w:t>, Éd. Trécarré, 2021.</w:t>
      </w:r>
    </w:p>
  </w:footnote>
  <w:footnote w:id="5">
    <w:p w14:paraId="1417FC90" w14:textId="3A7BECDA" w:rsidR="002C2EED" w:rsidRDefault="002C2EED">
      <w:pPr>
        <w:pStyle w:val="Notedebasdepage"/>
      </w:pPr>
      <w:r>
        <w:rPr>
          <w:rStyle w:val="Appelnotedebasdep"/>
        </w:rPr>
        <w:footnoteRef/>
      </w:r>
      <w:r>
        <w:t xml:space="preserve"> </w:t>
      </w:r>
      <w:r>
        <w:tab/>
        <w:t>Pièce SD-22.</w:t>
      </w:r>
    </w:p>
  </w:footnote>
  <w:footnote w:id="6">
    <w:p w14:paraId="40C455AF" w14:textId="682AB173" w:rsidR="002C2EED" w:rsidRDefault="002C2EED">
      <w:pPr>
        <w:pStyle w:val="Notedebasdepage"/>
      </w:pPr>
      <w:r>
        <w:rPr>
          <w:rStyle w:val="Appelnotedebasdep"/>
        </w:rPr>
        <w:footnoteRef/>
      </w:r>
      <w:r>
        <w:t xml:space="preserve"> </w:t>
      </w:r>
      <w:r>
        <w:tab/>
        <w:t>Statistique-99R et Stable-2007 (mise à jour 2017).</w:t>
      </w:r>
    </w:p>
  </w:footnote>
  <w:footnote w:id="7">
    <w:p w14:paraId="2BA1C036" w14:textId="0ABDCCB4" w:rsidR="005A7BCD" w:rsidRDefault="005A7BCD">
      <w:pPr>
        <w:pStyle w:val="Notedebasdepage"/>
      </w:pPr>
      <w:r>
        <w:rPr>
          <w:rStyle w:val="Appelnotedebasdep"/>
        </w:rPr>
        <w:footnoteRef/>
      </w:r>
      <w:r>
        <w:t xml:space="preserve"> </w:t>
      </w:r>
      <w:r>
        <w:tab/>
        <w:t>Pièce SD-6.</w:t>
      </w:r>
    </w:p>
  </w:footnote>
  <w:footnote w:id="8">
    <w:p w14:paraId="68F3A750" w14:textId="7C37DEB3" w:rsidR="00F27738" w:rsidRDefault="00F27738">
      <w:pPr>
        <w:pStyle w:val="Notedebasdepage"/>
      </w:pPr>
      <w:r>
        <w:rPr>
          <w:rStyle w:val="Appelnotedebasdep"/>
        </w:rPr>
        <w:footnoteRef/>
      </w:r>
      <w:r>
        <w:t xml:space="preserve"> </w:t>
      </w:r>
      <w:r w:rsidR="003A537F">
        <w:tab/>
        <w:t>Pièces SD-7 à SD-21.</w:t>
      </w:r>
    </w:p>
  </w:footnote>
  <w:footnote w:id="9">
    <w:p w14:paraId="113E65DD" w14:textId="2EF34E1D" w:rsidR="00CA10BF" w:rsidRDefault="00CA10BF">
      <w:pPr>
        <w:pStyle w:val="Notedebasdepage"/>
      </w:pPr>
      <w:r>
        <w:rPr>
          <w:rStyle w:val="Appelnotedebasdep"/>
        </w:rPr>
        <w:footnoteRef/>
      </w:r>
      <w:r>
        <w:t xml:space="preserve"> </w:t>
      </w:r>
      <w:r>
        <w:tab/>
        <w:t>Son relevé de notes du Cégep de Victoriaville est produit au dossier de la Cour sous la cote SD-24.</w:t>
      </w:r>
    </w:p>
  </w:footnote>
  <w:footnote w:id="10">
    <w:p w14:paraId="3951BD92" w14:textId="044A926D" w:rsidR="00526910" w:rsidRPr="0025115D" w:rsidRDefault="00526910">
      <w:pPr>
        <w:pStyle w:val="Notedebasdepage"/>
      </w:pPr>
      <w:r>
        <w:rPr>
          <w:rStyle w:val="Appelnotedebasdep"/>
        </w:rPr>
        <w:footnoteRef/>
      </w:r>
      <w:r w:rsidRPr="0025115D">
        <w:t xml:space="preserve"> </w:t>
      </w:r>
      <w:r w:rsidRPr="0025115D">
        <w:tab/>
        <w:t>Pièce SD-25.</w:t>
      </w:r>
    </w:p>
  </w:footnote>
  <w:footnote w:id="11">
    <w:p w14:paraId="5F2484E2" w14:textId="5BDADF87" w:rsidR="00967041" w:rsidRPr="00967041" w:rsidRDefault="00967041">
      <w:pPr>
        <w:pStyle w:val="Notedebasdepage"/>
      </w:pPr>
      <w:r>
        <w:rPr>
          <w:rStyle w:val="Appelnotedebasdep"/>
        </w:rPr>
        <w:footnoteRef/>
      </w:r>
      <w:r w:rsidRPr="00967041">
        <w:t xml:space="preserve"> </w:t>
      </w:r>
      <w:r w:rsidRPr="00967041">
        <w:tab/>
        <w:t>Voir pi</w:t>
      </w:r>
      <w:r>
        <w:t>è</w:t>
      </w:r>
      <w:r w:rsidRPr="00967041">
        <w:t>ces SD-26 à S</w:t>
      </w:r>
      <w:r>
        <w:t>D-31.</w:t>
      </w:r>
    </w:p>
  </w:footnote>
  <w:footnote w:id="12">
    <w:p w14:paraId="4CE0BBDC" w14:textId="68ED659F" w:rsidR="00C46E93" w:rsidRDefault="00C46E93" w:rsidP="00B96B4A">
      <w:pPr>
        <w:pStyle w:val="Notedebasdepage"/>
      </w:pPr>
      <w:r>
        <w:rPr>
          <w:rStyle w:val="Appelnotedebasdep"/>
        </w:rPr>
        <w:footnoteRef/>
      </w:r>
      <w:r>
        <w:t xml:space="preserve"> </w:t>
      </w:r>
      <w:r w:rsidR="00B96B4A">
        <w:tab/>
      </w:r>
      <w:r w:rsidR="00B96B4A" w:rsidRPr="008830E8">
        <w:rPr>
          <w:i/>
          <w:iCs/>
        </w:rPr>
        <w:t>R</w:t>
      </w:r>
      <w:r w:rsidR="00B96B4A">
        <w:t xml:space="preserve">. c. </w:t>
      </w:r>
      <w:r w:rsidR="00B96B4A" w:rsidRPr="008830E8">
        <w:rPr>
          <w:i/>
          <w:iCs/>
        </w:rPr>
        <w:t>Cloutier</w:t>
      </w:r>
      <w:r w:rsidR="00B96B4A" w:rsidRPr="008830E8">
        <w:rPr>
          <w:rFonts w:cs="Arial"/>
        </w:rPr>
        <w:t xml:space="preserve">, </w:t>
      </w:r>
      <w:hyperlink r:id="rId1" w:history="1">
        <w:r w:rsidR="008830E8" w:rsidRPr="008830E8">
          <w:rPr>
            <w:rStyle w:val="Hyperlien"/>
            <w:rFonts w:cs="Arial"/>
            <w:color w:val="auto"/>
            <w:u w:val="none"/>
            <w:shd w:val="clear" w:color="auto" w:fill="FFFFFF"/>
          </w:rPr>
          <w:t>2004 CanLII 48297</w:t>
        </w:r>
        <w:r w:rsidR="008830E8">
          <w:rPr>
            <w:rStyle w:val="Hyperlien"/>
            <w:rFonts w:cs="Arial"/>
            <w:color w:val="auto"/>
            <w:u w:val="none"/>
            <w:shd w:val="clear" w:color="auto" w:fill="FFFFFF"/>
          </w:rPr>
          <w:t>,</w:t>
        </w:r>
        <w:r w:rsidR="008830E8" w:rsidRPr="008830E8">
          <w:rPr>
            <w:rStyle w:val="Hyperlien"/>
            <w:rFonts w:cs="Arial"/>
            <w:color w:val="auto"/>
            <w:u w:val="none"/>
            <w:shd w:val="clear" w:color="auto" w:fill="FFFFFF"/>
          </w:rPr>
          <w:t xml:space="preserve"> </w:t>
        </w:r>
      </w:hyperlink>
      <w:r w:rsidR="00B96B4A">
        <w:t>[2005] R.J.Q. 287</w:t>
      </w:r>
      <w:r w:rsidR="008830E8">
        <w:t xml:space="preserve"> (C.Q.)</w:t>
      </w:r>
      <w:r w:rsidR="00B96B4A">
        <w:t>, par. 77</w:t>
      </w:r>
      <w:r w:rsidR="008830E8">
        <w:t>.</w:t>
      </w:r>
    </w:p>
  </w:footnote>
  <w:footnote w:id="13">
    <w:p w14:paraId="66B75712" w14:textId="664F1678" w:rsidR="00C46E93" w:rsidRDefault="00C46E93" w:rsidP="00B96B4A">
      <w:pPr>
        <w:pStyle w:val="Notedebasdepage"/>
      </w:pPr>
      <w:r>
        <w:rPr>
          <w:rStyle w:val="Appelnotedebasdep"/>
        </w:rPr>
        <w:footnoteRef/>
      </w:r>
      <w:r>
        <w:t xml:space="preserve"> </w:t>
      </w:r>
      <w:r>
        <w:tab/>
      </w:r>
      <w:r w:rsidRPr="00B96B4A">
        <w:rPr>
          <w:i/>
          <w:iCs/>
        </w:rPr>
        <w:t>S.J.</w:t>
      </w:r>
      <w:r>
        <w:t xml:space="preserve"> c. </w:t>
      </w:r>
      <w:r w:rsidR="00AB677B" w:rsidRPr="0048204F">
        <w:rPr>
          <w:i/>
          <w:iCs/>
        </w:rPr>
        <w:t>Le Roi</w:t>
      </w:r>
      <w:r>
        <w:t xml:space="preserve">, 2024 QCCA 253, par. 229; </w:t>
      </w:r>
      <w:r w:rsidRPr="00B96B4A">
        <w:rPr>
          <w:i/>
          <w:iCs/>
        </w:rPr>
        <w:t>R</w:t>
      </w:r>
      <w:r>
        <w:t xml:space="preserve">. c. </w:t>
      </w:r>
      <w:r w:rsidRPr="00B96B4A">
        <w:rPr>
          <w:i/>
          <w:iCs/>
        </w:rPr>
        <w:t>Tremblay</w:t>
      </w:r>
      <w:r>
        <w:t xml:space="preserve">, 2024 QCCA 543, par. 42; </w:t>
      </w:r>
      <w:r w:rsidRPr="00B96B4A">
        <w:rPr>
          <w:i/>
          <w:iCs/>
        </w:rPr>
        <w:t>Bazile</w:t>
      </w:r>
      <w:r>
        <w:t xml:space="preserve"> c. </w:t>
      </w:r>
      <w:r w:rsidR="00AB677B" w:rsidRPr="0048204F">
        <w:rPr>
          <w:rFonts w:cs="Arial"/>
          <w:i/>
          <w:iCs/>
          <w:color w:val="000000" w:themeColor="text1"/>
          <w:shd w:val="clear" w:color="auto" w:fill="FFFFFF"/>
        </w:rPr>
        <w:t>La Reine</w:t>
      </w:r>
      <w:r>
        <w:t>, 2022 QCCA 1009, par. 41</w:t>
      </w:r>
      <w:r w:rsidR="008D1CE1">
        <w:t xml:space="preserve"> </w:t>
      </w:r>
      <w:r w:rsidR="008D1CE1" w:rsidRPr="0048204F">
        <w:t>et</w:t>
      </w:r>
      <w:r w:rsidR="008D1CE1">
        <w:t xml:space="preserve"> </w:t>
      </w:r>
      <w:r>
        <w:t>42.</w:t>
      </w:r>
    </w:p>
  </w:footnote>
  <w:footnote w:id="14">
    <w:p w14:paraId="53919408" w14:textId="1A1D15A7" w:rsidR="005B25C9" w:rsidRDefault="005B25C9">
      <w:pPr>
        <w:pStyle w:val="Notedebasdepage"/>
      </w:pPr>
      <w:r>
        <w:rPr>
          <w:rStyle w:val="Appelnotedebasdep"/>
        </w:rPr>
        <w:footnoteRef/>
      </w:r>
      <w:r>
        <w:t xml:space="preserve"> </w:t>
      </w:r>
      <w:r w:rsidR="00B96B4A">
        <w:tab/>
      </w:r>
      <w:r w:rsidR="008830E8" w:rsidRPr="008830E8">
        <w:rPr>
          <w:i/>
          <w:iCs/>
        </w:rPr>
        <w:t>R</w:t>
      </w:r>
      <w:r w:rsidR="008830E8">
        <w:t xml:space="preserve">. c. </w:t>
      </w:r>
      <w:r w:rsidR="008830E8" w:rsidRPr="008830E8">
        <w:rPr>
          <w:i/>
          <w:iCs/>
        </w:rPr>
        <w:t>Cloutier</w:t>
      </w:r>
      <w:r w:rsidR="008830E8" w:rsidRPr="008830E8">
        <w:rPr>
          <w:rFonts w:cs="Arial"/>
        </w:rPr>
        <w:t>,</w:t>
      </w:r>
      <w:r w:rsidR="008830E8">
        <w:rPr>
          <w:rFonts w:cs="Arial"/>
        </w:rPr>
        <w:t xml:space="preserve"> préc.</w:t>
      </w:r>
      <w:r w:rsidR="00B96B4A">
        <w:t>,</w:t>
      </w:r>
      <w:r w:rsidR="008830E8">
        <w:t xml:space="preserve"> note </w:t>
      </w:r>
      <w:r w:rsidR="00AC3855">
        <w:t>1</w:t>
      </w:r>
      <w:r w:rsidR="006433AF">
        <w:t>2</w:t>
      </w:r>
      <w:r w:rsidR="008830E8">
        <w:t>,</w:t>
      </w:r>
      <w:r w:rsidR="00B96B4A">
        <w:t xml:space="preserve"> par. 77</w:t>
      </w:r>
      <w:r w:rsidR="008830E8">
        <w:t>.</w:t>
      </w:r>
    </w:p>
  </w:footnote>
  <w:footnote w:id="15">
    <w:p w14:paraId="64531976" w14:textId="77777777" w:rsidR="001F6FF0" w:rsidRPr="005B25C9" w:rsidRDefault="00E418AD" w:rsidP="001F6FF0">
      <w:pPr>
        <w:pStyle w:val="Notedebasdepage"/>
      </w:pPr>
      <w:r>
        <w:rPr>
          <w:rStyle w:val="Appelnotedebasdep"/>
        </w:rPr>
        <w:footnoteRef/>
      </w:r>
      <w:r w:rsidRPr="005B25C9">
        <w:t xml:space="preserve"> </w:t>
      </w:r>
      <w:r w:rsidRPr="005B25C9">
        <w:tab/>
      </w:r>
      <w:r w:rsidRPr="005B25C9">
        <w:rPr>
          <w:i/>
          <w:iCs/>
        </w:rPr>
        <w:t>R. </w:t>
      </w:r>
      <w:r w:rsidRPr="005B25C9">
        <w:t>c.</w:t>
      </w:r>
      <w:r w:rsidRPr="005B25C9">
        <w:rPr>
          <w:i/>
          <w:iCs/>
        </w:rPr>
        <w:t xml:space="preserve"> Fleisher</w:t>
      </w:r>
      <w:r w:rsidRPr="005B25C9">
        <w:t>, 2015 QCCA 642, par. 29.</w:t>
      </w:r>
    </w:p>
  </w:footnote>
  <w:footnote w:id="16">
    <w:p w14:paraId="6304AECA" w14:textId="77777777" w:rsidR="001F6FF0" w:rsidRDefault="00E418AD" w:rsidP="001F6FF0">
      <w:pPr>
        <w:pStyle w:val="Notedebasdepage"/>
      </w:pPr>
      <w:r>
        <w:rPr>
          <w:rStyle w:val="Appelnotedebasdep"/>
        </w:rPr>
        <w:footnoteRef/>
      </w:r>
      <w:r>
        <w:t xml:space="preserve"> </w:t>
      </w:r>
      <w:r>
        <w:tab/>
      </w:r>
      <w:r w:rsidRPr="00D51B36">
        <w:rPr>
          <w:i/>
          <w:iCs/>
        </w:rPr>
        <w:t>R</w:t>
      </w:r>
      <w:r>
        <w:t xml:space="preserve">. c. </w:t>
      </w:r>
      <w:r w:rsidRPr="00D51B36">
        <w:rPr>
          <w:i/>
          <w:iCs/>
        </w:rPr>
        <w:t>S.T</w:t>
      </w:r>
      <w:r>
        <w:t>., 2007 QCCA 1447.</w:t>
      </w:r>
    </w:p>
  </w:footnote>
  <w:footnote w:id="17">
    <w:p w14:paraId="45B25CF0" w14:textId="77777777" w:rsidR="001F6FF0" w:rsidRDefault="00E418AD" w:rsidP="001F6FF0">
      <w:pPr>
        <w:pStyle w:val="Notedebasdepage"/>
      </w:pPr>
      <w:r>
        <w:rPr>
          <w:rStyle w:val="Appelnotedebasdep"/>
        </w:rPr>
        <w:footnoteRef/>
      </w:r>
      <w:r>
        <w:t xml:space="preserve"> </w:t>
      </w:r>
      <w:r>
        <w:tab/>
      </w:r>
      <w:r w:rsidRPr="00B26F0C">
        <w:rPr>
          <w:i/>
        </w:rPr>
        <w:t>R</w:t>
      </w:r>
      <w:r>
        <w:t xml:space="preserve">. c. </w:t>
      </w:r>
      <w:r w:rsidRPr="00CD0FAE">
        <w:rPr>
          <w:i/>
        </w:rPr>
        <w:t>M</w:t>
      </w:r>
      <w:r w:rsidRPr="00E2797B">
        <w:rPr>
          <w:i/>
        </w:rPr>
        <w:t>. (C.A.)</w:t>
      </w:r>
      <w:r>
        <w:t>, [1996] 1 R</w:t>
      </w:r>
      <w:r w:rsidR="00E2797B">
        <w:t>.</w:t>
      </w:r>
      <w:r>
        <w:t>C</w:t>
      </w:r>
      <w:r w:rsidR="00E2797B">
        <w:t>.</w:t>
      </w:r>
      <w:r>
        <w:t>S</w:t>
      </w:r>
      <w:r w:rsidR="00E2797B">
        <w:t>.</w:t>
      </w:r>
      <w:r>
        <w:t> 500, par. 92.</w:t>
      </w:r>
    </w:p>
  </w:footnote>
  <w:footnote w:id="18">
    <w:p w14:paraId="66A4500E" w14:textId="77777777" w:rsidR="001F6FF0" w:rsidRDefault="00E418AD" w:rsidP="001F6FF0">
      <w:pPr>
        <w:pStyle w:val="Notedebasdepage"/>
      </w:pPr>
      <w:r>
        <w:rPr>
          <w:rStyle w:val="Appelnotedebasdep"/>
        </w:rPr>
        <w:footnoteRef/>
      </w:r>
      <w:r>
        <w:t xml:space="preserve"> </w:t>
      </w:r>
      <w:r>
        <w:tab/>
      </w:r>
      <w:r w:rsidRPr="00B617AA">
        <w:rPr>
          <w:i/>
        </w:rPr>
        <w:t>Belzile</w:t>
      </w:r>
      <w:r>
        <w:t xml:space="preserve"> c. </w:t>
      </w:r>
      <w:r w:rsidRPr="00833968">
        <w:rPr>
          <w:i/>
          <w:iCs/>
        </w:rPr>
        <w:t>La</w:t>
      </w:r>
      <w:r>
        <w:t xml:space="preserve"> </w:t>
      </w:r>
      <w:r w:rsidRPr="00B617AA">
        <w:rPr>
          <w:i/>
        </w:rPr>
        <w:t>R</w:t>
      </w:r>
      <w:r>
        <w:rPr>
          <w:i/>
        </w:rPr>
        <w:t>eine</w:t>
      </w:r>
      <w:r>
        <w:t>, 2009 QCCA 515.</w:t>
      </w:r>
    </w:p>
  </w:footnote>
  <w:footnote w:id="19">
    <w:p w14:paraId="48A0265E" w14:textId="659186E6" w:rsidR="001F6FF0" w:rsidRPr="0048204F" w:rsidRDefault="00E418AD" w:rsidP="001F6FF0">
      <w:pPr>
        <w:pStyle w:val="Notedebasdepage"/>
      </w:pPr>
      <w:r>
        <w:rPr>
          <w:rStyle w:val="Appelnotedebasdep"/>
        </w:rPr>
        <w:footnoteRef/>
      </w:r>
      <w:r>
        <w:t xml:space="preserve"> </w:t>
      </w:r>
      <w:r>
        <w:tab/>
      </w:r>
      <w:r w:rsidRPr="00B26F0C">
        <w:rPr>
          <w:i/>
        </w:rPr>
        <w:t>R</w:t>
      </w:r>
      <w:r>
        <w:t xml:space="preserve">. c. </w:t>
      </w:r>
      <w:r w:rsidRPr="00CD0FAE">
        <w:rPr>
          <w:i/>
        </w:rPr>
        <w:t>M. </w:t>
      </w:r>
      <w:r w:rsidRPr="00E2797B">
        <w:rPr>
          <w:i/>
          <w:iCs/>
        </w:rPr>
        <w:t>(C.A.)</w:t>
      </w:r>
      <w:r>
        <w:t xml:space="preserve">, </w:t>
      </w:r>
      <w:r w:rsidR="00393B17">
        <w:t xml:space="preserve">préc., note </w:t>
      </w:r>
      <w:r w:rsidR="00AC3855">
        <w:t>1</w:t>
      </w:r>
      <w:r w:rsidR="006433AF">
        <w:t>7</w:t>
      </w:r>
      <w:r w:rsidR="0048204F">
        <w:t>.</w:t>
      </w:r>
    </w:p>
  </w:footnote>
  <w:footnote w:id="20">
    <w:p w14:paraId="42ECB299" w14:textId="77777777" w:rsidR="0044435F" w:rsidRDefault="00E418AD">
      <w:pPr>
        <w:pStyle w:val="Notedebasdepage"/>
      </w:pPr>
      <w:r>
        <w:rPr>
          <w:rStyle w:val="Appelnotedebasdep"/>
        </w:rPr>
        <w:footnoteRef/>
      </w:r>
      <w:r>
        <w:t xml:space="preserve"> </w:t>
      </w:r>
      <w:r>
        <w:tab/>
      </w:r>
      <w:r w:rsidRPr="004B44A2">
        <w:rPr>
          <w:i/>
          <w:iCs/>
        </w:rPr>
        <w:t>Costa</w:t>
      </w:r>
      <w:r>
        <w:t xml:space="preserve"> c. </w:t>
      </w:r>
      <w:r w:rsidRPr="004B44A2">
        <w:rPr>
          <w:i/>
          <w:iCs/>
        </w:rPr>
        <w:t>La Reine</w:t>
      </w:r>
      <w:r>
        <w:t>, 2015 QCCA 1000, par. 97.</w:t>
      </w:r>
    </w:p>
  </w:footnote>
  <w:footnote w:id="21">
    <w:p w14:paraId="0D8C783E" w14:textId="0166DC95" w:rsidR="001F6FF0" w:rsidRDefault="00E418AD" w:rsidP="001F6FF0">
      <w:pPr>
        <w:pStyle w:val="Notedebasdepage"/>
      </w:pPr>
      <w:r>
        <w:rPr>
          <w:rStyle w:val="Appelnotedebasdep"/>
        </w:rPr>
        <w:footnoteRef/>
      </w:r>
      <w:r>
        <w:t xml:space="preserve"> </w:t>
      </w:r>
      <w:r>
        <w:tab/>
      </w:r>
      <w:r w:rsidRPr="004843AE">
        <w:rPr>
          <w:i/>
          <w:iCs/>
        </w:rPr>
        <w:t>R</w:t>
      </w:r>
      <w:r>
        <w:t xml:space="preserve">. c. </w:t>
      </w:r>
      <w:r w:rsidRPr="004843AE">
        <w:rPr>
          <w:i/>
          <w:iCs/>
        </w:rPr>
        <w:t>Lacasse</w:t>
      </w:r>
      <w:r>
        <w:t xml:space="preserve">, </w:t>
      </w:r>
      <w:r w:rsidR="00E2797B" w:rsidRPr="00AE5085">
        <w:t>2015 CSC 64</w:t>
      </w:r>
      <w:r>
        <w:t>.</w:t>
      </w:r>
    </w:p>
  </w:footnote>
  <w:footnote w:id="22">
    <w:p w14:paraId="3EF78BD2" w14:textId="463EF718" w:rsidR="00E532CB" w:rsidRPr="00E532CB" w:rsidRDefault="00E532CB" w:rsidP="008D1CE1">
      <w:pPr>
        <w:pStyle w:val="Notedebasdepage"/>
      </w:pPr>
      <w:r>
        <w:rPr>
          <w:rStyle w:val="Appelnotedebasdep"/>
        </w:rPr>
        <w:footnoteRef/>
      </w:r>
      <w:r w:rsidRPr="00E532CB">
        <w:t xml:space="preserve"> </w:t>
      </w:r>
      <w:r w:rsidRPr="00E532CB">
        <w:tab/>
      </w:r>
      <w:r w:rsidRPr="00E532CB">
        <w:rPr>
          <w:i/>
          <w:iCs/>
        </w:rPr>
        <w:t>R</w:t>
      </w:r>
      <w:r w:rsidRPr="00E532CB">
        <w:t xml:space="preserve">. c. </w:t>
      </w:r>
      <w:r w:rsidRPr="00E532CB">
        <w:rPr>
          <w:i/>
          <w:iCs/>
        </w:rPr>
        <w:t>Simard</w:t>
      </w:r>
      <w:r w:rsidRPr="00E532CB">
        <w:t>, 2024 QCCA 835, par. 63</w:t>
      </w:r>
      <w:r>
        <w:t xml:space="preserve">; </w:t>
      </w:r>
      <w:r w:rsidRPr="00EC723D">
        <w:rPr>
          <w:i/>
          <w:iCs/>
        </w:rPr>
        <w:t>R. c. Gladue</w:t>
      </w:r>
      <w:r w:rsidRPr="00EC723D">
        <w:t>, [1999] 1 R.C.S. 688</w:t>
      </w:r>
      <w:r>
        <w:t xml:space="preserve">, par. 80 [soulignement dans l’original]; </w:t>
      </w:r>
      <w:r w:rsidRPr="00230CBF">
        <w:rPr>
          <w:i/>
          <w:iCs/>
        </w:rPr>
        <w:t xml:space="preserve">V.L. </w:t>
      </w:r>
      <w:r w:rsidRPr="00472AC4">
        <w:t>c.</w:t>
      </w:r>
      <w:r w:rsidRPr="00230CBF">
        <w:rPr>
          <w:i/>
          <w:iCs/>
        </w:rPr>
        <w:t xml:space="preserve"> </w:t>
      </w:r>
      <w:r w:rsidR="00472AC4" w:rsidRPr="0048204F">
        <w:rPr>
          <w:i/>
          <w:iCs/>
        </w:rPr>
        <w:t>Le Roi</w:t>
      </w:r>
      <w:r w:rsidRPr="00230CBF">
        <w:t>, 2023 QCCA 449</w:t>
      </w:r>
      <w:r>
        <w:t>, par. 42, autorisation d’appel refusée n</w:t>
      </w:r>
      <w:r w:rsidRPr="00C73C79">
        <w:rPr>
          <w:vertAlign w:val="superscript"/>
        </w:rPr>
        <w:t>o</w:t>
      </w:r>
      <w:r>
        <w:t> 40767.</w:t>
      </w:r>
    </w:p>
  </w:footnote>
  <w:footnote w:id="23">
    <w:p w14:paraId="60EDA223" w14:textId="5F564503" w:rsidR="001F6FF0" w:rsidRPr="00E532CB" w:rsidRDefault="00E418AD" w:rsidP="008C0A51">
      <w:pPr>
        <w:pStyle w:val="Notedebasdepage"/>
        <w:rPr>
          <w:lang w:val="en-CA"/>
        </w:rPr>
      </w:pPr>
      <w:r>
        <w:rPr>
          <w:rStyle w:val="Appelnotedebasdep"/>
        </w:rPr>
        <w:footnoteRef/>
      </w:r>
      <w:r w:rsidRPr="00E532CB">
        <w:rPr>
          <w:lang w:val="en-CA"/>
        </w:rPr>
        <w:t xml:space="preserve"> </w:t>
      </w:r>
      <w:bookmarkStart w:id="0" w:name="_Hlk137739815"/>
      <w:r w:rsidR="000B244F" w:rsidRPr="00E532CB">
        <w:rPr>
          <w:lang w:val="en-CA"/>
        </w:rPr>
        <w:tab/>
      </w:r>
      <w:bookmarkEnd w:id="0"/>
      <w:r w:rsidR="008C0A51" w:rsidRPr="008638D1">
        <w:rPr>
          <w:i/>
          <w:iCs/>
          <w:lang w:val="en-CA"/>
        </w:rPr>
        <w:t>R</w:t>
      </w:r>
      <w:r w:rsidR="008C0A51" w:rsidRPr="008638D1">
        <w:rPr>
          <w:lang w:val="en-CA"/>
        </w:rPr>
        <w:t xml:space="preserve">. c. </w:t>
      </w:r>
      <w:r w:rsidR="008C0A51" w:rsidRPr="008638D1">
        <w:rPr>
          <w:i/>
          <w:iCs/>
          <w:lang w:val="en-CA"/>
        </w:rPr>
        <w:t>Friesen</w:t>
      </w:r>
      <w:r w:rsidR="008C0A51" w:rsidRPr="008638D1">
        <w:rPr>
          <w:lang w:val="en-CA"/>
        </w:rPr>
        <w:t xml:space="preserve">, </w:t>
      </w:r>
      <w:r w:rsidR="008C0A51" w:rsidRPr="00AE5085">
        <w:rPr>
          <w:lang w:val="en-CA"/>
        </w:rPr>
        <w:t>2020 CSC 9</w:t>
      </w:r>
      <w:r w:rsidR="008C0A51" w:rsidRPr="008638D1">
        <w:rPr>
          <w:lang w:val="en-CA"/>
        </w:rPr>
        <w:t>.</w:t>
      </w:r>
    </w:p>
  </w:footnote>
  <w:footnote w:id="24">
    <w:p w14:paraId="225A80B9" w14:textId="5B5B8652" w:rsidR="00745B3A" w:rsidRPr="00D90F35" w:rsidRDefault="00745B3A">
      <w:pPr>
        <w:pStyle w:val="Notedebasdepage"/>
        <w:rPr>
          <w:lang w:val="en-CA"/>
        </w:rPr>
      </w:pPr>
      <w:r>
        <w:rPr>
          <w:rStyle w:val="Appelnotedebasdep"/>
        </w:rPr>
        <w:footnoteRef/>
      </w:r>
      <w:r w:rsidRPr="00D90F35">
        <w:rPr>
          <w:lang w:val="en-CA"/>
        </w:rPr>
        <w:t xml:space="preserve"> </w:t>
      </w:r>
      <w:r w:rsidRPr="00D90F35">
        <w:rPr>
          <w:lang w:val="en-CA"/>
        </w:rPr>
        <w:tab/>
        <w:t>Article 271 a) C.cr.</w:t>
      </w:r>
    </w:p>
  </w:footnote>
  <w:footnote w:id="25">
    <w:p w14:paraId="766E81D1" w14:textId="35FF1996" w:rsidR="00D862B8" w:rsidRPr="005A16B1" w:rsidRDefault="00D862B8">
      <w:pPr>
        <w:pStyle w:val="Notedebasdepage"/>
        <w:rPr>
          <w:rFonts w:cs="Arial"/>
        </w:rPr>
      </w:pPr>
      <w:r>
        <w:rPr>
          <w:rStyle w:val="Appelnotedebasdep"/>
        </w:rPr>
        <w:footnoteRef/>
      </w:r>
      <w:r>
        <w:t xml:space="preserve"> </w:t>
      </w:r>
      <w:r>
        <w:tab/>
      </w:r>
      <w:r w:rsidR="005A16B1" w:rsidRPr="005A16B1">
        <w:rPr>
          <w:rFonts w:cs="Arial"/>
          <w:i/>
          <w:iCs/>
          <w:shd w:val="clear" w:color="auto" w:fill="FFFFFF"/>
        </w:rPr>
        <w:t>Loi modifiant le Code criminel et la Loi réglementant certaines drogues et autres substances,</w:t>
      </w:r>
      <w:r w:rsidR="0048727D">
        <w:rPr>
          <w:rFonts w:cs="Arial"/>
          <w:i/>
          <w:iCs/>
          <w:shd w:val="clear" w:color="auto" w:fill="FFFFFF"/>
        </w:rPr>
        <w:t xml:space="preserve"> </w:t>
      </w:r>
      <w:r w:rsidR="0048727D">
        <w:rPr>
          <w:rFonts w:cs="Arial"/>
          <w:shd w:val="clear" w:color="auto" w:fill="FFFFFF"/>
        </w:rPr>
        <w:t>L.C. 2022, c.15,</w:t>
      </w:r>
      <w:r w:rsidR="005A16B1" w:rsidRPr="005A16B1">
        <w:rPr>
          <w:rFonts w:cs="Arial"/>
          <w:i/>
          <w:iCs/>
          <w:shd w:val="clear" w:color="auto" w:fill="FFFFFF"/>
        </w:rPr>
        <w:t xml:space="preserve"> art. 14(1) et 14(2).</w:t>
      </w:r>
      <w:r w:rsidR="005A16B1" w:rsidRPr="005A16B1">
        <w:rPr>
          <w:rFonts w:cs="Arial"/>
          <w:shd w:val="clear" w:color="auto" w:fill="FFFFFF"/>
        </w:rPr>
        <w:t> L’impossibilité pour un délinquant de bénéficier d’un emprisonnement avec sursis pour l’infraction d’agression sexuelle poursuivie par mise en accusation est abolie.</w:t>
      </w:r>
    </w:p>
  </w:footnote>
  <w:footnote w:id="26">
    <w:p w14:paraId="01DF0036" w14:textId="67780B61" w:rsidR="00CB5A0B" w:rsidRDefault="00CB5A0B">
      <w:pPr>
        <w:pStyle w:val="Notedebasdepage"/>
      </w:pPr>
      <w:r>
        <w:rPr>
          <w:rStyle w:val="Appelnotedebasdep"/>
        </w:rPr>
        <w:footnoteRef/>
      </w:r>
      <w:r>
        <w:t xml:space="preserve"> </w:t>
      </w:r>
      <w:r>
        <w:tab/>
        <w:t>Article 162 (1)(5)a) C.cr.</w:t>
      </w:r>
    </w:p>
  </w:footnote>
  <w:footnote w:id="27">
    <w:p w14:paraId="262EBEEC" w14:textId="267E8ECD" w:rsidR="0010443A" w:rsidRDefault="0010443A">
      <w:pPr>
        <w:pStyle w:val="Notedebasdepage"/>
      </w:pPr>
      <w:r>
        <w:rPr>
          <w:rStyle w:val="Appelnotedebasdep"/>
        </w:rPr>
        <w:footnoteRef/>
      </w:r>
      <w:r>
        <w:t xml:space="preserve"> </w:t>
      </w:r>
      <w:r>
        <w:tab/>
        <w:t>Article 162 (4)(5)a) C.cr.</w:t>
      </w:r>
    </w:p>
  </w:footnote>
  <w:footnote w:id="28">
    <w:p w14:paraId="2BC6AD36" w14:textId="7C332B2A" w:rsidR="0038154E" w:rsidRDefault="0038154E" w:rsidP="0038154E">
      <w:pPr>
        <w:pStyle w:val="Notedebasdepage"/>
      </w:pPr>
      <w:r>
        <w:rPr>
          <w:rStyle w:val="Appelnotedebasdep"/>
        </w:rPr>
        <w:footnoteRef/>
      </w:r>
      <w:r>
        <w:t xml:space="preserve"> </w:t>
      </w:r>
      <w:r w:rsidR="005A16B1">
        <w:tab/>
      </w:r>
      <w:r w:rsidR="005A16B1">
        <w:rPr>
          <w:i/>
          <w:iCs/>
        </w:rPr>
        <w:t>R</w:t>
      </w:r>
      <w:r w:rsidR="005A16B1">
        <w:t xml:space="preserve">. c. </w:t>
      </w:r>
      <w:r w:rsidR="005A16B1">
        <w:rPr>
          <w:i/>
          <w:iCs/>
        </w:rPr>
        <w:t>L. (J</w:t>
      </w:r>
      <w:r w:rsidR="005A16B1" w:rsidRPr="00A8440E">
        <w:rPr>
          <w:i/>
          <w:iCs/>
        </w:rPr>
        <w:t>.-</w:t>
      </w:r>
      <w:r w:rsidR="005A16B1">
        <w:rPr>
          <w:i/>
          <w:iCs/>
        </w:rPr>
        <w:t>J.)</w:t>
      </w:r>
      <w:r w:rsidR="005A16B1">
        <w:t>, 1998 CanLII 12722 (QC CA).</w:t>
      </w:r>
    </w:p>
  </w:footnote>
  <w:footnote w:id="29">
    <w:p w14:paraId="2637D03D" w14:textId="042AF362" w:rsidR="005B64A2" w:rsidRDefault="005B64A2" w:rsidP="005B64A2">
      <w:pPr>
        <w:pStyle w:val="Notedebasdepage"/>
      </w:pPr>
      <w:r>
        <w:rPr>
          <w:rStyle w:val="Appelnotedebasdep"/>
        </w:rPr>
        <w:footnoteRef/>
      </w:r>
      <w:r>
        <w:t xml:space="preserve"> </w:t>
      </w:r>
      <w:r>
        <w:tab/>
      </w:r>
      <w:r w:rsidRPr="005A16B1">
        <w:rPr>
          <w:i/>
          <w:iCs/>
        </w:rPr>
        <w:t>Blondeau</w:t>
      </w:r>
      <w:r>
        <w:t xml:space="preserve"> c. </w:t>
      </w:r>
      <w:r w:rsidR="00AB677B" w:rsidRPr="0048204F">
        <w:rPr>
          <w:rFonts w:cs="Arial"/>
          <w:i/>
          <w:iCs/>
          <w:color w:val="000000" w:themeColor="text1"/>
          <w:shd w:val="clear" w:color="auto" w:fill="FFFFFF"/>
        </w:rPr>
        <w:t>La Reine</w:t>
      </w:r>
      <w:r>
        <w:t>, 2018 QCCA 1250, par. 96</w:t>
      </w:r>
      <w:r w:rsidR="00376396">
        <w:t xml:space="preserve"> </w:t>
      </w:r>
      <w:r w:rsidR="00376396" w:rsidRPr="0048204F">
        <w:t>et</w:t>
      </w:r>
      <w:r>
        <w:t xml:space="preserve"> 100.</w:t>
      </w:r>
    </w:p>
  </w:footnote>
  <w:footnote w:id="30">
    <w:p w14:paraId="66841E0F" w14:textId="77777777" w:rsidR="00FB03F4" w:rsidRDefault="00FB03F4" w:rsidP="00FB03F4">
      <w:pPr>
        <w:pStyle w:val="Notedebasdepage"/>
      </w:pPr>
      <w:r>
        <w:rPr>
          <w:rStyle w:val="Appelnotedebasdep"/>
        </w:rPr>
        <w:footnoteRef/>
      </w:r>
      <w:r>
        <w:t xml:space="preserve"> </w:t>
      </w:r>
      <w:r>
        <w:tab/>
        <w:t>Trame factuelle au soutien des plaidoyers de culpabilité, par. 20.</w:t>
      </w:r>
    </w:p>
  </w:footnote>
  <w:footnote w:id="31">
    <w:p w14:paraId="3302D4AE" w14:textId="2B5D0D89" w:rsidR="00FA5096" w:rsidRPr="008C0A51" w:rsidRDefault="00FA5096" w:rsidP="008C0A51">
      <w:pPr>
        <w:pStyle w:val="Notedebasdepage"/>
      </w:pPr>
      <w:r>
        <w:rPr>
          <w:rStyle w:val="Appelnotedebasdep"/>
        </w:rPr>
        <w:footnoteRef/>
      </w:r>
      <w:r w:rsidRPr="008C0A51">
        <w:t xml:space="preserve"> </w:t>
      </w:r>
      <w:r w:rsidRPr="008C0A51">
        <w:tab/>
      </w:r>
      <w:r w:rsidR="008C0A51" w:rsidRPr="008C0A51">
        <w:rPr>
          <w:i/>
          <w:iCs/>
        </w:rPr>
        <w:t>R</w:t>
      </w:r>
      <w:r w:rsidR="008C0A51" w:rsidRPr="008C0A51">
        <w:t xml:space="preserve">. c. </w:t>
      </w:r>
      <w:r w:rsidR="008C0A51" w:rsidRPr="008C0A51">
        <w:rPr>
          <w:i/>
          <w:iCs/>
        </w:rPr>
        <w:t>Friesen</w:t>
      </w:r>
      <w:r w:rsidR="008C0A51" w:rsidRPr="008C0A51">
        <w:t xml:space="preserve">, préc., note </w:t>
      </w:r>
      <w:r w:rsidR="00AC3855">
        <w:t>2</w:t>
      </w:r>
      <w:r w:rsidR="006433AF">
        <w:t>3</w:t>
      </w:r>
      <w:r>
        <w:t>, par. 139</w:t>
      </w:r>
      <w:r w:rsidR="00472AC4">
        <w:t>.</w:t>
      </w:r>
    </w:p>
  </w:footnote>
  <w:footnote w:id="32">
    <w:p w14:paraId="0FE9712B" w14:textId="41DE87F7" w:rsidR="00C356E7" w:rsidRDefault="00C356E7" w:rsidP="005A16B1">
      <w:pPr>
        <w:pStyle w:val="Notedebasdepage"/>
      </w:pPr>
      <w:r>
        <w:rPr>
          <w:rStyle w:val="Appelnotedebasdep"/>
        </w:rPr>
        <w:footnoteRef/>
      </w:r>
      <w:r>
        <w:t xml:space="preserve"> </w:t>
      </w:r>
      <w:r w:rsidR="005A16B1">
        <w:tab/>
        <w:t>Trame factuelle au soutien des plaidoyers de culpabilité, par. 4.</w:t>
      </w:r>
    </w:p>
  </w:footnote>
  <w:footnote w:id="33">
    <w:p w14:paraId="09A727D6" w14:textId="7615A689" w:rsidR="00C356E7" w:rsidRDefault="00C356E7" w:rsidP="00C356E7">
      <w:pPr>
        <w:pStyle w:val="Notedebasdepage"/>
      </w:pPr>
      <w:r>
        <w:rPr>
          <w:rStyle w:val="Appelnotedebasdep"/>
        </w:rPr>
        <w:footnoteRef/>
      </w:r>
      <w:r>
        <w:t xml:space="preserve"> </w:t>
      </w:r>
      <w:r w:rsidR="005A16B1">
        <w:tab/>
      </w:r>
      <w:r w:rsidR="005A16B1" w:rsidRPr="00B7224F">
        <w:rPr>
          <w:i/>
          <w:iCs/>
        </w:rPr>
        <w:t>Id</w:t>
      </w:r>
      <w:r w:rsidR="005A16B1">
        <w:t>., par. 7.</w:t>
      </w:r>
    </w:p>
  </w:footnote>
  <w:footnote w:id="34">
    <w:p w14:paraId="6CAFEC78" w14:textId="60C689FF" w:rsidR="00C356E7" w:rsidRDefault="00C356E7" w:rsidP="00C356E7">
      <w:pPr>
        <w:pStyle w:val="Notedebasdepage"/>
      </w:pPr>
      <w:r>
        <w:rPr>
          <w:rStyle w:val="Appelnotedebasdep"/>
        </w:rPr>
        <w:footnoteRef/>
      </w:r>
      <w:r>
        <w:t xml:space="preserve"> </w:t>
      </w:r>
      <w:r w:rsidR="005A16B1">
        <w:tab/>
      </w:r>
      <w:r w:rsidR="005A16B1" w:rsidRPr="00B7224F">
        <w:rPr>
          <w:i/>
          <w:iCs/>
        </w:rPr>
        <w:t>Id</w:t>
      </w:r>
      <w:r w:rsidR="005A16B1">
        <w:t xml:space="preserve">., par. </w:t>
      </w:r>
      <w:r w:rsidR="00D232CE">
        <w:t>9.</w:t>
      </w:r>
    </w:p>
  </w:footnote>
  <w:footnote w:id="35">
    <w:p w14:paraId="5BA7463A" w14:textId="1BD1FB4A" w:rsidR="00D232CE" w:rsidRDefault="00D232CE">
      <w:pPr>
        <w:pStyle w:val="Notedebasdepage"/>
      </w:pPr>
      <w:r>
        <w:rPr>
          <w:rStyle w:val="Appelnotedebasdep"/>
        </w:rPr>
        <w:footnoteRef/>
      </w:r>
      <w:r>
        <w:t xml:space="preserve"> </w:t>
      </w:r>
      <w:r>
        <w:tab/>
      </w:r>
      <w:r w:rsidRPr="00B7224F">
        <w:rPr>
          <w:i/>
          <w:iCs/>
        </w:rPr>
        <w:t>Id</w:t>
      </w:r>
      <w:r>
        <w:t>., par. 10.</w:t>
      </w:r>
    </w:p>
  </w:footnote>
  <w:footnote w:id="36">
    <w:p w14:paraId="21F001AB" w14:textId="458BD3EA" w:rsidR="00D232CE" w:rsidRDefault="00D232CE">
      <w:pPr>
        <w:pStyle w:val="Notedebasdepage"/>
      </w:pPr>
      <w:r>
        <w:rPr>
          <w:rStyle w:val="Appelnotedebasdep"/>
        </w:rPr>
        <w:footnoteRef/>
      </w:r>
      <w:r>
        <w:t xml:space="preserve"> </w:t>
      </w:r>
      <w:r>
        <w:tab/>
      </w:r>
      <w:r w:rsidRPr="00B7224F">
        <w:rPr>
          <w:i/>
          <w:iCs/>
        </w:rPr>
        <w:t>Id</w:t>
      </w:r>
      <w:r>
        <w:t>.</w:t>
      </w:r>
      <w:r w:rsidR="007C5F9A" w:rsidRPr="0048204F">
        <w:t>,</w:t>
      </w:r>
      <w:r>
        <w:t xml:space="preserve"> par. 12.</w:t>
      </w:r>
    </w:p>
  </w:footnote>
  <w:footnote w:id="37">
    <w:p w14:paraId="340FAC7C" w14:textId="77777777" w:rsidR="00C356E7" w:rsidRDefault="00C356E7" w:rsidP="00C356E7">
      <w:pPr>
        <w:pStyle w:val="Notedebasdepage"/>
      </w:pPr>
      <w:r>
        <w:rPr>
          <w:rStyle w:val="Appelnotedebasdep"/>
        </w:rPr>
        <w:footnoteRef/>
      </w:r>
      <w:r>
        <w:t xml:space="preserve"> </w:t>
      </w:r>
      <w:r>
        <w:tab/>
        <w:t xml:space="preserve">Pièce SP-1. </w:t>
      </w:r>
      <w:r w:rsidRPr="00C71D77">
        <w:t>À cet égard, le Tribunal partage la perception de la victime qu’elle a été piégée.</w:t>
      </w:r>
    </w:p>
  </w:footnote>
  <w:footnote w:id="38">
    <w:p w14:paraId="0BE35CCD" w14:textId="0FBF3B80" w:rsidR="00C356E7" w:rsidRDefault="00C356E7" w:rsidP="00C356E7">
      <w:pPr>
        <w:pStyle w:val="Notedebasdepage"/>
      </w:pPr>
      <w:r>
        <w:rPr>
          <w:rStyle w:val="Appelnotedebasdep"/>
        </w:rPr>
        <w:footnoteRef/>
      </w:r>
      <w:r>
        <w:t xml:space="preserve"> </w:t>
      </w:r>
      <w:r w:rsidR="00D232CE">
        <w:tab/>
      </w:r>
      <w:r w:rsidR="00D232CE" w:rsidRPr="00D232CE">
        <w:rPr>
          <w:i/>
          <w:iCs/>
        </w:rPr>
        <w:t>Pierre</w:t>
      </w:r>
      <w:r w:rsidR="00D232CE">
        <w:t xml:space="preserve"> c. </w:t>
      </w:r>
      <w:r w:rsidR="00162F53" w:rsidRPr="0048204F">
        <w:rPr>
          <w:i/>
          <w:iCs/>
        </w:rPr>
        <w:t>Le Roi</w:t>
      </w:r>
      <w:r w:rsidR="00D232CE">
        <w:t>, 2023 QCCA 84.</w:t>
      </w:r>
    </w:p>
  </w:footnote>
  <w:footnote w:id="39">
    <w:p w14:paraId="2C6BDEC5" w14:textId="77777777" w:rsidR="00C356E7" w:rsidRDefault="00C356E7" w:rsidP="00C356E7">
      <w:pPr>
        <w:pStyle w:val="Notedebasdepage"/>
      </w:pPr>
      <w:r>
        <w:rPr>
          <w:rStyle w:val="Appelnotedebasdep"/>
        </w:rPr>
        <w:footnoteRef/>
      </w:r>
      <w:r>
        <w:t xml:space="preserve"> </w:t>
      </w:r>
      <w:r>
        <w:tab/>
      </w:r>
      <w:r w:rsidRPr="0048204F">
        <w:rPr>
          <w:i/>
          <w:iCs/>
        </w:rPr>
        <w:t>Id.</w:t>
      </w:r>
      <w:r>
        <w:t>, par. 35.</w:t>
      </w:r>
    </w:p>
  </w:footnote>
  <w:footnote w:id="40">
    <w:p w14:paraId="59B7EDF7" w14:textId="7BD3680C" w:rsidR="00F6405D" w:rsidRDefault="00F6405D">
      <w:pPr>
        <w:pStyle w:val="Notedebasdepage"/>
      </w:pPr>
      <w:r>
        <w:rPr>
          <w:rStyle w:val="Appelnotedebasdep"/>
        </w:rPr>
        <w:footnoteRef/>
      </w:r>
      <w:r>
        <w:t xml:space="preserve"> </w:t>
      </w:r>
      <w:r>
        <w:tab/>
      </w:r>
      <w:r w:rsidRPr="007B74E7">
        <w:rPr>
          <w:i/>
          <w:iCs/>
        </w:rPr>
        <w:t>R</w:t>
      </w:r>
      <w:r>
        <w:t xml:space="preserve">. c. </w:t>
      </w:r>
      <w:r w:rsidRPr="007B74E7">
        <w:rPr>
          <w:i/>
          <w:iCs/>
        </w:rPr>
        <w:t>Houle</w:t>
      </w:r>
      <w:r>
        <w:t>, 2023 QCCA 99, par. 39.</w:t>
      </w:r>
    </w:p>
  </w:footnote>
  <w:footnote w:id="41">
    <w:p w14:paraId="0742F2FF" w14:textId="4CA07630" w:rsidR="005D4F13" w:rsidRDefault="005D4F13" w:rsidP="005D4F13">
      <w:pPr>
        <w:pStyle w:val="Notedebasdepage"/>
      </w:pPr>
      <w:r>
        <w:rPr>
          <w:rStyle w:val="Appelnotedebasdep"/>
        </w:rPr>
        <w:footnoteRef/>
      </w:r>
      <w:r>
        <w:t xml:space="preserve"> </w:t>
      </w:r>
      <w:r>
        <w:tab/>
      </w:r>
      <w:r>
        <w:rPr>
          <w:i/>
          <w:iCs/>
        </w:rPr>
        <w:t xml:space="preserve">R. </w:t>
      </w:r>
      <w:r w:rsidRPr="0048204F">
        <w:t>c.</w:t>
      </w:r>
      <w:r>
        <w:rPr>
          <w:i/>
          <w:iCs/>
        </w:rPr>
        <w:t xml:space="preserve"> Bergeron</w:t>
      </w:r>
      <w:r>
        <w:t>, 2013 QCCA 7, par</w:t>
      </w:r>
      <w:r w:rsidR="0048204F">
        <w:t>.</w:t>
      </w:r>
      <w:r>
        <w:t xml:space="preserve"> 36.</w:t>
      </w:r>
    </w:p>
  </w:footnote>
  <w:footnote w:id="42">
    <w:p w14:paraId="59BF1E04" w14:textId="007F417F" w:rsidR="00D755E6" w:rsidRDefault="00D755E6">
      <w:pPr>
        <w:pStyle w:val="Notedebasdepage"/>
      </w:pPr>
      <w:r>
        <w:rPr>
          <w:rStyle w:val="Appelnotedebasdep"/>
        </w:rPr>
        <w:footnoteRef/>
      </w:r>
      <w:r>
        <w:t xml:space="preserve"> </w:t>
      </w:r>
      <w:r>
        <w:tab/>
        <w:t>Article 718.2 a) C.cr.</w:t>
      </w:r>
    </w:p>
  </w:footnote>
  <w:footnote w:id="43">
    <w:p w14:paraId="675E1712" w14:textId="17C9418B" w:rsidR="000F1E3F" w:rsidRDefault="000F1E3F">
      <w:pPr>
        <w:pStyle w:val="Notedebasdepage"/>
      </w:pPr>
      <w:r>
        <w:rPr>
          <w:rStyle w:val="Appelnotedebasdep"/>
        </w:rPr>
        <w:footnoteRef/>
      </w:r>
      <w:r>
        <w:t xml:space="preserve"> </w:t>
      </w:r>
      <w:r>
        <w:tab/>
      </w:r>
      <w:r w:rsidRPr="007B74E7">
        <w:rPr>
          <w:i/>
          <w:iCs/>
        </w:rPr>
        <w:t>R</w:t>
      </w:r>
      <w:r>
        <w:t xml:space="preserve">. c. </w:t>
      </w:r>
      <w:r w:rsidRPr="007B74E7">
        <w:rPr>
          <w:i/>
          <w:iCs/>
        </w:rPr>
        <w:t>Lacasse</w:t>
      </w:r>
      <w:r>
        <w:t xml:space="preserve">, </w:t>
      </w:r>
      <w:r w:rsidR="00DE34A6">
        <w:t>préc.</w:t>
      </w:r>
      <w:r>
        <w:t>,</w:t>
      </w:r>
      <w:r w:rsidR="00BB16AE">
        <w:t xml:space="preserve"> note 2</w:t>
      </w:r>
      <w:r w:rsidR="007F16AC">
        <w:t>1</w:t>
      </w:r>
      <w:r w:rsidR="00BB16AE">
        <w:t>,</w:t>
      </w:r>
      <w:r>
        <w:t xml:space="preserve"> par. 81; Voir également </w:t>
      </w:r>
      <w:r w:rsidRPr="007B74E7">
        <w:rPr>
          <w:i/>
          <w:iCs/>
        </w:rPr>
        <w:t>Lacelle Belec</w:t>
      </w:r>
      <w:r>
        <w:t xml:space="preserve"> c. </w:t>
      </w:r>
      <w:r w:rsidR="00AB677B" w:rsidRPr="0048204F">
        <w:rPr>
          <w:rFonts w:cs="Arial"/>
          <w:i/>
          <w:iCs/>
          <w:color w:val="000000" w:themeColor="text1"/>
          <w:shd w:val="clear" w:color="auto" w:fill="FFFFFF"/>
        </w:rPr>
        <w:t>La Reine</w:t>
      </w:r>
      <w:r>
        <w:t>, 2019 QCCA 711, par.</w:t>
      </w:r>
      <w:r w:rsidR="00CE1C86">
        <w:t> </w:t>
      </w:r>
      <w:r w:rsidR="008D4B4A">
        <w:t xml:space="preserve">65; </w:t>
      </w:r>
      <w:r w:rsidR="008D4B4A" w:rsidRPr="007B74E7">
        <w:rPr>
          <w:i/>
          <w:iCs/>
        </w:rPr>
        <w:t>R</w:t>
      </w:r>
      <w:r w:rsidR="008D4B4A">
        <w:t xml:space="preserve">. v. </w:t>
      </w:r>
      <w:r w:rsidR="008D4B4A" w:rsidRPr="007B74E7">
        <w:rPr>
          <w:i/>
          <w:iCs/>
        </w:rPr>
        <w:t>Mufuta</w:t>
      </w:r>
      <w:r w:rsidR="008D4B4A">
        <w:t>, 2020 ABCA 79, par. 25.</w:t>
      </w:r>
    </w:p>
  </w:footnote>
  <w:footnote w:id="44">
    <w:p w14:paraId="0FDF0A8B" w14:textId="330643A3" w:rsidR="00EF6A36" w:rsidRDefault="00EF6A36">
      <w:pPr>
        <w:pStyle w:val="Notedebasdepage"/>
      </w:pPr>
      <w:r>
        <w:rPr>
          <w:rStyle w:val="Appelnotedebasdep"/>
        </w:rPr>
        <w:footnoteRef/>
      </w:r>
      <w:r>
        <w:t xml:space="preserve"> </w:t>
      </w:r>
      <w:r>
        <w:tab/>
      </w:r>
      <w:r w:rsidRPr="00B9490E">
        <w:rPr>
          <w:i/>
          <w:iCs/>
        </w:rPr>
        <w:t>Blondeau</w:t>
      </w:r>
      <w:r>
        <w:t xml:space="preserve"> c. </w:t>
      </w:r>
      <w:r w:rsidR="00AB677B" w:rsidRPr="0048204F">
        <w:rPr>
          <w:rFonts w:cs="Arial"/>
          <w:i/>
          <w:iCs/>
          <w:color w:val="000000" w:themeColor="text1"/>
          <w:shd w:val="clear" w:color="auto" w:fill="FFFFFF"/>
        </w:rPr>
        <w:t>La Reine</w:t>
      </w:r>
      <w:r>
        <w:t xml:space="preserve">, </w:t>
      </w:r>
      <w:r w:rsidR="0048204F">
        <w:t xml:space="preserve">préc., note </w:t>
      </w:r>
      <w:r w:rsidR="00DE34A6">
        <w:t>2</w:t>
      </w:r>
      <w:r w:rsidR="007F16AC">
        <w:t>9</w:t>
      </w:r>
      <w:r>
        <w:t>.</w:t>
      </w:r>
    </w:p>
  </w:footnote>
  <w:footnote w:id="45">
    <w:p w14:paraId="643449C9" w14:textId="2A604976" w:rsidR="000A41C7" w:rsidRPr="008C0A51" w:rsidRDefault="000A41C7" w:rsidP="008C0A51">
      <w:pPr>
        <w:pStyle w:val="Notedebasdepage"/>
      </w:pPr>
      <w:r>
        <w:rPr>
          <w:rStyle w:val="Appelnotedebasdep"/>
        </w:rPr>
        <w:footnoteRef/>
      </w:r>
      <w:r w:rsidRPr="008C0A51">
        <w:t xml:space="preserve"> </w:t>
      </w:r>
      <w:r w:rsidRPr="008C0A51">
        <w:tab/>
      </w:r>
      <w:r w:rsidR="008C0A51" w:rsidRPr="008C0A51">
        <w:rPr>
          <w:i/>
          <w:iCs/>
        </w:rPr>
        <w:t>R</w:t>
      </w:r>
      <w:r w:rsidR="008C0A51" w:rsidRPr="008C0A51">
        <w:t xml:space="preserve">. c. </w:t>
      </w:r>
      <w:r w:rsidR="008C0A51" w:rsidRPr="008C0A51">
        <w:rPr>
          <w:i/>
          <w:iCs/>
        </w:rPr>
        <w:t>Friesen</w:t>
      </w:r>
      <w:r w:rsidR="008C0A51" w:rsidRPr="008C0A51">
        <w:t xml:space="preserve">, préc., note </w:t>
      </w:r>
      <w:r w:rsidR="00AC3855">
        <w:t>2</w:t>
      </w:r>
      <w:r w:rsidR="007F16AC">
        <w:t>3</w:t>
      </w:r>
      <w:r w:rsidR="00DC4A55">
        <w:t xml:space="preserve">, par. 138, </w:t>
      </w:r>
      <w:r w:rsidR="008C0A51" w:rsidRPr="00E0452F">
        <w:rPr>
          <w:i/>
          <w:iCs/>
        </w:rPr>
        <w:t>Lemieux</w:t>
      </w:r>
      <w:r w:rsidR="008C0A51">
        <w:t xml:space="preserve"> c. </w:t>
      </w:r>
      <w:r w:rsidR="00AB677B" w:rsidRPr="0048204F">
        <w:rPr>
          <w:rFonts w:cs="Arial"/>
          <w:i/>
          <w:iCs/>
          <w:color w:val="000000" w:themeColor="text1"/>
          <w:shd w:val="clear" w:color="auto" w:fill="FFFFFF"/>
        </w:rPr>
        <w:t>Le Roi</w:t>
      </w:r>
      <w:r w:rsidR="008C0A51">
        <w:t>, 2023 QCCA 480</w:t>
      </w:r>
      <w:r w:rsidR="00DC4A55">
        <w:t>, par. 67-69.</w:t>
      </w:r>
    </w:p>
  </w:footnote>
  <w:footnote w:id="46">
    <w:p w14:paraId="149F6AF7" w14:textId="4D166B25" w:rsidR="004830A0" w:rsidRDefault="004830A0" w:rsidP="008C0A51">
      <w:pPr>
        <w:pStyle w:val="Notedebasdepage"/>
      </w:pPr>
      <w:r>
        <w:rPr>
          <w:rStyle w:val="Appelnotedebasdep"/>
        </w:rPr>
        <w:footnoteRef/>
      </w:r>
      <w:r>
        <w:t xml:space="preserve"> </w:t>
      </w:r>
      <w:r>
        <w:tab/>
      </w:r>
      <w:r w:rsidR="008C0A51" w:rsidRPr="00F27177">
        <w:rPr>
          <w:i/>
          <w:iCs/>
        </w:rPr>
        <w:t>R</w:t>
      </w:r>
      <w:r w:rsidR="008C0A51" w:rsidRPr="00F27177">
        <w:t xml:space="preserve">. c. </w:t>
      </w:r>
      <w:r w:rsidR="008C0A51" w:rsidRPr="00F27177">
        <w:rPr>
          <w:i/>
          <w:iCs/>
        </w:rPr>
        <w:t>Friesen</w:t>
      </w:r>
      <w:r w:rsidR="008C0A51" w:rsidRPr="00F27177">
        <w:t xml:space="preserve">, préc., note </w:t>
      </w:r>
      <w:r w:rsidR="00AC3855">
        <w:t>2</w:t>
      </w:r>
      <w:r w:rsidR="007F16AC">
        <w:t>3</w:t>
      </w:r>
      <w:r>
        <w:t>, par. 139</w:t>
      </w:r>
      <w:r w:rsidR="008C0A51">
        <w:t>.</w:t>
      </w:r>
    </w:p>
  </w:footnote>
  <w:footnote w:id="47">
    <w:p w14:paraId="7523E565" w14:textId="77777777" w:rsidR="00821C95" w:rsidRDefault="00821C95" w:rsidP="00821C95">
      <w:pPr>
        <w:pStyle w:val="Notedebasdepage"/>
      </w:pPr>
      <w:r>
        <w:rPr>
          <w:rStyle w:val="Appelnotedebasdep"/>
        </w:rPr>
        <w:footnoteRef/>
      </w:r>
      <w:r>
        <w:t xml:space="preserve"> </w:t>
      </w:r>
      <w:r>
        <w:tab/>
        <w:t>Ce facteur est lié à l’enregistrement vidéo de la victime et n’est donc retenu qu’à l’encontre de Nicolas Daigle.</w:t>
      </w:r>
    </w:p>
  </w:footnote>
  <w:footnote w:id="48">
    <w:p w14:paraId="2C99BB3F" w14:textId="41864A17" w:rsidR="005267FD" w:rsidRPr="00874E24" w:rsidRDefault="005267FD">
      <w:pPr>
        <w:pStyle w:val="Notedebasdepage"/>
        <w:rPr>
          <w:rFonts w:cs="Arial"/>
          <w:color w:val="000000" w:themeColor="text1"/>
        </w:rPr>
      </w:pPr>
      <w:r>
        <w:rPr>
          <w:rStyle w:val="Appelnotedebasdep"/>
        </w:rPr>
        <w:footnoteRef/>
      </w:r>
      <w:r>
        <w:t xml:space="preserve"> </w:t>
      </w:r>
      <w:r>
        <w:tab/>
      </w:r>
      <w:r w:rsidRPr="00DC4FE8">
        <w:rPr>
          <w:i/>
          <w:iCs/>
        </w:rPr>
        <w:t>Fruitier</w:t>
      </w:r>
      <w:r>
        <w:t xml:space="preserve"> c. </w:t>
      </w:r>
      <w:r w:rsidR="00162F53" w:rsidRPr="0048204F">
        <w:rPr>
          <w:rFonts w:cs="Arial"/>
          <w:i/>
          <w:iCs/>
          <w:color w:val="000000" w:themeColor="text1"/>
          <w:shd w:val="clear" w:color="auto" w:fill="FFFFFF"/>
        </w:rPr>
        <w:t xml:space="preserve">Le </w:t>
      </w:r>
      <w:r w:rsidR="00AB677B" w:rsidRPr="0048204F">
        <w:rPr>
          <w:rFonts w:cs="Arial"/>
          <w:i/>
          <w:iCs/>
          <w:color w:val="000000" w:themeColor="text1"/>
          <w:shd w:val="clear" w:color="auto" w:fill="FFFFFF"/>
        </w:rPr>
        <w:t>Roi</w:t>
      </w:r>
      <w:r>
        <w:t>, 2022 QCCA 1225, par. 67-72;</w:t>
      </w:r>
      <w:r w:rsidR="00874E24">
        <w:t xml:space="preserve"> </w:t>
      </w:r>
      <w:r w:rsidR="00874E24" w:rsidRPr="00DC4FE8">
        <w:rPr>
          <w:i/>
          <w:iCs/>
        </w:rPr>
        <w:t>Harbour</w:t>
      </w:r>
      <w:r w:rsidR="00874E24">
        <w:t xml:space="preserve"> c. </w:t>
      </w:r>
      <w:r w:rsidR="00AB677B" w:rsidRPr="0048204F">
        <w:rPr>
          <w:rFonts w:cs="Arial"/>
          <w:i/>
          <w:iCs/>
          <w:color w:val="000000" w:themeColor="text1"/>
          <w:shd w:val="clear" w:color="auto" w:fill="FFFFFF"/>
        </w:rPr>
        <w:t>La Reine</w:t>
      </w:r>
      <w:r w:rsidR="00874E24">
        <w:t>, 2017 QCCA 204, par. 63-66;</w:t>
      </w:r>
      <w:r>
        <w:t xml:space="preserve"> </w:t>
      </w:r>
      <w:r w:rsidR="00874E24" w:rsidRPr="00874E24">
        <w:rPr>
          <w:rFonts w:cs="Arial"/>
          <w:i/>
          <w:iCs/>
          <w:color w:val="000000" w:themeColor="text1"/>
          <w:shd w:val="clear" w:color="auto" w:fill="FFFFFF"/>
        </w:rPr>
        <w:t>O’Reilly </w:t>
      </w:r>
      <w:r w:rsidR="00874E24" w:rsidRPr="00874E24">
        <w:rPr>
          <w:rFonts w:cs="Arial"/>
          <w:color w:val="000000" w:themeColor="text1"/>
          <w:shd w:val="clear" w:color="auto" w:fill="FFFFFF"/>
        </w:rPr>
        <w:t>c.</w:t>
      </w:r>
      <w:r w:rsidR="00874E24" w:rsidRPr="00874E24">
        <w:rPr>
          <w:rFonts w:cs="Arial"/>
          <w:i/>
          <w:iCs/>
          <w:color w:val="000000" w:themeColor="text1"/>
          <w:shd w:val="clear" w:color="auto" w:fill="FFFFFF"/>
        </w:rPr>
        <w:t> </w:t>
      </w:r>
      <w:r w:rsidR="00AB677B" w:rsidRPr="0048204F">
        <w:rPr>
          <w:rFonts w:cs="Arial"/>
          <w:i/>
          <w:iCs/>
          <w:color w:val="000000" w:themeColor="text1"/>
          <w:shd w:val="clear" w:color="auto" w:fill="FFFFFF"/>
        </w:rPr>
        <w:t>La Reine</w:t>
      </w:r>
      <w:r w:rsidR="00874E24" w:rsidRPr="00874E24">
        <w:rPr>
          <w:rFonts w:cs="Arial"/>
          <w:color w:val="000000" w:themeColor="text1"/>
          <w:shd w:val="clear" w:color="auto" w:fill="FFFFFF"/>
        </w:rPr>
        <w:t>, </w:t>
      </w:r>
      <w:hyperlink r:id="rId2" w:history="1">
        <w:r w:rsidR="00874E24" w:rsidRPr="00874E24">
          <w:rPr>
            <w:rStyle w:val="Hyperlien"/>
            <w:rFonts w:cs="Arial"/>
            <w:color w:val="000000" w:themeColor="text1"/>
            <w:u w:val="none"/>
            <w:shd w:val="clear" w:color="auto" w:fill="FFFFFF"/>
          </w:rPr>
          <w:t>2017 QCCA 1286</w:t>
        </w:r>
      </w:hyperlink>
      <w:r w:rsidR="00874E24" w:rsidRPr="00874E24">
        <w:rPr>
          <w:rFonts w:cs="Arial"/>
          <w:color w:val="000000" w:themeColor="text1"/>
          <w:shd w:val="clear" w:color="auto" w:fill="FFFFFF"/>
        </w:rPr>
        <w:t>, par. 39, demande d’autorisation d’appel à la Cour suprême rejetée, 7 juin 2018, n</w:t>
      </w:r>
      <w:r w:rsidR="00874E24" w:rsidRPr="00874E24">
        <w:rPr>
          <w:rFonts w:cs="Arial"/>
          <w:color w:val="000000" w:themeColor="text1"/>
          <w:shd w:val="clear" w:color="auto" w:fill="FFFFFF"/>
          <w:vertAlign w:val="superscript"/>
        </w:rPr>
        <w:t>o</w:t>
      </w:r>
      <w:r w:rsidR="00874E24" w:rsidRPr="00874E24">
        <w:rPr>
          <w:rFonts w:cs="Arial"/>
          <w:color w:val="000000" w:themeColor="text1"/>
          <w:shd w:val="clear" w:color="auto" w:fill="FFFFFF"/>
        </w:rPr>
        <w:t> 37736</w:t>
      </w:r>
      <w:r w:rsidR="00874E24">
        <w:rPr>
          <w:rFonts w:cs="Arial"/>
          <w:color w:val="000000" w:themeColor="text1"/>
          <w:shd w:val="clear" w:color="auto" w:fill="FFFFFF"/>
        </w:rPr>
        <w:t xml:space="preserve">; </w:t>
      </w:r>
      <w:r w:rsidR="00874E24" w:rsidRPr="00874E24">
        <w:rPr>
          <w:rFonts w:cs="Arial"/>
          <w:i/>
          <w:iCs/>
          <w:color w:val="000000" w:themeColor="text1"/>
        </w:rPr>
        <w:t xml:space="preserve">R. </w:t>
      </w:r>
      <w:r w:rsidR="00DC4FE8">
        <w:rPr>
          <w:rFonts w:cs="Arial"/>
          <w:color w:val="000000" w:themeColor="text1"/>
        </w:rPr>
        <w:t>c</w:t>
      </w:r>
      <w:r w:rsidR="00874E24" w:rsidRPr="00874E24">
        <w:rPr>
          <w:rFonts w:cs="Arial"/>
          <w:i/>
          <w:iCs/>
          <w:color w:val="000000" w:themeColor="text1"/>
        </w:rPr>
        <w:t>. Thibault</w:t>
      </w:r>
      <w:r w:rsidR="00874E24" w:rsidRPr="00874E24">
        <w:rPr>
          <w:rFonts w:cs="Arial"/>
          <w:color w:val="000000" w:themeColor="text1"/>
        </w:rPr>
        <w:t>, </w:t>
      </w:r>
      <w:hyperlink r:id="rId3" w:history="1">
        <w:r w:rsidR="00874E24" w:rsidRPr="00874E24">
          <w:rPr>
            <w:rFonts w:cs="Arial"/>
            <w:color w:val="000000" w:themeColor="text1"/>
          </w:rPr>
          <w:t>2016 QCCA 335</w:t>
        </w:r>
      </w:hyperlink>
      <w:r w:rsidR="00874E24" w:rsidRPr="00874E24">
        <w:rPr>
          <w:rFonts w:cs="Arial"/>
          <w:color w:val="000000" w:themeColor="text1"/>
        </w:rPr>
        <w:t>, par. </w:t>
      </w:r>
      <w:hyperlink r:id="rId4" w:anchor="par36" w:history="1">
        <w:r w:rsidR="00874E24" w:rsidRPr="00874E24">
          <w:rPr>
            <w:rFonts w:cs="Arial"/>
            <w:color w:val="000000" w:themeColor="text1"/>
          </w:rPr>
          <w:t>36-40</w:t>
        </w:r>
      </w:hyperlink>
      <w:r w:rsidR="00874E24">
        <w:rPr>
          <w:rFonts w:cs="Arial"/>
          <w:color w:val="000000" w:themeColor="text1"/>
        </w:rPr>
        <w:t>.</w:t>
      </w:r>
    </w:p>
  </w:footnote>
  <w:footnote w:id="49">
    <w:p w14:paraId="49D21E69" w14:textId="71B7DF09" w:rsidR="001F2F1C" w:rsidRDefault="001F2F1C">
      <w:pPr>
        <w:pStyle w:val="Notedebasdepage"/>
      </w:pPr>
      <w:r>
        <w:rPr>
          <w:rStyle w:val="Appelnotedebasdep"/>
        </w:rPr>
        <w:footnoteRef/>
      </w:r>
      <w:r>
        <w:t xml:space="preserve"> </w:t>
      </w:r>
      <w:r>
        <w:tab/>
        <w:t xml:space="preserve">La jurisprudence reconnaît </w:t>
      </w:r>
      <w:r w:rsidRPr="001F2F1C">
        <w:t>que</w:t>
      </w:r>
      <w:r w:rsidRPr="001F2F1C">
        <w:rPr>
          <w:rFonts w:cs="Arial"/>
          <w:color w:val="000000"/>
        </w:rPr>
        <w:t> l'état d'intoxication peut être traité tantôt comme un facteur </w:t>
      </w:r>
      <w:r w:rsidRPr="001F2F1C">
        <w:rPr>
          <w:rFonts w:cs="Arial"/>
          <w:color w:val="000000"/>
          <w:spacing w:val="-2"/>
        </w:rPr>
        <w:t>atténuant, tantôt comme un facteur aggravant, selon les circonstances.</w:t>
      </w:r>
      <w:r>
        <w:rPr>
          <w:rFonts w:cs="Arial"/>
          <w:color w:val="000000"/>
          <w:spacing w:val="-2"/>
        </w:rPr>
        <w:t xml:space="preserve"> </w:t>
      </w:r>
      <w:r w:rsidRPr="001F2F1C">
        <w:rPr>
          <w:rFonts w:cs="Arial"/>
          <w:color w:val="000000"/>
        </w:rPr>
        <w:t>Lorsqu'il s'agit de crimes violents, la consommation d'alcool sera généralement considérée comme </w:t>
      </w:r>
      <w:r w:rsidRPr="001F2F1C">
        <w:rPr>
          <w:rFonts w:cs="Arial"/>
          <w:color w:val="000000"/>
          <w:spacing w:val="-2"/>
        </w:rPr>
        <w:t>facteur aggravant ou</w:t>
      </w:r>
      <w:r w:rsidR="00CD511D">
        <w:rPr>
          <w:rFonts w:cs="Arial"/>
          <w:color w:val="000000"/>
          <w:spacing w:val="-2"/>
        </w:rPr>
        <w:t>,</w:t>
      </w:r>
      <w:r w:rsidRPr="001F2F1C">
        <w:rPr>
          <w:rFonts w:cs="Arial"/>
          <w:color w:val="000000"/>
          <w:spacing w:val="-2"/>
        </w:rPr>
        <w:t xml:space="preserve"> au mieux pour l'accusé</w:t>
      </w:r>
      <w:r w:rsidR="00CD511D">
        <w:rPr>
          <w:rFonts w:cs="Arial"/>
          <w:color w:val="000000"/>
          <w:spacing w:val="-2"/>
        </w:rPr>
        <w:t>,</w:t>
      </w:r>
      <w:r w:rsidRPr="001F2F1C">
        <w:rPr>
          <w:rFonts w:cs="Arial"/>
          <w:color w:val="000000"/>
          <w:spacing w:val="-2"/>
        </w:rPr>
        <w:t xml:space="preserve"> comme un facteur neutre</w:t>
      </w:r>
      <w:r>
        <w:rPr>
          <w:rFonts w:cs="Arial"/>
          <w:color w:val="000000"/>
          <w:spacing w:val="-2"/>
        </w:rPr>
        <w:t xml:space="preserve">. </w:t>
      </w:r>
      <w:r w:rsidRPr="00F93222">
        <w:rPr>
          <w:rFonts w:cs="Arial"/>
          <w:i/>
          <w:iCs/>
          <w:color w:val="000000"/>
          <w:spacing w:val="-2"/>
        </w:rPr>
        <w:t>Régimballe</w:t>
      </w:r>
      <w:r>
        <w:rPr>
          <w:rFonts w:cs="Arial"/>
          <w:color w:val="000000"/>
          <w:spacing w:val="-2"/>
        </w:rPr>
        <w:t xml:space="preserve"> c. </w:t>
      </w:r>
      <w:r w:rsidR="00AB677B" w:rsidRPr="0048204F">
        <w:rPr>
          <w:rFonts w:cs="Arial"/>
          <w:i/>
          <w:iCs/>
          <w:color w:val="000000" w:themeColor="text1"/>
          <w:shd w:val="clear" w:color="auto" w:fill="FFFFFF"/>
        </w:rPr>
        <w:t>La Reine</w:t>
      </w:r>
      <w:r>
        <w:rPr>
          <w:rFonts w:cs="Arial"/>
          <w:color w:val="000000"/>
          <w:spacing w:val="-2"/>
        </w:rPr>
        <w:t xml:space="preserve">, 2012 QCCA 1290, par. 62; </w:t>
      </w:r>
      <w:r w:rsidRPr="00F93222">
        <w:rPr>
          <w:rFonts w:cs="Arial"/>
          <w:i/>
          <w:iCs/>
          <w:color w:val="000000"/>
          <w:spacing w:val="-2"/>
        </w:rPr>
        <w:t>R</w:t>
      </w:r>
      <w:r>
        <w:rPr>
          <w:rFonts w:cs="Arial"/>
          <w:color w:val="000000"/>
          <w:spacing w:val="-2"/>
        </w:rPr>
        <w:t xml:space="preserve">. c. </w:t>
      </w:r>
      <w:r w:rsidRPr="00F93222">
        <w:rPr>
          <w:rFonts w:cs="Arial"/>
          <w:i/>
          <w:iCs/>
          <w:color w:val="000000"/>
          <w:spacing w:val="-2"/>
        </w:rPr>
        <w:t>G.D</w:t>
      </w:r>
      <w:r>
        <w:rPr>
          <w:rFonts w:cs="Arial"/>
          <w:color w:val="000000"/>
          <w:spacing w:val="-2"/>
        </w:rPr>
        <w:t>., 2013 QCCA 726, par. 22.</w:t>
      </w:r>
    </w:p>
  </w:footnote>
  <w:footnote w:id="50">
    <w:p w14:paraId="74660A3B" w14:textId="617C4EF2" w:rsidR="00483038" w:rsidRDefault="00483038">
      <w:pPr>
        <w:pStyle w:val="Notedebasdepage"/>
      </w:pPr>
      <w:r>
        <w:rPr>
          <w:rStyle w:val="Appelnotedebasdep"/>
        </w:rPr>
        <w:footnoteRef/>
      </w:r>
      <w:r>
        <w:t xml:space="preserve"> </w:t>
      </w:r>
      <w:r>
        <w:tab/>
        <w:t>Article 718.01 C.cr.</w:t>
      </w:r>
    </w:p>
  </w:footnote>
  <w:footnote w:id="51">
    <w:p w14:paraId="7301B9CA" w14:textId="3F484D2A" w:rsidR="000F73FA" w:rsidRPr="008C0A51" w:rsidRDefault="000F73FA" w:rsidP="008C0A51">
      <w:pPr>
        <w:pStyle w:val="Notedebasdepage"/>
      </w:pPr>
      <w:r>
        <w:rPr>
          <w:rStyle w:val="Appelnotedebasdep"/>
        </w:rPr>
        <w:footnoteRef/>
      </w:r>
      <w:r w:rsidRPr="008C0A51">
        <w:t xml:space="preserve"> </w:t>
      </w:r>
      <w:r w:rsidRPr="008C0A51">
        <w:tab/>
      </w:r>
      <w:r w:rsidR="008C0A51" w:rsidRPr="008C0A51">
        <w:rPr>
          <w:i/>
          <w:iCs/>
        </w:rPr>
        <w:t>R</w:t>
      </w:r>
      <w:r w:rsidR="008C0A51" w:rsidRPr="008C0A51">
        <w:t xml:space="preserve">. c. </w:t>
      </w:r>
      <w:r w:rsidR="008C0A51" w:rsidRPr="008C0A51">
        <w:rPr>
          <w:i/>
          <w:iCs/>
        </w:rPr>
        <w:t>Friesen</w:t>
      </w:r>
      <w:r w:rsidR="008C0A51" w:rsidRPr="008C0A51">
        <w:t xml:space="preserve">, préc., note </w:t>
      </w:r>
      <w:r w:rsidR="00AC3855">
        <w:t>2</w:t>
      </w:r>
      <w:r w:rsidR="007F16AC">
        <w:t>3</w:t>
      </w:r>
      <w:r>
        <w:t>, par. 105.</w:t>
      </w:r>
    </w:p>
  </w:footnote>
  <w:footnote w:id="52">
    <w:p w14:paraId="6B8613A3" w14:textId="4A34ECDE" w:rsidR="000F73FA" w:rsidRDefault="000F73FA">
      <w:pPr>
        <w:pStyle w:val="Notedebasdepage"/>
      </w:pPr>
      <w:r>
        <w:rPr>
          <w:rStyle w:val="Appelnotedebasdep"/>
        </w:rPr>
        <w:footnoteRef/>
      </w:r>
      <w:r>
        <w:t xml:space="preserve"> </w:t>
      </w:r>
      <w:r>
        <w:tab/>
      </w:r>
      <w:r w:rsidR="00D80FB4" w:rsidRPr="008C0A51">
        <w:rPr>
          <w:i/>
          <w:iCs/>
        </w:rPr>
        <w:t>R</w:t>
      </w:r>
      <w:r w:rsidR="00D80FB4">
        <w:t xml:space="preserve">. c. </w:t>
      </w:r>
      <w:r w:rsidR="00D80FB4" w:rsidRPr="008C0A51">
        <w:rPr>
          <w:i/>
          <w:iCs/>
        </w:rPr>
        <w:t>Tremblay</w:t>
      </w:r>
      <w:r w:rsidR="00D80FB4">
        <w:t xml:space="preserve">, </w:t>
      </w:r>
      <w:r w:rsidR="00DC19F4">
        <w:t xml:space="preserve">préc., note </w:t>
      </w:r>
      <w:r w:rsidR="00AC3855">
        <w:t>1</w:t>
      </w:r>
      <w:r w:rsidR="007F16AC">
        <w:t>3</w:t>
      </w:r>
      <w:r w:rsidR="00D80FB4">
        <w:t xml:space="preserve">, par. 35; </w:t>
      </w:r>
      <w:r w:rsidR="00BA74A5">
        <w:t xml:space="preserve">Voir également </w:t>
      </w:r>
      <w:r w:rsidR="00B02BEB">
        <w:t xml:space="preserve">Julie </w:t>
      </w:r>
      <w:r w:rsidR="00BA74A5">
        <w:t xml:space="preserve">DESROSIERS et </w:t>
      </w:r>
      <w:r w:rsidR="00B02BEB">
        <w:t xml:space="preserve">Geneviève </w:t>
      </w:r>
      <w:r w:rsidR="00BA74A5">
        <w:t xml:space="preserve">BEAUSOLEIL-ALLARD, </w:t>
      </w:r>
      <w:r w:rsidR="00BA74A5" w:rsidRPr="00BA74A5">
        <w:rPr>
          <w:i/>
          <w:iCs/>
        </w:rPr>
        <w:t>L’agression sexuelle en droit canadien</w:t>
      </w:r>
      <w:r w:rsidR="00BA74A5">
        <w:t>, 2</w:t>
      </w:r>
      <w:r w:rsidR="00BA74A5" w:rsidRPr="00BA74A5">
        <w:rPr>
          <w:vertAlign w:val="superscript"/>
        </w:rPr>
        <w:t>e</w:t>
      </w:r>
      <w:r w:rsidR="00BA74A5">
        <w:t xml:space="preserve"> éd., Montréal, Yvon Blais, 2017, p.</w:t>
      </w:r>
      <w:r w:rsidR="00CE1C86">
        <w:t> </w:t>
      </w:r>
      <w:r w:rsidR="00BA74A5">
        <w:t>272.</w:t>
      </w:r>
    </w:p>
  </w:footnote>
  <w:footnote w:id="53">
    <w:p w14:paraId="1D24B629" w14:textId="297382DF" w:rsidR="00FE56ED" w:rsidRDefault="00FE56ED">
      <w:pPr>
        <w:pStyle w:val="Notedebasdepage"/>
      </w:pPr>
      <w:r>
        <w:rPr>
          <w:rStyle w:val="Appelnotedebasdep"/>
        </w:rPr>
        <w:footnoteRef/>
      </w:r>
      <w:r>
        <w:t xml:space="preserve"> </w:t>
      </w:r>
      <w:r>
        <w:tab/>
      </w:r>
      <w:r w:rsidRPr="00F93222">
        <w:rPr>
          <w:i/>
          <w:iCs/>
        </w:rPr>
        <w:t>R</w:t>
      </w:r>
      <w:r>
        <w:t xml:space="preserve">. c. </w:t>
      </w:r>
      <w:r w:rsidRPr="00F93222">
        <w:rPr>
          <w:i/>
          <w:iCs/>
        </w:rPr>
        <w:t>Bertrand Marchand</w:t>
      </w:r>
      <w:r>
        <w:t>, 2023 CSC 26, par. 28.</w:t>
      </w:r>
    </w:p>
  </w:footnote>
  <w:footnote w:id="54">
    <w:p w14:paraId="63B89E1E" w14:textId="48314CD0" w:rsidR="00401CC7" w:rsidRDefault="00401CC7">
      <w:pPr>
        <w:pStyle w:val="Notedebasdepage"/>
      </w:pPr>
      <w:r>
        <w:rPr>
          <w:rStyle w:val="Appelnotedebasdep"/>
        </w:rPr>
        <w:footnoteRef/>
      </w:r>
      <w:r>
        <w:t xml:space="preserve"> </w:t>
      </w:r>
      <w:r>
        <w:tab/>
      </w:r>
      <w:r w:rsidRPr="00A5558A">
        <w:rPr>
          <w:i/>
          <w:iCs/>
        </w:rPr>
        <w:t>Marien Frenette</w:t>
      </w:r>
      <w:r>
        <w:t xml:space="preserve"> c. </w:t>
      </w:r>
      <w:r w:rsidR="00AB677B" w:rsidRPr="0048204F">
        <w:rPr>
          <w:i/>
          <w:iCs/>
        </w:rPr>
        <w:t>Le Roi</w:t>
      </w:r>
      <w:r>
        <w:t xml:space="preserve">, 2024 QCCA </w:t>
      </w:r>
      <w:r w:rsidR="00A5558A">
        <w:t>207, par. 31.</w:t>
      </w:r>
    </w:p>
  </w:footnote>
  <w:footnote w:id="55">
    <w:p w14:paraId="2747F233" w14:textId="7AB92ACE" w:rsidR="006E0951" w:rsidRDefault="006E0951">
      <w:pPr>
        <w:pStyle w:val="Notedebasdepage"/>
      </w:pPr>
      <w:r>
        <w:rPr>
          <w:rStyle w:val="Appelnotedebasdep"/>
        </w:rPr>
        <w:footnoteRef/>
      </w:r>
      <w:r>
        <w:t xml:space="preserve"> </w:t>
      </w:r>
      <w:r>
        <w:tab/>
      </w:r>
      <w:r w:rsidR="00D0177F" w:rsidRPr="00F93222">
        <w:rPr>
          <w:i/>
          <w:iCs/>
        </w:rPr>
        <w:t>S.J.</w:t>
      </w:r>
      <w:r w:rsidR="00D0177F">
        <w:t xml:space="preserve"> c. </w:t>
      </w:r>
      <w:r w:rsidR="0048204F">
        <w:rPr>
          <w:i/>
          <w:iCs/>
        </w:rPr>
        <w:t>Le Roi</w:t>
      </w:r>
      <w:r w:rsidR="00D0177F">
        <w:t xml:space="preserve">, </w:t>
      </w:r>
      <w:r w:rsidR="00DC19F4">
        <w:t xml:space="preserve">préc., note </w:t>
      </w:r>
      <w:r w:rsidR="00AC3855">
        <w:t>1</w:t>
      </w:r>
      <w:r w:rsidR="007F16AC">
        <w:t>3</w:t>
      </w:r>
      <w:r w:rsidR="00D0177F">
        <w:t xml:space="preserve">, par. 229; </w:t>
      </w:r>
      <w:r w:rsidR="00D0177F" w:rsidRPr="00F93222">
        <w:rPr>
          <w:i/>
          <w:iCs/>
        </w:rPr>
        <w:t>R</w:t>
      </w:r>
      <w:r w:rsidR="00D0177F">
        <w:t xml:space="preserve">. c. </w:t>
      </w:r>
      <w:r w:rsidR="00D0177F" w:rsidRPr="00F93222">
        <w:rPr>
          <w:i/>
          <w:iCs/>
        </w:rPr>
        <w:t>Tremblay</w:t>
      </w:r>
      <w:r w:rsidR="00D0177F">
        <w:t>,</w:t>
      </w:r>
      <w:r w:rsidR="00DC19F4">
        <w:t xml:space="preserve"> préc.</w:t>
      </w:r>
      <w:r w:rsidR="00D0177F">
        <w:t>,</w:t>
      </w:r>
      <w:r w:rsidR="00DC19F4">
        <w:t xml:space="preserve"> note </w:t>
      </w:r>
      <w:r w:rsidR="00AC3855">
        <w:t>1</w:t>
      </w:r>
      <w:r w:rsidR="007F16AC">
        <w:t>3</w:t>
      </w:r>
      <w:r w:rsidR="00DC19F4">
        <w:t>,</w:t>
      </w:r>
      <w:r w:rsidR="00D0177F">
        <w:t xml:space="preserve"> par. 42; </w:t>
      </w:r>
      <w:r w:rsidR="00D0177F" w:rsidRPr="00F93222">
        <w:rPr>
          <w:i/>
          <w:iCs/>
        </w:rPr>
        <w:t>Bazile</w:t>
      </w:r>
      <w:r w:rsidR="00D0177F">
        <w:t xml:space="preserve"> c. </w:t>
      </w:r>
      <w:r w:rsidR="00AB677B" w:rsidRPr="0048204F">
        <w:rPr>
          <w:i/>
          <w:iCs/>
        </w:rPr>
        <w:t>La Reine</w:t>
      </w:r>
      <w:r w:rsidR="00D0177F">
        <w:t>,</w:t>
      </w:r>
      <w:r w:rsidR="00DC19F4">
        <w:t xml:space="preserve"> préc.</w:t>
      </w:r>
      <w:r w:rsidR="00D0177F">
        <w:t>,</w:t>
      </w:r>
      <w:r w:rsidR="00DC19F4">
        <w:t xml:space="preserve"> note </w:t>
      </w:r>
      <w:r w:rsidR="00AC3855">
        <w:t>1</w:t>
      </w:r>
      <w:r w:rsidR="007F16AC">
        <w:t>3</w:t>
      </w:r>
      <w:r w:rsidR="00DC19F4">
        <w:t>,</w:t>
      </w:r>
      <w:r w:rsidR="00D0177F">
        <w:t xml:space="preserve"> par. 41</w:t>
      </w:r>
      <w:r w:rsidR="004D69F2">
        <w:t xml:space="preserve"> </w:t>
      </w:r>
      <w:r w:rsidR="004D69F2" w:rsidRPr="0048204F">
        <w:t>et</w:t>
      </w:r>
      <w:r w:rsidR="004D69F2">
        <w:t xml:space="preserve"> </w:t>
      </w:r>
      <w:r w:rsidR="00D0177F">
        <w:t>42.</w:t>
      </w:r>
    </w:p>
  </w:footnote>
  <w:footnote w:id="56">
    <w:p w14:paraId="243D70DE" w14:textId="37405A87" w:rsidR="006E0951" w:rsidRDefault="006E0951" w:rsidP="00DC19F4">
      <w:pPr>
        <w:pStyle w:val="Notedebasdepage"/>
      </w:pPr>
      <w:r>
        <w:rPr>
          <w:rStyle w:val="Appelnotedebasdep"/>
        </w:rPr>
        <w:footnoteRef/>
      </w:r>
      <w:r>
        <w:t xml:space="preserve"> </w:t>
      </w:r>
      <w:r w:rsidR="00D0177F">
        <w:tab/>
      </w:r>
      <w:r w:rsidR="00DC19F4" w:rsidRPr="008830E8">
        <w:rPr>
          <w:i/>
          <w:iCs/>
        </w:rPr>
        <w:t>R</w:t>
      </w:r>
      <w:r w:rsidR="00DC19F4">
        <w:t xml:space="preserve">. c. </w:t>
      </w:r>
      <w:r w:rsidR="00DC19F4" w:rsidRPr="008830E8">
        <w:rPr>
          <w:i/>
          <w:iCs/>
        </w:rPr>
        <w:t>Cloutier</w:t>
      </w:r>
      <w:r w:rsidR="00DC19F4" w:rsidRPr="008830E8">
        <w:rPr>
          <w:rFonts w:cs="Arial"/>
        </w:rPr>
        <w:t>,</w:t>
      </w:r>
      <w:r w:rsidR="00DC19F4">
        <w:rPr>
          <w:rFonts w:cs="Arial"/>
        </w:rPr>
        <w:t xml:space="preserve"> préc.</w:t>
      </w:r>
      <w:r w:rsidR="00DC19F4">
        <w:t xml:space="preserve">, note </w:t>
      </w:r>
      <w:r w:rsidR="00AC3855">
        <w:t>1</w:t>
      </w:r>
      <w:r w:rsidR="006433AF">
        <w:t>2</w:t>
      </w:r>
      <w:r w:rsidR="00DC19F4">
        <w:t xml:space="preserve">, </w:t>
      </w:r>
      <w:r w:rsidR="00D0177F">
        <w:t>par. 76</w:t>
      </w:r>
      <w:r w:rsidR="004D69F2">
        <w:t xml:space="preserve"> </w:t>
      </w:r>
      <w:r w:rsidR="004D69F2" w:rsidRPr="0048204F">
        <w:t>et</w:t>
      </w:r>
      <w:r w:rsidR="004D69F2">
        <w:t xml:space="preserve"> </w:t>
      </w:r>
      <w:r w:rsidR="00D0177F">
        <w:t xml:space="preserve">77.  </w:t>
      </w:r>
    </w:p>
  </w:footnote>
  <w:footnote w:id="57">
    <w:p w14:paraId="3D9302D5" w14:textId="373C700C" w:rsidR="00B02BEB" w:rsidRDefault="00B02BEB" w:rsidP="004D69F2">
      <w:pPr>
        <w:pStyle w:val="Notedebasdepage"/>
      </w:pPr>
      <w:r>
        <w:rPr>
          <w:rStyle w:val="Appelnotedebasdep"/>
        </w:rPr>
        <w:footnoteRef/>
      </w:r>
      <w:r>
        <w:t xml:space="preserve"> </w:t>
      </w:r>
      <w:r>
        <w:tab/>
        <w:t xml:space="preserve">Hugues PARENT et Julie DESROSIERS, </w:t>
      </w:r>
      <w:r w:rsidRPr="00335531">
        <w:rPr>
          <w:i/>
          <w:iCs/>
        </w:rPr>
        <w:t>Traité de droit criminel</w:t>
      </w:r>
      <w:r>
        <w:t>, t.3 « La peine », 3</w:t>
      </w:r>
      <w:r w:rsidRPr="00335531">
        <w:rPr>
          <w:vertAlign w:val="superscript"/>
        </w:rPr>
        <w:t>e</w:t>
      </w:r>
      <w:r>
        <w:t xml:space="preserve"> éd., Montréal, Éditions Thémis, 2020</w:t>
      </w:r>
      <w:r w:rsidR="00285093">
        <w:t>, p. 835-853</w:t>
      </w:r>
      <w:r>
        <w:t>.</w:t>
      </w:r>
    </w:p>
  </w:footnote>
  <w:footnote w:id="58">
    <w:p w14:paraId="59CC467C" w14:textId="62A48C91" w:rsidR="000E189D" w:rsidRDefault="000E189D">
      <w:pPr>
        <w:pStyle w:val="Notedebasdepage"/>
      </w:pPr>
      <w:r>
        <w:rPr>
          <w:rStyle w:val="Appelnotedebasdep"/>
        </w:rPr>
        <w:footnoteRef/>
      </w:r>
      <w:r>
        <w:t xml:space="preserve"> </w:t>
      </w:r>
      <w:r>
        <w:tab/>
      </w:r>
      <w:r w:rsidR="00401CC7" w:rsidRPr="004843AE">
        <w:rPr>
          <w:i/>
          <w:iCs/>
        </w:rPr>
        <w:t>R</w:t>
      </w:r>
      <w:r w:rsidR="00401CC7">
        <w:t xml:space="preserve">. c. </w:t>
      </w:r>
      <w:r w:rsidR="00401CC7" w:rsidRPr="004843AE">
        <w:rPr>
          <w:i/>
          <w:iCs/>
        </w:rPr>
        <w:t>Lacasse</w:t>
      </w:r>
      <w:r w:rsidR="00401CC7">
        <w:t xml:space="preserve">, préc., note </w:t>
      </w:r>
      <w:r w:rsidR="00BB16AE">
        <w:t>2</w:t>
      </w:r>
      <w:r w:rsidR="007F16AC">
        <w:t>1</w:t>
      </w:r>
      <w:r>
        <w:t>.</w:t>
      </w:r>
    </w:p>
  </w:footnote>
  <w:footnote w:id="59">
    <w:p w14:paraId="7F814D55" w14:textId="14C29669" w:rsidR="000E189D" w:rsidRDefault="000E189D">
      <w:pPr>
        <w:pStyle w:val="Notedebasdepage"/>
      </w:pPr>
      <w:r>
        <w:rPr>
          <w:rStyle w:val="Appelnotedebasdep"/>
        </w:rPr>
        <w:footnoteRef/>
      </w:r>
      <w:r>
        <w:t xml:space="preserve"> </w:t>
      </w:r>
      <w:r>
        <w:tab/>
        <w:t>L</w:t>
      </w:r>
      <w:r w:rsidR="00DC19F4">
        <w:t>a description</w:t>
      </w:r>
      <w:r>
        <w:t xml:space="preserve"> de la jurisprudence soumise se trouve aux annexes</w:t>
      </w:r>
      <w:r w:rsidR="00DC19F4">
        <w:t xml:space="preserve"> II</w:t>
      </w:r>
      <w:r w:rsidR="00F818D5">
        <w:t xml:space="preserve"> et</w:t>
      </w:r>
      <w:r w:rsidR="00DC19F4">
        <w:t xml:space="preserve"> III, jointes à la fin de cette décision.</w:t>
      </w:r>
    </w:p>
  </w:footnote>
  <w:footnote w:id="60">
    <w:p w14:paraId="7BAF9A15" w14:textId="7F0A7D85" w:rsidR="00FE1EB3" w:rsidRDefault="00FE1EB3">
      <w:pPr>
        <w:pStyle w:val="Notedebasdepage"/>
      </w:pPr>
      <w:r>
        <w:rPr>
          <w:rStyle w:val="Appelnotedebasdep"/>
        </w:rPr>
        <w:footnoteRef/>
      </w:r>
      <w:r>
        <w:t xml:space="preserve"> </w:t>
      </w:r>
      <w:r>
        <w:tab/>
      </w:r>
      <w:r w:rsidRPr="00E0452F">
        <w:rPr>
          <w:i/>
          <w:iCs/>
        </w:rPr>
        <w:t>Lemieux</w:t>
      </w:r>
      <w:r>
        <w:t xml:space="preserve"> c. </w:t>
      </w:r>
      <w:r w:rsidR="001F7B4E" w:rsidRPr="0048204F">
        <w:rPr>
          <w:i/>
          <w:iCs/>
        </w:rPr>
        <w:t>Le Roi</w:t>
      </w:r>
      <w:r>
        <w:t xml:space="preserve">, </w:t>
      </w:r>
      <w:r w:rsidR="008C0A51">
        <w:t xml:space="preserve">préc., note </w:t>
      </w:r>
      <w:r w:rsidR="00BB16AE">
        <w:t>4</w:t>
      </w:r>
      <w:r w:rsidR="007F16AC">
        <w:t>5</w:t>
      </w:r>
      <w:r w:rsidR="008C0A51">
        <w:t>.</w:t>
      </w:r>
      <w:r>
        <w:t xml:space="preserve"> </w:t>
      </w:r>
    </w:p>
  </w:footnote>
  <w:footnote w:id="61">
    <w:p w14:paraId="7D7FB1C8" w14:textId="3A5A29C0" w:rsidR="00096936" w:rsidRDefault="00096936">
      <w:pPr>
        <w:pStyle w:val="Notedebasdepage"/>
      </w:pPr>
      <w:r>
        <w:rPr>
          <w:rStyle w:val="Appelnotedebasdep"/>
        </w:rPr>
        <w:footnoteRef/>
      </w:r>
      <w:r>
        <w:t xml:space="preserve"> </w:t>
      </w:r>
      <w:r>
        <w:tab/>
      </w:r>
      <w:r w:rsidRPr="00E0452F">
        <w:rPr>
          <w:i/>
          <w:iCs/>
        </w:rPr>
        <w:t>R</w:t>
      </w:r>
      <w:r>
        <w:t xml:space="preserve">. c. </w:t>
      </w:r>
      <w:r w:rsidRPr="00E0452F">
        <w:rPr>
          <w:i/>
          <w:iCs/>
        </w:rPr>
        <w:t>Houle</w:t>
      </w:r>
      <w:r>
        <w:t xml:space="preserve">, </w:t>
      </w:r>
      <w:r w:rsidR="00B04188">
        <w:t xml:space="preserve">préc., note </w:t>
      </w:r>
      <w:r w:rsidR="007F16AC">
        <w:t>40</w:t>
      </w:r>
      <w:r w:rsidR="00977281">
        <w:t>, par. 55.</w:t>
      </w:r>
    </w:p>
  </w:footnote>
  <w:footnote w:id="62">
    <w:p w14:paraId="0777D3F0" w14:textId="50B998A6" w:rsidR="00F33BD6" w:rsidRDefault="00F33BD6">
      <w:pPr>
        <w:pStyle w:val="Notedebasdepage"/>
      </w:pPr>
      <w:r>
        <w:rPr>
          <w:rStyle w:val="Appelnotedebasdep"/>
        </w:rPr>
        <w:footnoteRef/>
      </w:r>
      <w:r>
        <w:t xml:space="preserve"> </w:t>
      </w:r>
      <w:r>
        <w:tab/>
      </w:r>
      <w:r w:rsidRPr="00E0452F">
        <w:rPr>
          <w:i/>
          <w:iCs/>
        </w:rPr>
        <w:t>R</w:t>
      </w:r>
      <w:r>
        <w:t xml:space="preserve">. c. </w:t>
      </w:r>
      <w:r w:rsidRPr="00FD3837">
        <w:rPr>
          <w:i/>
          <w:iCs/>
        </w:rPr>
        <w:t>Proulx</w:t>
      </w:r>
      <w:r>
        <w:t xml:space="preserve">, </w:t>
      </w:r>
      <w:r w:rsidR="00FE3C62">
        <w:rPr>
          <w:rFonts w:ascii="ArialMT" w:hAnsi="ArialMT" w:cs="ArialMT"/>
          <w:szCs w:val="24"/>
          <w:lang w:eastAsia="fr-CA"/>
        </w:rPr>
        <w:t>2000 CSC 5</w:t>
      </w:r>
      <w:r>
        <w:rPr>
          <w:rFonts w:ascii="ArialMT" w:hAnsi="ArialMT" w:cs="ArialMT"/>
          <w:szCs w:val="24"/>
          <w:lang w:eastAsia="fr-CA"/>
        </w:rPr>
        <w:t>,</w:t>
      </w:r>
      <w:r>
        <w:t xml:space="preserve"> par. 106.</w:t>
      </w:r>
    </w:p>
  </w:footnote>
  <w:footnote w:id="63">
    <w:p w14:paraId="5B70A09B" w14:textId="01206D51" w:rsidR="00E85444" w:rsidRPr="00E85444" w:rsidRDefault="00E85444">
      <w:pPr>
        <w:pStyle w:val="Notedebasdepage"/>
      </w:pPr>
      <w:r>
        <w:rPr>
          <w:rStyle w:val="Appelnotedebasdep"/>
        </w:rPr>
        <w:footnoteRef/>
      </w:r>
      <w:r w:rsidRPr="00E85444">
        <w:t xml:space="preserve"> </w:t>
      </w:r>
      <w:r w:rsidRPr="00E85444">
        <w:tab/>
      </w:r>
      <w:r w:rsidRPr="00E0452F">
        <w:rPr>
          <w:i/>
          <w:iCs/>
        </w:rPr>
        <w:t>R</w:t>
      </w:r>
      <w:r w:rsidRPr="00E85444">
        <w:t xml:space="preserve">. c. </w:t>
      </w:r>
      <w:r w:rsidRPr="00E0452F">
        <w:rPr>
          <w:i/>
          <w:iCs/>
        </w:rPr>
        <w:t>Guerrero Silva</w:t>
      </w:r>
      <w:r w:rsidRPr="00E85444">
        <w:t xml:space="preserve">, </w:t>
      </w:r>
      <w:r>
        <w:t xml:space="preserve">2015 QCCA 1334, </w:t>
      </w:r>
      <w:r w:rsidRPr="00E85444">
        <w:t xml:space="preserve">par. </w:t>
      </w:r>
      <w:r>
        <w:t xml:space="preserve">59; </w:t>
      </w:r>
      <w:r w:rsidRPr="00E0452F">
        <w:rPr>
          <w:i/>
          <w:iCs/>
        </w:rPr>
        <w:t>R</w:t>
      </w:r>
      <w:r>
        <w:t xml:space="preserve">. </w:t>
      </w:r>
      <w:r w:rsidR="00EB6CA3">
        <w:t>v</w:t>
      </w:r>
      <w:r>
        <w:t xml:space="preserve">. </w:t>
      </w:r>
      <w:r w:rsidRPr="00E0452F">
        <w:rPr>
          <w:i/>
          <w:iCs/>
        </w:rPr>
        <w:t>Maliki</w:t>
      </w:r>
      <w:r>
        <w:t>, 2015 ONCA 204, par. 9.</w:t>
      </w:r>
    </w:p>
  </w:footnote>
  <w:footnote w:id="64">
    <w:p w14:paraId="2319B5E2" w14:textId="5205873C" w:rsidR="00E85444" w:rsidRPr="00E85444" w:rsidRDefault="00E85444">
      <w:pPr>
        <w:pStyle w:val="Notedebasdepage"/>
      </w:pPr>
      <w:r>
        <w:rPr>
          <w:rStyle w:val="Appelnotedebasdep"/>
        </w:rPr>
        <w:footnoteRef/>
      </w:r>
      <w:r w:rsidRPr="00E85444">
        <w:t xml:space="preserve"> </w:t>
      </w:r>
      <w:r w:rsidRPr="00E85444">
        <w:tab/>
      </w:r>
      <w:r w:rsidRPr="00E0452F">
        <w:rPr>
          <w:i/>
          <w:iCs/>
        </w:rPr>
        <w:t>R</w:t>
      </w:r>
      <w:r w:rsidRPr="00E85444">
        <w:t xml:space="preserve">. c. </w:t>
      </w:r>
      <w:r w:rsidRPr="00E0452F">
        <w:rPr>
          <w:i/>
          <w:iCs/>
        </w:rPr>
        <w:t>Guerrero Silva</w:t>
      </w:r>
      <w:r w:rsidRPr="00E85444">
        <w:t xml:space="preserve">, </w:t>
      </w:r>
      <w:r w:rsidR="00EB6CA3">
        <w:t xml:space="preserve">préc., note </w:t>
      </w:r>
      <w:r w:rsidR="00AC3855">
        <w:t>6</w:t>
      </w:r>
      <w:r w:rsidR="007F16AC">
        <w:t>3</w:t>
      </w:r>
      <w:r>
        <w:t xml:space="preserve">, </w:t>
      </w:r>
      <w:r w:rsidRPr="00E85444">
        <w:t xml:space="preserve">par. </w:t>
      </w:r>
      <w:r>
        <w:t xml:space="preserve">59; </w:t>
      </w:r>
      <w:r w:rsidRPr="00E0452F">
        <w:rPr>
          <w:i/>
          <w:iCs/>
        </w:rPr>
        <w:t>R</w:t>
      </w:r>
      <w:r>
        <w:t xml:space="preserve">. c. </w:t>
      </w:r>
      <w:r w:rsidRPr="00E0452F">
        <w:rPr>
          <w:i/>
          <w:iCs/>
        </w:rPr>
        <w:t>M. (C.A.)</w:t>
      </w:r>
      <w:r>
        <w:t xml:space="preserve">, </w:t>
      </w:r>
      <w:r w:rsidR="00EB6CA3">
        <w:t xml:space="preserve">préc., note </w:t>
      </w:r>
      <w:r w:rsidR="00AC3855">
        <w:t>1</w:t>
      </w:r>
      <w:r w:rsidR="007F16AC">
        <w:t>7</w:t>
      </w:r>
      <w:r>
        <w:t xml:space="preserve">, par 42; </w:t>
      </w:r>
      <w:r w:rsidRPr="00E0452F">
        <w:rPr>
          <w:i/>
          <w:iCs/>
        </w:rPr>
        <w:t>R</w:t>
      </w:r>
      <w:r>
        <w:t xml:space="preserve">. c. </w:t>
      </w:r>
      <w:r w:rsidRPr="00E0452F">
        <w:rPr>
          <w:i/>
          <w:iCs/>
        </w:rPr>
        <w:t>Dubé</w:t>
      </w:r>
      <w:r>
        <w:t xml:space="preserve">, 2006 QCCA 699; </w:t>
      </w:r>
      <w:r w:rsidRPr="00E0452F">
        <w:rPr>
          <w:i/>
          <w:iCs/>
        </w:rPr>
        <w:t>R</w:t>
      </w:r>
      <w:r>
        <w:t xml:space="preserve">. c. </w:t>
      </w:r>
      <w:r w:rsidRPr="00E0452F">
        <w:rPr>
          <w:i/>
          <w:iCs/>
        </w:rPr>
        <w:t>Aoun</w:t>
      </w:r>
      <w:r>
        <w:t>, 2008 QCCA 440</w:t>
      </w:r>
      <w:r w:rsidR="00EB6CA3">
        <w:t>;</w:t>
      </w:r>
      <w:r>
        <w:t xml:space="preserve"> </w:t>
      </w:r>
      <w:r w:rsidRPr="00E0452F">
        <w:rPr>
          <w:i/>
          <w:iCs/>
        </w:rPr>
        <w:t>R</w:t>
      </w:r>
      <w:r>
        <w:t xml:space="preserve">. </w:t>
      </w:r>
      <w:r w:rsidR="00EB6CA3">
        <w:t>v</w:t>
      </w:r>
      <w:r>
        <w:t xml:space="preserve">. </w:t>
      </w:r>
      <w:r w:rsidRPr="00E0452F">
        <w:rPr>
          <w:i/>
          <w:iCs/>
        </w:rPr>
        <w:t>Q. (W.)</w:t>
      </w:r>
      <w:r w:rsidR="00B86A51" w:rsidRPr="00B86A51">
        <w:t>,</w:t>
      </w:r>
      <w:r>
        <w:t xml:space="preserve"> (2006) 210 C.C.C. (3d) 398 (C.A.O.)</w:t>
      </w:r>
      <w:r w:rsidR="00EB6CA3">
        <w:t>;</w:t>
      </w:r>
      <w:r>
        <w:t xml:space="preserve"> </w:t>
      </w:r>
      <w:r w:rsidRPr="00E0452F">
        <w:rPr>
          <w:i/>
          <w:iCs/>
        </w:rPr>
        <w:t>R</w:t>
      </w:r>
      <w:r>
        <w:t xml:space="preserve">. c. </w:t>
      </w:r>
      <w:r w:rsidRPr="00E0452F">
        <w:rPr>
          <w:i/>
          <w:iCs/>
        </w:rPr>
        <w:t>Beaulieu</w:t>
      </w:r>
      <w:r>
        <w:t xml:space="preserve">, 2007 QCCA 403; </w:t>
      </w:r>
      <w:r w:rsidRPr="00E0452F">
        <w:rPr>
          <w:i/>
          <w:iCs/>
        </w:rPr>
        <w:t>R</w:t>
      </w:r>
      <w:r>
        <w:t xml:space="preserve">. v. </w:t>
      </w:r>
      <w:r w:rsidRPr="00E0452F">
        <w:rPr>
          <w:i/>
          <w:iCs/>
        </w:rPr>
        <w:t>Traverse</w:t>
      </w:r>
      <w:r>
        <w:t>, 2008 MBCA 110, par. 47.</w:t>
      </w:r>
    </w:p>
  </w:footnote>
  <w:footnote w:id="65">
    <w:p w14:paraId="3EB5ABDA" w14:textId="0699D058" w:rsidR="00D051C9" w:rsidRPr="0010457E" w:rsidRDefault="00D051C9">
      <w:pPr>
        <w:pStyle w:val="Notedebasdepage"/>
      </w:pPr>
      <w:r>
        <w:rPr>
          <w:rStyle w:val="Appelnotedebasdep"/>
        </w:rPr>
        <w:footnoteRef/>
      </w:r>
      <w:r w:rsidRPr="0010457E">
        <w:t xml:space="preserve"> </w:t>
      </w:r>
      <w:r w:rsidRPr="0010457E">
        <w:tab/>
      </w:r>
      <w:r w:rsidR="00821C95" w:rsidRPr="0010457E">
        <w:rPr>
          <w:i/>
          <w:iCs/>
        </w:rPr>
        <w:t>R</w:t>
      </w:r>
      <w:r w:rsidR="00821C95" w:rsidRPr="0010457E">
        <w:t xml:space="preserve">. c. </w:t>
      </w:r>
      <w:r w:rsidR="00821C95" w:rsidRPr="0010457E">
        <w:rPr>
          <w:i/>
          <w:iCs/>
        </w:rPr>
        <w:t>Jarvis</w:t>
      </w:r>
      <w:r w:rsidR="00821C95" w:rsidRPr="0010457E">
        <w:t xml:space="preserve">, </w:t>
      </w:r>
      <w:r w:rsidR="00821C95" w:rsidRPr="00AE5085">
        <w:t>2019 CSC 10,</w:t>
      </w:r>
      <w:r w:rsidR="00821C95" w:rsidRPr="0010457E">
        <w:t xml:space="preserve"> par. 53.</w:t>
      </w:r>
    </w:p>
  </w:footnote>
  <w:footnote w:id="66">
    <w:p w14:paraId="6B8F1352" w14:textId="26079BA6" w:rsidR="00EB43F2" w:rsidRPr="008C0A51" w:rsidRDefault="00EB43F2" w:rsidP="008C0A51">
      <w:pPr>
        <w:pStyle w:val="Notedebasdepage"/>
      </w:pPr>
      <w:r>
        <w:rPr>
          <w:rStyle w:val="Appelnotedebasdep"/>
        </w:rPr>
        <w:footnoteRef/>
      </w:r>
      <w:r w:rsidRPr="008C0A51">
        <w:t xml:space="preserve"> </w:t>
      </w:r>
      <w:r w:rsidRPr="008C0A51">
        <w:tab/>
      </w:r>
      <w:r w:rsidR="008C0A51" w:rsidRPr="008C0A51">
        <w:rPr>
          <w:i/>
          <w:iCs/>
        </w:rPr>
        <w:t>R</w:t>
      </w:r>
      <w:r w:rsidR="008C0A51" w:rsidRPr="008C0A51">
        <w:t xml:space="preserve">. c. </w:t>
      </w:r>
      <w:r w:rsidR="008C0A51" w:rsidRPr="008C0A51">
        <w:rPr>
          <w:i/>
          <w:iCs/>
        </w:rPr>
        <w:t>Friesen</w:t>
      </w:r>
      <w:r w:rsidR="008C0A51" w:rsidRPr="008C0A51">
        <w:t xml:space="preserve">, préc., note </w:t>
      </w:r>
      <w:r w:rsidR="00AC3855">
        <w:t>2</w:t>
      </w:r>
      <w:r w:rsidR="007F16AC">
        <w:t>3</w:t>
      </w:r>
      <w:r w:rsidRPr="00395050">
        <w:t>, par. 155.</w:t>
      </w:r>
    </w:p>
  </w:footnote>
  <w:footnote w:id="67">
    <w:p w14:paraId="14D1E598" w14:textId="36D074FA" w:rsidR="002D078E" w:rsidRPr="002D078E" w:rsidRDefault="002D078E">
      <w:pPr>
        <w:pStyle w:val="Notedebasdepage"/>
      </w:pPr>
      <w:r>
        <w:rPr>
          <w:rStyle w:val="Appelnotedebasdep"/>
        </w:rPr>
        <w:footnoteRef/>
      </w:r>
      <w:r w:rsidRPr="002D078E">
        <w:t xml:space="preserve"> </w:t>
      </w:r>
      <w:r w:rsidRPr="002D078E">
        <w:tab/>
      </w:r>
      <w:r w:rsidRPr="00E0452F">
        <w:rPr>
          <w:i/>
          <w:iCs/>
        </w:rPr>
        <w:t>R</w:t>
      </w:r>
      <w:r w:rsidRPr="002D078E">
        <w:t xml:space="preserve">. c. </w:t>
      </w:r>
      <w:r w:rsidRPr="00E0452F">
        <w:rPr>
          <w:i/>
          <w:iCs/>
        </w:rPr>
        <w:t>Bachou</w:t>
      </w:r>
      <w:r w:rsidRPr="002D078E">
        <w:t>, 2022 QCCA 1145, par</w:t>
      </w:r>
      <w:r>
        <w:t xml:space="preserve">. 40; </w:t>
      </w:r>
      <w:r w:rsidR="00EB6CA3" w:rsidRPr="00EB6CA3">
        <w:rPr>
          <w:i/>
          <w:iCs/>
        </w:rPr>
        <w:t>R</w:t>
      </w:r>
      <w:r w:rsidR="00EB6CA3">
        <w:t xml:space="preserve">. c. </w:t>
      </w:r>
      <w:r w:rsidR="00FA09CC" w:rsidRPr="00E0452F">
        <w:rPr>
          <w:i/>
          <w:iCs/>
        </w:rPr>
        <w:t>Biron</w:t>
      </w:r>
      <w:r w:rsidR="00FA09CC">
        <w:t>,</w:t>
      </w:r>
      <w:r w:rsidR="00EB6CA3">
        <w:t xml:space="preserve"> 1991 CanLII 3911 </w:t>
      </w:r>
      <w:r w:rsidR="00FA09CC">
        <w:t>(</w:t>
      </w:r>
      <w:r w:rsidR="005811EE">
        <w:t>QC CA</w:t>
      </w:r>
      <w:r w:rsidR="00FA09CC">
        <w:t xml:space="preserve">).  </w:t>
      </w:r>
    </w:p>
  </w:footnote>
  <w:footnote w:id="68">
    <w:p w14:paraId="06EB1E5A" w14:textId="2BCE3007" w:rsidR="00702BA1" w:rsidRPr="00EB6CA3" w:rsidRDefault="00702BA1">
      <w:pPr>
        <w:pStyle w:val="Notedebasdepage"/>
      </w:pPr>
      <w:r>
        <w:rPr>
          <w:rStyle w:val="Appelnotedebasdep"/>
        </w:rPr>
        <w:footnoteRef/>
      </w:r>
      <w:r w:rsidRPr="00EB6CA3">
        <w:t xml:space="preserve"> </w:t>
      </w:r>
      <w:r w:rsidRPr="00EB6CA3">
        <w:tab/>
      </w:r>
      <w:r w:rsidR="00EB6CA3" w:rsidRPr="00EB6CA3">
        <w:rPr>
          <w:i/>
          <w:iCs/>
        </w:rPr>
        <w:t>R</w:t>
      </w:r>
      <w:r w:rsidR="00EB6CA3" w:rsidRPr="00EB6CA3">
        <w:t xml:space="preserve">. c. </w:t>
      </w:r>
      <w:r w:rsidR="00EB6CA3" w:rsidRPr="00EB6CA3">
        <w:rPr>
          <w:i/>
          <w:iCs/>
        </w:rPr>
        <w:t>Bachou</w:t>
      </w:r>
      <w:r w:rsidR="00EB6CA3" w:rsidRPr="00EB6CA3">
        <w:t>, préc., n</w:t>
      </w:r>
      <w:r w:rsidR="00EB6CA3">
        <w:t xml:space="preserve">ote </w:t>
      </w:r>
      <w:r w:rsidR="00FE3C62">
        <w:t>6</w:t>
      </w:r>
      <w:r w:rsidR="007F16AC">
        <w:t>7</w:t>
      </w:r>
      <w:r w:rsidR="00EB6CA3">
        <w:t>.</w:t>
      </w:r>
    </w:p>
  </w:footnote>
  <w:footnote w:id="69">
    <w:p w14:paraId="6E03D2E6" w14:textId="116B7B89" w:rsidR="00AC6DE4" w:rsidRPr="00FD3837" w:rsidRDefault="00AC6DE4">
      <w:pPr>
        <w:pStyle w:val="Notedebasdepage"/>
      </w:pPr>
      <w:r>
        <w:rPr>
          <w:rStyle w:val="Appelnotedebasdep"/>
        </w:rPr>
        <w:footnoteRef/>
      </w:r>
      <w:r w:rsidRPr="00FD3837">
        <w:t xml:space="preserve"> </w:t>
      </w:r>
      <w:r w:rsidRPr="00FD3837">
        <w:tab/>
      </w:r>
      <w:r w:rsidRPr="00FD3837">
        <w:rPr>
          <w:i/>
          <w:iCs/>
        </w:rPr>
        <w:t>R</w:t>
      </w:r>
      <w:r w:rsidRPr="00FD3837">
        <w:t xml:space="preserve">. </w:t>
      </w:r>
      <w:r w:rsidR="00E0452F" w:rsidRPr="00FD3837">
        <w:t>v</w:t>
      </w:r>
      <w:r w:rsidRPr="00FD3837">
        <w:t xml:space="preserve">. </w:t>
      </w:r>
      <w:r w:rsidRPr="00FD3837">
        <w:rPr>
          <w:i/>
          <w:iCs/>
        </w:rPr>
        <w:t>A.B.</w:t>
      </w:r>
      <w:r w:rsidRPr="00FD3837">
        <w:t>, 2023 ONCA 254.</w:t>
      </w:r>
    </w:p>
  </w:footnote>
  <w:footnote w:id="70">
    <w:p w14:paraId="7327111D" w14:textId="441385E0" w:rsidR="00C81BFB" w:rsidRPr="00BC4E25" w:rsidRDefault="00C81BFB">
      <w:pPr>
        <w:pStyle w:val="Notedebasdepage"/>
      </w:pPr>
      <w:r>
        <w:rPr>
          <w:rStyle w:val="Appelnotedebasdep"/>
        </w:rPr>
        <w:footnoteRef/>
      </w:r>
      <w:r>
        <w:t xml:space="preserve"> </w:t>
      </w:r>
      <w:r w:rsidR="00FD3837">
        <w:tab/>
        <w:t xml:space="preserve">Les trois conditions prévues à l’article </w:t>
      </w:r>
      <w:r w:rsidR="005F0C41">
        <w:t xml:space="preserve">490.012 (1) du </w:t>
      </w:r>
      <w:r w:rsidR="005F0C41" w:rsidRPr="005F0C41">
        <w:rPr>
          <w:i/>
          <w:iCs/>
        </w:rPr>
        <w:t>Code criminel</w:t>
      </w:r>
      <w:r w:rsidR="005F0C41">
        <w:t xml:space="preserve"> étant rencontrées, le Tribunal doit assujettir les contrevenants </w:t>
      </w:r>
      <w:r w:rsidR="005F0C41" w:rsidRPr="000B4DC0">
        <w:rPr>
          <w:szCs w:val="24"/>
        </w:rPr>
        <w:t xml:space="preserve">à la </w:t>
      </w:r>
      <w:r w:rsidR="005F0C41" w:rsidRPr="000B4DC0">
        <w:rPr>
          <w:i/>
          <w:iCs/>
          <w:szCs w:val="24"/>
        </w:rPr>
        <w:t>Loi sur l’enregistrement de renseignements sur les délinquants sexuels</w:t>
      </w:r>
      <w:r w:rsidR="005F0C41">
        <w:rPr>
          <w:szCs w:val="24"/>
        </w:rPr>
        <w:t xml:space="preserve">. </w:t>
      </w:r>
      <w:r w:rsidR="00BC4E25">
        <w:rPr>
          <w:szCs w:val="24"/>
        </w:rPr>
        <w:t xml:space="preserve">En vertu de l’article 490.013 (2)b) </w:t>
      </w:r>
      <w:r w:rsidR="00BC4E25">
        <w:t xml:space="preserve">du </w:t>
      </w:r>
      <w:r w:rsidR="00BC4E25" w:rsidRPr="005F0C41">
        <w:rPr>
          <w:i/>
          <w:iCs/>
        </w:rPr>
        <w:t>Code criminel</w:t>
      </w:r>
      <w:r w:rsidR="00BC4E25">
        <w:t>, la durée de l’ordonnance est de vingt 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0187" w14:textId="77777777" w:rsidR="0054026B" w:rsidRDefault="005402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388B" w14:textId="0843E93C" w:rsidR="00FF4C41" w:rsidRDefault="00E418AD">
    <w:pPr>
      <w:tabs>
        <w:tab w:val="center" w:pos="4709"/>
        <w:tab w:val="right" w:pos="9360"/>
      </w:tabs>
      <w:ind w:right="524"/>
    </w:pPr>
    <w:r>
      <w:t>200-01-</w:t>
    </w:r>
    <w:r w:rsidR="00063974">
      <w:t>2</w:t>
    </w:r>
    <w:r w:rsidR="00C17C89">
      <w:t>4609</w:t>
    </w:r>
    <w:r w:rsidR="00063974">
      <w:t>6-</w:t>
    </w:r>
    <w:r w:rsidR="00C17C89">
      <w:t>212</w:t>
    </w:r>
    <w:r w:rsidR="00063974">
      <w:tab/>
    </w:r>
    <w:r w:rsidR="00343224">
      <w:tab/>
      <w:t xml:space="preserve">PAGE : </w:t>
    </w:r>
    <w:r w:rsidR="00343224">
      <w:fldChar w:fldCharType="begin"/>
    </w:r>
    <w:r w:rsidR="00343224">
      <w:instrText xml:space="preserve"> PAGE </w:instrText>
    </w:r>
    <w:r w:rsidR="00343224">
      <w:fldChar w:fldCharType="separate"/>
    </w:r>
    <w:r w:rsidR="00343224">
      <w:t>29</w:t>
    </w:r>
    <w:r w:rsidR="00343224">
      <w:fldChar w:fldCharType="end"/>
    </w:r>
  </w:p>
  <w:p w14:paraId="23A525CF" w14:textId="77777777" w:rsidR="00FF4C41" w:rsidRDefault="00FF4C41">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A129" w14:textId="77777777" w:rsidR="0054026B" w:rsidRDefault="005402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7F7F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278E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7182074C"/>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CD328E16"/>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70EA60A0"/>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EE9EC542"/>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61208E2C"/>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528AC764"/>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CBB810C0"/>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189EC436"/>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0E5E72F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03F2CE5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FA0E3B"/>
    <w:multiLevelType w:val="hybridMultilevel"/>
    <w:tmpl w:val="AEA0E6F2"/>
    <w:lvl w:ilvl="0" w:tplc="7D4C2A42">
      <w:start w:val="1"/>
      <w:numFmt w:val="decimal"/>
      <w:lvlText w:val="%1."/>
      <w:lvlJc w:val="left"/>
      <w:pPr>
        <w:ind w:left="1080" w:hanging="360"/>
      </w:pPr>
      <w:rPr>
        <w:rFonts w:hint="default"/>
      </w:rPr>
    </w:lvl>
    <w:lvl w:ilvl="1" w:tplc="B0CAE5C0" w:tentative="1">
      <w:start w:val="1"/>
      <w:numFmt w:val="lowerLetter"/>
      <w:lvlText w:val="%2."/>
      <w:lvlJc w:val="left"/>
      <w:pPr>
        <w:ind w:left="1800" w:hanging="360"/>
      </w:pPr>
    </w:lvl>
    <w:lvl w:ilvl="2" w:tplc="BE3C9166" w:tentative="1">
      <w:start w:val="1"/>
      <w:numFmt w:val="lowerRoman"/>
      <w:lvlText w:val="%3."/>
      <w:lvlJc w:val="right"/>
      <w:pPr>
        <w:ind w:left="2520" w:hanging="180"/>
      </w:pPr>
    </w:lvl>
    <w:lvl w:ilvl="3" w:tplc="938E4F44" w:tentative="1">
      <w:start w:val="1"/>
      <w:numFmt w:val="decimal"/>
      <w:lvlText w:val="%4."/>
      <w:lvlJc w:val="left"/>
      <w:pPr>
        <w:ind w:left="3240" w:hanging="360"/>
      </w:pPr>
    </w:lvl>
    <w:lvl w:ilvl="4" w:tplc="436854A8" w:tentative="1">
      <w:start w:val="1"/>
      <w:numFmt w:val="lowerLetter"/>
      <w:lvlText w:val="%5."/>
      <w:lvlJc w:val="left"/>
      <w:pPr>
        <w:ind w:left="3960" w:hanging="360"/>
      </w:pPr>
    </w:lvl>
    <w:lvl w:ilvl="5" w:tplc="42A8A8E8" w:tentative="1">
      <w:start w:val="1"/>
      <w:numFmt w:val="lowerRoman"/>
      <w:lvlText w:val="%6."/>
      <w:lvlJc w:val="right"/>
      <w:pPr>
        <w:ind w:left="4680" w:hanging="180"/>
      </w:pPr>
    </w:lvl>
    <w:lvl w:ilvl="6" w:tplc="62221122" w:tentative="1">
      <w:start w:val="1"/>
      <w:numFmt w:val="decimal"/>
      <w:lvlText w:val="%7."/>
      <w:lvlJc w:val="left"/>
      <w:pPr>
        <w:ind w:left="5400" w:hanging="360"/>
      </w:pPr>
    </w:lvl>
    <w:lvl w:ilvl="7" w:tplc="CA0471D4" w:tentative="1">
      <w:start w:val="1"/>
      <w:numFmt w:val="lowerLetter"/>
      <w:lvlText w:val="%8."/>
      <w:lvlJc w:val="left"/>
      <w:pPr>
        <w:ind w:left="6120" w:hanging="360"/>
      </w:pPr>
    </w:lvl>
    <w:lvl w:ilvl="8" w:tplc="760C4A0E" w:tentative="1">
      <w:start w:val="1"/>
      <w:numFmt w:val="lowerRoman"/>
      <w:lvlText w:val="%9."/>
      <w:lvlJc w:val="right"/>
      <w:pPr>
        <w:ind w:left="6840" w:hanging="180"/>
      </w:pPr>
    </w:lvl>
  </w:abstractNum>
  <w:abstractNum w:abstractNumId="13" w15:restartNumberingAfterBreak="0">
    <w:nsid w:val="02790C75"/>
    <w:multiLevelType w:val="multilevel"/>
    <w:tmpl w:val="482E943A"/>
    <w:numStyleLink w:val="Style1"/>
  </w:abstractNum>
  <w:abstractNum w:abstractNumId="14" w15:restartNumberingAfterBreak="0">
    <w:nsid w:val="02DC61CC"/>
    <w:multiLevelType w:val="multilevel"/>
    <w:tmpl w:val="ADB81D1C"/>
    <w:styleLink w:val="Style6"/>
    <w:lvl w:ilvl="0">
      <w:start w:val="1"/>
      <w:numFmt w:val="bullet"/>
      <w:lvlText w:val=""/>
      <w:lvlJc w:val="center"/>
      <w:pPr>
        <w:ind w:left="1068"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5676215"/>
    <w:multiLevelType w:val="hybridMultilevel"/>
    <w:tmpl w:val="33A83012"/>
    <w:lvl w:ilvl="0" w:tplc="75B2BEA8">
      <w:start w:val="1"/>
      <w:numFmt w:val="bullet"/>
      <w:lvlText w:val=""/>
      <w:lvlJc w:val="left"/>
      <w:pPr>
        <w:ind w:left="2188" w:hanging="360"/>
      </w:pPr>
      <w:rPr>
        <w:rFonts w:ascii="Symbol" w:hAnsi="Symbol" w:hint="default"/>
      </w:rPr>
    </w:lvl>
    <w:lvl w:ilvl="1" w:tplc="B6DA5FF4" w:tentative="1">
      <w:start w:val="1"/>
      <w:numFmt w:val="bullet"/>
      <w:lvlText w:val="o"/>
      <w:lvlJc w:val="left"/>
      <w:pPr>
        <w:ind w:left="2908" w:hanging="360"/>
      </w:pPr>
      <w:rPr>
        <w:rFonts w:ascii="Courier New" w:hAnsi="Courier New" w:cs="Courier New" w:hint="default"/>
      </w:rPr>
    </w:lvl>
    <w:lvl w:ilvl="2" w:tplc="9576676E" w:tentative="1">
      <w:start w:val="1"/>
      <w:numFmt w:val="bullet"/>
      <w:lvlText w:val=""/>
      <w:lvlJc w:val="left"/>
      <w:pPr>
        <w:ind w:left="3628" w:hanging="360"/>
      </w:pPr>
      <w:rPr>
        <w:rFonts w:ascii="Wingdings" w:hAnsi="Wingdings" w:hint="default"/>
      </w:rPr>
    </w:lvl>
    <w:lvl w:ilvl="3" w:tplc="491403B6" w:tentative="1">
      <w:start w:val="1"/>
      <w:numFmt w:val="bullet"/>
      <w:lvlText w:val=""/>
      <w:lvlJc w:val="left"/>
      <w:pPr>
        <w:ind w:left="4348" w:hanging="360"/>
      </w:pPr>
      <w:rPr>
        <w:rFonts w:ascii="Symbol" w:hAnsi="Symbol" w:hint="default"/>
      </w:rPr>
    </w:lvl>
    <w:lvl w:ilvl="4" w:tplc="DC80AC4C" w:tentative="1">
      <w:start w:val="1"/>
      <w:numFmt w:val="bullet"/>
      <w:lvlText w:val="o"/>
      <w:lvlJc w:val="left"/>
      <w:pPr>
        <w:ind w:left="5068" w:hanging="360"/>
      </w:pPr>
      <w:rPr>
        <w:rFonts w:ascii="Courier New" w:hAnsi="Courier New" w:cs="Courier New" w:hint="default"/>
      </w:rPr>
    </w:lvl>
    <w:lvl w:ilvl="5" w:tplc="4C7CBAAC" w:tentative="1">
      <w:start w:val="1"/>
      <w:numFmt w:val="bullet"/>
      <w:lvlText w:val=""/>
      <w:lvlJc w:val="left"/>
      <w:pPr>
        <w:ind w:left="5788" w:hanging="360"/>
      </w:pPr>
      <w:rPr>
        <w:rFonts w:ascii="Wingdings" w:hAnsi="Wingdings" w:hint="default"/>
      </w:rPr>
    </w:lvl>
    <w:lvl w:ilvl="6" w:tplc="DDA8FFFC" w:tentative="1">
      <w:start w:val="1"/>
      <w:numFmt w:val="bullet"/>
      <w:lvlText w:val=""/>
      <w:lvlJc w:val="left"/>
      <w:pPr>
        <w:ind w:left="6508" w:hanging="360"/>
      </w:pPr>
      <w:rPr>
        <w:rFonts w:ascii="Symbol" w:hAnsi="Symbol" w:hint="default"/>
      </w:rPr>
    </w:lvl>
    <w:lvl w:ilvl="7" w:tplc="308CDE9C" w:tentative="1">
      <w:start w:val="1"/>
      <w:numFmt w:val="bullet"/>
      <w:lvlText w:val="o"/>
      <w:lvlJc w:val="left"/>
      <w:pPr>
        <w:ind w:left="7228" w:hanging="360"/>
      </w:pPr>
      <w:rPr>
        <w:rFonts w:ascii="Courier New" w:hAnsi="Courier New" w:cs="Courier New" w:hint="default"/>
      </w:rPr>
    </w:lvl>
    <w:lvl w:ilvl="8" w:tplc="8280FBD2" w:tentative="1">
      <w:start w:val="1"/>
      <w:numFmt w:val="bullet"/>
      <w:lvlText w:val=""/>
      <w:lvlJc w:val="left"/>
      <w:pPr>
        <w:ind w:left="7948" w:hanging="360"/>
      </w:pPr>
      <w:rPr>
        <w:rFonts w:ascii="Wingdings" w:hAnsi="Wingdings" w:hint="default"/>
      </w:rPr>
    </w:lvl>
  </w:abstractNum>
  <w:abstractNum w:abstractNumId="16" w15:restartNumberingAfterBreak="0">
    <w:nsid w:val="08347517"/>
    <w:multiLevelType w:val="hybridMultilevel"/>
    <w:tmpl w:val="AF84D562"/>
    <w:lvl w:ilvl="0" w:tplc="0944BA74">
      <w:start w:val="2"/>
      <w:numFmt w:val="bullet"/>
      <w:lvlText w:val="-"/>
      <w:lvlJc w:val="left"/>
      <w:pPr>
        <w:ind w:left="720" w:hanging="360"/>
      </w:pPr>
      <w:rPr>
        <w:rFonts w:ascii="Arial" w:eastAsia="Times New Roman" w:hAnsi="Arial" w:cs="Arial" w:hint="default"/>
      </w:rPr>
    </w:lvl>
    <w:lvl w:ilvl="1" w:tplc="74184FAA" w:tentative="1">
      <w:start w:val="1"/>
      <w:numFmt w:val="bullet"/>
      <w:lvlText w:val="o"/>
      <w:lvlJc w:val="left"/>
      <w:pPr>
        <w:ind w:left="1440" w:hanging="360"/>
      </w:pPr>
      <w:rPr>
        <w:rFonts w:ascii="Courier New" w:hAnsi="Courier New" w:cs="Courier New" w:hint="default"/>
      </w:rPr>
    </w:lvl>
    <w:lvl w:ilvl="2" w:tplc="A16C1A1E" w:tentative="1">
      <w:start w:val="1"/>
      <w:numFmt w:val="bullet"/>
      <w:lvlText w:val=""/>
      <w:lvlJc w:val="left"/>
      <w:pPr>
        <w:ind w:left="2160" w:hanging="360"/>
      </w:pPr>
      <w:rPr>
        <w:rFonts w:ascii="Wingdings" w:hAnsi="Wingdings" w:hint="default"/>
      </w:rPr>
    </w:lvl>
    <w:lvl w:ilvl="3" w:tplc="4A7ABD1A" w:tentative="1">
      <w:start w:val="1"/>
      <w:numFmt w:val="bullet"/>
      <w:lvlText w:val=""/>
      <w:lvlJc w:val="left"/>
      <w:pPr>
        <w:ind w:left="2880" w:hanging="360"/>
      </w:pPr>
      <w:rPr>
        <w:rFonts w:ascii="Symbol" w:hAnsi="Symbol" w:hint="default"/>
      </w:rPr>
    </w:lvl>
    <w:lvl w:ilvl="4" w:tplc="3094F666" w:tentative="1">
      <w:start w:val="1"/>
      <w:numFmt w:val="bullet"/>
      <w:lvlText w:val="o"/>
      <w:lvlJc w:val="left"/>
      <w:pPr>
        <w:ind w:left="3600" w:hanging="360"/>
      </w:pPr>
      <w:rPr>
        <w:rFonts w:ascii="Courier New" w:hAnsi="Courier New" w:cs="Courier New" w:hint="default"/>
      </w:rPr>
    </w:lvl>
    <w:lvl w:ilvl="5" w:tplc="3536A092" w:tentative="1">
      <w:start w:val="1"/>
      <w:numFmt w:val="bullet"/>
      <w:lvlText w:val=""/>
      <w:lvlJc w:val="left"/>
      <w:pPr>
        <w:ind w:left="4320" w:hanging="360"/>
      </w:pPr>
      <w:rPr>
        <w:rFonts w:ascii="Wingdings" w:hAnsi="Wingdings" w:hint="default"/>
      </w:rPr>
    </w:lvl>
    <w:lvl w:ilvl="6" w:tplc="6884F44A" w:tentative="1">
      <w:start w:val="1"/>
      <w:numFmt w:val="bullet"/>
      <w:lvlText w:val=""/>
      <w:lvlJc w:val="left"/>
      <w:pPr>
        <w:ind w:left="5040" w:hanging="360"/>
      </w:pPr>
      <w:rPr>
        <w:rFonts w:ascii="Symbol" w:hAnsi="Symbol" w:hint="default"/>
      </w:rPr>
    </w:lvl>
    <w:lvl w:ilvl="7" w:tplc="834EADD8" w:tentative="1">
      <w:start w:val="1"/>
      <w:numFmt w:val="bullet"/>
      <w:lvlText w:val="o"/>
      <w:lvlJc w:val="left"/>
      <w:pPr>
        <w:ind w:left="5760" w:hanging="360"/>
      </w:pPr>
      <w:rPr>
        <w:rFonts w:ascii="Courier New" w:hAnsi="Courier New" w:cs="Courier New" w:hint="default"/>
      </w:rPr>
    </w:lvl>
    <w:lvl w:ilvl="8" w:tplc="A5C4FFA2" w:tentative="1">
      <w:start w:val="1"/>
      <w:numFmt w:val="bullet"/>
      <w:lvlText w:val=""/>
      <w:lvlJc w:val="left"/>
      <w:pPr>
        <w:ind w:left="6480" w:hanging="360"/>
      </w:pPr>
      <w:rPr>
        <w:rFonts w:ascii="Wingdings" w:hAnsi="Wingdings" w:hint="default"/>
      </w:rPr>
    </w:lvl>
  </w:abstractNum>
  <w:abstractNum w:abstractNumId="17" w15:restartNumberingAfterBreak="0">
    <w:nsid w:val="085E3794"/>
    <w:multiLevelType w:val="hybridMultilevel"/>
    <w:tmpl w:val="4A6A35C4"/>
    <w:lvl w:ilvl="0" w:tplc="4AD0667A">
      <w:start w:val="18"/>
      <w:numFmt w:val="bullet"/>
      <w:lvlText w:val="-"/>
      <w:lvlJc w:val="left"/>
      <w:pPr>
        <w:ind w:left="720" w:hanging="360"/>
      </w:pPr>
      <w:rPr>
        <w:rFonts w:ascii="Arial" w:eastAsia="Calibri" w:hAnsi="Arial" w:cs="Arial" w:hint="default"/>
      </w:rPr>
    </w:lvl>
    <w:lvl w:ilvl="1" w:tplc="EFA8C3B2" w:tentative="1">
      <w:start w:val="1"/>
      <w:numFmt w:val="bullet"/>
      <w:lvlText w:val="o"/>
      <w:lvlJc w:val="left"/>
      <w:pPr>
        <w:ind w:left="1440" w:hanging="360"/>
      </w:pPr>
      <w:rPr>
        <w:rFonts w:ascii="Courier New" w:hAnsi="Courier New" w:cs="Courier New" w:hint="default"/>
      </w:rPr>
    </w:lvl>
    <w:lvl w:ilvl="2" w:tplc="037AA272" w:tentative="1">
      <w:start w:val="1"/>
      <w:numFmt w:val="bullet"/>
      <w:lvlText w:val=""/>
      <w:lvlJc w:val="left"/>
      <w:pPr>
        <w:ind w:left="2160" w:hanging="360"/>
      </w:pPr>
      <w:rPr>
        <w:rFonts w:ascii="Wingdings" w:hAnsi="Wingdings" w:hint="default"/>
      </w:rPr>
    </w:lvl>
    <w:lvl w:ilvl="3" w:tplc="898C694A" w:tentative="1">
      <w:start w:val="1"/>
      <w:numFmt w:val="bullet"/>
      <w:lvlText w:val=""/>
      <w:lvlJc w:val="left"/>
      <w:pPr>
        <w:ind w:left="2880" w:hanging="360"/>
      </w:pPr>
      <w:rPr>
        <w:rFonts w:ascii="Symbol" w:hAnsi="Symbol" w:hint="default"/>
      </w:rPr>
    </w:lvl>
    <w:lvl w:ilvl="4" w:tplc="BBF42D1C" w:tentative="1">
      <w:start w:val="1"/>
      <w:numFmt w:val="bullet"/>
      <w:lvlText w:val="o"/>
      <w:lvlJc w:val="left"/>
      <w:pPr>
        <w:ind w:left="3600" w:hanging="360"/>
      </w:pPr>
      <w:rPr>
        <w:rFonts w:ascii="Courier New" w:hAnsi="Courier New" w:cs="Courier New" w:hint="default"/>
      </w:rPr>
    </w:lvl>
    <w:lvl w:ilvl="5" w:tplc="EDAEDF76" w:tentative="1">
      <w:start w:val="1"/>
      <w:numFmt w:val="bullet"/>
      <w:lvlText w:val=""/>
      <w:lvlJc w:val="left"/>
      <w:pPr>
        <w:ind w:left="4320" w:hanging="360"/>
      </w:pPr>
      <w:rPr>
        <w:rFonts w:ascii="Wingdings" w:hAnsi="Wingdings" w:hint="default"/>
      </w:rPr>
    </w:lvl>
    <w:lvl w:ilvl="6" w:tplc="50B22F3C" w:tentative="1">
      <w:start w:val="1"/>
      <w:numFmt w:val="bullet"/>
      <w:lvlText w:val=""/>
      <w:lvlJc w:val="left"/>
      <w:pPr>
        <w:ind w:left="5040" w:hanging="360"/>
      </w:pPr>
      <w:rPr>
        <w:rFonts w:ascii="Symbol" w:hAnsi="Symbol" w:hint="default"/>
      </w:rPr>
    </w:lvl>
    <w:lvl w:ilvl="7" w:tplc="965826F6" w:tentative="1">
      <w:start w:val="1"/>
      <w:numFmt w:val="bullet"/>
      <w:lvlText w:val="o"/>
      <w:lvlJc w:val="left"/>
      <w:pPr>
        <w:ind w:left="5760" w:hanging="360"/>
      </w:pPr>
      <w:rPr>
        <w:rFonts w:ascii="Courier New" w:hAnsi="Courier New" w:cs="Courier New" w:hint="default"/>
      </w:rPr>
    </w:lvl>
    <w:lvl w:ilvl="8" w:tplc="FB4C1A06" w:tentative="1">
      <w:start w:val="1"/>
      <w:numFmt w:val="bullet"/>
      <w:lvlText w:val=""/>
      <w:lvlJc w:val="left"/>
      <w:pPr>
        <w:ind w:left="6480" w:hanging="360"/>
      </w:pPr>
      <w:rPr>
        <w:rFonts w:ascii="Wingdings" w:hAnsi="Wingdings" w:hint="default"/>
      </w:rPr>
    </w:lvl>
  </w:abstractNum>
  <w:abstractNum w:abstractNumId="18" w15:restartNumberingAfterBreak="0">
    <w:nsid w:val="0BFB500F"/>
    <w:multiLevelType w:val="hybridMultilevel"/>
    <w:tmpl w:val="45BCBA14"/>
    <w:lvl w:ilvl="0" w:tplc="E0B64A6C">
      <w:start w:val="1"/>
      <w:numFmt w:val="decimal"/>
      <w:lvlText w:val="%1."/>
      <w:lvlJc w:val="left"/>
      <w:pPr>
        <w:ind w:left="720" w:hanging="360"/>
      </w:pPr>
      <w:rPr>
        <w:rFonts w:hint="default"/>
      </w:rPr>
    </w:lvl>
    <w:lvl w:ilvl="1" w:tplc="8FC272C2" w:tentative="1">
      <w:start w:val="1"/>
      <w:numFmt w:val="lowerLetter"/>
      <w:lvlText w:val="%2."/>
      <w:lvlJc w:val="left"/>
      <w:pPr>
        <w:ind w:left="1440" w:hanging="360"/>
      </w:pPr>
    </w:lvl>
    <w:lvl w:ilvl="2" w:tplc="F73A145E" w:tentative="1">
      <w:start w:val="1"/>
      <w:numFmt w:val="lowerRoman"/>
      <w:lvlText w:val="%3."/>
      <w:lvlJc w:val="right"/>
      <w:pPr>
        <w:ind w:left="2160" w:hanging="180"/>
      </w:pPr>
    </w:lvl>
    <w:lvl w:ilvl="3" w:tplc="DAE62762" w:tentative="1">
      <w:start w:val="1"/>
      <w:numFmt w:val="decimal"/>
      <w:lvlText w:val="%4."/>
      <w:lvlJc w:val="left"/>
      <w:pPr>
        <w:ind w:left="2880" w:hanging="360"/>
      </w:pPr>
    </w:lvl>
    <w:lvl w:ilvl="4" w:tplc="662AD874" w:tentative="1">
      <w:start w:val="1"/>
      <w:numFmt w:val="lowerLetter"/>
      <w:lvlText w:val="%5."/>
      <w:lvlJc w:val="left"/>
      <w:pPr>
        <w:ind w:left="3600" w:hanging="360"/>
      </w:pPr>
    </w:lvl>
    <w:lvl w:ilvl="5" w:tplc="9AC4E416" w:tentative="1">
      <w:start w:val="1"/>
      <w:numFmt w:val="lowerRoman"/>
      <w:lvlText w:val="%6."/>
      <w:lvlJc w:val="right"/>
      <w:pPr>
        <w:ind w:left="4320" w:hanging="180"/>
      </w:pPr>
    </w:lvl>
    <w:lvl w:ilvl="6" w:tplc="AE8A89AE" w:tentative="1">
      <w:start w:val="1"/>
      <w:numFmt w:val="decimal"/>
      <w:lvlText w:val="%7."/>
      <w:lvlJc w:val="left"/>
      <w:pPr>
        <w:ind w:left="5040" w:hanging="360"/>
      </w:pPr>
    </w:lvl>
    <w:lvl w:ilvl="7" w:tplc="80722946" w:tentative="1">
      <w:start w:val="1"/>
      <w:numFmt w:val="lowerLetter"/>
      <w:lvlText w:val="%8."/>
      <w:lvlJc w:val="left"/>
      <w:pPr>
        <w:ind w:left="5760" w:hanging="360"/>
      </w:pPr>
    </w:lvl>
    <w:lvl w:ilvl="8" w:tplc="C3BA4A5E" w:tentative="1">
      <w:start w:val="1"/>
      <w:numFmt w:val="lowerRoman"/>
      <w:lvlText w:val="%9."/>
      <w:lvlJc w:val="right"/>
      <w:pPr>
        <w:ind w:left="6480" w:hanging="180"/>
      </w:pPr>
    </w:lvl>
  </w:abstractNum>
  <w:abstractNum w:abstractNumId="19" w15:restartNumberingAfterBreak="0">
    <w:nsid w:val="113D01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2366644"/>
    <w:multiLevelType w:val="hybridMultilevel"/>
    <w:tmpl w:val="8C620744"/>
    <w:lvl w:ilvl="0" w:tplc="7A86ECCE">
      <w:start w:val="1"/>
      <w:numFmt w:val="lowerLetter"/>
      <w:lvlText w:val="%1)"/>
      <w:lvlJc w:val="left"/>
      <w:pPr>
        <w:ind w:left="1080" w:hanging="360"/>
      </w:pPr>
      <w:rPr>
        <w:rFonts w:hint="default"/>
      </w:rPr>
    </w:lvl>
    <w:lvl w:ilvl="1" w:tplc="3B2EDE68" w:tentative="1">
      <w:start w:val="1"/>
      <w:numFmt w:val="lowerLetter"/>
      <w:lvlText w:val="%2."/>
      <w:lvlJc w:val="left"/>
      <w:pPr>
        <w:ind w:left="1800" w:hanging="360"/>
      </w:pPr>
    </w:lvl>
    <w:lvl w:ilvl="2" w:tplc="FA02C5DA" w:tentative="1">
      <w:start w:val="1"/>
      <w:numFmt w:val="lowerRoman"/>
      <w:lvlText w:val="%3."/>
      <w:lvlJc w:val="right"/>
      <w:pPr>
        <w:ind w:left="2520" w:hanging="180"/>
      </w:pPr>
    </w:lvl>
    <w:lvl w:ilvl="3" w:tplc="BB70605C" w:tentative="1">
      <w:start w:val="1"/>
      <w:numFmt w:val="decimal"/>
      <w:lvlText w:val="%4."/>
      <w:lvlJc w:val="left"/>
      <w:pPr>
        <w:ind w:left="3240" w:hanging="360"/>
      </w:pPr>
    </w:lvl>
    <w:lvl w:ilvl="4" w:tplc="40C0551E" w:tentative="1">
      <w:start w:val="1"/>
      <w:numFmt w:val="lowerLetter"/>
      <w:lvlText w:val="%5."/>
      <w:lvlJc w:val="left"/>
      <w:pPr>
        <w:ind w:left="3960" w:hanging="360"/>
      </w:pPr>
    </w:lvl>
    <w:lvl w:ilvl="5" w:tplc="D20A8764" w:tentative="1">
      <w:start w:val="1"/>
      <w:numFmt w:val="lowerRoman"/>
      <w:lvlText w:val="%6."/>
      <w:lvlJc w:val="right"/>
      <w:pPr>
        <w:ind w:left="4680" w:hanging="180"/>
      </w:pPr>
    </w:lvl>
    <w:lvl w:ilvl="6" w:tplc="79D0B278" w:tentative="1">
      <w:start w:val="1"/>
      <w:numFmt w:val="decimal"/>
      <w:lvlText w:val="%7."/>
      <w:lvlJc w:val="left"/>
      <w:pPr>
        <w:ind w:left="5400" w:hanging="360"/>
      </w:pPr>
    </w:lvl>
    <w:lvl w:ilvl="7" w:tplc="54E4123C" w:tentative="1">
      <w:start w:val="1"/>
      <w:numFmt w:val="lowerLetter"/>
      <w:lvlText w:val="%8."/>
      <w:lvlJc w:val="left"/>
      <w:pPr>
        <w:ind w:left="6120" w:hanging="360"/>
      </w:pPr>
    </w:lvl>
    <w:lvl w:ilvl="8" w:tplc="CF6888BE" w:tentative="1">
      <w:start w:val="1"/>
      <w:numFmt w:val="lowerRoman"/>
      <w:lvlText w:val="%9."/>
      <w:lvlJc w:val="right"/>
      <w:pPr>
        <w:ind w:left="6840" w:hanging="180"/>
      </w:pPr>
    </w:lvl>
  </w:abstractNum>
  <w:abstractNum w:abstractNumId="21" w15:restartNumberingAfterBreak="0">
    <w:nsid w:val="18B75092"/>
    <w:multiLevelType w:val="hybridMultilevel"/>
    <w:tmpl w:val="72443420"/>
    <w:lvl w:ilvl="0" w:tplc="A34058BA">
      <w:start w:val="1"/>
      <w:numFmt w:val="bullet"/>
      <w:lvlText w:val=""/>
      <w:lvlJc w:val="left"/>
      <w:pPr>
        <w:ind w:left="720" w:hanging="360"/>
      </w:pPr>
      <w:rPr>
        <w:rFonts w:ascii="Symbol" w:hAnsi="Symbol" w:hint="default"/>
      </w:rPr>
    </w:lvl>
    <w:lvl w:ilvl="1" w:tplc="68FE72CC" w:tentative="1">
      <w:start w:val="1"/>
      <w:numFmt w:val="bullet"/>
      <w:lvlText w:val="o"/>
      <w:lvlJc w:val="left"/>
      <w:pPr>
        <w:ind w:left="1440" w:hanging="360"/>
      </w:pPr>
      <w:rPr>
        <w:rFonts w:ascii="Courier New" w:hAnsi="Courier New" w:cs="Courier New" w:hint="default"/>
      </w:rPr>
    </w:lvl>
    <w:lvl w:ilvl="2" w:tplc="97700B08" w:tentative="1">
      <w:start w:val="1"/>
      <w:numFmt w:val="bullet"/>
      <w:lvlText w:val=""/>
      <w:lvlJc w:val="left"/>
      <w:pPr>
        <w:ind w:left="2160" w:hanging="360"/>
      </w:pPr>
      <w:rPr>
        <w:rFonts w:ascii="Wingdings" w:hAnsi="Wingdings" w:hint="default"/>
      </w:rPr>
    </w:lvl>
    <w:lvl w:ilvl="3" w:tplc="9A8A4B6C" w:tentative="1">
      <w:start w:val="1"/>
      <w:numFmt w:val="bullet"/>
      <w:lvlText w:val=""/>
      <w:lvlJc w:val="left"/>
      <w:pPr>
        <w:ind w:left="2880" w:hanging="360"/>
      </w:pPr>
      <w:rPr>
        <w:rFonts w:ascii="Symbol" w:hAnsi="Symbol" w:hint="default"/>
      </w:rPr>
    </w:lvl>
    <w:lvl w:ilvl="4" w:tplc="E69C6D0E" w:tentative="1">
      <w:start w:val="1"/>
      <w:numFmt w:val="bullet"/>
      <w:lvlText w:val="o"/>
      <w:lvlJc w:val="left"/>
      <w:pPr>
        <w:ind w:left="3600" w:hanging="360"/>
      </w:pPr>
      <w:rPr>
        <w:rFonts w:ascii="Courier New" w:hAnsi="Courier New" w:cs="Courier New" w:hint="default"/>
      </w:rPr>
    </w:lvl>
    <w:lvl w:ilvl="5" w:tplc="213A2ADA" w:tentative="1">
      <w:start w:val="1"/>
      <w:numFmt w:val="bullet"/>
      <w:lvlText w:val=""/>
      <w:lvlJc w:val="left"/>
      <w:pPr>
        <w:ind w:left="4320" w:hanging="360"/>
      </w:pPr>
      <w:rPr>
        <w:rFonts w:ascii="Wingdings" w:hAnsi="Wingdings" w:hint="default"/>
      </w:rPr>
    </w:lvl>
    <w:lvl w:ilvl="6" w:tplc="4C086446" w:tentative="1">
      <w:start w:val="1"/>
      <w:numFmt w:val="bullet"/>
      <w:lvlText w:val=""/>
      <w:lvlJc w:val="left"/>
      <w:pPr>
        <w:ind w:left="5040" w:hanging="360"/>
      </w:pPr>
      <w:rPr>
        <w:rFonts w:ascii="Symbol" w:hAnsi="Symbol" w:hint="default"/>
      </w:rPr>
    </w:lvl>
    <w:lvl w:ilvl="7" w:tplc="4B0EC280" w:tentative="1">
      <w:start w:val="1"/>
      <w:numFmt w:val="bullet"/>
      <w:lvlText w:val="o"/>
      <w:lvlJc w:val="left"/>
      <w:pPr>
        <w:ind w:left="5760" w:hanging="360"/>
      </w:pPr>
      <w:rPr>
        <w:rFonts w:ascii="Courier New" w:hAnsi="Courier New" w:cs="Courier New" w:hint="default"/>
      </w:rPr>
    </w:lvl>
    <w:lvl w:ilvl="8" w:tplc="377A9DC6" w:tentative="1">
      <w:start w:val="1"/>
      <w:numFmt w:val="bullet"/>
      <w:lvlText w:val=""/>
      <w:lvlJc w:val="left"/>
      <w:pPr>
        <w:ind w:left="6480" w:hanging="360"/>
      </w:pPr>
      <w:rPr>
        <w:rFonts w:ascii="Wingdings" w:hAnsi="Wingdings" w:hint="default"/>
      </w:rPr>
    </w:lvl>
  </w:abstractNum>
  <w:abstractNum w:abstractNumId="22" w15:restartNumberingAfterBreak="0">
    <w:nsid w:val="256B24A4"/>
    <w:multiLevelType w:val="hybridMultilevel"/>
    <w:tmpl w:val="2C40FCAE"/>
    <w:lvl w:ilvl="0" w:tplc="652E2BEE">
      <w:start w:val="1"/>
      <w:numFmt w:val="upperLetter"/>
      <w:lvlText w:val="%1)"/>
      <w:lvlJc w:val="left"/>
      <w:pPr>
        <w:ind w:left="1094" w:hanging="360"/>
      </w:pPr>
      <w:rPr>
        <w:rFonts w:hint="default"/>
      </w:rPr>
    </w:lvl>
    <w:lvl w:ilvl="1" w:tplc="D0640F14" w:tentative="1">
      <w:start w:val="1"/>
      <w:numFmt w:val="lowerLetter"/>
      <w:lvlText w:val="%2."/>
      <w:lvlJc w:val="left"/>
      <w:pPr>
        <w:ind w:left="1814" w:hanging="360"/>
      </w:pPr>
    </w:lvl>
    <w:lvl w:ilvl="2" w:tplc="F4642608" w:tentative="1">
      <w:start w:val="1"/>
      <w:numFmt w:val="lowerRoman"/>
      <w:lvlText w:val="%3."/>
      <w:lvlJc w:val="right"/>
      <w:pPr>
        <w:ind w:left="2534" w:hanging="180"/>
      </w:pPr>
    </w:lvl>
    <w:lvl w:ilvl="3" w:tplc="436AAC72" w:tentative="1">
      <w:start w:val="1"/>
      <w:numFmt w:val="decimal"/>
      <w:lvlText w:val="%4."/>
      <w:lvlJc w:val="left"/>
      <w:pPr>
        <w:ind w:left="3254" w:hanging="360"/>
      </w:pPr>
    </w:lvl>
    <w:lvl w:ilvl="4" w:tplc="09C66DBE" w:tentative="1">
      <w:start w:val="1"/>
      <w:numFmt w:val="lowerLetter"/>
      <w:lvlText w:val="%5."/>
      <w:lvlJc w:val="left"/>
      <w:pPr>
        <w:ind w:left="3974" w:hanging="360"/>
      </w:pPr>
    </w:lvl>
    <w:lvl w:ilvl="5" w:tplc="9CF4ED2C" w:tentative="1">
      <w:start w:val="1"/>
      <w:numFmt w:val="lowerRoman"/>
      <w:lvlText w:val="%6."/>
      <w:lvlJc w:val="right"/>
      <w:pPr>
        <w:ind w:left="4694" w:hanging="180"/>
      </w:pPr>
    </w:lvl>
    <w:lvl w:ilvl="6" w:tplc="33EC3C58" w:tentative="1">
      <w:start w:val="1"/>
      <w:numFmt w:val="decimal"/>
      <w:lvlText w:val="%7."/>
      <w:lvlJc w:val="left"/>
      <w:pPr>
        <w:ind w:left="5414" w:hanging="360"/>
      </w:pPr>
    </w:lvl>
    <w:lvl w:ilvl="7" w:tplc="543C1BA8" w:tentative="1">
      <w:start w:val="1"/>
      <w:numFmt w:val="lowerLetter"/>
      <w:lvlText w:val="%8."/>
      <w:lvlJc w:val="left"/>
      <w:pPr>
        <w:ind w:left="6134" w:hanging="360"/>
      </w:pPr>
    </w:lvl>
    <w:lvl w:ilvl="8" w:tplc="55E6BAB0" w:tentative="1">
      <w:start w:val="1"/>
      <w:numFmt w:val="lowerRoman"/>
      <w:lvlText w:val="%9."/>
      <w:lvlJc w:val="right"/>
      <w:pPr>
        <w:ind w:left="6854" w:hanging="180"/>
      </w:pPr>
    </w:lvl>
  </w:abstractNum>
  <w:abstractNum w:abstractNumId="23" w15:restartNumberingAfterBreak="0">
    <w:nsid w:val="28BB52DE"/>
    <w:multiLevelType w:val="multilevel"/>
    <w:tmpl w:val="79E601F0"/>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A140529"/>
    <w:multiLevelType w:val="multilevel"/>
    <w:tmpl w:val="482E943A"/>
    <w:styleLink w:val="Style1"/>
    <w:lvl w:ilvl="0">
      <w:start w:val="1"/>
      <w:numFmt w:val="bullet"/>
      <w:lvlText w:val=""/>
      <w:lvlJc w:val="center"/>
      <w:pPr>
        <w:ind w:left="106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9452F9"/>
    <w:multiLevelType w:val="multilevel"/>
    <w:tmpl w:val="ADB81D1C"/>
    <w:numStyleLink w:val="Style5"/>
  </w:abstractNum>
  <w:abstractNum w:abstractNumId="26" w15:restartNumberingAfterBreak="0">
    <w:nsid w:val="38AF4ECE"/>
    <w:multiLevelType w:val="hybridMultilevel"/>
    <w:tmpl w:val="32C03652"/>
    <w:lvl w:ilvl="0" w:tplc="3484F6B6">
      <w:start w:val="2000"/>
      <w:numFmt w:val="decimal"/>
      <w:lvlText w:val="%1"/>
      <w:lvlJc w:val="left"/>
      <w:pPr>
        <w:ind w:left="1274" w:hanging="540"/>
      </w:pPr>
      <w:rPr>
        <w:rFonts w:hint="default"/>
      </w:rPr>
    </w:lvl>
    <w:lvl w:ilvl="1" w:tplc="0C0C0019" w:tentative="1">
      <w:start w:val="1"/>
      <w:numFmt w:val="lowerLetter"/>
      <w:lvlText w:val="%2."/>
      <w:lvlJc w:val="left"/>
      <w:pPr>
        <w:ind w:left="1814" w:hanging="360"/>
      </w:pPr>
    </w:lvl>
    <w:lvl w:ilvl="2" w:tplc="0C0C001B" w:tentative="1">
      <w:start w:val="1"/>
      <w:numFmt w:val="lowerRoman"/>
      <w:lvlText w:val="%3."/>
      <w:lvlJc w:val="right"/>
      <w:pPr>
        <w:ind w:left="2534" w:hanging="180"/>
      </w:pPr>
    </w:lvl>
    <w:lvl w:ilvl="3" w:tplc="0C0C000F" w:tentative="1">
      <w:start w:val="1"/>
      <w:numFmt w:val="decimal"/>
      <w:lvlText w:val="%4."/>
      <w:lvlJc w:val="left"/>
      <w:pPr>
        <w:ind w:left="3254" w:hanging="360"/>
      </w:pPr>
    </w:lvl>
    <w:lvl w:ilvl="4" w:tplc="0C0C0019" w:tentative="1">
      <w:start w:val="1"/>
      <w:numFmt w:val="lowerLetter"/>
      <w:lvlText w:val="%5."/>
      <w:lvlJc w:val="left"/>
      <w:pPr>
        <w:ind w:left="3974" w:hanging="360"/>
      </w:pPr>
    </w:lvl>
    <w:lvl w:ilvl="5" w:tplc="0C0C001B" w:tentative="1">
      <w:start w:val="1"/>
      <w:numFmt w:val="lowerRoman"/>
      <w:lvlText w:val="%6."/>
      <w:lvlJc w:val="right"/>
      <w:pPr>
        <w:ind w:left="4694" w:hanging="180"/>
      </w:pPr>
    </w:lvl>
    <w:lvl w:ilvl="6" w:tplc="0C0C000F" w:tentative="1">
      <w:start w:val="1"/>
      <w:numFmt w:val="decimal"/>
      <w:lvlText w:val="%7."/>
      <w:lvlJc w:val="left"/>
      <w:pPr>
        <w:ind w:left="5414" w:hanging="360"/>
      </w:pPr>
    </w:lvl>
    <w:lvl w:ilvl="7" w:tplc="0C0C0019" w:tentative="1">
      <w:start w:val="1"/>
      <w:numFmt w:val="lowerLetter"/>
      <w:lvlText w:val="%8."/>
      <w:lvlJc w:val="left"/>
      <w:pPr>
        <w:ind w:left="6134" w:hanging="360"/>
      </w:pPr>
    </w:lvl>
    <w:lvl w:ilvl="8" w:tplc="0C0C001B" w:tentative="1">
      <w:start w:val="1"/>
      <w:numFmt w:val="lowerRoman"/>
      <w:lvlText w:val="%9."/>
      <w:lvlJc w:val="right"/>
      <w:pPr>
        <w:ind w:left="6854" w:hanging="180"/>
      </w:pPr>
    </w:lvl>
  </w:abstractNum>
  <w:abstractNum w:abstractNumId="27" w15:restartNumberingAfterBreak="0">
    <w:nsid w:val="39FB0CEA"/>
    <w:multiLevelType w:val="hybridMultilevel"/>
    <w:tmpl w:val="342620B2"/>
    <w:lvl w:ilvl="0" w:tplc="DEB2F252">
      <w:start w:val="1"/>
      <w:numFmt w:val="bullet"/>
      <w:lvlText w:val=""/>
      <w:lvlJc w:val="left"/>
      <w:pPr>
        <w:ind w:left="1454" w:hanging="360"/>
      </w:pPr>
      <w:rPr>
        <w:rFonts w:ascii="Symbol" w:hAnsi="Symbol" w:hint="default"/>
      </w:rPr>
    </w:lvl>
    <w:lvl w:ilvl="1" w:tplc="FA0AF6CA" w:tentative="1">
      <w:start w:val="1"/>
      <w:numFmt w:val="bullet"/>
      <w:lvlText w:val="o"/>
      <w:lvlJc w:val="left"/>
      <w:pPr>
        <w:ind w:left="2174" w:hanging="360"/>
      </w:pPr>
      <w:rPr>
        <w:rFonts w:ascii="Courier New" w:hAnsi="Courier New" w:cs="Courier New" w:hint="default"/>
      </w:rPr>
    </w:lvl>
    <w:lvl w:ilvl="2" w:tplc="3B520CB8" w:tentative="1">
      <w:start w:val="1"/>
      <w:numFmt w:val="bullet"/>
      <w:lvlText w:val=""/>
      <w:lvlJc w:val="left"/>
      <w:pPr>
        <w:ind w:left="2894" w:hanging="360"/>
      </w:pPr>
      <w:rPr>
        <w:rFonts w:ascii="Wingdings" w:hAnsi="Wingdings" w:hint="default"/>
      </w:rPr>
    </w:lvl>
    <w:lvl w:ilvl="3" w:tplc="62864E74" w:tentative="1">
      <w:start w:val="1"/>
      <w:numFmt w:val="bullet"/>
      <w:lvlText w:val=""/>
      <w:lvlJc w:val="left"/>
      <w:pPr>
        <w:ind w:left="3614" w:hanging="360"/>
      </w:pPr>
      <w:rPr>
        <w:rFonts w:ascii="Symbol" w:hAnsi="Symbol" w:hint="default"/>
      </w:rPr>
    </w:lvl>
    <w:lvl w:ilvl="4" w:tplc="19A2BDFE" w:tentative="1">
      <w:start w:val="1"/>
      <w:numFmt w:val="bullet"/>
      <w:lvlText w:val="o"/>
      <w:lvlJc w:val="left"/>
      <w:pPr>
        <w:ind w:left="4334" w:hanging="360"/>
      </w:pPr>
      <w:rPr>
        <w:rFonts w:ascii="Courier New" w:hAnsi="Courier New" w:cs="Courier New" w:hint="default"/>
      </w:rPr>
    </w:lvl>
    <w:lvl w:ilvl="5" w:tplc="2E3864A8" w:tentative="1">
      <w:start w:val="1"/>
      <w:numFmt w:val="bullet"/>
      <w:lvlText w:val=""/>
      <w:lvlJc w:val="left"/>
      <w:pPr>
        <w:ind w:left="5054" w:hanging="360"/>
      </w:pPr>
      <w:rPr>
        <w:rFonts w:ascii="Wingdings" w:hAnsi="Wingdings" w:hint="default"/>
      </w:rPr>
    </w:lvl>
    <w:lvl w:ilvl="6" w:tplc="20C2026C" w:tentative="1">
      <w:start w:val="1"/>
      <w:numFmt w:val="bullet"/>
      <w:lvlText w:val=""/>
      <w:lvlJc w:val="left"/>
      <w:pPr>
        <w:ind w:left="5774" w:hanging="360"/>
      </w:pPr>
      <w:rPr>
        <w:rFonts w:ascii="Symbol" w:hAnsi="Symbol" w:hint="default"/>
      </w:rPr>
    </w:lvl>
    <w:lvl w:ilvl="7" w:tplc="41D6444A" w:tentative="1">
      <w:start w:val="1"/>
      <w:numFmt w:val="bullet"/>
      <w:lvlText w:val="o"/>
      <w:lvlJc w:val="left"/>
      <w:pPr>
        <w:ind w:left="6494" w:hanging="360"/>
      </w:pPr>
      <w:rPr>
        <w:rFonts w:ascii="Courier New" w:hAnsi="Courier New" w:cs="Courier New" w:hint="default"/>
      </w:rPr>
    </w:lvl>
    <w:lvl w:ilvl="8" w:tplc="5504FFC4" w:tentative="1">
      <w:start w:val="1"/>
      <w:numFmt w:val="bullet"/>
      <w:lvlText w:val=""/>
      <w:lvlJc w:val="left"/>
      <w:pPr>
        <w:ind w:left="7214" w:hanging="360"/>
      </w:pPr>
      <w:rPr>
        <w:rFonts w:ascii="Wingdings" w:hAnsi="Wingdings" w:hint="default"/>
      </w:rPr>
    </w:lvl>
  </w:abstractNum>
  <w:abstractNum w:abstractNumId="28" w15:restartNumberingAfterBreak="0">
    <w:nsid w:val="3CB35C30"/>
    <w:multiLevelType w:val="hybridMultilevel"/>
    <w:tmpl w:val="DB82CC58"/>
    <w:lvl w:ilvl="0" w:tplc="6778DF5C">
      <w:start w:val="1"/>
      <w:numFmt w:val="decimal"/>
      <w:lvlText w:val="[%1]"/>
      <w:lvlJc w:val="left"/>
      <w:pPr>
        <w:ind w:left="720" w:hanging="360"/>
      </w:pPr>
      <w:rPr>
        <w:rFonts w:hint="default"/>
      </w:rPr>
    </w:lvl>
    <w:lvl w:ilvl="1" w:tplc="646E2BD6" w:tentative="1">
      <w:start w:val="1"/>
      <w:numFmt w:val="lowerLetter"/>
      <w:lvlText w:val="%2."/>
      <w:lvlJc w:val="left"/>
      <w:pPr>
        <w:ind w:left="1440" w:hanging="360"/>
      </w:pPr>
    </w:lvl>
    <w:lvl w:ilvl="2" w:tplc="F75C31BC" w:tentative="1">
      <w:start w:val="1"/>
      <w:numFmt w:val="lowerRoman"/>
      <w:lvlText w:val="%3."/>
      <w:lvlJc w:val="right"/>
      <w:pPr>
        <w:ind w:left="2160" w:hanging="180"/>
      </w:pPr>
    </w:lvl>
    <w:lvl w:ilvl="3" w:tplc="4692A23C" w:tentative="1">
      <w:start w:val="1"/>
      <w:numFmt w:val="decimal"/>
      <w:lvlText w:val="%4."/>
      <w:lvlJc w:val="left"/>
      <w:pPr>
        <w:ind w:left="2880" w:hanging="360"/>
      </w:pPr>
    </w:lvl>
    <w:lvl w:ilvl="4" w:tplc="79C62042" w:tentative="1">
      <w:start w:val="1"/>
      <w:numFmt w:val="lowerLetter"/>
      <w:lvlText w:val="%5."/>
      <w:lvlJc w:val="left"/>
      <w:pPr>
        <w:ind w:left="3600" w:hanging="360"/>
      </w:pPr>
    </w:lvl>
    <w:lvl w:ilvl="5" w:tplc="00D41934" w:tentative="1">
      <w:start w:val="1"/>
      <w:numFmt w:val="lowerRoman"/>
      <w:lvlText w:val="%6."/>
      <w:lvlJc w:val="right"/>
      <w:pPr>
        <w:ind w:left="4320" w:hanging="180"/>
      </w:pPr>
    </w:lvl>
    <w:lvl w:ilvl="6" w:tplc="41E8CC76" w:tentative="1">
      <w:start w:val="1"/>
      <w:numFmt w:val="decimal"/>
      <w:lvlText w:val="%7."/>
      <w:lvlJc w:val="left"/>
      <w:pPr>
        <w:ind w:left="5040" w:hanging="360"/>
      </w:pPr>
    </w:lvl>
    <w:lvl w:ilvl="7" w:tplc="7F1608E8" w:tentative="1">
      <w:start w:val="1"/>
      <w:numFmt w:val="lowerLetter"/>
      <w:lvlText w:val="%8."/>
      <w:lvlJc w:val="left"/>
      <w:pPr>
        <w:ind w:left="5760" w:hanging="360"/>
      </w:pPr>
    </w:lvl>
    <w:lvl w:ilvl="8" w:tplc="03F883F0" w:tentative="1">
      <w:start w:val="1"/>
      <w:numFmt w:val="lowerRoman"/>
      <w:lvlText w:val="%9."/>
      <w:lvlJc w:val="right"/>
      <w:pPr>
        <w:ind w:left="6480" w:hanging="180"/>
      </w:pPr>
    </w:lvl>
  </w:abstractNum>
  <w:abstractNum w:abstractNumId="29" w15:restartNumberingAfterBreak="0">
    <w:nsid w:val="42BA09AD"/>
    <w:multiLevelType w:val="hybridMultilevel"/>
    <w:tmpl w:val="7BE6A49C"/>
    <w:lvl w:ilvl="0" w:tplc="00447C24">
      <w:start w:val="1"/>
      <w:numFmt w:val="upperLetter"/>
      <w:lvlText w:val="%1."/>
      <w:lvlJc w:val="left"/>
      <w:pPr>
        <w:ind w:left="720" w:hanging="360"/>
      </w:pPr>
    </w:lvl>
    <w:lvl w:ilvl="1" w:tplc="D3364F2C" w:tentative="1">
      <w:start w:val="1"/>
      <w:numFmt w:val="lowerLetter"/>
      <w:lvlText w:val="%2."/>
      <w:lvlJc w:val="left"/>
      <w:pPr>
        <w:ind w:left="1440" w:hanging="360"/>
      </w:pPr>
    </w:lvl>
    <w:lvl w:ilvl="2" w:tplc="BE6CEA9E" w:tentative="1">
      <w:start w:val="1"/>
      <w:numFmt w:val="lowerRoman"/>
      <w:lvlText w:val="%3."/>
      <w:lvlJc w:val="right"/>
      <w:pPr>
        <w:ind w:left="2160" w:hanging="180"/>
      </w:pPr>
    </w:lvl>
    <w:lvl w:ilvl="3" w:tplc="5F1E6E90" w:tentative="1">
      <w:start w:val="1"/>
      <w:numFmt w:val="decimal"/>
      <w:lvlText w:val="%4."/>
      <w:lvlJc w:val="left"/>
      <w:pPr>
        <w:ind w:left="2880" w:hanging="360"/>
      </w:pPr>
    </w:lvl>
    <w:lvl w:ilvl="4" w:tplc="1BCE1A12" w:tentative="1">
      <w:start w:val="1"/>
      <w:numFmt w:val="lowerLetter"/>
      <w:lvlText w:val="%5."/>
      <w:lvlJc w:val="left"/>
      <w:pPr>
        <w:ind w:left="3600" w:hanging="360"/>
      </w:pPr>
    </w:lvl>
    <w:lvl w:ilvl="5" w:tplc="9A122876" w:tentative="1">
      <w:start w:val="1"/>
      <w:numFmt w:val="lowerRoman"/>
      <w:lvlText w:val="%6."/>
      <w:lvlJc w:val="right"/>
      <w:pPr>
        <w:ind w:left="4320" w:hanging="180"/>
      </w:pPr>
    </w:lvl>
    <w:lvl w:ilvl="6" w:tplc="8A36D4A4" w:tentative="1">
      <w:start w:val="1"/>
      <w:numFmt w:val="decimal"/>
      <w:lvlText w:val="%7."/>
      <w:lvlJc w:val="left"/>
      <w:pPr>
        <w:ind w:left="5040" w:hanging="360"/>
      </w:pPr>
    </w:lvl>
    <w:lvl w:ilvl="7" w:tplc="45E4D1E8" w:tentative="1">
      <w:start w:val="1"/>
      <w:numFmt w:val="lowerLetter"/>
      <w:lvlText w:val="%8."/>
      <w:lvlJc w:val="left"/>
      <w:pPr>
        <w:ind w:left="5760" w:hanging="360"/>
      </w:pPr>
    </w:lvl>
    <w:lvl w:ilvl="8" w:tplc="2F680FFE" w:tentative="1">
      <w:start w:val="1"/>
      <w:numFmt w:val="lowerRoman"/>
      <w:lvlText w:val="%9."/>
      <w:lvlJc w:val="right"/>
      <w:pPr>
        <w:ind w:left="6480" w:hanging="180"/>
      </w:pPr>
    </w:lvl>
  </w:abstractNum>
  <w:abstractNum w:abstractNumId="30" w15:restartNumberingAfterBreak="0">
    <w:nsid w:val="43F70ED2"/>
    <w:multiLevelType w:val="multilevel"/>
    <w:tmpl w:val="5F64114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D824CC0"/>
    <w:multiLevelType w:val="hybridMultilevel"/>
    <w:tmpl w:val="523C2E48"/>
    <w:lvl w:ilvl="0" w:tplc="85BE4402">
      <w:start w:val="1"/>
      <w:numFmt w:val="bullet"/>
      <w:lvlText w:val=""/>
      <w:lvlJc w:val="left"/>
      <w:pPr>
        <w:ind w:left="720" w:hanging="360"/>
      </w:pPr>
      <w:rPr>
        <w:rFonts w:ascii="Symbol" w:hAnsi="Symbol" w:hint="default"/>
      </w:rPr>
    </w:lvl>
    <w:lvl w:ilvl="1" w:tplc="4CA2582A" w:tentative="1">
      <w:start w:val="1"/>
      <w:numFmt w:val="bullet"/>
      <w:lvlText w:val="o"/>
      <w:lvlJc w:val="left"/>
      <w:pPr>
        <w:ind w:left="1440" w:hanging="360"/>
      </w:pPr>
      <w:rPr>
        <w:rFonts w:ascii="Courier New" w:hAnsi="Courier New" w:cs="Courier New" w:hint="default"/>
      </w:rPr>
    </w:lvl>
    <w:lvl w:ilvl="2" w:tplc="C14E7D82" w:tentative="1">
      <w:start w:val="1"/>
      <w:numFmt w:val="bullet"/>
      <w:lvlText w:val=""/>
      <w:lvlJc w:val="left"/>
      <w:pPr>
        <w:ind w:left="2160" w:hanging="360"/>
      </w:pPr>
      <w:rPr>
        <w:rFonts w:ascii="Wingdings" w:hAnsi="Wingdings" w:hint="default"/>
      </w:rPr>
    </w:lvl>
    <w:lvl w:ilvl="3" w:tplc="615C733A" w:tentative="1">
      <w:start w:val="1"/>
      <w:numFmt w:val="bullet"/>
      <w:lvlText w:val=""/>
      <w:lvlJc w:val="left"/>
      <w:pPr>
        <w:ind w:left="2880" w:hanging="360"/>
      </w:pPr>
      <w:rPr>
        <w:rFonts w:ascii="Symbol" w:hAnsi="Symbol" w:hint="default"/>
      </w:rPr>
    </w:lvl>
    <w:lvl w:ilvl="4" w:tplc="05142244" w:tentative="1">
      <w:start w:val="1"/>
      <w:numFmt w:val="bullet"/>
      <w:lvlText w:val="o"/>
      <w:lvlJc w:val="left"/>
      <w:pPr>
        <w:ind w:left="3600" w:hanging="360"/>
      </w:pPr>
      <w:rPr>
        <w:rFonts w:ascii="Courier New" w:hAnsi="Courier New" w:cs="Courier New" w:hint="default"/>
      </w:rPr>
    </w:lvl>
    <w:lvl w:ilvl="5" w:tplc="D5000A80" w:tentative="1">
      <w:start w:val="1"/>
      <w:numFmt w:val="bullet"/>
      <w:lvlText w:val=""/>
      <w:lvlJc w:val="left"/>
      <w:pPr>
        <w:ind w:left="4320" w:hanging="360"/>
      </w:pPr>
      <w:rPr>
        <w:rFonts w:ascii="Wingdings" w:hAnsi="Wingdings" w:hint="default"/>
      </w:rPr>
    </w:lvl>
    <w:lvl w:ilvl="6" w:tplc="25F8F60A" w:tentative="1">
      <w:start w:val="1"/>
      <w:numFmt w:val="bullet"/>
      <w:lvlText w:val=""/>
      <w:lvlJc w:val="left"/>
      <w:pPr>
        <w:ind w:left="5040" w:hanging="360"/>
      </w:pPr>
      <w:rPr>
        <w:rFonts w:ascii="Symbol" w:hAnsi="Symbol" w:hint="default"/>
      </w:rPr>
    </w:lvl>
    <w:lvl w:ilvl="7" w:tplc="9CE2F87C" w:tentative="1">
      <w:start w:val="1"/>
      <w:numFmt w:val="bullet"/>
      <w:lvlText w:val="o"/>
      <w:lvlJc w:val="left"/>
      <w:pPr>
        <w:ind w:left="5760" w:hanging="360"/>
      </w:pPr>
      <w:rPr>
        <w:rFonts w:ascii="Courier New" w:hAnsi="Courier New" w:cs="Courier New" w:hint="default"/>
      </w:rPr>
    </w:lvl>
    <w:lvl w:ilvl="8" w:tplc="396A2226" w:tentative="1">
      <w:start w:val="1"/>
      <w:numFmt w:val="bullet"/>
      <w:lvlText w:val=""/>
      <w:lvlJc w:val="left"/>
      <w:pPr>
        <w:ind w:left="6480" w:hanging="360"/>
      </w:pPr>
      <w:rPr>
        <w:rFonts w:ascii="Wingdings" w:hAnsi="Wingdings" w:hint="default"/>
      </w:rPr>
    </w:lvl>
  </w:abstractNum>
  <w:abstractNum w:abstractNumId="32" w15:restartNumberingAfterBreak="0">
    <w:nsid w:val="50173CC9"/>
    <w:multiLevelType w:val="hybridMultilevel"/>
    <w:tmpl w:val="8A9E4CEA"/>
    <w:lvl w:ilvl="0" w:tplc="96AA9298">
      <w:start w:val="1"/>
      <w:numFmt w:val="bullet"/>
      <w:lvlText w:val=""/>
      <w:lvlJc w:val="left"/>
      <w:pPr>
        <w:ind w:left="720" w:hanging="360"/>
      </w:pPr>
      <w:rPr>
        <w:rFonts w:ascii="Symbol" w:hAnsi="Symbol" w:hint="default"/>
      </w:rPr>
    </w:lvl>
    <w:lvl w:ilvl="1" w:tplc="720CADEC">
      <w:start w:val="1"/>
      <w:numFmt w:val="bullet"/>
      <w:lvlText w:val="o"/>
      <w:lvlJc w:val="left"/>
      <w:pPr>
        <w:ind w:left="1440" w:hanging="360"/>
      </w:pPr>
      <w:rPr>
        <w:rFonts w:ascii="Courier New" w:hAnsi="Courier New" w:cs="Courier New" w:hint="default"/>
      </w:rPr>
    </w:lvl>
    <w:lvl w:ilvl="2" w:tplc="BEC883BE">
      <w:start w:val="1"/>
      <w:numFmt w:val="bullet"/>
      <w:lvlText w:val=""/>
      <w:lvlJc w:val="left"/>
      <w:pPr>
        <w:ind w:left="2160" w:hanging="360"/>
      </w:pPr>
      <w:rPr>
        <w:rFonts w:ascii="Wingdings" w:hAnsi="Wingdings" w:hint="default"/>
      </w:rPr>
    </w:lvl>
    <w:lvl w:ilvl="3" w:tplc="AF4EF10A">
      <w:start w:val="1"/>
      <w:numFmt w:val="bullet"/>
      <w:lvlText w:val=""/>
      <w:lvlJc w:val="left"/>
      <w:pPr>
        <w:ind w:left="2880" w:hanging="360"/>
      </w:pPr>
      <w:rPr>
        <w:rFonts w:ascii="Symbol" w:hAnsi="Symbol" w:hint="default"/>
      </w:rPr>
    </w:lvl>
    <w:lvl w:ilvl="4" w:tplc="96EA2B48">
      <w:start w:val="1"/>
      <w:numFmt w:val="bullet"/>
      <w:lvlText w:val="o"/>
      <w:lvlJc w:val="left"/>
      <w:pPr>
        <w:ind w:left="3600" w:hanging="360"/>
      </w:pPr>
      <w:rPr>
        <w:rFonts w:ascii="Courier New" w:hAnsi="Courier New" w:cs="Courier New" w:hint="default"/>
      </w:rPr>
    </w:lvl>
    <w:lvl w:ilvl="5" w:tplc="D61ED7A4">
      <w:start w:val="1"/>
      <w:numFmt w:val="bullet"/>
      <w:lvlText w:val=""/>
      <w:lvlJc w:val="left"/>
      <w:pPr>
        <w:ind w:left="4320" w:hanging="360"/>
      </w:pPr>
      <w:rPr>
        <w:rFonts w:ascii="Wingdings" w:hAnsi="Wingdings" w:hint="default"/>
      </w:rPr>
    </w:lvl>
    <w:lvl w:ilvl="6" w:tplc="5A6A12F2">
      <w:start w:val="1"/>
      <w:numFmt w:val="bullet"/>
      <w:lvlText w:val=""/>
      <w:lvlJc w:val="left"/>
      <w:pPr>
        <w:ind w:left="5040" w:hanging="360"/>
      </w:pPr>
      <w:rPr>
        <w:rFonts w:ascii="Symbol" w:hAnsi="Symbol" w:hint="default"/>
      </w:rPr>
    </w:lvl>
    <w:lvl w:ilvl="7" w:tplc="4FB0A2C8">
      <w:start w:val="1"/>
      <w:numFmt w:val="bullet"/>
      <w:lvlText w:val="o"/>
      <w:lvlJc w:val="left"/>
      <w:pPr>
        <w:ind w:left="5760" w:hanging="360"/>
      </w:pPr>
      <w:rPr>
        <w:rFonts w:ascii="Courier New" w:hAnsi="Courier New" w:cs="Courier New" w:hint="default"/>
      </w:rPr>
    </w:lvl>
    <w:lvl w:ilvl="8" w:tplc="7A2C4A88">
      <w:start w:val="1"/>
      <w:numFmt w:val="bullet"/>
      <w:lvlText w:val=""/>
      <w:lvlJc w:val="left"/>
      <w:pPr>
        <w:ind w:left="6480" w:hanging="360"/>
      </w:pPr>
      <w:rPr>
        <w:rFonts w:ascii="Wingdings" w:hAnsi="Wingdings" w:hint="default"/>
      </w:rPr>
    </w:lvl>
  </w:abstractNum>
  <w:abstractNum w:abstractNumId="33" w15:restartNumberingAfterBreak="0">
    <w:nsid w:val="55032A50"/>
    <w:multiLevelType w:val="multilevel"/>
    <w:tmpl w:val="ADB81D1C"/>
    <w:styleLink w:val="Style5"/>
    <w:lvl w:ilvl="0">
      <w:start w:val="1"/>
      <w:numFmt w:val="bullet"/>
      <w:lvlText w:val=""/>
      <w:lvlJc w:val="center"/>
      <w:pPr>
        <w:ind w:left="1068"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0D833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9ED30B3"/>
    <w:multiLevelType w:val="hybridMultilevel"/>
    <w:tmpl w:val="8E62CD0C"/>
    <w:lvl w:ilvl="0" w:tplc="4FDAB064">
      <w:start w:val="5"/>
      <w:numFmt w:val="bullet"/>
      <w:lvlText w:val="-"/>
      <w:lvlJc w:val="left"/>
      <w:pPr>
        <w:ind w:left="720" w:hanging="360"/>
      </w:pPr>
      <w:rPr>
        <w:rFonts w:ascii="Arial" w:eastAsia="Times New Roman" w:hAnsi="Arial" w:cs="Arial" w:hint="default"/>
      </w:rPr>
    </w:lvl>
    <w:lvl w:ilvl="1" w:tplc="8BB2B384" w:tentative="1">
      <w:start w:val="1"/>
      <w:numFmt w:val="bullet"/>
      <w:lvlText w:val="o"/>
      <w:lvlJc w:val="left"/>
      <w:pPr>
        <w:ind w:left="1440" w:hanging="360"/>
      </w:pPr>
      <w:rPr>
        <w:rFonts w:ascii="Courier New" w:hAnsi="Courier New" w:cs="Courier New" w:hint="default"/>
      </w:rPr>
    </w:lvl>
    <w:lvl w:ilvl="2" w:tplc="45565882" w:tentative="1">
      <w:start w:val="1"/>
      <w:numFmt w:val="bullet"/>
      <w:lvlText w:val=""/>
      <w:lvlJc w:val="left"/>
      <w:pPr>
        <w:ind w:left="2160" w:hanging="360"/>
      </w:pPr>
      <w:rPr>
        <w:rFonts w:ascii="Wingdings" w:hAnsi="Wingdings" w:hint="default"/>
      </w:rPr>
    </w:lvl>
    <w:lvl w:ilvl="3" w:tplc="F2F64E06" w:tentative="1">
      <w:start w:val="1"/>
      <w:numFmt w:val="bullet"/>
      <w:lvlText w:val=""/>
      <w:lvlJc w:val="left"/>
      <w:pPr>
        <w:ind w:left="2880" w:hanging="360"/>
      </w:pPr>
      <w:rPr>
        <w:rFonts w:ascii="Symbol" w:hAnsi="Symbol" w:hint="default"/>
      </w:rPr>
    </w:lvl>
    <w:lvl w:ilvl="4" w:tplc="B8D8BC34" w:tentative="1">
      <w:start w:val="1"/>
      <w:numFmt w:val="bullet"/>
      <w:lvlText w:val="o"/>
      <w:lvlJc w:val="left"/>
      <w:pPr>
        <w:ind w:left="3600" w:hanging="360"/>
      </w:pPr>
      <w:rPr>
        <w:rFonts w:ascii="Courier New" w:hAnsi="Courier New" w:cs="Courier New" w:hint="default"/>
      </w:rPr>
    </w:lvl>
    <w:lvl w:ilvl="5" w:tplc="90A211B0" w:tentative="1">
      <w:start w:val="1"/>
      <w:numFmt w:val="bullet"/>
      <w:lvlText w:val=""/>
      <w:lvlJc w:val="left"/>
      <w:pPr>
        <w:ind w:left="4320" w:hanging="360"/>
      </w:pPr>
      <w:rPr>
        <w:rFonts w:ascii="Wingdings" w:hAnsi="Wingdings" w:hint="default"/>
      </w:rPr>
    </w:lvl>
    <w:lvl w:ilvl="6" w:tplc="E1A87F6E" w:tentative="1">
      <w:start w:val="1"/>
      <w:numFmt w:val="bullet"/>
      <w:lvlText w:val=""/>
      <w:lvlJc w:val="left"/>
      <w:pPr>
        <w:ind w:left="5040" w:hanging="360"/>
      </w:pPr>
      <w:rPr>
        <w:rFonts w:ascii="Symbol" w:hAnsi="Symbol" w:hint="default"/>
      </w:rPr>
    </w:lvl>
    <w:lvl w:ilvl="7" w:tplc="251CFF56" w:tentative="1">
      <w:start w:val="1"/>
      <w:numFmt w:val="bullet"/>
      <w:lvlText w:val="o"/>
      <w:lvlJc w:val="left"/>
      <w:pPr>
        <w:ind w:left="5760" w:hanging="360"/>
      </w:pPr>
      <w:rPr>
        <w:rFonts w:ascii="Courier New" w:hAnsi="Courier New" w:cs="Courier New" w:hint="default"/>
      </w:rPr>
    </w:lvl>
    <w:lvl w:ilvl="8" w:tplc="3F6A3464" w:tentative="1">
      <w:start w:val="1"/>
      <w:numFmt w:val="bullet"/>
      <w:lvlText w:val=""/>
      <w:lvlJc w:val="left"/>
      <w:pPr>
        <w:ind w:left="6480" w:hanging="360"/>
      </w:pPr>
      <w:rPr>
        <w:rFonts w:ascii="Wingdings" w:hAnsi="Wingdings" w:hint="default"/>
      </w:rPr>
    </w:lvl>
  </w:abstractNum>
  <w:abstractNum w:abstractNumId="36" w15:restartNumberingAfterBreak="0">
    <w:nsid w:val="609C0DCC"/>
    <w:multiLevelType w:val="multilevel"/>
    <w:tmpl w:val="C1848992"/>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2661DDA"/>
    <w:multiLevelType w:val="multilevel"/>
    <w:tmpl w:val="ADB81D1C"/>
    <w:numStyleLink w:val="Style6"/>
  </w:abstractNum>
  <w:abstractNum w:abstractNumId="38" w15:restartNumberingAfterBreak="0">
    <w:nsid w:val="682112D8"/>
    <w:multiLevelType w:val="hybridMultilevel"/>
    <w:tmpl w:val="43880C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A4B06B9"/>
    <w:multiLevelType w:val="hybridMultilevel"/>
    <w:tmpl w:val="6FBE26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EFD2F2F"/>
    <w:multiLevelType w:val="multilevel"/>
    <w:tmpl w:val="A414FDEA"/>
    <w:lvl w:ilvl="0">
      <w:start w:val="1"/>
      <w:numFmt w:val="decimal"/>
      <w:lvlText w:val="[%1]"/>
      <w:lvlJc w:val="left"/>
      <w:pPr>
        <w:tabs>
          <w:tab w:val="num" w:pos="360"/>
        </w:tabs>
        <w:ind w:left="0" w:firstLine="0"/>
      </w:pPr>
      <w:rPr>
        <w:rFonts w:ascii="Arial" w:hAnsi="Arial" w:hint="default"/>
        <w:b w:val="0"/>
        <w:i w:val="0"/>
        <w:sz w:val="24"/>
      </w:rPr>
    </w:lvl>
    <w:lvl w:ilvl="1">
      <w:start w:val="1"/>
      <w:numFmt w:val="bullet"/>
      <w:lvlText w:val=""/>
      <w:lvlJc w:val="left"/>
      <w:pPr>
        <w:tabs>
          <w:tab w:val="num" w:pos="1000"/>
        </w:tabs>
        <w:ind w:left="1000"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4CC78E5"/>
    <w:multiLevelType w:val="multilevel"/>
    <w:tmpl w:val="7AD48416"/>
    <w:lvl w:ilvl="0">
      <w:start w:val="1"/>
      <w:numFmt w:val="bullet"/>
      <w:lvlText w:val=""/>
      <w:lvlJc w:val="left"/>
      <w:pPr>
        <w:tabs>
          <w:tab w:val="num" w:pos="360"/>
        </w:tabs>
        <w:ind w:left="0" w:firstLine="0"/>
      </w:pPr>
      <w:rPr>
        <w:rFonts w:ascii="Symbol" w:hAnsi="Symbol" w:hint="default"/>
        <w:b w:val="0"/>
        <w:i w:val="0"/>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7A4208B5"/>
    <w:multiLevelType w:val="hybridMultilevel"/>
    <w:tmpl w:val="B93EFF88"/>
    <w:lvl w:ilvl="0" w:tplc="291EB986">
      <w:start w:val="5"/>
      <w:numFmt w:val="bullet"/>
      <w:lvlText w:val="-"/>
      <w:lvlJc w:val="left"/>
      <w:pPr>
        <w:ind w:left="720" w:hanging="360"/>
      </w:pPr>
      <w:rPr>
        <w:rFonts w:ascii="Arial" w:eastAsia="Times New Roman" w:hAnsi="Arial" w:cs="Arial" w:hint="default"/>
      </w:rPr>
    </w:lvl>
    <w:lvl w:ilvl="1" w:tplc="D054D25A" w:tentative="1">
      <w:start w:val="1"/>
      <w:numFmt w:val="bullet"/>
      <w:lvlText w:val="o"/>
      <w:lvlJc w:val="left"/>
      <w:pPr>
        <w:ind w:left="1440" w:hanging="360"/>
      </w:pPr>
      <w:rPr>
        <w:rFonts w:ascii="Courier New" w:hAnsi="Courier New" w:cs="Courier New" w:hint="default"/>
      </w:rPr>
    </w:lvl>
    <w:lvl w:ilvl="2" w:tplc="590ED70C" w:tentative="1">
      <w:start w:val="1"/>
      <w:numFmt w:val="bullet"/>
      <w:lvlText w:val=""/>
      <w:lvlJc w:val="left"/>
      <w:pPr>
        <w:ind w:left="2160" w:hanging="360"/>
      </w:pPr>
      <w:rPr>
        <w:rFonts w:ascii="Wingdings" w:hAnsi="Wingdings" w:hint="default"/>
      </w:rPr>
    </w:lvl>
    <w:lvl w:ilvl="3" w:tplc="78C0DD16" w:tentative="1">
      <w:start w:val="1"/>
      <w:numFmt w:val="bullet"/>
      <w:lvlText w:val=""/>
      <w:lvlJc w:val="left"/>
      <w:pPr>
        <w:ind w:left="2880" w:hanging="360"/>
      </w:pPr>
      <w:rPr>
        <w:rFonts w:ascii="Symbol" w:hAnsi="Symbol" w:hint="default"/>
      </w:rPr>
    </w:lvl>
    <w:lvl w:ilvl="4" w:tplc="3B20B2E4" w:tentative="1">
      <w:start w:val="1"/>
      <w:numFmt w:val="bullet"/>
      <w:lvlText w:val="o"/>
      <w:lvlJc w:val="left"/>
      <w:pPr>
        <w:ind w:left="3600" w:hanging="360"/>
      </w:pPr>
      <w:rPr>
        <w:rFonts w:ascii="Courier New" w:hAnsi="Courier New" w:cs="Courier New" w:hint="default"/>
      </w:rPr>
    </w:lvl>
    <w:lvl w:ilvl="5" w:tplc="69069132" w:tentative="1">
      <w:start w:val="1"/>
      <w:numFmt w:val="bullet"/>
      <w:lvlText w:val=""/>
      <w:lvlJc w:val="left"/>
      <w:pPr>
        <w:ind w:left="4320" w:hanging="360"/>
      </w:pPr>
      <w:rPr>
        <w:rFonts w:ascii="Wingdings" w:hAnsi="Wingdings" w:hint="default"/>
      </w:rPr>
    </w:lvl>
    <w:lvl w:ilvl="6" w:tplc="D85CE8E0" w:tentative="1">
      <w:start w:val="1"/>
      <w:numFmt w:val="bullet"/>
      <w:lvlText w:val=""/>
      <w:lvlJc w:val="left"/>
      <w:pPr>
        <w:ind w:left="5040" w:hanging="360"/>
      </w:pPr>
      <w:rPr>
        <w:rFonts w:ascii="Symbol" w:hAnsi="Symbol" w:hint="default"/>
      </w:rPr>
    </w:lvl>
    <w:lvl w:ilvl="7" w:tplc="783648C2" w:tentative="1">
      <w:start w:val="1"/>
      <w:numFmt w:val="bullet"/>
      <w:lvlText w:val="o"/>
      <w:lvlJc w:val="left"/>
      <w:pPr>
        <w:ind w:left="5760" w:hanging="360"/>
      </w:pPr>
      <w:rPr>
        <w:rFonts w:ascii="Courier New" w:hAnsi="Courier New" w:cs="Courier New" w:hint="default"/>
      </w:rPr>
    </w:lvl>
    <w:lvl w:ilvl="8" w:tplc="A5A8C560" w:tentative="1">
      <w:start w:val="1"/>
      <w:numFmt w:val="bullet"/>
      <w:lvlText w:val=""/>
      <w:lvlJc w:val="left"/>
      <w:pPr>
        <w:ind w:left="6480" w:hanging="360"/>
      </w:pPr>
      <w:rPr>
        <w:rFonts w:ascii="Wingdings" w:hAnsi="Wingdings" w:hint="default"/>
      </w:rPr>
    </w:lvl>
  </w:abstractNum>
  <w:num w:numId="1" w16cid:durableId="61875991">
    <w:abstractNumId w:val="36"/>
  </w:num>
  <w:num w:numId="2" w16cid:durableId="2143158273">
    <w:abstractNumId w:val="36"/>
  </w:num>
  <w:num w:numId="3" w16cid:durableId="469054427">
    <w:abstractNumId w:val="36"/>
  </w:num>
  <w:num w:numId="4" w16cid:durableId="1978683341">
    <w:abstractNumId w:val="10"/>
  </w:num>
  <w:num w:numId="5" w16cid:durableId="169639845">
    <w:abstractNumId w:val="5"/>
  </w:num>
  <w:num w:numId="6" w16cid:durableId="1967660183">
    <w:abstractNumId w:val="4"/>
  </w:num>
  <w:num w:numId="7" w16cid:durableId="2113159024">
    <w:abstractNumId w:val="3"/>
  </w:num>
  <w:num w:numId="8" w16cid:durableId="1207789980">
    <w:abstractNumId w:val="2"/>
  </w:num>
  <w:num w:numId="9" w16cid:durableId="2040815562">
    <w:abstractNumId w:val="11"/>
  </w:num>
  <w:num w:numId="10" w16cid:durableId="614018227">
    <w:abstractNumId w:val="9"/>
  </w:num>
  <w:num w:numId="11" w16cid:durableId="492181222">
    <w:abstractNumId w:val="8"/>
  </w:num>
  <w:num w:numId="12" w16cid:durableId="1012993871">
    <w:abstractNumId w:val="7"/>
  </w:num>
  <w:num w:numId="13" w16cid:durableId="1751462096">
    <w:abstractNumId w:val="6"/>
  </w:num>
  <w:num w:numId="14" w16cid:durableId="10095210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6541670">
    <w:abstractNumId w:val="17"/>
  </w:num>
  <w:num w:numId="16" w16cid:durableId="1337919472">
    <w:abstractNumId w:val="20"/>
  </w:num>
  <w:num w:numId="17" w16cid:durableId="1266115282">
    <w:abstractNumId w:val="12"/>
  </w:num>
  <w:num w:numId="18" w16cid:durableId="544753429">
    <w:abstractNumId w:val="28"/>
  </w:num>
  <w:num w:numId="19" w16cid:durableId="486899520">
    <w:abstractNumId w:val="15"/>
  </w:num>
  <w:num w:numId="20" w16cid:durableId="151020371">
    <w:abstractNumId w:val="41"/>
  </w:num>
  <w:num w:numId="21" w16cid:durableId="1858227832">
    <w:abstractNumId w:val="42"/>
  </w:num>
  <w:num w:numId="22" w16cid:durableId="903611972">
    <w:abstractNumId w:val="27"/>
  </w:num>
  <w:num w:numId="23" w16cid:durableId="363991616">
    <w:abstractNumId w:val="21"/>
  </w:num>
  <w:num w:numId="24" w16cid:durableId="600646912">
    <w:abstractNumId w:val="31"/>
  </w:num>
  <w:num w:numId="25" w16cid:durableId="1604609971">
    <w:abstractNumId w:val="29"/>
  </w:num>
  <w:num w:numId="26" w16cid:durableId="1550149829">
    <w:abstractNumId w:val="24"/>
  </w:num>
  <w:num w:numId="27" w16cid:durableId="681129774">
    <w:abstractNumId w:val="13"/>
  </w:num>
  <w:num w:numId="28" w16cid:durableId="993335273">
    <w:abstractNumId w:val="33"/>
  </w:num>
  <w:num w:numId="29" w16cid:durableId="374888465">
    <w:abstractNumId w:val="25"/>
  </w:num>
  <w:num w:numId="30" w16cid:durableId="812404136">
    <w:abstractNumId w:val="14"/>
  </w:num>
  <w:num w:numId="31" w16cid:durableId="1835486247">
    <w:abstractNumId w:val="37"/>
  </w:num>
  <w:num w:numId="32" w16cid:durableId="1245646709">
    <w:abstractNumId w:val="40"/>
  </w:num>
  <w:num w:numId="33" w16cid:durableId="2116485784">
    <w:abstractNumId w:val="22"/>
  </w:num>
  <w:num w:numId="34" w16cid:durableId="774010846">
    <w:abstractNumId w:val="35"/>
  </w:num>
  <w:num w:numId="35" w16cid:durableId="79719842">
    <w:abstractNumId w:val="16"/>
  </w:num>
  <w:num w:numId="36" w16cid:durableId="36929325">
    <w:abstractNumId w:val="18"/>
  </w:num>
  <w:num w:numId="37" w16cid:durableId="887692956">
    <w:abstractNumId w:val="30"/>
  </w:num>
  <w:num w:numId="38" w16cid:durableId="86275573">
    <w:abstractNumId w:val="32"/>
  </w:num>
  <w:num w:numId="39" w16cid:durableId="847716011">
    <w:abstractNumId w:val="39"/>
  </w:num>
  <w:num w:numId="40" w16cid:durableId="1055659675">
    <w:abstractNumId w:val="1"/>
  </w:num>
  <w:num w:numId="41" w16cid:durableId="1815950342">
    <w:abstractNumId w:val="0"/>
  </w:num>
  <w:num w:numId="42" w16cid:durableId="1909147131">
    <w:abstractNumId w:val="38"/>
  </w:num>
  <w:num w:numId="43" w16cid:durableId="1644503720">
    <w:abstractNumId w:val="34"/>
  </w:num>
  <w:num w:numId="44" w16cid:durableId="1445148782">
    <w:abstractNumId w:val="26"/>
  </w:num>
  <w:num w:numId="45" w16cid:durableId="750157338">
    <w:abstractNumId w:val="19"/>
  </w:num>
  <w:num w:numId="46" w16cid:durableId="15118721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24"/>
    <w:rsid w:val="000140DE"/>
    <w:rsid w:val="00021E39"/>
    <w:rsid w:val="00033163"/>
    <w:rsid w:val="0003482A"/>
    <w:rsid w:val="00035972"/>
    <w:rsid w:val="00050BFC"/>
    <w:rsid w:val="00063974"/>
    <w:rsid w:val="0006542B"/>
    <w:rsid w:val="00076E41"/>
    <w:rsid w:val="00087341"/>
    <w:rsid w:val="000952BC"/>
    <w:rsid w:val="00096936"/>
    <w:rsid w:val="00097CBD"/>
    <w:rsid w:val="000A41C7"/>
    <w:rsid w:val="000B244F"/>
    <w:rsid w:val="000B4DC0"/>
    <w:rsid w:val="000C5F80"/>
    <w:rsid w:val="000C6D85"/>
    <w:rsid w:val="000D2144"/>
    <w:rsid w:val="000D3AC1"/>
    <w:rsid w:val="000D6F01"/>
    <w:rsid w:val="000D76BE"/>
    <w:rsid w:val="000E189D"/>
    <w:rsid w:val="000E727D"/>
    <w:rsid w:val="000F1E3F"/>
    <w:rsid w:val="000F3FEE"/>
    <w:rsid w:val="000F73FA"/>
    <w:rsid w:val="0010443A"/>
    <w:rsid w:val="0010457E"/>
    <w:rsid w:val="00104EBA"/>
    <w:rsid w:val="001115CC"/>
    <w:rsid w:val="00111D9F"/>
    <w:rsid w:val="00113FF2"/>
    <w:rsid w:val="0011451B"/>
    <w:rsid w:val="00134F55"/>
    <w:rsid w:val="0014069F"/>
    <w:rsid w:val="001441E2"/>
    <w:rsid w:val="001473CA"/>
    <w:rsid w:val="00147612"/>
    <w:rsid w:val="0015306C"/>
    <w:rsid w:val="00155304"/>
    <w:rsid w:val="00156A13"/>
    <w:rsid w:val="00156DB7"/>
    <w:rsid w:val="00162F53"/>
    <w:rsid w:val="001750BC"/>
    <w:rsid w:val="00187268"/>
    <w:rsid w:val="001950A9"/>
    <w:rsid w:val="001A264A"/>
    <w:rsid w:val="001A7539"/>
    <w:rsid w:val="001D0B6D"/>
    <w:rsid w:val="001D4EC3"/>
    <w:rsid w:val="001E0B77"/>
    <w:rsid w:val="001E34AF"/>
    <w:rsid w:val="001F2F1C"/>
    <w:rsid w:val="001F38B3"/>
    <w:rsid w:val="001F459E"/>
    <w:rsid w:val="001F6FF0"/>
    <w:rsid w:val="001F7B4E"/>
    <w:rsid w:val="002003BC"/>
    <w:rsid w:val="00204FE8"/>
    <w:rsid w:val="002125D2"/>
    <w:rsid w:val="00213865"/>
    <w:rsid w:val="00224011"/>
    <w:rsid w:val="00230EBA"/>
    <w:rsid w:val="00244CEC"/>
    <w:rsid w:val="0025115D"/>
    <w:rsid w:val="0025368D"/>
    <w:rsid w:val="00256ABE"/>
    <w:rsid w:val="002610EF"/>
    <w:rsid w:val="0026326E"/>
    <w:rsid w:val="00263DD8"/>
    <w:rsid w:val="002709EC"/>
    <w:rsid w:val="0027152D"/>
    <w:rsid w:val="00285093"/>
    <w:rsid w:val="0028514C"/>
    <w:rsid w:val="00285DFC"/>
    <w:rsid w:val="00290AD5"/>
    <w:rsid w:val="00293BCB"/>
    <w:rsid w:val="002943F8"/>
    <w:rsid w:val="0029594C"/>
    <w:rsid w:val="002A1FBD"/>
    <w:rsid w:val="002B1DF2"/>
    <w:rsid w:val="002B6218"/>
    <w:rsid w:val="002B7CB5"/>
    <w:rsid w:val="002C0189"/>
    <w:rsid w:val="002C2EED"/>
    <w:rsid w:val="002C3299"/>
    <w:rsid w:val="002C5086"/>
    <w:rsid w:val="002D078E"/>
    <w:rsid w:val="002D46F2"/>
    <w:rsid w:val="002E0087"/>
    <w:rsid w:val="002E5940"/>
    <w:rsid w:val="002E7496"/>
    <w:rsid w:val="002F4247"/>
    <w:rsid w:val="002F4DD7"/>
    <w:rsid w:val="00301642"/>
    <w:rsid w:val="00320838"/>
    <w:rsid w:val="003215A4"/>
    <w:rsid w:val="00323BFD"/>
    <w:rsid w:val="00333883"/>
    <w:rsid w:val="00335531"/>
    <w:rsid w:val="00337E16"/>
    <w:rsid w:val="00343224"/>
    <w:rsid w:val="00353FB9"/>
    <w:rsid w:val="003669B1"/>
    <w:rsid w:val="00376396"/>
    <w:rsid w:val="0038154E"/>
    <w:rsid w:val="003820A1"/>
    <w:rsid w:val="003863B4"/>
    <w:rsid w:val="0038775E"/>
    <w:rsid w:val="00390A32"/>
    <w:rsid w:val="00391047"/>
    <w:rsid w:val="00393B17"/>
    <w:rsid w:val="00395050"/>
    <w:rsid w:val="003A4B0B"/>
    <w:rsid w:val="003A537F"/>
    <w:rsid w:val="003A739D"/>
    <w:rsid w:val="003C7390"/>
    <w:rsid w:val="003E15B1"/>
    <w:rsid w:val="003E1AB8"/>
    <w:rsid w:val="003E4E8D"/>
    <w:rsid w:val="00401CC7"/>
    <w:rsid w:val="00402B4B"/>
    <w:rsid w:val="00405921"/>
    <w:rsid w:val="004071E6"/>
    <w:rsid w:val="0041319A"/>
    <w:rsid w:val="0042063D"/>
    <w:rsid w:val="00430F8B"/>
    <w:rsid w:val="0044435F"/>
    <w:rsid w:val="0044562B"/>
    <w:rsid w:val="00446BFA"/>
    <w:rsid w:val="00453158"/>
    <w:rsid w:val="0045736D"/>
    <w:rsid w:val="004603DB"/>
    <w:rsid w:val="0046703E"/>
    <w:rsid w:val="00472AC4"/>
    <w:rsid w:val="004745EE"/>
    <w:rsid w:val="004804D5"/>
    <w:rsid w:val="0048204F"/>
    <w:rsid w:val="0048262A"/>
    <w:rsid w:val="00482ED2"/>
    <w:rsid w:val="00483038"/>
    <w:rsid w:val="00483061"/>
    <w:rsid w:val="004830A0"/>
    <w:rsid w:val="004843AE"/>
    <w:rsid w:val="00485CFD"/>
    <w:rsid w:val="0048727D"/>
    <w:rsid w:val="0049327A"/>
    <w:rsid w:val="0049469D"/>
    <w:rsid w:val="004A1ADF"/>
    <w:rsid w:val="004B2C11"/>
    <w:rsid w:val="004B44A2"/>
    <w:rsid w:val="004C6894"/>
    <w:rsid w:val="004C77E6"/>
    <w:rsid w:val="004D1DDB"/>
    <w:rsid w:val="004D4F6C"/>
    <w:rsid w:val="004D69F2"/>
    <w:rsid w:val="004E7179"/>
    <w:rsid w:val="004F28EA"/>
    <w:rsid w:val="004F51BB"/>
    <w:rsid w:val="0050011E"/>
    <w:rsid w:val="00500971"/>
    <w:rsid w:val="00505305"/>
    <w:rsid w:val="00507BCF"/>
    <w:rsid w:val="00511AE2"/>
    <w:rsid w:val="00514DDB"/>
    <w:rsid w:val="005167BE"/>
    <w:rsid w:val="0052236D"/>
    <w:rsid w:val="00523465"/>
    <w:rsid w:val="005267FD"/>
    <w:rsid w:val="00526910"/>
    <w:rsid w:val="0054026B"/>
    <w:rsid w:val="005440F1"/>
    <w:rsid w:val="00545DD1"/>
    <w:rsid w:val="005501F9"/>
    <w:rsid w:val="00560B6A"/>
    <w:rsid w:val="005771A3"/>
    <w:rsid w:val="005811EE"/>
    <w:rsid w:val="00582629"/>
    <w:rsid w:val="0059176D"/>
    <w:rsid w:val="005A0CDE"/>
    <w:rsid w:val="005A16B1"/>
    <w:rsid w:val="005A288E"/>
    <w:rsid w:val="005A7BCD"/>
    <w:rsid w:val="005B25C9"/>
    <w:rsid w:val="005B64A2"/>
    <w:rsid w:val="005C73B0"/>
    <w:rsid w:val="005D4F13"/>
    <w:rsid w:val="005E491E"/>
    <w:rsid w:val="005F0C41"/>
    <w:rsid w:val="00605731"/>
    <w:rsid w:val="00611A24"/>
    <w:rsid w:val="006154EF"/>
    <w:rsid w:val="00615940"/>
    <w:rsid w:val="006217C7"/>
    <w:rsid w:val="00625349"/>
    <w:rsid w:val="00626E3D"/>
    <w:rsid w:val="006319E7"/>
    <w:rsid w:val="00633C6B"/>
    <w:rsid w:val="00635161"/>
    <w:rsid w:val="00637A2E"/>
    <w:rsid w:val="00640BE3"/>
    <w:rsid w:val="006433AF"/>
    <w:rsid w:val="00647A87"/>
    <w:rsid w:val="00650B1F"/>
    <w:rsid w:val="006569C4"/>
    <w:rsid w:val="006729BC"/>
    <w:rsid w:val="00681684"/>
    <w:rsid w:val="00681FB6"/>
    <w:rsid w:val="00684785"/>
    <w:rsid w:val="00687ADE"/>
    <w:rsid w:val="00694A5F"/>
    <w:rsid w:val="00697CBF"/>
    <w:rsid w:val="006A175B"/>
    <w:rsid w:val="006B1340"/>
    <w:rsid w:val="006C126A"/>
    <w:rsid w:val="006C3CDD"/>
    <w:rsid w:val="006C4236"/>
    <w:rsid w:val="006C6365"/>
    <w:rsid w:val="006C7E9C"/>
    <w:rsid w:val="006E0887"/>
    <w:rsid w:val="006E0951"/>
    <w:rsid w:val="00702BA1"/>
    <w:rsid w:val="00712F91"/>
    <w:rsid w:val="00713873"/>
    <w:rsid w:val="007156EA"/>
    <w:rsid w:val="00723BA5"/>
    <w:rsid w:val="00735771"/>
    <w:rsid w:val="00740764"/>
    <w:rsid w:val="00745B3A"/>
    <w:rsid w:val="00745BF3"/>
    <w:rsid w:val="00750BDE"/>
    <w:rsid w:val="0076582C"/>
    <w:rsid w:val="007742B4"/>
    <w:rsid w:val="007831E6"/>
    <w:rsid w:val="0079127F"/>
    <w:rsid w:val="007A5448"/>
    <w:rsid w:val="007A7609"/>
    <w:rsid w:val="007B74E7"/>
    <w:rsid w:val="007C5F9A"/>
    <w:rsid w:val="007E21FE"/>
    <w:rsid w:val="007E7EDD"/>
    <w:rsid w:val="007F16AC"/>
    <w:rsid w:val="00811E70"/>
    <w:rsid w:val="00815FD3"/>
    <w:rsid w:val="008204D0"/>
    <w:rsid w:val="00821C95"/>
    <w:rsid w:val="0082237A"/>
    <w:rsid w:val="00833968"/>
    <w:rsid w:val="00833D9D"/>
    <w:rsid w:val="0084151C"/>
    <w:rsid w:val="00845A39"/>
    <w:rsid w:val="0084766C"/>
    <w:rsid w:val="00850977"/>
    <w:rsid w:val="00853534"/>
    <w:rsid w:val="00855957"/>
    <w:rsid w:val="008638D1"/>
    <w:rsid w:val="00866298"/>
    <w:rsid w:val="00874E24"/>
    <w:rsid w:val="00882C61"/>
    <w:rsid w:val="008830E8"/>
    <w:rsid w:val="0088750B"/>
    <w:rsid w:val="008B287C"/>
    <w:rsid w:val="008C0A51"/>
    <w:rsid w:val="008C2CFA"/>
    <w:rsid w:val="008D1335"/>
    <w:rsid w:val="008D1CE1"/>
    <w:rsid w:val="008D4B4A"/>
    <w:rsid w:val="008E5354"/>
    <w:rsid w:val="008F0CF9"/>
    <w:rsid w:val="008F2023"/>
    <w:rsid w:val="008F2E22"/>
    <w:rsid w:val="008F58FB"/>
    <w:rsid w:val="00904EA0"/>
    <w:rsid w:val="009072C2"/>
    <w:rsid w:val="00923D5C"/>
    <w:rsid w:val="00924B6C"/>
    <w:rsid w:val="00935232"/>
    <w:rsid w:val="009356DC"/>
    <w:rsid w:val="00941E9E"/>
    <w:rsid w:val="00950BC7"/>
    <w:rsid w:val="00950D84"/>
    <w:rsid w:val="00953E16"/>
    <w:rsid w:val="0096687E"/>
    <w:rsid w:val="00967041"/>
    <w:rsid w:val="00971AD0"/>
    <w:rsid w:val="0097691F"/>
    <w:rsid w:val="00977281"/>
    <w:rsid w:val="009807EF"/>
    <w:rsid w:val="00980AED"/>
    <w:rsid w:val="00980EC8"/>
    <w:rsid w:val="009849C2"/>
    <w:rsid w:val="00984F67"/>
    <w:rsid w:val="009855D9"/>
    <w:rsid w:val="009A3D78"/>
    <w:rsid w:val="009A7B22"/>
    <w:rsid w:val="009B25B0"/>
    <w:rsid w:val="009D52A9"/>
    <w:rsid w:val="009E3C8C"/>
    <w:rsid w:val="009E59BA"/>
    <w:rsid w:val="009F0591"/>
    <w:rsid w:val="009F190C"/>
    <w:rsid w:val="009F230C"/>
    <w:rsid w:val="009F3141"/>
    <w:rsid w:val="009F3546"/>
    <w:rsid w:val="00A058DA"/>
    <w:rsid w:val="00A06E92"/>
    <w:rsid w:val="00A12B80"/>
    <w:rsid w:val="00A263E2"/>
    <w:rsid w:val="00A30F02"/>
    <w:rsid w:val="00A32E5C"/>
    <w:rsid w:val="00A5558A"/>
    <w:rsid w:val="00A5720E"/>
    <w:rsid w:val="00A6498A"/>
    <w:rsid w:val="00A665CB"/>
    <w:rsid w:val="00A72A43"/>
    <w:rsid w:val="00A757CD"/>
    <w:rsid w:val="00A82A4E"/>
    <w:rsid w:val="00A8440E"/>
    <w:rsid w:val="00A84A83"/>
    <w:rsid w:val="00A900A5"/>
    <w:rsid w:val="00A900EB"/>
    <w:rsid w:val="00AB677B"/>
    <w:rsid w:val="00AC0BD5"/>
    <w:rsid w:val="00AC1F85"/>
    <w:rsid w:val="00AC2C79"/>
    <w:rsid w:val="00AC3855"/>
    <w:rsid w:val="00AC6921"/>
    <w:rsid w:val="00AC6CD6"/>
    <w:rsid w:val="00AC6DE4"/>
    <w:rsid w:val="00AD30E5"/>
    <w:rsid w:val="00AD41DF"/>
    <w:rsid w:val="00AD49CF"/>
    <w:rsid w:val="00AD63F7"/>
    <w:rsid w:val="00AE5085"/>
    <w:rsid w:val="00AE5860"/>
    <w:rsid w:val="00AE6072"/>
    <w:rsid w:val="00AE7662"/>
    <w:rsid w:val="00B02BEB"/>
    <w:rsid w:val="00B04188"/>
    <w:rsid w:val="00B12246"/>
    <w:rsid w:val="00B137F0"/>
    <w:rsid w:val="00B13A37"/>
    <w:rsid w:val="00B14660"/>
    <w:rsid w:val="00B26F0C"/>
    <w:rsid w:val="00B26F31"/>
    <w:rsid w:val="00B3323B"/>
    <w:rsid w:val="00B342AB"/>
    <w:rsid w:val="00B41361"/>
    <w:rsid w:val="00B46DF3"/>
    <w:rsid w:val="00B4773F"/>
    <w:rsid w:val="00B50DC5"/>
    <w:rsid w:val="00B543ED"/>
    <w:rsid w:val="00B56980"/>
    <w:rsid w:val="00B57219"/>
    <w:rsid w:val="00B617AA"/>
    <w:rsid w:val="00B65486"/>
    <w:rsid w:val="00B657B1"/>
    <w:rsid w:val="00B65CC1"/>
    <w:rsid w:val="00B66AF0"/>
    <w:rsid w:val="00B7224F"/>
    <w:rsid w:val="00B74049"/>
    <w:rsid w:val="00B836D3"/>
    <w:rsid w:val="00B842A3"/>
    <w:rsid w:val="00B86A51"/>
    <w:rsid w:val="00B928C7"/>
    <w:rsid w:val="00B92F65"/>
    <w:rsid w:val="00B9490E"/>
    <w:rsid w:val="00B96B4A"/>
    <w:rsid w:val="00BA74A5"/>
    <w:rsid w:val="00BB16AE"/>
    <w:rsid w:val="00BB470C"/>
    <w:rsid w:val="00BC08DD"/>
    <w:rsid w:val="00BC4E25"/>
    <w:rsid w:val="00BC79E9"/>
    <w:rsid w:val="00BD110B"/>
    <w:rsid w:val="00BD52EE"/>
    <w:rsid w:val="00BE1EAC"/>
    <w:rsid w:val="00BE3356"/>
    <w:rsid w:val="00BE3F46"/>
    <w:rsid w:val="00BE43BC"/>
    <w:rsid w:val="00C029C7"/>
    <w:rsid w:val="00C113D6"/>
    <w:rsid w:val="00C136C7"/>
    <w:rsid w:val="00C14EA2"/>
    <w:rsid w:val="00C17C89"/>
    <w:rsid w:val="00C23366"/>
    <w:rsid w:val="00C322FD"/>
    <w:rsid w:val="00C3357B"/>
    <w:rsid w:val="00C33BC8"/>
    <w:rsid w:val="00C356E7"/>
    <w:rsid w:val="00C36FCC"/>
    <w:rsid w:val="00C37CFD"/>
    <w:rsid w:val="00C46E93"/>
    <w:rsid w:val="00C504BD"/>
    <w:rsid w:val="00C524DE"/>
    <w:rsid w:val="00C54CD4"/>
    <w:rsid w:val="00C64AA8"/>
    <w:rsid w:val="00C71D77"/>
    <w:rsid w:val="00C766FE"/>
    <w:rsid w:val="00C81BFB"/>
    <w:rsid w:val="00C847B7"/>
    <w:rsid w:val="00C922B5"/>
    <w:rsid w:val="00C95817"/>
    <w:rsid w:val="00CA0209"/>
    <w:rsid w:val="00CA10BF"/>
    <w:rsid w:val="00CA2A0E"/>
    <w:rsid w:val="00CA6A5E"/>
    <w:rsid w:val="00CA6AFD"/>
    <w:rsid w:val="00CA7F4F"/>
    <w:rsid w:val="00CB13CB"/>
    <w:rsid w:val="00CB1DFC"/>
    <w:rsid w:val="00CB4B64"/>
    <w:rsid w:val="00CB526D"/>
    <w:rsid w:val="00CB5A0B"/>
    <w:rsid w:val="00CC0BCE"/>
    <w:rsid w:val="00CD0FAE"/>
    <w:rsid w:val="00CD3DBD"/>
    <w:rsid w:val="00CD511D"/>
    <w:rsid w:val="00CE1C86"/>
    <w:rsid w:val="00CE35B9"/>
    <w:rsid w:val="00CF0DF9"/>
    <w:rsid w:val="00D0177F"/>
    <w:rsid w:val="00D02EDE"/>
    <w:rsid w:val="00D051C9"/>
    <w:rsid w:val="00D108F2"/>
    <w:rsid w:val="00D156FF"/>
    <w:rsid w:val="00D20200"/>
    <w:rsid w:val="00D22B84"/>
    <w:rsid w:val="00D232CE"/>
    <w:rsid w:val="00D23F5C"/>
    <w:rsid w:val="00D2565C"/>
    <w:rsid w:val="00D352EA"/>
    <w:rsid w:val="00D37F3C"/>
    <w:rsid w:val="00D51B36"/>
    <w:rsid w:val="00D53FCF"/>
    <w:rsid w:val="00D56F59"/>
    <w:rsid w:val="00D60D76"/>
    <w:rsid w:val="00D656C0"/>
    <w:rsid w:val="00D65DE5"/>
    <w:rsid w:val="00D701D8"/>
    <w:rsid w:val="00D742A0"/>
    <w:rsid w:val="00D755E6"/>
    <w:rsid w:val="00D75834"/>
    <w:rsid w:val="00D76B82"/>
    <w:rsid w:val="00D80E96"/>
    <w:rsid w:val="00D80FB4"/>
    <w:rsid w:val="00D83F25"/>
    <w:rsid w:val="00D85DA5"/>
    <w:rsid w:val="00D862B8"/>
    <w:rsid w:val="00D90F35"/>
    <w:rsid w:val="00D92867"/>
    <w:rsid w:val="00D94830"/>
    <w:rsid w:val="00D96D4B"/>
    <w:rsid w:val="00DA213B"/>
    <w:rsid w:val="00DA2391"/>
    <w:rsid w:val="00DB009D"/>
    <w:rsid w:val="00DB0A6A"/>
    <w:rsid w:val="00DB1B48"/>
    <w:rsid w:val="00DB2E1A"/>
    <w:rsid w:val="00DB39EE"/>
    <w:rsid w:val="00DC19F4"/>
    <w:rsid w:val="00DC4A55"/>
    <w:rsid w:val="00DC4FE8"/>
    <w:rsid w:val="00DD44D8"/>
    <w:rsid w:val="00DE018F"/>
    <w:rsid w:val="00DE01B4"/>
    <w:rsid w:val="00DE34A6"/>
    <w:rsid w:val="00DE5104"/>
    <w:rsid w:val="00DF40B9"/>
    <w:rsid w:val="00E0452F"/>
    <w:rsid w:val="00E100EA"/>
    <w:rsid w:val="00E17930"/>
    <w:rsid w:val="00E212F0"/>
    <w:rsid w:val="00E26052"/>
    <w:rsid w:val="00E269B6"/>
    <w:rsid w:val="00E2797B"/>
    <w:rsid w:val="00E368C4"/>
    <w:rsid w:val="00E37B57"/>
    <w:rsid w:val="00E418AD"/>
    <w:rsid w:val="00E46ACC"/>
    <w:rsid w:val="00E5028A"/>
    <w:rsid w:val="00E517A9"/>
    <w:rsid w:val="00E532CB"/>
    <w:rsid w:val="00E56414"/>
    <w:rsid w:val="00E66BC5"/>
    <w:rsid w:val="00E7004C"/>
    <w:rsid w:val="00E732AB"/>
    <w:rsid w:val="00E74F78"/>
    <w:rsid w:val="00E85444"/>
    <w:rsid w:val="00E86027"/>
    <w:rsid w:val="00E87CEC"/>
    <w:rsid w:val="00E91D0C"/>
    <w:rsid w:val="00E93FDA"/>
    <w:rsid w:val="00E95F4F"/>
    <w:rsid w:val="00E96767"/>
    <w:rsid w:val="00EA3653"/>
    <w:rsid w:val="00EB3596"/>
    <w:rsid w:val="00EB361D"/>
    <w:rsid w:val="00EB43F2"/>
    <w:rsid w:val="00EB5146"/>
    <w:rsid w:val="00EB6564"/>
    <w:rsid w:val="00EB6CA3"/>
    <w:rsid w:val="00EC0F99"/>
    <w:rsid w:val="00EC53F3"/>
    <w:rsid w:val="00EC74AE"/>
    <w:rsid w:val="00ED388E"/>
    <w:rsid w:val="00ED6966"/>
    <w:rsid w:val="00EE1062"/>
    <w:rsid w:val="00EE308B"/>
    <w:rsid w:val="00EF06AF"/>
    <w:rsid w:val="00EF6A36"/>
    <w:rsid w:val="00F01109"/>
    <w:rsid w:val="00F022D8"/>
    <w:rsid w:val="00F029CE"/>
    <w:rsid w:val="00F06E64"/>
    <w:rsid w:val="00F13067"/>
    <w:rsid w:val="00F138A1"/>
    <w:rsid w:val="00F246E0"/>
    <w:rsid w:val="00F27177"/>
    <w:rsid w:val="00F27738"/>
    <w:rsid w:val="00F33BD6"/>
    <w:rsid w:val="00F33D80"/>
    <w:rsid w:val="00F356EE"/>
    <w:rsid w:val="00F4055A"/>
    <w:rsid w:val="00F40CBC"/>
    <w:rsid w:val="00F50BE6"/>
    <w:rsid w:val="00F61B01"/>
    <w:rsid w:val="00F6405D"/>
    <w:rsid w:val="00F64C6F"/>
    <w:rsid w:val="00F7122D"/>
    <w:rsid w:val="00F771D9"/>
    <w:rsid w:val="00F818D5"/>
    <w:rsid w:val="00F93222"/>
    <w:rsid w:val="00FA09CC"/>
    <w:rsid w:val="00FA3002"/>
    <w:rsid w:val="00FA4C3A"/>
    <w:rsid w:val="00FA5096"/>
    <w:rsid w:val="00FB03F4"/>
    <w:rsid w:val="00FB076B"/>
    <w:rsid w:val="00FC3920"/>
    <w:rsid w:val="00FC765B"/>
    <w:rsid w:val="00FC79FC"/>
    <w:rsid w:val="00FD1745"/>
    <w:rsid w:val="00FD2470"/>
    <w:rsid w:val="00FD3837"/>
    <w:rsid w:val="00FE1EB3"/>
    <w:rsid w:val="00FE33FE"/>
    <w:rsid w:val="00FE3410"/>
    <w:rsid w:val="00FE3C62"/>
    <w:rsid w:val="00FE483E"/>
    <w:rsid w:val="00FE56ED"/>
    <w:rsid w:val="00FE7AB2"/>
    <w:rsid w:val="00FF1AE1"/>
    <w:rsid w:val="00FF4C41"/>
    <w:rsid w:val="00FF65D1"/>
    <w:rsid w:val="00FF6C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8C7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link w:val="Titre2Car"/>
    <w:qFormat/>
    <w:pPr>
      <w:keepNext/>
      <w:spacing w:before="240" w:after="60"/>
      <w:outlineLvl w:val="1"/>
    </w:pPr>
    <w:rPr>
      <w:b/>
      <w:i/>
    </w:rPr>
  </w:style>
  <w:style w:type="paragraph" w:styleId="Titre3">
    <w:name w:val="heading 3"/>
    <w:basedOn w:val="Normal"/>
    <w:next w:val="Normal"/>
    <w:link w:val="Titre3Car"/>
    <w:qFormat/>
    <w:pPr>
      <w:keepNext/>
      <w:spacing w:before="240" w:after="60"/>
      <w:outlineLvl w:val="2"/>
    </w:pPr>
  </w:style>
  <w:style w:type="paragraph" w:styleId="Titre4">
    <w:name w:val="heading 4"/>
    <w:basedOn w:val="Normal"/>
    <w:next w:val="Normal"/>
    <w:link w:val="Titre4Car"/>
    <w:qFormat/>
    <w:pPr>
      <w:keepNext/>
      <w:spacing w:before="240" w:after="60"/>
      <w:outlineLvl w:val="3"/>
    </w:pPr>
    <w:rPr>
      <w:b/>
    </w:rPr>
  </w:style>
  <w:style w:type="paragraph" w:styleId="Titre5">
    <w:name w:val="heading 5"/>
    <w:basedOn w:val="Normal"/>
    <w:next w:val="Normal"/>
    <w:link w:val="Titre5Car"/>
    <w:qFormat/>
    <w:pPr>
      <w:spacing w:before="240" w:after="60"/>
      <w:outlineLvl w:val="4"/>
    </w:pPr>
    <w:rPr>
      <w:sz w:val="22"/>
    </w:rPr>
  </w:style>
  <w:style w:type="paragraph" w:styleId="Titre6">
    <w:name w:val="heading 6"/>
    <w:basedOn w:val="Normal"/>
    <w:next w:val="Normal"/>
    <w:link w:val="Titre6Car"/>
    <w:qFormat/>
    <w:pPr>
      <w:spacing w:before="240" w:after="60"/>
      <w:outlineLvl w:val="5"/>
    </w:pPr>
    <w:rPr>
      <w:i/>
      <w:sz w:val="22"/>
    </w:rPr>
  </w:style>
  <w:style w:type="paragraph" w:styleId="Titre7">
    <w:name w:val="heading 7"/>
    <w:basedOn w:val="Normal"/>
    <w:next w:val="Normal"/>
    <w:link w:val="Titre7Car"/>
    <w:qFormat/>
    <w:pPr>
      <w:spacing w:before="240" w:after="60"/>
      <w:outlineLvl w:val="6"/>
    </w:pPr>
    <w:rPr>
      <w:sz w:val="20"/>
    </w:rPr>
  </w:style>
  <w:style w:type="paragraph" w:styleId="Titre8">
    <w:name w:val="heading 8"/>
    <w:basedOn w:val="Normal"/>
    <w:next w:val="Normal"/>
    <w:link w:val="Titre8Car"/>
    <w:qFormat/>
    <w:pPr>
      <w:spacing w:before="240" w:after="60"/>
      <w:outlineLvl w:val="7"/>
    </w:pPr>
    <w:rPr>
      <w:i/>
      <w:sz w:val="20"/>
    </w:rPr>
  </w:style>
  <w:style w:type="paragraph" w:styleId="Titre9">
    <w:name w:val="heading 9"/>
    <w:basedOn w:val="Normal"/>
    <w:next w:val="Normal"/>
    <w:link w:val="Titre9Car"/>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basedOn w:val="Policepardfaut"/>
    <w:rPr>
      <w:rFonts w:ascii="Arial" w:hAnsi="Arial"/>
      <w:i/>
      <w:noProof w:val="0"/>
      <w:sz w:val="22"/>
      <w:lang w:val="fr-CA"/>
    </w:rPr>
  </w:style>
  <w:style w:type="paragraph" w:styleId="Corpsdetexte">
    <w:name w:val="Body Text"/>
    <w:basedOn w:val="Normal"/>
    <w:link w:val="CorpsdetexteCar"/>
    <w:semiHidden/>
    <w:pPr>
      <w:spacing w:after="120"/>
    </w:pPr>
  </w:style>
  <w:style w:type="paragraph" w:styleId="Notedebasdepage">
    <w:name w:val="footnote text"/>
    <w:aliases w:val="Char,Char Char,Char Char Char,Char1 Char1 Char Char,Char1 Char1 Char1,Char1 Char2 Char,Char1 Char3,FA Fu,Footnote Text Char Char Char,Footnote Text Char Char1,Footnote Text Char1 Char,Footnote Text Char2,Footnote text,fn,ft,ft2"/>
    <w:basedOn w:val="Normal"/>
    <w:link w:val="NotedebasdepageCar"/>
    <w:qFormat/>
    <w:pPr>
      <w:ind w:left="360" w:hanging="360"/>
      <w:jc w:val="both"/>
    </w:pPr>
    <w:rPr>
      <w:sz w:val="20"/>
    </w:rPr>
  </w:style>
  <w:style w:type="paragraph" w:styleId="Notedefin">
    <w:name w:val="endnote text"/>
    <w:basedOn w:val="Normal"/>
    <w:link w:val="NotedefinCar"/>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qFormat/>
    <w:pPr>
      <w:widowControl w:val="0"/>
      <w:numPr>
        <w:ilvl w:val="1"/>
        <w:numId w:val="1"/>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styleId="En-tte">
    <w:name w:val="header"/>
    <w:basedOn w:val="Normal"/>
    <w:link w:val="En-tteCar"/>
    <w:uiPriority w:val="99"/>
    <w:unhideWhenUsed/>
    <w:rsid w:val="00EB5146"/>
    <w:pPr>
      <w:tabs>
        <w:tab w:val="center" w:pos="4320"/>
        <w:tab w:val="right" w:pos="8640"/>
      </w:tabs>
    </w:pPr>
  </w:style>
  <w:style w:type="character" w:customStyle="1" w:styleId="En-tteCar">
    <w:name w:val="En-tête Car"/>
    <w:basedOn w:val="Policepardfaut"/>
    <w:link w:val="En-tte"/>
    <w:uiPriority w:val="99"/>
    <w:rsid w:val="00EB5146"/>
    <w:rPr>
      <w:rFonts w:ascii="Arial" w:hAnsi="Arial"/>
      <w:sz w:val="24"/>
      <w:lang w:eastAsia="fr-FR"/>
    </w:rPr>
  </w:style>
  <w:style w:type="paragraph" w:styleId="Pieddepage">
    <w:name w:val="footer"/>
    <w:basedOn w:val="Normal"/>
    <w:link w:val="PieddepageCar"/>
    <w:uiPriority w:val="99"/>
    <w:unhideWhenUsed/>
    <w:rsid w:val="00EB5146"/>
    <w:pPr>
      <w:tabs>
        <w:tab w:val="center" w:pos="4320"/>
        <w:tab w:val="right" w:pos="8640"/>
      </w:tabs>
    </w:pPr>
  </w:style>
  <w:style w:type="character" w:customStyle="1" w:styleId="PieddepageCar">
    <w:name w:val="Pied de page Car"/>
    <w:basedOn w:val="Policepardfaut"/>
    <w:link w:val="Pieddepage"/>
    <w:uiPriority w:val="99"/>
    <w:rsid w:val="00EB5146"/>
    <w:rPr>
      <w:rFonts w:ascii="Arial" w:hAnsi="Arial"/>
      <w:sz w:val="24"/>
      <w:lang w:eastAsia="fr-FR"/>
    </w:rPr>
  </w:style>
  <w:style w:type="character" w:customStyle="1" w:styleId="Titre1Car">
    <w:name w:val="Titre 1 Car"/>
    <w:link w:val="Titre1"/>
    <w:rsid w:val="00971AD0"/>
    <w:rPr>
      <w:rFonts w:ascii="Arial" w:hAnsi="Arial"/>
      <w:b/>
      <w:kern w:val="28"/>
      <w:sz w:val="28"/>
      <w:lang w:eastAsia="fr-FR"/>
    </w:rPr>
  </w:style>
  <w:style w:type="character" w:customStyle="1" w:styleId="Titre2Car">
    <w:name w:val="Titre 2 Car"/>
    <w:link w:val="Titre2"/>
    <w:rsid w:val="001F6FF0"/>
    <w:rPr>
      <w:rFonts w:ascii="Arial" w:hAnsi="Arial"/>
      <w:b/>
      <w:i/>
      <w:sz w:val="24"/>
      <w:lang w:eastAsia="fr-FR"/>
    </w:rPr>
  </w:style>
  <w:style w:type="character" w:customStyle="1" w:styleId="Titre3Car">
    <w:name w:val="Titre 3 Car"/>
    <w:link w:val="Titre3"/>
    <w:rsid w:val="001F6FF0"/>
    <w:rPr>
      <w:rFonts w:ascii="Arial" w:hAnsi="Arial"/>
      <w:sz w:val="24"/>
      <w:lang w:eastAsia="fr-FR"/>
    </w:rPr>
  </w:style>
  <w:style w:type="character" w:customStyle="1" w:styleId="Titre4Car">
    <w:name w:val="Titre 4 Car"/>
    <w:link w:val="Titre4"/>
    <w:rsid w:val="001F6FF0"/>
    <w:rPr>
      <w:rFonts w:ascii="Arial" w:hAnsi="Arial"/>
      <w:b/>
      <w:sz w:val="24"/>
      <w:lang w:eastAsia="fr-FR"/>
    </w:rPr>
  </w:style>
  <w:style w:type="character" w:customStyle="1" w:styleId="Titre5Car">
    <w:name w:val="Titre 5 Car"/>
    <w:link w:val="Titre5"/>
    <w:rsid w:val="001F6FF0"/>
    <w:rPr>
      <w:rFonts w:ascii="Arial" w:hAnsi="Arial"/>
      <w:sz w:val="22"/>
      <w:lang w:eastAsia="fr-FR"/>
    </w:rPr>
  </w:style>
  <w:style w:type="character" w:customStyle="1" w:styleId="Titre6Car">
    <w:name w:val="Titre 6 Car"/>
    <w:link w:val="Titre6"/>
    <w:rsid w:val="001F6FF0"/>
    <w:rPr>
      <w:rFonts w:ascii="Arial" w:hAnsi="Arial"/>
      <w:i/>
      <w:sz w:val="22"/>
      <w:lang w:eastAsia="fr-FR"/>
    </w:rPr>
  </w:style>
  <w:style w:type="character" w:customStyle="1" w:styleId="Titre7Car">
    <w:name w:val="Titre 7 Car"/>
    <w:link w:val="Titre7"/>
    <w:rsid w:val="001F6FF0"/>
    <w:rPr>
      <w:rFonts w:ascii="Arial" w:hAnsi="Arial"/>
      <w:lang w:eastAsia="fr-FR"/>
    </w:rPr>
  </w:style>
  <w:style w:type="character" w:customStyle="1" w:styleId="Titre8Car">
    <w:name w:val="Titre 8 Car"/>
    <w:link w:val="Titre8"/>
    <w:rsid w:val="001F6FF0"/>
    <w:rPr>
      <w:rFonts w:ascii="Arial" w:hAnsi="Arial"/>
      <w:i/>
      <w:lang w:eastAsia="fr-FR"/>
    </w:rPr>
  </w:style>
  <w:style w:type="character" w:customStyle="1" w:styleId="Titre9Car">
    <w:name w:val="Titre 9 Car"/>
    <w:link w:val="Titre9"/>
    <w:rsid w:val="001F6FF0"/>
    <w:rPr>
      <w:rFonts w:ascii="Arial" w:hAnsi="Arial"/>
      <w:b/>
      <w:i/>
      <w:sz w:val="18"/>
      <w:lang w:eastAsia="fr-FR"/>
    </w:rPr>
  </w:style>
  <w:style w:type="character" w:customStyle="1" w:styleId="CorpsdetexteCar">
    <w:name w:val="Corps de texte Car"/>
    <w:link w:val="Corpsdetexte"/>
    <w:semiHidden/>
    <w:rsid w:val="001F6FF0"/>
    <w:rPr>
      <w:rFonts w:ascii="Arial" w:hAnsi="Arial"/>
      <w:sz w:val="24"/>
      <w:lang w:eastAsia="fr-FR"/>
    </w:rPr>
  </w:style>
  <w:style w:type="character" w:customStyle="1" w:styleId="NotedebasdepageCar">
    <w:name w:val="Note de bas de page Car"/>
    <w:aliases w:val="Char Car,Char Char Car,Char Char Char Car,Char1 Char1 Char Char Car,Char1 Char1 Char1 Car,Char1 Char2 Char Car,Char1 Char3 Car,FA Fu Car,Footnote Text Char Char Char Car,Footnote Text Char Char1 Car,Footnote Text Char1 Char Car"/>
    <w:link w:val="Notedebasdepage"/>
    <w:rsid w:val="001F6FF0"/>
    <w:rPr>
      <w:rFonts w:ascii="Arial" w:hAnsi="Arial"/>
      <w:lang w:eastAsia="fr-FR"/>
    </w:rPr>
  </w:style>
  <w:style w:type="character" w:customStyle="1" w:styleId="NotedefinCar">
    <w:name w:val="Note de fin Car"/>
    <w:link w:val="Notedefin"/>
    <w:semiHidden/>
    <w:rsid w:val="001F6FF0"/>
    <w:rPr>
      <w:rFonts w:ascii="Arial" w:hAnsi="Arial"/>
      <w:lang w:eastAsia="fr-FR"/>
    </w:rPr>
  </w:style>
  <w:style w:type="paragraph" w:styleId="Paragraphedeliste">
    <w:name w:val="List Paragraph"/>
    <w:basedOn w:val="Normal"/>
    <w:uiPriority w:val="34"/>
    <w:qFormat/>
    <w:rsid w:val="001F6FF0"/>
    <w:pPr>
      <w:spacing w:after="160" w:line="259" w:lineRule="auto"/>
      <w:ind w:left="720"/>
      <w:contextualSpacing/>
    </w:pPr>
    <w:rPr>
      <w:rFonts w:ascii="Calibri" w:eastAsia="Calibri" w:hAnsi="Calibri"/>
      <w:sz w:val="22"/>
      <w:szCs w:val="22"/>
      <w:lang w:eastAsia="en-US"/>
    </w:rPr>
  </w:style>
  <w:style w:type="character" w:styleId="Appelnotedebasdep">
    <w:name w:val="footnote reference"/>
    <w:aliases w:val="Char Char6 Char Char Char Char Char Char Char Char Char Char Char Char,Char6 Char Char Char Char Char Char Char Char Char Char Char Char Char,Footnote,Ref,de nota al pie,fr"/>
    <w:uiPriority w:val="99"/>
    <w:unhideWhenUsed/>
    <w:qFormat/>
    <w:rsid w:val="001F6FF0"/>
    <w:rPr>
      <w:vertAlign w:val="superscript"/>
    </w:rPr>
  </w:style>
  <w:style w:type="character" w:styleId="Hyperlien">
    <w:name w:val="Hyperlink"/>
    <w:uiPriority w:val="99"/>
    <w:unhideWhenUsed/>
    <w:rsid w:val="001F6FF0"/>
    <w:rPr>
      <w:color w:val="0000FF"/>
      <w:u w:val="single"/>
    </w:rPr>
  </w:style>
  <w:style w:type="paragraph" w:styleId="Textedebulles">
    <w:name w:val="Balloon Text"/>
    <w:basedOn w:val="Normal"/>
    <w:link w:val="TextedebullesCar"/>
    <w:uiPriority w:val="99"/>
    <w:semiHidden/>
    <w:unhideWhenUsed/>
    <w:rsid w:val="001F6F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6FF0"/>
    <w:rPr>
      <w:rFonts w:ascii="Segoe UI" w:hAnsi="Segoe UI" w:cs="Segoe UI"/>
      <w:sz w:val="18"/>
      <w:szCs w:val="18"/>
      <w:lang w:eastAsia="fr-FR"/>
    </w:rPr>
  </w:style>
  <w:style w:type="paragraph" w:customStyle="1" w:styleId="1">
    <w:name w:val="1"/>
    <w:basedOn w:val="Normal"/>
    <w:rsid w:val="001F6FF0"/>
    <w:pPr>
      <w:spacing w:before="100" w:beforeAutospacing="1" w:after="100" w:afterAutospacing="1"/>
    </w:pPr>
    <w:rPr>
      <w:rFonts w:ascii="Times New Roman" w:hAnsi="Times New Roman"/>
      <w:szCs w:val="24"/>
      <w:lang w:eastAsia="fr-CA"/>
    </w:rPr>
  </w:style>
  <w:style w:type="paragraph" w:styleId="NormalWeb">
    <w:name w:val="Normal (Web)"/>
    <w:basedOn w:val="Normal"/>
    <w:uiPriority w:val="99"/>
    <w:semiHidden/>
    <w:unhideWhenUsed/>
    <w:rsid w:val="001F6FF0"/>
    <w:pPr>
      <w:spacing w:before="100" w:beforeAutospacing="1" w:after="100" w:afterAutospacing="1"/>
    </w:pPr>
    <w:rPr>
      <w:rFonts w:ascii="Times New Roman" w:hAnsi="Times New Roman"/>
      <w:szCs w:val="24"/>
      <w:lang w:eastAsia="fr-CA"/>
    </w:rPr>
  </w:style>
  <w:style w:type="character" w:customStyle="1" w:styleId="reflex3-missing">
    <w:name w:val="reflex3-missing"/>
    <w:basedOn w:val="Policepardfaut"/>
    <w:rsid w:val="001F6FF0"/>
  </w:style>
  <w:style w:type="character" w:customStyle="1" w:styleId="reflex2-link">
    <w:name w:val="reflex2-link"/>
    <w:basedOn w:val="Policepardfaut"/>
    <w:rsid w:val="001F6FF0"/>
  </w:style>
  <w:style w:type="character" w:customStyle="1" w:styleId="reflex">
    <w:name w:val="reflex"/>
    <w:basedOn w:val="Policepardfaut"/>
    <w:rsid w:val="001F6FF0"/>
  </w:style>
  <w:style w:type="character" w:customStyle="1" w:styleId="ParagrapheCar">
    <w:name w:val="Paragraphe Car"/>
    <w:link w:val="Paragraphe"/>
    <w:qFormat/>
    <w:rsid w:val="001F6FF0"/>
    <w:rPr>
      <w:rFonts w:ascii="Arial" w:hAnsi="Arial"/>
      <w:kern w:val="28"/>
      <w:sz w:val="24"/>
      <w:lang w:eastAsia="fr-FR"/>
    </w:rPr>
  </w:style>
  <w:style w:type="paragraph" w:styleId="Listepuces">
    <w:name w:val="List Bullet"/>
    <w:basedOn w:val="Normal"/>
    <w:next w:val="Paragraphedeliste"/>
    <w:uiPriority w:val="99"/>
    <w:unhideWhenUsed/>
    <w:rsid w:val="001F6FF0"/>
    <w:pPr>
      <w:contextualSpacing/>
    </w:pPr>
  </w:style>
  <w:style w:type="numbering" w:customStyle="1" w:styleId="Style1">
    <w:name w:val="Style1"/>
    <w:uiPriority w:val="99"/>
    <w:rsid w:val="001F6FF0"/>
    <w:pPr>
      <w:numPr>
        <w:numId w:val="26"/>
      </w:numPr>
    </w:pPr>
  </w:style>
  <w:style w:type="numbering" w:customStyle="1" w:styleId="Style5">
    <w:name w:val="Style5"/>
    <w:uiPriority w:val="99"/>
    <w:rsid w:val="001F6FF0"/>
    <w:pPr>
      <w:numPr>
        <w:numId w:val="28"/>
      </w:numPr>
    </w:pPr>
  </w:style>
  <w:style w:type="numbering" w:customStyle="1" w:styleId="Style6">
    <w:name w:val="Style6"/>
    <w:uiPriority w:val="99"/>
    <w:rsid w:val="001F6FF0"/>
    <w:pPr>
      <w:numPr>
        <w:numId w:val="30"/>
      </w:numPr>
    </w:pPr>
  </w:style>
  <w:style w:type="paragraph" w:customStyle="1" w:styleId="paragraphe0">
    <w:name w:val="paragraphe"/>
    <w:basedOn w:val="Normal"/>
    <w:rsid w:val="001F6FF0"/>
    <w:pPr>
      <w:spacing w:before="100" w:beforeAutospacing="1" w:after="100" w:afterAutospacing="1"/>
    </w:pPr>
    <w:rPr>
      <w:rFonts w:ascii="Times New Roman" w:hAnsi="Times New Roman"/>
      <w:szCs w:val="24"/>
      <w:lang w:eastAsia="fr-CA"/>
    </w:rPr>
  </w:style>
  <w:style w:type="paragraph" w:customStyle="1" w:styleId="citationenretrait0">
    <w:name w:val="citationenretrait"/>
    <w:basedOn w:val="Normal"/>
    <w:rsid w:val="001F6FF0"/>
    <w:pPr>
      <w:spacing w:before="100" w:beforeAutospacing="1" w:after="100" w:afterAutospacing="1"/>
    </w:pPr>
    <w:rPr>
      <w:rFonts w:ascii="Times New Roman" w:hAnsi="Times New Roman"/>
      <w:szCs w:val="24"/>
      <w:lang w:eastAsia="fr-CA"/>
    </w:rPr>
  </w:style>
  <w:style w:type="paragraph" w:customStyle="1" w:styleId="Default">
    <w:name w:val="Default"/>
    <w:rsid w:val="001F6FF0"/>
    <w:pPr>
      <w:autoSpaceDE w:val="0"/>
      <w:autoSpaceDN w:val="0"/>
      <w:adjustRightInd w:val="0"/>
    </w:pPr>
    <w:rPr>
      <w:rFonts w:ascii="Arial" w:hAnsi="Arial" w:cs="Arial"/>
      <w:color w:val="000000"/>
      <w:sz w:val="24"/>
      <w:szCs w:val="24"/>
    </w:rPr>
  </w:style>
  <w:style w:type="paragraph" w:styleId="Rvision">
    <w:name w:val="Revision"/>
    <w:hidden/>
    <w:uiPriority w:val="99"/>
    <w:semiHidden/>
    <w:rsid w:val="00FC765B"/>
    <w:rPr>
      <w:rFonts w:ascii="Arial" w:hAnsi="Arial"/>
      <w:sz w:val="24"/>
      <w:lang w:eastAsia="fr-FR"/>
    </w:rPr>
  </w:style>
  <w:style w:type="character" w:customStyle="1" w:styleId="reflex3-block">
    <w:name w:val="reflex3-block"/>
    <w:basedOn w:val="Policepardfaut"/>
    <w:rsid w:val="0088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anlii.org/fr/qc/qcca/doc/2016/2016qcca335/2016qcca335.html" TargetMode="External"/><Relationship Id="rId2" Type="http://schemas.openxmlformats.org/officeDocument/2006/relationships/hyperlink" Target="https://www.canlii.org/fr/qc/qcca/doc/2017/2017qcca1286/2017qcca1286.html" TargetMode="External"/><Relationship Id="rId1" Type="http://schemas.openxmlformats.org/officeDocument/2006/relationships/hyperlink" Target="https://www.canlii.org/fr/qc/qccq/doc/2004/2004canlii48297/2004canlii48297.html" TargetMode="External"/><Relationship Id="rId4" Type="http://schemas.openxmlformats.org/officeDocument/2006/relationships/hyperlink" Target="https://www.canlii.org/fr/qc/qcca/doc/2016/2016qcca335/2016qcca33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2A574-AFBA-4FCC-A863-34C1679A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10699</Words>
  <Characters>58847</Characters>
  <Application>Microsoft Office Word</Application>
  <DocSecurity>4</DocSecurity>
  <Lines>490</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2024-07-12T16:22:00Z</dcterms:created>
  <dcterms:modified xsi:type="dcterms:W3CDTF">2024-07-12T16:22:00Z</dcterms:modified>
</cp:coreProperties>
</file>